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B5753" w14:textId="77777777" w:rsidR="00093BD0" w:rsidRPr="000A1C3C" w:rsidRDefault="00093BD0" w:rsidP="000A1C3C">
      <w:pPr>
        <w:jc w:val="center"/>
        <w:rPr>
          <w:b/>
        </w:rPr>
      </w:pPr>
      <w:bookmarkStart w:id="0" w:name="_GoBack"/>
      <w:bookmarkEnd w:id="0"/>
      <w:r w:rsidRPr="000A1C3C">
        <w:rPr>
          <w:b/>
        </w:rPr>
        <w:t>Ministru kabineta noteikumu projekta</w:t>
      </w:r>
    </w:p>
    <w:p w14:paraId="1CE1D350" w14:textId="77777777" w:rsidR="00093BD0" w:rsidRPr="000A1C3C" w:rsidRDefault="009F1BD4" w:rsidP="000A1C3C">
      <w:pPr>
        <w:ind w:firstLine="567"/>
        <w:jc w:val="center"/>
        <w:rPr>
          <w:b/>
        </w:rPr>
      </w:pPr>
      <w:r w:rsidRPr="000A1C3C">
        <w:rPr>
          <w:b/>
        </w:rPr>
        <w:t>“</w:t>
      </w:r>
      <w:r w:rsidR="000A1C3C" w:rsidRPr="000A1C3C">
        <w:rPr>
          <w:b/>
        </w:rPr>
        <w:t>Valsts sociālā atbalsta pedagogiem</w:t>
      </w:r>
      <w:r w:rsidR="000A1C3C">
        <w:rPr>
          <w:b/>
        </w:rPr>
        <w:t xml:space="preserve"> </w:t>
      </w:r>
      <w:r w:rsidR="000A1C3C" w:rsidRPr="000A1C3C">
        <w:rPr>
          <w:b/>
        </w:rPr>
        <w:t>piešķiršanas un administrēšanas kārtība</w:t>
      </w:r>
      <w:r w:rsidRPr="000A1C3C">
        <w:rPr>
          <w:b/>
        </w:rPr>
        <w:t xml:space="preserve"> </w:t>
      </w:r>
      <w:r w:rsidR="00093BD0" w:rsidRPr="000A1C3C">
        <w:rPr>
          <w:b/>
        </w:rPr>
        <w:t>”</w:t>
      </w:r>
    </w:p>
    <w:p w14:paraId="1E745478" w14:textId="77777777" w:rsidR="00093BD0" w:rsidRPr="000A1C3C" w:rsidRDefault="00093BD0" w:rsidP="000A1C3C">
      <w:pPr>
        <w:pStyle w:val="naisc"/>
        <w:spacing w:before="0" w:beforeAutospacing="0" w:after="0" w:afterAutospacing="0"/>
        <w:rPr>
          <w:b/>
          <w:sz w:val="24"/>
          <w:szCs w:val="24"/>
        </w:rPr>
      </w:pPr>
      <w:r w:rsidRPr="000A1C3C">
        <w:rPr>
          <w:b/>
          <w:sz w:val="24"/>
          <w:szCs w:val="24"/>
        </w:rPr>
        <w:t>sākotnējās ietekmes novērtējuma ziņojums (anotācija)</w:t>
      </w:r>
    </w:p>
    <w:p w14:paraId="6FD9401B" w14:textId="77777777" w:rsidR="001E7BB8" w:rsidRPr="009733BA" w:rsidRDefault="001E7BB8" w:rsidP="001E7BB8">
      <w:pPr>
        <w:jc w:val="both"/>
        <w:rPr>
          <w:rFonts w:eastAsiaTheme="minorHAnsi"/>
          <w:b/>
          <w:bCs/>
          <w:szCs w:val="22"/>
          <w:lang w:eastAsia="en-US"/>
        </w:rPr>
      </w:pPr>
    </w:p>
    <w:tbl>
      <w:tblPr>
        <w:tblW w:w="5608" w:type="pct"/>
        <w:tblInd w:w="-36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626"/>
        <w:gridCol w:w="7535"/>
      </w:tblGrid>
      <w:tr w:rsidR="009733BA" w:rsidRPr="009733BA" w14:paraId="6A5BE8FB" w14:textId="77777777" w:rsidTr="002722EC">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C7D34B4" w14:textId="77777777" w:rsidR="001E7BB8" w:rsidRPr="009733BA" w:rsidRDefault="001E7BB8" w:rsidP="009A0553">
            <w:pPr>
              <w:jc w:val="center"/>
              <w:rPr>
                <w:rFonts w:eastAsiaTheme="minorHAnsi"/>
                <w:b/>
                <w:bCs/>
                <w:szCs w:val="22"/>
                <w:lang w:eastAsia="en-US"/>
              </w:rPr>
            </w:pPr>
            <w:r w:rsidRPr="009733BA">
              <w:rPr>
                <w:rFonts w:eastAsiaTheme="minorHAnsi"/>
                <w:b/>
                <w:bCs/>
                <w:szCs w:val="22"/>
                <w:lang w:eastAsia="en-US"/>
              </w:rPr>
              <w:t>I. Tiesību akta projekta izstrādes nepieciešamība</w:t>
            </w:r>
          </w:p>
        </w:tc>
      </w:tr>
      <w:tr w:rsidR="009733BA" w:rsidRPr="009733BA" w14:paraId="1D489029" w14:textId="77777777" w:rsidTr="002722EC">
        <w:trPr>
          <w:trHeight w:val="405"/>
        </w:trPr>
        <w:tc>
          <w:tcPr>
            <w:tcW w:w="214" w:type="pct"/>
            <w:tcBorders>
              <w:top w:val="outset" w:sz="6" w:space="0" w:color="414142"/>
              <w:left w:val="outset" w:sz="6" w:space="0" w:color="414142"/>
              <w:bottom w:val="outset" w:sz="6" w:space="0" w:color="414142"/>
              <w:right w:val="outset" w:sz="6" w:space="0" w:color="414142"/>
            </w:tcBorders>
            <w:hideMark/>
          </w:tcPr>
          <w:p w14:paraId="6305CE4E" w14:textId="77777777" w:rsidR="001E7BB8" w:rsidRPr="009733BA" w:rsidRDefault="001E7BB8" w:rsidP="001E7BB8">
            <w:pPr>
              <w:rPr>
                <w:rFonts w:eastAsiaTheme="minorHAnsi"/>
                <w:szCs w:val="22"/>
                <w:lang w:eastAsia="en-US"/>
              </w:rPr>
            </w:pPr>
            <w:r w:rsidRPr="009733BA">
              <w:rPr>
                <w:rFonts w:eastAsiaTheme="minorHAnsi"/>
                <w:szCs w:val="22"/>
                <w:lang w:eastAsia="en-US"/>
              </w:rPr>
              <w:t>1.</w:t>
            </w:r>
          </w:p>
        </w:tc>
        <w:tc>
          <w:tcPr>
            <w:tcW w:w="1237" w:type="pct"/>
            <w:tcBorders>
              <w:top w:val="outset" w:sz="6" w:space="0" w:color="414142"/>
              <w:left w:val="outset" w:sz="6" w:space="0" w:color="414142"/>
              <w:bottom w:val="outset" w:sz="6" w:space="0" w:color="414142"/>
              <w:right w:val="outset" w:sz="6" w:space="0" w:color="414142"/>
            </w:tcBorders>
            <w:hideMark/>
          </w:tcPr>
          <w:p w14:paraId="70C88077" w14:textId="77777777" w:rsidR="001E7BB8" w:rsidRPr="009733BA" w:rsidRDefault="001E7BB8" w:rsidP="001E7BB8">
            <w:pPr>
              <w:rPr>
                <w:rFonts w:eastAsiaTheme="minorHAnsi"/>
                <w:szCs w:val="22"/>
                <w:lang w:eastAsia="en-US"/>
              </w:rPr>
            </w:pPr>
            <w:r w:rsidRPr="009733BA">
              <w:rPr>
                <w:rFonts w:eastAsiaTheme="minorHAnsi"/>
                <w:szCs w:val="22"/>
                <w:lang w:eastAsia="en-US"/>
              </w:rPr>
              <w:t>Pamatojums</w:t>
            </w:r>
          </w:p>
        </w:tc>
        <w:tc>
          <w:tcPr>
            <w:tcW w:w="3549" w:type="pct"/>
            <w:tcBorders>
              <w:top w:val="outset" w:sz="6" w:space="0" w:color="414142"/>
              <w:left w:val="outset" w:sz="6" w:space="0" w:color="414142"/>
              <w:bottom w:val="outset" w:sz="6" w:space="0" w:color="414142"/>
              <w:right w:val="outset" w:sz="6" w:space="0" w:color="414142"/>
            </w:tcBorders>
            <w:hideMark/>
          </w:tcPr>
          <w:p w14:paraId="56F55847" w14:textId="1705259A" w:rsidR="00C851EB" w:rsidRPr="009733BA" w:rsidRDefault="007001F6" w:rsidP="007001F6">
            <w:pPr>
              <w:jc w:val="both"/>
            </w:pPr>
            <w:r>
              <w:t xml:space="preserve">   </w:t>
            </w:r>
            <w:r w:rsidR="001E7BB8" w:rsidRPr="009733BA">
              <w:t>Ministru kabineta noteikumu projekta “</w:t>
            </w:r>
            <w:r w:rsidR="000A1C3C" w:rsidRPr="000A1C3C">
              <w:t>Valsts sociālā atbalsta pedagogiem piešķiršanas un administrēšanas kārtība</w:t>
            </w:r>
            <w:r w:rsidR="00B9508B" w:rsidRPr="009733BA">
              <w:t xml:space="preserve">” (turpmāk – </w:t>
            </w:r>
            <w:r w:rsidR="001E7BB8" w:rsidRPr="009733BA">
              <w:t>projekts) izst</w:t>
            </w:r>
            <w:r w:rsidR="00B637BA" w:rsidRPr="009733BA">
              <w:t xml:space="preserve">rādes nepieciešamība </w:t>
            </w:r>
            <w:r w:rsidR="000A1C3C">
              <w:t>izriet no</w:t>
            </w:r>
            <w:r w:rsidR="000A1C3C" w:rsidRPr="00727B24">
              <w:rPr>
                <w:color w:val="414142"/>
                <w:shd w:val="clear" w:color="auto" w:fill="FFFFFF"/>
              </w:rPr>
              <w:t xml:space="preserve"> 2017. gada </w:t>
            </w:r>
            <w:proofErr w:type="gramStart"/>
            <w:r w:rsidR="00696D43">
              <w:rPr>
                <w:color w:val="414142"/>
                <w:shd w:val="clear" w:color="auto" w:fill="FFFFFF"/>
              </w:rPr>
              <w:t>22.novembrī</w:t>
            </w:r>
            <w:proofErr w:type="gramEnd"/>
            <w:r w:rsidR="000A1C3C" w:rsidRPr="00727B24">
              <w:rPr>
                <w:rFonts w:ascii="Arial" w:hAnsi="Arial" w:cs="Arial"/>
                <w:color w:val="414142"/>
                <w:shd w:val="clear" w:color="auto" w:fill="FFFFFF"/>
              </w:rPr>
              <w:t xml:space="preserve"> </w:t>
            </w:r>
            <w:r w:rsidR="000A1C3C" w:rsidRPr="009733BA">
              <w:rPr>
                <w:rFonts w:eastAsiaTheme="minorHAnsi"/>
                <w:lang w:eastAsia="en-US"/>
              </w:rPr>
              <w:t xml:space="preserve"> pieņemt</w:t>
            </w:r>
            <w:r w:rsidR="000A1C3C">
              <w:rPr>
                <w:rFonts w:eastAsiaTheme="minorHAnsi"/>
                <w:lang w:eastAsia="en-US"/>
              </w:rPr>
              <w:t>ā</w:t>
            </w:r>
            <w:r w:rsidR="000A1C3C" w:rsidRPr="009733BA">
              <w:rPr>
                <w:rFonts w:eastAsiaTheme="minorHAnsi"/>
                <w:lang w:eastAsia="en-US"/>
              </w:rPr>
              <w:t xml:space="preserve"> likum</w:t>
            </w:r>
            <w:r w:rsidR="000A1C3C">
              <w:rPr>
                <w:rFonts w:eastAsiaTheme="minorHAnsi"/>
                <w:lang w:eastAsia="en-US"/>
              </w:rPr>
              <w:t>a</w:t>
            </w:r>
            <w:r w:rsidR="000A1C3C" w:rsidRPr="009733BA">
              <w:rPr>
                <w:rFonts w:eastAsiaTheme="minorHAnsi"/>
                <w:lang w:eastAsia="en-US"/>
              </w:rPr>
              <w:t xml:space="preserve"> “Grozījumi </w:t>
            </w:r>
            <w:r w:rsidR="000A1C3C">
              <w:rPr>
                <w:rFonts w:eastAsiaTheme="minorHAnsi"/>
                <w:lang w:eastAsia="en-US"/>
              </w:rPr>
              <w:t>Izglītības</w:t>
            </w:r>
            <w:r w:rsidR="000A1C3C" w:rsidRPr="009733BA">
              <w:rPr>
                <w:rFonts w:eastAsiaTheme="minorHAnsi"/>
                <w:lang w:eastAsia="en-US"/>
              </w:rPr>
              <w:t xml:space="preserve"> likumā”, kas stājās spēkā 201</w:t>
            </w:r>
            <w:r w:rsidR="000A1C3C">
              <w:rPr>
                <w:rFonts w:eastAsiaTheme="minorHAnsi"/>
                <w:lang w:eastAsia="en-US"/>
              </w:rPr>
              <w:t>8</w:t>
            </w:r>
            <w:r w:rsidR="000A1C3C" w:rsidRPr="009733BA">
              <w:rPr>
                <w:rFonts w:eastAsiaTheme="minorHAnsi"/>
                <w:lang w:eastAsia="en-US"/>
              </w:rPr>
              <w:t>. gada 1. j</w:t>
            </w:r>
            <w:r w:rsidR="000A1C3C">
              <w:rPr>
                <w:rFonts w:eastAsiaTheme="minorHAnsi"/>
                <w:lang w:eastAsia="en-US"/>
              </w:rPr>
              <w:t>anvārī</w:t>
            </w:r>
            <w:r w:rsidR="00736F36">
              <w:rPr>
                <w:rFonts w:eastAsiaTheme="minorHAnsi"/>
                <w:lang w:eastAsia="en-US"/>
              </w:rPr>
              <w:t xml:space="preserve"> 14.panta 40.punkt</w:t>
            </w:r>
            <w:r w:rsidR="00696D43">
              <w:rPr>
                <w:rFonts w:eastAsiaTheme="minorHAnsi"/>
                <w:lang w:eastAsia="en-US"/>
              </w:rPr>
              <w:t>ā</w:t>
            </w:r>
            <w:r w:rsidR="00C47208">
              <w:rPr>
                <w:rFonts w:eastAsiaTheme="minorHAnsi"/>
                <w:lang w:eastAsia="en-US"/>
              </w:rPr>
              <w:t xml:space="preserve"> un 52.panta ceturt</w:t>
            </w:r>
            <w:r w:rsidR="00696D43">
              <w:rPr>
                <w:rFonts w:eastAsiaTheme="minorHAnsi"/>
                <w:lang w:eastAsia="en-US"/>
              </w:rPr>
              <w:t>ajā</w:t>
            </w:r>
            <w:r w:rsidR="00C47208">
              <w:rPr>
                <w:rFonts w:eastAsiaTheme="minorHAnsi"/>
                <w:lang w:eastAsia="en-US"/>
              </w:rPr>
              <w:t xml:space="preserve"> daļ</w:t>
            </w:r>
            <w:r w:rsidR="00696D43">
              <w:rPr>
                <w:rFonts w:eastAsiaTheme="minorHAnsi"/>
                <w:lang w:eastAsia="en-US"/>
              </w:rPr>
              <w:t>ā dotā deleģējuma Ministru kabinetam noteikt</w:t>
            </w:r>
            <w:r w:rsidR="005B5098">
              <w:rPr>
                <w:rFonts w:eastAsiaTheme="minorHAnsi"/>
                <w:lang w:eastAsia="en-US"/>
              </w:rPr>
              <w:t xml:space="preserve"> kārtību, kādā piešķir valsts sociālo atbalstu tiem vispārējās pamatizglītības un vispārējās vidējās izglītības programmu īstenošanā  iesaistītajiem pedagogiem, kuri pašvaldības vispārējās izglītības iestādes reorganizācijas vai likvidācijas gadījumā zaudē</w:t>
            </w:r>
            <w:r w:rsidR="00B4418A">
              <w:rPr>
                <w:rFonts w:eastAsiaTheme="minorHAnsi"/>
                <w:lang w:eastAsia="en-US"/>
              </w:rPr>
              <w:t xml:space="preserve"> pedagoga darbu, kā arī noteikt institūciju, kas administrē valsts sociālā atbalsta izmaksu vai pārtraukšanu</w:t>
            </w:r>
          </w:p>
        </w:tc>
      </w:tr>
      <w:tr w:rsidR="009733BA" w:rsidRPr="009733BA" w14:paraId="032D0773" w14:textId="77777777" w:rsidTr="002722EC">
        <w:trPr>
          <w:trHeight w:val="465"/>
        </w:trPr>
        <w:tc>
          <w:tcPr>
            <w:tcW w:w="214" w:type="pct"/>
            <w:tcBorders>
              <w:top w:val="outset" w:sz="6" w:space="0" w:color="414142"/>
              <w:left w:val="outset" w:sz="6" w:space="0" w:color="414142"/>
              <w:bottom w:val="outset" w:sz="6" w:space="0" w:color="414142"/>
              <w:right w:val="outset" w:sz="6" w:space="0" w:color="414142"/>
            </w:tcBorders>
            <w:hideMark/>
          </w:tcPr>
          <w:p w14:paraId="03CF2BBF" w14:textId="77777777" w:rsidR="001E7BB8" w:rsidRPr="009733BA" w:rsidRDefault="001E7BB8" w:rsidP="001E7BB8">
            <w:pPr>
              <w:rPr>
                <w:rFonts w:eastAsiaTheme="minorHAnsi"/>
                <w:szCs w:val="22"/>
                <w:lang w:eastAsia="en-US"/>
              </w:rPr>
            </w:pPr>
            <w:r w:rsidRPr="009733BA">
              <w:rPr>
                <w:rFonts w:eastAsiaTheme="minorHAnsi"/>
                <w:szCs w:val="22"/>
                <w:lang w:eastAsia="en-US"/>
              </w:rPr>
              <w:t>2.</w:t>
            </w:r>
          </w:p>
        </w:tc>
        <w:tc>
          <w:tcPr>
            <w:tcW w:w="1237" w:type="pct"/>
            <w:tcBorders>
              <w:top w:val="outset" w:sz="6" w:space="0" w:color="414142"/>
              <w:left w:val="outset" w:sz="6" w:space="0" w:color="414142"/>
              <w:bottom w:val="outset" w:sz="6" w:space="0" w:color="414142"/>
              <w:right w:val="outset" w:sz="6" w:space="0" w:color="414142"/>
            </w:tcBorders>
            <w:hideMark/>
          </w:tcPr>
          <w:p w14:paraId="3DCDF05D" w14:textId="77777777" w:rsidR="001E7BB8" w:rsidRPr="009733BA" w:rsidRDefault="001E7BB8" w:rsidP="001E7BB8">
            <w:pPr>
              <w:rPr>
                <w:rFonts w:eastAsiaTheme="minorHAnsi"/>
                <w:szCs w:val="22"/>
                <w:lang w:eastAsia="en-US"/>
              </w:rPr>
            </w:pPr>
            <w:r w:rsidRPr="009733BA">
              <w:rPr>
                <w:rFonts w:eastAsiaTheme="minorHAnsi"/>
                <w:szCs w:val="22"/>
                <w:lang w:eastAsia="en-US"/>
              </w:rPr>
              <w:t>Pašreizējā situācija un problēmas, kuru risināšanai tiesību akta projekts izstrādāts, tiesiskā regulējuma mērķis un būtība</w:t>
            </w:r>
          </w:p>
        </w:tc>
        <w:tc>
          <w:tcPr>
            <w:tcW w:w="3549" w:type="pct"/>
            <w:tcBorders>
              <w:top w:val="outset" w:sz="6" w:space="0" w:color="414142"/>
              <w:left w:val="outset" w:sz="6" w:space="0" w:color="414142"/>
              <w:bottom w:val="outset" w:sz="6" w:space="0" w:color="414142"/>
              <w:right w:val="outset" w:sz="6" w:space="0" w:color="414142"/>
            </w:tcBorders>
            <w:hideMark/>
          </w:tcPr>
          <w:p w14:paraId="0F7A5695" w14:textId="7C741AE3" w:rsidR="00C47208" w:rsidRDefault="007001F6" w:rsidP="00C47208">
            <w:pPr>
              <w:widowControl w:val="0"/>
              <w:adjustRightInd w:val="0"/>
              <w:jc w:val="both"/>
              <w:textAlignment w:val="baseline"/>
              <w:rPr>
                <w:rFonts w:eastAsia="Calibri"/>
              </w:rPr>
            </w:pPr>
            <w:r>
              <w:rPr>
                <w:bCs/>
                <w:color w:val="000000"/>
              </w:rPr>
              <w:t xml:space="preserve">   </w:t>
            </w:r>
            <w:r w:rsidR="00C47208" w:rsidRPr="00B748C1">
              <w:rPr>
                <w:bCs/>
                <w:color w:val="000000"/>
              </w:rPr>
              <w:t>Projekts paredz sniegt valsts sociālo atbalstu tiem pedagogiem,</w:t>
            </w:r>
            <w:proofErr w:type="gramStart"/>
            <w:r w:rsidR="00C47208" w:rsidRPr="00B748C1">
              <w:rPr>
                <w:bCs/>
                <w:color w:val="000000"/>
              </w:rPr>
              <w:t xml:space="preserve"> </w:t>
            </w:r>
            <w:r w:rsidR="00C47208" w:rsidRPr="00B748C1">
              <w:rPr>
                <w:rFonts w:eastAsia="Calibri"/>
              </w:rPr>
              <w:t xml:space="preserve"> </w:t>
            </w:r>
            <w:proofErr w:type="gramEnd"/>
            <w:r w:rsidR="00C47208" w:rsidRPr="00B748C1">
              <w:rPr>
                <w:rFonts w:eastAsia="Calibri"/>
              </w:rPr>
              <w:t xml:space="preserve">kuriem līdz pensionēšanās vecuma sasniegšanai </w:t>
            </w:r>
            <w:r w:rsidR="00696D43">
              <w:rPr>
                <w:rFonts w:eastAsia="Calibri"/>
              </w:rPr>
              <w:t>ir</w:t>
            </w:r>
            <w:r w:rsidR="00696D43" w:rsidRPr="00B748C1">
              <w:rPr>
                <w:rFonts w:eastAsia="Calibri"/>
              </w:rPr>
              <w:t xml:space="preserve"> </w:t>
            </w:r>
            <w:r w:rsidR="00696D43">
              <w:rPr>
                <w:rFonts w:eastAsia="Calibri"/>
              </w:rPr>
              <w:t xml:space="preserve">mazāk </w:t>
            </w:r>
            <w:r w:rsidR="00C47208" w:rsidRPr="00B748C1">
              <w:rPr>
                <w:rFonts w:eastAsia="Calibri"/>
              </w:rPr>
              <w:t xml:space="preserve"> </w:t>
            </w:r>
            <w:r w:rsidR="00696D43">
              <w:rPr>
                <w:rFonts w:eastAsia="Calibri"/>
              </w:rPr>
              <w:t>ne</w:t>
            </w:r>
            <w:r w:rsidR="00C47208" w:rsidRPr="00B748C1">
              <w:rPr>
                <w:rFonts w:eastAsia="Calibri"/>
              </w:rPr>
              <w:t>kā trīs gadi</w:t>
            </w:r>
            <w:r w:rsidR="00B4418A">
              <w:rPr>
                <w:rFonts w:eastAsia="Calibri"/>
              </w:rPr>
              <w:t xml:space="preserve"> un kopējais pedagoga darba stāžs valsts un pašvaldības izglītības iestādēs, kas īsteno vispārējās izglītības programmas, ir vismaz 25 gadi, tai skaitā pēdējie pieci gadi pirms izglītības iestādes likvidācijas vai reorganizācijas nostrādāti pašvaldības izglītības iestādē</w:t>
            </w:r>
            <w:r w:rsidR="00C47208" w:rsidRPr="00B748C1">
              <w:rPr>
                <w:rFonts w:eastAsia="Calibri"/>
              </w:rPr>
              <w:t>,</w:t>
            </w:r>
            <w:r w:rsidR="00B4418A">
              <w:rPr>
                <w:rFonts w:eastAsia="Calibri"/>
              </w:rPr>
              <w:t xml:space="preserve"> kas īsteno vispārējās pamatizglīt</w:t>
            </w:r>
            <w:r>
              <w:rPr>
                <w:rFonts w:eastAsia="Calibri"/>
              </w:rPr>
              <w:t xml:space="preserve">ības </w:t>
            </w:r>
            <w:r w:rsidR="00B4418A">
              <w:rPr>
                <w:rFonts w:eastAsia="Calibri"/>
              </w:rPr>
              <w:t>vai</w:t>
            </w:r>
            <w:r>
              <w:rPr>
                <w:rFonts w:eastAsia="Calibri"/>
              </w:rPr>
              <w:t xml:space="preserve"> vispārējās vidējās izglītības </w:t>
            </w:r>
            <w:r w:rsidR="00B4418A">
              <w:rPr>
                <w:rFonts w:eastAsia="Calibri"/>
              </w:rPr>
              <w:t xml:space="preserve"> </w:t>
            </w:r>
            <w:r w:rsidR="00C47208" w:rsidRPr="00B748C1">
              <w:rPr>
                <w:rFonts w:eastAsia="Calibri"/>
              </w:rPr>
              <w:t xml:space="preserve"> </w:t>
            </w:r>
            <w:r>
              <w:rPr>
                <w:rFonts w:eastAsia="Calibri"/>
              </w:rPr>
              <w:t>programmas.</w:t>
            </w:r>
          </w:p>
          <w:p w14:paraId="26B5E616" w14:textId="483086D5" w:rsidR="007001F6" w:rsidRDefault="007001F6" w:rsidP="00C47208">
            <w:pPr>
              <w:widowControl w:val="0"/>
              <w:adjustRightInd w:val="0"/>
              <w:jc w:val="both"/>
              <w:textAlignment w:val="baseline"/>
              <w:rPr>
                <w:rFonts w:eastAsia="Calibri"/>
              </w:rPr>
            </w:pPr>
            <w:r>
              <w:t xml:space="preserve">   </w:t>
            </w:r>
            <w:r w:rsidRPr="00B748C1">
              <w:t xml:space="preserve">Sociālā atbalsta izmaksas finansē no </w:t>
            </w:r>
            <w:r>
              <w:t xml:space="preserve">Izglītības un zinātnes </w:t>
            </w:r>
            <w:r w:rsidRPr="00B748C1">
              <w:t>ministrijas</w:t>
            </w:r>
            <w:r>
              <w:t xml:space="preserve"> (turpmāk – ministrija)</w:t>
            </w:r>
            <w:r w:rsidRPr="00B748C1">
              <w:t xml:space="preserve"> šim mērķim izveidotas valsts budžeta apakšprogrammas.</w:t>
            </w:r>
          </w:p>
          <w:p w14:paraId="4501B780" w14:textId="1CB784D6" w:rsidR="007001F6" w:rsidRPr="007001F6" w:rsidRDefault="007001F6" w:rsidP="007001F6">
            <w:pPr>
              <w:jc w:val="both"/>
            </w:pPr>
            <w:r>
              <w:t xml:space="preserve">   </w:t>
            </w:r>
            <w:r w:rsidRPr="00B748C1">
              <w:t>Sociā</w:t>
            </w:r>
            <w:r>
              <w:t>lā</w:t>
            </w:r>
            <w:r w:rsidRPr="00B748C1">
              <w:t xml:space="preserve"> atbalst</w:t>
            </w:r>
            <w:r>
              <w:t>a</w:t>
            </w:r>
            <w:r w:rsidRPr="00B748C1">
              <w:t xml:space="preserve"> </w:t>
            </w:r>
            <w:r w:rsidRPr="003B38A4">
              <w:t>apmēru aprēķina saskaņā ar Darba likumā noteikto par vidējās izpeļņas aprēķināšanu un noteikumiem par valsts sociālās apdrošināšanas iemaksu likmes sadalījumu pa valsts sociālās apdrošināšanas veidiem.</w:t>
            </w:r>
          </w:p>
          <w:p w14:paraId="635858DC" w14:textId="107FE8C5" w:rsidR="00C47208" w:rsidRPr="007520D3" w:rsidRDefault="00B30706" w:rsidP="00B30706">
            <w:pPr>
              <w:pStyle w:val="HTMLPreformatted"/>
              <w:jc w:val="both"/>
              <w:rPr>
                <w:rFonts w:ascii="Times New Roman" w:hAnsi="Times New Roman" w:cs="Times New Roman"/>
                <w:sz w:val="28"/>
                <w:szCs w:val="28"/>
              </w:rPr>
            </w:pPr>
            <w:r>
              <w:rPr>
                <w:rFonts w:ascii="Times New Roman" w:eastAsia="Calibri" w:hAnsi="Times New Roman" w:cs="Times New Roman"/>
                <w:sz w:val="24"/>
                <w:szCs w:val="24"/>
              </w:rPr>
              <w:t xml:space="preserve">   </w:t>
            </w:r>
            <w:r w:rsidR="00C47208" w:rsidRPr="007520D3">
              <w:rPr>
                <w:rFonts w:ascii="Times New Roman" w:eastAsia="Calibri" w:hAnsi="Times New Roman" w:cs="Times New Roman"/>
                <w:sz w:val="24"/>
                <w:szCs w:val="24"/>
              </w:rPr>
              <w:t>S</w:t>
            </w:r>
            <w:r w:rsidR="007520D3" w:rsidRPr="007520D3">
              <w:rPr>
                <w:rFonts w:ascii="Times New Roman" w:hAnsi="Times New Roman" w:cs="Times New Roman"/>
                <w:sz w:val="24"/>
                <w:szCs w:val="24"/>
              </w:rPr>
              <w:t xml:space="preserve">ociālais atbalsts triju mēnešu vidējās izpeļņas apmērā tiek izmaksāts ne vēlāk kā trešajā mēnesī pēc darba tiesisko attiecību izbeigšanas, </w:t>
            </w:r>
            <w:proofErr w:type="gramStart"/>
            <w:r w:rsidR="007520D3" w:rsidRPr="007520D3">
              <w:rPr>
                <w:rFonts w:ascii="Times New Roman" w:hAnsi="Times New Roman" w:cs="Times New Roman"/>
                <w:sz w:val="24"/>
                <w:szCs w:val="24"/>
              </w:rPr>
              <w:t>savukārt,</w:t>
            </w:r>
            <w:proofErr w:type="gramEnd"/>
            <w:r w:rsidR="007520D3" w:rsidRPr="007520D3">
              <w:rPr>
                <w:rFonts w:ascii="Times New Roman" w:hAnsi="Times New Roman" w:cs="Times New Roman"/>
                <w:sz w:val="24"/>
                <w:szCs w:val="24"/>
              </w:rPr>
              <w:t xml:space="preserve"> sociālais atbalsts viena mēneša vidējās izpeļņas apmērā tiek izmaksāts attiecīgi ceturtajā, piektajā un sestajā mēnesī pēc darba tiesisko attiecību izbeigšanas, </w:t>
            </w:r>
            <w:r w:rsidR="00C47208" w:rsidRPr="007520D3">
              <w:rPr>
                <w:rFonts w:ascii="Times New Roman" w:eastAsia="Calibri" w:hAnsi="Times New Roman" w:cs="Times New Roman"/>
                <w:sz w:val="24"/>
                <w:szCs w:val="24"/>
              </w:rPr>
              <w:t>j</w:t>
            </w:r>
            <w:r w:rsidR="00C47208" w:rsidRPr="00B748C1">
              <w:rPr>
                <w:rFonts w:ascii="Times New Roman" w:eastAsia="Calibri" w:hAnsi="Times New Roman" w:cs="Times New Roman"/>
                <w:sz w:val="24"/>
                <w:szCs w:val="24"/>
              </w:rPr>
              <w:t xml:space="preserve">a pedagogs </w:t>
            </w:r>
            <w:r w:rsidR="003B38A4">
              <w:rPr>
                <w:rFonts w:ascii="Times New Roman" w:hAnsi="Times New Roman" w:cs="Times New Roman"/>
                <w:sz w:val="24"/>
                <w:szCs w:val="24"/>
              </w:rPr>
              <w:t>negūst ienākumus no algota darba, komercdarbības vai saimnieciskās darbības</w:t>
            </w:r>
            <w:r w:rsidR="007520D3">
              <w:rPr>
                <w:rFonts w:ascii="Times New Roman" w:hAnsi="Times New Roman" w:cs="Times New Roman"/>
                <w:sz w:val="24"/>
                <w:szCs w:val="24"/>
              </w:rPr>
              <w:t>, nesaņem bezdarbnieka pabalstu vai vecuma pensiju.</w:t>
            </w:r>
          </w:p>
          <w:p w14:paraId="2FA533BD" w14:textId="50CFCB90" w:rsidR="00C47208" w:rsidRPr="00B748C1" w:rsidRDefault="003B38A4" w:rsidP="00C47208">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Pēc darba tiesisko attiecību izbeigšanas pedagogs iesniedz iesniegumu pašvaldībā, </w:t>
            </w:r>
            <w:r w:rsidR="007520D3">
              <w:rPr>
                <w:rFonts w:ascii="Times New Roman" w:hAnsi="Times New Roman" w:cs="Times New Roman"/>
                <w:sz w:val="24"/>
                <w:szCs w:val="24"/>
              </w:rPr>
              <w:t xml:space="preserve">kura ir </w:t>
            </w:r>
            <w:r>
              <w:rPr>
                <w:rFonts w:ascii="Times New Roman" w:hAnsi="Times New Roman" w:cs="Times New Roman"/>
                <w:sz w:val="24"/>
                <w:szCs w:val="24"/>
              </w:rPr>
              <w:t>reorganizētā</w:t>
            </w:r>
            <w:r w:rsidR="007520D3">
              <w:rPr>
                <w:rFonts w:ascii="Times New Roman" w:hAnsi="Times New Roman" w:cs="Times New Roman"/>
                <w:sz w:val="24"/>
                <w:szCs w:val="24"/>
              </w:rPr>
              <w:t>s</w:t>
            </w:r>
            <w:r>
              <w:rPr>
                <w:rFonts w:ascii="Times New Roman" w:hAnsi="Times New Roman" w:cs="Times New Roman"/>
                <w:sz w:val="24"/>
                <w:szCs w:val="24"/>
              </w:rPr>
              <w:t xml:space="preserve"> vai likvidētā</w:t>
            </w:r>
            <w:r w:rsidR="007520D3">
              <w:rPr>
                <w:rFonts w:ascii="Times New Roman" w:hAnsi="Times New Roman" w:cs="Times New Roman"/>
                <w:sz w:val="24"/>
                <w:szCs w:val="24"/>
              </w:rPr>
              <w:t>s</w:t>
            </w:r>
            <w:r>
              <w:rPr>
                <w:rFonts w:ascii="Times New Roman" w:hAnsi="Times New Roman" w:cs="Times New Roman"/>
                <w:sz w:val="24"/>
                <w:szCs w:val="24"/>
              </w:rPr>
              <w:t xml:space="preserve"> izglītības iestāde</w:t>
            </w:r>
            <w:r w:rsidR="007520D3">
              <w:rPr>
                <w:rFonts w:ascii="Times New Roman" w:hAnsi="Times New Roman" w:cs="Times New Roman"/>
                <w:sz w:val="24"/>
                <w:szCs w:val="24"/>
              </w:rPr>
              <w:t>s dibinātāja</w:t>
            </w:r>
            <w:r>
              <w:rPr>
                <w:rFonts w:ascii="Times New Roman" w:hAnsi="Times New Roman" w:cs="Times New Roman"/>
                <w:sz w:val="24"/>
                <w:szCs w:val="24"/>
              </w:rPr>
              <w:t>.</w:t>
            </w:r>
            <w:r w:rsidR="00C47208" w:rsidRPr="00B748C1">
              <w:rPr>
                <w:rFonts w:ascii="Times New Roman" w:hAnsi="Times New Roman" w:cs="Times New Roman"/>
                <w:sz w:val="24"/>
                <w:szCs w:val="24"/>
              </w:rPr>
              <w:t xml:space="preserve"> </w:t>
            </w:r>
            <w:r>
              <w:rPr>
                <w:rFonts w:ascii="Times New Roman" w:hAnsi="Times New Roman" w:cs="Times New Roman"/>
                <w:sz w:val="24"/>
                <w:szCs w:val="24"/>
              </w:rPr>
              <w:t>P</w:t>
            </w:r>
            <w:r w:rsidR="00C47208" w:rsidRPr="00B748C1">
              <w:rPr>
                <w:rFonts w:ascii="Times New Roman" w:hAnsi="Times New Roman" w:cs="Times New Roman"/>
                <w:sz w:val="24"/>
                <w:szCs w:val="24"/>
              </w:rPr>
              <w:t>ašvaldība</w:t>
            </w:r>
            <w:r>
              <w:rPr>
                <w:rFonts w:ascii="Times New Roman" w:hAnsi="Times New Roman" w:cs="Times New Roman"/>
                <w:sz w:val="24"/>
                <w:szCs w:val="24"/>
              </w:rPr>
              <w:t xml:space="preserve"> izvērtē</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iesniegumā minētās informācijas atbilstību Izglītības likuma </w:t>
            </w:r>
            <w:r w:rsidR="00C47208" w:rsidRPr="00B748C1">
              <w:rPr>
                <w:rFonts w:ascii="Times New Roman" w:hAnsi="Times New Roman" w:cs="Times New Roman"/>
                <w:sz w:val="24"/>
                <w:szCs w:val="24"/>
              </w:rPr>
              <w:t xml:space="preserve"> </w:t>
            </w:r>
            <w:r w:rsidR="00F60E21">
              <w:rPr>
                <w:rFonts w:ascii="Times New Roman" w:hAnsi="Times New Roman" w:cs="Times New Roman"/>
                <w:sz w:val="24"/>
                <w:szCs w:val="24"/>
              </w:rPr>
              <w:t xml:space="preserve">52.pantā </w:t>
            </w:r>
            <w:r w:rsidR="00696D43">
              <w:rPr>
                <w:rFonts w:ascii="Times New Roman" w:hAnsi="Times New Roman" w:cs="Times New Roman"/>
                <w:sz w:val="24"/>
                <w:szCs w:val="24"/>
              </w:rPr>
              <w:t xml:space="preserve">otrajā un trešajā </w:t>
            </w:r>
            <w:r w:rsidR="00F60E21">
              <w:rPr>
                <w:rFonts w:ascii="Times New Roman" w:hAnsi="Times New Roman" w:cs="Times New Roman"/>
                <w:sz w:val="24"/>
                <w:szCs w:val="24"/>
              </w:rPr>
              <w:t>daļā noteiktajam un pieņem lēmumu par sociālā atbalsta piešķiršanu līdz sešiem mēnešiem. Lai saņemtu sociālo atbalstu ilgāk par trim mēnešiem, pedagogam ik mēnesi jāapliecina atbilstība Izglītības likuma</w:t>
            </w:r>
            <w:proofErr w:type="gramStart"/>
            <w:r w:rsidR="00F60E21">
              <w:rPr>
                <w:rFonts w:ascii="Times New Roman" w:hAnsi="Times New Roman" w:cs="Times New Roman"/>
                <w:sz w:val="24"/>
                <w:szCs w:val="24"/>
              </w:rPr>
              <w:t xml:space="preserve"> </w:t>
            </w:r>
            <w:r w:rsidR="00F60E21" w:rsidRPr="00B748C1">
              <w:rPr>
                <w:rFonts w:ascii="Times New Roman" w:hAnsi="Times New Roman" w:cs="Times New Roman"/>
                <w:sz w:val="24"/>
                <w:szCs w:val="24"/>
              </w:rPr>
              <w:t xml:space="preserve"> </w:t>
            </w:r>
            <w:proofErr w:type="gramEnd"/>
            <w:r w:rsidR="00F60E21">
              <w:rPr>
                <w:rFonts w:ascii="Times New Roman" w:hAnsi="Times New Roman" w:cs="Times New Roman"/>
                <w:sz w:val="24"/>
                <w:szCs w:val="24"/>
              </w:rPr>
              <w:t xml:space="preserve">52.pantā </w:t>
            </w:r>
            <w:r w:rsidR="00696D43">
              <w:rPr>
                <w:rFonts w:ascii="Times New Roman" w:hAnsi="Times New Roman" w:cs="Times New Roman"/>
                <w:sz w:val="24"/>
                <w:szCs w:val="24"/>
              </w:rPr>
              <w:t>otrajā un trešajā daļā</w:t>
            </w:r>
            <w:r w:rsidR="00F60E21">
              <w:rPr>
                <w:rFonts w:ascii="Times New Roman" w:hAnsi="Times New Roman" w:cs="Times New Roman"/>
                <w:sz w:val="24"/>
                <w:szCs w:val="24"/>
              </w:rPr>
              <w:t xml:space="preserve"> noteiktajam.</w:t>
            </w:r>
            <w:r w:rsidR="00A04C8C">
              <w:rPr>
                <w:rFonts w:ascii="Times New Roman" w:hAnsi="Times New Roman" w:cs="Times New Roman"/>
                <w:sz w:val="24"/>
                <w:szCs w:val="24"/>
              </w:rPr>
              <w:t xml:space="preserve"> Ja, sākot ar ceturto mēnesi, pedagogs nav sniedzis apliecinājumu</w:t>
            </w:r>
            <w:r w:rsidR="00F60E21">
              <w:rPr>
                <w:rFonts w:ascii="Times New Roman" w:hAnsi="Times New Roman" w:cs="Times New Roman"/>
                <w:sz w:val="24"/>
                <w:szCs w:val="24"/>
              </w:rPr>
              <w:t xml:space="preserve"> </w:t>
            </w:r>
            <w:r w:rsidR="00A04C8C">
              <w:rPr>
                <w:rFonts w:ascii="Times New Roman" w:hAnsi="Times New Roman" w:cs="Times New Roman"/>
                <w:sz w:val="24"/>
                <w:szCs w:val="24"/>
              </w:rPr>
              <w:t xml:space="preserve">Izglītības likuma </w:t>
            </w:r>
            <w:proofErr w:type="gramStart"/>
            <w:r w:rsidR="00A04C8C">
              <w:rPr>
                <w:rFonts w:ascii="Times New Roman" w:hAnsi="Times New Roman" w:cs="Times New Roman"/>
                <w:sz w:val="24"/>
                <w:szCs w:val="24"/>
              </w:rPr>
              <w:t>52.panta</w:t>
            </w:r>
            <w:proofErr w:type="gramEnd"/>
            <w:r w:rsidR="00A04C8C">
              <w:rPr>
                <w:rFonts w:ascii="Times New Roman" w:hAnsi="Times New Roman" w:cs="Times New Roman"/>
                <w:sz w:val="24"/>
                <w:szCs w:val="24"/>
              </w:rPr>
              <w:t xml:space="preserve"> ceturtajā daļā noteiktajam līdz katra mēneša 3.datumama, viņam </w:t>
            </w:r>
            <w:r w:rsidR="00A04C8C">
              <w:rPr>
                <w:rFonts w:ascii="Times New Roman" w:hAnsi="Times New Roman" w:cs="Times New Roman"/>
                <w:sz w:val="24"/>
                <w:szCs w:val="24"/>
              </w:rPr>
              <w:lastRenderedPageBreak/>
              <w:t xml:space="preserve">sociālā atbalsta izmaksu pārtrauc. </w:t>
            </w:r>
            <w:r w:rsidR="00F60E21">
              <w:rPr>
                <w:rFonts w:ascii="Times New Roman" w:hAnsi="Times New Roman" w:cs="Times New Roman"/>
                <w:sz w:val="24"/>
                <w:szCs w:val="24"/>
              </w:rPr>
              <w:t xml:space="preserve">Pašvaldība </w:t>
            </w:r>
            <w:r w:rsidR="00C47208" w:rsidRPr="00B748C1">
              <w:rPr>
                <w:rFonts w:ascii="Times New Roman" w:hAnsi="Times New Roman" w:cs="Times New Roman"/>
                <w:sz w:val="24"/>
                <w:szCs w:val="24"/>
              </w:rPr>
              <w:t xml:space="preserve">iesniedz ministrijā pieprasījumu sociālā atbalsta </w:t>
            </w:r>
            <w:r w:rsidR="00F60E21">
              <w:rPr>
                <w:rFonts w:ascii="Times New Roman" w:hAnsi="Times New Roman" w:cs="Times New Roman"/>
                <w:sz w:val="24"/>
                <w:szCs w:val="24"/>
              </w:rPr>
              <w:t>finansēšanai</w:t>
            </w:r>
            <w:r w:rsidR="00C47208" w:rsidRPr="00B748C1">
              <w:rPr>
                <w:rFonts w:ascii="Times New Roman" w:hAnsi="Times New Roman" w:cs="Times New Roman"/>
                <w:sz w:val="24"/>
                <w:szCs w:val="24"/>
              </w:rPr>
              <w:t xml:space="preserve"> trim mēnešiem. Par nākamajiem trim mēnešiem pašvaldība iesniedz pieprasījumu ik mēnesi. </w:t>
            </w:r>
          </w:p>
          <w:p w14:paraId="02356476" w14:textId="696D20F5" w:rsidR="00C47208" w:rsidRPr="00B748C1" w:rsidRDefault="00C47208" w:rsidP="00C47208">
            <w:pPr>
              <w:pStyle w:val="HTMLPreformatted"/>
              <w:jc w:val="both"/>
              <w:rPr>
                <w:rFonts w:ascii="Times New Roman" w:hAnsi="Times New Roman" w:cs="Times New Roman"/>
                <w:sz w:val="24"/>
                <w:szCs w:val="24"/>
              </w:rPr>
            </w:pPr>
            <w:r w:rsidRPr="00B748C1">
              <w:rPr>
                <w:rFonts w:ascii="Times New Roman" w:eastAsia="Calibri" w:hAnsi="Times New Roman" w:cs="Times New Roman"/>
                <w:sz w:val="24"/>
                <w:szCs w:val="24"/>
              </w:rPr>
              <w:t xml:space="preserve">Pašvaldība no ministrijas </w:t>
            </w:r>
            <w:r w:rsidRPr="00B748C1">
              <w:rPr>
                <w:rFonts w:ascii="Times New Roman" w:hAnsi="Times New Roman" w:cs="Times New Roman"/>
                <w:sz w:val="24"/>
                <w:szCs w:val="24"/>
              </w:rPr>
              <w:t>saņem finansējumu un</w:t>
            </w:r>
            <w:r w:rsidRPr="00B748C1">
              <w:rPr>
                <w:rFonts w:ascii="Times New Roman" w:eastAsia="Calibri" w:hAnsi="Times New Roman" w:cs="Times New Roman"/>
                <w:sz w:val="24"/>
                <w:szCs w:val="24"/>
              </w:rPr>
              <w:t xml:space="preserve"> </w:t>
            </w:r>
            <w:r w:rsidRPr="00B748C1">
              <w:rPr>
                <w:rFonts w:ascii="Times New Roman" w:hAnsi="Times New Roman" w:cs="Times New Roman"/>
                <w:sz w:val="24"/>
                <w:szCs w:val="24"/>
              </w:rPr>
              <w:t>izmaksā</w:t>
            </w:r>
            <w:r w:rsidR="00696D43">
              <w:rPr>
                <w:rFonts w:ascii="Times New Roman" w:hAnsi="Times New Roman" w:cs="Times New Roman"/>
                <w:sz w:val="24"/>
                <w:szCs w:val="24"/>
              </w:rPr>
              <w:t xml:space="preserve"> </w:t>
            </w:r>
            <w:r w:rsidRPr="00B748C1">
              <w:rPr>
                <w:rFonts w:ascii="Times New Roman" w:hAnsi="Times New Roman" w:cs="Times New Roman"/>
                <w:sz w:val="24"/>
                <w:szCs w:val="24"/>
              </w:rPr>
              <w:t>pedagogam sociālo atbalstu trīs mēnešu apmērā un, sākot ar ceturto mēnesi, atbilstoši kritērijiem vēl trīs mēnešus,</w:t>
            </w:r>
            <w:proofErr w:type="gramStart"/>
            <w:r w:rsidRPr="00B748C1">
              <w:rPr>
                <w:rFonts w:ascii="Times New Roman" w:hAnsi="Times New Roman" w:cs="Times New Roman"/>
                <w:sz w:val="24"/>
                <w:szCs w:val="24"/>
              </w:rPr>
              <w:t xml:space="preserve">  </w:t>
            </w:r>
            <w:proofErr w:type="gramEnd"/>
            <w:r w:rsidRPr="00B748C1">
              <w:rPr>
                <w:rFonts w:ascii="Times New Roman" w:hAnsi="Times New Roman" w:cs="Times New Roman"/>
                <w:sz w:val="24"/>
                <w:szCs w:val="24"/>
              </w:rPr>
              <w:t>izmaksu, kā arī  valsts sociālo apdrošināšanas iemaksu speciālajā budžetā veicot katru mēnesi.</w:t>
            </w:r>
          </w:p>
          <w:p w14:paraId="555BAC27" w14:textId="43F00D50" w:rsidR="00C47208" w:rsidRPr="00B748C1" w:rsidRDefault="00C47208" w:rsidP="00C47208">
            <w:pPr>
              <w:pStyle w:val="HTMLPreformatted"/>
              <w:jc w:val="both"/>
              <w:rPr>
                <w:rFonts w:ascii="Times New Roman" w:eastAsia="Calibri" w:hAnsi="Times New Roman" w:cs="Times New Roman"/>
                <w:sz w:val="24"/>
                <w:szCs w:val="24"/>
              </w:rPr>
            </w:pPr>
            <w:r w:rsidRPr="00B748C1">
              <w:rPr>
                <w:rFonts w:ascii="Times New Roman" w:hAnsi="Times New Roman" w:cs="Times New Roman"/>
                <w:sz w:val="24"/>
                <w:szCs w:val="24"/>
              </w:rPr>
              <w:t>Pašvaldība iesniedz ministrijai atskaiti par izlietoto finansējumu</w:t>
            </w:r>
            <w:r w:rsidRPr="00B748C1">
              <w:rPr>
                <w:rFonts w:ascii="Times New Roman" w:eastAsia="Calibri" w:hAnsi="Times New Roman" w:cs="Times New Roman"/>
                <w:sz w:val="24"/>
                <w:szCs w:val="24"/>
              </w:rPr>
              <w:t xml:space="preserve"> </w:t>
            </w:r>
            <w:r w:rsidRPr="00B748C1">
              <w:rPr>
                <w:rFonts w:ascii="Times New Roman" w:hAnsi="Times New Roman" w:cs="Times New Roman"/>
                <w:sz w:val="24"/>
                <w:szCs w:val="24"/>
              </w:rPr>
              <w:t>viena mēneša laikā pēc sociālā atbalsta izmaksu pabeigšanas</w:t>
            </w:r>
            <w:r w:rsidR="007001F6">
              <w:rPr>
                <w:rFonts w:ascii="Times New Roman" w:hAnsi="Times New Roman" w:cs="Times New Roman"/>
                <w:sz w:val="24"/>
                <w:szCs w:val="24"/>
              </w:rPr>
              <w:t xml:space="preserve"> tās likvidētās vai reorganizētās izglītības iestādes pedagogiem</w:t>
            </w:r>
            <w:r w:rsidRPr="00B748C1">
              <w:rPr>
                <w:rFonts w:ascii="Times New Roman" w:hAnsi="Times New Roman" w:cs="Times New Roman"/>
                <w:sz w:val="24"/>
                <w:szCs w:val="24"/>
              </w:rPr>
              <w:t xml:space="preserve">. </w:t>
            </w:r>
          </w:p>
          <w:p w14:paraId="38E8313B" w14:textId="43E9F0E9" w:rsidR="00C47208" w:rsidRPr="00B748C1" w:rsidRDefault="00C47208" w:rsidP="00C47208">
            <w:pPr>
              <w:widowControl w:val="0"/>
              <w:adjustRightInd w:val="0"/>
              <w:jc w:val="both"/>
              <w:textAlignment w:val="baseline"/>
              <w:rPr>
                <w:bCs/>
                <w:color w:val="000000"/>
              </w:rPr>
            </w:pPr>
            <w:r w:rsidRPr="00B748C1">
              <w:rPr>
                <w:bCs/>
                <w:color w:val="000000"/>
              </w:rPr>
              <w:t>Projektā noteikta arī V</w:t>
            </w:r>
            <w:r w:rsidR="00881C8D">
              <w:rPr>
                <w:bCs/>
                <w:color w:val="000000"/>
              </w:rPr>
              <w:t xml:space="preserve">alsts sociālās </w:t>
            </w:r>
            <w:r w:rsidR="003D3485">
              <w:rPr>
                <w:bCs/>
                <w:color w:val="000000"/>
              </w:rPr>
              <w:t>apdrošināšanas</w:t>
            </w:r>
            <w:r w:rsidR="00881C8D">
              <w:rPr>
                <w:bCs/>
                <w:color w:val="000000"/>
              </w:rPr>
              <w:t xml:space="preserve"> aģentūras (turpmāk – </w:t>
            </w:r>
            <w:r w:rsidR="00FE0C72">
              <w:rPr>
                <w:bCs/>
                <w:color w:val="000000"/>
              </w:rPr>
              <w:t>A</w:t>
            </w:r>
            <w:r w:rsidR="00881C8D">
              <w:rPr>
                <w:bCs/>
                <w:color w:val="000000"/>
              </w:rPr>
              <w:t xml:space="preserve">ģentūra) </w:t>
            </w:r>
            <w:r w:rsidRPr="00B748C1">
              <w:rPr>
                <w:bCs/>
                <w:color w:val="000000"/>
              </w:rPr>
              <w:t xml:space="preserve">dalība valsts </w:t>
            </w:r>
            <w:r w:rsidRPr="00B748C1">
              <w:t>sociālā atbalsta izmaksu administrēšanā. A</w:t>
            </w:r>
            <w:r w:rsidR="00881C8D">
              <w:t>ģentūra</w:t>
            </w:r>
            <w:r w:rsidRPr="00B748C1">
              <w:t xml:space="preserve"> saņem pedagogu</w:t>
            </w:r>
            <w:r w:rsidRPr="00B748C1">
              <w:rPr>
                <w:bCs/>
                <w:color w:val="000000"/>
              </w:rPr>
              <w:t xml:space="preserve"> </w:t>
            </w:r>
            <w:r w:rsidRPr="00B748C1">
              <w:t xml:space="preserve">sarakstu no pašvaldības un pārbauda, vai </w:t>
            </w:r>
            <w:r w:rsidR="00FE0C72">
              <w:t>sarakstā minētie pedagogi jau</w:t>
            </w:r>
            <w:proofErr w:type="gramStart"/>
            <w:r w:rsidR="00FE0C72">
              <w:t xml:space="preserve"> </w:t>
            </w:r>
            <w:r w:rsidRPr="00B748C1">
              <w:t xml:space="preserve"> </w:t>
            </w:r>
            <w:proofErr w:type="gramEnd"/>
            <w:r w:rsidRPr="00B748C1">
              <w:t>nesaņem vecuma pensiju.</w:t>
            </w:r>
          </w:p>
          <w:p w14:paraId="3EB585D7" w14:textId="77777777" w:rsidR="00714A32" w:rsidRDefault="00C47208" w:rsidP="00C47208">
            <w:pPr>
              <w:jc w:val="both"/>
            </w:pPr>
            <w:r w:rsidRPr="00B748C1">
              <w:t>Pēc sociālās apdrošināšanas iemaksu saņemšanas, atbilstoši pašvaldības iesūtītajam sarakstam A</w:t>
            </w:r>
            <w:r w:rsidR="00881C8D">
              <w:t>ģentūra</w:t>
            </w:r>
            <w:r w:rsidRPr="00B748C1">
              <w:t xml:space="preserve"> reģistrē sarakstā minētajiem pedagogiem valsts sociālās apdrošināšanas iemaksu objektu un valsts sociālās apdrošināšanas iemaksas attiecīgajos speciālajos budžetos.</w:t>
            </w:r>
          </w:p>
          <w:p w14:paraId="54DC680A" w14:textId="79BC616A" w:rsidR="00FE0C72" w:rsidRDefault="00FE0C72" w:rsidP="00C47208">
            <w:pPr>
              <w:jc w:val="both"/>
            </w:pPr>
            <w:r>
              <w:t xml:space="preserve">Pēc ministrijas rīcībā esošajiem datiem </w:t>
            </w:r>
            <w:proofErr w:type="gramStart"/>
            <w:r>
              <w:t>2018.gadā</w:t>
            </w:r>
            <w:proofErr w:type="gramEnd"/>
            <w:r>
              <w:t xml:space="preserve">, sākot ar 1.martu plānots reorganizēt vai likvidēt 12 vispārējās pamatizglītības un vispārējās vidējās izglītības iestādes (sniegts ministrijas saskaņojums līdz 2017.gada decembrim).  Šajās izglītības iestādēs pedagogu skaits, kuri potenciāli </w:t>
            </w:r>
            <w:r w:rsidR="00751ECF">
              <w:t>varētu kvalificēties</w:t>
            </w:r>
            <w:r>
              <w:t xml:space="preserve"> sociālā atbalsta saņemšanai</w:t>
            </w:r>
            <w:r w:rsidR="004432DC">
              <w:t>,</w:t>
            </w:r>
            <w:r w:rsidR="00751ECF">
              <w:t xml:space="preserve"> ir </w:t>
            </w:r>
            <w:r w:rsidR="00C04812">
              <w:t>77</w:t>
            </w:r>
            <w:r w:rsidR="00A06CE2">
              <w:t xml:space="preserve"> pedagogi</w:t>
            </w:r>
            <w:r w:rsidR="00751ECF">
              <w:t>.</w:t>
            </w:r>
          </w:p>
          <w:p w14:paraId="269026CB" w14:textId="77777777" w:rsidR="00F60E21" w:rsidRPr="009733BA" w:rsidRDefault="00F60E21" w:rsidP="00881C8D">
            <w:pPr>
              <w:jc w:val="both"/>
              <w:rPr>
                <w:bCs/>
              </w:rPr>
            </w:pPr>
            <w:r>
              <w:t>Pašlaik vēl nav stājies spēkā neviens pašvaldības lēmums par pamat</w:t>
            </w:r>
            <w:r w:rsidR="00881C8D">
              <w:t>iz</w:t>
            </w:r>
            <w:r>
              <w:t>glītības vai vidējās izglītības</w:t>
            </w:r>
            <w:proofErr w:type="gramStart"/>
            <w:r>
              <w:t xml:space="preserve">  </w:t>
            </w:r>
            <w:proofErr w:type="gramEnd"/>
            <w:r w:rsidR="00881C8D">
              <w:t>iestādes reorganizāciju vai slēgšanu.</w:t>
            </w:r>
            <w:r>
              <w:t xml:space="preserve"> </w:t>
            </w:r>
          </w:p>
        </w:tc>
      </w:tr>
      <w:tr w:rsidR="009733BA" w:rsidRPr="009733BA" w14:paraId="3C27E476" w14:textId="77777777" w:rsidTr="002722EC">
        <w:trPr>
          <w:trHeight w:val="465"/>
        </w:trPr>
        <w:tc>
          <w:tcPr>
            <w:tcW w:w="214" w:type="pct"/>
            <w:tcBorders>
              <w:top w:val="outset" w:sz="6" w:space="0" w:color="414142"/>
              <w:left w:val="outset" w:sz="6" w:space="0" w:color="414142"/>
              <w:bottom w:val="outset" w:sz="6" w:space="0" w:color="414142"/>
              <w:right w:val="outset" w:sz="6" w:space="0" w:color="414142"/>
            </w:tcBorders>
            <w:hideMark/>
          </w:tcPr>
          <w:p w14:paraId="7183881D" w14:textId="6DE99325" w:rsidR="001E7BB8" w:rsidRPr="009733BA" w:rsidRDefault="00F31B5C" w:rsidP="001E7BB8">
            <w:pPr>
              <w:rPr>
                <w:rFonts w:eastAsiaTheme="minorHAnsi"/>
                <w:szCs w:val="22"/>
                <w:lang w:eastAsia="en-US"/>
              </w:rPr>
            </w:pPr>
            <w:r w:rsidRPr="009733BA">
              <w:rPr>
                <w:rFonts w:eastAsiaTheme="minorHAnsi"/>
                <w:szCs w:val="22"/>
                <w:lang w:eastAsia="en-US"/>
              </w:rPr>
              <w:lastRenderedPageBreak/>
              <w:t>3.</w:t>
            </w:r>
          </w:p>
        </w:tc>
        <w:tc>
          <w:tcPr>
            <w:tcW w:w="1237" w:type="pct"/>
            <w:tcBorders>
              <w:top w:val="outset" w:sz="6" w:space="0" w:color="414142"/>
              <w:left w:val="outset" w:sz="6" w:space="0" w:color="414142"/>
              <w:bottom w:val="outset" w:sz="6" w:space="0" w:color="414142"/>
              <w:right w:val="outset" w:sz="6" w:space="0" w:color="414142"/>
            </w:tcBorders>
            <w:hideMark/>
          </w:tcPr>
          <w:p w14:paraId="5E09A95C" w14:textId="4B3F4701" w:rsidR="001E7BB8" w:rsidRPr="009733BA" w:rsidRDefault="001E7BB8" w:rsidP="004227A3">
            <w:pPr>
              <w:rPr>
                <w:rFonts w:eastAsiaTheme="minorHAnsi"/>
                <w:szCs w:val="22"/>
                <w:lang w:eastAsia="en-US"/>
              </w:rPr>
            </w:pPr>
            <w:r w:rsidRPr="009733BA">
              <w:rPr>
                <w:rFonts w:eastAsiaTheme="minorHAnsi"/>
                <w:szCs w:val="22"/>
                <w:lang w:eastAsia="en-US"/>
              </w:rPr>
              <w:t>Projekta izstrādē iesaistītās institūcijas</w:t>
            </w:r>
            <w:r w:rsidR="004227A3">
              <w:rPr>
                <w:rFonts w:eastAsiaTheme="minorHAnsi"/>
                <w:szCs w:val="22"/>
                <w:lang w:eastAsia="en-US"/>
              </w:rPr>
              <w:t xml:space="preserve"> un publiskas personas, kapitālsabiedrības</w:t>
            </w:r>
          </w:p>
        </w:tc>
        <w:tc>
          <w:tcPr>
            <w:tcW w:w="3549" w:type="pct"/>
            <w:tcBorders>
              <w:top w:val="outset" w:sz="6" w:space="0" w:color="414142"/>
              <w:left w:val="outset" w:sz="6" w:space="0" w:color="414142"/>
              <w:bottom w:val="outset" w:sz="6" w:space="0" w:color="414142"/>
              <w:right w:val="outset" w:sz="6" w:space="0" w:color="414142"/>
            </w:tcBorders>
            <w:hideMark/>
          </w:tcPr>
          <w:p w14:paraId="33B323B0" w14:textId="77777777" w:rsidR="001E7BB8" w:rsidRPr="009733BA" w:rsidRDefault="00881C8D" w:rsidP="001E7BB8">
            <w:pPr>
              <w:rPr>
                <w:rFonts w:eastAsiaTheme="minorHAnsi"/>
                <w:szCs w:val="22"/>
                <w:lang w:eastAsia="en-US"/>
              </w:rPr>
            </w:pPr>
            <w:r>
              <w:rPr>
                <w:rFonts w:eastAsiaTheme="minorHAnsi"/>
                <w:szCs w:val="22"/>
                <w:lang w:eastAsia="en-US"/>
              </w:rPr>
              <w:t xml:space="preserve"> </w:t>
            </w:r>
            <w:r w:rsidR="001E7BB8" w:rsidRPr="009733BA">
              <w:rPr>
                <w:rFonts w:eastAsiaTheme="minorHAnsi"/>
                <w:szCs w:val="22"/>
                <w:lang w:eastAsia="en-US"/>
              </w:rPr>
              <w:t>Ministrija.</w:t>
            </w:r>
          </w:p>
          <w:p w14:paraId="7A6CD4AD" w14:textId="77777777" w:rsidR="001E7BB8" w:rsidRPr="009733BA" w:rsidRDefault="001E7BB8" w:rsidP="001E7BB8">
            <w:pPr>
              <w:rPr>
                <w:rFonts w:eastAsiaTheme="minorHAnsi"/>
                <w:szCs w:val="22"/>
                <w:lang w:eastAsia="en-US"/>
              </w:rPr>
            </w:pPr>
          </w:p>
        </w:tc>
      </w:tr>
      <w:tr w:rsidR="003F1F13" w:rsidRPr="009733BA" w14:paraId="58CB4F85" w14:textId="77777777" w:rsidTr="002722EC">
        <w:tc>
          <w:tcPr>
            <w:tcW w:w="214" w:type="pct"/>
            <w:tcBorders>
              <w:top w:val="outset" w:sz="6" w:space="0" w:color="414142"/>
              <w:left w:val="outset" w:sz="6" w:space="0" w:color="414142"/>
              <w:bottom w:val="outset" w:sz="6" w:space="0" w:color="414142"/>
              <w:right w:val="outset" w:sz="6" w:space="0" w:color="414142"/>
            </w:tcBorders>
            <w:hideMark/>
          </w:tcPr>
          <w:p w14:paraId="61746732" w14:textId="77777777" w:rsidR="001E7BB8" w:rsidRPr="009733BA" w:rsidRDefault="001E7BB8" w:rsidP="001E7BB8">
            <w:pPr>
              <w:rPr>
                <w:rFonts w:eastAsiaTheme="minorHAnsi"/>
                <w:szCs w:val="22"/>
                <w:lang w:eastAsia="en-US"/>
              </w:rPr>
            </w:pPr>
            <w:r w:rsidRPr="009733BA">
              <w:rPr>
                <w:rFonts w:eastAsiaTheme="minorHAnsi"/>
                <w:szCs w:val="22"/>
                <w:lang w:eastAsia="en-US"/>
              </w:rPr>
              <w:t>4.</w:t>
            </w:r>
          </w:p>
        </w:tc>
        <w:tc>
          <w:tcPr>
            <w:tcW w:w="1237" w:type="pct"/>
            <w:tcBorders>
              <w:top w:val="outset" w:sz="6" w:space="0" w:color="414142"/>
              <w:left w:val="outset" w:sz="6" w:space="0" w:color="414142"/>
              <w:bottom w:val="outset" w:sz="6" w:space="0" w:color="414142"/>
              <w:right w:val="outset" w:sz="6" w:space="0" w:color="414142"/>
            </w:tcBorders>
            <w:hideMark/>
          </w:tcPr>
          <w:p w14:paraId="49A7CB52" w14:textId="77777777" w:rsidR="001E7BB8" w:rsidRPr="009733BA" w:rsidRDefault="001E7BB8" w:rsidP="001E7BB8">
            <w:pPr>
              <w:jc w:val="both"/>
              <w:rPr>
                <w:rFonts w:eastAsiaTheme="minorHAnsi"/>
                <w:szCs w:val="22"/>
                <w:lang w:eastAsia="en-US"/>
              </w:rPr>
            </w:pPr>
            <w:r w:rsidRPr="009733BA">
              <w:rPr>
                <w:rFonts w:eastAsiaTheme="minorHAnsi"/>
                <w:szCs w:val="22"/>
                <w:lang w:eastAsia="en-US"/>
              </w:rPr>
              <w:t>Cita informācija</w:t>
            </w:r>
          </w:p>
        </w:tc>
        <w:tc>
          <w:tcPr>
            <w:tcW w:w="3549" w:type="pct"/>
            <w:tcBorders>
              <w:top w:val="outset" w:sz="6" w:space="0" w:color="414142"/>
              <w:left w:val="outset" w:sz="6" w:space="0" w:color="414142"/>
              <w:bottom w:val="outset" w:sz="6" w:space="0" w:color="414142"/>
              <w:right w:val="outset" w:sz="6" w:space="0" w:color="414142"/>
            </w:tcBorders>
            <w:hideMark/>
          </w:tcPr>
          <w:p w14:paraId="452FE0AE" w14:textId="77777777" w:rsidR="001E7BB8" w:rsidRPr="009733BA" w:rsidRDefault="003F1F13" w:rsidP="001E7BB8">
            <w:pPr>
              <w:jc w:val="both"/>
              <w:rPr>
                <w:rFonts w:eastAsiaTheme="minorHAnsi"/>
                <w:szCs w:val="22"/>
                <w:lang w:eastAsia="en-US"/>
              </w:rPr>
            </w:pPr>
            <w:r w:rsidRPr="009733BA">
              <w:rPr>
                <w:rFonts w:eastAsiaTheme="minorHAnsi"/>
                <w:szCs w:val="22"/>
                <w:lang w:eastAsia="en-US"/>
              </w:rPr>
              <w:t xml:space="preserve">    </w:t>
            </w:r>
            <w:r w:rsidR="001E7BB8" w:rsidRPr="009733BA">
              <w:rPr>
                <w:rFonts w:eastAsiaTheme="minorHAnsi"/>
                <w:szCs w:val="22"/>
                <w:lang w:eastAsia="en-US"/>
              </w:rPr>
              <w:t>Nav</w:t>
            </w:r>
            <w:r w:rsidRPr="009733BA">
              <w:rPr>
                <w:rFonts w:eastAsiaTheme="minorHAnsi"/>
                <w:szCs w:val="22"/>
                <w:lang w:eastAsia="en-US"/>
              </w:rPr>
              <w:t>.</w:t>
            </w:r>
          </w:p>
        </w:tc>
      </w:tr>
    </w:tbl>
    <w:tbl>
      <w:tblPr>
        <w:tblpPr w:leftFromText="180" w:rightFromText="180" w:vertAnchor="text" w:horzAnchor="margin" w:tblpX="-365" w:tblpY="219"/>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30"/>
      </w:tblGrid>
      <w:tr w:rsidR="009733BA" w:rsidRPr="009733BA" w14:paraId="70E53B8B" w14:textId="77777777" w:rsidTr="002722EC">
        <w:trPr>
          <w:trHeight w:val="331"/>
        </w:trPr>
        <w:tc>
          <w:tcPr>
            <w:tcW w:w="10530" w:type="dxa"/>
          </w:tcPr>
          <w:p w14:paraId="0AB69921" w14:textId="77777777" w:rsidR="00B84367" w:rsidRPr="009733BA" w:rsidRDefault="00B84367" w:rsidP="008D6F57">
            <w:pPr>
              <w:ind w:left="421"/>
              <w:jc w:val="center"/>
              <w:rPr>
                <w:b/>
                <w:bCs/>
              </w:rPr>
            </w:pPr>
            <w:r>
              <w:rPr>
                <w:b/>
                <w:bCs/>
              </w:rPr>
              <w:t>II</w:t>
            </w:r>
            <w:r w:rsidRPr="009733BA">
              <w:rPr>
                <w:b/>
                <w:bCs/>
              </w:rPr>
              <w:t xml:space="preserve">. Tiesību akta projekta ietekme uz sabiedrību, tautsaimniecības attīstību </w:t>
            </w:r>
          </w:p>
          <w:p w14:paraId="1A1D4B7A" w14:textId="77777777" w:rsidR="00C76CD3" w:rsidRPr="009733BA" w:rsidRDefault="00B84367" w:rsidP="008D6F57">
            <w:pPr>
              <w:jc w:val="center"/>
            </w:pPr>
            <w:r w:rsidRPr="009733BA">
              <w:rPr>
                <w:b/>
                <w:bCs/>
              </w:rPr>
              <w:t>un administratīvo slogu</w:t>
            </w:r>
          </w:p>
        </w:tc>
      </w:tr>
    </w:tbl>
    <w:tbl>
      <w:tblPr>
        <w:tblW w:w="5608" w:type="pct"/>
        <w:tblInd w:w="-36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5"/>
        <w:gridCol w:w="2626"/>
        <w:gridCol w:w="7535"/>
      </w:tblGrid>
      <w:tr w:rsidR="00B84367" w:rsidRPr="00DA397C" w14:paraId="4F67D0EE" w14:textId="77777777" w:rsidTr="002722EC">
        <w:trPr>
          <w:trHeight w:val="465"/>
        </w:trPr>
        <w:tc>
          <w:tcPr>
            <w:tcW w:w="214" w:type="pct"/>
            <w:tcBorders>
              <w:top w:val="outset" w:sz="6" w:space="0" w:color="414142"/>
              <w:left w:val="outset" w:sz="6" w:space="0" w:color="414142"/>
              <w:bottom w:val="outset" w:sz="6" w:space="0" w:color="414142"/>
              <w:right w:val="outset" w:sz="6" w:space="0" w:color="414142"/>
            </w:tcBorders>
            <w:hideMark/>
          </w:tcPr>
          <w:p w14:paraId="252A347D" w14:textId="77777777" w:rsidR="00B84367" w:rsidRPr="00DA397C" w:rsidRDefault="00B84367" w:rsidP="006C50CB">
            <w:pPr>
              <w:jc w:val="both"/>
            </w:pPr>
            <w:r w:rsidRPr="00DA397C">
              <w:t>1.</w:t>
            </w:r>
          </w:p>
        </w:tc>
        <w:tc>
          <w:tcPr>
            <w:tcW w:w="1237" w:type="pct"/>
            <w:tcBorders>
              <w:top w:val="outset" w:sz="6" w:space="0" w:color="414142"/>
              <w:left w:val="outset" w:sz="6" w:space="0" w:color="414142"/>
              <w:bottom w:val="outset" w:sz="6" w:space="0" w:color="414142"/>
              <w:right w:val="outset" w:sz="6" w:space="0" w:color="414142"/>
            </w:tcBorders>
            <w:hideMark/>
          </w:tcPr>
          <w:p w14:paraId="5F2C75F3" w14:textId="77777777" w:rsidR="00B84367" w:rsidRPr="00DA397C" w:rsidRDefault="00B84367" w:rsidP="006C50CB">
            <w:pPr>
              <w:jc w:val="both"/>
            </w:pPr>
            <w:r w:rsidRPr="00DA397C">
              <w:t>Sabiedrības mērķgrupas,</w:t>
            </w:r>
          </w:p>
          <w:p w14:paraId="47B5E39D" w14:textId="77777777" w:rsidR="00B84367" w:rsidRPr="00DA397C" w:rsidRDefault="00B84367" w:rsidP="006C50CB">
            <w:pPr>
              <w:jc w:val="both"/>
            </w:pPr>
            <w:r w:rsidRPr="00DA397C">
              <w:t>kuras tiesiskais regulējums ietekmē vai varētu ietekmēt</w:t>
            </w:r>
          </w:p>
        </w:tc>
        <w:tc>
          <w:tcPr>
            <w:tcW w:w="3549" w:type="pct"/>
            <w:tcBorders>
              <w:top w:val="outset" w:sz="6" w:space="0" w:color="414142"/>
              <w:left w:val="outset" w:sz="6" w:space="0" w:color="414142"/>
              <w:bottom w:val="outset" w:sz="6" w:space="0" w:color="414142"/>
              <w:right w:val="outset" w:sz="6" w:space="0" w:color="414142"/>
            </w:tcBorders>
            <w:hideMark/>
          </w:tcPr>
          <w:p w14:paraId="27E9CCF0" w14:textId="5D511025" w:rsidR="00B84367" w:rsidRPr="00004AAA" w:rsidRDefault="00B30706" w:rsidP="00004AAA">
            <w:pPr>
              <w:widowControl w:val="0"/>
              <w:adjustRightInd w:val="0"/>
              <w:jc w:val="both"/>
              <w:textAlignment w:val="baseline"/>
              <w:rPr>
                <w:rFonts w:eastAsia="Calibri"/>
              </w:rPr>
            </w:pPr>
            <w:r>
              <w:rPr>
                <w:bCs/>
                <w:color w:val="000000"/>
              </w:rPr>
              <w:t xml:space="preserve">   </w:t>
            </w:r>
            <w:r w:rsidR="007520D3" w:rsidRPr="00B748C1">
              <w:rPr>
                <w:bCs/>
                <w:color w:val="000000"/>
              </w:rPr>
              <w:t>Projekts paredz sniegt valsts sociālo atbalstu tiem pedagogiem,</w:t>
            </w:r>
            <w:proofErr w:type="gramStart"/>
            <w:r w:rsidR="007520D3" w:rsidRPr="00B748C1">
              <w:rPr>
                <w:bCs/>
                <w:color w:val="000000"/>
              </w:rPr>
              <w:t xml:space="preserve"> </w:t>
            </w:r>
            <w:r w:rsidR="007520D3" w:rsidRPr="00B748C1">
              <w:rPr>
                <w:rFonts w:eastAsia="Calibri"/>
              </w:rPr>
              <w:t xml:space="preserve"> </w:t>
            </w:r>
            <w:proofErr w:type="gramEnd"/>
            <w:r w:rsidR="007520D3" w:rsidRPr="00B748C1">
              <w:rPr>
                <w:rFonts w:eastAsia="Calibri"/>
              </w:rPr>
              <w:t xml:space="preserve">kuriem līdz pensionēšanās vecuma sasniegšanai </w:t>
            </w:r>
            <w:r w:rsidR="007520D3">
              <w:rPr>
                <w:rFonts w:eastAsia="Calibri"/>
              </w:rPr>
              <w:t>ir</w:t>
            </w:r>
            <w:r w:rsidR="007520D3" w:rsidRPr="00B748C1">
              <w:rPr>
                <w:rFonts w:eastAsia="Calibri"/>
              </w:rPr>
              <w:t xml:space="preserve"> </w:t>
            </w:r>
            <w:r w:rsidR="007520D3">
              <w:rPr>
                <w:rFonts w:eastAsia="Calibri"/>
              </w:rPr>
              <w:t xml:space="preserve">mazāk </w:t>
            </w:r>
            <w:r w:rsidR="007520D3" w:rsidRPr="00B748C1">
              <w:rPr>
                <w:rFonts w:eastAsia="Calibri"/>
              </w:rPr>
              <w:t xml:space="preserve"> </w:t>
            </w:r>
            <w:r w:rsidR="007520D3">
              <w:rPr>
                <w:rFonts w:eastAsia="Calibri"/>
              </w:rPr>
              <w:t>ne</w:t>
            </w:r>
            <w:r w:rsidR="007520D3" w:rsidRPr="00B748C1">
              <w:rPr>
                <w:rFonts w:eastAsia="Calibri"/>
              </w:rPr>
              <w:t>kā trīs gadi</w:t>
            </w:r>
            <w:r w:rsidR="007520D3">
              <w:rPr>
                <w:rFonts w:eastAsia="Calibri"/>
              </w:rPr>
              <w:t xml:space="preserve"> un kopējais pedagoga darba stāžs valsts un pašvaldības izglītības iestādēs, kas īsteno vispārējās izglītības programmas, ir vismaz 25 gadi, tai skaitā pēdējie pieci gadi pirms izglītības iestādes likvidācijas vai reorganizācijas nostrādāti pašvaldības izglītības iestādē</w:t>
            </w:r>
            <w:r w:rsidR="007520D3" w:rsidRPr="00B748C1">
              <w:rPr>
                <w:rFonts w:eastAsia="Calibri"/>
              </w:rPr>
              <w:t>,</w:t>
            </w:r>
            <w:r w:rsidR="007520D3">
              <w:rPr>
                <w:rFonts w:eastAsia="Calibri"/>
              </w:rPr>
              <w:t xml:space="preserve"> kas īsteno vispārējās pamatizglītības vai vispārējās vidējās izglītības  </w:t>
            </w:r>
            <w:r w:rsidR="007520D3" w:rsidRPr="00B748C1">
              <w:rPr>
                <w:rFonts w:eastAsia="Calibri"/>
              </w:rPr>
              <w:t xml:space="preserve"> </w:t>
            </w:r>
            <w:r w:rsidR="007520D3">
              <w:rPr>
                <w:rFonts w:eastAsia="Calibri"/>
              </w:rPr>
              <w:t>programmas.</w:t>
            </w:r>
          </w:p>
        </w:tc>
      </w:tr>
      <w:tr w:rsidR="00B84367" w:rsidRPr="00DA397C" w14:paraId="5B4F270A" w14:textId="77777777" w:rsidTr="002722EC">
        <w:trPr>
          <w:trHeight w:val="510"/>
        </w:trPr>
        <w:tc>
          <w:tcPr>
            <w:tcW w:w="214" w:type="pct"/>
            <w:tcBorders>
              <w:top w:val="outset" w:sz="6" w:space="0" w:color="414142"/>
              <w:left w:val="outset" w:sz="6" w:space="0" w:color="414142"/>
              <w:bottom w:val="outset" w:sz="6" w:space="0" w:color="414142"/>
              <w:right w:val="outset" w:sz="6" w:space="0" w:color="414142"/>
            </w:tcBorders>
            <w:hideMark/>
          </w:tcPr>
          <w:p w14:paraId="5CC707B6" w14:textId="77777777" w:rsidR="00B84367" w:rsidRPr="00DA397C" w:rsidRDefault="00B84367" w:rsidP="006C50CB">
            <w:pPr>
              <w:jc w:val="both"/>
            </w:pPr>
            <w:r w:rsidRPr="00DA397C">
              <w:t>2.</w:t>
            </w:r>
          </w:p>
        </w:tc>
        <w:tc>
          <w:tcPr>
            <w:tcW w:w="1237" w:type="pct"/>
            <w:tcBorders>
              <w:top w:val="outset" w:sz="6" w:space="0" w:color="414142"/>
              <w:left w:val="outset" w:sz="6" w:space="0" w:color="414142"/>
              <w:bottom w:val="outset" w:sz="6" w:space="0" w:color="414142"/>
              <w:right w:val="outset" w:sz="6" w:space="0" w:color="414142"/>
            </w:tcBorders>
            <w:hideMark/>
          </w:tcPr>
          <w:p w14:paraId="5A7FB55F" w14:textId="77777777" w:rsidR="00B84367" w:rsidRPr="00DA397C" w:rsidRDefault="00B84367" w:rsidP="006C50CB">
            <w:pPr>
              <w:jc w:val="both"/>
            </w:pPr>
            <w:r w:rsidRPr="00DA397C">
              <w:t>Tiesiskā regulējuma ietekme uz tautsaimniecību un administratīvo slogu</w:t>
            </w:r>
          </w:p>
        </w:tc>
        <w:tc>
          <w:tcPr>
            <w:tcW w:w="3549" w:type="pct"/>
            <w:tcBorders>
              <w:top w:val="outset" w:sz="6" w:space="0" w:color="414142"/>
              <w:left w:val="outset" w:sz="6" w:space="0" w:color="414142"/>
              <w:bottom w:val="outset" w:sz="6" w:space="0" w:color="414142"/>
              <w:right w:val="outset" w:sz="6" w:space="0" w:color="414142"/>
            </w:tcBorders>
            <w:hideMark/>
          </w:tcPr>
          <w:p w14:paraId="705DD8B2" w14:textId="3CAF34FF" w:rsidR="00B84367" w:rsidRPr="00DA397C" w:rsidRDefault="00B30706" w:rsidP="00004AAA">
            <w:pPr>
              <w:jc w:val="both"/>
            </w:pPr>
            <w:r>
              <w:t xml:space="preserve">   </w:t>
            </w:r>
            <w:r w:rsidR="00B84367" w:rsidRPr="00DA397C">
              <w:t xml:space="preserve">Projekts </w:t>
            </w:r>
            <w:r w:rsidR="00B84367">
              <w:t>nerada vērā ņemamu ietekmi uz tautsaimniecību, jo to pedagogu skaits,</w:t>
            </w:r>
            <w:r w:rsidR="00B84367" w:rsidRPr="00B748C1">
              <w:t xml:space="preserve"> kuri izglītības iestādes reorganizācijas vai likvidācijas gadījumā zaudēs darbu</w:t>
            </w:r>
            <w:r w:rsidR="00B84367">
              <w:t xml:space="preserve"> un kuriem līdz pensijas vecuma sasniegšanai atlikuši</w:t>
            </w:r>
            <w:r w:rsidR="004432DC">
              <w:t xml:space="preserve"> mazāk nekā</w:t>
            </w:r>
            <w:r w:rsidR="00B84367">
              <w:t xml:space="preserve"> trīs gadi, visā valstī ir ap</w:t>
            </w:r>
            <w:r w:rsidR="002E7FD4">
              <w:t>tuveni</w:t>
            </w:r>
            <w:r w:rsidR="00B84367">
              <w:t xml:space="preserve"> </w:t>
            </w:r>
            <w:r w:rsidR="00004AAA">
              <w:t>četr</w:t>
            </w:r>
            <w:r w:rsidR="00B84367">
              <w:t>d</w:t>
            </w:r>
            <w:r w:rsidR="002E7FD4">
              <w:t>e</w:t>
            </w:r>
            <w:r w:rsidR="00B84367">
              <w:t xml:space="preserve">smit </w:t>
            </w:r>
            <w:r w:rsidR="002E7FD4">
              <w:t>viena gada laikā</w:t>
            </w:r>
            <w:r w:rsidR="00B84367" w:rsidRPr="00DA397C">
              <w:t>.</w:t>
            </w:r>
            <w:r w:rsidR="009D68B2">
              <w:t xml:space="preserve"> </w:t>
            </w:r>
          </w:p>
        </w:tc>
      </w:tr>
      <w:tr w:rsidR="00B84367" w:rsidRPr="00DA397C" w14:paraId="1EBF1FA5" w14:textId="77777777" w:rsidTr="002722EC">
        <w:trPr>
          <w:trHeight w:val="510"/>
        </w:trPr>
        <w:tc>
          <w:tcPr>
            <w:tcW w:w="214" w:type="pct"/>
            <w:tcBorders>
              <w:top w:val="outset" w:sz="6" w:space="0" w:color="414142"/>
              <w:left w:val="outset" w:sz="6" w:space="0" w:color="414142"/>
              <w:bottom w:val="outset" w:sz="6" w:space="0" w:color="414142"/>
              <w:right w:val="outset" w:sz="6" w:space="0" w:color="414142"/>
            </w:tcBorders>
            <w:hideMark/>
          </w:tcPr>
          <w:p w14:paraId="06998693" w14:textId="77777777" w:rsidR="00B84367" w:rsidRPr="00DA397C" w:rsidRDefault="00B84367" w:rsidP="006C50CB">
            <w:pPr>
              <w:jc w:val="both"/>
            </w:pPr>
            <w:r w:rsidRPr="00DA397C">
              <w:lastRenderedPageBreak/>
              <w:t>3.</w:t>
            </w:r>
          </w:p>
        </w:tc>
        <w:tc>
          <w:tcPr>
            <w:tcW w:w="1237" w:type="pct"/>
            <w:tcBorders>
              <w:top w:val="outset" w:sz="6" w:space="0" w:color="414142"/>
              <w:left w:val="outset" w:sz="6" w:space="0" w:color="414142"/>
              <w:bottom w:val="outset" w:sz="6" w:space="0" w:color="414142"/>
              <w:right w:val="outset" w:sz="6" w:space="0" w:color="414142"/>
            </w:tcBorders>
            <w:hideMark/>
          </w:tcPr>
          <w:p w14:paraId="4ACC6402" w14:textId="77777777" w:rsidR="00B84367" w:rsidRPr="00DA397C" w:rsidRDefault="00B84367" w:rsidP="006C50CB">
            <w:pPr>
              <w:jc w:val="both"/>
            </w:pPr>
            <w:r w:rsidRPr="00DA397C">
              <w:t>Administratīvo izmaksu monetārs novērtējums</w:t>
            </w:r>
          </w:p>
        </w:tc>
        <w:tc>
          <w:tcPr>
            <w:tcW w:w="3549" w:type="pct"/>
            <w:tcBorders>
              <w:top w:val="outset" w:sz="6" w:space="0" w:color="414142"/>
              <w:left w:val="outset" w:sz="6" w:space="0" w:color="414142"/>
              <w:bottom w:val="outset" w:sz="6" w:space="0" w:color="414142"/>
              <w:right w:val="outset" w:sz="6" w:space="0" w:color="414142"/>
            </w:tcBorders>
            <w:hideMark/>
          </w:tcPr>
          <w:p w14:paraId="2FFCBC50" w14:textId="24886400" w:rsidR="003F4196" w:rsidRPr="00C04812" w:rsidRDefault="00B30706" w:rsidP="00C04812">
            <w:pPr>
              <w:rPr>
                <w:color w:val="1F497D"/>
                <w:sz w:val="22"/>
                <w:szCs w:val="22"/>
              </w:rPr>
            </w:pPr>
            <w:r>
              <w:t xml:space="preserve">   </w:t>
            </w:r>
            <w:r w:rsidR="003F4196" w:rsidRPr="007D27A6">
              <w:t>P</w:t>
            </w:r>
            <w:r w:rsidR="003F4196">
              <w:t>rovizoriski pēc ministrijas rīcībā esošās informācijas,</w:t>
            </w:r>
            <w:proofErr w:type="gramStart"/>
            <w:r w:rsidR="003F4196">
              <w:t xml:space="preserve">  </w:t>
            </w:r>
            <w:proofErr w:type="gramEnd"/>
            <w:r w:rsidR="003F4196">
              <w:t xml:space="preserve">sākot ar 2018.gada 1.martu  uz sociālo atbalstu varētu pretendēt vidēji </w:t>
            </w:r>
            <w:r w:rsidR="00C04812">
              <w:t>77</w:t>
            </w:r>
            <w:r w:rsidR="003F4196">
              <w:t xml:space="preserve"> pedagogi</w:t>
            </w:r>
            <w:r w:rsidR="003F4196" w:rsidRPr="007D27A6">
              <w:t>.</w:t>
            </w:r>
            <w:r w:rsidR="00C04812">
              <w:t xml:space="preserve"> Attiecīgi </w:t>
            </w:r>
            <w:proofErr w:type="gramStart"/>
            <w:r w:rsidR="00C04812">
              <w:t>2019.gadā</w:t>
            </w:r>
            <w:proofErr w:type="gramEnd"/>
            <w:r w:rsidR="00C04812">
              <w:t xml:space="preserve"> – 87, bet 2020.gad</w:t>
            </w:r>
            <w:r w:rsidR="004E3F43">
              <w:t xml:space="preserve">ā 60 pedagogi, </w:t>
            </w:r>
            <w:proofErr w:type="spellStart"/>
            <w:r w:rsidR="004E3F43">
              <w:t>vidēj</w:t>
            </w:r>
            <w:proofErr w:type="spellEnd"/>
            <w:r w:rsidR="004E3F43">
              <w:t xml:space="preserve"> – 75 pedagogi gadā.</w:t>
            </w:r>
            <w:r w:rsidR="00C04812">
              <w:rPr>
                <w:color w:val="1F497D"/>
              </w:rPr>
              <w:t xml:space="preserve"> </w:t>
            </w:r>
          </w:p>
          <w:p w14:paraId="0DD1163E" w14:textId="77777777" w:rsidR="003F4196" w:rsidRPr="007D27A6" w:rsidRDefault="003F4196" w:rsidP="003F4196">
            <w:pPr>
              <w:jc w:val="both"/>
            </w:pPr>
            <w:r w:rsidRPr="007D27A6">
              <w:rPr>
                <w:u w:val="single"/>
              </w:rPr>
              <w:t>Iesnieguma sagatavošana vienam pedagogam</w:t>
            </w:r>
            <w:r w:rsidRPr="007D27A6">
              <w:t>:</w:t>
            </w:r>
          </w:p>
          <w:p w14:paraId="294EFF73" w14:textId="11283514" w:rsidR="003F4196" w:rsidRPr="001640C7" w:rsidRDefault="003F4196" w:rsidP="003F4196">
            <w:pPr>
              <w:numPr>
                <w:ilvl w:val="0"/>
                <w:numId w:val="2"/>
              </w:numPr>
              <w:jc w:val="both"/>
            </w:pPr>
            <w:r w:rsidRPr="001640C7">
              <w:t xml:space="preserve"> kanceleja (toneris, papīrs) =</w:t>
            </w:r>
            <w:proofErr w:type="gramStart"/>
            <w:r w:rsidRPr="001640C7">
              <w:t xml:space="preserve">  </w:t>
            </w:r>
            <w:proofErr w:type="gramEnd"/>
            <w:r w:rsidRPr="001640C7">
              <w:t xml:space="preserve">0,05 </w:t>
            </w:r>
            <w:proofErr w:type="spellStart"/>
            <w:r w:rsidR="00004AAA" w:rsidRPr="00004AAA">
              <w:rPr>
                <w:i/>
              </w:rPr>
              <w:t>euro</w:t>
            </w:r>
            <w:proofErr w:type="spellEnd"/>
          </w:p>
          <w:p w14:paraId="56AA97B9" w14:textId="76DED2FC" w:rsidR="003F4196" w:rsidRPr="001640C7" w:rsidRDefault="003F4196" w:rsidP="003F4196">
            <w:pPr>
              <w:jc w:val="both"/>
            </w:pPr>
            <w:r w:rsidRPr="001640C7">
              <w:t xml:space="preserve">Printera </w:t>
            </w:r>
            <w:proofErr w:type="spellStart"/>
            <w:r w:rsidRPr="001640C7">
              <w:t>Epson</w:t>
            </w:r>
            <w:proofErr w:type="spellEnd"/>
            <w:r w:rsidRPr="001640C7">
              <w:t xml:space="preserve"> </w:t>
            </w:r>
            <w:proofErr w:type="spellStart"/>
            <w:r w:rsidRPr="001640C7">
              <w:t>AcuLaser</w:t>
            </w:r>
            <w:proofErr w:type="spellEnd"/>
            <w:r w:rsidRPr="001640C7">
              <w:t xml:space="preserve"> M2400 (jauda – 8000 lapas) viena tonera izmaksas = 220,- </w:t>
            </w:r>
            <w:proofErr w:type="spellStart"/>
            <w:r w:rsidR="00004AAA" w:rsidRPr="00004AAA">
              <w:rPr>
                <w:i/>
              </w:rPr>
              <w:t>euro</w:t>
            </w:r>
            <w:proofErr w:type="spellEnd"/>
            <w:r w:rsidRPr="001640C7">
              <w:t xml:space="preserve">, kur 1 lapa = 0,03 </w:t>
            </w:r>
            <w:proofErr w:type="spellStart"/>
            <w:r w:rsidR="00004AAA" w:rsidRPr="00004AAA">
              <w:rPr>
                <w:i/>
              </w:rPr>
              <w:t>euro</w:t>
            </w:r>
            <w:proofErr w:type="spellEnd"/>
            <w:r w:rsidRPr="001640C7">
              <w:t>;</w:t>
            </w:r>
          </w:p>
          <w:p w14:paraId="698B6FD8" w14:textId="5399C56D" w:rsidR="003F4196" w:rsidRPr="001640C7" w:rsidRDefault="003F4196" w:rsidP="003F4196">
            <w:pPr>
              <w:jc w:val="both"/>
            </w:pPr>
            <w:r w:rsidRPr="001640C7">
              <w:t xml:space="preserve">Papīra pakas izmaksas = 2.67 </w:t>
            </w:r>
            <w:proofErr w:type="spellStart"/>
            <w:r w:rsidR="00004AAA" w:rsidRPr="00004AAA">
              <w:rPr>
                <w:i/>
              </w:rPr>
              <w:t>euro</w:t>
            </w:r>
            <w:proofErr w:type="spellEnd"/>
            <w:r w:rsidRPr="001640C7">
              <w:t xml:space="preserve">, kur 1 lapa = 0,01 </w:t>
            </w:r>
            <w:proofErr w:type="spellStart"/>
            <w:r w:rsidR="00004AAA" w:rsidRPr="00004AAA">
              <w:rPr>
                <w:i/>
              </w:rPr>
              <w:t>euro</w:t>
            </w:r>
            <w:proofErr w:type="spellEnd"/>
            <w:r w:rsidR="00C04812">
              <w:t>. Iesniegumam nepieciešamas</w:t>
            </w:r>
            <w:r w:rsidRPr="001640C7">
              <w:t xml:space="preserve"> 2 lapas jeb 0,02 </w:t>
            </w:r>
            <w:proofErr w:type="spellStart"/>
            <w:r w:rsidR="00004AAA" w:rsidRPr="00004AAA">
              <w:rPr>
                <w:i/>
              </w:rPr>
              <w:t>euro</w:t>
            </w:r>
            <w:proofErr w:type="spellEnd"/>
            <w:r w:rsidRPr="001640C7">
              <w:t>.</w:t>
            </w:r>
          </w:p>
          <w:p w14:paraId="254E90EE" w14:textId="534ECA68" w:rsidR="003F4196" w:rsidRPr="001640C7" w:rsidRDefault="003F4196" w:rsidP="003F4196">
            <w:pPr>
              <w:jc w:val="both"/>
            </w:pPr>
            <w:r w:rsidRPr="001640C7">
              <w:t xml:space="preserve">Kopējās izmaksas </w:t>
            </w:r>
            <w:r w:rsidR="00C04812">
              <w:t>77</w:t>
            </w:r>
            <w:r w:rsidRPr="001640C7">
              <w:t xml:space="preserve"> pedagogiem = </w:t>
            </w:r>
            <w:r w:rsidR="004E3F43">
              <w:t>7,50</w:t>
            </w:r>
            <w:r w:rsidRPr="001640C7">
              <w:t xml:space="preserve"> </w:t>
            </w:r>
            <w:proofErr w:type="spellStart"/>
            <w:r w:rsidR="00004AAA" w:rsidRPr="00004AAA">
              <w:rPr>
                <w:i/>
              </w:rPr>
              <w:t>euro</w:t>
            </w:r>
            <w:proofErr w:type="spellEnd"/>
            <w:r w:rsidRPr="001640C7">
              <w:t>.</w:t>
            </w:r>
          </w:p>
          <w:p w14:paraId="521ABDAC" w14:textId="1DE8702D" w:rsidR="003F4196" w:rsidRPr="001640C7" w:rsidRDefault="003F4196" w:rsidP="003F4196">
            <w:pPr>
              <w:numPr>
                <w:ilvl w:val="0"/>
                <w:numId w:val="2"/>
              </w:numPr>
              <w:jc w:val="both"/>
            </w:pPr>
            <w:r w:rsidRPr="001640C7">
              <w:t xml:space="preserve">iesnieguma aizpildīšana (0.5 stundas) = 2.27 </w:t>
            </w:r>
            <w:proofErr w:type="spellStart"/>
            <w:r w:rsidR="00004AAA" w:rsidRPr="00004AAA">
              <w:rPr>
                <w:i/>
              </w:rPr>
              <w:t>euro</w:t>
            </w:r>
            <w:proofErr w:type="spellEnd"/>
            <w:r w:rsidRPr="001640C7">
              <w:t xml:space="preserve"> (ja valstī noteiktā vidējā darba samaksa stundā ir 7.5 </w:t>
            </w:r>
            <w:proofErr w:type="spellStart"/>
            <w:r w:rsidR="00004AAA" w:rsidRPr="00004AAA">
              <w:rPr>
                <w:i/>
              </w:rPr>
              <w:t>euro</w:t>
            </w:r>
            <w:proofErr w:type="spellEnd"/>
            <w:r w:rsidRPr="001640C7">
              <w:t>)</w:t>
            </w:r>
            <w:r>
              <w:rPr>
                <w:vertAlign w:val="superscript"/>
              </w:rPr>
              <w:t>*</w:t>
            </w:r>
            <w:r w:rsidRPr="001640C7">
              <w:t>.</w:t>
            </w:r>
          </w:p>
          <w:p w14:paraId="66EB46B3" w14:textId="265DDD92" w:rsidR="003F4196" w:rsidRPr="001640C7" w:rsidRDefault="003F4196" w:rsidP="003F4196">
            <w:pPr>
              <w:jc w:val="both"/>
            </w:pPr>
            <w:r w:rsidRPr="001640C7">
              <w:t xml:space="preserve">Kopējās izmaksas </w:t>
            </w:r>
            <w:r w:rsidR="004E3F43">
              <w:t>77</w:t>
            </w:r>
            <w:r w:rsidRPr="001640C7">
              <w:t xml:space="preserve"> pedagogiem = </w:t>
            </w:r>
            <w:r w:rsidR="004E3F43">
              <w:t>170,25</w:t>
            </w:r>
            <w:r w:rsidRPr="001640C7">
              <w:t xml:space="preserve"> </w:t>
            </w:r>
            <w:proofErr w:type="spellStart"/>
            <w:r w:rsidR="00004AAA" w:rsidRPr="00004AAA">
              <w:rPr>
                <w:i/>
              </w:rPr>
              <w:t>euro</w:t>
            </w:r>
            <w:proofErr w:type="spellEnd"/>
            <w:r w:rsidRPr="001640C7">
              <w:t>.</w:t>
            </w:r>
          </w:p>
          <w:p w14:paraId="6B042B59" w14:textId="77777777" w:rsidR="003F4196" w:rsidRPr="001640C7" w:rsidRDefault="003F4196" w:rsidP="003F4196">
            <w:pPr>
              <w:jc w:val="both"/>
              <w:rPr>
                <w:u w:val="single"/>
              </w:rPr>
            </w:pPr>
            <w:r w:rsidRPr="001640C7">
              <w:rPr>
                <w:u w:val="single"/>
              </w:rPr>
              <w:t>Dokumentu</w:t>
            </w:r>
            <w:proofErr w:type="gramStart"/>
            <w:r w:rsidRPr="001640C7">
              <w:rPr>
                <w:u w:val="single"/>
              </w:rPr>
              <w:t xml:space="preserve">  </w:t>
            </w:r>
            <w:proofErr w:type="gramEnd"/>
            <w:r w:rsidRPr="001640C7">
              <w:rPr>
                <w:u w:val="single"/>
              </w:rPr>
              <w:t>sagatavošana par vienu pedagogu un atskaites sagatavošana sociālā atbalsta izmaksu beigās</w:t>
            </w:r>
          </w:p>
          <w:p w14:paraId="19FFEBDF" w14:textId="446C2F7B" w:rsidR="003F4196" w:rsidRPr="001640C7" w:rsidRDefault="003F4196" w:rsidP="003F4196">
            <w:pPr>
              <w:numPr>
                <w:ilvl w:val="0"/>
                <w:numId w:val="3"/>
              </w:numPr>
              <w:jc w:val="both"/>
            </w:pPr>
            <w:r w:rsidRPr="001640C7">
              <w:t xml:space="preserve"> pašvaldības atbildīgās amatpersonas darbs (2 stundas) = 15 </w:t>
            </w:r>
            <w:proofErr w:type="spellStart"/>
            <w:r w:rsidR="00004AAA" w:rsidRPr="00004AAA">
              <w:rPr>
                <w:i/>
              </w:rPr>
              <w:t>euro</w:t>
            </w:r>
            <w:proofErr w:type="spellEnd"/>
            <w:r w:rsidRPr="001640C7">
              <w:t xml:space="preserve"> (ja valstī noteiktā vidējā darba samaksa stundā ir 7.5 </w:t>
            </w:r>
            <w:proofErr w:type="spellStart"/>
            <w:r w:rsidR="00004AAA" w:rsidRPr="00004AAA">
              <w:rPr>
                <w:i/>
              </w:rPr>
              <w:t>euro</w:t>
            </w:r>
            <w:proofErr w:type="spellEnd"/>
            <w:r w:rsidRPr="001640C7">
              <w:t>);</w:t>
            </w:r>
          </w:p>
          <w:p w14:paraId="0A088B47" w14:textId="1F69F09E" w:rsidR="003F4196" w:rsidRPr="001640C7" w:rsidRDefault="004E3F43" w:rsidP="003F4196">
            <w:pPr>
              <w:jc w:val="both"/>
            </w:pPr>
            <w:r>
              <w:t>Kopējās izmaksas par 75</w:t>
            </w:r>
            <w:r w:rsidR="003F4196" w:rsidRPr="001640C7">
              <w:t xml:space="preserve"> pedagogiem = </w:t>
            </w:r>
            <w:r>
              <w:t>1125</w:t>
            </w:r>
            <w:r w:rsidR="003F4196" w:rsidRPr="001640C7">
              <w:t xml:space="preserve"> </w:t>
            </w:r>
            <w:proofErr w:type="spellStart"/>
            <w:r w:rsidR="00004AAA" w:rsidRPr="00004AAA">
              <w:rPr>
                <w:i/>
              </w:rPr>
              <w:t>euro</w:t>
            </w:r>
            <w:proofErr w:type="spellEnd"/>
            <w:r w:rsidR="003F4196" w:rsidRPr="001640C7">
              <w:t>.</w:t>
            </w:r>
          </w:p>
          <w:p w14:paraId="04D3DE4A" w14:textId="77777777" w:rsidR="003F4196" w:rsidRPr="001640C7" w:rsidRDefault="003F4196" w:rsidP="003F4196">
            <w:pPr>
              <w:jc w:val="both"/>
              <w:rPr>
                <w:u w:val="single"/>
              </w:rPr>
            </w:pPr>
            <w:r w:rsidRPr="001640C7">
              <w:rPr>
                <w:u w:val="single"/>
              </w:rPr>
              <w:t xml:space="preserve">Nodokļu reģistrēšanas izmaksas </w:t>
            </w:r>
            <w:proofErr w:type="gramStart"/>
            <w:r w:rsidRPr="001640C7">
              <w:rPr>
                <w:u w:val="single"/>
              </w:rPr>
              <w:t>Valsts Sociālās apdrošināšanas aģentūrā</w:t>
            </w:r>
            <w:proofErr w:type="gramEnd"/>
          </w:p>
          <w:p w14:paraId="4F0378E6" w14:textId="6895BE3E" w:rsidR="003F4196" w:rsidRDefault="003F4196" w:rsidP="003F4196">
            <w:pPr>
              <w:pStyle w:val="ListParagraph"/>
              <w:numPr>
                <w:ilvl w:val="0"/>
                <w:numId w:val="3"/>
              </w:numPr>
              <w:jc w:val="both"/>
            </w:pPr>
            <w:proofErr w:type="gramStart"/>
            <w:r w:rsidRPr="001640C7">
              <w:t>Valsts Sociālās apdrošināšanas aģentūras</w:t>
            </w:r>
            <w:proofErr w:type="gramEnd"/>
            <w:r w:rsidRPr="001640C7">
              <w:t xml:space="preserve"> darbinieka darbs (</w:t>
            </w:r>
            <w:r w:rsidR="004E3F43">
              <w:t>4</w:t>
            </w:r>
            <w:r w:rsidRPr="001640C7">
              <w:t xml:space="preserve"> stundas) = </w:t>
            </w:r>
            <w:r w:rsidR="004E3F43">
              <w:t>15</w:t>
            </w:r>
            <w:r w:rsidRPr="001640C7">
              <w:t xml:space="preserve"> </w:t>
            </w:r>
            <w:proofErr w:type="spellStart"/>
            <w:r w:rsidR="00004AAA" w:rsidRPr="00004AAA">
              <w:rPr>
                <w:i/>
              </w:rPr>
              <w:t>euro</w:t>
            </w:r>
            <w:proofErr w:type="spellEnd"/>
            <w:r w:rsidR="004E3F43">
              <w:t xml:space="preserve"> (</w:t>
            </w:r>
            <w:r w:rsidRPr="001640C7">
              <w:t xml:space="preserve">ja valstī noteiktā vidējā darba samaksa stundā ir 7.5 </w:t>
            </w:r>
            <w:proofErr w:type="spellStart"/>
            <w:r w:rsidR="00004AAA" w:rsidRPr="00004AAA">
              <w:rPr>
                <w:i/>
              </w:rPr>
              <w:t>euro</w:t>
            </w:r>
            <w:proofErr w:type="spellEnd"/>
            <w:r w:rsidRPr="001640C7">
              <w:t>);</w:t>
            </w:r>
            <w:r>
              <w:t xml:space="preserve"> </w:t>
            </w:r>
          </w:p>
          <w:p w14:paraId="5341FC5A" w14:textId="77777777" w:rsidR="003F4196" w:rsidRPr="001640C7" w:rsidRDefault="003F4196" w:rsidP="003F4196">
            <w:pPr>
              <w:jc w:val="both"/>
            </w:pPr>
            <w:proofErr w:type="gramStart"/>
            <w:r>
              <w:t>Valsts Sociālās apdrošināšanas aģentūras</w:t>
            </w:r>
            <w:proofErr w:type="gramEnd"/>
            <w:r>
              <w:t xml:space="preserve"> darbiniekam paredzamais finansējums rodams esošā finansējuma ietvaros.</w:t>
            </w:r>
          </w:p>
          <w:p w14:paraId="257AD8A5" w14:textId="5332B74C" w:rsidR="003F4196" w:rsidRPr="001640C7" w:rsidRDefault="003F4196" w:rsidP="003F4196">
            <w:pPr>
              <w:jc w:val="both"/>
            </w:pPr>
            <w:r w:rsidRPr="001640C7">
              <w:t xml:space="preserve">Kopējās izmaksas par 40 pedagogiem = </w:t>
            </w:r>
            <w:r w:rsidR="004E3F43">
              <w:t>1125</w:t>
            </w:r>
            <w:r w:rsidRPr="001640C7">
              <w:t xml:space="preserve"> </w:t>
            </w:r>
            <w:proofErr w:type="spellStart"/>
            <w:r w:rsidR="00004AAA" w:rsidRPr="00004AAA">
              <w:rPr>
                <w:i/>
              </w:rPr>
              <w:t>euro</w:t>
            </w:r>
            <w:proofErr w:type="spellEnd"/>
          </w:p>
          <w:p w14:paraId="74D60482" w14:textId="77777777" w:rsidR="003F4196" w:rsidRPr="001640C7" w:rsidRDefault="003F4196" w:rsidP="003F4196">
            <w:pPr>
              <w:jc w:val="both"/>
            </w:pPr>
            <w:r w:rsidRPr="001640C7">
              <w:t>Lai nodrošinātu tikai Izglītības un zinātnes ministrijas piešķirtā atbalsta izmaksu, no</w:t>
            </w:r>
            <w:proofErr w:type="gramStart"/>
            <w:r w:rsidRPr="001640C7">
              <w:t xml:space="preserve">  </w:t>
            </w:r>
            <w:proofErr w:type="gramEnd"/>
            <w:r w:rsidRPr="001640C7">
              <w:t>reorganizējamo izglītības iestāžu dibinātāja – pašvaldības ir nepieciešama procesa administrēšana.</w:t>
            </w:r>
          </w:p>
          <w:p w14:paraId="5177F5DF" w14:textId="0E4D69A4" w:rsidR="003F4196" w:rsidRPr="001640C7" w:rsidRDefault="003F4196" w:rsidP="003F4196">
            <w:pPr>
              <w:pStyle w:val="ListParagraph"/>
              <w:numPr>
                <w:ilvl w:val="0"/>
                <w:numId w:val="3"/>
              </w:numPr>
              <w:jc w:val="both"/>
            </w:pPr>
            <w:r w:rsidRPr="001640C7">
              <w:t>Atalgojums vienai amata vietai vienam mēnesim – 950.00</w:t>
            </w:r>
            <w:r w:rsidR="00004AAA" w:rsidRPr="00004AAA">
              <w:rPr>
                <w:i/>
              </w:rPr>
              <w:t>euro</w:t>
            </w:r>
            <w:r w:rsidRPr="001640C7">
              <w:t xml:space="preserve">, vienam gadam 11 400.00 </w:t>
            </w:r>
            <w:proofErr w:type="spellStart"/>
            <w:r w:rsidR="00004AAA" w:rsidRPr="00004AAA">
              <w:rPr>
                <w:i/>
              </w:rPr>
              <w:t>euro</w:t>
            </w:r>
            <w:proofErr w:type="spellEnd"/>
            <w:r w:rsidRPr="001640C7">
              <w:t>;</w:t>
            </w:r>
          </w:p>
          <w:p w14:paraId="02205597" w14:textId="43943A11" w:rsidR="003F4196" w:rsidRPr="001640C7" w:rsidRDefault="003F4196" w:rsidP="003F4196">
            <w:pPr>
              <w:pStyle w:val="ListParagraph"/>
              <w:numPr>
                <w:ilvl w:val="0"/>
                <w:numId w:val="3"/>
              </w:numPr>
              <w:jc w:val="both"/>
            </w:pPr>
            <w:r w:rsidRPr="001640C7">
              <w:t xml:space="preserve">Vispārējām piemaksām (10%) vienam mēnesim – 95.00 </w:t>
            </w:r>
            <w:proofErr w:type="spellStart"/>
            <w:r w:rsidR="00004AAA" w:rsidRPr="00004AAA">
              <w:rPr>
                <w:i/>
              </w:rPr>
              <w:t>euro</w:t>
            </w:r>
            <w:proofErr w:type="spellEnd"/>
            <w:r w:rsidRPr="001640C7">
              <w:t xml:space="preserve">, vienam </w:t>
            </w:r>
            <w:proofErr w:type="gramStart"/>
            <w:r w:rsidRPr="001640C7">
              <w:t>gadam -1</w:t>
            </w:r>
            <w:proofErr w:type="gramEnd"/>
            <w:r w:rsidRPr="001640C7">
              <w:t xml:space="preserve"> 140.00 </w:t>
            </w:r>
            <w:proofErr w:type="spellStart"/>
            <w:r w:rsidR="00004AAA" w:rsidRPr="00004AAA">
              <w:rPr>
                <w:i/>
              </w:rPr>
              <w:t>euro</w:t>
            </w:r>
            <w:proofErr w:type="spellEnd"/>
            <w:r w:rsidRPr="001640C7">
              <w:t>;</w:t>
            </w:r>
          </w:p>
          <w:p w14:paraId="2D8032B6" w14:textId="137F6124" w:rsidR="003F4196" w:rsidRPr="001640C7" w:rsidRDefault="003F4196" w:rsidP="003F4196">
            <w:pPr>
              <w:pStyle w:val="ListParagraph"/>
              <w:numPr>
                <w:ilvl w:val="0"/>
                <w:numId w:val="3"/>
              </w:numPr>
              <w:jc w:val="both"/>
            </w:pPr>
            <w:r w:rsidRPr="001640C7">
              <w:t>Prēmijām un naudas balvām (10%) vienam mēnesim 95.00</w:t>
            </w:r>
            <w:r w:rsidR="00004AAA" w:rsidRPr="00004AAA">
              <w:rPr>
                <w:i/>
              </w:rPr>
              <w:t>euro</w:t>
            </w:r>
            <w:r w:rsidRPr="001640C7">
              <w:t xml:space="preserve">, vienam gadam 1 140.00 </w:t>
            </w:r>
            <w:proofErr w:type="spellStart"/>
            <w:r w:rsidR="00004AAA" w:rsidRPr="00004AAA">
              <w:rPr>
                <w:i/>
              </w:rPr>
              <w:t>euro</w:t>
            </w:r>
            <w:proofErr w:type="spellEnd"/>
            <w:r w:rsidRPr="001640C7">
              <w:t>;</w:t>
            </w:r>
          </w:p>
          <w:p w14:paraId="2A263415" w14:textId="17CEFE3C" w:rsidR="003F4196" w:rsidRPr="001640C7" w:rsidRDefault="003F4196" w:rsidP="003F4196">
            <w:pPr>
              <w:pStyle w:val="ListParagraph"/>
              <w:numPr>
                <w:ilvl w:val="0"/>
                <w:numId w:val="3"/>
              </w:numPr>
              <w:jc w:val="both"/>
            </w:pPr>
            <w:r w:rsidRPr="001640C7">
              <w:t>Sociālām garantijām (apdrošināšana, obligātās veselības pārbaude un brilles) (5%) vienam mēnesim – 47.00</w:t>
            </w:r>
            <w:r w:rsidR="00004AAA" w:rsidRPr="00004AAA">
              <w:rPr>
                <w:i/>
              </w:rPr>
              <w:t>euro</w:t>
            </w:r>
            <w:r w:rsidRPr="001640C7">
              <w:t xml:space="preserve">, vienam gadam – 570.00 </w:t>
            </w:r>
            <w:proofErr w:type="spellStart"/>
            <w:r w:rsidR="00004AAA" w:rsidRPr="00004AAA">
              <w:rPr>
                <w:i/>
              </w:rPr>
              <w:t>euro</w:t>
            </w:r>
            <w:proofErr w:type="spellEnd"/>
            <w:r w:rsidRPr="001640C7">
              <w:t>;</w:t>
            </w:r>
          </w:p>
          <w:p w14:paraId="16A8CA72" w14:textId="47620155" w:rsidR="003F4196" w:rsidRPr="001640C7" w:rsidRDefault="003F4196" w:rsidP="003F4196">
            <w:pPr>
              <w:pStyle w:val="ListParagraph"/>
              <w:numPr>
                <w:ilvl w:val="0"/>
                <w:numId w:val="3"/>
              </w:numPr>
              <w:jc w:val="both"/>
            </w:pPr>
            <w:r w:rsidRPr="001640C7">
              <w:t xml:space="preserve">Sociālajam nodoklim (23.59%) vienam mēnesim 280.13 </w:t>
            </w:r>
            <w:proofErr w:type="spellStart"/>
            <w:r w:rsidR="00004AAA" w:rsidRPr="00004AAA">
              <w:rPr>
                <w:i/>
              </w:rPr>
              <w:t>euro</w:t>
            </w:r>
            <w:proofErr w:type="spellEnd"/>
            <w:r w:rsidRPr="001640C7">
              <w:t xml:space="preserve">, vienam gadam – 1 120.52 </w:t>
            </w:r>
            <w:proofErr w:type="spellStart"/>
            <w:r w:rsidR="00004AAA" w:rsidRPr="00004AAA">
              <w:rPr>
                <w:i/>
              </w:rPr>
              <w:t>euro</w:t>
            </w:r>
            <w:proofErr w:type="spellEnd"/>
            <w:r w:rsidRPr="001640C7">
              <w:t>.</w:t>
            </w:r>
          </w:p>
          <w:p w14:paraId="646B2F75" w14:textId="2961EFD9" w:rsidR="003F4196" w:rsidRPr="001640C7" w:rsidRDefault="003F4196" w:rsidP="003F4196">
            <w:pPr>
              <w:pStyle w:val="ListParagraph"/>
              <w:numPr>
                <w:ilvl w:val="0"/>
                <w:numId w:val="3"/>
              </w:numPr>
              <w:jc w:val="both"/>
            </w:pPr>
            <w:r w:rsidRPr="001640C7">
              <w:t>Kopā atlīdzībai (EKK 1000) vienam mēnesim – 1 467.63</w:t>
            </w:r>
            <w:r w:rsidR="00004AAA" w:rsidRPr="00004AAA">
              <w:rPr>
                <w:i/>
              </w:rPr>
              <w:t>euro</w:t>
            </w:r>
            <w:r w:rsidRPr="001640C7">
              <w:t xml:space="preserve">, vienam gadam – 17 611.56 </w:t>
            </w:r>
            <w:proofErr w:type="spellStart"/>
            <w:r w:rsidR="00004AAA" w:rsidRPr="00004AAA">
              <w:rPr>
                <w:i/>
              </w:rPr>
              <w:t>euro</w:t>
            </w:r>
            <w:proofErr w:type="spellEnd"/>
            <w:r w:rsidRPr="001640C7">
              <w:t>; tai skaitā atalgojums (EKK 1100) vienam mēnesim – 1 140.00</w:t>
            </w:r>
            <w:r w:rsidR="00004AAA" w:rsidRPr="00004AAA">
              <w:rPr>
                <w:i/>
              </w:rPr>
              <w:t>euro</w:t>
            </w:r>
            <w:r w:rsidRPr="001640C7">
              <w:t>, vienam gadam – 13 680.00</w:t>
            </w:r>
            <w:r w:rsidR="00004AAA" w:rsidRPr="00004AAA">
              <w:rPr>
                <w:i/>
              </w:rPr>
              <w:t>euro</w:t>
            </w:r>
            <w:r w:rsidRPr="001640C7">
              <w:t>.</w:t>
            </w:r>
          </w:p>
          <w:p w14:paraId="7F08969C" w14:textId="52B107DF" w:rsidR="003F4196" w:rsidRDefault="003F4196" w:rsidP="003F4196">
            <w:pPr>
              <w:jc w:val="both"/>
            </w:pPr>
            <w:r w:rsidRPr="001640C7">
              <w:t xml:space="preserve">Kopā atalgojumam trīs gados nepieciešams 52 834.68 </w:t>
            </w:r>
            <w:proofErr w:type="spellStart"/>
            <w:r w:rsidR="00004AAA" w:rsidRPr="00004AAA">
              <w:rPr>
                <w:i/>
              </w:rPr>
              <w:t>euro</w:t>
            </w:r>
            <w:proofErr w:type="spellEnd"/>
            <w:r w:rsidRPr="001640C7">
              <w:t>.</w:t>
            </w:r>
          </w:p>
          <w:p w14:paraId="1E2579D2" w14:textId="32A4FFB4" w:rsidR="00A06CE2" w:rsidRPr="00A06CE2" w:rsidRDefault="003F4196" w:rsidP="003F4196">
            <w:pPr>
              <w:pStyle w:val="NormalWeb"/>
              <w:spacing w:before="0" w:beforeAutospacing="0" w:after="0" w:afterAutospacing="0"/>
              <w:ind w:firstLine="709"/>
              <w:jc w:val="both"/>
              <w:rPr>
                <w:szCs w:val="24"/>
              </w:rPr>
            </w:pPr>
            <w:r>
              <w:rPr>
                <w:vertAlign w:val="superscript"/>
              </w:rPr>
              <w:t>*</w:t>
            </w:r>
            <w:r w:rsidR="00004AAA" w:rsidRPr="00004AAA">
              <w:rPr>
                <w:i/>
                <w:sz w:val="18"/>
                <w:szCs w:val="18"/>
              </w:rPr>
              <w:t>Euro</w:t>
            </w:r>
            <w:r w:rsidRPr="00491387">
              <w:rPr>
                <w:sz w:val="18"/>
                <w:szCs w:val="18"/>
              </w:rPr>
              <w:t>stat dati 2017. gads</w:t>
            </w:r>
          </w:p>
        </w:tc>
      </w:tr>
      <w:tr w:rsidR="008D6F57" w:rsidRPr="00DA397C" w14:paraId="2DA8F3CB" w14:textId="77777777" w:rsidTr="008D6F57">
        <w:trPr>
          <w:trHeight w:val="510"/>
        </w:trPr>
        <w:tc>
          <w:tcPr>
            <w:tcW w:w="214" w:type="pct"/>
            <w:tcBorders>
              <w:top w:val="outset" w:sz="6" w:space="0" w:color="414142"/>
              <w:left w:val="outset" w:sz="6" w:space="0" w:color="414142"/>
              <w:bottom w:val="outset" w:sz="6" w:space="0" w:color="414142"/>
              <w:right w:val="outset" w:sz="6" w:space="0" w:color="414142"/>
            </w:tcBorders>
          </w:tcPr>
          <w:p w14:paraId="0266A09E" w14:textId="21D5437E" w:rsidR="008D6F57" w:rsidRPr="00DA397C" w:rsidRDefault="008D6F57" w:rsidP="006C50CB">
            <w:pPr>
              <w:jc w:val="both"/>
            </w:pPr>
            <w:r>
              <w:t>4.</w:t>
            </w:r>
          </w:p>
        </w:tc>
        <w:tc>
          <w:tcPr>
            <w:tcW w:w="1237" w:type="pct"/>
            <w:tcBorders>
              <w:top w:val="outset" w:sz="6" w:space="0" w:color="414142"/>
              <w:left w:val="outset" w:sz="6" w:space="0" w:color="414142"/>
              <w:bottom w:val="outset" w:sz="6" w:space="0" w:color="414142"/>
              <w:right w:val="outset" w:sz="6" w:space="0" w:color="414142"/>
            </w:tcBorders>
          </w:tcPr>
          <w:p w14:paraId="362C7483" w14:textId="60AA03F2" w:rsidR="008D6F57" w:rsidRPr="00DA397C" w:rsidRDefault="008D6F57" w:rsidP="006C50CB">
            <w:pPr>
              <w:jc w:val="both"/>
            </w:pPr>
            <w:r>
              <w:t>Atbilstības izmaksu monetārs novērtējums.</w:t>
            </w:r>
          </w:p>
        </w:tc>
        <w:tc>
          <w:tcPr>
            <w:tcW w:w="3549" w:type="pct"/>
            <w:tcBorders>
              <w:top w:val="outset" w:sz="6" w:space="0" w:color="414142"/>
              <w:left w:val="outset" w:sz="6" w:space="0" w:color="414142"/>
              <w:bottom w:val="outset" w:sz="6" w:space="0" w:color="414142"/>
              <w:right w:val="outset" w:sz="6" w:space="0" w:color="414142"/>
            </w:tcBorders>
          </w:tcPr>
          <w:p w14:paraId="627E9863" w14:textId="36E3486A" w:rsidR="008D6F57" w:rsidRDefault="008D6F57" w:rsidP="009D68B2">
            <w:pPr>
              <w:jc w:val="both"/>
            </w:pPr>
            <w:r>
              <w:t>Projekts neparedz atbilstības prasību nodrošināšanu.</w:t>
            </w:r>
          </w:p>
        </w:tc>
      </w:tr>
      <w:tr w:rsidR="00B84367" w:rsidRPr="00DA397C" w14:paraId="17A04C2E" w14:textId="77777777" w:rsidTr="008D6F57">
        <w:trPr>
          <w:trHeight w:val="345"/>
        </w:trPr>
        <w:tc>
          <w:tcPr>
            <w:tcW w:w="214" w:type="pct"/>
            <w:tcBorders>
              <w:top w:val="outset" w:sz="6" w:space="0" w:color="414142"/>
              <w:left w:val="outset" w:sz="6" w:space="0" w:color="414142"/>
              <w:bottom w:val="outset" w:sz="6" w:space="0" w:color="414142"/>
              <w:right w:val="outset" w:sz="6" w:space="0" w:color="414142"/>
            </w:tcBorders>
            <w:hideMark/>
          </w:tcPr>
          <w:p w14:paraId="252DB2D1" w14:textId="16EC5189" w:rsidR="00B84367" w:rsidRPr="00DA397C" w:rsidRDefault="008D6F57" w:rsidP="006C50CB">
            <w:pPr>
              <w:jc w:val="both"/>
            </w:pPr>
            <w:r>
              <w:lastRenderedPageBreak/>
              <w:t>5</w:t>
            </w:r>
            <w:r w:rsidR="00B84367" w:rsidRPr="00DA397C">
              <w:t>.</w:t>
            </w:r>
          </w:p>
        </w:tc>
        <w:tc>
          <w:tcPr>
            <w:tcW w:w="1237" w:type="pct"/>
            <w:tcBorders>
              <w:top w:val="outset" w:sz="6" w:space="0" w:color="414142"/>
              <w:left w:val="outset" w:sz="6" w:space="0" w:color="414142"/>
              <w:bottom w:val="outset" w:sz="6" w:space="0" w:color="414142"/>
              <w:right w:val="outset" w:sz="6" w:space="0" w:color="414142"/>
            </w:tcBorders>
            <w:hideMark/>
          </w:tcPr>
          <w:p w14:paraId="6531C667" w14:textId="77777777" w:rsidR="00B84367" w:rsidRPr="00DA397C" w:rsidRDefault="00B84367" w:rsidP="006C50CB">
            <w:pPr>
              <w:jc w:val="both"/>
            </w:pPr>
            <w:r w:rsidRPr="00DA397C">
              <w:t>Cita informācija</w:t>
            </w:r>
          </w:p>
        </w:tc>
        <w:tc>
          <w:tcPr>
            <w:tcW w:w="3549" w:type="pct"/>
            <w:tcBorders>
              <w:top w:val="outset" w:sz="6" w:space="0" w:color="414142"/>
              <w:left w:val="outset" w:sz="6" w:space="0" w:color="414142"/>
              <w:bottom w:val="outset" w:sz="6" w:space="0" w:color="414142"/>
              <w:right w:val="outset" w:sz="6" w:space="0" w:color="414142"/>
            </w:tcBorders>
            <w:hideMark/>
          </w:tcPr>
          <w:p w14:paraId="41954C63" w14:textId="280E8879" w:rsidR="00B84367" w:rsidRPr="00DA397C" w:rsidRDefault="00A06CE2" w:rsidP="006C50CB">
            <w:pPr>
              <w:spacing w:before="100" w:beforeAutospacing="1" w:after="100" w:afterAutospacing="1" w:line="293" w:lineRule="atLeast"/>
              <w:jc w:val="both"/>
            </w:pPr>
            <w:r>
              <w:t>Nav.</w:t>
            </w:r>
          </w:p>
        </w:tc>
      </w:tr>
    </w:tbl>
    <w:p w14:paraId="2517C5BC" w14:textId="77777777" w:rsidR="005B5098" w:rsidRDefault="005B5098" w:rsidP="00A57838">
      <w:pPr>
        <w:jc w:val="both"/>
      </w:pPr>
    </w:p>
    <w:tbl>
      <w:tblPr>
        <w:tblStyle w:val="TableGrid"/>
        <w:tblW w:w="10490" w:type="dxa"/>
        <w:tblInd w:w="-289" w:type="dxa"/>
        <w:tblLook w:val="04A0" w:firstRow="1" w:lastRow="0" w:firstColumn="1" w:lastColumn="0" w:noHBand="0" w:noVBand="1"/>
      </w:tblPr>
      <w:tblGrid>
        <w:gridCol w:w="2139"/>
        <w:gridCol w:w="1123"/>
        <w:gridCol w:w="1150"/>
        <w:gridCol w:w="1019"/>
        <w:gridCol w:w="1268"/>
        <w:gridCol w:w="1123"/>
        <w:gridCol w:w="1268"/>
        <w:gridCol w:w="1400"/>
      </w:tblGrid>
      <w:tr w:rsidR="00A7593F" w14:paraId="7BB83405" w14:textId="77777777" w:rsidTr="008C1EC9">
        <w:tc>
          <w:tcPr>
            <w:tcW w:w="10490" w:type="dxa"/>
            <w:gridSpan w:val="8"/>
          </w:tcPr>
          <w:p w14:paraId="5D5AB3FF" w14:textId="2DACF97A" w:rsidR="00A7593F" w:rsidRDefault="00A7593F" w:rsidP="00A7593F">
            <w:pPr>
              <w:jc w:val="center"/>
            </w:pPr>
            <w:r w:rsidRPr="008031C2">
              <w:rPr>
                <w:b/>
                <w:bCs/>
                <w:color w:val="414142"/>
              </w:rPr>
              <w:t>III. Tiesību akta projekta ietekme uz valsts budžetu un pašvaldību budžetiem</w:t>
            </w:r>
          </w:p>
        </w:tc>
      </w:tr>
      <w:tr w:rsidR="00A7593F" w14:paraId="55E4F90A" w14:textId="77777777" w:rsidTr="002F56FC">
        <w:tc>
          <w:tcPr>
            <w:tcW w:w="2139" w:type="dxa"/>
            <w:vMerge w:val="restart"/>
          </w:tcPr>
          <w:p w14:paraId="5C2395EA" w14:textId="77777777" w:rsidR="00A7593F" w:rsidRDefault="00A7593F" w:rsidP="00A57838">
            <w:pPr>
              <w:jc w:val="both"/>
              <w:rPr>
                <w:color w:val="414142"/>
              </w:rPr>
            </w:pPr>
          </w:p>
          <w:p w14:paraId="64B0A3B8" w14:textId="0B613A69" w:rsidR="00A7593F" w:rsidRDefault="00A7593F" w:rsidP="00A57838">
            <w:pPr>
              <w:jc w:val="both"/>
            </w:pPr>
            <w:r w:rsidRPr="008031C2">
              <w:rPr>
                <w:color w:val="414142"/>
              </w:rPr>
              <w:t>Rādītāji</w:t>
            </w:r>
          </w:p>
        </w:tc>
        <w:tc>
          <w:tcPr>
            <w:tcW w:w="2273" w:type="dxa"/>
            <w:gridSpan w:val="2"/>
            <w:vMerge w:val="restart"/>
          </w:tcPr>
          <w:p w14:paraId="7F759009" w14:textId="77777777" w:rsidR="00A7593F" w:rsidRDefault="00A7593F" w:rsidP="00A7593F">
            <w:pPr>
              <w:jc w:val="center"/>
              <w:rPr>
                <w:color w:val="414142"/>
              </w:rPr>
            </w:pPr>
          </w:p>
          <w:p w14:paraId="0D413E1C" w14:textId="486C57EA" w:rsidR="00A7593F" w:rsidRDefault="00A7593F" w:rsidP="00A7593F">
            <w:pPr>
              <w:jc w:val="center"/>
            </w:pPr>
            <w:r w:rsidRPr="008031C2">
              <w:rPr>
                <w:color w:val="414142"/>
              </w:rPr>
              <w:t>2018</w:t>
            </w:r>
          </w:p>
        </w:tc>
        <w:tc>
          <w:tcPr>
            <w:tcW w:w="6078" w:type="dxa"/>
            <w:gridSpan w:val="5"/>
          </w:tcPr>
          <w:p w14:paraId="3D61396E" w14:textId="342AA413" w:rsidR="00A7593F" w:rsidRDefault="00A7593F" w:rsidP="00A7593F">
            <w:pPr>
              <w:jc w:val="center"/>
            </w:pPr>
            <w:r w:rsidRPr="008031C2">
              <w:rPr>
                <w:color w:val="414142"/>
              </w:rPr>
              <w:t>Turpmākie trīs gadi (</w:t>
            </w:r>
            <w:proofErr w:type="spellStart"/>
            <w:r w:rsidR="00004AAA" w:rsidRPr="00004AAA">
              <w:rPr>
                <w:i/>
                <w:iCs/>
                <w:color w:val="414142"/>
              </w:rPr>
              <w:t>euro</w:t>
            </w:r>
            <w:proofErr w:type="spellEnd"/>
            <w:r w:rsidRPr="008031C2">
              <w:rPr>
                <w:color w:val="414142"/>
              </w:rPr>
              <w:t>)</w:t>
            </w:r>
          </w:p>
        </w:tc>
      </w:tr>
      <w:tr w:rsidR="00A7593F" w14:paraId="2071061A" w14:textId="77777777" w:rsidTr="002F56FC">
        <w:tc>
          <w:tcPr>
            <w:tcW w:w="2139" w:type="dxa"/>
            <w:vMerge/>
          </w:tcPr>
          <w:p w14:paraId="4C32EACB" w14:textId="570FA516" w:rsidR="00A7593F" w:rsidRDefault="00A7593F" w:rsidP="00A7593F">
            <w:pPr>
              <w:jc w:val="both"/>
            </w:pPr>
          </w:p>
        </w:tc>
        <w:tc>
          <w:tcPr>
            <w:tcW w:w="2273" w:type="dxa"/>
            <w:gridSpan w:val="2"/>
            <w:vMerge/>
          </w:tcPr>
          <w:p w14:paraId="6967598C" w14:textId="77777777" w:rsidR="00A7593F" w:rsidRDefault="00A7593F" w:rsidP="00A7593F">
            <w:pPr>
              <w:jc w:val="both"/>
            </w:pPr>
          </w:p>
        </w:tc>
        <w:tc>
          <w:tcPr>
            <w:tcW w:w="2287" w:type="dxa"/>
            <w:gridSpan w:val="2"/>
            <w:vAlign w:val="center"/>
          </w:tcPr>
          <w:p w14:paraId="73FF8FF6" w14:textId="76A54BCD" w:rsidR="00A7593F" w:rsidRDefault="00A7593F" w:rsidP="00A7593F">
            <w:pPr>
              <w:jc w:val="center"/>
            </w:pPr>
            <w:r w:rsidRPr="008031C2">
              <w:rPr>
                <w:color w:val="414142"/>
              </w:rPr>
              <w:t>2019</w:t>
            </w:r>
          </w:p>
        </w:tc>
        <w:tc>
          <w:tcPr>
            <w:tcW w:w="2391" w:type="dxa"/>
            <w:gridSpan w:val="2"/>
            <w:vAlign w:val="center"/>
          </w:tcPr>
          <w:p w14:paraId="520C3C72" w14:textId="3E59F221" w:rsidR="00A7593F" w:rsidRDefault="00A7593F" w:rsidP="00A7593F">
            <w:pPr>
              <w:jc w:val="center"/>
            </w:pPr>
            <w:r w:rsidRPr="008031C2">
              <w:rPr>
                <w:color w:val="414142"/>
              </w:rPr>
              <w:t>2020</w:t>
            </w:r>
          </w:p>
        </w:tc>
        <w:tc>
          <w:tcPr>
            <w:tcW w:w="1400" w:type="dxa"/>
            <w:vAlign w:val="center"/>
          </w:tcPr>
          <w:p w14:paraId="3A77C944" w14:textId="1BAAC32B" w:rsidR="00A7593F" w:rsidRDefault="00A7593F" w:rsidP="00A7593F">
            <w:pPr>
              <w:jc w:val="center"/>
            </w:pPr>
            <w:r w:rsidRPr="008031C2">
              <w:rPr>
                <w:color w:val="414142"/>
              </w:rPr>
              <w:t>2021</w:t>
            </w:r>
          </w:p>
        </w:tc>
      </w:tr>
      <w:tr w:rsidR="008C1EC9" w14:paraId="00DB56C9" w14:textId="77777777" w:rsidTr="002F56FC">
        <w:tc>
          <w:tcPr>
            <w:tcW w:w="2139" w:type="dxa"/>
          </w:tcPr>
          <w:p w14:paraId="2B03E977" w14:textId="0E3D2FF0" w:rsidR="00A7593F" w:rsidRDefault="00A7593F" w:rsidP="00A7593F">
            <w:pPr>
              <w:jc w:val="center"/>
            </w:pPr>
            <w:r>
              <w:t>1</w:t>
            </w:r>
          </w:p>
        </w:tc>
        <w:tc>
          <w:tcPr>
            <w:tcW w:w="1123" w:type="dxa"/>
          </w:tcPr>
          <w:p w14:paraId="502041C9" w14:textId="5C64AFBA" w:rsidR="00A7593F" w:rsidRDefault="00A7593F" w:rsidP="00A7593F">
            <w:pPr>
              <w:jc w:val="center"/>
            </w:pPr>
            <w:r>
              <w:t>2</w:t>
            </w:r>
          </w:p>
        </w:tc>
        <w:tc>
          <w:tcPr>
            <w:tcW w:w="1150" w:type="dxa"/>
          </w:tcPr>
          <w:p w14:paraId="0088A7C5" w14:textId="1DB64C7D" w:rsidR="00A7593F" w:rsidRDefault="00A7593F" w:rsidP="00A7593F">
            <w:pPr>
              <w:jc w:val="center"/>
            </w:pPr>
            <w:r>
              <w:t>3</w:t>
            </w:r>
          </w:p>
        </w:tc>
        <w:tc>
          <w:tcPr>
            <w:tcW w:w="1019" w:type="dxa"/>
          </w:tcPr>
          <w:p w14:paraId="1598EBB0" w14:textId="75A109AF" w:rsidR="00A7593F" w:rsidRDefault="00A7593F" w:rsidP="00A7593F">
            <w:pPr>
              <w:jc w:val="center"/>
            </w:pPr>
            <w:r>
              <w:t>4</w:t>
            </w:r>
          </w:p>
        </w:tc>
        <w:tc>
          <w:tcPr>
            <w:tcW w:w="1268" w:type="dxa"/>
          </w:tcPr>
          <w:p w14:paraId="26967E7B" w14:textId="3DFD7A35" w:rsidR="00A7593F" w:rsidRDefault="00A7593F" w:rsidP="00A7593F">
            <w:pPr>
              <w:jc w:val="center"/>
            </w:pPr>
            <w:r>
              <w:t>5</w:t>
            </w:r>
          </w:p>
        </w:tc>
        <w:tc>
          <w:tcPr>
            <w:tcW w:w="1123" w:type="dxa"/>
          </w:tcPr>
          <w:p w14:paraId="767EF4DB" w14:textId="40461201" w:rsidR="00A7593F" w:rsidRDefault="00A7593F" w:rsidP="00A7593F">
            <w:pPr>
              <w:jc w:val="center"/>
            </w:pPr>
            <w:r>
              <w:t>6</w:t>
            </w:r>
          </w:p>
        </w:tc>
        <w:tc>
          <w:tcPr>
            <w:tcW w:w="1268" w:type="dxa"/>
          </w:tcPr>
          <w:p w14:paraId="7F8478A4" w14:textId="5B2D8688" w:rsidR="00A7593F" w:rsidRDefault="00A7593F" w:rsidP="00A7593F">
            <w:pPr>
              <w:jc w:val="center"/>
            </w:pPr>
            <w:r>
              <w:t>7</w:t>
            </w:r>
          </w:p>
        </w:tc>
        <w:tc>
          <w:tcPr>
            <w:tcW w:w="1400" w:type="dxa"/>
          </w:tcPr>
          <w:p w14:paraId="18153693" w14:textId="7C8EE4E5" w:rsidR="00A7593F" w:rsidRDefault="00A7593F" w:rsidP="00A7593F">
            <w:pPr>
              <w:jc w:val="center"/>
            </w:pPr>
            <w:r>
              <w:t>8</w:t>
            </w:r>
          </w:p>
        </w:tc>
      </w:tr>
      <w:tr w:rsidR="008C1EC9" w14:paraId="222C1B32" w14:textId="77777777" w:rsidTr="002F56FC">
        <w:tc>
          <w:tcPr>
            <w:tcW w:w="2139" w:type="dxa"/>
          </w:tcPr>
          <w:p w14:paraId="799D0507" w14:textId="77777777" w:rsidR="00A7593F" w:rsidRDefault="00A7593F" w:rsidP="00A7593F">
            <w:pPr>
              <w:jc w:val="both"/>
            </w:pPr>
          </w:p>
        </w:tc>
        <w:tc>
          <w:tcPr>
            <w:tcW w:w="1123" w:type="dxa"/>
            <w:vAlign w:val="center"/>
          </w:tcPr>
          <w:p w14:paraId="17D6DD99" w14:textId="17285210" w:rsidR="00A7593F" w:rsidRDefault="00A7593F" w:rsidP="00A7593F">
            <w:pPr>
              <w:jc w:val="both"/>
            </w:pPr>
            <w:r w:rsidRPr="008031C2">
              <w:rPr>
                <w:color w:val="414142"/>
              </w:rPr>
              <w:t>saskaņā ar valsts budžetu kārtējam gadam</w:t>
            </w:r>
          </w:p>
        </w:tc>
        <w:tc>
          <w:tcPr>
            <w:tcW w:w="1150" w:type="dxa"/>
            <w:vAlign w:val="center"/>
          </w:tcPr>
          <w:p w14:paraId="290005EF" w14:textId="00E0E70A" w:rsidR="00A7593F" w:rsidRDefault="00A7593F" w:rsidP="00A7593F">
            <w:pPr>
              <w:jc w:val="both"/>
            </w:pPr>
            <w:r w:rsidRPr="008031C2">
              <w:rPr>
                <w:color w:val="414142"/>
              </w:rPr>
              <w:t>izmaiņas kārtējā gadā, salīdzinot ar valsts budžetu kārtējam gadam</w:t>
            </w:r>
          </w:p>
        </w:tc>
        <w:tc>
          <w:tcPr>
            <w:tcW w:w="1019" w:type="dxa"/>
            <w:vAlign w:val="center"/>
          </w:tcPr>
          <w:p w14:paraId="00F06304" w14:textId="4F0C1916" w:rsidR="00A7593F" w:rsidRDefault="00A7593F" w:rsidP="00A7593F">
            <w:pPr>
              <w:jc w:val="both"/>
            </w:pPr>
            <w:r w:rsidRPr="008031C2">
              <w:rPr>
                <w:color w:val="414142"/>
              </w:rPr>
              <w:t>saskaņā ar vidēja termiņa budžeta ietvaru</w:t>
            </w:r>
          </w:p>
        </w:tc>
        <w:tc>
          <w:tcPr>
            <w:tcW w:w="1268" w:type="dxa"/>
            <w:vAlign w:val="center"/>
          </w:tcPr>
          <w:p w14:paraId="211344FB" w14:textId="1E2B5283" w:rsidR="00A7593F" w:rsidRDefault="00A7593F" w:rsidP="00A7593F">
            <w:pPr>
              <w:jc w:val="both"/>
            </w:pPr>
            <w:r w:rsidRPr="008031C2">
              <w:rPr>
                <w:color w:val="414142"/>
              </w:rPr>
              <w:t>izmaiņas, salīdzinot ar vidēja termiņa budžeta ietvaru 2019</w:t>
            </w:r>
            <w:r>
              <w:rPr>
                <w:color w:val="414142"/>
              </w:rPr>
              <w:t>.</w:t>
            </w:r>
            <w:r w:rsidRPr="008031C2">
              <w:rPr>
                <w:color w:val="414142"/>
              </w:rPr>
              <w:t xml:space="preserve"> gadam</w:t>
            </w:r>
          </w:p>
        </w:tc>
        <w:tc>
          <w:tcPr>
            <w:tcW w:w="1123" w:type="dxa"/>
            <w:vAlign w:val="center"/>
          </w:tcPr>
          <w:p w14:paraId="7B4A1152" w14:textId="7F0931A5" w:rsidR="00A7593F" w:rsidRDefault="00A7593F" w:rsidP="00A7593F">
            <w:pPr>
              <w:jc w:val="both"/>
            </w:pPr>
            <w:r w:rsidRPr="008031C2">
              <w:rPr>
                <w:color w:val="414142"/>
              </w:rPr>
              <w:t>saskaņā ar vidēja termiņa budžeta ietvaru</w:t>
            </w:r>
          </w:p>
        </w:tc>
        <w:tc>
          <w:tcPr>
            <w:tcW w:w="1268" w:type="dxa"/>
            <w:vAlign w:val="center"/>
          </w:tcPr>
          <w:p w14:paraId="63876EB6" w14:textId="1EC280C7" w:rsidR="00A7593F" w:rsidRDefault="00A7593F" w:rsidP="00A7593F">
            <w:pPr>
              <w:jc w:val="both"/>
            </w:pPr>
            <w:r w:rsidRPr="008031C2">
              <w:rPr>
                <w:color w:val="414142"/>
              </w:rPr>
              <w:t>izmaiņas, salīdzinot ar vidēja termiņa budžeta ietvaru 2020</w:t>
            </w:r>
            <w:r>
              <w:rPr>
                <w:color w:val="414142"/>
              </w:rPr>
              <w:t>.</w:t>
            </w:r>
            <w:r w:rsidRPr="008031C2">
              <w:rPr>
                <w:color w:val="414142"/>
              </w:rPr>
              <w:t xml:space="preserve"> gadam</w:t>
            </w:r>
          </w:p>
        </w:tc>
        <w:tc>
          <w:tcPr>
            <w:tcW w:w="1400" w:type="dxa"/>
            <w:vAlign w:val="center"/>
          </w:tcPr>
          <w:p w14:paraId="5DAF1E59" w14:textId="26D31342" w:rsidR="00A7593F" w:rsidRDefault="00A7593F" w:rsidP="00A7593F">
            <w:pPr>
              <w:jc w:val="both"/>
            </w:pPr>
            <w:r w:rsidRPr="008031C2">
              <w:rPr>
                <w:color w:val="414142"/>
              </w:rPr>
              <w:t>izmaiņas, salīdzinot ar vidēja termiņa budžeta ietvaru 2021</w:t>
            </w:r>
            <w:r>
              <w:rPr>
                <w:color w:val="414142"/>
              </w:rPr>
              <w:t>.</w:t>
            </w:r>
            <w:r w:rsidRPr="008031C2">
              <w:rPr>
                <w:color w:val="414142"/>
              </w:rPr>
              <w:t xml:space="preserve"> gadam</w:t>
            </w:r>
          </w:p>
        </w:tc>
      </w:tr>
      <w:tr w:rsidR="008C1EC9" w14:paraId="1D38AF54" w14:textId="77777777" w:rsidTr="002F56FC">
        <w:tc>
          <w:tcPr>
            <w:tcW w:w="2139" w:type="dxa"/>
          </w:tcPr>
          <w:p w14:paraId="111BFEFF" w14:textId="46F63A42" w:rsidR="008C1EC9" w:rsidRDefault="008C1EC9" w:rsidP="008C1EC9">
            <w:pPr>
              <w:jc w:val="both"/>
            </w:pPr>
            <w:r w:rsidRPr="008031C2">
              <w:rPr>
                <w:color w:val="414142"/>
              </w:rPr>
              <w:t>1. Budžeta ieņēmumi</w:t>
            </w:r>
          </w:p>
        </w:tc>
        <w:tc>
          <w:tcPr>
            <w:tcW w:w="1123" w:type="dxa"/>
          </w:tcPr>
          <w:p w14:paraId="7A122818" w14:textId="6F25D55C" w:rsidR="008C1EC9" w:rsidRDefault="008C1EC9" w:rsidP="008C1EC9">
            <w:pPr>
              <w:jc w:val="center"/>
            </w:pPr>
            <w:r w:rsidRPr="008031C2">
              <w:rPr>
                <w:rFonts w:eastAsia="Calibri"/>
                <w:b/>
              </w:rPr>
              <w:t>329 520</w:t>
            </w:r>
          </w:p>
        </w:tc>
        <w:tc>
          <w:tcPr>
            <w:tcW w:w="1150" w:type="dxa"/>
          </w:tcPr>
          <w:p w14:paraId="2599080C" w14:textId="19770D08" w:rsidR="008C1EC9" w:rsidRDefault="008C1EC9" w:rsidP="008C1EC9">
            <w:pPr>
              <w:jc w:val="center"/>
            </w:pPr>
            <w:r w:rsidRPr="008031C2">
              <w:rPr>
                <w:rFonts w:eastAsia="Calibri"/>
                <w:b/>
              </w:rPr>
              <w:t>0</w:t>
            </w:r>
          </w:p>
        </w:tc>
        <w:tc>
          <w:tcPr>
            <w:tcW w:w="1019" w:type="dxa"/>
          </w:tcPr>
          <w:p w14:paraId="7AD67A6A" w14:textId="073BA0E2" w:rsidR="008C1EC9" w:rsidRDefault="008C1EC9" w:rsidP="008C1EC9">
            <w:pPr>
              <w:jc w:val="center"/>
            </w:pPr>
            <w:r w:rsidRPr="008031C2">
              <w:rPr>
                <w:rFonts w:eastAsia="Calibri"/>
                <w:b/>
              </w:rPr>
              <w:t>372 316</w:t>
            </w:r>
          </w:p>
        </w:tc>
        <w:tc>
          <w:tcPr>
            <w:tcW w:w="1268" w:type="dxa"/>
          </w:tcPr>
          <w:p w14:paraId="11232E58" w14:textId="1597C1B1" w:rsidR="008C1EC9" w:rsidRDefault="008C1EC9" w:rsidP="008C1EC9">
            <w:pPr>
              <w:jc w:val="center"/>
            </w:pPr>
            <w:r w:rsidRPr="008031C2">
              <w:rPr>
                <w:rFonts w:eastAsia="Calibri"/>
                <w:b/>
              </w:rPr>
              <w:t>0</w:t>
            </w:r>
          </w:p>
        </w:tc>
        <w:tc>
          <w:tcPr>
            <w:tcW w:w="1123" w:type="dxa"/>
          </w:tcPr>
          <w:p w14:paraId="0DB5A6EF" w14:textId="79EE50A1" w:rsidR="008C1EC9" w:rsidRDefault="008C1EC9" w:rsidP="008C1EC9">
            <w:pPr>
              <w:jc w:val="center"/>
            </w:pPr>
            <w:r w:rsidRPr="008031C2">
              <w:rPr>
                <w:rFonts w:eastAsia="Calibri"/>
                <w:b/>
              </w:rPr>
              <w:t>256 769</w:t>
            </w:r>
          </w:p>
        </w:tc>
        <w:tc>
          <w:tcPr>
            <w:tcW w:w="1268" w:type="dxa"/>
          </w:tcPr>
          <w:p w14:paraId="0CD1E4D0" w14:textId="46982C92" w:rsidR="008C1EC9" w:rsidRDefault="008C1EC9" w:rsidP="008C1EC9">
            <w:pPr>
              <w:jc w:val="center"/>
            </w:pPr>
            <w:r w:rsidRPr="008031C2">
              <w:rPr>
                <w:rFonts w:eastAsia="Calibri"/>
                <w:b/>
              </w:rPr>
              <w:t>0</w:t>
            </w:r>
          </w:p>
        </w:tc>
        <w:tc>
          <w:tcPr>
            <w:tcW w:w="1400" w:type="dxa"/>
          </w:tcPr>
          <w:p w14:paraId="6B43A5B3" w14:textId="56F2AF16" w:rsidR="008C1EC9" w:rsidRDefault="008C1EC9" w:rsidP="008C1EC9">
            <w:pPr>
              <w:jc w:val="center"/>
            </w:pPr>
            <w:r w:rsidRPr="008031C2">
              <w:rPr>
                <w:rFonts w:eastAsia="Calibri"/>
                <w:b/>
              </w:rPr>
              <w:t>0</w:t>
            </w:r>
          </w:p>
        </w:tc>
      </w:tr>
      <w:tr w:rsidR="008C1EC9" w14:paraId="509934B7" w14:textId="77777777" w:rsidTr="002F56FC">
        <w:tc>
          <w:tcPr>
            <w:tcW w:w="2139" w:type="dxa"/>
          </w:tcPr>
          <w:p w14:paraId="22AAE131" w14:textId="600F2D4A" w:rsidR="008C1EC9" w:rsidRDefault="008C1EC9" w:rsidP="008C1EC9">
            <w:pPr>
              <w:jc w:val="both"/>
            </w:pPr>
            <w:r w:rsidRPr="008031C2">
              <w:rPr>
                <w:color w:val="414142"/>
              </w:rPr>
              <w:t>1.1. valsts pamatbudžets, tai skaitā ieņēmumi no maksas pakalpojumiem un citi pašu ieņēmumi</w:t>
            </w:r>
          </w:p>
        </w:tc>
        <w:tc>
          <w:tcPr>
            <w:tcW w:w="1123" w:type="dxa"/>
          </w:tcPr>
          <w:p w14:paraId="108DC6B5" w14:textId="41496093" w:rsidR="008C1EC9" w:rsidRDefault="008C1EC9" w:rsidP="008C1EC9">
            <w:pPr>
              <w:jc w:val="center"/>
            </w:pPr>
            <w:r w:rsidRPr="008031C2">
              <w:rPr>
                <w:rFonts w:eastAsia="Calibri"/>
              </w:rPr>
              <w:t>329 520</w:t>
            </w:r>
          </w:p>
        </w:tc>
        <w:tc>
          <w:tcPr>
            <w:tcW w:w="1150" w:type="dxa"/>
          </w:tcPr>
          <w:p w14:paraId="2A0CC02F" w14:textId="370AC86F" w:rsidR="008C1EC9" w:rsidRDefault="008C1EC9" w:rsidP="008C1EC9">
            <w:pPr>
              <w:jc w:val="center"/>
            </w:pPr>
            <w:r w:rsidRPr="008031C2">
              <w:rPr>
                <w:rFonts w:eastAsia="Calibri"/>
              </w:rPr>
              <w:t>0</w:t>
            </w:r>
          </w:p>
        </w:tc>
        <w:tc>
          <w:tcPr>
            <w:tcW w:w="1019" w:type="dxa"/>
          </w:tcPr>
          <w:p w14:paraId="463587EA" w14:textId="33B82CC8" w:rsidR="008C1EC9" w:rsidRDefault="008C1EC9" w:rsidP="008C1EC9">
            <w:pPr>
              <w:jc w:val="center"/>
            </w:pPr>
            <w:r w:rsidRPr="008031C2">
              <w:rPr>
                <w:rFonts w:eastAsia="Calibri"/>
              </w:rPr>
              <w:t>372 316</w:t>
            </w:r>
          </w:p>
        </w:tc>
        <w:tc>
          <w:tcPr>
            <w:tcW w:w="1268" w:type="dxa"/>
          </w:tcPr>
          <w:p w14:paraId="0EAC08BB" w14:textId="3B9AC20F" w:rsidR="008C1EC9" w:rsidRDefault="008C1EC9" w:rsidP="008C1EC9">
            <w:pPr>
              <w:jc w:val="center"/>
            </w:pPr>
            <w:r w:rsidRPr="008031C2">
              <w:rPr>
                <w:rFonts w:eastAsia="Calibri"/>
              </w:rPr>
              <w:t>0</w:t>
            </w:r>
          </w:p>
        </w:tc>
        <w:tc>
          <w:tcPr>
            <w:tcW w:w="1123" w:type="dxa"/>
          </w:tcPr>
          <w:p w14:paraId="78D7B6E9" w14:textId="3B138547" w:rsidR="008C1EC9" w:rsidRDefault="008C1EC9" w:rsidP="008C1EC9">
            <w:pPr>
              <w:jc w:val="center"/>
            </w:pPr>
            <w:r w:rsidRPr="008031C2">
              <w:rPr>
                <w:rFonts w:eastAsia="Calibri"/>
              </w:rPr>
              <w:t>256 769</w:t>
            </w:r>
          </w:p>
        </w:tc>
        <w:tc>
          <w:tcPr>
            <w:tcW w:w="1268" w:type="dxa"/>
          </w:tcPr>
          <w:p w14:paraId="069105B4" w14:textId="76ECC7BC" w:rsidR="008C1EC9" w:rsidRDefault="008C1EC9" w:rsidP="008C1EC9">
            <w:pPr>
              <w:jc w:val="center"/>
            </w:pPr>
            <w:r w:rsidRPr="008031C2">
              <w:rPr>
                <w:rFonts w:eastAsia="Calibri"/>
              </w:rPr>
              <w:t>0</w:t>
            </w:r>
          </w:p>
        </w:tc>
        <w:tc>
          <w:tcPr>
            <w:tcW w:w="1400" w:type="dxa"/>
          </w:tcPr>
          <w:p w14:paraId="04948404" w14:textId="74B77A6B" w:rsidR="008C1EC9" w:rsidRDefault="008C1EC9" w:rsidP="008C1EC9">
            <w:pPr>
              <w:jc w:val="center"/>
            </w:pPr>
            <w:r w:rsidRPr="008031C2">
              <w:rPr>
                <w:rFonts w:eastAsia="Calibri"/>
              </w:rPr>
              <w:t>0</w:t>
            </w:r>
          </w:p>
        </w:tc>
      </w:tr>
      <w:tr w:rsidR="008C1EC9" w14:paraId="0B929AFB" w14:textId="77777777" w:rsidTr="002F56FC">
        <w:tc>
          <w:tcPr>
            <w:tcW w:w="2139" w:type="dxa"/>
          </w:tcPr>
          <w:p w14:paraId="51EFC780" w14:textId="0D016D63" w:rsidR="008C1EC9" w:rsidRDefault="008C1EC9" w:rsidP="008C1EC9">
            <w:pPr>
              <w:jc w:val="both"/>
            </w:pPr>
            <w:r w:rsidRPr="008031C2">
              <w:rPr>
                <w:rFonts w:eastAsia="Arial Unicode MS"/>
              </w:rPr>
              <w:t>IZM budžeta apakšprogramma 01.15.00 „Sociālā atbalsta programma vispārējās izglītības pedagogiem”</w:t>
            </w:r>
          </w:p>
        </w:tc>
        <w:tc>
          <w:tcPr>
            <w:tcW w:w="1123" w:type="dxa"/>
            <w:vAlign w:val="center"/>
          </w:tcPr>
          <w:p w14:paraId="76C56638" w14:textId="0ACE1A0D" w:rsidR="008C1EC9" w:rsidRDefault="008C1EC9" w:rsidP="008C1EC9">
            <w:pPr>
              <w:jc w:val="center"/>
            </w:pPr>
            <w:r w:rsidRPr="008031C2">
              <w:rPr>
                <w:rFonts w:eastAsia="Calibri"/>
              </w:rPr>
              <w:t>329 520</w:t>
            </w:r>
          </w:p>
        </w:tc>
        <w:tc>
          <w:tcPr>
            <w:tcW w:w="1150" w:type="dxa"/>
            <w:vAlign w:val="center"/>
          </w:tcPr>
          <w:p w14:paraId="0DEF61B1" w14:textId="1FCA2936" w:rsidR="008C1EC9" w:rsidRDefault="008C1EC9" w:rsidP="008C1EC9">
            <w:pPr>
              <w:jc w:val="center"/>
            </w:pPr>
            <w:r w:rsidRPr="008031C2">
              <w:rPr>
                <w:color w:val="414142"/>
              </w:rPr>
              <w:t>0</w:t>
            </w:r>
          </w:p>
        </w:tc>
        <w:tc>
          <w:tcPr>
            <w:tcW w:w="1019" w:type="dxa"/>
            <w:vAlign w:val="center"/>
          </w:tcPr>
          <w:p w14:paraId="338373C8" w14:textId="299BB0D8" w:rsidR="008C1EC9" w:rsidRDefault="008C1EC9" w:rsidP="008C1EC9">
            <w:pPr>
              <w:jc w:val="center"/>
            </w:pPr>
            <w:r w:rsidRPr="008031C2">
              <w:rPr>
                <w:rFonts w:eastAsia="Calibri"/>
              </w:rPr>
              <w:t>372 316</w:t>
            </w:r>
          </w:p>
        </w:tc>
        <w:tc>
          <w:tcPr>
            <w:tcW w:w="1268" w:type="dxa"/>
            <w:vAlign w:val="center"/>
          </w:tcPr>
          <w:p w14:paraId="54FD8723" w14:textId="54DC1919" w:rsidR="008C1EC9" w:rsidRDefault="008C1EC9" w:rsidP="008C1EC9">
            <w:pPr>
              <w:jc w:val="center"/>
            </w:pPr>
            <w:r w:rsidRPr="008031C2">
              <w:rPr>
                <w:color w:val="414142"/>
              </w:rPr>
              <w:t>0</w:t>
            </w:r>
          </w:p>
        </w:tc>
        <w:tc>
          <w:tcPr>
            <w:tcW w:w="1123" w:type="dxa"/>
            <w:vAlign w:val="center"/>
          </w:tcPr>
          <w:p w14:paraId="1D362E7F" w14:textId="1ABBAAA0" w:rsidR="008C1EC9" w:rsidRDefault="008C1EC9" w:rsidP="008C1EC9">
            <w:pPr>
              <w:jc w:val="center"/>
            </w:pPr>
            <w:r w:rsidRPr="008031C2">
              <w:rPr>
                <w:rFonts w:eastAsia="Calibri"/>
              </w:rPr>
              <w:t>256 769</w:t>
            </w:r>
          </w:p>
        </w:tc>
        <w:tc>
          <w:tcPr>
            <w:tcW w:w="1268" w:type="dxa"/>
            <w:vAlign w:val="center"/>
          </w:tcPr>
          <w:p w14:paraId="42A27D60" w14:textId="2C8D8E19" w:rsidR="008C1EC9" w:rsidRDefault="008C1EC9" w:rsidP="008C1EC9">
            <w:pPr>
              <w:jc w:val="center"/>
            </w:pPr>
            <w:r w:rsidRPr="008031C2">
              <w:rPr>
                <w:color w:val="414142"/>
              </w:rPr>
              <w:t>0</w:t>
            </w:r>
          </w:p>
        </w:tc>
        <w:tc>
          <w:tcPr>
            <w:tcW w:w="1400" w:type="dxa"/>
            <w:vAlign w:val="center"/>
          </w:tcPr>
          <w:p w14:paraId="6EB0B166" w14:textId="4D9123FB" w:rsidR="008C1EC9" w:rsidRDefault="008C1EC9" w:rsidP="008C1EC9">
            <w:pPr>
              <w:jc w:val="center"/>
            </w:pPr>
            <w:r w:rsidRPr="008031C2">
              <w:rPr>
                <w:color w:val="414142"/>
              </w:rPr>
              <w:t>0</w:t>
            </w:r>
          </w:p>
        </w:tc>
      </w:tr>
      <w:tr w:rsidR="008C1EC9" w14:paraId="19C901D8" w14:textId="77777777" w:rsidTr="002F56FC">
        <w:tc>
          <w:tcPr>
            <w:tcW w:w="2139" w:type="dxa"/>
          </w:tcPr>
          <w:p w14:paraId="169CD43C" w14:textId="7E5FB92B" w:rsidR="008C1EC9" w:rsidRDefault="008C1EC9" w:rsidP="008C1EC9">
            <w:pPr>
              <w:jc w:val="both"/>
            </w:pPr>
            <w:r w:rsidRPr="008031C2">
              <w:rPr>
                <w:color w:val="414142"/>
              </w:rPr>
              <w:t>1.2. valsts speciālais budžets</w:t>
            </w:r>
          </w:p>
        </w:tc>
        <w:tc>
          <w:tcPr>
            <w:tcW w:w="1123" w:type="dxa"/>
            <w:vAlign w:val="center"/>
          </w:tcPr>
          <w:p w14:paraId="1986B2A7" w14:textId="405317A9" w:rsidR="008C1EC9" w:rsidRDefault="008C1EC9" w:rsidP="008C1EC9">
            <w:pPr>
              <w:jc w:val="center"/>
            </w:pPr>
            <w:r w:rsidRPr="008031C2">
              <w:rPr>
                <w:color w:val="414142"/>
              </w:rPr>
              <w:t>0</w:t>
            </w:r>
          </w:p>
        </w:tc>
        <w:tc>
          <w:tcPr>
            <w:tcW w:w="1150" w:type="dxa"/>
            <w:vAlign w:val="center"/>
          </w:tcPr>
          <w:p w14:paraId="5F8074A0" w14:textId="4EBF90ED" w:rsidR="008C1EC9" w:rsidRDefault="008C1EC9" w:rsidP="008C1EC9">
            <w:pPr>
              <w:jc w:val="center"/>
            </w:pPr>
            <w:r w:rsidRPr="008031C2">
              <w:rPr>
                <w:color w:val="414142"/>
              </w:rPr>
              <w:t>0</w:t>
            </w:r>
          </w:p>
        </w:tc>
        <w:tc>
          <w:tcPr>
            <w:tcW w:w="1019" w:type="dxa"/>
            <w:vAlign w:val="center"/>
          </w:tcPr>
          <w:p w14:paraId="5E0714A9" w14:textId="2627A878" w:rsidR="008C1EC9" w:rsidRDefault="008C1EC9" w:rsidP="008C1EC9">
            <w:pPr>
              <w:jc w:val="center"/>
            </w:pPr>
            <w:r w:rsidRPr="008031C2">
              <w:rPr>
                <w:color w:val="414142"/>
              </w:rPr>
              <w:t>0</w:t>
            </w:r>
          </w:p>
        </w:tc>
        <w:tc>
          <w:tcPr>
            <w:tcW w:w="1268" w:type="dxa"/>
            <w:vAlign w:val="center"/>
          </w:tcPr>
          <w:p w14:paraId="50B07EDF" w14:textId="5A76CB4D" w:rsidR="008C1EC9" w:rsidRDefault="008C1EC9" w:rsidP="008C1EC9">
            <w:pPr>
              <w:jc w:val="center"/>
            </w:pPr>
            <w:r w:rsidRPr="008031C2">
              <w:rPr>
                <w:color w:val="414142"/>
              </w:rPr>
              <w:t>0</w:t>
            </w:r>
          </w:p>
        </w:tc>
        <w:tc>
          <w:tcPr>
            <w:tcW w:w="1123" w:type="dxa"/>
            <w:vAlign w:val="center"/>
          </w:tcPr>
          <w:p w14:paraId="1E0004EF" w14:textId="1A621C4C" w:rsidR="008C1EC9" w:rsidRDefault="008C1EC9" w:rsidP="008C1EC9">
            <w:pPr>
              <w:jc w:val="center"/>
            </w:pPr>
            <w:r w:rsidRPr="008031C2">
              <w:rPr>
                <w:color w:val="414142"/>
              </w:rPr>
              <w:t>0</w:t>
            </w:r>
          </w:p>
        </w:tc>
        <w:tc>
          <w:tcPr>
            <w:tcW w:w="1268" w:type="dxa"/>
            <w:vAlign w:val="center"/>
          </w:tcPr>
          <w:p w14:paraId="01CA0917" w14:textId="40E4427C" w:rsidR="008C1EC9" w:rsidRDefault="008C1EC9" w:rsidP="008C1EC9">
            <w:pPr>
              <w:jc w:val="center"/>
            </w:pPr>
            <w:r w:rsidRPr="008031C2">
              <w:rPr>
                <w:color w:val="414142"/>
              </w:rPr>
              <w:t>0</w:t>
            </w:r>
          </w:p>
        </w:tc>
        <w:tc>
          <w:tcPr>
            <w:tcW w:w="1400" w:type="dxa"/>
            <w:vAlign w:val="center"/>
          </w:tcPr>
          <w:p w14:paraId="3ECB56AD" w14:textId="0FD775B4" w:rsidR="008C1EC9" w:rsidRDefault="008C1EC9" w:rsidP="008C1EC9">
            <w:pPr>
              <w:jc w:val="center"/>
            </w:pPr>
            <w:r w:rsidRPr="008031C2">
              <w:rPr>
                <w:color w:val="414142"/>
              </w:rPr>
              <w:t>0</w:t>
            </w:r>
          </w:p>
        </w:tc>
      </w:tr>
      <w:tr w:rsidR="008C1EC9" w14:paraId="014D40DF" w14:textId="77777777" w:rsidTr="002F56FC">
        <w:tc>
          <w:tcPr>
            <w:tcW w:w="2139" w:type="dxa"/>
          </w:tcPr>
          <w:p w14:paraId="0C82EECD" w14:textId="72B5F165" w:rsidR="008C1EC9" w:rsidRPr="008031C2" w:rsidRDefault="008C1EC9" w:rsidP="008C1EC9">
            <w:pPr>
              <w:jc w:val="both"/>
              <w:rPr>
                <w:color w:val="414142"/>
              </w:rPr>
            </w:pPr>
            <w:r w:rsidRPr="008031C2">
              <w:rPr>
                <w:color w:val="414142"/>
              </w:rPr>
              <w:t>1.3. pašvaldību budžets</w:t>
            </w:r>
          </w:p>
        </w:tc>
        <w:tc>
          <w:tcPr>
            <w:tcW w:w="1123" w:type="dxa"/>
            <w:vAlign w:val="center"/>
          </w:tcPr>
          <w:p w14:paraId="160FF356" w14:textId="57CB2805" w:rsidR="008C1EC9" w:rsidRPr="008031C2" w:rsidRDefault="008C1EC9" w:rsidP="008C1EC9">
            <w:pPr>
              <w:jc w:val="center"/>
              <w:rPr>
                <w:color w:val="414142"/>
              </w:rPr>
            </w:pPr>
            <w:r w:rsidRPr="008031C2">
              <w:rPr>
                <w:color w:val="414142"/>
              </w:rPr>
              <w:t>0</w:t>
            </w:r>
          </w:p>
        </w:tc>
        <w:tc>
          <w:tcPr>
            <w:tcW w:w="1150" w:type="dxa"/>
            <w:vAlign w:val="center"/>
          </w:tcPr>
          <w:p w14:paraId="7CF6DAF1" w14:textId="27CB3969" w:rsidR="008C1EC9" w:rsidRPr="008031C2" w:rsidRDefault="008C1EC9" w:rsidP="008C1EC9">
            <w:pPr>
              <w:jc w:val="center"/>
              <w:rPr>
                <w:color w:val="414142"/>
              </w:rPr>
            </w:pPr>
            <w:r w:rsidRPr="008031C2">
              <w:rPr>
                <w:color w:val="414142"/>
              </w:rPr>
              <w:t>0</w:t>
            </w:r>
          </w:p>
        </w:tc>
        <w:tc>
          <w:tcPr>
            <w:tcW w:w="1019" w:type="dxa"/>
            <w:vAlign w:val="center"/>
          </w:tcPr>
          <w:p w14:paraId="253A524D" w14:textId="3A6632B5" w:rsidR="008C1EC9" w:rsidRPr="008031C2" w:rsidRDefault="008C1EC9" w:rsidP="008C1EC9">
            <w:pPr>
              <w:jc w:val="center"/>
              <w:rPr>
                <w:color w:val="414142"/>
              </w:rPr>
            </w:pPr>
            <w:r w:rsidRPr="008031C2">
              <w:rPr>
                <w:color w:val="414142"/>
              </w:rPr>
              <w:t>0</w:t>
            </w:r>
          </w:p>
        </w:tc>
        <w:tc>
          <w:tcPr>
            <w:tcW w:w="1268" w:type="dxa"/>
            <w:vAlign w:val="center"/>
          </w:tcPr>
          <w:p w14:paraId="49742C76" w14:textId="7DB4211E" w:rsidR="008C1EC9" w:rsidRPr="008031C2" w:rsidRDefault="008C1EC9" w:rsidP="008C1EC9">
            <w:pPr>
              <w:jc w:val="center"/>
              <w:rPr>
                <w:color w:val="414142"/>
              </w:rPr>
            </w:pPr>
            <w:r w:rsidRPr="008031C2">
              <w:rPr>
                <w:color w:val="414142"/>
              </w:rPr>
              <w:t>0</w:t>
            </w:r>
          </w:p>
        </w:tc>
        <w:tc>
          <w:tcPr>
            <w:tcW w:w="1123" w:type="dxa"/>
            <w:vAlign w:val="center"/>
          </w:tcPr>
          <w:p w14:paraId="08DA9891" w14:textId="0267742A" w:rsidR="008C1EC9" w:rsidRPr="008031C2" w:rsidRDefault="008C1EC9" w:rsidP="008C1EC9">
            <w:pPr>
              <w:jc w:val="center"/>
              <w:rPr>
                <w:color w:val="414142"/>
              </w:rPr>
            </w:pPr>
            <w:r w:rsidRPr="008031C2">
              <w:rPr>
                <w:color w:val="414142"/>
              </w:rPr>
              <w:t>0</w:t>
            </w:r>
          </w:p>
        </w:tc>
        <w:tc>
          <w:tcPr>
            <w:tcW w:w="1268" w:type="dxa"/>
            <w:vAlign w:val="center"/>
          </w:tcPr>
          <w:p w14:paraId="451BA328" w14:textId="55E010E6" w:rsidR="008C1EC9" w:rsidRPr="008031C2" w:rsidRDefault="008C1EC9" w:rsidP="008C1EC9">
            <w:pPr>
              <w:jc w:val="center"/>
              <w:rPr>
                <w:color w:val="414142"/>
              </w:rPr>
            </w:pPr>
            <w:r w:rsidRPr="008031C2">
              <w:rPr>
                <w:color w:val="414142"/>
              </w:rPr>
              <w:t>0</w:t>
            </w:r>
          </w:p>
        </w:tc>
        <w:tc>
          <w:tcPr>
            <w:tcW w:w="1400" w:type="dxa"/>
            <w:vAlign w:val="center"/>
          </w:tcPr>
          <w:p w14:paraId="504EFD03" w14:textId="0FF536C1" w:rsidR="008C1EC9" w:rsidRPr="008031C2" w:rsidRDefault="008C1EC9" w:rsidP="008C1EC9">
            <w:pPr>
              <w:jc w:val="center"/>
              <w:rPr>
                <w:color w:val="414142"/>
              </w:rPr>
            </w:pPr>
            <w:r w:rsidRPr="008031C2">
              <w:rPr>
                <w:color w:val="414142"/>
              </w:rPr>
              <w:t>0</w:t>
            </w:r>
          </w:p>
        </w:tc>
      </w:tr>
      <w:tr w:rsidR="008C1EC9" w14:paraId="44C178CE" w14:textId="77777777" w:rsidTr="002F56FC">
        <w:tc>
          <w:tcPr>
            <w:tcW w:w="2139" w:type="dxa"/>
          </w:tcPr>
          <w:p w14:paraId="5DF812B9" w14:textId="7A4A9E5D" w:rsidR="008C1EC9" w:rsidRDefault="008C1EC9" w:rsidP="008C1EC9">
            <w:pPr>
              <w:jc w:val="both"/>
            </w:pPr>
            <w:r w:rsidRPr="008031C2">
              <w:rPr>
                <w:color w:val="414142"/>
              </w:rPr>
              <w:t>2. Budžeta izdevumi</w:t>
            </w:r>
          </w:p>
        </w:tc>
        <w:tc>
          <w:tcPr>
            <w:tcW w:w="1123" w:type="dxa"/>
          </w:tcPr>
          <w:p w14:paraId="10F32E0F" w14:textId="1BAA58D6" w:rsidR="008C1EC9" w:rsidRDefault="008C1EC9" w:rsidP="008C1EC9">
            <w:pPr>
              <w:jc w:val="center"/>
            </w:pPr>
            <w:r w:rsidRPr="008031C2">
              <w:rPr>
                <w:rFonts w:eastAsia="Calibri"/>
                <w:b/>
              </w:rPr>
              <w:t>329 520</w:t>
            </w:r>
          </w:p>
        </w:tc>
        <w:tc>
          <w:tcPr>
            <w:tcW w:w="1150" w:type="dxa"/>
            <w:vAlign w:val="center"/>
          </w:tcPr>
          <w:p w14:paraId="5C3AA9AC" w14:textId="4D424382" w:rsidR="008C1EC9" w:rsidRDefault="008C1EC9" w:rsidP="008C1EC9">
            <w:pPr>
              <w:jc w:val="center"/>
            </w:pPr>
            <w:r w:rsidRPr="008031C2">
              <w:rPr>
                <w:color w:val="414142"/>
              </w:rPr>
              <w:t>0</w:t>
            </w:r>
          </w:p>
        </w:tc>
        <w:tc>
          <w:tcPr>
            <w:tcW w:w="1019" w:type="dxa"/>
          </w:tcPr>
          <w:p w14:paraId="518C1C7A" w14:textId="4747713C" w:rsidR="008C1EC9" w:rsidRDefault="008C1EC9" w:rsidP="008C1EC9">
            <w:pPr>
              <w:jc w:val="center"/>
            </w:pPr>
            <w:r w:rsidRPr="008031C2">
              <w:rPr>
                <w:rFonts w:eastAsia="Calibri"/>
                <w:b/>
              </w:rPr>
              <w:t>372 316</w:t>
            </w:r>
          </w:p>
        </w:tc>
        <w:tc>
          <w:tcPr>
            <w:tcW w:w="1268" w:type="dxa"/>
            <w:vAlign w:val="center"/>
          </w:tcPr>
          <w:p w14:paraId="072D4ADE" w14:textId="0224B151" w:rsidR="008C1EC9" w:rsidRDefault="008C1EC9" w:rsidP="008C1EC9">
            <w:pPr>
              <w:jc w:val="center"/>
            </w:pPr>
            <w:r w:rsidRPr="008031C2">
              <w:rPr>
                <w:color w:val="414142"/>
              </w:rPr>
              <w:t>0</w:t>
            </w:r>
          </w:p>
        </w:tc>
        <w:tc>
          <w:tcPr>
            <w:tcW w:w="1123" w:type="dxa"/>
          </w:tcPr>
          <w:p w14:paraId="6F9DD241" w14:textId="34499579" w:rsidR="008C1EC9" w:rsidRDefault="008C1EC9" w:rsidP="008C1EC9">
            <w:pPr>
              <w:jc w:val="center"/>
            </w:pPr>
            <w:r w:rsidRPr="008031C2">
              <w:rPr>
                <w:rFonts w:eastAsia="Calibri"/>
                <w:b/>
              </w:rPr>
              <w:t>256 769</w:t>
            </w:r>
          </w:p>
        </w:tc>
        <w:tc>
          <w:tcPr>
            <w:tcW w:w="1268" w:type="dxa"/>
            <w:vAlign w:val="center"/>
          </w:tcPr>
          <w:p w14:paraId="1497FCE1" w14:textId="54B310CB" w:rsidR="008C1EC9" w:rsidRDefault="008C1EC9" w:rsidP="008C1EC9">
            <w:pPr>
              <w:jc w:val="center"/>
            </w:pPr>
            <w:r w:rsidRPr="008031C2">
              <w:rPr>
                <w:color w:val="414142"/>
              </w:rPr>
              <w:t>0</w:t>
            </w:r>
          </w:p>
        </w:tc>
        <w:tc>
          <w:tcPr>
            <w:tcW w:w="1400" w:type="dxa"/>
            <w:vAlign w:val="center"/>
          </w:tcPr>
          <w:p w14:paraId="25CD018E" w14:textId="74982791" w:rsidR="008C1EC9" w:rsidRDefault="008C1EC9" w:rsidP="008C1EC9">
            <w:pPr>
              <w:jc w:val="center"/>
            </w:pPr>
            <w:r w:rsidRPr="008031C2">
              <w:rPr>
                <w:color w:val="414142"/>
              </w:rPr>
              <w:t>0</w:t>
            </w:r>
          </w:p>
        </w:tc>
      </w:tr>
      <w:tr w:rsidR="008C1EC9" w14:paraId="4853A244" w14:textId="77777777" w:rsidTr="002F56FC">
        <w:tc>
          <w:tcPr>
            <w:tcW w:w="2139" w:type="dxa"/>
          </w:tcPr>
          <w:p w14:paraId="620003F3" w14:textId="525AB964" w:rsidR="008C1EC9" w:rsidRDefault="008C1EC9" w:rsidP="008C1EC9">
            <w:pPr>
              <w:jc w:val="both"/>
            </w:pPr>
            <w:r w:rsidRPr="008031C2">
              <w:rPr>
                <w:color w:val="414142"/>
              </w:rPr>
              <w:t>2.1. valsts pamatbudžets</w:t>
            </w:r>
          </w:p>
        </w:tc>
        <w:tc>
          <w:tcPr>
            <w:tcW w:w="1123" w:type="dxa"/>
          </w:tcPr>
          <w:p w14:paraId="35A46E26" w14:textId="7D8719C6" w:rsidR="008C1EC9" w:rsidRDefault="008C1EC9" w:rsidP="008C1EC9">
            <w:pPr>
              <w:jc w:val="center"/>
            </w:pPr>
            <w:r w:rsidRPr="008031C2">
              <w:rPr>
                <w:rFonts w:eastAsia="Calibri"/>
              </w:rPr>
              <w:t>329 520</w:t>
            </w:r>
          </w:p>
        </w:tc>
        <w:tc>
          <w:tcPr>
            <w:tcW w:w="1150" w:type="dxa"/>
            <w:vAlign w:val="center"/>
          </w:tcPr>
          <w:p w14:paraId="00227EBA" w14:textId="0C32E522" w:rsidR="008C1EC9" w:rsidRDefault="008C1EC9" w:rsidP="008C1EC9">
            <w:pPr>
              <w:jc w:val="center"/>
            </w:pPr>
            <w:r w:rsidRPr="008031C2">
              <w:rPr>
                <w:color w:val="414142"/>
              </w:rPr>
              <w:t>0</w:t>
            </w:r>
          </w:p>
        </w:tc>
        <w:tc>
          <w:tcPr>
            <w:tcW w:w="1019" w:type="dxa"/>
          </w:tcPr>
          <w:p w14:paraId="46644DA8" w14:textId="43D2B964" w:rsidR="008C1EC9" w:rsidRDefault="008C1EC9" w:rsidP="008C1EC9">
            <w:pPr>
              <w:jc w:val="center"/>
            </w:pPr>
            <w:r w:rsidRPr="008031C2">
              <w:rPr>
                <w:rFonts w:eastAsia="Calibri"/>
              </w:rPr>
              <w:t>372 316</w:t>
            </w:r>
          </w:p>
        </w:tc>
        <w:tc>
          <w:tcPr>
            <w:tcW w:w="1268" w:type="dxa"/>
            <w:vAlign w:val="center"/>
          </w:tcPr>
          <w:p w14:paraId="110406B2" w14:textId="178CFBC8" w:rsidR="008C1EC9" w:rsidRDefault="008C1EC9" w:rsidP="008C1EC9">
            <w:pPr>
              <w:jc w:val="center"/>
            </w:pPr>
            <w:r w:rsidRPr="008031C2">
              <w:rPr>
                <w:color w:val="414142"/>
              </w:rPr>
              <w:t>0</w:t>
            </w:r>
          </w:p>
        </w:tc>
        <w:tc>
          <w:tcPr>
            <w:tcW w:w="1123" w:type="dxa"/>
          </w:tcPr>
          <w:p w14:paraId="6281824D" w14:textId="6EBD30A5" w:rsidR="008C1EC9" w:rsidRDefault="008C1EC9" w:rsidP="008C1EC9">
            <w:pPr>
              <w:jc w:val="center"/>
            </w:pPr>
            <w:r w:rsidRPr="008031C2">
              <w:rPr>
                <w:rFonts w:eastAsia="Calibri"/>
              </w:rPr>
              <w:t>256 769</w:t>
            </w:r>
          </w:p>
        </w:tc>
        <w:tc>
          <w:tcPr>
            <w:tcW w:w="1268" w:type="dxa"/>
            <w:vAlign w:val="center"/>
          </w:tcPr>
          <w:p w14:paraId="1D70A130" w14:textId="16A3E480" w:rsidR="008C1EC9" w:rsidRDefault="008C1EC9" w:rsidP="008C1EC9">
            <w:pPr>
              <w:jc w:val="center"/>
            </w:pPr>
            <w:r w:rsidRPr="008031C2">
              <w:rPr>
                <w:color w:val="414142"/>
              </w:rPr>
              <w:t>0</w:t>
            </w:r>
          </w:p>
        </w:tc>
        <w:tc>
          <w:tcPr>
            <w:tcW w:w="1400" w:type="dxa"/>
            <w:vAlign w:val="center"/>
          </w:tcPr>
          <w:p w14:paraId="04E4606B" w14:textId="2881C8DC" w:rsidR="008C1EC9" w:rsidRDefault="008C1EC9" w:rsidP="008C1EC9">
            <w:pPr>
              <w:jc w:val="center"/>
            </w:pPr>
            <w:r w:rsidRPr="008031C2">
              <w:rPr>
                <w:color w:val="414142"/>
              </w:rPr>
              <w:t>0</w:t>
            </w:r>
          </w:p>
        </w:tc>
      </w:tr>
      <w:tr w:rsidR="008C1EC9" w14:paraId="41F837EA" w14:textId="77777777" w:rsidTr="002F56FC">
        <w:tc>
          <w:tcPr>
            <w:tcW w:w="2139" w:type="dxa"/>
          </w:tcPr>
          <w:p w14:paraId="71C057C8" w14:textId="0749B63B" w:rsidR="008C1EC9" w:rsidRDefault="008C1EC9" w:rsidP="008C1EC9">
            <w:pPr>
              <w:jc w:val="both"/>
            </w:pPr>
            <w:r w:rsidRPr="008031C2">
              <w:rPr>
                <w:rFonts w:eastAsia="Arial Unicode MS"/>
              </w:rPr>
              <w:t>IZM budžeta apakšprogramma 01.15.00 „Sociālā atbalsta programma vispārējās izglītības pedagogiem”</w:t>
            </w:r>
          </w:p>
        </w:tc>
        <w:tc>
          <w:tcPr>
            <w:tcW w:w="1123" w:type="dxa"/>
          </w:tcPr>
          <w:p w14:paraId="7AF48565" w14:textId="31E0B99F" w:rsidR="008C1EC9" w:rsidRDefault="008C1EC9" w:rsidP="008C1EC9">
            <w:pPr>
              <w:jc w:val="center"/>
            </w:pPr>
            <w:r w:rsidRPr="008031C2">
              <w:rPr>
                <w:rFonts w:eastAsia="Calibri"/>
              </w:rPr>
              <w:t>329 520</w:t>
            </w:r>
          </w:p>
        </w:tc>
        <w:tc>
          <w:tcPr>
            <w:tcW w:w="1150" w:type="dxa"/>
            <w:vAlign w:val="center"/>
          </w:tcPr>
          <w:p w14:paraId="11AE69B5" w14:textId="153DC77B" w:rsidR="008C1EC9" w:rsidRDefault="008C1EC9" w:rsidP="008C1EC9">
            <w:pPr>
              <w:jc w:val="center"/>
            </w:pPr>
            <w:r w:rsidRPr="008031C2">
              <w:rPr>
                <w:color w:val="414142"/>
              </w:rPr>
              <w:t>0</w:t>
            </w:r>
          </w:p>
        </w:tc>
        <w:tc>
          <w:tcPr>
            <w:tcW w:w="1019" w:type="dxa"/>
          </w:tcPr>
          <w:p w14:paraId="6B19FB86" w14:textId="7E1A6E6E" w:rsidR="008C1EC9" w:rsidRDefault="008C1EC9" w:rsidP="008C1EC9">
            <w:pPr>
              <w:jc w:val="center"/>
            </w:pPr>
            <w:r w:rsidRPr="008031C2">
              <w:rPr>
                <w:rFonts w:eastAsia="Calibri"/>
              </w:rPr>
              <w:t>372 316</w:t>
            </w:r>
          </w:p>
        </w:tc>
        <w:tc>
          <w:tcPr>
            <w:tcW w:w="1268" w:type="dxa"/>
            <w:vAlign w:val="center"/>
          </w:tcPr>
          <w:p w14:paraId="5ED33B6A" w14:textId="570B6D5E" w:rsidR="008C1EC9" w:rsidRDefault="008C1EC9" w:rsidP="008C1EC9">
            <w:pPr>
              <w:jc w:val="center"/>
            </w:pPr>
            <w:r w:rsidRPr="008031C2">
              <w:rPr>
                <w:color w:val="414142"/>
              </w:rPr>
              <w:t>0</w:t>
            </w:r>
          </w:p>
        </w:tc>
        <w:tc>
          <w:tcPr>
            <w:tcW w:w="1123" w:type="dxa"/>
          </w:tcPr>
          <w:p w14:paraId="689B3589" w14:textId="6C6F8F47" w:rsidR="008C1EC9" w:rsidRDefault="008C1EC9" w:rsidP="008C1EC9">
            <w:pPr>
              <w:jc w:val="center"/>
            </w:pPr>
            <w:r w:rsidRPr="008031C2">
              <w:rPr>
                <w:rFonts w:eastAsia="Calibri"/>
              </w:rPr>
              <w:t>256 769</w:t>
            </w:r>
          </w:p>
        </w:tc>
        <w:tc>
          <w:tcPr>
            <w:tcW w:w="1268" w:type="dxa"/>
            <w:vAlign w:val="center"/>
          </w:tcPr>
          <w:p w14:paraId="2561B56B" w14:textId="0ED898B9" w:rsidR="008C1EC9" w:rsidRDefault="008C1EC9" w:rsidP="008C1EC9">
            <w:pPr>
              <w:jc w:val="center"/>
            </w:pPr>
            <w:r w:rsidRPr="008031C2">
              <w:rPr>
                <w:color w:val="414142"/>
              </w:rPr>
              <w:t>0</w:t>
            </w:r>
          </w:p>
        </w:tc>
        <w:tc>
          <w:tcPr>
            <w:tcW w:w="1400" w:type="dxa"/>
            <w:vAlign w:val="center"/>
          </w:tcPr>
          <w:p w14:paraId="30798BE2" w14:textId="2667A37C" w:rsidR="008C1EC9" w:rsidRDefault="008C1EC9" w:rsidP="008C1EC9">
            <w:pPr>
              <w:jc w:val="center"/>
            </w:pPr>
            <w:r w:rsidRPr="008031C2">
              <w:rPr>
                <w:color w:val="414142"/>
              </w:rPr>
              <w:t>0</w:t>
            </w:r>
          </w:p>
        </w:tc>
      </w:tr>
      <w:tr w:rsidR="008C1EC9" w14:paraId="548AC0F4" w14:textId="77777777" w:rsidTr="002F56FC">
        <w:tc>
          <w:tcPr>
            <w:tcW w:w="2139" w:type="dxa"/>
          </w:tcPr>
          <w:p w14:paraId="2DC17651" w14:textId="70F7A150" w:rsidR="008C1EC9" w:rsidRDefault="008C1EC9" w:rsidP="008C1EC9">
            <w:pPr>
              <w:jc w:val="both"/>
            </w:pPr>
            <w:r w:rsidRPr="008031C2">
              <w:rPr>
                <w:color w:val="414142"/>
              </w:rPr>
              <w:t>2.2. valsts speciālais budžets</w:t>
            </w:r>
          </w:p>
        </w:tc>
        <w:tc>
          <w:tcPr>
            <w:tcW w:w="1123" w:type="dxa"/>
            <w:vAlign w:val="center"/>
          </w:tcPr>
          <w:p w14:paraId="71E4BC2B" w14:textId="66F46F06" w:rsidR="008C1EC9" w:rsidRDefault="008C1EC9" w:rsidP="008C1EC9">
            <w:pPr>
              <w:jc w:val="center"/>
            </w:pPr>
            <w:r w:rsidRPr="008031C2">
              <w:rPr>
                <w:color w:val="414142"/>
              </w:rPr>
              <w:t> 0</w:t>
            </w:r>
          </w:p>
        </w:tc>
        <w:tc>
          <w:tcPr>
            <w:tcW w:w="1150" w:type="dxa"/>
            <w:vAlign w:val="center"/>
          </w:tcPr>
          <w:p w14:paraId="6F13A70B" w14:textId="4A5427D9" w:rsidR="008C1EC9" w:rsidRDefault="008C1EC9" w:rsidP="008C1EC9">
            <w:pPr>
              <w:jc w:val="center"/>
            </w:pPr>
            <w:r w:rsidRPr="008031C2">
              <w:rPr>
                <w:color w:val="414142"/>
              </w:rPr>
              <w:t> 0</w:t>
            </w:r>
          </w:p>
        </w:tc>
        <w:tc>
          <w:tcPr>
            <w:tcW w:w="1019" w:type="dxa"/>
            <w:vAlign w:val="center"/>
          </w:tcPr>
          <w:p w14:paraId="5FFC40B6" w14:textId="1989948A" w:rsidR="008C1EC9" w:rsidRDefault="008C1EC9" w:rsidP="008C1EC9">
            <w:pPr>
              <w:jc w:val="center"/>
            </w:pPr>
            <w:r w:rsidRPr="008031C2">
              <w:rPr>
                <w:color w:val="414142"/>
              </w:rPr>
              <w:t> 0</w:t>
            </w:r>
          </w:p>
        </w:tc>
        <w:tc>
          <w:tcPr>
            <w:tcW w:w="1268" w:type="dxa"/>
            <w:vAlign w:val="center"/>
          </w:tcPr>
          <w:p w14:paraId="6B4B7FB9" w14:textId="4E142A67" w:rsidR="008C1EC9" w:rsidRDefault="008C1EC9" w:rsidP="008C1EC9">
            <w:pPr>
              <w:jc w:val="center"/>
            </w:pPr>
            <w:r w:rsidRPr="008031C2">
              <w:rPr>
                <w:color w:val="414142"/>
              </w:rPr>
              <w:t> 0</w:t>
            </w:r>
          </w:p>
        </w:tc>
        <w:tc>
          <w:tcPr>
            <w:tcW w:w="1123" w:type="dxa"/>
            <w:vAlign w:val="center"/>
          </w:tcPr>
          <w:p w14:paraId="4A6FD4D7" w14:textId="76AB9B10" w:rsidR="008C1EC9" w:rsidRDefault="008C1EC9" w:rsidP="008C1EC9">
            <w:pPr>
              <w:jc w:val="center"/>
            </w:pPr>
            <w:r w:rsidRPr="008031C2">
              <w:rPr>
                <w:color w:val="414142"/>
              </w:rPr>
              <w:t> 0</w:t>
            </w:r>
          </w:p>
        </w:tc>
        <w:tc>
          <w:tcPr>
            <w:tcW w:w="1268" w:type="dxa"/>
            <w:vAlign w:val="center"/>
          </w:tcPr>
          <w:p w14:paraId="3F452707" w14:textId="3068B95D" w:rsidR="008C1EC9" w:rsidRDefault="008C1EC9" w:rsidP="008C1EC9">
            <w:pPr>
              <w:jc w:val="center"/>
            </w:pPr>
            <w:r w:rsidRPr="008031C2">
              <w:rPr>
                <w:color w:val="414142"/>
              </w:rPr>
              <w:t> 0</w:t>
            </w:r>
          </w:p>
        </w:tc>
        <w:tc>
          <w:tcPr>
            <w:tcW w:w="1400" w:type="dxa"/>
            <w:vAlign w:val="center"/>
          </w:tcPr>
          <w:p w14:paraId="5AF71919" w14:textId="3C9BE4B3" w:rsidR="008C1EC9" w:rsidRDefault="008C1EC9" w:rsidP="008C1EC9">
            <w:pPr>
              <w:jc w:val="center"/>
            </w:pPr>
            <w:r w:rsidRPr="008031C2">
              <w:rPr>
                <w:color w:val="414142"/>
              </w:rPr>
              <w:t> 0</w:t>
            </w:r>
          </w:p>
        </w:tc>
      </w:tr>
      <w:tr w:rsidR="008C1EC9" w14:paraId="43E668F1" w14:textId="77777777" w:rsidTr="002F56FC">
        <w:tc>
          <w:tcPr>
            <w:tcW w:w="2139" w:type="dxa"/>
          </w:tcPr>
          <w:p w14:paraId="4598AB8E" w14:textId="43A17E8B" w:rsidR="008C1EC9" w:rsidRDefault="008C1EC9" w:rsidP="008C1EC9">
            <w:pPr>
              <w:jc w:val="both"/>
            </w:pPr>
            <w:r w:rsidRPr="008031C2">
              <w:rPr>
                <w:color w:val="414142"/>
              </w:rPr>
              <w:t xml:space="preserve">2.3. pašvaldību </w:t>
            </w:r>
            <w:r w:rsidRPr="008031C2">
              <w:rPr>
                <w:color w:val="414142"/>
              </w:rPr>
              <w:lastRenderedPageBreak/>
              <w:t>budžets</w:t>
            </w:r>
          </w:p>
        </w:tc>
        <w:tc>
          <w:tcPr>
            <w:tcW w:w="1123" w:type="dxa"/>
            <w:vAlign w:val="center"/>
          </w:tcPr>
          <w:p w14:paraId="0CFA4466" w14:textId="25807A55" w:rsidR="008C1EC9" w:rsidRDefault="008C1EC9" w:rsidP="008C1EC9">
            <w:pPr>
              <w:jc w:val="center"/>
            </w:pPr>
            <w:r w:rsidRPr="008031C2">
              <w:rPr>
                <w:color w:val="414142"/>
              </w:rPr>
              <w:lastRenderedPageBreak/>
              <w:t> 0</w:t>
            </w:r>
          </w:p>
        </w:tc>
        <w:tc>
          <w:tcPr>
            <w:tcW w:w="1150" w:type="dxa"/>
            <w:vAlign w:val="center"/>
          </w:tcPr>
          <w:p w14:paraId="781EC06A" w14:textId="4CE1CE91" w:rsidR="008C1EC9" w:rsidRDefault="008C1EC9" w:rsidP="008C1EC9">
            <w:pPr>
              <w:jc w:val="center"/>
            </w:pPr>
            <w:r w:rsidRPr="008031C2">
              <w:rPr>
                <w:color w:val="414142"/>
              </w:rPr>
              <w:t> 0</w:t>
            </w:r>
          </w:p>
        </w:tc>
        <w:tc>
          <w:tcPr>
            <w:tcW w:w="1019" w:type="dxa"/>
            <w:vAlign w:val="center"/>
          </w:tcPr>
          <w:p w14:paraId="4EC887A9" w14:textId="0DBE79A7" w:rsidR="008C1EC9" w:rsidRDefault="008C1EC9" w:rsidP="008C1EC9">
            <w:pPr>
              <w:jc w:val="center"/>
            </w:pPr>
            <w:r w:rsidRPr="008031C2">
              <w:rPr>
                <w:color w:val="414142"/>
              </w:rPr>
              <w:t> 0</w:t>
            </w:r>
          </w:p>
        </w:tc>
        <w:tc>
          <w:tcPr>
            <w:tcW w:w="1268" w:type="dxa"/>
            <w:vAlign w:val="center"/>
          </w:tcPr>
          <w:p w14:paraId="7E09409F" w14:textId="5F4DC180" w:rsidR="008C1EC9" w:rsidRDefault="008C1EC9" w:rsidP="008C1EC9">
            <w:pPr>
              <w:jc w:val="center"/>
            </w:pPr>
            <w:r w:rsidRPr="008031C2">
              <w:rPr>
                <w:color w:val="414142"/>
              </w:rPr>
              <w:t> 0</w:t>
            </w:r>
          </w:p>
        </w:tc>
        <w:tc>
          <w:tcPr>
            <w:tcW w:w="1123" w:type="dxa"/>
            <w:vAlign w:val="center"/>
          </w:tcPr>
          <w:p w14:paraId="440118FC" w14:textId="4505306E" w:rsidR="008C1EC9" w:rsidRDefault="008C1EC9" w:rsidP="008C1EC9">
            <w:pPr>
              <w:jc w:val="center"/>
            </w:pPr>
            <w:r w:rsidRPr="008031C2">
              <w:rPr>
                <w:color w:val="414142"/>
              </w:rPr>
              <w:t> 0</w:t>
            </w:r>
          </w:p>
        </w:tc>
        <w:tc>
          <w:tcPr>
            <w:tcW w:w="1268" w:type="dxa"/>
            <w:vAlign w:val="center"/>
          </w:tcPr>
          <w:p w14:paraId="792853E2" w14:textId="731FB922" w:rsidR="008C1EC9" w:rsidRDefault="008C1EC9" w:rsidP="008C1EC9">
            <w:pPr>
              <w:jc w:val="center"/>
            </w:pPr>
            <w:r w:rsidRPr="008031C2">
              <w:rPr>
                <w:color w:val="414142"/>
              </w:rPr>
              <w:t> 0</w:t>
            </w:r>
          </w:p>
        </w:tc>
        <w:tc>
          <w:tcPr>
            <w:tcW w:w="1400" w:type="dxa"/>
            <w:vAlign w:val="center"/>
          </w:tcPr>
          <w:p w14:paraId="1B270B3A" w14:textId="230E5101" w:rsidR="008C1EC9" w:rsidRDefault="008C1EC9" w:rsidP="008C1EC9">
            <w:pPr>
              <w:jc w:val="center"/>
            </w:pPr>
            <w:r w:rsidRPr="008031C2">
              <w:rPr>
                <w:color w:val="414142"/>
              </w:rPr>
              <w:t> 0</w:t>
            </w:r>
          </w:p>
        </w:tc>
      </w:tr>
      <w:tr w:rsidR="008C1EC9" w14:paraId="2903BF7B" w14:textId="77777777" w:rsidTr="002F56FC">
        <w:tc>
          <w:tcPr>
            <w:tcW w:w="2139" w:type="dxa"/>
          </w:tcPr>
          <w:p w14:paraId="74E876E1" w14:textId="67508A75" w:rsidR="008C1EC9" w:rsidRPr="008031C2" w:rsidRDefault="008C1EC9" w:rsidP="008C1EC9">
            <w:pPr>
              <w:jc w:val="both"/>
              <w:rPr>
                <w:color w:val="414142"/>
              </w:rPr>
            </w:pPr>
            <w:r w:rsidRPr="008031C2">
              <w:rPr>
                <w:color w:val="414142"/>
              </w:rPr>
              <w:lastRenderedPageBreak/>
              <w:t>3. Finansiālā ietekme</w:t>
            </w:r>
          </w:p>
        </w:tc>
        <w:tc>
          <w:tcPr>
            <w:tcW w:w="1123" w:type="dxa"/>
            <w:vAlign w:val="center"/>
          </w:tcPr>
          <w:p w14:paraId="15258635" w14:textId="17DC9BF3" w:rsidR="008C1EC9" w:rsidRPr="008031C2" w:rsidRDefault="008C1EC9" w:rsidP="008C1EC9">
            <w:pPr>
              <w:jc w:val="center"/>
              <w:rPr>
                <w:color w:val="414142"/>
              </w:rPr>
            </w:pPr>
            <w:r w:rsidRPr="008031C2">
              <w:rPr>
                <w:color w:val="414142"/>
              </w:rPr>
              <w:t> 0</w:t>
            </w:r>
          </w:p>
        </w:tc>
        <w:tc>
          <w:tcPr>
            <w:tcW w:w="1150" w:type="dxa"/>
            <w:vAlign w:val="center"/>
          </w:tcPr>
          <w:p w14:paraId="5B9A6B74" w14:textId="05576CE8" w:rsidR="008C1EC9" w:rsidRPr="008031C2" w:rsidRDefault="008C1EC9" w:rsidP="008C1EC9">
            <w:pPr>
              <w:jc w:val="center"/>
              <w:rPr>
                <w:color w:val="414142"/>
              </w:rPr>
            </w:pPr>
            <w:r w:rsidRPr="008031C2">
              <w:rPr>
                <w:color w:val="414142"/>
              </w:rPr>
              <w:t> 0</w:t>
            </w:r>
          </w:p>
        </w:tc>
        <w:tc>
          <w:tcPr>
            <w:tcW w:w="1019" w:type="dxa"/>
            <w:vAlign w:val="center"/>
          </w:tcPr>
          <w:p w14:paraId="4E1936ED" w14:textId="05F9B988" w:rsidR="008C1EC9" w:rsidRPr="008031C2" w:rsidRDefault="008C1EC9" w:rsidP="008C1EC9">
            <w:pPr>
              <w:jc w:val="center"/>
              <w:rPr>
                <w:color w:val="414142"/>
              </w:rPr>
            </w:pPr>
            <w:r w:rsidRPr="008031C2">
              <w:rPr>
                <w:color w:val="414142"/>
              </w:rPr>
              <w:t> 0</w:t>
            </w:r>
          </w:p>
        </w:tc>
        <w:tc>
          <w:tcPr>
            <w:tcW w:w="1268" w:type="dxa"/>
            <w:vAlign w:val="center"/>
          </w:tcPr>
          <w:p w14:paraId="385D109E" w14:textId="584F4130" w:rsidR="008C1EC9" w:rsidRPr="008031C2" w:rsidRDefault="008C1EC9" w:rsidP="008C1EC9">
            <w:pPr>
              <w:jc w:val="center"/>
              <w:rPr>
                <w:color w:val="414142"/>
              </w:rPr>
            </w:pPr>
            <w:r w:rsidRPr="008031C2">
              <w:rPr>
                <w:color w:val="414142"/>
              </w:rPr>
              <w:t> 0</w:t>
            </w:r>
          </w:p>
        </w:tc>
        <w:tc>
          <w:tcPr>
            <w:tcW w:w="1123" w:type="dxa"/>
            <w:vAlign w:val="center"/>
          </w:tcPr>
          <w:p w14:paraId="6553542A" w14:textId="7384C3C6" w:rsidR="008C1EC9" w:rsidRPr="008031C2" w:rsidRDefault="008C1EC9" w:rsidP="008C1EC9">
            <w:pPr>
              <w:jc w:val="center"/>
              <w:rPr>
                <w:color w:val="414142"/>
              </w:rPr>
            </w:pPr>
            <w:r w:rsidRPr="008031C2">
              <w:rPr>
                <w:color w:val="414142"/>
              </w:rPr>
              <w:t> 0</w:t>
            </w:r>
          </w:p>
        </w:tc>
        <w:tc>
          <w:tcPr>
            <w:tcW w:w="1268" w:type="dxa"/>
            <w:vAlign w:val="center"/>
          </w:tcPr>
          <w:p w14:paraId="48D0B622" w14:textId="47576E01" w:rsidR="008C1EC9" w:rsidRPr="008031C2" w:rsidRDefault="008C1EC9" w:rsidP="008C1EC9">
            <w:pPr>
              <w:jc w:val="center"/>
              <w:rPr>
                <w:color w:val="414142"/>
              </w:rPr>
            </w:pPr>
            <w:r w:rsidRPr="008031C2">
              <w:rPr>
                <w:color w:val="414142"/>
              </w:rPr>
              <w:t> 0</w:t>
            </w:r>
          </w:p>
        </w:tc>
        <w:tc>
          <w:tcPr>
            <w:tcW w:w="1400" w:type="dxa"/>
            <w:vAlign w:val="center"/>
          </w:tcPr>
          <w:p w14:paraId="09E81F41" w14:textId="0023E593" w:rsidR="008C1EC9" w:rsidRPr="008031C2" w:rsidRDefault="008C1EC9" w:rsidP="008C1EC9">
            <w:pPr>
              <w:jc w:val="center"/>
              <w:rPr>
                <w:color w:val="414142"/>
              </w:rPr>
            </w:pPr>
            <w:r w:rsidRPr="008031C2">
              <w:rPr>
                <w:color w:val="414142"/>
              </w:rPr>
              <w:t> 0</w:t>
            </w:r>
          </w:p>
        </w:tc>
      </w:tr>
      <w:tr w:rsidR="008C1EC9" w14:paraId="33BE1657" w14:textId="77777777" w:rsidTr="002F56FC">
        <w:tc>
          <w:tcPr>
            <w:tcW w:w="2139" w:type="dxa"/>
          </w:tcPr>
          <w:p w14:paraId="3F350C83" w14:textId="7C2AD745" w:rsidR="008C1EC9" w:rsidRDefault="008C1EC9" w:rsidP="008C1EC9">
            <w:pPr>
              <w:jc w:val="both"/>
            </w:pPr>
            <w:r w:rsidRPr="008031C2">
              <w:rPr>
                <w:color w:val="414142"/>
              </w:rPr>
              <w:t>3.1. valsts pamatbudžets</w:t>
            </w:r>
          </w:p>
        </w:tc>
        <w:tc>
          <w:tcPr>
            <w:tcW w:w="1123" w:type="dxa"/>
            <w:vAlign w:val="center"/>
          </w:tcPr>
          <w:p w14:paraId="712DE031" w14:textId="12916BFB" w:rsidR="008C1EC9" w:rsidRDefault="008C1EC9" w:rsidP="008C1EC9">
            <w:pPr>
              <w:jc w:val="center"/>
            </w:pPr>
            <w:r w:rsidRPr="008031C2">
              <w:rPr>
                <w:color w:val="414142"/>
              </w:rPr>
              <w:t> 0</w:t>
            </w:r>
          </w:p>
        </w:tc>
        <w:tc>
          <w:tcPr>
            <w:tcW w:w="1150" w:type="dxa"/>
            <w:vAlign w:val="center"/>
          </w:tcPr>
          <w:p w14:paraId="07FEB981" w14:textId="6FE82C0F" w:rsidR="008C1EC9" w:rsidRDefault="008C1EC9" w:rsidP="008C1EC9">
            <w:pPr>
              <w:jc w:val="center"/>
            </w:pPr>
            <w:r w:rsidRPr="008031C2">
              <w:rPr>
                <w:color w:val="414142"/>
              </w:rPr>
              <w:t> 0</w:t>
            </w:r>
          </w:p>
        </w:tc>
        <w:tc>
          <w:tcPr>
            <w:tcW w:w="1019" w:type="dxa"/>
            <w:vAlign w:val="center"/>
          </w:tcPr>
          <w:p w14:paraId="521F4D86" w14:textId="38EF3E46" w:rsidR="008C1EC9" w:rsidRDefault="008C1EC9" w:rsidP="008C1EC9">
            <w:pPr>
              <w:jc w:val="center"/>
            </w:pPr>
            <w:r w:rsidRPr="008031C2">
              <w:rPr>
                <w:color w:val="414142"/>
              </w:rPr>
              <w:t> 0</w:t>
            </w:r>
          </w:p>
        </w:tc>
        <w:tc>
          <w:tcPr>
            <w:tcW w:w="1268" w:type="dxa"/>
            <w:vAlign w:val="center"/>
          </w:tcPr>
          <w:p w14:paraId="15EDE859" w14:textId="4D34E2F6" w:rsidR="008C1EC9" w:rsidRDefault="008C1EC9" w:rsidP="008C1EC9">
            <w:pPr>
              <w:jc w:val="center"/>
            </w:pPr>
            <w:r w:rsidRPr="008031C2">
              <w:rPr>
                <w:color w:val="414142"/>
              </w:rPr>
              <w:t> 0</w:t>
            </w:r>
          </w:p>
        </w:tc>
        <w:tc>
          <w:tcPr>
            <w:tcW w:w="1123" w:type="dxa"/>
            <w:vAlign w:val="center"/>
          </w:tcPr>
          <w:p w14:paraId="62F74990" w14:textId="00F3E7EA" w:rsidR="008C1EC9" w:rsidRDefault="008C1EC9" w:rsidP="008C1EC9">
            <w:pPr>
              <w:jc w:val="center"/>
            </w:pPr>
            <w:r w:rsidRPr="008031C2">
              <w:rPr>
                <w:color w:val="414142"/>
              </w:rPr>
              <w:t> 0</w:t>
            </w:r>
          </w:p>
        </w:tc>
        <w:tc>
          <w:tcPr>
            <w:tcW w:w="1268" w:type="dxa"/>
            <w:vAlign w:val="center"/>
          </w:tcPr>
          <w:p w14:paraId="43CE1219" w14:textId="2814A8BE" w:rsidR="008C1EC9" w:rsidRDefault="008C1EC9" w:rsidP="008C1EC9">
            <w:pPr>
              <w:jc w:val="center"/>
            </w:pPr>
            <w:r w:rsidRPr="008031C2">
              <w:rPr>
                <w:color w:val="414142"/>
              </w:rPr>
              <w:t> 0</w:t>
            </w:r>
          </w:p>
        </w:tc>
        <w:tc>
          <w:tcPr>
            <w:tcW w:w="1400" w:type="dxa"/>
            <w:vAlign w:val="center"/>
          </w:tcPr>
          <w:p w14:paraId="53991B6D" w14:textId="3B9A455C" w:rsidR="008C1EC9" w:rsidRDefault="008C1EC9" w:rsidP="008C1EC9">
            <w:pPr>
              <w:jc w:val="center"/>
            </w:pPr>
            <w:r w:rsidRPr="008031C2">
              <w:rPr>
                <w:color w:val="414142"/>
              </w:rPr>
              <w:t> 0</w:t>
            </w:r>
          </w:p>
        </w:tc>
      </w:tr>
      <w:tr w:rsidR="008C1EC9" w14:paraId="0D262B7A" w14:textId="77777777" w:rsidTr="002F56FC">
        <w:tc>
          <w:tcPr>
            <w:tcW w:w="2139" w:type="dxa"/>
          </w:tcPr>
          <w:p w14:paraId="64F40F83" w14:textId="2863B294" w:rsidR="008C1EC9" w:rsidRDefault="008C1EC9" w:rsidP="008C1EC9">
            <w:pPr>
              <w:jc w:val="both"/>
            </w:pPr>
            <w:r w:rsidRPr="008031C2">
              <w:rPr>
                <w:color w:val="414142"/>
              </w:rPr>
              <w:t>3.2. speciālais budžets</w:t>
            </w:r>
          </w:p>
        </w:tc>
        <w:tc>
          <w:tcPr>
            <w:tcW w:w="1123" w:type="dxa"/>
            <w:vAlign w:val="center"/>
          </w:tcPr>
          <w:p w14:paraId="02040570" w14:textId="13C692F6" w:rsidR="008C1EC9" w:rsidRDefault="008C1EC9" w:rsidP="008C1EC9">
            <w:pPr>
              <w:jc w:val="center"/>
            </w:pPr>
            <w:r w:rsidRPr="008031C2">
              <w:rPr>
                <w:color w:val="414142"/>
              </w:rPr>
              <w:t> 0</w:t>
            </w:r>
          </w:p>
        </w:tc>
        <w:tc>
          <w:tcPr>
            <w:tcW w:w="1150" w:type="dxa"/>
            <w:vAlign w:val="center"/>
          </w:tcPr>
          <w:p w14:paraId="6F513BED" w14:textId="4400ADE0" w:rsidR="008C1EC9" w:rsidRDefault="008C1EC9" w:rsidP="008C1EC9">
            <w:pPr>
              <w:jc w:val="center"/>
            </w:pPr>
            <w:r w:rsidRPr="008031C2">
              <w:rPr>
                <w:color w:val="414142"/>
              </w:rPr>
              <w:t> 0</w:t>
            </w:r>
          </w:p>
        </w:tc>
        <w:tc>
          <w:tcPr>
            <w:tcW w:w="1019" w:type="dxa"/>
            <w:vAlign w:val="center"/>
          </w:tcPr>
          <w:p w14:paraId="1A74F3AE" w14:textId="691B414A" w:rsidR="008C1EC9" w:rsidRDefault="008C1EC9" w:rsidP="008C1EC9">
            <w:pPr>
              <w:jc w:val="center"/>
            </w:pPr>
            <w:r w:rsidRPr="008031C2">
              <w:rPr>
                <w:color w:val="414142"/>
              </w:rPr>
              <w:t> 0</w:t>
            </w:r>
          </w:p>
        </w:tc>
        <w:tc>
          <w:tcPr>
            <w:tcW w:w="1268" w:type="dxa"/>
            <w:vAlign w:val="center"/>
          </w:tcPr>
          <w:p w14:paraId="13B51914" w14:textId="55A4A8B2" w:rsidR="008C1EC9" w:rsidRDefault="008C1EC9" w:rsidP="008C1EC9">
            <w:pPr>
              <w:jc w:val="center"/>
            </w:pPr>
            <w:r w:rsidRPr="008031C2">
              <w:rPr>
                <w:color w:val="414142"/>
              </w:rPr>
              <w:t> 0</w:t>
            </w:r>
          </w:p>
        </w:tc>
        <w:tc>
          <w:tcPr>
            <w:tcW w:w="1123" w:type="dxa"/>
            <w:vAlign w:val="center"/>
          </w:tcPr>
          <w:p w14:paraId="258FD6F4" w14:textId="28E89553" w:rsidR="008C1EC9" w:rsidRDefault="008C1EC9" w:rsidP="008C1EC9">
            <w:pPr>
              <w:jc w:val="center"/>
            </w:pPr>
            <w:r w:rsidRPr="008031C2">
              <w:rPr>
                <w:color w:val="414142"/>
              </w:rPr>
              <w:t> 0</w:t>
            </w:r>
          </w:p>
        </w:tc>
        <w:tc>
          <w:tcPr>
            <w:tcW w:w="1268" w:type="dxa"/>
            <w:vAlign w:val="center"/>
          </w:tcPr>
          <w:p w14:paraId="1A361B72" w14:textId="7DB550C3" w:rsidR="008C1EC9" w:rsidRDefault="008C1EC9" w:rsidP="008C1EC9">
            <w:pPr>
              <w:jc w:val="center"/>
            </w:pPr>
            <w:r w:rsidRPr="008031C2">
              <w:rPr>
                <w:color w:val="414142"/>
              </w:rPr>
              <w:t> 0</w:t>
            </w:r>
          </w:p>
        </w:tc>
        <w:tc>
          <w:tcPr>
            <w:tcW w:w="1400" w:type="dxa"/>
            <w:vAlign w:val="center"/>
          </w:tcPr>
          <w:p w14:paraId="28C79EDC" w14:textId="2FE85136" w:rsidR="008C1EC9" w:rsidRDefault="008C1EC9" w:rsidP="008C1EC9">
            <w:pPr>
              <w:jc w:val="center"/>
            </w:pPr>
            <w:r w:rsidRPr="008031C2">
              <w:rPr>
                <w:color w:val="414142"/>
              </w:rPr>
              <w:t> 0</w:t>
            </w:r>
          </w:p>
        </w:tc>
      </w:tr>
      <w:tr w:rsidR="008C1EC9" w14:paraId="16B32235" w14:textId="77777777" w:rsidTr="002F56FC">
        <w:tc>
          <w:tcPr>
            <w:tcW w:w="2139" w:type="dxa"/>
          </w:tcPr>
          <w:p w14:paraId="7B56304A" w14:textId="7E804E91" w:rsidR="008C1EC9" w:rsidRDefault="008C1EC9" w:rsidP="008C1EC9">
            <w:pPr>
              <w:jc w:val="both"/>
            </w:pPr>
            <w:r w:rsidRPr="008031C2">
              <w:rPr>
                <w:color w:val="414142"/>
              </w:rPr>
              <w:t>3.3. pašvaldību budžets</w:t>
            </w:r>
          </w:p>
        </w:tc>
        <w:tc>
          <w:tcPr>
            <w:tcW w:w="1123" w:type="dxa"/>
            <w:vAlign w:val="center"/>
          </w:tcPr>
          <w:p w14:paraId="348780B8" w14:textId="1B531B98" w:rsidR="008C1EC9" w:rsidRDefault="008C1EC9" w:rsidP="008C1EC9">
            <w:pPr>
              <w:jc w:val="center"/>
            </w:pPr>
            <w:r w:rsidRPr="008031C2">
              <w:rPr>
                <w:color w:val="414142"/>
              </w:rPr>
              <w:t> 0</w:t>
            </w:r>
          </w:p>
        </w:tc>
        <w:tc>
          <w:tcPr>
            <w:tcW w:w="1150" w:type="dxa"/>
            <w:vAlign w:val="center"/>
          </w:tcPr>
          <w:p w14:paraId="4D61D3CE" w14:textId="5E566711" w:rsidR="008C1EC9" w:rsidRDefault="008C1EC9" w:rsidP="008C1EC9">
            <w:pPr>
              <w:jc w:val="center"/>
            </w:pPr>
            <w:r w:rsidRPr="008031C2">
              <w:rPr>
                <w:color w:val="414142"/>
              </w:rPr>
              <w:t> 0</w:t>
            </w:r>
          </w:p>
        </w:tc>
        <w:tc>
          <w:tcPr>
            <w:tcW w:w="1019" w:type="dxa"/>
            <w:vAlign w:val="center"/>
          </w:tcPr>
          <w:p w14:paraId="3D07722F" w14:textId="33BCD0A4" w:rsidR="008C1EC9" w:rsidRDefault="008C1EC9" w:rsidP="008C1EC9">
            <w:pPr>
              <w:jc w:val="center"/>
            </w:pPr>
            <w:r w:rsidRPr="008031C2">
              <w:rPr>
                <w:color w:val="414142"/>
              </w:rPr>
              <w:t> 0</w:t>
            </w:r>
          </w:p>
        </w:tc>
        <w:tc>
          <w:tcPr>
            <w:tcW w:w="1268" w:type="dxa"/>
            <w:vAlign w:val="center"/>
          </w:tcPr>
          <w:p w14:paraId="61B44193" w14:textId="6D9CF8C5" w:rsidR="008C1EC9" w:rsidRDefault="008C1EC9" w:rsidP="008C1EC9">
            <w:pPr>
              <w:jc w:val="center"/>
            </w:pPr>
            <w:r w:rsidRPr="008031C2">
              <w:rPr>
                <w:color w:val="414142"/>
              </w:rPr>
              <w:t> 0</w:t>
            </w:r>
          </w:p>
        </w:tc>
        <w:tc>
          <w:tcPr>
            <w:tcW w:w="1123" w:type="dxa"/>
            <w:vAlign w:val="center"/>
          </w:tcPr>
          <w:p w14:paraId="5B448FB3" w14:textId="3A008B90" w:rsidR="008C1EC9" w:rsidRDefault="008C1EC9" w:rsidP="008C1EC9">
            <w:pPr>
              <w:jc w:val="center"/>
            </w:pPr>
            <w:r w:rsidRPr="008031C2">
              <w:rPr>
                <w:color w:val="414142"/>
              </w:rPr>
              <w:t> 0</w:t>
            </w:r>
          </w:p>
        </w:tc>
        <w:tc>
          <w:tcPr>
            <w:tcW w:w="1268" w:type="dxa"/>
            <w:vAlign w:val="center"/>
          </w:tcPr>
          <w:p w14:paraId="7049A40F" w14:textId="41F6DFAA" w:rsidR="008C1EC9" w:rsidRDefault="008C1EC9" w:rsidP="008C1EC9">
            <w:pPr>
              <w:jc w:val="center"/>
            </w:pPr>
            <w:r w:rsidRPr="008031C2">
              <w:rPr>
                <w:color w:val="414142"/>
              </w:rPr>
              <w:t> 0</w:t>
            </w:r>
          </w:p>
        </w:tc>
        <w:tc>
          <w:tcPr>
            <w:tcW w:w="1400" w:type="dxa"/>
            <w:vAlign w:val="center"/>
          </w:tcPr>
          <w:p w14:paraId="5427D214" w14:textId="36EF5A1F" w:rsidR="008C1EC9" w:rsidRDefault="008C1EC9" w:rsidP="008C1EC9">
            <w:pPr>
              <w:jc w:val="center"/>
            </w:pPr>
            <w:r w:rsidRPr="008031C2">
              <w:rPr>
                <w:color w:val="414142"/>
              </w:rPr>
              <w:t> 0</w:t>
            </w:r>
          </w:p>
        </w:tc>
      </w:tr>
      <w:tr w:rsidR="008C1EC9" w14:paraId="69188C67" w14:textId="77777777" w:rsidTr="002F56FC">
        <w:tc>
          <w:tcPr>
            <w:tcW w:w="2139" w:type="dxa"/>
          </w:tcPr>
          <w:p w14:paraId="0F04EE38" w14:textId="02EEBCE3" w:rsidR="008C1EC9" w:rsidRDefault="008C1EC9" w:rsidP="008C1EC9">
            <w:pPr>
              <w:jc w:val="both"/>
            </w:pPr>
            <w:r w:rsidRPr="008031C2">
              <w:rPr>
                <w:color w:val="414142"/>
              </w:rPr>
              <w:t>4. Finanšu līdzekļi papildu izdevumu finansēšanai (kompensējošu izdevumu samazinājumu norāda ar "+" zīmi)</w:t>
            </w:r>
          </w:p>
        </w:tc>
        <w:tc>
          <w:tcPr>
            <w:tcW w:w="1123" w:type="dxa"/>
            <w:vAlign w:val="center"/>
          </w:tcPr>
          <w:p w14:paraId="4B3392EA" w14:textId="1BD0F149" w:rsidR="008C1EC9" w:rsidRDefault="008C1EC9" w:rsidP="008C1EC9">
            <w:pPr>
              <w:jc w:val="center"/>
            </w:pPr>
            <w:r w:rsidRPr="008031C2">
              <w:rPr>
                <w:color w:val="414142"/>
              </w:rPr>
              <w:t> 0</w:t>
            </w:r>
          </w:p>
        </w:tc>
        <w:tc>
          <w:tcPr>
            <w:tcW w:w="1150" w:type="dxa"/>
            <w:vAlign w:val="center"/>
          </w:tcPr>
          <w:p w14:paraId="1497FA2B" w14:textId="39C5466E" w:rsidR="008C1EC9" w:rsidRDefault="008C1EC9" w:rsidP="008C1EC9">
            <w:pPr>
              <w:jc w:val="center"/>
            </w:pPr>
            <w:r w:rsidRPr="008031C2">
              <w:rPr>
                <w:color w:val="414142"/>
              </w:rPr>
              <w:t> 0</w:t>
            </w:r>
          </w:p>
        </w:tc>
        <w:tc>
          <w:tcPr>
            <w:tcW w:w="1019" w:type="dxa"/>
            <w:vAlign w:val="center"/>
          </w:tcPr>
          <w:p w14:paraId="25651153" w14:textId="602BAA53" w:rsidR="008C1EC9" w:rsidRDefault="008C1EC9" w:rsidP="008C1EC9">
            <w:pPr>
              <w:jc w:val="center"/>
            </w:pPr>
            <w:r w:rsidRPr="008031C2">
              <w:rPr>
                <w:color w:val="414142"/>
              </w:rPr>
              <w:t> 0</w:t>
            </w:r>
          </w:p>
        </w:tc>
        <w:tc>
          <w:tcPr>
            <w:tcW w:w="1268" w:type="dxa"/>
            <w:vAlign w:val="center"/>
          </w:tcPr>
          <w:p w14:paraId="31565E7E" w14:textId="06320D1F" w:rsidR="008C1EC9" w:rsidRDefault="008C1EC9" w:rsidP="008C1EC9">
            <w:pPr>
              <w:jc w:val="center"/>
            </w:pPr>
            <w:r w:rsidRPr="008031C2">
              <w:rPr>
                <w:color w:val="414142"/>
              </w:rPr>
              <w:t> 0</w:t>
            </w:r>
          </w:p>
        </w:tc>
        <w:tc>
          <w:tcPr>
            <w:tcW w:w="1123" w:type="dxa"/>
            <w:vAlign w:val="center"/>
          </w:tcPr>
          <w:p w14:paraId="5973CA3C" w14:textId="492DFF01" w:rsidR="008C1EC9" w:rsidRDefault="008C1EC9" w:rsidP="008C1EC9">
            <w:pPr>
              <w:jc w:val="center"/>
            </w:pPr>
            <w:r w:rsidRPr="008031C2">
              <w:rPr>
                <w:color w:val="414142"/>
              </w:rPr>
              <w:t> 0</w:t>
            </w:r>
          </w:p>
        </w:tc>
        <w:tc>
          <w:tcPr>
            <w:tcW w:w="1268" w:type="dxa"/>
            <w:vAlign w:val="center"/>
          </w:tcPr>
          <w:p w14:paraId="4A223E0E" w14:textId="049CB1AB" w:rsidR="008C1EC9" w:rsidRDefault="008C1EC9" w:rsidP="008C1EC9">
            <w:pPr>
              <w:jc w:val="center"/>
            </w:pPr>
            <w:r w:rsidRPr="008031C2">
              <w:rPr>
                <w:color w:val="414142"/>
              </w:rPr>
              <w:t> 0</w:t>
            </w:r>
          </w:p>
        </w:tc>
        <w:tc>
          <w:tcPr>
            <w:tcW w:w="1400" w:type="dxa"/>
            <w:vAlign w:val="center"/>
          </w:tcPr>
          <w:p w14:paraId="1EB38C42" w14:textId="0A589A9B" w:rsidR="008C1EC9" w:rsidRDefault="008C1EC9" w:rsidP="008C1EC9">
            <w:pPr>
              <w:jc w:val="center"/>
            </w:pPr>
            <w:r w:rsidRPr="008031C2">
              <w:rPr>
                <w:color w:val="414142"/>
              </w:rPr>
              <w:t> 0</w:t>
            </w:r>
          </w:p>
        </w:tc>
      </w:tr>
      <w:tr w:rsidR="008C1EC9" w14:paraId="55D0BB8F" w14:textId="77777777" w:rsidTr="002F56FC">
        <w:tc>
          <w:tcPr>
            <w:tcW w:w="2139" w:type="dxa"/>
          </w:tcPr>
          <w:p w14:paraId="02F65F25" w14:textId="34218B06" w:rsidR="008C1EC9" w:rsidRDefault="008C1EC9" w:rsidP="008C1EC9">
            <w:pPr>
              <w:jc w:val="both"/>
            </w:pPr>
            <w:r w:rsidRPr="008031C2">
              <w:rPr>
                <w:color w:val="414142"/>
              </w:rPr>
              <w:t>5. Precizēta finansiālā ietekme</w:t>
            </w:r>
          </w:p>
        </w:tc>
        <w:tc>
          <w:tcPr>
            <w:tcW w:w="1123" w:type="dxa"/>
            <w:vMerge w:val="restart"/>
            <w:vAlign w:val="center"/>
          </w:tcPr>
          <w:p w14:paraId="40ACD0AB" w14:textId="05DF3236" w:rsidR="008C1EC9" w:rsidRDefault="008C1EC9" w:rsidP="008C1EC9">
            <w:pPr>
              <w:jc w:val="center"/>
            </w:pPr>
            <w:r w:rsidRPr="008031C2">
              <w:rPr>
                <w:color w:val="414142"/>
              </w:rPr>
              <w:t> 0</w:t>
            </w:r>
          </w:p>
        </w:tc>
        <w:tc>
          <w:tcPr>
            <w:tcW w:w="1150" w:type="dxa"/>
            <w:vAlign w:val="center"/>
          </w:tcPr>
          <w:p w14:paraId="40CE1096" w14:textId="5E95EA9A" w:rsidR="008C1EC9" w:rsidRDefault="008C1EC9" w:rsidP="008C1EC9">
            <w:pPr>
              <w:jc w:val="center"/>
            </w:pPr>
            <w:r w:rsidRPr="008031C2">
              <w:rPr>
                <w:color w:val="414142"/>
              </w:rPr>
              <w:t> 0</w:t>
            </w:r>
          </w:p>
        </w:tc>
        <w:tc>
          <w:tcPr>
            <w:tcW w:w="1019" w:type="dxa"/>
            <w:vMerge w:val="restart"/>
            <w:vAlign w:val="center"/>
          </w:tcPr>
          <w:p w14:paraId="3C5F139F" w14:textId="3855FD7F" w:rsidR="008C1EC9" w:rsidRDefault="008C1EC9" w:rsidP="008C1EC9">
            <w:pPr>
              <w:jc w:val="center"/>
            </w:pPr>
            <w:r w:rsidRPr="008031C2">
              <w:rPr>
                <w:color w:val="414142"/>
              </w:rPr>
              <w:t> 0</w:t>
            </w:r>
          </w:p>
        </w:tc>
        <w:tc>
          <w:tcPr>
            <w:tcW w:w="1268" w:type="dxa"/>
            <w:vAlign w:val="center"/>
          </w:tcPr>
          <w:p w14:paraId="26809F64" w14:textId="55EACC06" w:rsidR="008C1EC9" w:rsidRDefault="008C1EC9" w:rsidP="008C1EC9">
            <w:pPr>
              <w:jc w:val="center"/>
            </w:pPr>
            <w:r w:rsidRPr="008031C2">
              <w:rPr>
                <w:color w:val="414142"/>
              </w:rPr>
              <w:t> 0</w:t>
            </w:r>
          </w:p>
        </w:tc>
        <w:tc>
          <w:tcPr>
            <w:tcW w:w="1123" w:type="dxa"/>
            <w:vMerge w:val="restart"/>
            <w:vAlign w:val="center"/>
          </w:tcPr>
          <w:p w14:paraId="2F6F96FF" w14:textId="2BA1E8AF" w:rsidR="008C1EC9" w:rsidRDefault="008C1EC9" w:rsidP="008C1EC9">
            <w:pPr>
              <w:jc w:val="center"/>
            </w:pPr>
            <w:r w:rsidRPr="008031C2">
              <w:rPr>
                <w:color w:val="414142"/>
              </w:rPr>
              <w:t> 0</w:t>
            </w:r>
          </w:p>
        </w:tc>
        <w:tc>
          <w:tcPr>
            <w:tcW w:w="1268" w:type="dxa"/>
            <w:vAlign w:val="center"/>
          </w:tcPr>
          <w:p w14:paraId="67007C0B" w14:textId="7D6847A1" w:rsidR="008C1EC9" w:rsidRDefault="008C1EC9" w:rsidP="008C1EC9">
            <w:pPr>
              <w:jc w:val="center"/>
            </w:pPr>
            <w:r w:rsidRPr="008031C2">
              <w:rPr>
                <w:color w:val="414142"/>
              </w:rPr>
              <w:t> 0</w:t>
            </w:r>
          </w:p>
        </w:tc>
        <w:tc>
          <w:tcPr>
            <w:tcW w:w="1400" w:type="dxa"/>
            <w:vAlign w:val="center"/>
          </w:tcPr>
          <w:p w14:paraId="18A38FCF" w14:textId="2490E553" w:rsidR="008C1EC9" w:rsidRDefault="008C1EC9" w:rsidP="008C1EC9">
            <w:pPr>
              <w:jc w:val="center"/>
            </w:pPr>
            <w:r w:rsidRPr="008031C2">
              <w:rPr>
                <w:color w:val="414142"/>
              </w:rPr>
              <w:t> 0</w:t>
            </w:r>
          </w:p>
        </w:tc>
      </w:tr>
      <w:tr w:rsidR="008C1EC9" w14:paraId="5656D1DC" w14:textId="77777777" w:rsidTr="002F56FC">
        <w:tc>
          <w:tcPr>
            <w:tcW w:w="2139" w:type="dxa"/>
          </w:tcPr>
          <w:p w14:paraId="269E6D6D" w14:textId="65BA621D" w:rsidR="008C1EC9" w:rsidRDefault="008C1EC9" w:rsidP="008C1EC9">
            <w:pPr>
              <w:jc w:val="both"/>
            </w:pPr>
            <w:r w:rsidRPr="008031C2">
              <w:rPr>
                <w:color w:val="414142"/>
              </w:rPr>
              <w:t>5.1. valsts pamatbudžets</w:t>
            </w:r>
          </w:p>
        </w:tc>
        <w:tc>
          <w:tcPr>
            <w:tcW w:w="1123" w:type="dxa"/>
            <w:vMerge/>
            <w:vAlign w:val="center"/>
          </w:tcPr>
          <w:p w14:paraId="26D8A932" w14:textId="77777777" w:rsidR="008C1EC9" w:rsidRDefault="008C1EC9" w:rsidP="008C1EC9">
            <w:pPr>
              <w:jc w:val="center"/>
            </w:pPr>
          </w:p>
        </w:tc>
        <w:tc>
          <w:tcPr>
            <w:tcW w:w="1150" w:type="dxa"/>
            <w:vAlign w:val="center"/>
          </w:tcPr>
          <w:p w14:paraId="60DF9849" w14:textId="3A52DEE2" w:rsidR="008C1EC9" w:rsidRDefault="008C1EC9" w:rsidP="008C1EC9">
            <w:pPr>
              <w:jc w:val="center"/>
            </w:pPr>
            <w:r w:rsidRPr="008031C2">
              <w:rPr>
                <w:color w:val="414142"/>
              </w:rPr>
              <w:t> 0</w:t>
            </w:r>
          </w:p>
        </w:tc>
        <w:tc>
          <w:tcPr>
            <w:tcW w:w="1019" w:type="dxa"/>
            <w:vMerge/>
            <w:vAlign w:val="center"/>
          </w:tcPr>
          <w:p w14:paraId="7CE22067" w14:textId="77777777" w:rsidR="008C1EC9" w:rsidRDefault="008C1EC9" w:rsidP="008C1EC9">
            <w:pPr>
              <w:jc w:val="center"/>
            </w:pPr>
          </w:p>
        </w:tc>
        <w:tc>
          <w:tcPr>
            <w:tcW w:w="1268" w:type="dxa"/>
            <w:vAlign w:val="center"/>
          </w:tcPr>
          <w:p w14:paraId="0A02013D" w14:textId="183D509B" w:rsidR="008C1EC9" w:rsidRDefault="008C1EC9" w:rsidP="008C1EC9">
            <w:pPr>
              <w:jc w:val="center"/>
            </w:pPr>
            <w:r w:rsidRPr="008031C2">
              <w:rPr>
                <w:color w:val="414142"/>
              </w:rPr>
              <w:t> 0</w:t>
            </w:r>
          </w:p>
        </w:tc>
        <w:tc>
          <w:tcPr>
            <w:tcW w:w="1123" w:type="dxa"/>
            <w:vMerge/>
            <w:vAlign w:val="center"/>
          </w:tcPr>
          <w:p w14:paraId="09F63158" w14:textId="77777777" w:rsidR="008C1EC9" w:rsidRDefault="008C1EC9" w:rsidP="008C1EC9">
            <w:pPr>
              <w:jc w:val="center"/>
            </w:pPr>
          </w:p>
        </w:tc>
        <w:tc>
          <w:tcPr>
            <w:tcW w:w="1268" w:type="dxa"/>
            <w:vAlign w:val="center"/>
          </w:tcPr>
          <w:p w14:paraId="44CFA894" w14:textId="034A0F3F" w:rsidR="008C1EC9" w:rsidRDefault="008C1EC9" w:rsidP="008C1EC9">
            <w:pPr>
              <w:jc w:val="center"/>
            </w:pPr>
            <w:r w:rsidRPr="008031C2">
              <w:rPr>
                <w:color w:val="414142"/>
              </w:rPr>
              <w:t> 0</w:t>
            </w:r>
          </w:p>
        </w:tc>
        <w:tc>
          <w:tcPr>
            <w:tcW w:w="1400" w:type="dxa"/>
            <w:vAlign w:val="center"/>
          </w:tcPr>
          <w:p w14:paraId="6D8304AA" w14:textId="4B379B8F" w:rsidR="008C1EC9" w:rsidRDefault="008C1EC9" w:rsidP="008C1EC9">
            <w:pPr>
              <w:jc w:val="center"/>
            </w:pPr>
            <w:r w:rsidRPr="008031C2">
              <w:rPr>
                <w:color w:val="414142"/>
              </w:rPr>
              <w:t> 0</w:t>
            </w:r>
          </w:p>
        </w:tc>
      </w:tr>
      <w:tr w:rsidR="008C1EC9" w14:paraId="23CC6415" w14:textId="77777777" w:rsidTr="002F56FC">
        <w:tc>
          <w:tcPr>
            <w:tcW w:w="2139" w:type="dxa"/>
          </w:tcPr>
          <w:p w14:paraId="18D57B1A" w14:textId="2F579538" w:rsidR="008C1EC9" w:rsidRDefault="008C1EC9" w:rsidP="008C1EC9">
            <w:pPr>
              <w:jc w:val="both"/>
            </w:pPr>
            <w:r w:rsidRPr="008031C2">
              <w:rPr>
                <w:color w:val="414142"/>
              </w:rPr>
              <w:t>5.2. speciālais budžets</w:t>
            </w:r>
          </w:p>
        </w:tc>
        <w:tc>
          <w:tcPr>
            <w:tcW w:w="1123" w:type="dxa"/>
            <w:vMerge/>
            <w:vAlign w:val="center"/>
          </w:tcPr>
          <w:p w14:paraId="50E05D0D" w14:textId="77777777" w:rsidR="008C1EC9" w:rsidRDefault="008C1EC9" w:rsidP="008C1EC9">
            <w:pPr>
              <w:jc w:val="center"/>
            </w:pPr>
          </w:p>
        </w:tc>
        <w:tc>
          <w:tcPr>
            <w:tcW w:w="1150" w:type="dxa"/>
            <w:vAlign w:val="center"/>
          </w:tcPr>
          <w:p w14:paraId="4A5E95F0" w14:textId="4E044EC6" w:rsidR="008C1EC9" w:rsidRDefault="008C1EC9" w:rsidP="008C1EC9">
            <w:pPr>
              <w:jc w:val="center"/>
            </w:pPr>
            <w:r w:rsidRPr="008031C2">
              <w:rPr>
                <w:color w:val="414142"/>
              </w:rPr>
              <w:t> 0</w:t>
            </w:r>
          </w:p>
        </w:tc>
        <w:tc>
          <w:tcPr>
            <w:tcW w:w="1019" w:type="dxa"/>
            <w:vMerge/>
            <w:vAlign w:val="center"/>
          </w:tcPr>
          <w:p w14:paraId="29AAE657" w14:textId="77777777" w:rsidR="008C1EC9" w:rsidRDefault="008C1EC9" w:rsidP="008C1EC9">
            <w:pPr>
              <w:jc w:val="center"/>
            </w:pPr>
          </w:p>
        </w:tc>
        <w:tc>
          <w:tcPr>
            <w:tcW w:w="1268" w:type="dxa"/>
            <w:vAlign w:val="center"/>
          </w:tcPr>
          <w:p w14:paraId="1C535C64" w14:textId="164EDC12" w:rsidR="008C1EC9" w:rsidRDefault="008C1EC9" w:rsidP="008C1EC9">
            <w:pPr>
              <w:jc w:val="center"/>
            </w:pPr>
            <w:r w:rsidRPr="008031C2">
              <w:rPr>
                <w:color w:val="414142"/>
              </w:rPr>
              <w:t> 0</w:t>
            </w:r>
          </w:p>
        </w:tc>
        <w:tc>
          <w:tcPr>
            <w:tcW w:w="1123" w:type="dxa"/>
            <w:vMerge/>
            <w:vAlign w:val="center"/>
          </w:tcPr>
          <w:p w14:paraId="450C386D" w14:textId="77777777" w:rsidR="008C1EC9" w:rsidRDefault="008C1EC9" w:rsidP="008C1EC9">
            <w:pPr>
              <w:jc w:val="center"/>
            </w:pPr>
          </w:p>
        </w:tc>
        <w:tc>
          <w:tcPr>
            <w:tcW w:w="1268" w:type="dxa"/>
            <w:vAlign w:val="center"/>
          </w:tcPr>
          <w:p w14:paraId="00DD8E1C" w14:textId="6A5D65B8" w:rsidR="008C1EC9" w:rsidRDefault="008C1EC9" w:rsidP="008C1EC9">
            <w:pPr>
              <w:jc w:val="center"/>
            </w:pPr>
            <w:r w:rsidRPr="008031C2">
              <w:rPr>
                <w:color w:val="414142"/>
              </w:rPr>
              <w:t> 0</w:t>
            </w:r>
          </w:p>
        </w:tc>
        <w:tc>
          <w:tcPr>
            <w:tcW w:w="1400" w:type="dxa"/>
            <w:vAlign w:val="center"/>
          </w:tcPr>
          <w:p w14:paraId="4EA179D9" w14:textId="1C14331D" w:rsidR="008C1EC9" w:rsidRDefault="008C1EC9" w:rsidP="008C1EC9">
            <w:pPr>
              <w:jc w:val="center"/>
            </w:pPr>
            <w:r w:rsidRPr="008031C2">
              <w:rPr>
                <w:color w:val="414142"/>
              </w:rPr>
              <w:t> 0</w:t>
            </w:r>
          </w:p>
        </w:tc>
      </w:tr>
      <w:tr w:rsidR="008C1EC9" w14:paraId="00EAFB7F" w14:textId="77777777" w:rsidTr="002F56FC">
        <w:tc>
          <w:tcPr>
            <w:tcW w:w="2139" w:type="dxa"/>
          </w:tcPr>
          <w:p w14:paraId="462F9951" w14:textId="4DF9AF42" w:rsidR="008C1EC9" w:rsidRDefault="008C1EC9" w:rsidP="008C1EC9">
            <w:pPr>
              <w:jc w:val="both"/>
            </w:pPr>
            <w:r w:rsidRPr="008031C2">
              <w:rPr>
                <w:color w:val="414142"/>
              </w:rPr>
              <w:t>5.3. pašvaldību budžets</w:t>
            </w:r>
          </w:p>
        </w:tc>
        <w:tc>
          <w:tcPr>
            <w:tcW w:w="1123" w:type="dxa"/>
            <w:vMerge/>
            <w:vAlign w:val="center"/>
          </w:tcPr>
          <w:p w14:paraId="2B199B68" w14:textId="77777777" w:rsidR="008C1EC9" w:rsidRDefault="008C1EC9" w:rsidP="008C1EC9">
            <w:pPr>
              <w:jc w:val="center"/>
            </w:pPr>
          </w:p>
        </w:tc>
        <w:tc>
          <w:tcPr>
            <w:tcW w:w="1150" w:type="dxa"/>
            <w:vAlign w:val="center"/>
          </w:tcPr>
          <w:p w14:paraId="106BBC9A" w14:textId="7EC55B01" w:rsidR="008C1EC9" w:rsidRDefault="008C1EC9" w:rsidP="008C1EC9">
            <w:pPr>
              <w:jc w:val="center"/>
            </w:pPr>
            <w:r w:rsidRPr="008031C2">
              <w:rPr>
                <w:color w:val="414142"/>
              </w:rPr>
              <w:t> 0</w:t>
            </w:r>
          </w:p>
        </w:tc>
        <w:tc>
          <w:tcPr>
            <w:tcW w:w="1019" w:type="dxa"/>
            <w:vMerge/>
            <w:vAlign w:val="center"/>
          </w:tcPr>
          <w:p w14:paraId="102F0EEE" w14:textId="77777777" w:rsidR="008C1EC9" w:rsidRDefault="008C1EC9" w:rsidP="008C1EC9">
            <w:pPr>
              <w:jc w:val="center"/>
            </w:pPr>
          </w:p>
        </w:tc>
        <w:tc>
          <w:tcPr>
            <w:tcW w:w="1268" w:type="dxa"/>
            <w:vAlign w:val="center"/>
          </w:tcPr>
          <w:p w14:paraId="785C6FAA" w14:textId="74412202" w:rsidR="008C1EC9" w:rsidRDefault="008C1EC9" w:rsidP="008C1EC9">
            <w:pPr>
              <w:jc w:val="center"/>
            </w:pPr>
            <w:r w:rsidRPr="008031C2">
              <w:rPr>
                <w:color w:val="414142"/>
              </w:rPr>
              <w:t> 0</w:t>
            </w:r>
          </w:p>
        </w:tc>
        <w:tc>
          <w:tcPr>
            <w:tcW w:w="1123" w:type="dxa"/>
            <w:vMerge/>
            <w:vAlign w:val="center"/>
          </w:tcPr>
          <w:p w14:paraId="0D34B73C" w14:textId="77777777" w:rsidR="008C1EC9" w:rsidRDefault="008C1EC9" w:rsidP="008C1EC9">
            <w:pPr>
              <w:jc w:val="center"/>
            </w:pPr>
          </w:p>
        </w:tc>
        <w:tc>
          <w:tcPr>
            <w:tcW w:w="1268" w:type="dxa"/>
            <w:vAlign w:val="center"/>
          </w:tcPr>
          <w:p w14:paraId="3A66309E" w14:textId="01C28F41" w:rsidR="008C1EC9" w:rsidRDefault="008C1EC9" w:rsidP="008C1EC9">
            <w:pPr>
              <w:jc w:val="center"/>
            </w:pPr>
            <w:r w:rsidRPr="008031C2">
              <w:rPr>
                <w:color w:val="414142"/>
              </w:rPr>
              <w:t> 0</w:t>
            </w:r>
          </w:p>
        </w:tc>
        <w:tc>
          <w:tcPr>
            <w:tcW w:w="1400" w:type="dxa"/>
            <w:vAlign w:val="center"/>
          </w:tcPr>
          <w:p w14:paraId="7D640399" w14:textId="1FFE7314" w:rsidR="008C1EC9" w:rsidRDefault="008C1EC9" w:rsidP="008C1EC9">
            <w:pPr>
              <w:jc w:val="center"/>
            </w:pPr>
            <w:r w:rsidRPr="008031C2">
              <w:rPr>
                <w:color w:val="414142"/>
              </w:rPr>
              <w:t> 0</w:t>
            </w:r>
          </w:p>
        </w:tc>
      </w:tr>
      <w:tr w:rsidR="002F56FC" w14:paraId="353ED226" w14:textId="77777777" w:rsidTr="002F56FC">
        <w:tc>
          <w:tcPr>
            <w:tcW w:w="2139" w:type="dxa"/>
          </w:tcPr>
          <w:p w14:paraId="1062B15A" w14:textId="75390C25" w:rsidR="002F56FC" w:rsidRDefault="002F56FC" w:rsidP="008C1EC9">
            <w:pPr>
              <w:jc w:val="both"/>
            </w:pPr>
            <w:r w:rsidRPr="008031C2">
              <w:rPr>
                <w:color w:val="414142"/>
              </w:rPr>
              <w:t>6. Detalizēts ieņēmumu un izdevumu aprēķins (ja nepieciešams, detalizētu ieņēmumu un izdevumu aprēķinu var pievienot anotācijas pielikumā)</w:t>
            </w:r>
          </w:p>
        </w:tc>
        <w:tc>
          <w:tcPr>
            <w:tcW w:w="8351" w:type="dxa"/>
            <w:gridSpan w:val="7"/>
            <w:vMerge w:val="restart"/>
            <w:vAlign w:val="center"/>
          </w:tcPr>
          <w:p w14:paraId="11103145" w14:textId="2893E7A5" w:rsidR="002F56FC" w:rsidRDefault="002F56FC" w:rsidP="008C1EC9">
            <w:pPr>
              <w:jc w:val="center"/>
            </w:pPr>
            <w:r w:rsidRPr="008031C2">
              <w:rPr>
                <w:rFonts w:eastAsia="Arial Unicode MS"/>
                <w:color w:val="414142"/>
              </w:rPr>
              <w:t> </w:t>
            </w:r>
            <w:r w:rsidRPr="008031C2">
              <w:rPr>
                <w:rFonts w:eastAsia="Arial Unicode MS"/>
                <w:noProof/>
              </w:rPr>
              <w:t xml:space="preserve">Noteikumu projekts īstenojams likumā “Par valsts budžetu 2018.gadam” ministrijas </w:t>
            </w:r>
            <w:r w:rsidRPr="008031C2">
              <w:rPr>
                <w:rFonts w:eastAsia="Arial Unicode MS"/>
              </w:rPr>
              <w:t>pamatbudžeta apakšprogrammā 01.15.00 „Sociālā atbalsta programma vispārējās izglītības pedagogiem” pieejamā finansējuma ietvaros.</w:t>
            </w:r>
          </w:p>
        </w:tc>
      </w:tr>
      <w:tr w:rsidR="002F56FC" w14:paraId="26036F6E" w14:textId="77777777" w:rsidTr="002F56FC">
        <w:tc>
          <w:tcPr>
            <w:tcW w:w="2139" w:type="dxa"/>
          </w:tcPr>
          <w:p w14:paraId="6FAD3631" w14:textId="42921CAB" w:rsidR="002F56FC" w:rsidRDefault="002F56FC" w:rsidP="002F56FC">
            <w:pPr>
              <w:jc w:val="both"/>
            </w:pPr>
            <w:r w:rsidRPr="008031C2">
              <w:rPr>
                <w:color w:val="414142"/>
              </w:rPr>
              <w:t>6.1. detalizēts ieņēmumu aprēķins</w:t>
            </w:r>
          </w:p>
        </w:tc>
        <w:tc>
          <w:tcPr>
            <w:tcW w:w="8351" w:type="dxa"/>
            <w:gridSpan w:val="7"/>
            <w:vMerge/>
          </w:tcPr>
          <w:p w14:paraId="7BD7EF47" w14:textId="77777777" w:rsidR="002F56FC" w:rsidRDefault="002F56FC" w:rsidP="002F56FC">
            <w:pPr>
              <w:jc w:val="center"/>
            </w:pPr>
          </w:p>
        </w:tc>
      </w:tr>
      <w:tr w:rsidR="002F56FC" w14:paraId="1893FDC1" w14:textId="77777777" w:rsidTr="002F56FC">
        <w:tc>
          <w:tcPr>
            <w:tcW w:w="2139" w:type="dxa"/>
          </w:tcPr>
          <w:p w14:paraId="393DB9FC" w14:textId="7A62A44F" w:rsidR="002F56FC" w:rsidRDefault="002F56FC" w:rsidP="002F56FC">
            <w:pPr>
              <w:jc w:val="both"/>
            </w:pPr>
            <w:r w:rsidRPr="008031C2">
              <w:rPr>
                <w:color w:val="414142"/>
              </w:rPr>
              <w:t>6.2. detalizēts izdevumu aprēķins</w:t>
            </w:r>
          </w:p>
        </w:tc>
        <w:tc>
          <w:tcPr>
            <w:tcW w:w="8351" w:type="dxa"/>
            <w:gridSpan w:val="7"/>
            <w:vMerge/>
          </w:tcPr>
          <w:p w14:paraId="27C05545" w14:textId="77777777" w:rsidR="002F56FC" w:rsidRDefault="002F56FC" w:rsidP="002F56FC">
            <w:pPr>
              <w:jc w:val="center"/>
            </w:pPr>
          </w:p>
        </w:tc>
      </w:tr>
      <w:tr w:rsidR="002F56FC" w14:paraId="5D66791A" w14:textId="77777777" w:rsidTr="002F56FC">
        <w:tc>
          <w:tcPr>
            <w:tcW w:w="2139" w:type="dxa"/>
          </w:tcPr>
          <w:p w14:paraId="764C51ED" w14:textId="1DDC24CC" w:rsidR="002F56FC" w:rsidRDefault="002F56FC" w:rsidP="002F56FC">
            <w:pPr>
              <w:jc w:val="both"/>
            </w:pPr>
            <w:r w:rsidRPr="008031C2">
              <w:rPr>
                <w:color w:val="414142"/>
              </w:rPr>
              <w:t>7. Amata vietu skaita izmaiņas</w:t>
            </w:r>
          </w:p>
        </w:tc>
        <w:tc>
          <w:tcPr>
            <w:tcW w:w="8351" w:type="dxa"/>
            <w:gridSpan w:val="7"/>
          </w:tcPr>
          <w:p w14:paraId="244DF2C0" w14:textId="04F99808" w:rsidR="002F56FC" w:rsidRDefault="002F56FC" w:rsidP="002F56FC">
            <w:pPr>
              <w:jc w:val="center"/>
            </w:pPr>
            <w:r w:rsidRPr="008031C2">
              <w:rPr>
                <w:rFonts w:eastAsia="Arial Unicode MS"/>
                <w:color w:val="414142"/>
              </w:rPr>
              <w:t>Nav paredzēts palielināt amatu vietu skaitu.</w:t>
            </w:r>
          </w:p>
        </w:tc>
      </w:tr>
      <w:tr w:rsidR="002F56FC" w14:paraId="328262E0" w14:textId="77777777" w:rsidTr="002F56FC">
        <w:tc>
          <w:tcPr>
            <w:tcW w:w="2139" w:type="dxa"/>
          </w:tcPr>
          <w:p w14:paraId="77ACF528" w14:textId="1563C02E" w:rsidR="002F56FC" w:rsidRPr="008031C2" w:rsidRDefault="002F56FC" w:rsidP="002F56FC">
            <w:pPr>
              <w:jc w:val="both"/>
              <w:rPr>
                <w:color w:val="414142"/>
              </w:rPr>
            </w:pPr>
            <w:r w:rsidRPr="008031C2">
              <w:rPr>
                <w:color w:val="414142"/>
              </w:rPr>
              <w:t>8. Cita informācija</w:t>
            </w:r>
          </w:p>
        </w:tc>
        <w:tc>
          <w:tcPr>
            <w:tcW w:w="8351" w:type="dxa"/>
            <w:gridSpan w:val="7"/>
          </w:tcPr>
          <w:p w14:paraId="4145EC2D" w14:textId="2ED05D82" w:rsidR="002F56FC" w:rsidRPr="008031C2" w:rsidRDefault="002F56FC" w:rsidP="002F56FC">
            <w:pPr>
              <w:jc w:val="center"/>
              <w:rPr>
                <w:rFonts w:eastAsia="Arial Unicode MS"/>
                <w:color w:val="414142"/>
              </w:rPr>
            </w:pPr>
            <w:r w:rsidRPr="008031C2">
              <w:rPr>
                <w:rFonts w:eastAsia="Arial Unicode MS"/>
                <w:noProof/>
              </w:rPr>
              <w:t xml:space="preserve">Līdzekļi programmai </w:t>
            </w:r>
            <w:r w:rsidRPr="008031C2">
              <w:rPr>
                <w:rFonts w:eastAsia="Arial Unicode MS"/>
              </w:rPr>
              <w:t>„Sociālā atbalsta programma vispārējās izglītības pedagogiem” ir paredzēti 2018-</w:t>
            </w:r>
            <w:proofErr w:type="gramStart"/>
            <w:r w:rsidRPr="008031C2">
              <w:rPr>
                <w:rFonts w:eastAsia="Arial Unicode MS"/>
              </w:rPr>
              <w:t>2020.gada</w:t>
            </w:r>
            <w:proofErr w:type="gramEnd"/>
            <w:r w:rsidRPr="008031C2">
              <w:rPr>
                <w:rFonts w:eastAsia="Arial Unicode MS"/>
              </w:rPr>
              <w:t xml:space="preserve"> budžetā.</w:t>
            </w:r>
          </w:p>
        </w:tc>
      </w:tr>
    </w:tbl>
    <w:p w14:paraId="6FC4BCD4" w14:textId="77777777" w:rsidR="00A57838" w:rsidRPr="009733BA" w:rsidRDefault="00A57838" w:rsidP="008D6F57">
      <w:pPr>
        <w:jc w:val="both"/>
      </w:pPr>
    </w:p>
    <w:tbl>
      <w:tblPr>
        <w:tblpPr w:leftFromText="180" w:rightFromText="180" w:vertAnchor="text" w:horzAnchor="margin" w:tblpX="-365" w:tblpY="219"/>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25"/>
      </w:tblGrid>
      <w:tr w:rsidR="009733BA" w:rsidRPr="009733BA" w14:paraId="624DB4F0" w14:textId="77777777" w:rsidTr="008D6F57">
        <w:trPr>
          <w:trHeight w:val="195"/>
        </w:trPr>
        <w:tc>
          <w:tcPr>
            <w:tcW w:w="10525" w:type="dxa"/>
            <w:tcBorders>
              <w:bottom w:val="single" w:sz="4" w:space="0" w:color="auto"/>
            </w:tcBorders>
            <w:vAlign w:val="center"/>
          </w:tcPr>
          <w:p w14:paraId="698D06E0" w14:textId="77777777" w:rsidR="00A57838" w:rsidRPr="009733BA" w:rsidRDefault="00A57838" w:rsidP="008D6F57">
            <w:pPr>
              <w:ind w:left="421"/>
              <w:jc w:val="center"/>
              <w:rPr>
                <w:b/>
                <w:bCs/>
              </w:rPr>
            </w:pPr>
            <w:r w:rsidRPr="009733BA">
              <w:rPr>
                <w:b/>
                <w:bCs/>
              </w:rPr>
              <w:t xml:space="preserve">IV. Tiesību akta projekta ietekme uz </w:t>
            </w:r>
            <w:r w:rsidRPr="009733BA">
              <w:rPr>
                <w:b/>
                <w:bCs/>
                <w:lang w:bidi="lo-LA"/>
              </w:rPr>
              <w:t>spēkā esošo tiesību normu sistēmu</w:t>
            </w:r>
          </w:p>
        </w:tc>
      </w:tr>
      <w:tr w:rsidR="009733BA" w:rsidRPr="009733BA" w14:paraId="13AD7F9B" w14:textId="77777777" w:rsidTr="008D6F57">
        <w:trPr>
          <w:trHeight w:val="331"/>
        </w:trPr>
        <w:tc>
          <w:tcPr>
            <w:tcW w:w="10525" w:type="dxa"/>
            <w:tcBorders>
              <w:top w:val="single" w:sz="4" w:space="0" w:color="auto"/>
              <w:left w:val="single" w:sz="4" w:space="0" w:color="auto"/>
              <w:bottom w:val="single" w:sz="4" w:space="0" w:color="auto"/>
              <w:right w:val="single" w:sz="4" w:space="0" w:color="auto"/>
            </w:tcBorders>
          </w:tcPr>
          <w:p w14:paraId="5A2334CD" w14:textId="77777777" w:rsidR="00A57838" w:rsidRPr="009733BA" w:rsidRDefault="00A57838" w:rsidP="008D6F57">
            <w:pPr>
              <w:jc w:val="center"/>
              <w:rPr>
                <w:iCs/>
              </w:rPr>
            </w:pPr>
            <w:r w:rsidRPr="009733BA">
              <w:rPr>
                <w:iCs/>
              </w:rPr>
              <w:t>Projekts šo jomu neskar.</w:t>
            </w:r>
          </w:p>
        </w:tc>
      </w:tr>
    </w:tbl>
    <w:p w14:paraId="02051CB4" w14:textId="77777777" w:rsidR="00A57838" w:rsidRPr="009733BA" w:rsidRDefault="00A57838" w:rsidP="008D6F57">
      <w:pPr>
        <w:jc w:val="both"/>
      </w:pPr>
    </w:p>
    <w:tbl>
      <w:tblPr>
        <w:tblpPr w:leftFromText="180" w:rightFromText="180" w:vertAnchor="text" w:horzAnchor="margin" w:tblpX="-365" w:tblpY="219"/>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30"/>
      </w:tblGrid>
      <w:tr w:rsidR="009733BA" w:rsidRPr="009733BA" w14:paraId="19E5E450" w14:textId="77777777" w:rsidTr="008D6F57">
        <w:trPr>
          <w:trHeight w:val="195"/>
        </w:trPr>
        <w:tc>
          <w:tcPr>
            <w:tcW w:w="10530" w:type="dxa"/>
            <w:vAlign w:val="center"/>
          </w:tcPr>
          <w:p w14:paraId="192ACC22" w14:textId="77777777" w:rsidR="00A57838" w:rsidRPr="009733BA" w:rsidRDefault="00A57838" w:rsidP="008D6F57">
            <w:pPr>
              <w:ind w:left="421"/>
              <w:jc w:val="center"/>
              <w:rPr>
                <w:b/>
                <w:bCs/>
              </w:rPr>
            </w:pPr>
            <w:r w:rsidRPr="009733BA">
              <w:rPr>
                <w:b/>
                <w:bCs/>
              </w:rPr>
              <w:t>V. Tiesību akta projekta atbilstība Latvijas Republikas starptautiskajām saistībām</w:t>
            </w:r>
          </w:p>
        </w:tc>
      </w:tr>
      <w:tr w:rsidR="009733BA" w:rsidRPr="009733BA" w14:paraId="47301DC3" w14:textId="77777777" w:rsidTr="008D6F57">
        <w:trPr>
          <w:trHeight w:val="331"/>
        </w:trPr>
        <w:tc>
          <w:tcPr>
            <w:tcW w:w="10530" w:type="dxa"/>
          </w:tcPr>
          <w:p w14:paraId="23747EC5" w14:textId="77777777" w:rsidR="00A57838" w:rsidRPr="009733BA" w:rsidRDefault="00A57838" w:rsidP="008D6F57">
            <w:pPr>
              <w:jc w:val="center"/>
              <w:rPr>
                <w:iCs/>
              </w:rPr>
            </w:pPr>
            <w:r w:rsidRPr="009733BA">
              <w:rPr>
                <w:iCs/>
              </w:rPr>
              <w:t>Projekts šo jomu neskar.</w:t>
            </w:r>
          </w:p>
        </w:tc>
      </w:tr>
    </w:tbl>
    <w:p w14:paraId="1BF2A5A6" w14:textId="77777777" w:rsidR="00A57838" w:rsidRPr="009733BA" w:rsidRDefault="00A57838" w:rsidP="008D6F57">
      <w:pPr>
        <w:jc w:val="both"/>
      </w:pPr>
    </w:p>
    <w:tbl>
      <w:tblPr>
        <w:tblW w:w="5604"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2"/>
        <w:gridCol w:w="2646"/>
        <w:gridCol w:w="160"/>
        <w:gridCol w:w="7184"/>
      </w:tblGrid>
      <w:tr w:rsidR="009733BA" w:rsidRPr="009733BA" w14:paraId="3BA741F3" w14:textId="77777777" w:rsidTr="008D6F57">
        <w:trPr>
          <w:trHeight w:val="420"/>
        </w:trPr>
        <w:tc>
          <w:tcPr>
            <w:tcW w:w="5000" w:type="pct"/>
            <w:gridSpan w:val="5"/>
            <w:shd w:val="clear" w:color="auto" w:fill="auto"/>
            <w:hideMark/>
          </w:tcPr>
          <w:p w14:paraId="46C982AF" w14:textId="77777777" w:rsidR="00A57838" w:rsidRPr="009733BA" w:rsidRDefault="00A57838" w:rsidP="004A01E5">
            <w:pPr>
              <w:jc w:val="center"/>
              <w:rPr>
                <w:b/>
                <w:bCs/>
              </w:rPr>
            </w:pPr>
            <w:r w:rsidRPr="009733BA">
              <w:t> </w:t>
            </w:r>
            <w:r w:rsidRPr="009733BA">
              <w:rPr>
                <w:b/>
                <w:bCs/>
              </w:rPr>
              <w:t>VI. Sabiedrības līdzdalība un komunikācijas aktivitātes</w:t>
            </w:r>
          </w:p>
        </w:tc>
      </w:tr>
      <w:tr w:rsidR="009733BA" w:rsidRPr="009733BA" w14:paraId="002F70C9" w14:textId="77777777" w:rsidTr="008D6F57">
        <w:trPr>
          <w:trHeight w:val="540"/>
        </w:trPr>
        <w:tc>
          <w:tcPr>
            <w:tcW w:w="368" w:type="pct"/>
            <w:gridSpan w:val="2"/>
            <w:shd w:val="clear" w:color="auto" w:fill="auto"/>
            <w:hideMark/>
          </w:tcPr>
          <w:p w14:paraId="1A99E0F8" w14:textId="77777777" w:rsidR="00A57838" w:rsidRPr="009733BA" w:rsidRDefault="00A57838" w:rsidP="004A01E5">
            <w:r w:rsidRPr="009733BA">
              <w:t>1.</w:t>
            </w:r>
          </w:p>
        </w:tc>
        <w:tc>
          <w:tcPr>
            <w:tcW w:w="1301" w:type="pct"/>
            <w:gridSpan w:val="2"/>
            <w:shd w:val="clear" w:color="auto" w:fill="auto"/>
            <w:hideMark/>
          </w:tcPr>
          <w:p w14:paraId="1C584DD5" w14:textId="77777777" w:rsidR="00A57838" w:rsidRPr="009733BA" w:rsidRDefault="00A57838" w:rsidP="004A01E5">
            <w:r w:rsidRPr="009733BA">
              <w:t>Plānotās sabiedrības līdzdalības un komunikācijas aktivitātes saistībā ar projektu</w:t>
            </w:r>
          </w:p>
        </w:tc>
        <w:tc>
          <w:tcPr>
            <w:tcW w:w="3331" w:type="pct"/>
            <w:shd w:val="clear" w:color="auto" w:fill="auto"/>
            <w:hideMark/>
          </w:tcPr>
          <w:p w14:paraId="02AE9FA7" w14:textId="7745B244" w:rsidR="00A57838" w:rsidRPr="009733BA" w:rsidRDefault="002967FD" w:rsidP="00A06CE2">
            <w:pPr>
              <w:jc w:val="both"/>
            </w:pPr>
            <w:r w:rsidRPr="009733BA">
              <w:t xml:space="preserve">    P</w:t>
            </w:r>
            <w:r w:rsidR="008D6F57">
              <w:t>irms p</w:t>
            </w:r>
            <w:r w:rsidRPr="009733BA">
              <w:t>rojekt</w:t>
            </w:r>
            <w:r w:rsidR="008D6F57">
              <w:t>a izstrādes</w:t>
            </w:r>
            <w:r w:rsidR="00456C12">
              <w:t xml:space="preserve"> tika veikta esošās situācijas izpēte, lai noskaidrotu riskus, ko varētu radīt izglītības iestāžu tīkla sakārtošana. Ministrija sagatavoja </w:t>
            </w:r>
            <w:r w:rsidR="002722EC">
              <w:t xml:space="preserve">gan informatīvo ziņojumu, gan </w:t>
            </w:r>
            <w:r w:rsidR="00A06CE2">
              <w:t>G</w:t>
            </w:r>
            <w:r w:rsidR="002722EC">
              <w:t xml:space="preserve">rozījumus </w:t>
            </w:r>
            <w:r w:rsidR="0073018C">
              <w:t>I</w:t>
            </w:r>
            <w:r w:rsidR="002722EC">
              <w:t>zglītības likumā. Pēc projekta apst</w:t>
            </w:r>
            <w:r w:rsidR="0073018C">
              <w:t>i</w:t>
            </w:r>
            <w:r w:rsidR="002722EC">
              <w:t>prināš</w:t>
            </w:r>
            <w:r w:rsidR="0073018C">
              <w:t>a</w:t>
            </w:r>
            <w:r w:rsidR="002722EC">
              <w:t>nas Ministru kabinetā ministrija iepazīstinās pašvaldī</w:t>
            </w:r>
            <w:r w:rsidR="0073018C">
              <w:t>bu pārstāvjus ar jauno normatī</w:t>
            </w:r>
            <w:r w:rsidR="002722EC">
              <w:t>vo aktu, kā arī ievietos to ministrijas mājaslapā.</w:t>
            </w:r>
          </w:p>
        </w:tc>
      </w:tr>
      <w:tr w:rsidR="009733BA" w:rsidRPr="009733BA" w14:paraId="022A07BD" w14:textId="77777777" w:rsidTr="002722EC">
        <w:trPr>
          <w:trHeight w:val="330"/>
        </w:trPr>
        <w:tc>
          <w:tcPr>
            <w:tcW w:w="368" w:type="pct"/>
            <w:gridSpan w:val="2"/>
            <w:shd w:val="clear" w:color="auto" w:fill="auto"/>
            <w:hideMark/>
          </w:tcPr>
          <w:p w14:paraId="37067B75" w14:textId="77777777" w:rsidR="00A57838" w:rsidRPr="009733BA" w:rsidRDefault="00A57838" w:rsidP="004A01E5">
            <w:r w:rsidRPr="009733BA">
              <w:t>2.</w:t>
            </w:r>
          </w:p>
        </w:tc>
        <w:tc>
          <w:tcPr>
            <w:tcW w:w="1301" w:type="pct"/>
            <w:gridSpan w:val="2"/>
            <w:shd w:val="clear" w:color="auto" w:fill="auto"/>
            <w:hideMark/>
          </w:tcPr>
          <w:p w14:paraId="0EBAF6F7" w14:textId="77777777" w:rsidR="00A57838" w:rsidRPr="009733BA" w:rsidRDefault="00A57838" w:rsidP="004A01E5">
            <w:r w:rsidRPr="009733BA">
              <w:t>Sabiedrības līdzdalība projekta izstrādē</w:t>
            </w:r>
          </w:p>
        </w:tc>
        <w:tc>
          <w:tcPr>
            <w:tcW w:w="3331" w:type="pct"/>
            <w:shd w:val="clear" w:color="auto" w:fill="auto"/>
          </w:tcPr>
          <w:p w14:paraId="35A1258B" w14:textId="47D4D390" w:rsidR="00A57838" w:rsidRPr="009733BA" w:rsidRDefault="00B30706" w:rsidP="002722EC">
            <w:pPr>
              <w:jc w:val="both"/>
            </w:pPr>
            <w:r>
              <w:t xml:space="preserve">  </w:t>
            </w:r>
            <w:r w:rsidR="002E7FD4">
              <w:t xml:space="preserve">Diskusijā par izglītības iestāžu reorganizācijas </w:t>
            </w:r>
            <w:r w:rsidR="00BB70C5">
              <w:t>vai</w:t>
            </w:r>
            <w:proofErr w:type="gramStart"/>
            <w:r w:rsidR="00BB70C5">
              <w:t xml:space="preserve">  </w:t>
            </w:r>
            <w:proofErr w:type="gramEnd"/>
            <w:r w:rsidR="00BB70C5">
              <w:t>likvidācijas radīto ietekmi uz pedagogu nodarbinātību aktīvi piedalījās Latvijas Pašvaldību savienība un Latvijas izglītības un zinātnes darbinieku arodbiedrība</w:t>
            </w:r>
            <w:r w:rsidR="00A06CE2">
              <w:t>.</w:t>
            </w:r>
          </w:p>
        </w:tc>
      </w:tr>
      <w:tr w:rsidR="009733BA" w:rsidRPr="009733BA" w14:paraId="589CF4F9" w14:textId="77777777" w:rsidTr="002722EC">
        <w:trPr>
          <w:trHeight w:val="465"/>
        </w:trPr>
        <w:tc>
          <w:tcPr>
            <w:tcW w:w="368" w:type="pct"/>
            <w:gridSpan w:val="2"/>
            <w:tcBorders>
              <w:bottom w:val="single" w:sz="4" w:space="0" w:color="auto"/>
            </w:tcBorders>
            <w:shd w:val="clear" w:color="auto" w:fill="auto"/>
            <w:hideMark/>
          </w:tcPr>
          <w:p w14:paraId="217780A7" w14:textId="77777777" w:rsidR="00A57838" w:rsidRPr="009733BA" w:rsidRDefault="00A57838" w:rsidP="004A01E5">
            <w:r w:rsidRPr="009733BA">
              <w:t>3.</w:t>
            </w:r>
          </w:p>
        </w:tc>
        <w:tc>
          <w:tcPr>
            <w:tcW w:w="1301" w:type="pct"/>
            <w:gridSpan w:val="2"/>
            <w:tcBorders>
              <w:bottom w:val="single" w:sz="4" w:space="0" w:color="auto"/>
            </w:tcBorders>
            <w:shd w:val="clear" w:color="auto" w:fill="auto"/>
            <w:hideMark/>
          </w:tcPr>
          <w:p w14:paraId="008F59D8" w14:textId="77777777" w:rsidR="00A57838" w:rsidRPr="009733BA" w:rsidRDefault="00A57838" w:rsidP="004A01E5">
            <w:r w:rsidRPr="009733BA">
              <w:t>Sabiedrības līdzdalības rezultāti</w:t>
            </w:r>
          </w:p>
        </w:tc>
        <w:tc>
          <w:tcPr>
            <w:tcW w:w="3331" w:type="pct"/>
            <w:tcBorders>
              <w:bottom w:val="single" w:sz="4" w:space="0" w:color="auto"/>
            </w:tcBorders>
            <w:shd w:val="clear" w:color="auto" w:fill="auto"/>
          </w:tcPr>
          <w:p w14:paraId="16766F6A" w14:textId="57CAECFB" w:rsidR="00A57838" w:rsidRPr="009733BA" w:rsidRDefault="00B30706" w:rsidP="0073018C">
            <w:pPr>
              <w:jc w:val="both"/>
            </w:pPr>
            <w:r>
              <w:t xml:space="preserve">  </w:t>
            </w:r>
            <w:r w:rsidR="002722EC">
              <w:t xml:space="preserve">Diskusijās par </w:t>
            </w:r>
            <w:r w:rsidR="0073018C">
              <w:t xml:space="preserve">izmaiņām </w:t>
            </w:r>
            <w:r w:rsidR="002722EC">
              <w:t xml:space="preserve">Izglītības likumā gūtās atziņas un priekšlikumi atbilstoši valsts finansiālajām iespējām ietverti arī šajā projektā. </w:t>
            </w:r>
          </w:p>
        </w:tc>
      </w:tr>
      <w:tr w:rsidR="009733BA" w:rsidRPr="009733BA" w14:paraId="7F5165B9" w14:textId="77777777" w:rsidTr="002722EC">
        <w:trPr>
          <w:trHeight w:val="465"/>
        </w:trPr>
        <w:tc>
          <w:tcPr>
            <w:tcW w:w="368" w:type="pct"/>
            <w:gridSpan w:val="2"/>
            <w:tcBorders>
              <w:bottom w:val="single" w:sz="4" w:space="0" w:color="auto"/>
            </w:tcBorders>
            <w:shd w:val="clear" w:color="auto" w:fill="auto"/>
            <w:hideMark/>
          </w:tcPr>
          <w:p w14:paraId="186ED408" w14:textId="77777777" w:rsidR="00A57838" w:rsidRPr="009733BA" w:rsidRDefault="00A57838" w:rsidP="004A01E5">
            <w:r w:rsidRPr="009733BA">
              <w:t>4.</w:t>
            </w:r>
          </w:p>
        </w:tc>
        <w:tc>
          <w:tcPr>
            <w:tcW w:w="1301" w:type="pct"/>
            <w:gridSpan w:val="2"/>
            <w:tcBorders>
              <w:bottom w:val="single" w:sz="4" w:space="0" w:color="auto"/>
            </w:tcBorders>
            <w:shd w:val="clear" w:color="auto" w:fill="auto"/>
            <w:hideMark/>
          </w:tcPr>
          <w:p w14:paraId="6EC8F159" w14:textId="77777777" w:rsidR="00A57838" w:rsidRPr="009733BA" w:rsidRDefault="00A57838" w:rsidP="004A01E5">
            <w:r w:rsidRPr="009733BA">
              <w:t>Cita informācija</w:t>
            </w:r>
          </w:p>
        </w:tc>
        <w:tc>
          <w:tcPr>
            <w:tcW w:w="3331" w:type="pct"/>
            <w:tcBorders>
              <w:bottom w:val="single" w:sz="4" w:space="0" w:color="auto"/>
            </w:tcBorders>
            <w:shd w:val="clear" w:color="auto" w:fill="auto"/>
          </w:tcPr>
          <w:p w14:paraId="2DDFD73F" w14:textId="77777777" w:rsidR="00A57838" w:rsidRPr="009733BA" w:rsidRDefault="00A57838" w:rsidP="004A01E5">
            <w:pPr>
              <w:jc w:val="both"/>
            </w:pPr>
            <w:r w:rsidRPr="009733BA">
              <w:t xml:space="preserve">    Nav.</w:t>
            </w:r>
          </w:p>
        </w:tc>
      </w:tr>
      <w:tr w:rsidR="009733BA" w:rsidRPr="009733BA" w14:paraId="6C9DBE0F" w14:textId="77777777" w:rsidTr="002722EC">
        <w:tblPrEx>
          <w:jc w:val="center"/>
          <w:tblCellMar>
            <w:top w:w="28" w:type="dxa"/>
            <w:left w:w="28" w:type="dxa"/>
            <w:bottom w:w="28" w:type="dxa"/>
            <w:right w:w="28" w:type="dxa"/>
          </w:tblCellMar>
          <w:tblLook w:val="0000" w:firstRow="0" w:lastRow="0" w:firstColumn="0" w:lastColumn="0" w:noHBand="0" w:noVBand="0"/>
        </w:tblPrEx>
        <w:trPr>
          <w:trHeight w:val="381"/>
          <w:jc w:val="center"/>
        </w:trPr>
        <w:tc>
          <w:tcPr>
            <w:tcW w:w="5000" w:type="pct"/>
            <w:gridSpan w:val="5"/>
            <w:tcBorders>
              <w:top w:val="single" w:sz="4" w:space="0" w:color="auto"/>
              <w:left w:val="nil"/>
              <w:bottom w:val="single" w:sz="4" w:space="0" w:color="auto"/>
              <w:right w:val="nil"/>
            </w:tcBorders>
            <w:vAlign w:val="center"/>
          </w:tcPr>
          <w:p w14:paraId="70B8623D" w14:textId="77777777" w:rsidR="000F6FC7" w:rsidRPr="009733BA" w:rsidRDefault="000F6FC7" w:rsidP="004A01E5">
            <w:pPr>
              <w:pStyle w:val="naisnod"/>
              <w:spacing w:before="0" w:beforeAutospacing="0" w:after="0" w:afterAutospacing="0"/>
              <w:ind w:left="57" w:right="57"/>
              <w:jc w:val="center"/>
              <w:rPr>
                <w:b/>
              </w:rPr>
            </w:pPr>
          </w:p>
        </w:tc>
      </w:tr>
      <w:tr w:rsidR="009733BA" w:rsidRPr="009733BA" w14:paraId="3285E547" w14:textId="77777777" w:rsidTr="002722EC">
        <w:tblPrEx>
          <w:jc w:val="center"/>
          <w:tblCellMar>
            <w:top w:w="28" w:type="dxa"/>
            <w:left w:w="28" w:type="dxa"/>
            <w:bottom w:w="28" w:type="dxa"/>
            <w:right w:w="28" w:type="dxa"/>
          </w:tblCellMar>
          <w:tblLook w:val="0000" w:firstRow="0" w:lastRow="0" w:firstColumn="0" w:lastColumn="0" w:noHBand="0" w:noVBand="0"/>
        </w:tblPrEx>
        <w:trPr>
          <w:trHeight w:val="381"/>
          <w:jc w:val="center"/>
        </w:trPr>
        <w:tc>
          <w:tcPr>
            <w:tcW w:w="5000" w:type="pct"/>
            <w:gridSpan w:val="5"/>
            <w:tcBorders>
              <w:top w:val="single" w:sz="4" w:space="0" w:color="auto"/>
            </w:tcBorders>
            <w:vAlign w:val="center"/>
          </w:tcPr>
          <w:p w14:paraId="7A91480C" w14:textId="77777777" w:rsidR="000F6FC7" w:rsidRPr="009733BA" w:rsidRDefault="000F6FC7" w:rsidP="004A01E5">
            <w:pPr>
              <w:pStyle w:val="naisnod"/>
              <w:spacing w:before="0" w:beforeAutospacing="0" w:after="0" w:afterAutospacing="0"/>
              <w:ind w:left="57" w:right="57"/>
              <w:jc w:val="center"/>
            </w:pPr>
            <w:r w:rsidRPr="009733BA">
              <w:rPr>
                <w:b/>
              </w:rPr>
              <w:t>VII. Tiesību akta projekta izpildes nodrošināšana un tās ietekme uz institūcijām</w:t>
            </w:r>
          </w:p>
        </w:tc>
      </w:tr>
      <w:tr w:rsidR="009733BA" w:rsidRPr="009733BA" w14:paraId="5A379930" w14:textId="77777777" w:rsidTr="002722EC">
        <w:tblPrEx>
          <w:jc w:val="center"/>
          <w:tblCellMar>
            <w:top w:w="28" w:type="dxa"/>
            <w:left w:w="28" w:type="dxa"/>
            <w:bottom w:w="28" w:type="dxa"/>
            <w:right w:w="28" w:type="dxa"/>
          </w:tblCellMar>
          <w:tblLook w:val="0000" w:firstRow="0" w:lastRow="0" w:firstColumn="0" w:lastColumn="0" w:noHBand="0" w:noVBand="0"/>
        </w:tblPrEx>
        <w:trPr>
          <w:trHeight w:val="427"/>
          <w:jc w:val="center"/>
        </w:trPr>
        <w:tc>
          <w:tcPr>
            <w:tcW w:w="358" w:type="pct"/>
          </w:tcPr>
          <w:p w14:paraId="55B9A471" w14:textId="77777777" w:rsidR="000F6FC7" w:rsidRPr="009733BA" w:rsidRDefault="000F6FC7" w:rsidP="004A01E5">
            <w:pPr>
              <w:pStyle w:val="naisnod"/>
              <w:spacing w:before="0" w:beforeAutospacing="0" w:after="0" w:afterAutospacing="0"/>
              <w:ind w:left="57" w:right="57"/>
              <w:jc w:val="both"/>
            </w:pPr>
            <w:r w:rsidRPr="009733BA">
              <w:t>1.</w:t>
            </w:r>
          </w:p>
        </w:tc>
        <w:tc>
          <w:tcPr>
            <w:tcW w:w="1237" w:type="pct"/>
            <w:gridSpan w:val="2"/>
          </w:tcPr>
          <w:p w14:paraId="4DE6601C" w14:textId="77777777" w:rsidR="000F6FC7" w:rsidRPr="009733BA" w:rsidRDefault="000F6FC7" w:rsidP="004A01E5">
            <w:pPr>
              <w:pStyle w:val="naisf"/>
              <w:spacing w:before="0" w:after="0"/>
              <w:ind w:left="57" w:right="57"/>
            </w:pPr>
            <w:r w:rsidRPr="009733BA">
              <w:t>Projekta izpildē iesaistītās institūcijas</w:t>
            </w:r>
          </w:p>
        </w:tc>
        <w:tc>
          <w:tcPr>
            <w:tcW w:w="3406" w:type="pct"/>
            <w:gridSpan w:val="2"/>
          </w:tcPr>
          <w:p w14:paraId="1A0202F1" w14:textId="3C4C6152" w:rsidR="000F6FC7" w:rsidRPr="009733BA" w:rsidRDefault="000F6FC7" w:rsidP="003D3485">
            <w:pPr>
              <w:ind w:right="114"/>
              <w:jc w:val="both"/>
              <w:rPr>
                <w:bCs/>
              </w:rPr>
            </w:pPr>
            <w:r w:rsidRPr="009733BA">
              <w:rPr>
                <w:bCs/>
              </w:rPr>
              <w:t xml:space="preserve">    Projekta izpildi </w:t>
            </w:r>
            <w:r w:rsidR="00DA370A" w:rsidRPr="009733BA">
              <w:rPr>
                <w:bCs/>
              </w:rPr>
              <w:t>nodrošinās</w:t>
            </w:r>
            <w:r w:rsidR="00BB70C5">
              <w:rPr>
                <w:bCs/>
              </w:rPr>
              <w:t xml:space="preserve"> pašvaldības,</w:t>
            </w:r>
            <w:r w:rsidR="00DA370A" w:rsidRPr="009733BA">
              <w:rPr>
                <w:bCs/>
              </w:rPr>
              <w:t xml:space="preserve"> </w:t>
            </w:r>
            <w:r w:rsidR="002722EC">
              <w:rPr>
                <w:bCs/>
              </w:rPr>
              <w:t>m</w:t>
            </w:r>
            <w:r w:rsidR="002722EC" w:rsidRPr="009733BA">
              <w:rPr>
                <w:bCs/>
              </w:rPr>
              <w:t>inistrija</w:t>
            </w:r>
            <w:r w:rsidR="002722EC">
              <w:rPr>
                <w:bCs/>
              </w:rPr>
              <w:t xml:space="preserve"> </w:t>
            </w:r>
            <w:r w:rsidR="00BB70C5">
              <w:rPr>
                <w:bCs/>
              </w:rPr>
              <w:t xml:space="preserve">un </w:t>
            </w:r>
            <w:r w:rsidR="002722EC">
              <w:rPr>
                <w:bCs/>
              </w:rPr>
              <w:t xml:space="preserve">Valsts sociālās </w:t>
            </w:r>
            <w:r w:rsidR="003D3485">
              <w:rPr>
                <w:bCs/>
              </w:rPr>
              <w:t>apdrošināšana</w:t>
            </w:r>
            <w:r w:rsidR="002722EC">
              <w:rPr>
                <w:bCs/>
              </w:rPr>
              <w:t>s aģentūra.</w:t>
            </w:r>
          </w:p>
        </w:tc>
      </w:tr>
      <w:tr w:rsidR="009733BA" w:rsidRPr="009733BA" w14:paraId="37709303" w14:textId="77777777" w:rsidTr="002722EC">
        <w:tblPrEx>
          <w:jc w:val="center"/>
          <w:tblCellMar>
            <w:top w:w="28" w:type="dxa"/>
            <w:left w:w="28" w:type="dxa"/>
            <w:bottom w:w="28" w:type="dxa"/>
            <w:right w:w="28" w:type="dxa"/>
          </w:tblCellMar>
          <w:tblLook w:val="0000" w:firstRow="0" w:lastRow="0" w:firstColumn="0" w:lastColumn="0" w:noHBand="0" w:noVBand="0"/>
        </w:tblPrEx>
        <w:trPr>
          <w:trHeight w:val="463"/>
          <w:jc w:val="center"/>
        </w:trPr>
        <w:tc>
          <w:tcPr>
            <w:tcW w:w="358" w:type="pct"/>
          </w:tcPr>
          <w:p w14:paraId="21FCA4C6" w14:textId="77777777" w:rsidR="000F6FC7" w:rsidRPr="009733BA" w:rsidRDefault="000F6FC7" w:rsidP="004A01E5">
            <w:pPr>
              <w:pStyle w:val="naisnod"/>
              <w:spacing w:before="0" w:beforeAutospacing="0" w:after="0" w:afterAutospacing="0"/>
              <w:ind w:left="57" w:right="57"/>
              <w:jc w:val="both"/>
            </w:pPr>
            <w:r w:rsidRPr="009733BA">
              <w:t>2.</w:t>
            </w:r>
          </w:p>
        </w:tc>
        <w:tc>
          <w:tcPr>
            <w:tcW w:w="1237" w:type="pct"/>
            <w:gridSpan w:val="2"/>
          </w:tcPr>
          <w:p w14:paraId="744A0DB4" w14:textId="77777777" w:rsidR="000F6FC7" w:rsidRPr="009733BA" w:rsidRDefault="000F6FC7" w:rsidP="0099052B">
            <w:pPr>
              <w:pStyle w:val="naisf"/>
              <w:spacing w:before="0" w:after="0"/>
              <w:ind w:left="57" w:right="57"/>
              <w:jc w:val="left"/>
            </w:pPr>
            <w:r w:rsidRPr="009733BA">
              <w:t>Projekta izpildes ietekme uz pārvaldes funkcijām un institucionālo struktūru.</w:t>
            </w:r>
            <w:r w:rsidR="00DA370A" w:rsidRPr="009733BA">
              <w:t xml:space="preserve"> </w:t>
            </w:r>
            <w:r w:rsidRPr="009733BA">
              <w:t>Jaunu institūciju izveide, esošu institūciju likvidācija vai reorganizācija, to ietekme uz institūcijas cilvēkresursiem</w:t>
            </w:r>
          </w:p>
        </w:tc>
        <w:tc>
          <w:tcPr>
            <w:tcW w:w="3406" w:type="pct"/>
            <w:gridSpan w:val="2"/>
          </w:tcPr>
          <w:p w14:paraId="57FCA10F" w14:textId="77777777" w:rsidR="000F6FC7" w:rsidRPr="009733BA" w:rsidRDefault="00161781" w:rsidP="004A01E5">
            <w:pPr>
              <w:ind w:left="-28"/>
              <w:jc w:val="both"/>
            </w:pPr>
            <w:r>
              <w:t xml:space="preserve">    Ar p</w:t>
            </w:r>
            <w:r w:rsidR="000F6FC7" w:rsidRPr="009733BA">
              <w:t xml:space="preserve">rojektu netiek paplašinātas </w:t>
            </w:r>
            <w:r w:rsidR="00881C8D">
              <w:t>m</w:t>
            </w:r>
            <w:r w:rsidR="000F6FC7" w:rsidRPr="009733BA">
              <w:t>inistrijai normatīvajos aktos noteiktās funkcijas.</w:t>
            </w:r>
          </w:p>
          <w:p w14:paraId="11BBA13B" w14:textId="77777777" w:rsidR="000F6FC7" w:rsidRPr="009733BA" w:rsidRDefault="000F6FC7" w:rsidP="004A01E5">
            <w:pPr>
              <w:ind w:left="-28"/>
              <w:jc w:val="both"/>
            </w:pPr>
            <w:r w:rsidRPr="009733BA">
              <w:t xml:space="preserve">    Projekts neparedz jaunu institūciju izveidi vai esošo institūciju likvidāc</w:t>
            </w:r>
            <w:r w:rsidR="00161781">
              <w:t>iju vai reorganizāciju, kā arī p</w:t>
            </w:r>
            <w:r w:rsidRPr="009733BA">
              <w:t>rojektam nav ietekmes uz esošo institūciju cilvēkresursiem.</w:t>
            </w:r>
          </w:p>
          <w:p w14:paraId="662513AC" w14:textId="77777777" w:rsidR="000F6FC7" w:rsidRPr="009733BA" w:rsidRDefault="000F6FC7" w:rsidP="004A01E5">
            <w:pPr>
              <w:ind w:left="121" w:right="114"/>
              <w:jc w:val="both"/>
            </w:pPr>
          </w:p>
        </w:tc>
      </w:tr>
      <w:tr w:rsidR="009733BA" w:rsidRPr="009733BA" w14:paraId="0F8B4BE6" w14:textId="77777777" w:rsidTr="002722EC">
        <w:tblPrEx>
          <w:jc w:val="center"/>
          <w:tblCellMar>
            <w:top w:w="28" w:type="dxa"/>
            <w:left w:w="28" w:type="dxa"/>
            <w:bottom w:w="28" w:type="dxa"/>
            <w:right w:w="28" w:type="dxa"/>
          </w:tblCellMar>
          <w:tblLook w:val="0000" w:firstRow="0" w:lastRow="0" w:firstColumn="0" w:lastColumn="0" w:noHBand="0" w:noVBand="0"/>
        </w:tblPrEx>
        <w:trPr>
          <w:trHeight w:val="402"/>
          <w:jc w:val="center"/>
        </w:trPr>
        <w:tc>
          <w:tcPr>
            <w:tcW w:w="358" w:type="pct"/>
            <w:tcBorders>
              <w:top w:val="single" w:sz="4" w:space="0" w:color="auto"/>
              <w:left w:val="single" w:sz="4" w:space="0" w:color="auto"/>
              <w:bottom w:val="single" w:sz="4" w:space="0" w:color="auto"/>
              <w:right w:val="single" w:sz="4" w:space="0" w:color="auto"/>
            </w:tcBorders>
          </w:tcPr>
          <w:p w14:paraId="74C4B8A5" w14:textId="77777777" w:rsidR="000F6FC7" w:rsidRPr="009733BA" w:rsidRDefault="000F6FC7" w:rsidP="004A01E5">
            <w:pPr>
              <w:pStyle w:val="naisnod"/>
              <w:spacing w:before="0" w:beforeAutospacing="0" w:after="0" w:afterAutospacing="0"/>
              <w:ind w:left="57" w:right="57"/>
              <w:jc w:val="both"/>
            </w:pPr>
            <w:r w:rsidRPr="009733BA">
              <w:t>3.</w:t>
            </w:r>
          </w:p>
        </w:tc>
        <w:tc>
          <w:tcPr>
            <w:tcW w:w="1237" w:type="pct"/>
            <w:gridSpan w:val="2"/>
            <w:tcBorders>
              <w:top w:val="single" w:sz="4" w:space="0" w:color="auto"/>
              <w:left w:val="single" w:sz="4" w:space="0" w:color="auto"/>
              <w:bottom w:val="single" w:sz="4" w:space="0" w:color="auto"/>
              <w:right w:val="single" w:sz="4" w:space="0" w:color="auto"/>
            </w:tcBorders>
          </w:tcPr>
          <w:p w14:paraId="39EC9AFC" w14:textId="77777777" w:rsidR="000F6FC7" w:rsidRPr="009733BA" w:rsidRDefault="000F6FC7" w:rsidP="004A01E5">
            <w:pPr>
              <w:pStyle w:val="naisf"/>
              <w:spacing w:before="0" w:after="0"/>
              <w:ind w:right="57" w:firstLine="74"/>
            </w:pPr>
            <w:r w:rsidRPr="009733BA">
              <w:t>Cita informācija</w:t>
            </w:r>
          </w:p>
        </w:tc>
        <w:tc>
          <w:tcPr>
            <w:tcW w:w="3406" w:type="pct"/>
            <w:gridSpan w:val="2"/>
            <w:tcBorders>
              <w:top w:val="single" w:sz="4" w:space="0" w:color="auto"/>
              <w:left w:val="single" w:sz="4" w:space="0" w:color="auto"/>
              <w:bottom w:val="single" w:sz="4" w:space="0" w:color="auto"/>
              <w:right w:val="single" w:sz="4" w:space="0" w:color="auto"/>
            </w:tcBorders>
          </w:tcPr>
          <w:p w14:paraId="450297EE" w14:textId="77777777" w:rsidR="000F6FC7" w:rsidRPr="009733BA" w:rsidRDefault="000F6FC7" w:rsidP="004A01E5">
            <w:pPr>
              <w:ind w:right="57"/>
              <w:jc w:val="both"/>
            </w:pPr>
            <w:r w:rsidRPr="009733BA">
              <w:t xml:space="preserve">    Nav.</w:t>
            </w:r>
          </w:p>
        </w:tc>
      </w:tr>
    </w:tbl>
    <w:p w14:paraId="6DEB6023" w14:textId="77777777" w:rsidR="0099052B" w:rsidRPr="009733BA" w:rsidRDefault="0099052B" w:rsidP="0099052B">
      <w:pPr>
        <w:keepNext/>
        <w:tabs>
          <w:tab w:val="left" w:pos="1215"/>
        </w:tabs>
        <w:rPr>
          <w:bCs/>
        </w:rPr>
      </w:pPr>
    </w:p>
    <w:p w14:paraId="79D417A5" w14:textId="77777777" w:rsidR="00DD602A" w:rsidRPr="009733BA" w:rsidRDefault="00DD602A" w:rsidP="0099052B">
      <w:pPr>
        <w:keepNext/>
        <w:tabs>
          <w:tab w:val="left" w:pos="1215"/>
        </w:tabs>
        <w:rPr>
          <w:bCs/>
        </w:rPr>
      </w:pPr>
    </w:p>
    <w:p w14:paraId="589C1BBC" w14:textId="77777777" w:rsidR="00DE64E8" w:rsidRPr="009733BA" w:rsidRDefault="00DE64E8" w:rsidP="00DE64E8">
      <w:pPr>
        <w:tabs>
          <w:tab w:val="left" w:pos="6804"/>
        </w:tabs>
        <w:autoSpaceDE w:val="0"/>
        <w:autoSpaceDN w:val="0"/>
        <w:adjustRightInd w:val="0"/>
      </w:pPr>
      <w:r w:rsidRPr="009733BA">
        <w:t xml:space="preserve">   </w:t>
      </w:r>
      <w:r w:rsidR="007F2FE5" w:rsidRPr="009733BA">
        <w:t xml:space="preserve">  </w:t>
      </w:r>
      <w:r w:rsidRPr="009733BA">
        <w:t>Izglītības un zinātnes ministrs</w:t>
      </w:r>
      <w:r w:rsidRPr="009733BA">
        <w:tab/>
        <w:t>Kārlis Šadurskis</w:t>
      </w:r>
    </w:p>
    <w:p w14:paraId="77E0F2CE" w14:textId="77777777" w:rsidR="00DE64E8" w:rsidRPr="009733BA" w:rsidRDefault="00DE64E8" w:rsidP="00DE64E8">
      <w:pPr>
        <w:tabs>
          <w:tab w:val="left" w:pos="1134"/>
        </w:tabs>
        <w:contextualSpacing/>
      </w:pPr>
    </w:p>
    <w:p w14:paraId="0BCFBE2D" w14:textId="77777777" w:rsidR="00DE64E8" w:rsidRPr="009733BA" w:rsidRDefault="00DE64E8" w:rsidP="00DE64E8">
      <w:pPr>
        <w:tabs>
          <w:tab w:val="left" w:pos="1134"/>
          <w:tab w:val="left" w:pos="6804"/>
        </w:tabs>
        <w:contextualSpacing/>
      </w:pPr>
      <w:r w:rsidRPr="009733BA">
        <w:t xml:space="preserve">   </w:t>
      </w:r>
      <w:r w:rsidR="007F2FE5" w:rsidRPr="009733BA">
        <w:t xml:space="preserve">  </w:t>
      </w:r>
      <w:r w:rsidRPr="009733BA">
        <w:t>Vīza:</w:t>
      </w:r>
    </w:p>
    <w:p w14:paraId="2A814BE3" w14:textId="38521C1E" w:rsidR="00881C8D" w:rsidRDefault="00DE64E8" w:rsidP="008031C2">
      <w:pPr>
        <w:tabs>
          <w:tab w:val="left" w:pos="1134"/>
          <w:tab w:val="left" w:pos="6804"/>
        </w:tabs>
        <w:contextualSpacing/>
      </w:pPr>
      <w:r w:rsidRPr="009733BA">
        <w:t xml:space="preserve">  </w:t>
      </w:r>
      <w:r w:rsidR="007F2FE5" w:rsidRPr="009733BA">
        <w:t xml:space="preserve">  </w:t>
      </w:r>
      <w:r w:rsidRPr="009733BA">
        <w:t xml:space="preserve"> Valsts sekretāre</w:t>
      </w:r>
      <w:r w:rsidRPr="009733BA">
        <w:tab/>
        <w:t>Līga Lejiņa</w:t>
      </w:r>
    </w:p>
    <w:p w14:paraId="3D491C55" w14:textId="77777777" w:rsidR="00881C8D" w:rsidRDefault="00881C8D" w:rsidP="00DE64E8">
      <w:pPr>
        <w:jc w:val="both"/>
      </w:pPr>
    </w:p>
    <w:p w14:paraId="38D0ACB1" w14:textId="77777777" w:rsidR="00881C8D" w:rsidRDefault="00881C8D" w:rsidP="00DE64E8">
      <w:pPr>
        <w:jc w:val="both"/>
      </w:pPr>
    </w:p>
    <w:p w14:paraId="313E82DB" w14:textId="77777777" w:rsidR="00881C8D" w:rsidRDefault="00881C8D" w:rsidP="00DE64E8">
      <w:pPr>
        <w:jc w:val="both"/>
      </w:pPr>
    </w:p>
    <w:p w14:paraId="735F987F" w14:textId="77777777" w:rsidR="00881C8D" w:rsidRDefault="00881C8D" w:rsidP="00DE64E8">
      <w:pPr>
        <w:jc w:val="both"/>
      </w:pPr>
    </w:p>
    <w:p w14:paraId="356A3CAB" w14:textId="77777777" w:rsidR="00881C8D" w:rsidRDefault="00881C8D" w:rsidP="00DE64E8">
      <w:pPr>
        <w:jc w:val="both"/>
      </w:pPr>
    </w:p>
    <w:p w14:paraId="47A641C4" w14:textId="7CED2016" w:rsidR="00874379" w:rsidRDefault="002722EC" w:rsidP="00DE64E8">
      <w:pPr>
        <w:jc w:val="both"/>
      </w:pPr>
      <w:r>
        <w:t>0</w:t>
      </w:r>
      <w:r w:rsidR="003F4196">
        <w:t>5</w:t>
      </w:r>
      <w:r w:rsidR="00BB70C5">
        <w:t>.</w:t>
      </w:r>
      <w:r>
        <w:t>01</w:t>
      </w:r>
      <w:r w:rsidR="00BB70C5">
        <w:t>.</w:t>
      </w:r>
      <w:r>
        <w:t>18</w:t>
      </w:r>
      <w:r w:rsidR="00BB70C5">
        <w:t>.</w:t>
      </w:r>
    </w:p>
    <w:p w14:paraId="5035C748" w14:textId="2AC9F66A" w:rsidR="00DD602A" w:rsidRPr="00BB70C5" w:rsidRDefault="002722EC" w:rsidP="00BB70C5">
      <w:pPr>
        <w:jc w:val="both"/>
      </w:pPr>
      <w:r>
        <w:t>1</w:t>
      </w:r>
      <w:r w:rsidR="003D3485">
        <w:t>691</w:t>
      </w:r>
      <w:r w:rsidR="00BB70C5">
        <w:t>vārdi</w:t>
      </w:r>
    </w:p>
    <w:p w14:paraId="3A2AEF25" w14:textId="77777777" w:rsidR="00DE64E8" w:rsidRPr="009733BA" w:rsidRDefault="009F1BD4" w:rsidP="00DE64E8">
      <w:pPr>
        <w:tabs>
          <w:tab w:val="center" w:pos="0"/>
        </w:tabs>
        <w:ind w:right="-108"/>
        <w:jc w:val="both"/>
        <w:rPr>
          <w:sz w:val="20"/>
          <w:szCs w:val="20"/>
        </w:rPr>
      </w:pPr>
      <w:r>
        <w:rPr>
          <w:sz w:val="20"/>
          <w:szCs w:val="20"/>
        </w:rPr>
        <w:t>Āboliņa 67047930</w:t>
      </w:r>
      <w:r w:rsidR="00DE64E8" w:rsidRPr="009733BA">
        <w:rPr>
          <w:sz w:val="20"/>
          <w:szCs w:val="20"/>
        </w:rPr>
        <w:t>,</w:t>
      </w:r>
    </w:p>
    <w:p w14:paraId="1C253E0D" w14:textId="77777777" w:rsidR="00722E07" w:rsidRPr="009733BA" w:rsidRDefault="009F1BD4" w:rsidP="008F263A">
      <w:pPr>
        <w:tabs>
          <w:tab w:val="center" w:pos="0"/>
        </w:tabs>
        <w:ind w:right="-108"/>
        <w:jc w:val="both"/>
        <w:rPr>
          <w:sz w:val="20"/>
          <w:szCs w:val="20"/>
        </w:rPr>
      </w:pPr>
      <w:r>
        <w:rPr>
          <w:sz w:val="20"/>
          <w:szCs w:val="20"/>
        </w:rPr>
        <w:t>anita.abolina</w:t>
      </w:r>
      <w:r w:rsidR="00DE64E8" w:rsidRPr="009733BA">
        <w:rPr>
          <w:sz w:val="20"/>
          <w:szCs w:val="20"/>
        </w:rPr>
        <w:t>@izm.gov.lv</w:t>
      </w:r>
    </w:p>
    <w:sectPr w:rsidR="00722E07" w:rsidRPr="009733BA" w:rsidSect="00EF7B56">
      <w:headerReference w:type="even" r:id="rId9"/>
      <w:headerReference w:type="default" r:id="rId10"/>
      <w:footerReference w:type="even" r:id="rId11"/>
      <w:footerReference w:type="default" r:id="rId12"/>
      <w:footerReference w:type="first" r:id="rId13"/>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8400E" w14:textId="77777777" w:rsidR="004C739B" w:rsidRDefault="004C739B" w:rsidP="00093BD0">
      <w:r>
        <w:separator/>
      </w:r>
    </w:p>
  </w:endnote>
  <w:endnote w:type="continuationSeparator" w:id="0">
    <w:p w14:paraId="1D81191F" w14:textId="77777777" w:rsidR="004C739B" w:rsidRDefault="004C739B" w:rsidP="0009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CF644" w14:textId="77777777" w:rsidR="00022FAA" w:rsidRDefault="004D2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7704840" w14:textId="77777777" w:rsidR="00022FAA" w:rsidRDefault="004C7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F288A" w14:textId="3280ADBE" w:rsidR="003F4196" w:rsidRPr="003F4196" w:rsidRDefault="003F4196" w:rsidP="003F4196">
    <w:pPr>
      <w:jc w:val="both"/>
      <w:rPr>
        <w:color w:val="000000"/>
        <w:sz w:val="20"/>
        <w:szCs w:val="20"/>
      </w:rPr>
    </w:pPr>
    <w:r w:rsidRPr="003F4196">
      <w:rPr>
        <w:rFonts w:eastAsia="Calibri"/>
        <w:color w:val="000000"/>
        <w:sz w:val="20"/>
        <w:szCs w:val="20"/>
        <w:lang w:eastAsia="en-US"/>
      </w:rPr>
      <w:t>IZM</w:t>
    </w:r>
    <w:r>
      <w:rPr>
        <w:rFonts w:eastAsia="Calibri"/>
        <w:color w:val="000000"/>
        <w:sz w:val="20"/>
        <w:szCs w:val="20"/>
        <w:lang w:eastAsia="en-US"/>
      </w:rPr>
      <w:t>An</w:t>
    </w:r>
    <w:r w:rsidRPr="003F4196">
      <w:rPr>
        <w:rFonts w:eastAsia="Calibri"/>
        <w:color w:val="000000"/>
        <w:sz w:val="20"/>
        <w:szCs w:val="20"/>
        <w:lang w:eastAsia="en-US"/>
      </w:rPr>
      <w:t>ot_0</w:t>
    </w:r>
    <w:r>
      <w:rPr>
        <w:rFonts w:eastAsia="Calibri"/>
        <w:color w:val="000000"/>
        <w:sz w:val="20"/>
        <w:szCs w:val="20"/>
        <w:lang w:eastAsia="en-US"/>
      </w:rPr>
      <w:t>5</w:t>
    </w:r>
    <w:r w:rsidRPr="003F4196">
      <w:rPr>
        <w:rFonts w:eastAsia="Calibri"/>
        <w:color w:val="000000"/>
        <w:sz w:val="20"/>
        <w:szCs w:val="20"/>
        <w:lang w:eastAsia="en-US"/>
      </w:rPr>
      <w:t>0118_atb; Ministru kabineta noteikumu projekts “</w:t>
    </w:r>
    <w:r w:rsidRPr="003F4196">
      <w:rPr>
        <w:color w:val="000000"/>
        <w:sz w:val="20"/>
        <w:szCs w:val="20"/>
      </w:rPr>
      <w:t>Valsts sociālā atbalsta pedagogiem piešķiršanas un administrēšanas kārtība</w:t>
    </w:r>
    <w:r w:rsidRPr="003F4196">
      <w:rPr>
        <w:rFonts w:eastAsia="Calibri"/>
        <w:b/>
        <w:bCs/>
        <w:color w:val="000000"/>
        <w:sz w:val="20"/>
        <w:szCs w:val="20"/>
        <w:lang w:eastAsia="en-US"/>
      </w:rPr>
      <w:t xml:space="preserve">” </w:t>
    </w:r>
  </w:p>
  <w:p w14:paraId="66CAF675" w14:textId="56FB2A0A" w:rsidR="003F4196" w:rsidRDefault="003F4196">
    <w:pPr>
      <w:pStyle w:val="Footer"/>
    </w:pPr>
  </w:p>
  <w:p w14:paraId="0E21D6ED" w14:textId="77777777" w:rsidR="00022FAA" w:rsidRPr="002905D5" w:rsidRDefault="004C739B" w:rsidP="002905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22D03" w14:textId="54DE51CD" w:rsidR="002905D5" w:rsidRPr="0087709A" w:rsidRDefault="009F1BD4" w:rsidP="002905D5">
    <w:pPr>
      <w:ind w:firstLine="567"/>
      <w:jc w:val="both"/>
      <w:rPr>
        <w:sz w:val="20"/>
        <w:szCs w:val="20"/>
      </w:rPr>
    </w:pPr>
    <w:r>
      <w:rPr>
        <w:sz w:val="20"/>
        <w:szCs w:val="20"/>
      </w:rPr>
      <w:t>IZMAnot_</w:t>
    </w:r>
    <w:r w:rsidR="003F4196">
      <w:rPr>
        <w:sz w:val="20"/>
        <w:szCs w:val="20"/>
      </w:rPr>
      <w:t>05</w:t>
    </w:r>
    <w:r w:rsidR="0025488C">
      <w:rPr>
        <w:sz w:val="20"/>
        <w:szCs w:val="20"/>
      </w:rPr>
      <w:t>0118</w:t>
    </w:r>
    <w:r w:rsidR="00430C2F">
      <w:rPr>
        <w:sz w:val="20"/>
        <w:szCs w:val="20"/>
      </w:rPr>
      <w:t>_</w:t>
    </w:r>
    <w:r>
      <w:rPr>
        <w:sz w:val="20"/>
        <w:szCs w:val="20"/>
      </w:rPr>
      <w:t xml:space="preserve">ped </w:t>
    </w:r>
    <w:proofErr w:type="spellStart"/>
    <w:r>
      <w:rPr>
        <w:sz w:val="20"/>
        <w:szCs w:val="20"/>
      </w:rPr>
      <w:t>soc</w:t>
    </w:r>
    <w:proofErr w:type="spellEnd"/>
    <w:r>
      <w:rPr>
        <w:sz w:val="20"/>
        <w:szCs w:val="20"/>
      </w:rPr>
      <w:t xml:space="preserve"> </w:t>
    </w:r>
    <w:proofErr w:type="spellStart"/>
    <w:r>
      <w:rPr>
        <w:sz w:val="20"/>
        <w:szCs w:val="20"/>
      </w:rPr>
      <w:t>atb</w:t>
    </w:r>
    <w:proofErr w:type="spellEnd"/>
    <w:r w:rsidR="002905D5">
      <w:rPr>
        <w:sz w:val="20"/>
        <w:szCs w:val="20"/>
      </w:rPr>
      <w:t>; Ministru kabineta noteikumu projekts “</w:t>
    </w:r>
    <w:r w:rsidR="002905D5" w:rsidRPr="0087709A">
      <w:rPr>
        <w:sz w:val="20"/>
        <w:szCs w:val="20"/>
      </w:rPr>
      <w:t>Valsts sociālā atbalsta pedagogiem piešķiršanas un administrēšanas kārtība</w:t>
    </w:r>
    <w:r w:rsidR="002905D5" w:rsidRPr="0087709A">
      <w:rPr>
        <w:rStyle w:val="Strong"/>
        <w:sz w:val="20"/>
        <w:szCs w:val="20"/>
      </w:rPr>
      <w:t xml:space="preserve">” </w:t>
    </w:r>
  </w:p>
  <w:p w14:paraId="3705AB40" w14:textId="77777777" w:rsidR="00022FAA" w:rsidRPr="00430C2F" w:rsidRDefault="004C739B" w:rsidP="00430C2F">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A6B2C" w14:textId="77777777" w:rsidR="004C739B" w:rsidRDefault="004C739B" w:rsidP="00093BD0">
      <w:r>
        <w:separator/>
      </w:r>
    </w:p>
  </w:footnote>
  <w:footnote w:type="continuationSeparator" w:id="0">
    <w:p w14:paraId="27C870CF" w14:textId="77777777" w:rsidR="004C739B" w:rsidRDefault="004C739B" w:rsidP="00093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32840" w14:textId="77777777" w:rsidR="00022FAA" w:rsidRDefault="004D20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5BF784" w14:textId="77777777" w:rsidR="00022FAA" w:rsidRDefault="004C7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36B3B" w14:textId="77777777" w:rsidR="00022FAA" w:rsidRDefault="004D205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72B2">
      <w:rPr>
        <w:rStyle w:val="PageNumber"/>
        <w:noProof/>
      </w:rPr>
      <w:t>2</w:t>
    </w:r>
    <w:r>
      <w:rPr>
        <w:rStyle w:val="PageNumber"/>
      </w:rPr>
      <w:fldChar w:fldCharType="end"/>
    </w:r>
  </w:p>
  <w:p w14:paraId="53457CCA" w14:textId="77777777" w:rsidR="00022FAA" w:rsidRDefault="004C7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73B49"/>
    <w:multiLevelType w:val="hybridMultilevel"/>
    <w:tmpl w:val="28440DF8"/>
    <w:lvl w:ilvl="0" w:tplc="0426000B">
      <w:start w:val="1"/>
      <w:numFmt w:val="bullet"/>
      <w:lvlText w:val=""/>
      <w:lvlJc w:val="left"/>
      <w:pPr>
        <w:ind w:left="832" w:hanging="360"/>
      </w:pPr>
      <w:rPr>
        <w:rFonts w:ascii="Wingdings" w:hAnsi="Wingdings"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1">
    <w:nsid w:val="49AF0302"/>
    <w:multiLevelType w:val="hybridMultilevel"/>
    <w:tmpl w:val="7408D402"/>
    <w:lvl w:ilvl="0" w:tplc="0E424104">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B09674C"/>
    <w:multiLevelType w:val="hybridMultilevel"/>
    <w:tmpl w:val="0F160580"/>
    <w:lvl w:ilvl="0" w:tplc="0426000B">
      <w:start w:val="1"/>
      <w:numFmt w:val="bullet"/>
      <w:lvlText w:val=""/>
      <w:lvlJc w:val="left"/>
      <w:pPr>
        <w:ind w:left="832" w:hanging="360"/>
      </w:pPr>
      <w:rPr>
        <w:rFonts w:ascii="Wingdings" w:hAnsi="Wingdings"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D0"/>
    <w:rsid w:val="00001E13"/>
    <w:rsid w:val="00004AAA"/>
    <w:rsid w:val="00021B85"/>
    <w:rsid w:val="00034525"/>
    <w:rsid w:val="00041D5C"/>
    <w:rsid w:val="0006208E"/>
    <w:rsid w:val="00085D62"/>
    <w:rsid w:val="00092438"/>
    <w:rsid w:val="00093BD0"/>
    <w:rsid w:val="000A1C3C"/>
    <w:rsid w:val="000A7E85"/>
    <w:rsid w:val="000C08E6"/>
    <w:rsid w:val="000C6D09"/>
    <w:rsid w:val="000D750D"/>
    <w:rsid w:val="000D7F7A"/>
    <w:rsid w:val="000F2EB8"/>
    <w:rsid w:val="000F35C6"/>
    <w:rsid w:val="000F6FC7"/>
    <w:rsid w:val="00114DCA"/>
    <w:rsid w:val="00141984"/>
    <w:rsid w:val="00145102"/>
    <w:rsid w:val="00161781"/>
    <w:rsid w:val="001C3216"/>
    <w:rsid w:val="001D0195"/>
    <w:rsid w:val="001E38B8"/>
    <w:rsid w:val="001E6DFC"/>
    <w:rsid w:val="001E7BB8"/>
    <w:rsid w:val="001F04C3"/>
    <w:rsid w:val="00206266"/>
    <w:rsid w:val="00211F74"/>
    <w:rsid w:val="00214CFB"/>
    <w:rsid w:val="002238B3"/>
    <w:rsid w:val="00240F6C"/>
    <w:rsid w:val="0025488C"/>
    <w:rsid w:val="00257E19"/>
    <w:rsid w:val="002623D8"/>
    <w:rsid w:val="002722EC"/>
    <w:rsid w:val="002905D5"/>
    <w:rsid w:val="002967FD"/>
    <w:rsid w:val="002A2987"/>
    <w:rsid w:val="002A622D"/>
    <w:rsid w:val="002C2251"/>
    <w:rsid w:val="002D4A24"/>
    <w:rsid w:val="002E4731"/>
    <w:rsid w:val="002E7FD4"/>
    <w:rsid w:val="002F56FC"/>
    <w:rsid w:val="00323DA0"/>
    <w:rsid w:val="003452AF"/>
    <w:rsid w:val="0035710F"/>
    <w:rsid w:val="00365139"/>
    <w:rsid w:val="00370185"/>
    <w:rsid w:val="00393399"/>
    <w:rsid w:val="003B30B9"/>
    <w:rsid w:val="003B38A4"/>
    <w:rsid w:val="003C5682"/>
    <w:rsid w:val="003D3485"/>
    <w:rsid w:val="003F1F13"/>
    <w:rsid w:val="003F4196"/>
    <w:rsid w:val="0041455E"/>
    <w:rsid w:val="004227A3"/>
    <w:rsid w:val="00430C2F"/>
    <w:rsid w:val="004432DC"/>
    <w:rsid w:val="00456AD9"/>
    <w:rsid w:val="00456C12"/>
    <w:rsid w:val="004571D8"/>
    <w:rsid w:val="00457A6D"/>
    <w:rsid w:val="00481E91"/>
    <w:rsid w:val="00492D01"/>
    <w:rsid w:val="004972B2"/>
    <w:rsid w:val="004B3B49"/>
    <w:rsid w:val="004C612D"/>
    <w:rsid w:val="004C739B"/>
    <w:rsid w:val="004D2056"/>
    <w:rsid w:val="004E085D"/>
    <w:rsid w:val="004E3F43"/>
    <w:rsid w:val="004F4D58"/>
    <w:rsid w:val="005224FE"/>
    <w:rsid w:val="00531170"/>
    <w:rsid w:val="00537629"/>
    <w:rsid w:val="00543996"/>
    <w:rsid w:val="00562378"/>
    <w:rsid w:val="00565720"/>
    <w:rsid w:val="00565EBC"/>
    <w:rsid w:val="00576674"/>
    <w:rsid w:val="00582398"/>
    <w:rsid w:val="00583A27"/>
    <w:rsid w:val="005903D1"/>
    <w:rsid w:val="005B5098"/>
    <w:rsid w:val="005B6E5E"/>
    <w:rsid w:val="00612287"/>
    <w:rsid w:val="00615748"/>
    <w:rsid w:val="00626B86"/>
    <w:rsid w:val="00634341"/>
    <w:rsid w:val="0063658B"/>
    <w:rsid w:val="00636678"/>
    <w:rsid w:val="0064417A"/>
    <w:rsid w:val="006551EE"/>
    <w:rsid w:val="006610D4"/>
    <w:rsid w:val="00666220"/>
    <w:rsid w:val="006673A0"/>
    <w:rsid w:val="00670899"/>
    <w:rsid w:val="00675EB7"/>
    <w:rsid w:val="00685C88"/>
    <w:rsid w:val="006900F9"/>
    <w:rsid w:val="00696D43"/>
    <w:rsid w:val="006A168D"/>
    <w:rsid w:val="006D5608"/>
    <w:rsid w:val="006E493D"/>
    <w:rsid w:val="006E7F65"/>
    <w:rsid w:val="006F25EF"/>
    <w:rsid w:val="007001F6"/>
    <w:rsid w:val="007059A7"/>
    <w:rsid w:val="00714A32"/>
    <w:rsid w:val="00722E07"/>
    <w:rsid w:val="00727B24"/>
    <w:rsid w:val="0073018C"/>
    <w:rsid w:val="00735FCC"/>
    <w:rsid w:val="00736F36"/>
    <w:rsid w:val="00751ECF"/>
    <w:rsid w:val="007520D3"/>
    <w:rsid w:val="007D61A8"/>
    <w:rsid w:val="007F2FE5"/>
    <w:rsid w:val="007F41B2"/>
    <w:rsid w:val="007F62A1"/>
    <w:rsid w:val="00801237"/>
    <w:rsid w:val="008031C2"/>
    <w:rsid w:val="00813301"/>
    <w:rsid w:val="0081634E"/>
    <w:rsid w:val="00816FE9"/>
    <w:rsid w:val="008345EF"/>
    <w:rsid w:val="00837048"/>
    <w:rsid w:val="00855991"/>
    <w:rsid w:val="00874379"/>
    <w:rsid w:val="00881C8D"/>
    <w:rsid w:val="008A1E2F"/>
    <w:rsid w:val="008A2E6C"/>
    <w:rsid w:val="008C1EC9"/>
    <w:rsid w:val="008D0FBF"/>
    <w:rsid w:val="008D4920"/>
    <w:rsid w:val="008D6F57"/>
    <w:rsid w:val="008E3678"/>
    <w:rsid w:val="008E685B"/>
    <w:rsid w:val="008F1C98"/>
    <w:rsid w:val="008F263A"/>
    <w:rsid w:val="009161AB"/>
    <w:rsid w:val="00930E5E"/>
    <w:rsid w:val="009515EA"/>
    <w:rsid w:val="009733BA"/>
    <w:rsid w:val="00985D38"/>
    <w:rsid w:val="0099052B"/>
    <w:rsid w:val="009A0553"/>
    <w:rsid w:val="009A796C"/>
    <w:rsid w:val="009B475F"/>
    <w:rsid w:val="009C50BA"/>
    <w:rsid w:val="009D68B2"/>
    <w:rsid w:val="009E56BE"/>
    <w:rsid w:val="009F1BD4"/>
    <w:rsid w:val="009F3CAB"/>
    <w:rsid w:val="00A04C8C"/>
    <w:rsid w:val="00A06CE2"/>
    <w:rsid w:val="00A24EC4"/>
    <w:rsid w:val="00A310C7"/>
    <w:rsid w:val="00A57838"/>
    <w:rsid w:val="00A57A5B"/>
    <w:rsid w:val="00A678AB"/>
    <w:rsid w:val="00A7593F"/>
    <w:rsid w:val="00A803B8"/>
    <w:rsid w:val="00A81797"/>
    <w:rsid w:val="00A86A2A"/>
    <w:rsid w:val="00A90417"/>
    <w:rsid w:val="00A9283A"/>
    <w:rsid w:val="00AB1EE0"/>
    <w:rsid w:val="00AB4711"/>
    <w:rsid w:val="00B0090C"/>
    <w:rsid w:val="00B156C3"/>
    <w:rsid w:val="00B30706"/>
    <w:rsid w:val="00B4418A"/>
    <w:rsid w:val="00B475BE"/>
    <w:rsid w:val="00B54768"/>
    <w:rsid w:val="00B637BA"/>
    <w:rsid w:val="00B81D0E"/>
    <w:rsid w:val="00B82320"/>
    <w:rsid w:val="00B84367"/>
    <w:rsid w:val="00B86A62"/>
    <w:rsid w:val="00B87042"/>
    <w:rsid w:val="00B9508B"/>
    <w:rsid w:val="00BB70C5"/>
    <w:rsid w:val="00BC2575"/>
    <w:rsid w:val="00BD0B90"/>
    <w:rsid w:val="00BF0088"/>
    <w:rsid w:val="00BF4936"/>
    <w:rsid w:val="00BF7459"/>
    <w:rsid w:val="00C001CF"/>
    <w:rsid w:val="00C025CB"/>
    <w:rsid w:val="00C04812"/>
    <w:rsid w:val="00C22989"/>
    <w:rsid w:val="00C36BD2"/>
    <w:rsid w:val="00C47208"/>
    <w:rsid w:val="00C65DA2"/>
    <w:rsid w:val="00C76CD3"/>
    <w:rsid w:val="00C84D00"/>
    <w:rsid w:val="00C851EB"/>
    <w:rsid w:val="00C908CC"/>
    <w:rsid w:val="00CA4285"/>
    <w:rsid w:val="00CA786C"/>
    <w:rsid w:val="00CB6F2B"/>
    <w:rsid w:val="00CC2A4E"/>
    <w:rsid w:val="00CE4FC6"/>
    <w:rsid w:val="00CF1538"/>
    <w:rsid w:val="00D041CA"/>
    <w:rsid w:val="00D10FCD"/>
    <w:rsid w:val="00D1513D"/>
    <w:rsid w:val="00D175D0"/>
    <w:rsid w:val="00D21E8C"/>
    <w:rsid w:val="00D27466"/>
    <w:rsid w:val="00D40ED8"/>
    <w:rsid w:val="00D46A3F"/>
    <w:rsid w:val="00D605DC"/>
    <w:rsid w:val="00D6642F"/>
    <w:rsid w:val="00D700C5"/>
    <w:rsid w:val="00DA3056"/>
    <w:rsid w:val="00DA370A"/>
    <w:rsid w:val="00DB42A8"/>
    <w:rsid w:val="00DC5678"/>
    <w:rsid w:val="00DD0073"/>
    <w:rsid w:val="00DD602A"/>
    <w:rsid w:val="00DE3329"/>
    <w:rsid w:val="00DE5248"/>
    <w:rsid w:val="00DE600F"/>
    <w:rsid w:val="00DE64E8"/>
    <w:rsid w:val="00DF0E9C"/>
    <w:rsid w:val="00DF62DE"/>
    <w:rsid w:val="00E108C7"/>
    <w:rsid w:val="00E2013C"/>
    <w:rsid w:val="00E44597"/>
    <w:rsid w:val="00E47233"/>
    <w:rsid w:val="00E4775A"/>
    <w:rsid w:val="00E656C1"/>
    <w:rsid w:val="00E71B47"/>
    <w:rsid w:val="00EA124D"/>
    <w:rsid w:val="00EA5736"/>
    <w:rsid w:val="00EA5935"/>
    <w:rsid w:val="00ED08E4"/>
    <w:rsid w:val="00EE231C"/>
    <w:rsid w:val="00EE2892"/>
    <w:rsid w:val="00EF7B56"/>
    <w:rsid w:val="00F009E1"/>
    <w:rsid w:val="00F07D8A"/>
    <w:rsid w:val="00F21283"/>
    <w:rsid w:val="00F23354"/>
    <w:rsid w:val="00F27E8D"/>
    <w:rsid w:val="00F31B5C"/>
    <w:rsid w:val="00F371D9"/>
    <w:rsid w:val="00F41FD3"/>
    <w:rsid w:val="00F60E21"/>
    <w:rsid w:val="00F732C3"/>
    <w:rsid w:val="00F8086A"/>
    <w:rsid w:val="00F82050"/>
    <w:rsid w:val="00F90D0F"/>
    <w:rsid w:val="00F90D1A"/>
    <w:rsid w:val="00F93437"/>
    <w:rsid w:val="00FA1B18"/>
    <w:rsid w:val="00FC3983"/>
    <w:rsid w:val="00FE0C72"/>
    <w:rsid w:val="00FE5AB2"/>
    <w:rsid w:val="00FE76D5"/>
    <w:rsid w:val="00FF229D"/>
    <w:rsid w:val="00FF55F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D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093BD0"/>
    <w:pPr>
      <w:spacing w:before="100" w:beforeAutospacing="1" w:after="100" w:afterAutospacing="1"/>
      <w:jc w:val="center"/>
    </w:pPr>
    <w:rPr>
      <w:sz w:val="26"/>
      <w:szCs w:val="26"/>
      <w:lang w:eastAsia="en-US"/>
    </w:rPr>
  </w:style>
  <w:style w:type="paragraph" w:customStyle="1" w:styleId="naisf">
    <w:name w:val="naisf"/>
    <w:basedOn w:val="Normal"/>
    <w:rsid w:val="00093BD0"/>
    <w:pPr>
      <w:spacing w:before="100" w:beforeAutospacing="1" w:after="100" w:afterAutospacing="1"/>
      <w:jc w:val="both"/>
    </w:pPr>
    <w:rPr>
      <w:szCs w:val="20"/>
      <w:lang w:eastAsia="en-US"/>
    </w:rPr>
  </w:style>
  <w:style w:type="paragraph" w:styleId="NormalWeb">
    <w:name w:val="Normal (Web)"/>
    <w:basedOn w:val="Normal"/>
    <w:uiPriority w:val="99"/>
    <w:rsid w:val="00093BD0"/>
    <w:pPr>
      <w:spacing w:before="100" w:beforeAutospacing="1" w:after="100" w:afterAutospacing="1"/>
    </w:pPr>
    <w:rPr>
      <w:szCs w:val="20"/>
      <w:lang w:eastAsia="en-US"/>
    </w:rPr>
  </w:style>
  <w:style w:type="paragraph" w:styleId="BodyTextIndent2">
    <w:name w:val="Body Text Indent 2"/>
    <w:basedOn w:val="Normal"/>
    <w:link w:val="BodyTextIndent2Char"/>
    <w:semiHidden/>
    <w:rsid w:val="00093BD0"/>
    <w:pPr>
      <w:ind w:firstLine="435"/>
      <w:jc w:val="both"/>
    </w:pPr>
    <w:rPr>
      <w:szCs w:val="20"/>
      <w:lang w:eastAsia="en-US"/>
    </w:rPr>
  </w:style>
  <w:style w:type="character" w:customStyle="1" w:styleId="BodyTextIndent2Char">
    <w:name w:val="Body Text Indent 2 Char"/>
    <w:basedOn w:val="DefaultParagraphFont"/>
    <w:link w:val="BodyTextIndent2"/>
    <w:semiHidden/>
    <w:rsid w:val="00093BD0"/>
    <w:rPr>
      <w:rFonts w:ascii="Times New Roman" w:eastAsia="Times New Roman" w:hAnsi="Times New Roman" w:cs="Times New Roman"/>
      <w:sz w:val="24"/>
      <w:szCs w:val="20"/>
    </w:rPr>
  </w:style>
  <w:style w:type="character" w:styleId="PageNumber">
    <w:name w:val="page number"/>
    <w:basedOn w:val="DefaultParagraphFont"/>
    <w:semiHidden/>
    <w:rsid w:val="00093BD0"/>
  </w:style>
  <w:style w:type="paragraph" w:styleId="Footer">
    <w:name w:val="footer"/>
    <w:basedOn w:val="Normal"/>
    <w:link w:val="FooterChar"/>
    <w:uiPriority w:val="99"/>
    <w:rsid w:val="00093BD0"/>
    <w:pPr>
      <w:tabs>
        <w:tab w:val="center" w:pos="4153"/>
        <w:tab w:val="right" w:pos="8306"/>
      </w:tabs>
    </w:pPr>
    <w:rPr>
      <w:szCs w:val="20"/>
      <w:lang w:eastAsia="en-US"/>
    </w:rPr>
  </w:style>
  <w:style w:type="character" w:customStyle="1" w:styleId="FooterChar">
    <w:name w:val="Footer Char"/>
    <w:basedOn w:val="DefaultParagraphFont"/>
    <w:link w:val="Footer"/>
    <w:uiPriority w:val="99"/>
    <w:rsid w:val="00093BD0"/>
    <w:rPr>
      <w:rFonts w:ascii="Times New Roman" w:eastAsia="Times New Roman" w:hAnsi="Times New Roman" w:cs="Times New Roman"/>
      <w:sz w:val="24"/>
      <w:szCs w:val="20"/>
    </w:rPr>
  </w:style>
  <w:style w:type="paragraph" w:styleId="Header">
    <w:name w:val="header"/>
    <w:basedOn w:val="Normal"/>
    <w:link w:val="HeaderChar"/>
    <w:semiHidden/>
    <w:rsid w:val="00093BD0"/>
    <w:pPr>
      <w:tabs>
        <w:tab w:val="center" w:pos="4153"/>
        <w:tab w:val="right" w:pos="8306"/>
      </w:tabs>
    </w:pPr>
  </w:style>
  <w:style w:type="character" w:customStyle="1" w:styleId="HeaderChar">
    <w:name w:val="Header Char"/>
    <w:basedOn w:val="DefaultParagraphFont"/>
    <w:link w:val="Header"/>
    <w:semiHidden/>
    <w:rsid w:val="00093BD0"/>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1E7BB8"/>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E7BB8"/>
    <w:rPr>
      <w:rFonts w:ascii="Times New Roman" w:hAnsi="Times New Roman"/>
      <w:sz w:val="20"/>
      <w:szCs w:val="20"/>
    </w:rPr>
  </w:style>
  <w:style w:type="character" w:styleId="FootnoteReference">
    <w:name w:val="footnote reference"/>
    <w:basedOn w:val="DefaultParagraphFont"/>
    <w:uiPriority w:val="99"/>
    <w:semiHidden/>
    <w:unhideWhenUsed/>
    <w:rsid w:val="001E7BB8"/>
    <w:rPr>
      <w:vertAlign w:val="superscript"/>
    </w:rPr>
  </w:style>
  <w:style w:type="paragraph" w:styleId="ListParagraph">
    <w:name w:val="List Paragraph"/>
    <w:basedOn w:val="Normal"/>
    <w:uiPriority w:val="34"/>
    <w:qFormat/>
    <w:rsid w:val="00685C88"/>
    <w:pPr>
      <w:ind w:left="720"/>
      <w:contextualSpacing/>
    </w:pPr>
  </w:style>
  <w:style w:type="character" w:styleId="Hyperlink">
    <w:name w:val="Hyperlink"/>
    <w:basedOn w:val="DefaultParagraphFont"/>
    <w:uiPriority w:val="99"/>
    <w:unhideWhenUsed/>
    <w:rsid w:val="00722E07"/>
    <w:rPr>
      <w:color w:val="0563C1" w:themeColor="hyperlink"/>
      <w:u w:val="single"/>
    </w:rPr>
  </w:style>
  <w:style w:type="paragraph" w:customStyle="1" w:styleId="liknoteik1">
    <w:name w:val="lik_noteik1"/>
    <w:basedOn w:val="Normal"/>
    <w:rsid w:val="00C851EB"/>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C851EB"/>
    <w:pPr>
      <w:spacing w:before="100" w:beforeAutospacing="1" w:after="100" w:afterAutospacing="1" w:line="360" w:lineRule="auto"/>
      <w:ind w:firstLine="300"/>
      <w:jc w:val="right"/>
    </w:pPr>
    <w:rPr>
      <w:color w:val="414142"/>
      <w:sz w:val="20"/>
      <w:szCs w:val="20"/>
    </w:rPr>
  </w:style>
  <w:style w:type="paragraph" w:customStyle="1" w:styleId="naisnod">
    <w:name w:val="naisnod"/>
    <w:basedOn w:val="Normal"/>
    <w:rsid w:val="00A57838"/>
    <w:pPr>
      <w:spacing w:before="100" w:beforeAutospacing="1" w:after="100" w:afterAutospacing="1"/>
    </w:pPr>
  </w:style>
  <w:style w:type="paragraph" w:styleId="BalloonText">
    <w:name w:val="Balloon Text"/>
    <w:basedOn w:val="Normal"/>
    <w:link w:val="BalloonTextChar"/>
    <w:uiPriority w:val="99"/>
    <w:semiHidden/>
    <w:unhideWhenUsed/>
    <w:rsid w:val="006D5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608"/>
    <w:rPr>
      <w:rFonts w:ascii="Segoe UI" w:eastAsia="Times New Roman" w:hAnsi="Segoe UI" w:cs="Segoe UI"/>
      <w:sz w:val="18"/>
      <w:szCs w:val="18"/>
      <w:lang w:eastAsia="lv-LV"/>
    </w:rPr>
  </w:style>
  <w:style w:type="character" w:styleId="Strong">
    <w:name w:val="Strong"/>
    <w:uiPriority w:val="99"/>
    <w:qFormat/>
    <w:rsid w:val="002905D5"/>
    <w:rPr>
      <w:b/>
      <w:bCs/>
    </w:rPr>
  </w:style>
  <w:style w:type="paragraph" w:styleId="HTMLPreformatted">
    <w:name w:val="HTML Preformatted"/>
    <w:basedOn w:val="Normal"/>
    <w:link w:val="HTMLPreformattedChar"/>
    <w:uiPriority w:val="99"/>
    <w:rsid w:val="00C47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47208"/>
    <w:rPr>
      <w:rFonts w:ascii="Courier New" w:eastAsia="Times New Roman" w:hAnsi="Courier New" w:cs="Courier New"/>
      <w:sz w:val="20"/>
      <w:szCs w:val="20"/>
      <w:lang w:eastAsia="lv-LV"/>
    </w:rPr>
  </w:style>
  <w:style w:type="character" w:styleId="CommentReference">
    <w:name w:val="annotation reference"/>
    <w:basedOn w:val="DefaultParagraphFont"/>
    <w:uiPriority w:val="99"/>
    <w:semiHidden/>
    <w:unhideWhenUsed/>
    <w:rsid w:val="008E3678"/>
    <w:rPr>
      <w:sz w:val="16"/>
      <w:szCs w:val="16"/>
    </w:rPr>
  </w:style>
  <w:style w:type="paragraph" w:styleId="CommentText">
    <w:name w:val="annotation text"/>
    <w:basedOn w:val="Normal"/>
    <w:link w:val="CommentTextChar"/>
    <w:uiPriority w:val="99"/>
    <w:semiHidden/>
    <w:unhideWhenUsed/>
    <w:rsid w:val="008E3678"/>
    <w:rPr>
      <w:sz w:val="20"/>
      <w:szCs w:val="20"/>
    </w:rPr>
  </w:style>
  <w:style w:type="character" w:customStyle="1" w:styleId="CommentTextChar">
    <w:name w:val="Comment Text Char"/>
    <w:basedOn w:val="DefaultParagraphFont"/>
    <w:link w:val="CommentText"/>
    <w:uiPriority w:val="99"/>
    <w:semiHidden/>
    <w:rsid w:val="008E367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3678"/>
    <w:rPr>
      <w:b/>
      <w:bCs/>
    </w:rPr>
  </w:style>
  <w:style w:type="character" w:customStyle="1" w:styleId="CommentSubjectChar">
    <w:name w:val="Comment Subject Char"/>
    <w:basedOn w:val="CommentTextChar"/>
    <w:link w:val="CommentSubject"/>
    <w:uiPriority w:val="99"/>
    <w:semiHidden/>
    <w:rsid w:val="008E3678"/>
    <w:rPr>
      <w:rFonts w:ascii="Times New Roman" w:eastAsia="Times New Roman" w:hAnsi="Times New Roman" w:cs="Times New Roman"/>
      <w:b/>
      <w:bCs/>
      <w:sz w:val="20"/>
      <w:szCs w:val="20"/>
      <w:lang w:eastAsia="lv-LV"/>
    </w:rPr>
  </w:style>
  <w:style w:type="table" w:styleId="TableGrid">
    <w:name w:val="Table Grid"/>
    <w:basedOn w:val="TableNormal"/>
    <w:uiPriority w:val="39"/>
    <w:rsid w:val="00A75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D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093BD0"/>
    <w:pPr>
      <w:spacing w:before="100" w:beforeAutospacing="1" w:after="100" w:afterAutospacing="1"/>
      <w:jc w:val="center"/>
    </w:pPr>
    <w:rPr>
      <w:sz w:val="26"/>
      <w:szCs w:val="26"/>
      <w:lang w:eastAsia="en-US"/>
    </w:rPr>
  </w:style>
  <w:style w:type="paragraph" w:customStyle="1" w:styleId="naisf">
    <w:name w:val="naisf"/>
    <w:basedOn w:val="Normal"/>
    <w:rsid w:val="00093BD0"/>
    <w:pPr>
      <w:spacing w:before="100" w:beforeAutospacing="1" w:after="100" w:afterAutospacing="1"/>
      <w:jc w:val="both"/>
    </w:pPr>
    <w:rPr>
      <w:szCs w:val="20"/>
      <w:lang w:eastAsia="en-US"/>
    </w:rPr>
  </w:style>
  <w:style w:type="paragraph" w:styleId="NormalWeb">
    <w:name w:val="Normal (Web)"/>
    <w:basedOn w:val="Normal"/>
    <w:uiPriority w:val="99"/>
    <w:rsid w:val="00093BD0"/>
    <w:pPr>
      <w:spacing w:before="100" w:beforeAutospacing="1" w:after="100" w:afterAutospacing="1"/>
    </w:pPr>
    <w:rPr>
      <w:szCs w:val="20"/>
      <w:lang w:eastAsia="en-US"/>
    </w:rPr>
  </w:style>
  <w:style w:type="paragraph" w:styleId="BodyTextIndent2">
    <w:name w:val="Body Text Indent 2"/>
    <w:basedOn w:val="Normal"/>
    <w:link w:val="BodyTextIndent2Char"/>
    <w:semiHidden/>
    <w:rsid w:val="00093BD0"/>
    <w:pPr>
      <w:ind w:firstLine="435"/>
      <w:jc w:val="both"/>
    </w:pPr>
    <w:rPr>
      <w:szCs w:val="20"/>
      <w:lang w:eastAsia="en-US"/>
    </w:rPr>
  </w:style>
  <w:style w:type="character" w:customStyle="1" w:styleId="BodyTextIndent2Char">
    <w:name w:val="Body Text Indent 2 Char"/>
    <w:basedOn w:val="DefaultParagraphFont"/>
    <w:link w:val="BodyTextIndent2"/>
    <w:semiHidden/>
    <w:rsid w:val="00093BD0"/>
    <w:rPr>
      <w:rFonts w:ascii="Times New Roman" w:eastAsia="Times New Roman" w:hAnsi="Times New Roman" w:cs="Times New Roman"/>
      <w:sz w:val="24"/>
      <w:szCs w:val="20"/>
    </w:rPr>
  </w:style>
  <w:style w:type="character" w:styleId="PageNumber">
    <w:name w:val="page number"/>
    <w:basedOn w:val="DefaultParagraphFont"/>
    <w:semiHidden/>
    <w:rsid w:val="00093BD0"/>
  </w:style>
  <w:style w:type="paragraph" w:styleId="Footer">
    <w:name w:val="footer"/>
    <w:basedOn w:val="Normal"/>
    <w:link w:val="FooterChar"/>
    <w:uiPriority w:val="99"/>
    <w:rsid w:val="00093BD0"/>
    <w:pPr>
      <w:tabs>
        <w:tab w:val="center" w:pos="4153"/>
        <w:tab w:val="right" w:pos="8306"/>
      </w:tabs>
    </w:pPr>
    <w:rPr>
      <w:szCs w:val="20"/>
      <w:lang w:eastAsia="en-US"/>
    </w:rPr>
  </w:style>
  <w:style w:type="character" w:customStyle="1" w:styleId="FooterChar">
    <w:name w:val="Footer Char"/>
    <w:basedOn w:val="DefaultParagraphFont"/>
    <w:link w:val="Footer"/>
    <w:uiPriority w:val="99"/>
    <w:rsid w:val="00093BD0"/>
    <w:rPr>
      <w:rFonts w:ascii="Times New Roman" w:eastAsia="Times New Roman" w:hAnsi="Times New Roman" w:cs="Times New Roman"/>
      <w:sz w:val="24"/>
      <w:szCs w:val="20"/>
    </w:rPr>
  </w:style>
  <w:style w:type="paragraph" w:styleId="Header">
    <w:name w:val="header"/>
    <w:basedOn w:val="Normal"/>
    <w:link w:val="HeaderChar"/>
    <w:semiHidden/>
    <w:rsid w:val="00093BD0"/>
    <w:pPr>
      <w:tabs>
        <w:tab w:val="center" w:pos="4153"/>
        <w:tab w:val="right" w:pos="8306"/>
      </w:tabs>
    </w:pPr>
  </w:style>
  <w:style w:type="character" w:customStyle="1" w:styleId="HeaderChar">
    <w:name w:val="Header Char"/>
    <w:basedOn w:val="DefaultParagraphFont"/>
    <w:link w:val="Header"/>
    <w:semiHidden/>
    <w:rsid w:val="00093BD0"/>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1E7BB8"/>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E7BB8"/>
    <w:rPr>
      <w:rFonts w:ascii="Times New Roman" w:hAnsi="Times New Roman"/>
      <w:sz w:val="20"/>
      <w:szCs w:val="20"/>
    </w:rPr>
  </w:style>
  <w:style w:type="character" w:styleId="FootnoteReference">
    <w:name w:val="footnote reference"/>
    <w:basedOn w:val="DefaultParagraphFont"/>
    <w:uiPriority w:val="99"/>
    <w:semiHidden/>
    <w:unhideWhenUsed/>
    <w:rsid w:val="001E7BB8"/>
    <w:rPr>
      <w:vertAlign w:val="superscript"/>
    </w:rPr>
  </w:style>
  <w:style w:type="paragraph" w:styleId="ListParagraph">
    <w:name w:val="List Paragraph"/>
    <w:basedOn w:val="Normal"/>
    <w:uiPriority w:val="34"/>
    <w:qFormat/>
    <w:rsid w:val="00685C88"/>
    <w:pPr>
      <w:ind w:left="720"/>
      <w:contextualSpacing/>
    </w:pPr>
  </w:style>
  <w:style w:type="character" w:styleId="Hyperlink">
    <w:name w:val="Hyperlink"/>
    <w:basedOn w:val="DefaultParagraphFont"/>
    <w:uiPriority w:val="99"/>
    <w:unhideWhenUsed/>
    <w:rsid w:val="00722E07"/>
    <w:rPr>
      <w:color w:val="0563C1" w:themeColor="hyperlink"/>
      <w:u w:val="single"/>
    </w:rPr>
  </w:style>
  <w:style w:type="paragraph" w:customStyle="1" w:styleId="liknoteik1">
    <w:name w:val="lik_noteik1"/>
    <w:basedOn w:val="Normal"/>
    <w:rsid w:val="00C851EB"/>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C851EB"/>
    <w:pPr>
      <w:spacing w:before="100" w:beforeAutospacing="1" w:after="100" w:afterAutospacing="1" w:line="360" w:lineRule="auto"/>
      <w:ind w:firstLine="300"/>
      <w:jc w:val="right"/>
    </w:pPr>
    <w:rPr>
      <w:color w:val="414142"/>
      <w:sz w:val="20"/>
      <w:szCs w:val="20"/>
    </w:rPr>
  </w:style>
  <w:style w:type="paragraph" w:customStyle="1" w:styleId="naisnod">
    <w:name w:val="naisnod"/>
    <w:basedOn w:val="Normal"/>
    <w:rsid w:val="00A57838"/>
    <w:pPr>
      <w:spacing w:before="100" w:beforeAutospacing="1" w:after="100" w:afterAutospacing="1"/>
    </w:pPr>
  </w:style>
  <w:style w:type="paragraph" w:styleId="BalloonText">
    <w:name w:val="Balloon Text"/>
    <w:basedOn w:val="Normal"/>
    <w:link w:val="BalloonTextChar"/>
    <w:uiPriority w:val="99"/>
    <w:semiHidden/>
    <w:unhideWhenUsed/>
    <w:rsid w:val="006D5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608"/>
    <w:rPr>
      <w:rFonts w:ascii="Segoe UI" w:eastAsia="Times New Roman" w:hAnsi="Segoe UI" w:cs="Segoe UI"/>
      <w:sz w:val="18"/>
      <w:szCs w:val="18"/>
      <w:lang w:eastAsia="lv-LV"/>
    </w:rPr>
  </w:style>
  <w:style w:type="character" w:styleId="Strong">
    <w:name w:val="Strong"/>
    <w:uiPriority w:val="99"/>
    <w:qFormat/>
    <w:rsid w:val="002905D5"/>
    <w:rPr>
      <w:b/>
      <w:bCs/>
    </w:rPr>
  </w:style>
  <w:style w:type="paragraph" w:styleId="HTMLPreformatted">
    <w:name w:val="HTML Preformatted"/>
    <w:basedOn w:val="Normal"/>
    <w:link w:val="HTMLPreformattedChar"/>
    <w:uiPriority w:val="99"/>
    <w:rsid w:val="00C47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47208"/>
    <w:rPr>
      <w:rFonts w:ascii="Courier New" w:eastAsia="Times New Roman" w:hAnsi="Courier New" w:cs="Courier New"/>
      <w:sz w:val="20"/>
      <w:szCs w:val="20"/>
      <w:lang w:eastAsia="lv-LV"/>
    </w:rPr>
  </w:style>
  <w:style w:type="character" w:styleId="CommentReference">
    <w:name w:val="annotation reference"/>
    <w:basedOn w:val="DefaultParagraphFont"/>
    <w:uiPriority w:val="99"/>
    <w:semiHidden/>
    <w:unhideWhenUsed/>
    <w:rsid w:val="008E3678"/>
    <w:rPr>
      <w:sz w:val="16"/>
      <w:szCs w:val="16"/>
    </w:rPr>
  </w:style>
  <w:style w:type="paragraph" w:styleId="CommentText">
    <w:name w:val="annotation text"/>
    <w:basedOn w:val="Normal"/>
    <w:link w:val="CommentTextChar"/>
    <w:uiPriority w:val="99"/>
    <w:semiHidden/>
    <w:unhideWhenUsed/>
    <w:rsid w:val="008E3678"/>
    <w:rPr>
      <w:sz w:val="20"/>
      <w:szCs w:val="20"/>
    </w:rPr>
  </w:style>
  <w:style w:type="character" w:customStyle="1" w:styleId="CommentTextChar">
    <w:name w:val="Comment Text Char"/>
    <w:basedOn w:val="DefaultParagraphFont"/>
    <w:link w:val="CommentText"/>
    <w:uiPriority w:val="99"/>
    <w:semiHidden/>
    <w:rsid w:val="008E367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3678"/>
    <w:rPr>
      <w:b/>
      <w:bCs/>
    </w:rPr>
  </w:style>
  <w:style w:type="character" w:customStyle="1" w:styleId="CommentSubjectChar">
    <w:name w:val="Comment Subject Char"/>
    <w:basedOn w:val="CommentTextChar"/>
    <w:link w:val="CommentSubject"/>
    <w:uiPriority w:val="99"/>
    <w:semiHidden/>
    <w:rsid w:val="008E3678"/>
    <w:rPr>
      <w:rFonts w:ascii="Times New Roman" w:eastAsia="Times New Roman" w:hAnsi="Times New Roman" w:cs="Times New Roman"/>
      <w:b/>
      <w:bCs/>
      <w:sz w:val="20"/>
      <w:szCs w:val="20"/>
      <w:lang w:eastAsia="lv-LV"/>
    </w:rPr>
  </w:style>
  <w:style w:type="table" w:styleId="TableGrid">
    <w:name w:val="Table Grid"/>
    <w:basedOn w:val="TableNormal"/>
    <w:uiPriority w:val="39"/>
    <w:rsid w:val="00A75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497">
      <w:bodyDiv w:val="1"/>
      <w:marLeft w:val="0"/>
      <w:marRight w:val="0"/>
      <w:marTop w:val="0"/>
      <w:marBottom w:val="0"/>
      <w:divBdr>
        <w:top w:val="none" w:sz="0" w:space="0" w:color="auto"/>
        <w:left w:val="none" w:sz="0" w:space="0" w:color="auto"/>
        <w:bottom w:val="none" w:sz="0" w:space="0" w:color="auto"/>
        <w:right w:val="none" w:sz="0" w:space="0" w:color="auto"/>
      </w:divBdr>
    </w:div>
    <w:div w:id="115492107">
      <w:bodyDiv w:val="1"/>
      <w:marLeft w:val="0"/>
      <w:marRight w:val="0"/>
      <w:marTop w:val="0"/>
      <w:marBottom w:val="0"/>
      <w:divBdr>
        <w:top w:val="none" w:sz="0" w:space="0" w:color="auto"/>
        <w:left w:val="none" w:sz="0" w:space="0" w:color="auto"/>
        <w:bottom w:val="none" w:sz="0" w:space="0" w:color="auto"/>
        <w:right w:val="none" w:sz="0" w:space="0" w:color="auto"/>
      </w:divBdr>
      <w:divsChild>
        <w:div w:id="2045903499">
          <w:marLeft w:val="0"/>
          <w:marRight w:val="0"/>
          <w:marTop w:val="0"/>
          <w:marBottom w:val="0"/>
          <w:divBdr>
            <w:top w:val="none" w:sz="0" w:space="0" w:color="auto"/>
            <w:left w:val="none" w:sz="0" w:space="0" w:color="auto"/>
            <w:bottom w:val="none" w:sz="0" w:space="0" w:color="auto"/>
            <w:right w:val="none" w:sz="0" w:space="0" w:color="auto"/>
          </w:divBdr>
          <w:divsChild>
            <w:div w:id="1926454061">
              <w:marLeft w:val="0"/>
              <w:marRight w:val="0"/>
              <w:marTop w:val="0"/>
              <w:marBottom w:val="0"/>
              <w:divBdr>
                <w:top w:val="none" w:sz="0" w:space="0" w:color="auto"/>
                <w:left w:val="none" w:sz="0" w:space="0" w:color="auto"/>
                <w:bottom w:val="none" w:sz="0" w:space="0" w:color="auto"/>
                <w:right w:val="none" w:sz="0" w:space="0" w:color="auto"/>
              </w:divBdr>
              <w:divsChild>
                <w:div w:id="704136266">
                  <w:marLeft w:val="0"/>
                  <w:marRight w:val="0"/>
                  <w:marTop w:val="0"/>
                  <w:marBottom w:val="0"/>
                  <w:divBdr>
                    <w:top w:val="none" w:sz="0" w:space="0" w:color="auto"/>
                    <w:left w:val="none" w:sz="0" w:space="0" w:color="auto"/>
                    <w:bottom w:val="none" w:sz="0" w:space="0" w:color="auto"/>
                    <w:right w:val="none" w:sz="0" w:space="0" w:color="auto"/>
                  </w:divBdr>
                  <w:divsChild>
                    <w:div w:id="1293171403">
                      <w:marLeft w:val="0"/>
                      <w:marRight w:val="0"/>
                      <w:marTop w:val="0"/>
                      <w:marBottom w:val="0"/>
                      <w:divBdr>
                        <w:top w:val="none" w:sz="0" w:space="0" w:color="auto"/>
                        <w:left w:val="none" w:sz="0" w:space="0" w:color="auto"/>
                        <w:bottom w:val="none" w:sz="0" w:space="0" w:color="auto"/>
                        <w:right w:val="none" w:sz="0" w:space="0" w:color="auto"/>
                      </w:divBdr>
                      <w:divsChild>
                        <w:div w:id="1602571241">
                          <w:marLeft w:val="0"/>
                          <w:marRight w:val="0"/>
                          <w:marTop w:val="0"/>
                          <w:marBottom w:val="0"/>
                          <w:divBdr>
                            <w:top w:val="none" w:sz="0" w:space="0" w:color="auto"/>
                            <w:left w:val="none" w:sz="0" w:space="0" w:color="auto"/>
                            <w:bottom w:val="none" w:sz="0" w:space="0" w:color="auto"/>
                            <w:right w:val="none" w:sz="0" w:space="0" w:color="auto"/>
                          </w:divBdr>
                          <w:divsChild>
                            <w:div w:id="4410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0869">
      <w:bodyDiv w:val="1"/>
      <w:marLeft w:val="0"/>
      <w:marRight w:val="0"/>
      <w:marTop w:val="0"/>
      <w:marBottom w:val="0"/>
      <w:divBdr>
        <w:top w:val="none" w:sz="0" w:space="0" w:color="auto"/>
        <w:left w:val="none" w:sz="0" w:space="0" w:color="auto"/>
        <w:bottom w:val="none" w:sz="0" w:space="0" w:color="auto"/>
        <w:right w:val="none" w:sz="0" w:space="0" w:color="auto"/>
      </w:divBdr>
      <w:divsChild>
        <w:div w:id="409085107">
          <w:marLeft w:val="0"/>
          <w:marRight w:val="0"/>
          <w:marTop w:val="0"/>
          <w:marBottom w:val="0"/>
          <w:divBdr>
            <w:top w:val="none" w:sz="0" w:space="0" w:color="auto"/>
            <w:left w:val="none" w:sz="0" w:space="0" w:color="auto"/>
            <w:bottom w:val="none" w:sz="0" w:space="0" w:color="auto"/>
            <w:right w:val="none" w:sz="0" w:space="0" w:color="auto"/>
          </w:divBdr>
          <w:divsChild>
            <w:div w:id="1802576021">
              <w:marLeft w:val="0"/>
              <w:marRight w:val="0"/>
              <w:marTop w:val="0"/>
              <w:marBottom w:val="0"/>
              <w:divBdr>
                <w:top w:val="none" w:sz="0" w:space="0" w:color="auto"/>
                <w:left w:val="none" w:sz="0" w:space="0" w:color="auto"/>
                <w:bottom w:val="none" w:sz="0" w:space="0" w:color="auto"/>
                <w:right w:val="none" w:sz="0" w:space="0" w:color="auto"/>
              </w:divBdr>
              <w:divsChild>
                <w:div w:id="1820686868">
                  <w:marLeft w:val="0"/>
                  <w:marRight w:val="0"/>
                  <w:marTop w:val="0"/>
                  <w:marBottom w:val="0"/>
                  <w:divBdr>
                    <w:top w:val="none" w:sz="0" w:space="0" w:color="auto"/>
                    <w:left w:val="none" w:sz="0" w:space="0" w:color="auto"/>
                    <w:bottom w:val="none" w:sz="0" w:space="0" w:color="auto"/>
                    <w:right w:val="none" w:sz="0" w:space="0" w:color="auto"/>
                  </w:divBdr>
                  <w:divsChild>
                    <w:div w:id="2058620478">
                      <w:marLeft w:val="0"/>
                      <w:marRight w:val="0"/>
                      <w:marTop w:val="0"/>
                      <w:marBottom w:val="0"/>
                      <w:divBdr>
                        <w:top w:val="none" w:sz="0" w:space="0" w:color="auto"/>
                        <w:left w:val="none" w:sz="0" w:space="0" w:color="auto"/>
                        <w:bottom w:val="none" w:sz="0" w:space="0" w:color="auto"/>
                        <w:right w:val="none" w:sz="0" w:space="0" w:color="auto"/>
                      </w:divBdr>
                      <w:divsChild>
                        <w:div w:id="1412965760">
                          <w:marLeft w:val="0"/>
                          <w:marRight w:val="0"/>
                          <w:marTop w:val="0"/>
                          <w:marBottom w:val="0"/>
                          <w:divBdr>
                            <w:top w:val="none" w:sz="0" w:space="0" w:color="auto"/>
                            <w:left w:val="none" w:sz="0" w:space="0" w:color="auto"/>
                            <w:bottom w:val="none" w:sz="0" w:space="0" w:color="auto"/>
                            <w:right w:val="none" w:sz="0" w:space="0" w:color="auto"/>
                          </w:divBdr>
                          <w:divsChild>
                            <w:div w:id="3961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44392">
      <w:bodyDiv w:val="1"/>
      <w:marLeft w:val="0"/>
      <w:marRight w:val="0"/>
      <w:marTop w:val="0"/>
      <w:marBottom w:val="0"/>
      <w:divBdr>
        <w:top w:val="none" w:sz="0" w:space="0" w:color="auto"/>
        <w:left w:val="none" w:sz="0" w:space="0" w:color="auto"/>
        <w:bottom w:val="none" w:sz="0" w:space="0" w:color="auto"/>
        <w:right w:val="none" w:sz="0" w:space="0" w:color="auto"/>
      </w:divBdr>
      <w:divsChild>
        <w:div w:id="311446600">
          <w:marLeft w:val="0"/>
          <w:marRight w:val="0"/>
          <w:marTop w:val="0"/>
          <w:marBottom w:val="0"/>
          <w:divBdr>
            <w:top w:val="none" w:sz="0" w:space="0" w:color="auto"/>
            <w:left w:val="none" w:sz="0" w:space="0" w:color="auto"/>
            <w:bottom w:val="none" w:sz="0" w:space="0" w:color="auto"/>
            <w:right w:val="none" w:sz="0" w:space="0" w:color="auto"/>
          </w:divBdr>
          <w:divsChild>
            <w:div w:id="1814520879">
              <w:marLeft w:val="0"/>
              <w:marRight w:val="0"/>
              <w:marTop w:val="0"/>
              <w:marBottom w:val="0"/>
              <w:divBdr>
                <w:top w:val="none" w:sz="0" w:space="0" w:color="auto"/>
                <w:left w:val="none" w:sz="0" w:space="0" w:color="auto"/>
                <w:bottom w:val="none" w:sz="0" w:space="0" w:color="auto"/>
                <w:right w:val="none" w:sz="0" w:space="0" w:color="auto"/>
              </w:divBdr>
              <w:divsChild>
                <w:div w:id="1198663255">
                  <w:marLeft w:val="0"/>
                  <w:marRight w:val="0"/>
                  <w:marTop w:val="0"/>
                  <w:marBottom w:val="0"/>
                  <w:divBdr>
                    <w:top w:val="none" w:sz="0" w:space="0" w:color="auto"/>
                    <w:left w:val="none" w:sz="0" w:space="0" w:color="auto"/>
                    <w:bottom w:val="none" w:sz="0" w:space="0" w:color="auto"/>
                    <w:right w:val="none" w:sz="0" w:space="0" w:color="auto"/>
                  </w:divBdr>
                  <w:divsChild>
                    <w:div w:id="834881303">
                      <w:marLeft w:val="0"/>
                      <w:marRight w:val="0"/>
                      <w:marTop w:val="0"/>
                      <w:marBottom w:val="0"/>
                      <w:divBdr>
                        <w:top w:val="none" w:sz="0" w:space="0" w:color="auto"/>
                        <w:left w:val="none" w:sz="0" w:space="0" w:color="auto"/>
                        <w:bottom w:val="none" w:sz="0" w:space="0" w:color="auto"/>
                        <w:right w:val="none" w:sz="0" w:space="0" w:color="auto"/>
                      </w:divBdr>
                      <w:divsChild>
                        <w:div w:id="1865897944">
                          <w:marLeft w:val="0"/>
                          <w:marRight w:val="0"/>
                          <w:marTop w:val="0"/>
                          <w:marBottom w:val="0"/>
                          <w:divBdr>
                            <w:top w:val="none" w:sz="0" w:space="0" w:color="auto"/>
                            <w:left w:val="none" w:sz="0" w:space="0" w:color="auto"/>
                            <w:bottom w:val="none" w:sz="0" w:space="0" w:color="auto"/>
                            <w:right w:val="none" w:sz="0" w:space="0" w:color="auto"/>
                          </w:divBdr>
                          <w:divsChild>
                            <w:div w:id="10721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62128">
      <w:bodyDiv w:val="1"/>
      <w:marLeft w:val="0"/>
      <w:marRight w:val="0"/>
      <w:marTop w:val="0"/>
      <w:marBottom w:val="0"/>
      <w:divBdr>
        <w:top w:val="none" w:sz="0" w:space="0" w:color="auto"/>
        <w:left w:val="none" w:sz="0" w:space="0" w:color="auto"/>
        <w:bottom w:val="none" w:sz="0" w:space="0" w:color="auto"/>
        <w:right w:val="none" w:sz="0" w:space="0" w:color="auto"/>
      </w:divBdr>
    </w:div>
    <w:div w:id="363410346">
      <w:bodyDiv w:val="1"/>
      <w:marLeft w:val="0"/>
      <w:marRight w:val="0"/>
      <w:marTop w:val="0"/>
      <w:marBottom w:val="0"/>
      <w:divBdr>
        <w:top w:val="none" w:sz="0" w:space="0" w:color="auto"/>
        <w:left w:val="none" w:sz="0" w:space="0" w:color="auto"/>
        <w:bottom w:val="none" w:sz="0" w:space="0" w:color="auto"/>
        <w:right w:val="none" w:sz="0" w:space="0" w:color="auto"/>
      </w:divBdr>
    </w:div>
    <w:div w:id="918247524">
      <w:bodyDiv w:val="1"/>
      <w:marLeft w:val="0"/>
      <w:marRight w:val="0"/>
      <w:marTop w:val="0"/>
      <w:marBottom w:val="0"/>
      <w:divBdr>
        <w:top w:val="none" w:sz="0" w:space="0" w:color="auto"/>
        <w:left w:val="none" w:sz="0" w:space="0" w:color="auto"/>
        <w:bottom w:val="none" w:sz="0" w:space="0" w:color="auto"/>
        <w:right w:val="none" w:sz="0" w:space="0" w:color="auto"/>
      </w:divBdr>
    </w:div>
    <w:div w:id="1027412214">
      <w:bodyDiv w:val="1"/>
      <w:marLeft w:val="0"/>
      <w:marRight w:val="0"/>
      <w:marTop w:val="0"/>
      <w:marBottom w:val="0"/>
      <w:divBdr>
        <w:top w:val="none" w:sz="0" w:space="0" w:color="auto"/>
        <w:left w:val="none" w:sz="0" w:space="0" w:color="auto"/>
        <w:bottom w:val="none" w:sz="0" w:space="0" w:color="auto"/>
        <w:right w:val="none" w:sz="0" w:space="0" w:color="auto"/>
      </w:divBdr>
      <w:divsChild>
        <w:div w:id="992950851">
          <w:marLeft w:val="0"/>
          <w:marRight w:val="0"/>
          <w:marTop w:val="0"/>
          <w:marBottom w:val="0"/>
          <w:divBdr>
            <w:top w:val="none" w:sz="0" w:space="0" w:color="auto"/>
            <w:left w:val="none" w:sz="0" w:space="0" w:color="auto"/>
            <w:bottom w:val="none" w:sz="0" w:space="0" w:color="auto"/>
            <w:right w:val="none" w:sz="0" w:space="0" w:color="auto"/>
          </w:divBdr>
          <w:divsChild>
            <w:div w:id="1681083555">
              <w:marLeft w:val="0"/>
              <w:marRight w:val="0"/>
              <w:marTop w:val="0"/>
              <w:marBottom w:val="0"/>
              <w:divBdr>
                <w:top w:val="none" w:sz="0" w:space="0" w:color="auto"/>
                <w:left w:val="none" w:sz="0" w:space="0" w:color="auto"/>
                <w:bottom w:val="none" w:sz="0" w:space="0" w:color="auto"/>
                <w:right w:val="none" w:sz="0" w:space="0" w:color="auto"/>
              </w:divBdr>
              <w:divsChild>
                <w:div w:id="1858040082">
                  <w:marLeft w:val="0"/>
                  <w:marRight w:val="0"/>
                  <w:marTop w:val="0"/>
                  <w:marBottom w:val="0"/>
                  <w:divBdr>
                    <w:top w:val="none" w:sz="0" w:space="0" w:color="auto"/>
                    <w:left w:val="none" w:sz="0" w:space="0" w:color="auto"/>
                    <w:bottom w:val="none" w:sz="0" w:space="0" w:color="auto"/>
                    <w:right w:val="none" w:sz="0" w:space="0" w:color="auto"/>
                  </w:divBdr>
                  <w:divsChild>
                    <w:div w:id="979774296">
                      <w:marLeft w:val="0"/>
                      <w:marRight w:val="0"/>
                      <w:marTop w:val="0"/>
                      <w:marBottom w:val="0"/>
                      <w:divBdr>
                        <w:top w:val="none" w:sz="0" w:space="0" w:color="auto"/>
                        <w:left w:val="none" w:sz="0" w:space="0" w:color="auto"/>
                        <w:bottom w:val="none" w:sz="0" w:space="0" w:color="auto"/>
                        <w:right w:val="none" w:sz="0" w:space="0" w:color="auto"/>
                      </w:divBdr>
                      <w:divsChild>
                        <w:div w:id="805003626">
                          <w:marLeft w:val="0"/>
                          <w:marRight w:val="0"/>
                          <w:marTop w:val="0"/>
                          <w:marBottom w:val="0"/>
                          <w:divBdr>
                            <w:top w:val="none" w:sz="0" w:space="0" w:color="auto"/>
                            <w:left w:val="none" w:sz="0" w:space="0" w:color="auto"/>
                            <w:bottom w:val="none" w:sz="0" w:space="0" w:color="auto"/>
                            <w:right w:val="none" w:sz="0" w:space="0" w:color="auto"/>
                          </w:divBdr>
                          <w:divsChild>
                            <w:div w:id="13485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424525">
      <w:bodyDiv w:val="1"/>
      <w:marLeft w:val="0"/>
      <w:marRight w:val="0"/>
      <w:marTop w:val="0"/>
      <w:marBottom w:val="0"/>
      <w:divBdr>
        <w:top w:val="none" w:sz="0" w:space="0" w:color="auto"/>
        <w:left w:val="none" w:sz="0" w:space="0" w:color="auto"/>
        <w:bottom w:val="none" w:sz="0" w:space="0" w:color="auto"/>
        <w:right w:val="none" w:sz="0" w:space="0" w:color="auto"/>
      </w:divBdr>
      <w:divsChild>
        <w:div w:id="1465469889">
          <w:marLeft w:val="0"/>
          <w:marRight w:val="0"/>
          <w:marTop w:val="0"/>
          <w:marBottom w:val="0"/>
          <w:divBdr>
            <w:top w:val="none" w:sz="0" w:space="0" w:color="auto"/>
            <w:left w:val="none" w:sz="0" w:space="0" w:color="auto"/>
            <w:bottom w:val="none" w:sz="0" w:space="0" w:color="auto"/>
            <w:right w:val="none" w:sz="0" w:space="0" w:color="auto"/>
          </w:divBdr>
          <w:divsChild>
            <w:div w:id="1034425571">
              <w:marLeft w:val="0"/>
              <w:marRight w:val="0"/>
              <w:marTop w:val="0"/>
              <w:marBottom w:val="0"/>
              <w:divBdr>
                <w:top w:val="none" w:sz="0" w:space="0" w:color="auto"/>
                <w:left w:val="none" w:sz="0" w:space="0" w:color="auto"/>
                <w:bottom w:val="none" w:sz="0" w:space="0" w:color="auto"/>
                <w:right w:val="none" w:sz="0" w:space="0" w:color="auto"/>
              </w:divBdr>
              <w:divsChild>
                <w:div w:id="165675693">
                  <w:marLeft w:val="0"/>
                  <w:marRight w:val="0"/>
                  <w:marTop w:val="0"/>
                  <w:marBottom w:val="0"/>
                  <w:divBdr>
                    <w:top w:val="none" w:sz="0" w:space="0" w:color="auto"/>
                    <w:left w:val="none" w:sz="0" w:space="0" w:color="auto"/>
                    <w:bottom w:val="none" w:sz="0" w:space="0" w:color="auto"/>
                    <w:right w:val="none" w:sz="0" w:space="0" w:color="auto"/>
                  </w:divBdr>
                  <w:divsChild>
                    <w:div w:id="626743623">
                      <w:marLeft w:val="0"/>
                      <w:marRight w:val="0"/>
                      <w:marTop w:val="0"/>
                      <w:marBottom w:val="0"/>
                      <w:divBdr>
                        <w:top w:val="none" w:sz="0" w:space="0" w:color="auto"/>
                        <w:left w:val="none" w:sz="0" w:space="0" w:color="auto"/>
                        <w:bottom w:val="none" w:sz="0" w:space="0" w:color="auto"/>
                        <w:right w:val="none" w:sz="0" w:space="0" w:color="auto"/>
                      </w:divBdr>
                      <w:divsChild>
                        <w:div w:id="1489174932">
                          <w:marLeft w:val="0"/>
                          <w:marRight w:val="0"/>
                          <w:marTop w:val="0"/>
                          <w:marBottom w:val="0"/>
                          <w:divBdr>
                            <w:top w:val="none" w:sz="0" w:space="0" w:color="auto"/>
                            <w:left w:val="none" w:sz="0" w:space="0" w:color="auto"/>
                            <w:bottom w:val="none" w:sz="0" w:space="0" w:color="auto"/>
                            <w:right w:val="none" w:sz="0" w:space="0" w:color="auto"/>
                          </w:divBdr>
                          <w:divsChild>
                            <w:div w:id="3097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658027">
      <w:bodyDiv w:val="1"/>
      <w:marLeft w:val="0"/>
      <w:marRight w:val="0"/>
      <w:marTop w:val="0"/>
      <w:marBottom w:val="0"/>
      <w:divBdr>
        <w:top w:val="none" w:sz="0" w:space="0" w:color="auto"/>
        <w:left w:val="none" w:sz="0" w:space="0" w:color="auto"/>
        <w:bottom w:val="none" w:sz="0" w:space="0" w:color="auto"/>
        <w:right w:val="none" w:sz="0" w:space="0" w:color="auto"/>
      </w:divBdr>
    </w:div>
    <w:div w:id="1895652561">
      <w:bodyDiv w:val="1"/>
      <w:marLeft w:val="0"/>
      <w:marRight w:val="0"/>
      <w:marTop w:val="0"/>
      <w:marBottom w:val="0"/>
      <w:divBdr>
        <w:top w:val="none" w:sz="0" w:space="0" w:color="auto"/>
        <w:left w:val="none" w:sz="0" w:space="0" w:color="auto"/>
        <w:bottom w:val="none" w:sz="0" w:space="0" w:color="auto"/>
        <w:right w:val="none" w:sz="0" w:space="0" w:color="auto"/>
      </w:divBdr>
      <w:divsChild>
        <w:div w:id="1685404525">
          <w:marLeft w:val="0"/>
          <w:marRight w:val="0"/>
          <w:marTop w:val="0"/>
          <w:marBottom w:val="0"/>
          <w:divBdr>
            <w:top w:val="none" w:sz="0" w:space="0" w:color="auto"/>
            <w:left w:val="none" w:sz="0" w:space="0" w:color="auto"/>
            <w:bottom w:val="none" w:sz="0" w:space="0" w:color="auto"/>
            <w:right w:val="none" w:sz="0" w:space="0" w:color="auto"/>
          </w:divBdr>
          <w:divsChild>
            <w:div w:id="2131628156">
              <w:marLeft w:val="0"/>
              <w:marRight w:val="0"/>
              <w:marTop w:val="0"/>
              <w:marBottom w:val="0"/>
              <w:divBdr>
                <w:top w:val="none" w:sz="0" w:space="0" w:color="auto"/>
                <w:left w:val="none" w:sz="0" w:space="0" w:color="auto"/>
                <w:bottom w:val="none" w:sz="0" w:space="0" w:color="auto"/>
                <w:right w:val="none" w:sz="0" w:space="0" w:color="auto"/>
              </w:divBdr>
              <w:divsChild>
                <w:div w:id="317616526">
                  <w:marLeft w:val="0"/>
                  <w:marRight w:val="0"/>
                  <w:marTop w:val="0"/>
                  <w:marBottom w:val="0"/>
                  <w:divBdr>
                    <w:top w:val="none" w:sz="0" w:space="0" w:color="auto"/>
                    <w:left w:val="none" w:sz="0" w:space="0" w:color="auto"/>
                    <w:bottom w:val="none" w:sz="0" w:space="0" w:color="auto"/>
                    <w:right w:val="none" w:sz="0" w:space="0" w:color="auto"/>
                  </w:divBdr>
                  <w:divsChild>
                    <w:div w:id="460998061">
                      <w:marLeft w:val="0"/>
                      <w:marRight w:val="0"/>
                      <w:marTop w:val="0"/>
                      <w:marBottom w:val="0"/>
                      <w:divBdr>
                        <w:top w:val="none" w:sz="0" w:space="0" w:color="auto"/>
                        <w:left w:val="none" w:sz="0" w:space="0" w:color="auto"/>
                        <w:bottom w:val="none" w:sz="0" w:space="0" w:color="auto"/>
                        <w:right w:val="none" w:sz="0" w:space="0" w:color="auto"/>
                      </w:divBdr>
                      <w:divsChild>
                        <w:div w:id="776947886">
                          <w:marLeft w:val="0"/>
                          <w:marRight w:val="0"/>
                          <w:marTop w:val="0"/>
                          <w:marBottom w:val="0"/>
                          <w:divBdr>
                            <w:top w:val="none" w:sz="0" w:space="0" w:color="auto"/>
                            <w:left w:val="none" w:sz="0" w:space="0" w:color="auto"/>
                            <w:bottom w:val="none" w:sz="0" w:space="0" w:color="auto"/>
                            <w:right w:val="none" w:sz="0" w:space="0" w:color="auto"/>
                          </w:divBdr>
                          <w:divsChild>
                            <w:div w:id="3137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267984">
      <w:bodyDiv w:val="1"/>
      <w:marLeft w:val="0"/>
      <w:marRight w:val="0"/>
      <w:marTop w:val="0"/>
      <w:marBottom w:val="0"/>
      <w:divBdr>
        <w:top w:val="none" w:sz="0" w:space="0" w:color="auto"/>
        <w:left w:val="none" w:sz="0" w:space="0" w:color="auto"/>
        <w:bottom w:val="none" w:sz="0" w:space="0" w:color="auto"/>
        <w:right w:val="none" w:sz="0" w:space="0" w:color="auto"/>
      </w:divBdr>
      <w:divsChild>
        <w:div w:id="71438790">
          <w:marLeft w:val="0"/>
          <w:marRight w:val="0"/>
          <w:marTop w:val="0"/>
          <w:marBottom w:val="0"/>
          <w:divBdr>
            <w:top w:val="none" w:sz="0" w:space="0" w:color="auto"/>
            <w:left w:val="none" w:sz="0" w:space="0" w:color="auto"/>
            <w:bottom w:val="none" w:sz="0" w:space="0" w:color="auto"/>
            <w:right w:val="none" w:sz="0" w:space="0" w:color="auto"/>
          </w:divBdr>
          <w:divsChild>
            <w:div w:id="36131682">
              <w:marLeft w:val="0"/>
              <w:marRight w:val="0"/>
              <w:marTop w:val="0"/>
              <w:marBottom w:val="0"/>
              <w:divBdr>
                <w:top w:val="none" w:sz="0" w:space="0" w:color="auto"/>
                <w:left w:val="none" w:sz="0" w:space="0" w:color="auto"/>
                <w:bottom w:val="none" w:sz="0" w:space="0" w:color="auto"/>
                <w:right w:val="none" w:sz="0" w:space="0" w:color="auto"/>
              </w:divBdr>
              <w:divsChild>
                <w:div w:id="1360542337">
                  <w:marLeft w:val="0"/>
                  <w:marRight w:val="0"/>
                  <w:marTop w:val="0"/>
                  <w:marBottom w:val="0"/>
                  <w:divBdr>
                    <w:top w:val="none" w:sz="0" w:space="0" w:color="auto"/>
                    <w:left w:val="none" w:sz="0" w:space="0" w:color="auto"/>
                    <w:bottom w:val="none" w:sz="0" w:space="0" w:color="auto"/>
                    <w:right w:val="none" w:sz="0" w:space="0" w:color="auto"/>
                  </w:divBdr>
                  <w:divsChild>
                    <w:div w:id="1374618620">
                      <w:marLeft w:val="0"/>
                      <w:marRight w:val="0"/>
                      <w:marTop w:val="0"/>
                      <w:marBottom w:val="0"/>
                      <w:divBdr>
                        <w:top w:val="none" w:sz="0" w:space="0" w:color="auto"/>
                        <w:left w:val="none" w:sz="0" w:space="0" w:color="auto"/>
                        <w:bottom w:val="none" w:sz="0" w:space="0" w:color="auto"/>
                        <w:right w:val="none" w:sz="0" w:space="0" w:color="auto"/>
                      </w:divBdr>
                      <w:divsChild>
                        <w:div w:id="1565989391">
                          <w:marLeft w:val="0"/>
                          <w:marRight w:val="0"/>
                          <w:marTop w:val="0"/>
                          <w:marBottom w:val="0"/>
                          <w:divBdr>
                            <w:top w:val="none" w:sz="0" w:space="0" w:color="auto"/>
                            <w:left w:val="none" w:sz="0" w:space="0" w:color="auto"/>
                            <w:bottom w:val="none" w:sz="0" w:space="0" w:color="auto"/>
                            <w:right w:val="none" w:sz="0" w:space="0" w:color="auto"/>
                          </w:divBdr>
                          <w:divsChild>
                            <w:div w:id="16221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769D-8650-4564-A762-1FD42066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8260</Words>
  <Characters>4709</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Krastiņa</dc:creator>
  <cp:lastModifiedBy>Jekaterina Borovika</cp:lastModifiedBy>
  <cp:revision>2</cp:revision>
  <cp:lastPrinted>2018-01-03T12:54:00Z</cp:lastPrinted>
  <dcterms:created xsi:type="dcterms:W3CDTF">2018-01-09T12:52:00Z</dcterms:created>
  <dcterms:modified xsi:type="dcterms:W3CDTF">2018-01-09T12:52:00Z</dcterms:modified>
</cp:coreProperties>
</file>