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7DCEC2" w14:textId="77777777" w:rsidR="00694ED8" w:rsidRPr="001E067A" w:rsidRDefault="00694ED8" w:rsidP="004E73EB">
      <w:pPr>
        <w:spacing w:after="0" w:line="240" w:lineRule="auto"/>
        <w:jc w:val="center"/>
        <w:rPr>
          <w:rFonts w:ascii="Times New Roman" w:hAnsi="Times New Roman" w:cs="Times New Roman"/>
          <w:b/>
          <w:sz w:val="26"/>
          <w:szCs w:val="26"/>
        </w:rPr>
      </w:pPr>
      <w:r w:rsidRPr="001E067A">
        <w:rPr>
          <w:rFonts w:ascii="Times New Roman" w:hAnsi="Times New Roman" w:cs="Times New Roman"/>
          <w:b/>
          <w:sz w:val="26"/>
          <w:szCs w:val="26"/>
        </w:rPr>
        <w:t xml:space="preserve">Ministru kabineta </w:t>
      </w:r>
      <w:r w:rsidR="00386C2D" w:rsidRPr="001E067A">
        <w:rPr>
          <w:rFonts w:ascii="Times New Roman" w:hAnsi="Times New Roman" w:cs="Times New Roman"/>
          <w:b/>
          <w:sz w:val="26"/>
          <w:szCs w:val="26"/>
        </w:rPr>
        <w:t>noteikumu projekta</w:t>
      </w:r>
    </w:p>
    <w:p w14:paraId="6571A325" w14:textId="77777777" w:rsidR="00386C2D" w:rsidRPr="001E067A" w:rsidRDefault="00386C2D" w:rsidP="004E73EB">
      <w:pPr>
        <w:spacing w:after="0" w:line="240" w:lineRule="auto"/>
        <w:jc w:val="center"/>
        <w:rPr>
          <w:rFonts w:ascii="Times New Roman" w:hAnsi="Times New Roman" w:cs="Times New Roman"/>
          <w:b/>
          <w:sz w:val="26"/>
          <w:szCs w:val="26"/>
        </w:rPr>
      </w:pPr>
      <w:r w:rsidRPr="001E067A">
        <w:rPr>
          <w:rFonts w:ascii="Times New Roman" w:hAnsi="Times New Roman" w:cs="Times New Roman"/>
          <w:b/>
          <w:sz w:val="26"/>
          <w:szCs w:val="26"/>
        </w:rPr>
        <w:t>“Noteikumi par</w:t>
      </w:r>
      <w:r w:rsidR="00E57735" w:rsidRPr="001E067A">
        <w:rPr>
          <w:rFonts w:ascii="Times New Roman" w:hAnsi="Times New Roman" w:cs="Times New Roman"/>
          <w:b/>
          <w:sz w:val="26"/>
          <w:szCs w:val="26"/>
        </w:rPr>
        <w:t xml:space="preserve"> Latvijas</w:t>
      </w:r>
      <w:r w:rsidRPr="001E067A">
        <w:rPr>
          <w:rFonts w:ascii="Times New Roman" w:hAnsi="Times New Roman" w:cs="Times New Roman"/>
          <w:b/>
          <w:sz w:val="26"/>
          <w:szCs w:val="26"/>
        </w:rPr>
        <w:t xml:space="preserve"> zinātnes nozarēm un </w:t>
      </w:r>
      <w:proofErr w:type="spellStart"/>
      <w:r w:rsidRPr="001E067A">
        <w:rPr>
          <w:rFonts w:ascii="Times New Roman" w:hAnsi="Times New Roman" w:cs="Times New Roman"/>
          <w:b/>
          <w:sz w:val="26"/>
          <w:szCs w:val="26"/>
        </w:rPr>
        <w:t>apakšnozarēm</w:t>
      </w:r>
      <w:proofErr w:type="spellEnd"/>
      <w:r w:rsidRPr="001E067A">
        <w:rPr>
          <w:rFonts w:ascii="Times New Roman" w:hAnsi="Times New Roman" w:cs="Times New Roman"/>
          <w:b/>
          <w:sz w:val="26"/>
          <w:szCs w:val="26"/>
        </w:rPr>
        <w:t>”</w:t>
      </w:r>
    </w:p>
    <w:p w14:paraId="538CA4E5" w14:textId="77777777" w:rsidR="00261F37" w:rsidRPr="001E067A" w:rsidRDefault="00C14D9E" w:rsidP="004E73EB">
      <w:pPr>
        <w:spacing w:after="0" w:line="240" w:lineRule="auto"/>
        <w:jc w:val="center"/>
        <w:rPr>
          <w:rFonts w:ascii="Times New Roman" w:hAnsi="Times New Roman" w:cs="Times New Roman"/>
          <w:b/>
          <w:bCs/>
          <w:sz w:val="26"/>
          <w:szCs w:val="26"/>
        </w:rPr>
      </w:pPr>
      <w:r w:rsidRPr="001E067A">
        <w:rPr>
          <w:rFonts w:ascii="Times New Roman" w:hAnsi="Times New Roman" w:cs="Times New Roman"/>
          <w:b/>
          <w:bCs/>
          <w:sz w:val="26"/>
          <w:szCs w:val="26"/>
        </w:rPr>
        <w:t>sākotnējās ietekmes novērtējuma ziņojums (anotācija)</w:t>
      </w:r>
    </w:p>
    <w:p w14:paraId="559ED8F4" w14:textId="77777777" w:rsidR="0038026A" w:rsidRPr="001E067A" w:rsidRDefault="0038026A" w:rsidP="0038026A">
      <w:pPr>
        <w:spacing w:after="0" w:line="240" w:lineRule="auto"/>
        <w:jc w:val="center"/>
        <w:rPr>
          <w:rFonts w:ascii="Times New Roman" w:hAnsi="Times New Roman" w:cs="Times New Roman"/>
          <w:sz w:val="26"/>
          <w:szCs w:val="26"/>
        </w:rPr>
      </w:pPr>
    </w:p>
    <w:tbl>
      <w:tblPr>
        <w:tblW w:w="5129"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62"/>
        <w:gridCol w:w="2820"/>
        <w:gridCol w:w="6249"/>
      </w:tblGrid>
      <w:tr w:rsidR="00AB16CF" w:rsidRPr="001E067A" w14:paraId="7CA49052" w14:textId="77777777" w:rsidTr="007E7FFB">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49F5FAD5" w14:textId="77777777" w:rsidR="00C14D9E" w:rsidRPr="001E067A" w:rsidRDefault="00C14D9E" w:rsidP="00C14D9E">
            <w:pPr>
              <w:jc w:val="center"/>
              <w:rPr>
                <w:rFonts w:ascii="Times New Roman" w:hAnsi="Times New Roman" w:cs="Times New Roman"/>
                <w:b/>
                <w:bCs/>
                <w:sz w:val="26"/>
                <w:szCs w:val="26"/>
              </w:rPr>
            </w:pPr>
            <w:r w:rsidRPr="001E067A">
              <w:rPr>
                <w:rFonts w:ascii="Times New Roman" w:hAnsi="Times New Roman" w:cs="Times New Roman"/>
                <w:b/>
                <w:bCs/>
                <w:sz w:val="26"/>
                <w:szCs w:val="26"/>
              </w:rPr>
              <w:t>I. Tiesību akta projekta izstrādes nepieciešamība</w:t>
            </w:r>
          </w:p>
        </w:tc>
      </w:tr>
      <w:tr w:rsidR="00AB16CF" w:rsidRPr="001E067A" w14:paraId="594AB940" w14:textId="77777777" w:rsidTr="007E7FFB">
        <w:trPr>
          <w:trHeight w:val="405"/>
        </w:trPr>
        <w:tc>
          <w:tcPr>
            <w:tcW w:w="292" w:type="pct"/>
            <w:tcBorders>
              <w:top w:val="outset" w:sz="6" w:space="0" w:color="414142"/>
              <w:left w:val="outset" w:sz="6" w:space="0" w:color="414142"/>
              <w:bottom w:val="outset" w:sz="6" w:space="0" w:color="414142"/>
              <w:right w:val="outset" w:sz="6" w:space="0" w:color="414142"/>
            </w:tcBorders>
            <w:hideMark/>
          </w:tcPr>
          <w:p w14:paraId="50419CEA" w14:textId="77777777" w:rsidR="00C14D9E" w:rsidRPr="001E067A" w:rsidRDefault="00C14D9E" w:rsidP="00C14D9E">
            <w:pPr>
              <w:rPr>
                <w:rFonts w:ascii="Times New Roman" w:hAnsi="Times New Roman" w:cs="Times New Roman"/>
                <w:sz w:val="26"/>
                <w:szCs w:val="26"/>
              </w:rPr>
            </w:pPr>
            <w:r w:rsidRPr="001E067A">
              <w:rPr>
                <w:rFonts w:ascii="Times New Roman" w:hAnsi="Times New Roman" w:cs="Times New Roman"/>
                <w:sz w:val="26"/>
                <w:szCs w:val="26"/>
              </w:rPr>
              <w:t>1.</w:t>
            </w:r>
          </w:p>
        </w:tc>
        <w:tc>
          <w:tcPr>
            <w:tcW w:w="1464" w:type="pct"/>
            <w:tcBorders>
              <w:top w:val="outset" w:sz="6" w:space="0" w:color="414142"/>
              <w:left w:val="outset" w:sz="6" w:space="0" w:color="414142"/>
              <w:bottom w:val="outset" w:sz="6" w:space="0" w:color="414142"/>
              <w:right w:val="outset" w:sz="6" w:space="0" w:color="414142"/>
            </w:tcBorders>
            <w:hideMark/>
          </w:tcPr>
          <w:p w14:paraId="002D920E" w14:textId="77777777" w:rsidR="00C14D9E" w:rsidRPr="001E067A" w:rsidRDefault="00C14D9E" w:rsidP="00C14D9E">
            <w:pPr>
              <w:rPr>
                <w:rFonts w:ascii="Times New Roman" w:hAnsi="Times New Roman" w:cs="Times New Roman"/>
                <w:sz w:val="26"/>
                <w:szCs w:val="26"/>
              </w:rPr>
            </w:pPr>
            <w:r w:rsidRPr="001E067A">
              <w:rPr>
                <w:rFonts w:ascii="Times New Roman" w:hAnsi="Times New Roman" w:cs="Times New Roman"/>
                <w:sz w:val="26"/>
                <w:szCs w:val="26"/>
              </w:rPr>
              <w:t>Pamatojums</w:t>
            </w:r>
          </w:p>
        </w:tc>
        <w:tc>
          <w:tcPr>
            <w:tcW w:w="3244" w:type="pct"/>
            <w:tcBorders>
              <w:top w:val="outset" w:sz="6" w:space="0" w:color="414142"/>
              <w:left w:val="outset" w:sz="6" w:space="0" w:color="414142"/>
              <w:bottom w:val="outset" w:sz="6" w:space="0" w:color="414142"/>
              <w:right w:val="outset" w:sz="6" w:space="0" w:color="414142"/>
            </w:tcBorders>
            <w:hideMark/>
          </w:tcPr>
          <w:p w14:paraId="6F48DCC7" w14:textId="22037898" w:rsidR="00CE4661" w:rsidRPr="001E067A" w:rsidRDefault="0074133E" w:rsidP="005E1B33">
            <w:pPr>
              <w:spacing w:after="0" w:line="240" w:lineRule="auto"/>
              <w:ind w:right="113"/>
              <w:jc w:val="both"/>
              <w:rPr>
                <w:rFonts w:ascii="Times New Roman" w:hAnsi="Times New Roman" w:cs="Times New Roman"/>
                <w:sz w:val="26"/>
                <w:szCs w:val="26"/>
              </w:rPr>
            </w:pPr>
            <w:r w:rsidRPr="001E067A">
              <w:rPr>
                <w:rFonts w:ascii="Times New Roman" w:hAnsi="Times New Roman" w:cs="Times New Roman"/>
                <w:sz w:val="26"/>
                <w:szCs w:val="26"/>
              </w:rPr>
              <w:t>Minis</w:t>
            </w:r>
            <w:r w:rsidR="00A265C2" w:rsidRPr="001E067A">
              <w:rPr>
                <w:rFonts w:ascii="Times New Roman" w:hAnsi="Times New Roman" w:cs="Times New Roman"/>
                <w:sz w:val="26"/>
                <w:szCs w:val="26"/>
              </w:rPr>
              <w:t xml:space="preserve">tru kabineta noteikumu projekts </w:t>
            </w:r>
            <w:r w:rsidRPr="001E067A">
              <w:rPr>
                <w:rFonts w:ascii="Times New Roman" w:hAnsi="Times New Roman" w:cs="Times New Roman"/>
                <w:sz w:val="26"/>
                <w:szCs w:val="26"/>
              </w:rPr>
              <w:t>“Noteikumi par</w:t>
            </w:r>
            <w:r w:rsidR="00E57735" w:rsidRPr="001E067A">
              <w:rPr>
                <w:rFonts w:ascii="Times New Roman" w:hAnsi="Times New Roman" w:cs="Times New Roman"/>
                <w:sz w:val="26"/>
                <w:szCs w:val="26"/>
              </w:rPr>
              <w:t xml:space="preserve"> Latvijas</w:t>
            </w:r>
            <w:r w:rsidRPr="001E067A">
              <w:rPr>
                <w:rFonts w:ascii="Times New Roman" w:hAnsi="Times New Roman" w:cs="Times New Roman"/>
                <w:sz w:val="26"/>
                <w:szCs w:val="26"/>
              </w:rPr>
              <w:t xml:space="preserve"> zi</w:t>
            </w:r>
            <w:r w:rsidR="00A265C2" w:rsidRPr="001E067A">
              <w:rPr>
                <w:rFonts w:ascii="Times New Roman" w:hAnsi="Times New Roman" w:cs="Times New Roman"/>
                <w:sz w:val="26"/>
                <w:szCs w:val="26"/>
              </w:rPr>
              <w:t xml:space="preserve">nātnes nozarēm un </w:t>
            </w:r>
            <w:proofErr w:type="spellStart"/>
            <w:r w:rsidR="00A265C2" w:rsidRPr="001E067A">
              <w:rPr>
                <w:rFonts w:ascii="Times New Roman" w:hAnsi="Times New Roman" w:cs="Times New Roman"/>
                <w:sz w:val="26"/>
                <w:szCs w:val="26"/>
              </w:rPr>
              <w:t>apakšnozarēm</w:t>
            </w:r>
            <w:proofErr w:type="spellEnd"/>
            <w:r w:rsidR="00A265C2" w:rsidRPr="001E067A">
              <w:rPr>
                <w:rFonts w:ascii="Times New Roman" w:hAnsi="Times New Roman" w:cs="Times New Roman"/>
                <w:sz w:val="26"/>
                <w:szCs w:val="26"/>
              </w:rPr>
              <w:t>”</w:t>
            </w:r>
            <w:r w:rsidR="001E39D2" w:rsidRPr="001E067A">
              <w:rPr>
                <w:rFonts w:ascii="Times New Roman" w:hAnsi="Times New Roman" w:cs="Times New Roman"/>
                <w:sz w:val="26"/>
                <w:szCs w:val="26"/>
              </w:rPr>
              <w:t xml:space="preserve"> </w:t>
            </w:r>
            <w:r w:rsidR="006375F0" w:rsidRPr="001E067A">
              <w:rPr>
                <w:rFonts w:ascii="Times New Roman" w:hAnsi="Times New Roman" w:cs="Times New Roman"/>
                <w:sz w:val="26"/>
                <w:szCs w:val="26"/>
              </w:rPr>
              <w:t>ir izstrādāts</w:t>
            </w:r>
            <w:r w:rsidR="00767342" w:rsidRPr="001E067A">
              <w:rPr>
                <w:rFonts w:ascii="Times New Roman" w:hAnsi="Times New Roman" w:cs="Times New Roman"/>
                <w:sz w:val="26"/>
                <w:szCs w:val="26"/>
              </w:rPr>
              <w:t xml:space="preserve"> saskaņā ar Zinātniskās darbības likuma </w:t>
            </w:r>
            <w:r w:rsidR="005B24A9" w:rsidRPr="001E067A">
              <w:rPr>
                <w:rFonts w:ascii="Times New Roman" w:hAnsi="Times New Roman" w:cs="Times New Roman"/>
                <w:sz w:val="26"/>
                <w:szCs w:val="26"/>
              </w:rPr>
              <w:t xml:space="preserve">13. panta otrās daļas </w:t>
            </w:r>
            <w:r w:rsidR="00767342" w:rsidRPr="001E067A">
              <w:rPr>
                <w:rFonts w:ascii="Times New Roman" w:hAnsi="Times New Roman" w:cs="Times New Roman"/>
                <w:sz w:val="26"/>
                <w:szCs w:val="26"/>
              </w:rPr>
              <w:t>3.</w:t>
            </w:r>
            <w:r w:rsidR="00767342" w:rsidRPr="001E067A">
              <w:rPr>
                <w:rFonts w:ascii="Times New Roman" w:hAnsi="Times New Roman" w:cs="Times New Roman"/>
                <w:sz w:val="26"/>
                <w:szCs w:val="26"/>
                <w:vertAlign w:val="superscript"/>
              </w:rPr>
              <w:t>1</w:t>
            </w:r>
            <w:r w:rsidR="00CE4661" w:rsidRPr="001E067A">
              <w:rPr>
                <w:rFonts w:ascii="Times New Roman" w:hAnsi="Times New Roman" w:cs="Times New Roman"/>
                <w:sz w:val="26"/>
                <w:szCs w:val="26"/>
              </w:rPr>
              <w:t xml:space="preserve"> punktu, k</w:t>
            </w:r>
            <w:r w:rsidR="006375F0" w:rsidRPr="001E067A">
              <w:rPr>
                <w:rFonts w:ascii="Times New Roman" w:hAnsi="Times New Roman" w:cs="Times New Roman"/>
                <w:sz w:val="26"/>
                <w:szCs w:val="26"/>
              </w:rPr>
              <w:t>as</w:t>
            </w:r>
            <w:r w:rsidR="00CE4661" w:rsidRPr="001E067A">
              <w:rPr>
                <w:rFonts w:ascii="Times New Roman" w:hAnsi="Times New Roman" w:cs="Times New Roman"/>
                <w:sz w:val="26"/>
                <w:szCs w:val="26"/>
              </w:rPr>
              <w:t xml:space="preserve"> paredz uzdevumu Ministru kabinetam noteikt</w:t>
            </w:r>
            <w:r w:rsidR="00D26343" w:rsidRPr="001E067A">
              <w:rPr>
                <w:rFonts w:ascii="Times New Roman" w:hAnsi="Times New Roman" w:cs="Times New Roman"/>
                <w:sz w:val="26"/>
                <w:szCs w:val="26"/>
              </w:rPr>
              <w:t xml:space="preserve"> Latvijas </w:t>
            </w:r>
            <w:r w:rsidR="00CE4661" w:rsidRPr="001E067A">
              <w:rPr>
                <w:rFonts w:ascii="Times New Roman" w:hAnsi="Times New Roman" w:cs="Times New Roman"/>
                <w:sz w:val="26"/>
                <w:szCs w:val="26"/>
              </w:rPr>
              <w:t xml:space="preserve">zinātnes nozares un </w:t>
            </w:r>
            <w:proofErr w:type="spellStart"/>
            <w:r w:rsidR="00CE4661" w:rsidRPr="001E067A">
              <w:rPr>
                <w:rFonts w:ascii="Times New Roman" w:hAnsi="Times New Roman" w:cs="Times New Roman"/>
                <w:sz w:val="26"/>
                <w:szCs w:val="26"/>
              </w:rPr>
              <w:t>apakšnozares</w:t>
            </w:r>
            <w:proofErr w:type="spellEnd"/>
            <w:r w:rsidR="00CE4661" w:rsidRPr="001E067A">
              <w:rPr>
                <w:rFonts w:ascii="Times New Roman" w:hAnsi="Times New Roman" w:cs="Times New Roman"/>
                <w:sz w:val="26"/>
                <w:szCs w:val="26"/>
              </w:rPr>
              <w:t>.</w:t>
            </w:r>
          </w:p>
        </w:tc>
      </w:tr>
      <w:tr w:rsidR="00AB16CF" w:rsidRPr="001E067A" w14:paraId="04E326D3" w14:textId="77777777" w:rsidTr="007E7FFB">
        <w:trPr>
          <w:trHeight w:val="465"/>
        </w:trPr>
        <w:tc>
          <w:tcPr>
            <w:tcW w:w="292" w:type="pct"/>
            <w:tcBorders>
              <w:top w:val="outset" w:sz="6" w:space="0" w:color="414142"/>
              <w:left w:val="outset" w:sz="6" w:space="0" w:color="414142"/>
              <w:bottom w:val="outset" w:sz="6" w:space="0" w:color="414142"/>
              <w:right w:val="outset" w:sz="6" w:space="0" w:color="414142"/>
            </w:tcBorders>
            <w:hideMark/>
          </w:tcPr>
          <w:p w14:paraId="22B1B753" w14:textId="77777777" w:rsidR="00C14D9E" w:rsidRPr="001E067A" w:rsidRDefault="00C14D9E" w:rsidP="00C14D9E">
            <w:pPr>
              <w:rPr>
                <w:rFonts w:ascii="Times New Roman" w:hAnsi="Times New Roman" w:cs="Times New Roman"/>
                <w:sz w:val="26"/>
                <w:szCs w:val="26"/>
              </w:rPr>
            </w:pPr>
            <w:r w:rsidRPr="001E067A">
              <w:rPr>
                <w:rFonts w:ascii="Times New Roman" w:hAnsi="Times New Roman" w:cs="Times New Roman"/>
                <w:sz w:val="26"/>
                <w:szCs w:val="26"/>
              </w:rPr>
              <w:t>2.</w:t>
            </w:r>
          </w:p>
        </w:tc>
        <w:tc>
          <w:tcPr>
            <w:tcW w:w="1464" w:type="pct"/>
            <w:tcBorders>
              <w:top w:val="outset" w:sz="6" w:space="0" w:color="414142"/>
              <w:left w:val="outset" w:sz="6" w:space="0" w:color="414142"/>
              <w:bottom w:val="outset" w:sz="6" w:space="0" w:color="414142"/>
              <w:right w:val="outset" w:sz="6" w:space="0" w:color="414142"/>
            </w:tcBorders>
            <w:hideMark/>
          </w:tcPr>
          <w:p w14:paraId="16D2B449" w14:textId="77777777" w:rsidR="00445F34" w:rsidRPr="001E067A" w:rsidRDefault="00C14D9E" w:rsidP="00C14D9E">
            <w:pPr>
              <w:rPr>
                <w:rFonts w:ascii="Times New Roman" w:hAnsi="Times New Roman" w:cs="Times New Roman"/>
                <w:sz w:val="26"/>
                <w:szCs w:val="26"/>
              </w:rPr>
            </w:pPr>
            <w:r w:rsidRPr="001E067A">
              <w:rPr>
                <w:rFonts w:ascii="Times New Roman" w:hAnsi="Times New Roman" w:cs="Times New Roman"/>
                <w:sz w:val="26"/>
                <w:szCs w:val="26"/>
              </w:rPr>
              <w:t>Pašreizējā situācija un problēmas, kuru risināšanai tiesību akta projekts izstrādāts, tiesiskā regulējuma mērķis un būtība</w:t>
            </w:r>
          </w:p>
          <w:p w14:paraId="2C5B12C9" w14:textId="77777777" w:rsidR="00445F34" w:rsidRPr="001E067A" w:rsidRDefault="00445F34" w:rsidP="00445F34">
            <w:pPr>
              <w:rPr>
                <w:rFonts w:ascii="Times New Roman" w:hAnsi="Times New Roman" w:cs="Times New Roman"/>
                <w:sz w:val="26"/>
                <w:szCs w:val="26"/>
              </w:rPr>
            </w:pPr>
          </w:p>
          <w:p w14:paraId="3CEC80B0" w14:textId="77777777" w:rsidR="00445F34" w:rsidRPr="001E067A" w:rsidRDefault="00445F34" w:rsidP="00445F34">
            <w:pPr>
              <w:rPr>
                <w:rFonts w:ascii="Times New Roman" w:hAnsi="Times New Roman" w:cs="Times New Roman"/>
                <w:sz w:val="26"/>
                <w:szCs w:val="26"/>
              </w:rPr>
            </w:pPr>
          </w:p>
          <w:p w14:paraId="5811A758" w14:textId="77777777" w:rsidR="00445F34" w:rsidRPr="001E067A" w:rsidRDefault="00445F34" w:rsidP="00445F34">
            <w:pPr>
              <w:rPr>
                <w:rFonts w:ascii="Times New Roman" w:hAnsi="Times New Roman" w:cs="Times New Roman"/>
                <w:sz w:val="26"/>
                <w:szCs w:val="26"/>
              </w:rPr>
            </w:pPr>
          </w:p>
          <w:p w14:paraId="384DB8C8" w14:textId="77777777" w:rsidR="00445F34" w:rsidRPr="001E067A" w:rsidRDefault="00445F34" w:rsidP="00445F34">
            <w:pPr>
              <w:rPr>
                <w:rFonts w:ascii="Times New Roman" w:hAnsi="Times New Roman" w:cs="Times New Roman"/>
                <w:sz w:val="26"/>
                <w:szCs w:val="26"/>
              </w:rPr>
            </w:pPr>
          </w:p>
          <w:p w14:paraId="18B69405" w14:textId="77777777" w:rsidR="00445F34" w:rsidRPr="001E067A" w:rsidRDefault="00445F34" w:rsidP="00445F34">
            <w:pPr>
              <w:rPr>
                <w:rFonts w:ascii="Times New Roman" w:hAnsi="Times New Roman" w:cs="Times New Roman"/>
                <w:sz w:val="26"/>
                <w:szCs w:val="26"/>
              </w:rPr>
            </w:pPr>
          </w:p>
          <w:p w14:paraId="2F59429C" w14:textId="77777777" w:rsidR="00445F34" w:rsidRPr="001E067A" w:rsidRDefault="00445F34" w:rsidP="00445F34">
            <w:pPr>
              <w:rPr>
                <w:rFonts w:ascii="Times New Roman" w:hAnsi="Times New Roman" w:cs="Times New Roman"/>
                <w:sz w:val="26"/>
                <w:szCs w:val="26"/>
              </w:rPr>
            </w:pPr>
          </w:p>
          <w:p w14:paraId="0E5D1665" w14:textId="77777777" w:rsidR="00445F34" w:rsidRPr="001E067A" w:rsidRDefault="00445F34" w:rsidP="00445F34">
            <w:pPr>
              <w:rPr>
                <w:rFonts w:ascii="Times New Roman" w:hAnsi="Times New Roman" w:cs="Times New Roman"/>
                <w:sz w:val="26"/>
                <w:szCs w:val="26"/>
              </w:rPr>
            </w:pPr>
          </w:p>
          <w:p w14:paraId="2430CB41" w14:textId="77777777" w:rsidR="00C14D9E" w:rsidRPr="001E067A" w:rsidRDefault="00C14D9E" w:rsidP="00445F34">
            <w:pPr>
              <w:jc w:val="right"/>
              <w:rPr>
                <w:rFonts w:ascii="Times New Roman" w:hAnsi="Times New Roman" w:cs="Times New Roman"/>
                <w:sz w:val="26"/>
                <w:szCs w:val="26"/>
              </w:rPr>
            </w:pPr>
          </w:p>
        </w:tc>
        <w:tc>
          <w:tcPr>
            <w:tcW w:w="3244" w:type="pct"/>
            <w:tcBorders>
              <w:top w:val="outset" w:sz="6" w:space="0" w:color="414142"/>
              <w:left w:val="outset" w:sz="6" w:space="0" w:color="414142"/>
              <w:bottom w:val="outset" w:sz="6" w:space="0" w:color="414142"/>
              <w:right w:val="outset" w:sz="6" w:space="0" w:color="414142"/>
            </w:tcBorders>
            <w:hideMark/>
          </w:tcPr>
          <w:p w14:paraId="41C2FFB1" w14:textId="77777777" w:rsidR="005E1B33" w:rsidRPr="0067194E" w:rsidRDefault="005C777C" w:rsidP="005E1B33">
            <w:pPr>
              <w:spacing w:after="0" w:line="240" w:lineRule="auto"/>
              <w:ind w:right="113"/>
              <w:jc w:val="both"/>
              <w:rPr>
                <w:rFonts w:ascii="Times New Roman" w:hAnsi="Times New Roman" w:cs="Times New Roman"/>
                <w:sz w:val="26"/>
                <w:szCs w:val="26"/>
              </w:rPr>
            </w:pPr>
            <w:r w:rsidRPr="0067194E">
              <w:rPr>
                <w:rFonts w:ascii="Times New Roman" w:hAnsi="Times New Roman" w:cs="Times New Roman"/>
                <w:sz w:val="26"/>
                <w:szCs w:val="26"/>
              </w:rPr>
              <w:t xml:space="preserve">Šobrīd vienīgais sistematizētais Latvijas zinātnes nozaru un </w:t>
            </w:r>
            <w:proofErr w:type="spellStart"/>
            <w:r w:rsidRPr="0067194E">
              <w:rPr>
                <w:rFonts w:ascii="Times New Roman" w:hAnsi="Times New Roman" w:cs="Times New Roman"/>
                <w:sz w:val="26"/>
                <w:szCs w:val="26"/>
              </w:rPr>
              <w:t>apakšnozaru</w:t>
            </w:r>
            <w:proofErr w:type="spellEnd"/>
            <w:r w:rsidRPr="0067194E">
              <w:rPr>
                <w:rFonts w:ascii="Times New Roman" w:hAnsi="Times New Roman" w:cs="Times New Roman"/>
                <w:sz w:val="26"/>
                <w:szCs w:val="26"/>
              </w:rPr>
              <w:t xml:space="preserve"> apkopojums ir Latvijas Zinātnes padomes (turpmāk – LZP) 1999.gada 16. novembrī ar lēmumu Nr. 9-3-1 apstiprinātais “Latvijas Zinātnes padomes Zinātņu nozaru un </w:t>
            </w:r>
            <w:proofErr w:type="spellStart"/>
            <w:r w:rsidRPr="0067194E">
              <w:rPr>
                <w:rFonts w:ascii="Times New Roman" w:hAnsi="Times New Roman" w:cs="Times New Roman"/>
                <w:sz w:val="26"/>
                <w:szCs w:val="26"/>
              </w:rPr>
              <w:t>apakšnozaru</w:t>
            </w:r>
            <w:proofErr w:type="spellEnd"/>
            <w:r w:rsidRPr="0067194E">
              <w:rPr>
                <w:rFonts w:ascii="Times New Roman" w:hAnsi="Times New Roman" w:cs="Times New Roman"/>
                <w:sz w:val="26"/>
                <w:szCs w:val="26"/>
              </w:rPr>
              <w:t xml:space="preserve"> saraksts” (turpmāk – LZP saraksts), kuru LZP izstrādāja Zinātniskās darbības likuma 16. pantā noteiktās LZP kompetences ietvaros pēc savas iniciatīvas. Kopš izstrādes brīža saraksts tiek plaši izmantots zinātnes un izglītības procesu organizēšanā, jo cits regulējums, kas nosaka zinātnes nozares un </w:t>
            </w:r>
            <w:proofErr w:type="spellStart"/>
            <w:r w:rsidRPr="0067194E">
              <w:rPr>
                <w:rFonts w:ascii="Times New Roman" w:hAnsi="Times New Roman" w:cs="Times New Roman"/>
                <w:sz w:val="26"/>
                <w:szCs w:val="26"/>
              </w:rPr>
              <w:t>apakšnozares</w:t>
            </w:r>
            <w:proofErr w:type="spellEnd"/>
            <w:r w:rsidRPr="0067194E">
              <w:rPr>
                <w:rFonts w:ascii="Times New Roman" w:hAnsi="Times New Roman" w:cs="Times New Roman"/>
                <w:sz w:val="26"/>
                <w:szCs w:val="26"/>
              </w:rPr>
              <w:t xml:space="preserve"> Latvijā nav pastāvējis. Atbilstoši 2016. gada 22. decembra grozījumiem Zinātniskās darbības likuma 13. panta otrajā daļā, kas stājušies spēkā 2017. gada 1. martā, Latvijas zinātnes nozares un </w:t>
            </w:r>
            <w:proofErr w:type="spellStart"/>
            <w:r w:rsidRPr="0067194E">
              <w:rPr>
                <w:rFonts w:ascii="Times New Roman" w:hAnsi="Times New Roman" w:cs="Times New Roman"/>
                <w:sz w:val="26"/>
                <w:szCs w:val="26"/>
              </w:rPr>
              <w:t>apakšnozares</w:t>
            </w:r>
            <w:proofErr w:type="spellEnd"/>
            <w:r w:rsidRPr="0067194E">
              <w:rPr>
                <w:rFonts w:ascii="Times New Roman" w:hAnsi="Times New Roman" w:cs="Times New Roman"/>
                <w:sz w:val="26"/>
                <w:szCs w:val="26"/>
              </w:rPr>
              <w:t xml:space="preserve"> t</w:t>
            </w:r>
            <w:r w:rsidR="005E1B33">
              <w:rPr>
                <w:rFonts w:ascii="Times New Roman" w:hAnsi="Times New Roman" w:cs="Times New Roman"/>
                <w:sz w:val="26"/>
                <w:szCs w:val="26"/>
              </w:rPr>
              <w:t xml:space="preserve">urpmāk nosaka Ministru kabinets. Uzdevuma </w:t>
            </w:r>
            <w:r w:rsidR="005E1B33">
              <w:rPr>
                <w:rFonts w:ascii="Times New Roman" w:hAnsi="Times New Roman" w:cs="Times New Roman"/>
                <w:sz w:val="26"/>
                <w:szCs w:val="26"/>
              </w:rPr>
              <w:t xml:space="preserve">kuru mērķis ir </w:t>
            </w:r>
            <w:r w:rsidR="005E1B33" w:rsidRPr="00095CE4">
              <w:rPr>
                <w:rFonts w:ascii="Times New Roman" w:hAnsi="Times New Roman" w:cs="Times New Roman"/>
                <w:sz w:val="26"/>
                <w:szCs w:val="26"/>
              </w:rPr>
              <w:t xml:space="preserve">izveidot vienotu zinātnes nozaru un </w:t>
            </w:r>
            <w:proofErr w:type="spellStart"/>
            <w:r w:rsidR="005E1B33" w:rsidRPr="00095CE4">
              <w:rPr>
                <w:rFonts w:ascii="Times New Roman" w:hAnsi="Times New Roman" w:cs="Times New Roman"/>
                <w:sz w:val="26"/>
                <w:szCs w:val="26"/>
              </w:rPr>
              <w:t>apakšnozaru</w:t>
            </w:r>
            <w:proofErr w:type="spellEnd"/>
            <w:r w:rsidR="005E1B33" w:rsidRPr="00095CE4">
              <w:rPr>
                <w:rFonts w:ascii="Times New Roman" w:hAnsi="Times New Roman" w:cs="Times New Roman"/>
                <w:sz w:val="26"/>
                <w:szCs w:val="26"/>
              </w:rPr>
              <w:t xml:space="preserve"> klasifikāciju, kas būtu saistoša zinātniskajām institūcijām un nodrošinātu to zinātniskās darbības īstenošanu atbilstoši Eiropas Vienotās</w:t>
            </w:r>
            <w:r w:rsidR="005E1B33">
              <w:rPr>
                <w:rFonts w:ascii="Times New Roman" w:hAnsi="Times New Roman" w:cs="Times New Roman"/>
                <w:sz w:val="26"/>
                <w:szCs w:val="26"/>
              </w:rPr>
              <w:t xml:space="preserve"> pētniecības telpas standartiem (skatīt Saeimas mājas lapā: </w:t>
            </w:r>
            <w:r w:rsidR="005E1B33" w:rsidRPr="00B779AB">
              <w:rPr>
                <w:rFonts w:ascii="Times New Roman" w:hAnsi="Times New Roman" w:cs="Times New Roman"/>
                <w:sz w:val="26"/>
                <w:szCs w:val="26"/>
              </w:rPr>
              <w:t>http://titania.saeima.lv/LIVS12/</w:t>
            </w:r>
            <w:r w:rsidR="005E1B33">
              <w:rPr>
                <w:rFonts w:ascii="Times New Roman" w:hAnsi="Times New Roman" w:cs="Times New Roman"/>
                <w:sz w:val="26"/>
                <w:szCs w:val="26"/>
              </w:rPr>
              <w:t xml:space="preserve"> </w:t>
            </w:r>
            <w:r w:rsidR="005E1B33" w:rsidRPr="00B779AB">
              <w:rPr>
                <w:rFonts w:ascii="Times New Roman" w:hAnsi="Times New Roman" w:cs="Times New Roman"/>
                <w:sz w:val="26"/>
                <w:szCs w:val="26"/>
              </w:rPr>
              <w:t>saeimalivs12.nsf/0/7199AE3D2E0A17B</w:t>
            </w:r>
            <w:r w:rsidR="005E1B33">
              <w:rPr>
                <w:rFonts w:ascii="Times New Roman" w:hAnsi="Times New Roman" w:cs="Times New Roman"/>
                <w:sz w:val="26"/>
                <w:szCs w:val="26"/>
              </w:rPr>
              <w:t xml:space="preserve"> </w:t>
            </w:r>
            <w:r w:rsidR="005E1B33" w:rsidRPr="00B779AB">
              <w:rPr>
                <w:rFonts w:ascii="Times New Roman" w:hAnsi="Times New Roman" w:cs="Times New Roman"/>
                <w:sz w:val="26"/>
                <w:szCs w:val="26"/>
              </w:rPr>
              <w:t>FC2257F8D002569C2?OpenDocument</w:t>
            </w:r>
            <w:r w:rsidR="005E1B33">
              <w:rPr>
                <w:rFonts w:ascii="Times New Roman" w:hAnsi="Times New Roman" w:cs="Times New Roman"/>
                <w:sz w:val="26"/>
                <w:szCs w:val="26"/>
              </w:rPr>
              <w:t xml:space="preserve">). </w:t>
            </w:r>
          </w:p>
          <w:p w14:paraId="20B22338" w14:textId="772FC0DF" w:rsidR="00095CE4" w:rsidRDefault="005C777C" w:rsidP="005C777C">
            <w:pPr>
              <w:spacing w:after="0" w:line="240" w:lineRule="auto"/>
              <w:ind w:right="113"/>
              <w:jc w:val="both"/>
              <w:rPr>
                <w:rFonts w:ascii="Times New Roman" w:hAnsi="Times New Roman" w:cs="Times New Roman"/>
                <w:sz w:val="26"/>
                <w:szCs w:val="26"/>
              </w:rPr>
            </w:pPr>
            <w:r w:rsidRPr="0067194E">
              <w:rPr>
                <w:rFonts w:ascii="Times New Roman" w:hAnsi="Times New Roman" w:cs="Times New Roman"/>
                <w:sz w:val="26"/>
                <w:szCs w:val="26"/>
              </w:rPr>
              <w:t>Izglītības un z</w:t>
            </w:r>
            <w:r w:rsidR="005E1B33">
              <w:rPr>
                <w:rFonts w:ascii="Times New Roman" w:hAnsi="Times New Roman" w:cs="Times New Roman"/>
                <w:sz w:val="26"/>
                <w:szCs w:val="26"/>
              </w:rPr>
              <w:t>inātnes ministrijas sagatavoja</w:t>
            </w:r>
            <w:r w:rsidRPr="0067194E">
              <w:rPr>
                <w:rFonts w:ascii="Times New Roman" w:hAnsi="Times New Roman" w:cs="Times New Roman"/>
                <w:sz w:val="26"/>
                <w:szCs w:val="26"/>
              </w:rPr>
              <w:t xml:space="preserve"> Mini</w:t>
            </w:r>
            <w:r w:rsidR="005E1B33">
              <w:rPr>
                <w:rFonts w:ascii="Times New Roman" w:hAnsi="Times New Roman" w:cs="Times New Roman"/>
                <w:sz w:val="26"/>
                <w:szCs w:val="26"/>
              </w:rPr>
              <w:t>stru kabineta noteikumu projektu</w:t>
            </w:r>
            <w:r w:rsidRPr="0067194E">
              <w:rPr>
                <w:rFonts w:ascii="Times New Roman" w:hAnsi="Times New Roman" w:cs="Times New Roman"/>
                <w:sz w:val="26"/>
                <w:szCs w:val="26"/>
              </w:rPr>
              <w:t xml:space="preserve"> “Noteikumi par Latvijas zinātnes nozarēm un </w:t>
            </w:r>
            <w:proofErr w:type="spellStart"/>
            <w:r w:rsidRPr="0067194E">
              <w:rPr>
                <w:rFonts w:ascii="Times New Roman" w:hAnsi="Times New Roman" w:cs="Times New Roman"/>
                <w:sz w:val="26"/>
                <w:szCs w:val="26"/>
              </w:rPr>
              <w:t>apakšnozarēm</w:t>
            </w:r>
            <w:proofErr w:type="spellEnd"/>
            <w:r w:rsidRPr="0067194E">
              <w:rPr>
                <w:rFonts w:ascii="Times New Roman" w:hAnsi="Times New Roman" w:cs="Times New Roman"/>
                <w:sz w:val="26"/>
                <w:szCs w:val="26"/>
              </w:rPr>
              <w:t>” (turpmāk – noteikumu projekts).</w:t>
            </w:r>
          </w:p>
          <w:p w14:paraId="1D1B019C" w14:textId="77777777" w:rsidR="0026332B" w:rsidRDefault="005C777C" w:rsidP="0026332B">
            <w:pPr>
              <w:spacing w:after="0" w:line="240" w:lineRule="auto"/>
              <w:ind w:right="113" w:firstLine="720"/>
              <w:jc w:val="both"/>
              <w:rPr>
                <w:rFonts w:ascii="Times New Roman" w:hAnsi="Times New Roman" w:cs="Times New Roman"/>
                <w:sz w:val="26"/>
                <w:szCs w:val="26"/>
              </w:rPr>
            </w:pPr>
            <w:r w:rsidRPr="0067194E">
              <w:rPr>
                <w:rFonts w:ascii="Times New Roman" w:hAnsi="Times New Roman" w:cs="Times New Roman"/>
                <w:sz w:val="26"/>
                <w:szCs w:val="26"/>
              </w:rPr>
              <w:t>2016.</w:t>
            </w:r>
            <w:r w:rsidR="00467323">
              <w:rPr>
                <w:rFonts w:ascii="Times New Roman" w:hAnsi="Times New Roman" w:cs="Times New Roman"/>
                <w:sz w:val="26"/>
                <w:szCs w:val="26"/>
              </w:rPr>
              <w:t> gada </w:t>
            </w:r>
            <w:r w:rsidRPr="0067194E">
              <w:rPr>
                <w:rFonts w:ascii="Times New Roman" w:hAnsi="Times New Roman" w:cs="Times New Roman"/>
                <w:sz w:val="26"/>
                <w:szCs w:val="26"/>
              </w:rPr>
              <w:t>1. jūlijā Latvija pievienojās</w:t>
            </w:r>
            <w:r w:rsidR="008A3328">
              <w:rPr>
                <w:rFonts w:ascii="Times New Roman" w:hAnsi="Times New Roman" w:cs="Times New Roman"/>
                <w:sz w:val="26"/>
                <w:szCs w:val="26"/>
              </w:rPr>
              <w:t xml:space="preserve"> </w:t>
            </w:r>
            <w:r w:rsidRPr="0067194E">
              <w:rPr>
                <w:rFonts w:ascii="Times New Roman" w:hAnsi="Times New Roman" w:cs="Times New Roman"/>
                <w:sz w:val="26"/>
                <w:szCs w:val="26"/>
              </w:rPr>
              <w:t xml:space="preserve">Ekonomiskās sadarbības un attīstības organizācijai (turpmāk – OECD). Tādējādi ir radusies nepieciešamība </w:t>
            </w:r>
            <w:r w:rsidR="002F57BF">
              <w:rPr>
                <w:rFonts w:ascii="Times New Roman" w:hAnsi="Times New Roman" w:cs="Times New Roman"/>
                <w:sz w:val="26"/>
                <w:szCs w:val="26"/>
              </w:rPr>
              <w:t>pēc zinātnes nozaru klasifikācijas pielāgošanas</w:t>
            </w:r>
            <w:r w:rsidRPr="0067194E">
              <w:rPr>
                <w:rFonts w:ascii="Times New Roman" w:hAnsi="Times New Roman" w:cs="Times New Roman"/>
                <w:sz w:val="26"/>
                <w:szCs w:val="26"/>
              </w:rPr>
              <w:t xml:space="preserve"> OECD publicētajā zinātnes statistikas metodoloģijas krājumā </w:t>
            </w:r>
            <w:proofErr w:type="spellStart"/>
            <w:r w:rsidRPr="0067194E">
              <w:rPr>
                <w:rFonts w:ascii="Times New Roman" w:hAnsi="Times New Roman" w:cs="Times New Roman"/>
                <w:i/>
                <w:sz w:val="26"/>
                <w:szCs w:val="26"/>
              </w:rPr>
              <w:t>Frascati</w:t>
            </w:r>
            <w:proofErr w:type="spellEnd"/>
            <w:r w:rsidRPr="0067194E">
              <w:rPr>
                <w:rFonts w:ascii="Times New Roman" w:hAnsi="Times New Roman" w:cs="Times New Roman"/>
                <w:i/>
                <w:sz w:val="26"/>
                <w:szCs w:val="26"/>
              </w:rPr>
              <w:t xml:space="preserve"> </w:t>
            </w:r>
            <w:proofErr w:type="spellStart"/>
            <w:r w:rsidRPr="0067194E">
              <w:rPr>
                <w:rFonts w:ascii="Times New Roman" w:hAnsi="Times New Roman" w:cs="Times New Roman"/>
                <w:i/>
                <w:sz w:val="26"/>
                <w:szCs w:val="26"/>
              </w:rPr>
              <w:t>Manual</w:t>
            </w:r>
            <w:proofErr w:type="spellEnd"/>
            <w:r w:rsidR="002F57BF">
              <w:rPr>
                <w:rFonts w:ascii="Times New Roman" w:hAnsi="Times New Roman" w:cs="Times New Roman"/>
                <w:i/>
                <w:sz w:val="26"/>
                <w:szCs w:val="26"/>
              </w:rPr>
              <w:t xml:space="preserve"> </w:t>
            </w:r>
            <w:r w:rsidRPr="0067194E">
              <w:rPr>
                <w:rFonts w:ascii="Times New Roman" w:hAnsi="Times New Roman" w:cs="Times New Roman"/>
                <w:sz w:val="26"/>
                <w:szCs w:val="26"/>
              </w:rPr>
              <w:t>piedāvāta</w:t>
            </w:r>
            <w:r w:rsidR="002F57BF">
              <w:rPr>
                <w:rFonts w:ascii="Times New Roman" w:hAnsi="Times New Roman" w:cs="Times New Roman"/>
                <w:sz w:val="26"/>
                <w:szCs w:val="26"/>
              </w:rPr>
              <w:t>jai</w:t>
            </w:r>
            <w:r w:rsidRPr="0067194E">
              <w:rPr>
                <w:rFonts w:ascii="Times New Roman" w:hAnsi="Times New Roman" w:cs="Times New Roman"/>
                <w:sz w:val="26"/>
                <w:szCs w:val="26"/>
              </w:rPr>
              <w:t xml:space="preserve"> zinātnes nozaru klasifikācijai (pieejams internetā </w:t>
            </w:r>
            <w:hyperlink r:id="rId8" w:history="1">
              <w:r w:rsidRPr="0067194E">
                <w:rPr>
                  <w:rStyle w:val="Hyperlink"/>
                  <w:rFonts w:ascii="Times New Roman" w:hAnsi="Times New Roman" w:cs="Times New Roman"/>
                  <w:sz w:val="26"/>
                  <w:szCs w:val="26"/>
                </w:rPr>
                <w:t>https://www.oecd.org/science/inno/38235147.pdf</w:t>
              </w:r>
            </w:hyperlink>
            <w:r w:rsidRPr="0067194E">
              <w:rPr>
                <w:rFonts w:ascii="Times New Roman" w:hAnsi="Times New Roman" w:cs="Times New Roman"/>
                <w:sz w:val="26"/>
                <w:szCs w:val="26"/>
              </w:rPr>
              <w:t xml:space="preserve">) un kura jau tiek izmantota 35 pasaules valstīs, tai skaitā lielākajā daļā Eiropas Savienības valstu. </w:t>
            </w:r>
            <w:r w:rsidR="00C74FFB" w:rsidRPr="0067194E">
              <w:rPr>
                <w:rFonts w:ascii="Times New Roman" w:hAnsi="Times New Roman" w:cs="Times New Roman"/>
                <w:sz w:val="26"/>
                <w:szCs w:val="26"/>
              </w:rPr>
              <w:t xml:space="preserve">Noteikumu projekts balstīts uz OECD zinātnes statistikas metodoloģijas krājumā </w:t>
            </w:r>
            <w:proofErr w:type="spellStart"/>
            <w:r w:rsidR="00C74FFB" w:rsidRPr="0067194E">
              <w:rPr>
                <w:rFonts w:ascii="Times New Roman" w:hAnsi="Times New Roman" w:cs="Times New Roman"/>
                <w:i/>
                <w:sz w:val="26"/>
                <w:szCs w:val="26"/>
              </w:rPr>
              <w:t>Frascati</w:t>
            </w:r>
            <w:proofErr w:type="spellEnd"/>
            <w:r w:rsidR="00C74FFB" w:rsidRPr="0067194E">
              <w:rPr>
                <w:rFonts w:ascii="Times New Roman" w:hAnsi="Times New Roman" w:cs="Times New Roman"/>
                <w:i/>
                <w:sz w:val="26"/>
                <w:szCs w:val="26"/>
              </w:rPr>
              <w:t xml:space="preserve"> </w:t>
            </w:r>
            <w:proofErr w:type="spellStart"/>
            <w:r w:rsidR="00C74FFB" w:rsidRPr="0067194E">
              <w:rPr>
                <w:rFonts w:ascii="Times New Roman" w:hAnsi="Times New Roman" w:cs="Times New Roman"/>
                <w:i/>
                <w:sz w:val="26"/>
                <w:szCs w:val="26"/>
              </w:rPr>
              <w:t>Manual</w:t>
            </w:r>
            <w:proofErr w:type="spellEnd"/>
            <w:r w:rsidR="00C74FFB" w:rsidRPr="0067194E">
              <w:rPr>
                <w:rFonts w:ascii="Times New Roman" w:hAnsi="Times New Roman" w:cs="Times New Roman"/>
                <w:sz w:val="26"/>
                <w:szCs w:val="26"/>
              </w:rPr>
              <w:t xml:space="preserve"> 2007. gada izdevumā noteikto nozaru klasifikāciju, kas atkārtoti apstiprināta statistikas metodoloģijas krājuma 2015. gada versijā.</w:t>
            </w:r>
            <w:r w:rsidR="0026332B">
              <w:rPr>
                <w:rFonts w:ascii="Times New Roman" w:hAnsi="Times New Roman" w:cs="Times New Roman"/>
                <w:sz w:val="26"/>
                <w:szCs w:val="26"/>
              </w:rPr>
              <w:t xml:space="preserve"> </w:t>
            </w:r>
            <w:r w:rsidRPr="0067194E">
              <w:rPr>
                <w:rFonts w:ascii="Times New Roman" w:hAnsi="Times New Roman" w:cs="Times New Roman"/>
                <w:sz w:val="26"/>
                <w:szCs w:val="26"/>
              </w:rPr>
              <w:t xml:space="preserve">Vienlaikus nepieciešams noteikt Latvijas zinātnes nozares un </w:t>
            </w:r>
            <w:proofErr w:type="spellStart"/>
            <w:r w:rsidRPr="0067194E">
              <w:rPr>
                <w:rFonts w:ascii="Times New Roman" w:hAnsi="Times New Roman" w:cs="Times New Roman"/>
                <w:sz w:val="26"/>
                <w:szCs w:val="26"/>
              </w:rPr>
              <w:t>apakšnozares</w:t>
            </w:r>
            <w:proofErr w:type="spellEnd"/>
            <w:r w:rsidRPr="0067194E">
              <w:rPr>
                <w:rFonts w:ascii="Times New Roman" w:hAnsi="Times New Roman" w:cs="Times New Roman"/>
                <w:sz w:val="26"/>
                <w:szCs w:val="26"/>
              </w:rPr>
              <w:t xml:space="preserve">, kas nodrošinātu Latvijā zinātniskās darbības īstenošanu atbilstoši vienotiem starptautiskiem standartiem. </w:t>
            </w:r>
          </w:p>
          <w:p w14:paraId="6992F24F" w14:textId="591DE6FE" w:rsidR="005C777C" w:rsidRPr="0067194E" w:rsidRDefault="005C777C" w:rsidP="0026332B">
            <w:pPr>
              <w:spacing w:after="0" w:line="240" w:lineRule="auto"/>
              <w:ind w:right="113" w:firstLine="720"/>
              <w:jc w:val="both"/>
              <w:rPr>
                <w:rFonts w:ascii="Times New Roman" w:hAnsi="Times New Roman" w:cs="Times New Roman"/>
                <w:sz w:val="26"/>
                <w:szCs w:val="26"/>
              </w:rPr>
            </w:pPr>
            <w:r w:rsidRPr="0067194E">
              <w:rPr>
                <w:rFonts w:ascii="Times New Roman" w:hAnsi="Times New Roman" w:cs="Times New Roman"/>
                <w:sz w:val="26"/>
                <w:szCs w:val="26"/>
              </w:rPr>
              <w:t xml:space="preserve">Zinātņu nozaru un </w:t>
            </w:r>
            <w:proofErr w:type="spellStart"/>
            <w:r w:rsidRPr="0067194E">
              <w:rPr>
                <w:rFonts w:ascii="Times New Roman" w:hAnsi="Times New Roman" w:cs="Times New Roman"/>
                <w:sz w:val="26"/>
                <w:szCs w:val="26"/>
              </w:rPr>
              <w:t>apakšnozaru</w:t>
            </w:r>
            <w:proofErr w:type="spellEnd"/>
            <w:r w:rsidRPr="0067194E">
              <w:rPr>
                <w:rFonts w:ascii="Times New Roman" w:hAnsi="Times New Roman" w:cs="Times New Roman"/>
                <w:sz w:val="26"/>
                <w:szCs w:val="26"/>
              </w:rPr>
              <w:t xml:space="preserve"> klasifikācijai, kas ietverta LZP sarakstā un OECD zinātnes statistikas metodoloģijas krājumā </w:t>
            </w:r>
            <w:proofErr w:type="spellStart"/>
            <w:r w:rsidRPr="0067194E">
              <w:rPr>
                <w:rFonts w:ascii="Times New Roman" w:hAnsi="Times New Roman" w:cs="Times New Roman"/>
                <w:i/>
                <w:sz w:val="26"/>
                <w:szCs w:val="26"/>
              </w:rPr>
              <w:t>Frascati</w:t>
            </w:r>
            <w:proofErr w:type="spellEnd"/>
            <w:r w:rsidRPr="0067194E">
              <w:rPr>
                <w:rFonts w:ascii="Times New Roman" w:hAnsi="Times New Roman" w:cs="Times New Roman"/>
                <w:i/>
                <w:sz w:val="26"/>
                <w:szCs w:val="26"/>
              </w:rPr>
              <w:t xml:space="preserve"> </w:t>
            </w:r>
            <w:proofErr w:type="spellStart"/>
            <w:r w:rsidRPr="0067194E">
              <w:rPr>
                <w:rFonts w:ascii="Times New Roman" w:hAnsi="Times New Roman" w:cs="Times New Roman"/>
                <w:i/>
                <w:sz w:val="26"/>
                <w:szCs w:val="26"/>
              </w:rPr>
              <w:t>Manual</w:t>
            </w:r>
            <w:proofErr w:type="spellEnd"/>
            <w:r w:rsidRPr="0067194E">
              <w:rPr>
                <w:rFonts w:ascii="Times New Roman" w:hAnsi="Times New Roman" w:cs="Times New Roman"/>
                <w:i/>
                <w:sz w:val="26"/>
                <w:szCs w:val="26"/>
              </w:rPr>
              <w:t xml:space="preserve"> </w:t>
            </w:r>
            <w:r w:rsidRPr="0067194E">
              <w:rPr>
                <w:rFonts w:ascii="Times New Roman" w:hAnsi="Times New Roman" w:cs="Times New Roman"/>
                <w:sz w:val="26"/>
                <w:szCs w:val="26"/>
              </w:rPr>
              <w:t>piedāvāta</w:t>
            </w:r>
            <w:r w:rsidR="0026332B">
              <w:rPr>
                <w:rFonts w:ascii="Times New Roman" w:hAnsi="Times New Roman" w:cs="Times New Roman"/>
                <w:sz w:val="26"/>
                <w:szCs w:val="26"/>
              </w:rPr>
              <w:t>jai</w:t>
            </w:r>
            <w:r w:rsidRPr="0067194E">
              <w:rPr>
                <w:rFonts w:ascii="Times New Roman" w:hAnsi="Times New Roman" w:cs="Times New Roman"/>
                <w:sz w:val="26"/>
                <w:szCs w:val="26"/>
              </w:rPr>
              <w:t xml:space="preserve"> nozaru un </w:t>
            </w:r>
            <w:proofErr w:type="spellStart"/>
            <w:r w:rsidRPr="0067194E">
              <w:rPr>
                <w:rFonts w:ascii="Times New Roman" w:hAnsi="Times New Roman" w:cs="Times New Roman"/>
                <w:sz w:val="26"/>
                <w:szCs w:val="26"/>
              </w:rPr>
              <w:t>apakšnozaru</w:t>
            </w:r>
            <w:proofErr w:type="spellEnd"/>
            <w:r w:rsidRPr="0067194E">
              <w:rPr>
                <w:rFonts w:ascii="Times New Roman" w:hAnsi="Times New Roman" w:cs="Times New Roman"/>
                <w:sz w:val="26"/>
                <w:szCs w:val="26"/>
              </w:rPr>
              <w:t xml:space="preserve"> klasifikācijai ir noteikti atšķirīgi zinātnes nozaru un </w:t>
            </w:r>
            <w:proofErr w:type="spellStart"/>
            <w:r w:rsidRPr="0067194E">
              <w:rPr>
                <w:rFonts w:ascii="Times New Roman" w:hAnsi="Times New Roman" w:cs="Times New Roman"/>
                <w:sz w:val="26"/>
                <w:szCs w:val="26"/>
              </w:rPr>
              <w:t>ap</w:t>
            </w:r>
            <w:r w:rsidR="000C4EC9">
              <w:rPr>
                <w:rFonts w:ascii="Times New Roman" w:hAnsi="Times New Roman" w:cs="Times New Roman"/>
                <w:sz w:val="26"/>
                <w:szCs w:val="26"/>
              </w:rPr>
              <w:t>akšnozaru</w:t>
            </w:r>
            <w:proofErr w:type="spellEnd"/>
            <w:r w:rsidR="000C4EC9">
              <w:rPr>
                <w:rFonts w:ascii="Times New Roman" w:hAnsi="Times New Roman" w:cs="Times New Roman"/>
                <w:sz w:val="26"/>
                <w:szCs w:val="26"/>
              </w:rPr>
              <w:t xml:space="preserve"> klasifikācijas līmeņi.</w:t>
            </w:r>
            <w:r w:rsidRPr="0067194E">
              <w:rPr>
                <w:rFonts w:ascii="Times New Roman" w:hAnsi="Times New Roman" w:cs="Times New Roman"/>
                <w:sz w:val="26"/>
                <w:szCs w:val="26"/>
              </w:rPr>
              <w:t xml:space="preserve"> OECD krājumā </w:t>
            </w:r>
            <w:proofErr w:type="spellStart"/>
            <w:r w:rsidRPr="0067194E">
              <w:rPr>
                <w:rFonts w:ascii="Times New Roman" w:hAnsi="Times New Roman" w:cs="Times New Roman"/>
                <w:i/>
                <w:sz w:val="26"/>
                <w:szCs w:val="26"/>
              </w:rPr>
              <w:t>Frascati</w:t>
            </w:r>
            <w:proofErr w:type="spellEnd"/>
            <w:r w:rsidRPr="0067194E">
              <w:rPr>
                <w:rFonts w:ascii="Times New Roman" w:hAnsi="Times New Roman" w:cs="Times New Roman"/>
                <w:i/>
                <w:sz w:val="26"/>
                <w:szCs w:val="26"/>
              </w:rPr>
              <w:t xml:space="preserve"> </w:t>
            </w:r>
            <w:proofErr w:type="spellStart"/>
            <w:r w:rsidRPr="0067194E">
              <w:rPr>
                <w:rFonts w:ascii="Times New Roman" w:hAnsi="Times New Roman" w:cs="Times New Roman"/>
                <w:i/>
                <w:sz w:val="26"/>
                <w:szCs w:val="26"/>
              </w:rPr>
              <w:t>Manual</w:t>
            </w:r>
            <w:proofErr w:type="spellEnd"/>
            <w:r w:rsidRPr="0067194E">
              <w:rPr>
                <w:rFonts w:ascii="Times New Roman" w:hAnsi="Times New Roman" w:cs="Times New Roman"/>
                <w:i/>
                <w:sz w:val="26"/>
                <w:szCs w:val="26"/>
              </w:rPr>
              <w:t xml:space="preserve"> </w:t>
            </w:r>
            <w:r w:rsidR="000C4EC9">
              <w:rPr>
                <w:rFonts w:ascii="Times New Roman" w:hAnsi="Times New Roman" w:cs="Times New Roman"/>
                <w:sz w:val="26"/>
                <w:szCs w:val="26"/>
              </w:rPr>
              <w:t>pirmais</w:t>
            </w:r>
            <w:r w:rsidR="00EA6BF5">
              <w:rPr>
                <w:rFonts w:ascii="Times New Roman" w:hAnsi="Times New Roman" w:cs="Times New Roman"/>
                <w:sz w:val="26"/>
                <w:szCs w:val="26"/>
              </w:rPr>
              <w:t xml:space="preserve"> klasifikācijas </w:t>
            </w:r>
            <w:r w:rsidRPr="0067194E">
              <w:rPr>
                <w:rFonts w:ascii="Times New Roman" w:hAnsi="Times New Roman" w:cs="Times New Roman"/>
                <w:sz w:val="26"/>
                <w:szCs w:val="26"/>
              </w:rPr>
              <w:t>līmen</w:t>
            </w:r>
            <w:r w:rsidR="00EA6BF5">
              <w:rPr>
                <w:rFonts w:ascii="Times New Roman" w:hAnsi="Times New Roman" w:cs="Times New Roman"/>
                <w:sz w:val="26"/>
                <w:szCs w:val="26"/>
              </w:rPr>
              <w:t>is ir sešas zinātņu nozaru</w:t>
            </w:r>
            <w:r w:rsidRPr="0067194E">
              <w:rPr>
                <w:rFonts w:ascii="Times New Roman" w:hAnsi="Times New Roman" w:cs="Times New Roman"/>
                <w:sz w:val="26"/>
                <w:szCs w:val="26"/>
              </w:rPr>
              <w:t xml:space="preserve"> </w:t>
            </w:r>
            <w:r w:rsidR="00EA6BF5">
              <w:rPr>
                <w:rFonts w:ascii="Times New Roman" w:hAnsi="Times New Roman" w:cs="Times New Roman"/>
                <w:sz w:val="26"/>
                <w:szCs w:val="26"/>
              </w:rPr>
              <w:t>grupas</w:t>
            </w:r>
            <w:r w:rsidRPr="0067194E">
              <w:rPr>
                <w:rFonts w:ascii="Times New Roman" w:hAnsi="Times New Roman" w:cs="Times New Roman"/>
                <w:sz w:val="26"/>
                <w:szCs w:val="26"/>
              </w:rPr>
              <w:t xml:space="preserve">: </w:t>
            </w:r>
            <w:r w:rsidR="00CB69C8">
              <w:rPr>
                <w:rFonts w:ascii="Times New Roman" w:hAnsi="Times New Roman" w:cs="Times New Roman"/>
                <w:sz w:val="26"/>
                <w:szCs w:val="26"/>
              </w:rPr>
              <w:t>d</w:t>
            </w:r>
            <w:r w:rsidR="00CB69C8" w:rsidRPr="00CB69C8">
              <w:rPr>
                <w:rFonts w:ascii="Times New Roman" w:hAnsi="Times New Roman" w:cs="Times New Roman"/>
                <w:sz w:val="26"/>
                <w:szCs w:val="26"/>
              </w:rPr>
              <w:t xml:space="preserve">abaszinātnes, </w:t>
            </w:r>
            <w:r w:rsidR="00CB69C8">
              <w:rPr>
                <w:rFonts w:ascii="Times New Roman" w:hAnsi="Times New Roman" w:cs="Times New Roman"/>
                <w:sz w:val="26"/>
                <w:szCs w:val="26"/>
              </w:rPr>
              <w:t>i</w:t>
            </w:r>
            <w:r w:rsidR="00CB69C8" w:rsidRPr="00CB69C8">
              <w:rPr>
                <w:rFonts w:ascii="Times New Roman" w:hAnsi="Times New Roman" w:cs="Times New Roman"/>
                <w:sz w:val="26"/>
                <w:szCs w:val="26"/>
              </w:rPr>
              <w:t>nženierzinātne</w:t>
            </w:r>
            <w:r w:rsidR="00816EE4">
              <w:rPr>
                <w:rFonts w:ascii="Times New Roman" w:hAnsi="Times New Roman" w:cs="Times New Roman"/>
                <w:sz w:val="26"/>
                <w:szCs w:val="26"/>
              </w:rPr>
              <w:t>s</w:t>
            </w:r>
            <w:r w:rsidR="00CB69C8" w:rsidRPr="00CB69C8">
              <w:rPr>
                <w:rFonts w:ascii="Times New Roman" w:hAnsi="Times New Roman" w:cs="Times New Roman"/>
                <w:sz w:val="26"/>
                <w:szCs w:val="26"/>
              </w:rPr>
              <w:t xml:space="preserve"> un tehnoloģijas, </w:t>
            </w:r>
            <w:r w:rsidR="00816EE4">
              <w:rPr>
                <w:rFonts w:ascii="Times New Roman" w:hAnsi="Times New Roman" w:cs="Times New Roman"/>
                <w:sz w:val="26"/>
                <w:szCs w:val="26"/>
              </w:rPr>
              <w:t>m</w:t>
            </w:r>
            <w:r w:rsidR="00CB69C8" w:rsidRPr="00CB69C8">
              <w:rPr>
                <w:rFonts w:ascii="Times New Roman" w:hAnsi="Times New Roman" w:cs="Times New Roman"/>
                <w:sz w:val="26"/>
                <w:szCs w:val="26"/>
              </w:rPr>
              <w:t xml:space="preserve">edicīnas un veselības zinātnes, </w:t>
            </w:r>
            <w:r w:rsidR="00CB69C8">
              <w:rPr>
                <w:rFonts w:ascii="Times New Roman" w:hAnsi="Times New Roman" w:cs="Times New Roman"/>
                <w:sz w:val="26"/>
                <w:szCs w:val="26"/>
              </w:rPr>
              <w:t>l</w:t>
            </w:r>
            <w:r w:rsidR="00CB69C8" w:rsidRPr="00CB69C8">
              <w:rPr>
                <w:rFonts w:ascii="Times New Roman" w:hAnsi="Times New Roman" w:cs="Times New Roman"/>
                <w:sz w:val="26"/>
                <w:szCs w:val="26"/>
              </w:rPr>
              <w:t xml:space="preserve">auksaimniecības zinātnes, </w:t>
            </w:r>
            <w:r w:rsidR="00CB69C8">
              <w:rPr>
                <w:rFonts w:ascii="Times New Roman" w:hAnsi="Times New Roman" w:cs="Times New Roman"/>
                <w:sz w:val="26"/>
                <w:szCs w:val="26"/>
              </w:rPr>
              <w:t>s</w:t>
            </w:r>
            <w:r w:rsidR="00CB69C8" w:rsidRPr="00CB69C8">
              <w:rPr>
                <w:rFonts w:ascii="Times New Roman" w:hAnsi="Times New Roman" w:cs="Times New Roman"/>
                <w:sz w:val="26"/>
                <w:szCs w:val="26"/>
              </w:rPr>
              <w:t xml:space="preserve">ociālās zinātnes, </w:t>
            </w:r>
            <w:r w:rsidR="00CB69C8">
              <w:rPr>
                <w:rFonts w:ascii="Times New Roman" w:hAnsi="Times New Roman" w:cs="Times New Roman"/>
                <w:sz w:val="26"/>
                <w:szCs w:val="26"/>
              </w:rPr>
              <w:t>h</w:t>
            </w:r>
            <w:r w:rsidR="00CB69C8" w:rsidRPr="00CB69C8">
              <w:rPr>
                <w:rFonts w:ascii="Times New Roman" w:hAnsi="Times New Roman" w:cs="Times New Roman"/>
                <w:sz w:val="26"/>
                <w:szCs w:val="26"/>
              </w:rPr>
              <w:t>umanitārās un mākslas zinātnes</w:t>
            </w:r>
            <w:r w:rsidR="00816EE4">
              <w:rPr>
                <w:rFonts w:ascii="Times New Roman" w:hAnsi="Times New Roman" w:cs="Times New Roman"/>
                <w:sz w:val="26"/>
                <w:szCs w:val="26"/>
              </w:rPr>
              <w:t>. Otrais klasifikācijas līmenis ir attiecīgas</w:t>
            </w:r>
            <w:r w:rsidR="00511CD5">
              <w:rPr>
                <w:rFonts w:ascii="Times New Roman" w:hAnsi="Times New Roman" w:cs="Times New Roman"/>
                <w:sz w:val="26"/>
                <w:szCs w:val="26"/>
              </w:rPr>
              <w:t xml:space="preserve"> zinātņu nozaru grupas</w:t>
            </w:r>
            <w:r w:rsidR="00816EE4">
              <w:rPr>
                <w:rFonts w:ascii="Times New Roman" w:hAnsi="Times New Roman" w:cs="Times New Roman"/>
                <w:sz w:val="26"/>
                <w:szCs w:val="26"/>
              </w:rPr>
              <w:t xml:space="preserve"> zin</w:t>
            </w:r>
            <w:r w:rsidR="00153B4E">
              <w:rPr>
                <w:rFonts w:ascii="Times New Roman" w:hAnsi="Times New Roman" w:cs="Times New Roman"/>
                <w:sz w:val="26"/>
                <w:szCs w:val="26"/>
              </w:rPr>
              <w:t>ātnes nozares</w:t>
            </w:r>
            <w:r w:rsidR="00816EE4">
              <w:rPr>
                <w:rFonts w:ascii="Times New Roman" w:hAnsi="Times New Roman" w:cs="Times New Roman"/>
                <w:sz w:val="26"/>
                <w:szCs w:val="26"/>
              </w:rPr>
              <w:t>. P</w:t>
            </w:r>
            <w:r w:rsidRPr="0067194E">
              <w:rPr>
                <w:rFonts w:ascii="Times New Roman" w:hAnsi="Times New Roman" w:cs="Times New Roman"/>
                <w:sz w:val="26"/>
                <w:szCs w:val="26"/>
              </w:rPr>
              <w:t xml:space="preserve">apildus, kā piemēri, katrai nozarei ir pieminētas dažas </w:t>
            </w:r>
            <w:proofErr w:type="spellStart"/>
            <w:r w:rsidRPr="0067194E">
              <w:rPr>
                <w:rFonts w:ascii="Times New Roman" w:hAnsi="Times New Roman" w:cs="Times New Roman"/>
                <w:sz w:val="26"/>
                <w:szCs w:val="26"/>
              </w:rPr>
              <w:t>apakšnozares</w:t>
            </w:r>
            <w:proofErr w:type="spellEnd"/>
            <w:r w:rsidR="00783B57">
              <w:rPr>
                <w:rFonts w:ascii="Times New Roman" w:hAnsi="Times New Roman" w:cs="Times New Roman"/>
                <w:sz w:val="26"/>
                <w:szCs w:val="26"/>
              </w:rPr>
              <w:t xml:space="preserve"> (tās sniegtas kā skaidrojums</w:t>
            </w:r>
            <w:r w:rsidR="00813F24">
              <w:rPr>
                <w:rFonts w:ascii="Times New Roman" w:hAnsi="Times New Roman" w:cs="Times New Roman"/>
                <w:sz w:val="26"/>
                <w:szCs w:val="26"/>
              </w:rPr>
              <w:t xml:space="preserve"> nevis</w:t>
            </w:r>
            <w:r w:rsidR="00783B57">
              <w:rPr>
                <w:rFonts w:ascii="Times New Roman" w:hAnsi="Times New Roman" w:cs="Times New Roman"/>
                <w:sz w:val="26"/>
                <w:szCs w:val="26"/>
              </w:rPr>
              <w:t xml:space="preserve"> trešais klasifikācijas līmenis)</w:t>
            </w:r>
            <w:r w:rsidRPr="0067194E">
              <w:rPr>
                <w:rFonts w:ascii="Times New Roman" w:hAnsi="Times New Roman" w:cs="Times New Roman"/>
                <w:sz w:val="26"/>
                <w:szCs w:val="26"/>
              </w:rPr>
              <w:t xml:space="preserve">, kas nebūt nav pilnīgs šīs nozares </w:t>
            </w:r>
            <w:proofErr w:type="spellStart"/>
            <w:r w:rsidRPr="0067194E">
              <w:rPr>
                <w:rFonts w:ascii="Times New Roman" w:hAnsi="Times New Roman" w:cs="Times New Roman"/>
                <w:sz w:val="26"/>
                <w:szCs w:val="26"/>
              </w:rPr>
              <w:t>apakšnozaru</w:t>
            </w:r>
            <w:proofErr w:type="spellEnd"/>
            <w:r w:rsidRPr="0067194E">
              <w:rPr>
                <w:rFonts w:ascii="Times New Roman" w:hAnsi="Times New Roman" w:cs="Times New Roman"/>
                <w:sz w:val="26"/>
                <w:szCs w:val="26"/>
              </w:rPr>
              <w:t xml:space="preserve"> uzskaitījums. LZP sarakstam </w:t>
            </w:r>
            <w:r w:rsidR="0070553A">
              <w:rPr>
                <w:rFonts w:ascii="Times New Roman" w:hAnsi="Times New Roman" w:cs="Times New Roman"/>
                <w:sz w:val="26"/>
                <w:szCs w:val="26"/>
              </w:rPr>
              <w:t>arī ir divi klasifikācijas līmeņi, kur augstākais klasifikācijas līmenis ir</w:t>
            </w:r>
            <w:r w:rsidRPr="0067194E">
              <w:rPr>
                <w:rFonts w:ascii="Times New Roman" w:hAnsi="Times New Roman" w:cs="Times New Roman"/>
                <w:sz w:val="26"/>
                <w:szCs w:val="26"/>
              </w:rPr>
              <w:t xml:space="preserve"> nozares un tām atbilstošais </w:t>
            </w:r>
            <w:proofErr w:type="spellStart"/>
            <w:r w:rsidRPr="0067194E">
              <w:rPr>
                <w:rFonts w:ascii="Times New Roman" w:hAnsi="Times New Roman" w:cs="Times New Roman"/>
                <w:sz w:val="26"/>
                <w:szCs w:val="26"/>
              </w:rPr>
              <w:t>apakšnozaru</w:t>
            </w:r>
            <w:proofErr w:type="spellEnd"/>
            <w:r w:rsidRPr="0067194E">
              <w:rPr>
                <w:rFonts w:ascii="Times New Roman" w:hAnsi="Times New Roman" w:cs="Times New Roman"/>
                <w:sz w:val="26"/>
                <w:szCs w:val="26"/>
              </w:rPr>
              <w:t xml:space="preserve"> pilns uzskaitījums. Tāpēc, lai nodrošinātu </w:t>
            </w:r>
            <w:r w:rsidR="0058169F" w:rsidRPr="0067194E">
              <w:rPr>
                <w:rFonts w:ascii="Times New Roman" w:hAnsi="Times New Roman" w:cs="Times New Roman"/>
                <w:sz w:val="26"/>
                <w:szCs w:val="26"/>
              </w:rPr>
              <w:t>pakāpenisku</w:t>
            </w:r>
            <w:r w:rsidRPr="0067194E">
              <w:rPr>
                <w:rFonts w:ascii="Times New Roman" w:hAnsi="Times New Roman" w:cs="Times New Roman"/>
                <w:sz w:val="26"/>
                <w:szCs w:val="26"/>
              </w:rPr>
              <w:t xml:space="preserve"> un nepārtrauktu pāreju no Latvijas zinātnes telpā lietotā nozaru un </w:t>
            </w:r>
            <w:proofErr w:type="spellStart"/>
            <w:r w:rsidRPr="0067194E">
              <w:rPr>
                <w:rFonts w:ascii="Times New Roman" w:hAnsi="Times New Roman" w:cs="Times New Roman"/>
                <w:sz w:val="26"/>
                <w:szCs w:val="26"/>
              </w:rPr>
              <w:t>apakšnozaru</w:t>
            </w:r>
            <w:proofErr w:type="spellEnd"/>
            <w:r w:rsidRPr="0067194E">
              <w:rPr>
                <w:rFonts w:ascii="Times New Roman" w:hAnsi="Times New Roman" w:cs="Times New Roman"/>
                <w:sz w:val="26"/>
                <w:szCs w:val="26"/>
              </w:rPr>
              <w:t xml:space="preserve"> dalījuma uz noteikumu projektā minēto nozaru un </w:t>
            </w:r>
            <w:proofErr w:type="spellStart"/>
            <w:r w:rsidRPr="0067194E">
              <w:rPr>
                <w:rFonts w:ascii="Times New Roman" w:hAnsi="Times New Roman" w:cs="Times New Roman"/>
                <w:sz w:val="26"/>
                <w:szCs w:val="26"/>
              </w:rPr>
              <w:t>apakšnozaru</w:t>
            </w:r>
            <w:proofErr w:type="spellEnd"/>
            <w:r w:rsidRPr="0067194E">
              <w:rPr>
                <w:rFonts w:ascii="Times New Roman" w:hAnsi="Times New Roman" w:cs="Times New Roman"/>
                <w:sz w:val="26"/>
                <w:szCs w:val="26"/>
              </w:rPr>
              <w:t xml:space="preserve"> d</w:t>
            </w:r>
            <w:r w:rsidR="0058169F">
              <w:rPr>
                <w:rFonts w:ascii="Times New Roman" w:hAnsi="Times New Roman" w:cs="Times New Roman"/>
                <w:sz w:val="26"/>
                <w:szCs w:val="26"/>
              </w:rPr>
              <w:t>alījumu, noteikumu p</w:t>
            </w:r>
            <w:r w:rsidRPr="0067194E">
              <w:rPr>
                <w:rFonts w:ascii="Times New Roman" w:hAnsi="Times New Roman" w:cs="Times New Roman"/>
                <w:sz w:val="26"/>
                <w:szCs w:val="26"/>
              </w:rPr>
              <w:t xml:space="preserve">rojektā </w:t>
            </w:r>
            <w:r w:rsidR="0058169F">
              <w:rPr>
                <w:rFonts w:ascii="Times New Roman" w:hAnsi="Times New Roman" w:cs="Times New Roman"/>
                <w:sz w:val="26"/>
                <w:szCs w:val="26"/>
              </w:rPr>
              <w:t xml:space="preserve">kā pirmais klasifikācijas līmenis ir </w:t>
            </w:r>
            <w:r w:rsidRPr="0067194E">
              <w:rPr>
                <w:rFonts w:ascii="Times New Roman" w:hAnsi="Times New Roman" w:cs="Times New Roman"/>
                <w:sz w:val="26"/>
                <w:szCs w:val="26"/>
              </w:rPr>
              <w:t>noteikt</w:t>
            </w:r>
            <w:r w:rsidR="0058169F">
              <w:rPr>
                <w:rFonts w:ascii="Times New Roman" w:hAnsi="Times New Roman" w:cs="Times New Roman"/>
                <w:sz w:val="26"/>
                <w:szCs w:val="26"/>
              </w:rPr>
              <w:t>as zinātnes nozares, kas atbilst nozaru līmenim</w:t>
            </w:r>
            <w:r w:rsidRPr="0067194E">
              <w:rPr>
                <w:rFonts w:ascii="Times New Roman" w:hAnsi="Times New Roman" w:cs="Times New Roman"/>
                <w:sz w:val="26"/>
                <w:szCs w:val="26"/>
              </w:rPr>
              <w:t xml:space="preserve"> OECD zinātnes statistikas metodoloģijas krājumā </w:t>
            </w:r>
            <w:proofErr w:type="spellStart"/>
            <w:r w:rsidRPr="0067194E">
              <w:rPr>
                <w:rFonts w:ascii="Times New Roman" w:hAnsi="Times New Roman" w:cs="Times New Roman"/>
                <w:i/>
                <w:sz w:val="26"/>
                <w:szCs w:val="26"/>
              </w:rPr>
              <w:t>Frascati</w:t>
            </w:r>
            <w:proofErr w:type="spellEnd"/>
            <w:r w:rsidRPr="0067194E">
              <w:rPr>
                <w:rFonts w:ascii="Times New Roman" w:hAnsi="Times New Roman" w:cs="Times New Roman"/>
                <w:i/>
                <w:sz w:val="26"/>
                <w:szCs w:val="26"/>
              </w:rPr>
              <w:t xml:space="preserve"> </w:t>
            </w:r>
            <w:proofErr w:type="spellStart"/>
            <w:r w:rsidRPr="0067194E">
              <w:rPr>
                <w:rFonts w:ascii="Times New Roman" w:hAnsi="Times New Roman" w:cs="Times New Roman"/>
                <w:i/>
                <w:sz w:val="26"/>
                <w:szCs w:val="26"/>
              </w:rPr>
              <w:t>Manual</w:t>
            </w:r>
            <w:proofErr w:type="spellEnd"/>
            <w:r w:rsidRPr="0067194E">
              <w:rPr>
                <w:rFonts w:ascii="Times New Roman" w:hAnsi="Times New Roman" w:cs="Times New Roman"/>
                <w:i/>
                <w:sz w:val="26"/>
                <w:szCs w:val="26"/>
              </w:rPr>
              <w:t xml:space="preserve"> </w:t>
            </w:r>
            <w:r w:rsidR="0058169F">
              <w:rPr>
                <w:rFonts w:ascii="Times New Roman" w:hAnsi="Times New Roman" w:cs="Times New Roman"/>
                <w:sz w:val="26"/>
                <w:szCs w:val="26"/>
              </w:rPr>
              <w:t>piedāvātajā klasifikācijā</w:t>
            </w:r>
            <w:r w:rsidRPr="0067194E">
              <w:rPr>
                <w:rFonts w:ascii="Times New Roman" w:hAnsi="Times New Roman" w:cs="Times New Roman"/>
                <w:sz w:val="26"/>
                <w:szCs w:val="26"/>
              </w:rPr>
              <w:t xml:space="preserve">, bet </w:t>
            </w:r>
            <w:proofErr w:type="spellStart"/>
            <w:r w:rsidRPr="0067194E">
              <w:rPr>
                <w:rFonts w:ascii="Times New Roman" w:hAnsi="Times New Roman" w:cs="Times New Roman"/>
                <w:sz w:val="26"/>
                <w:szCs w:val="26"/>
              </w:rPr>
              <w:t>apakšnozares</w:t>
            </w:r>
            <w:proofErr w:type="spellEnd"/>
            <w:r w:rsidRPr="0067194E">
              <w:rPr>
                <w:rFonts w:ascii="Times New Roman" w:hAnsi="Times New Roman" w:cs="Times New Roman"/>
                <w:sz w:val="26"/>
                <w:szCs w:val="26"/>
              </w:rPr>
              <w:t xml:space="preserve"> </w:t>
            </w:r>
            <w:r w:rsidR="0058169F">
              <w:rPr>
                <w:rFonts w:ascii="Times New Roman" w:hAnsi="Times New Roman" w:cs="Times New Roman"/>
                <w:sz w:val="26"/>
                <w:szCs w:val="26"/>
              </w:rPr>
              <w:t xml:space="preserve">noteikumu projektā atbilst </w:t>
            </w:r>
            <w:proofErr w:type="spellStart"/>
            <w:r w:rsidR="0058169F">
              <w:rPr>
                <w:rFonts w:ascii="Times New Roman" w:hAnsi="Times New Roman" w:cs="Times New Roman"/>
                <w:sz w:val="26"/>
                <w:szCs w:val="26"/>
              </w:rPr>
              <w:t>apakšnozaru</w:t>
            </w:r>
            <w:proofErr w:type="spellEnd"/>
            <w:r w:rsidR="0058169F">
              <w:rPr>
                <w:rFonts w:ascii="Times New Roman" w:hAnsi="Times New Roman" w:cs="Times New Roman"/>
                <w:sz w:val="26"/>
                <w:szCs w:val="26"/>
              </w:rPr>
              <w:t xml:space="preserve"> klasifikācijas līmenim </w:t>
            </w:r>
            <w:r w:rsidRPr="0067194E">
              <w:rPr>
                <w:rFonts w:ascii="Times New Roman" w:hAnsi="Times New Roman" w:cs="Times New Roman"/>
                <w:sz w:val="26"/>
                <w:szCs w:val="26"/>
              </w:rPr>
              <w:t xml:space="preserve">no LZP saraksta. </w:t>
            </w:r>
          </w:p>
          <w:p w14:paraId="4566BD74" w14:textId="77777777" w:rsidR="005C777C" w:rsidRPr="0067194E" w:rsidRDefault="005C777C" w:rsidP="005C777C">
            <w:pPr>
              <w:spacing w:after="0" w:line="240" w:lineRule="auto"/>
              <w:ind w:right="113" w:firstLine="720"/>
              <w:jc w:val="both"/>
              <w:rPr>
                <w:rFonts w:ascii="Times New Roman" w:hAnsi="Times New Roman" w:cs="Times New Roman"/>
                <w:sz w:val="26"/>
                <w:szCs w:val="26"/>
              </w:rPr>
            </w:pPr>
            <w:r w:rsidRPr="0067194E">
              <w:rPr>
                <w:rFonts w:ascii="Times New Roman" w:hAnsi="Times New Roman" w:cs="Times New Roman"/>
                <w:sz w:val="26"/>
                <w:szCs w:val="26"/>
              </w:rPr>
              <w:t xml:space="preserve">Izmaiņas nozaru un </w:t>
            </w:r>
            <w:proofErr w:type="spellStart"/>
            <w:r w:rsidRPr="0067194E">
              <w:rPr>
                <w:rFonts w:ascii="Times New Roman" w:hAnsi="Times New Roman" w:cs="Times New Roman"/>
                <w:sz w:val="26"/>
                <w:szCs w:val="26"/>
              </w:rPr>
              <w:t>apakšnozaru</w:t>
            </w:r>
            <w:proofErr w:type="spellEnd"/>
            <w:r w:rsidRPr="0067194E">
              <w:rPr>
                <w:rFonts w:ascii="Times New Roman" w:hAnsi="Times New Roman" w:cs="Times New Roman"/>
                <w:sz w:val="26"/>
                <w:szCs w:val="26"/>
              </w:rPr>
              <w:t xml:space="preserve"> dalījumā skars vairāku normatīvo aktu piemērošanu, kur līdz šim bija minētas nozares vai (un) </w:t>
            </w:r>
            <w:proofErr w:type="spellStart"/>
            <w:r w:rsidRPr="0067194E">
              <w:rPr>
                <w:rFonts w:ascii="Times New Roman" w:hAnsi="Times New Roman" w:cs="Times New Roman"/>
                <w:sz w:val="26"/>
                <w:szCs w:val="26"/>
              </w:rPr>
              <w:t>apakšnozares</w:t>
            </w:r>
            <w:proofErr w:type="spellEnd"/>
            <w:r w:rsidRPr="0067194E">
              <w:rPr>
                <w:rFonts w:ascii="Times New Roman" w:hAnsi="Times New Roman" w:cs="Times New Roman"/>
                <w:sz w:val="26"/>
                <w:szCs w:val="26"/>
              </w:rPr>
              <w:t xml:space="preserve">. Ņemot vērā, ka izmaiņas zinātnes nozaru un </w:t>
            </w:r>
            <w:proofErr w:type="spellStart"/>
            <w:r w:rsidRPr="0067194E">
              <w:rPr>
                <w:rFonts w:ascii="Times New Roman" w:hAnsi="Times New Roman" w:cs="Times New Roman"/>
                <w:sz w:val="26"/>
                <w:szCs w:val="26"/>
              </w:rPr>
              <w:t>apakšnozaru</w:t>
            </w:r>
            <w:proofErr w:type="spellEnd"/>
            <w:r w:rsidRPr="0067194E">
              <w:rPr>
                <w:rFonts w:ascii="Times New Roman" w:hAnsi="Times New Roman" w:cs="Times New Roman"/>
                <w:sz w:val="26"/>
                <w:szCs w:val="26"/>
              </w:rPr>
              <w:t xml:space="preserve"> klasifikācijā skar procesus, kas norisinās izglītībā un zinātnē un kuru nepārtrauktība, nepārkāpjot tiesiskās paļāvības principu, </w:t>
            </w:r>
            <w:r w:rsidRPr="0067194E">
              <w:rPr>
                <w:rFonts w:ascii="Times New Roman" w:hAnsi="Times New Roman" w:cs="Times New Roman"/>
                <w:sz w:val="26"/>
                <w:szCs w:val="26"/>
              </w:rPr>
              <w:lastRenderedPageBreak/>
              <w:t xml:space="preserve">valsts iestādēm ir jānodrošina, Izglītības un zinātnes ministrija uzskata, ka normatīvā regulējuma ieviešana ir jāveic pakāpeniski un projektā paredzētās izmaiņas Latvijas nozaru un </w:t>
            </w:r>
            <w:proofErr w:type="spellStart"/>
            <w:r w:rsidRPr="0067194E">
              <w:rPr>
                <w:rFonts w:ascii="Times New Roman" w:hAnsi="Times New Roman" w:cs="Times New Roman"/>
                <w:sz w:val="26"/>
                <w:szCs w:val="26"/>
              </w:rPr>
              <w:t>apakšnozaru</w:t>
            </w:r>
            <w:proofErr w:type="spellEnd"/>
            <w:r w:rsidRPr="0067194E">
              <w:rPr>
                <w:rFonts w:ascii="Times New Roman" w:hAnsi="Times New Roman" w:cs="Times New Roman"/>
                <w:sz w:val="26"/>
                <w:szCs w:val="26"/>
              </w:rPr>
              <w:t xml:space="preserve"> klasifikācijā ir jāvērtē atsevišķi apskatot katru gadījumu, kur tiek piemērota minētā klasifikācija. </w:t>
            </w:r>
          </w:p>
          <w:p w14:paraId="117EF58B" w14:textId="77777777" w:rsidR="005C777C" w:rsidRPr="0067194E" w:rsidRDefault="005C777C" w:rsidP="005C777C">
            <w:pPr>
              <w:spacing w:after="0" w:line="240" w:lineRule="auto"/>
              <w:ind w:right="113" w:firstLine="720"/>
              <w:jc w:val="both"/>
              <w:rPr>
                <w:rFonts w:ascii="Times New Roman" w:hAnsi="Times New Roman" w:cs="Times New Roman"/>
                <w:sz w:val="26"/>
                <w:szCs w:val="26"/>
              </w:rPr>
            </w:pPr>
            <w:r w:rsidRPr="0067194E">
              <w:rPr>
                <w:rFonts w:ascii="Times New Roman" w:hAnsi="Times New Roman" w:cs="Times New Roman"/>
                <w:sz w:val="26"/>
                <w:szCs w:val="26"/>
              </w:rPr>
              <w:t xml:space="preserve">Pašlaik atsauce uz zinātnes nozarēm un </w:t>
            </w:r>
            <w:proofErr w:type="spellStart"/>
            <w:r w:rsidRPr="0067194E">
              <w:rPr>
                <w:rFonts w:ascii="Times New Roman" w:hAnsi="Times New Roman" w:cs="Times New Roman"/>
                <w:sz w:val="26"/>
                <w:szCs w:val="26"/>
              </w:rPr>
              <w:t>apakšnozarēm</w:t>
            </w:r>
            <w:proofErr w:type="spellEnd"/>
            <w:r w:rsidRPr="0067194E">
              <w:rPr>
                <w:rFonts w:ascii="Times New Roman" w:hAnsi="Times New Roman" w:cs="Times New Roman"/>
                <w:sz w:val="26"/>
                <w:szCs w:val="26"/>
              </w:rPr>
              <w:t xml:space="preserve"> ir minēta (attiecīgi, izmanto LZP sarakstu):</w:t>
            </w:r>
          </w:p>
          <w:p w14:paraId="4E9E8646" w14:textId="77777777" w:rsidR="005C777C" w:rsidRPr="0067194E" w:rsidRDefault="005C777C" w:rsidP="005C777C">
            <w:pPr>
              <w:spacing w:after="0" w:line="240" w:lineRule="auto"/>
              <w:ind w:right="113"/>
              <w:jc w:val="both"/>
              <w:rPr>
                <w:rFonts w:ascii="Times New Roman" w:hAnsi="Times New Roman" w:cs="Times New Roman"/>
                <w:sz w:val="26"/>
                <w:szCs w:val="26"/>
              </w:rPr>
            </w:pPr>
            <w:r w:rsidRPr="0067194E">
              <w:rPr>
                <w:rFonts w:ascii="Times New Roman" w:hAnsi="Times New Roman" w:cs="Times New Roman"/>
                <w:sz w:val="26"/>
                <w:szCs w:val="26"/>
              </w:rPr>
              <w:t>(1) Augstskolu likuma 3., 8., 23., 24., 28., 30., 31., 32., 33., 34., 35., 55., 55.</w:t>
            </w:r>
            <w:r w:rsidRPr="0067194E">
              <w:rPr>
                <w:rFonts w:ascii="Times New Roman" w:hAnsi="Times New Roman" w:cs="Times New Roman"/>
                <w:sz w:val="26"/>
                <w:szCs w:val="26"/>
                <w:vertAlign w:val="superscript"/>
              </w:rPr>
              <w:t>3</w:t>
            </w:r>
            <w:r w:rsidRPr="0067194E">
              <w:rPr>
                <w:rFonts w:ascii="Times New Roman" w:hAnsi="Times New Roman" w:cs="Times New Roman"/>
                <w:sz w:val="26"/>
                <w:szCs w:val="26"/>
              </w:rPr>
              <w:t>, 58. un 87. pantā;</w:t>
            </w:r>
          </w:p>
          <w:p w14:paraId="32920EC9" w14:textId="77777777" w:rsidR="005C777C" w:rsidRPr="0067194E" w:rsidRDefault="005C777C" w:rsidP="005C777C">
            <w:pPr>
              <w:spacing w:after="0" w:line="240" w:lineRule="auto"/>
              <w:ind w:right="113"/>
              <w:jc w:val="both"/>
              <w:rPr>
                <w:rFonts w:ascii="Times New Roman" w:hAnsi="Times New Roman" w:cs="Times New Roman"/>
                <w:sz w:val="26"/>
                <w:szCs w:val="26"/>
              </w:rPr>
            </w:pPr>
            <w:r w:rsidRPr="0067194E">
              <w:rPr>
                <w:rFonts w:ascii="Times New Roman" w:hAnsi="Times New Roman" w:cs="Times New Roman"/>
                <w:sz w:val="26"/>
                <w:szCs w:val="26"/>
              </w:rPr>
              <w:t>(2) Zinātniskās darbības likuma 11. un 13. pantā;</w:t>
            </w:r>
          </w:p>
          <w:p w14:paraId="284E0951" w14:textId="77777777" w:rsidR="005C777C" w:rsidRPr="0067194E" w:rsidRDefault="005C777C" w:rsidP="005C777C">
            <w:pPr>
              <w:spacing w:after="0" w:line="240" w:lineRule="auto"/>
              <w:ind w:right="113"/>
              <w:jc w:val="both"/>
              <w:rPr>
                <w:rFonts w:ascii="Times New Roman" w:hAnsi="Times New Roman" w:cs="Times New Roman"/>
                <w:sz w:val="26"/>
                <w:szCs w:val="26"/>
              </w:rPr>
            </w:pPr>
            <w:r w:rsidRPr="0067194E">
              <w:rPr>
                <w:rFonts w:ascii="Times New Roman" w:hAnsi="Times New Roman" w:cs="Times New Roman"/>
                <w:sz w:val="26"/>
                <w:szCs w:val="26"/>
              </w:rPr>
              <w:t>(3) Ministru kabineta 2006. gada 20. jūnija noteikumos Nr. 497 “Noteikumi par Latvijas Zinātnes padomes ekspertu komisiju izveidošanu un darbību”;</w:t>
            </w:r>
          </w:p>
          <w:p w14:paraId="54C8292A" w14:textId="77777777" w:rsidR="005C777C" w:rsidRPr="0067194E" w:rsidRDefault="005C777C" w:rsidP="005C777C">
            <w:pPr>
              <w:spacing w:after="0" w:line="240" w:lineRule="auto"/>
              <w:ind w:right="113"/>
              <w:jc w:val="both"/>
              <w:rPr>
                <w:rFonts w:ascii="Times New Roman" w:hAnsi="Times New Roman" w:cs="Times New Roman"/>
                <w:sz w:val="26"/>
                <w:szCs w:val="26"/>
              </w:rPr>
            </w:pPr>
            <w:r w:rsidRPr="0067194E">
              <w:rPr>
                <w:rFonts w:ascii="Times New Roman" w:hAnsi="Times New Roman" w:cs="Times New Roman"/>
                <w:sz w:val="26"/>
                <w:szCs w:val="26"/>
              </w:rPr>
              <w:t>(4) Ministru kabineta 2005. gada 27. decembra noteikumu Nr. 1001 “Doktora zinātniskā grāda piešķiršanas (promocijas) kārtība un kritēriji”;</w:t>
            </w:r>
          </w:p>
          <w:p w14:paraId="1DE007B4" w14:textId="77777777" w:rsidR="005C777C" w:rsidRPr="0067194E" w:rsidRDefault="005C777C" w:rsidP="005C777C">
            <w:pPr>
              <w:spacing w:after="0" w:line="240" w:lineRule="auto"/>
              <w:ind w:right="113"/>
              <w:jc w:val="both"/>
              <w:rPr>
                <w:rFonts w:ascii="Times New Roman" w:hAnsi="Times New Roman" w:cs="Times New Roman"/>
                <w:sz w:val="26"/>
                <w:szCs w:val="26"/>
              </w:rPr>
            </w:pPr>
            <w:r w:rsidRPr="0067194E">
              <w:rPr>
                <w:rFonts w:ascii="Times New Roman" w:hAnsi="Times New Roman" w:cs="Times New Roman"/>
                <w:sz w:val="26"/>
                <w:szCs w:val="26"/>
              </w:rPr>
              <w:t>(5) Ministru kabineta 2005. gada 27. decembra noteikumi Nr.1000 “Noteikumi par doktora zinātniskā grāda piešķiršanas (promocijas) tiesību deleģēšanu augstskolām”;</w:t>
            </w:r>
          </w:p>
          <w:p w14:paraId="369436E5" w14:textId="77777777" w:rsidR="005C777C" w:rsidRPr="0067194E" w:rsidRDefault="005C777C" w:rsidP="005C777C">
            <w:pPr>
              <w:spacing w:after="0" w:line="240" w:lineRule="auto"/>
              <w:ind w:right="113"/>
              <w:jc w:val="both"/>
              <w:rPr>
                <w:rFonts w:ascii="Times New Roman" w:hAnsi="Times New Roman" w:cs="Times New Roman"/>
                <w:sz w:val="26"/>
                <w:szCs w:val="26"/>
              </w:rPr>
            </w:pPr>
            <w:r w:rsidRPr="0067194E">
              <w:rPr>
                <w:rFonts w:ascii="Times New Roman" w:hAnsi="Times New Roman" w:cs="Times New Roman"/>
                <w:sz w:val="26"/>
                <w:szCs w:val="26"/>
              </w:rPr>
              <w:t>(6) Ministru kabineta 2013. gada 16. aprīļa noteikumi Nr.202 “Kārtība, kādā izsniedz valsts atzītus augstāko izglītību apliecinošus dokumentus”;</w:t>
            </w:r>
          </w:p>
          <w:p w14:paraId="6F0AB300" w14:textId="77777777" w:rsidR="005C777C" w:rsidRPr="0067194E" w:rsidRDefault="005C777C" w:rsidP="005C777C">
            <w:pPr>
              <w:spacing w:after="0" w:line="240" w:lineRule="auto"/>
              <w:ind w:right="113"/>
              <w:jc w:val="both"/>
              <w:rPr>
                <w:rFonts w:ascii="Times New Roman" w:hAnsi="Times New Roman" w:cs="Times New Roman"/>
                <w:sz w:val="26"/>
                <w:szCs w:val="26"/>
              </w:rPr>
            </w:pPr>
            <w:r w:rsidRPr="0067194E">
              <w:rPr>
                <w:rFonts w:ascii="Times New Roman" w:hAnsi="Times New Roman" w:cs="Times New Roman"/>
                <w:sz w:val="26"/>
                <w:szCs w:val="26"/>
              </w:rPr>
              <w:t>(7)</w:t>
            </w:r>
            <w:r w:rsidRPr="0067194E">
              <w:t xml:space="preserve"> </w:t>
            </w:r>
            <w:r w:rsidRPr="0067194E">
              <w:rPr>
                <w:rFonts w:ascii="Times New Roman" w:hAnsi="Times New Roman" w:cs="Times New Roman"/>
                <w:sz w:val="26"/>
                <w:szCs w:val="26"/>
              </w:rPr>
              <w:t>Ministru kabineta 2014. gada 13. maija noteikumi Nr.240 “Noteikumi par valsts akadēmiskās izglītības standartu”;</w:t>
            </w:r>
          </w:p>
          <w:p w14:paraId="0881EF9B" w14:textId="77777777" w:rsidR="005C777C" w:rsidRPr="0067194E" w:rsidRDefault="005C777C" w:rsidP="005C777C">
            <w:pPr>
              <w:spacing w:after="0" w:line="240" w:lineRule="auto"/>
              <w:ind w:right="113"/>
              <w:jc w:val="both"/>
              <w:rPr>
                <w:rFonts w:ascii="Times New Roman" w:hAnsi="Times New Roman" w:cs="Times New Roman"/>
                <w:sz w:val="26"/>
                <w:szCs w:val="26"/>
              </w:rPr>
            </w:pPr>
            <w:r w:rsidRPr="0067194E">
              <w:rPr>
                <w:rFonts w:ascii="Times New Roman" w:hAnsi="Times New Roman" w:cs="Times New Roman"/>
                <w:sz w:val="26"/>
                <w:szCs w:val="26"/>
              </w:rPr>
              <w:t>(8) Ministru kabineta 2015. gada 14. jūlija noteikumi Nr. 408 “Studiju programmu licencēšanas noteikumi”.</w:t>
            </w:r>
          </w:p>
          <w:p w14:paraId="36654D25" w14:textId="77777777" w:rsidR="005C777C" w:rsidRPr="0067194E" w:rsidRDefault="005C777C" w:rsidP="005C777C">
            <w:pPr>
              <w:spacing w:after="0" w:line="240" w:lineRule="auto"/>
              <w:ind w:right="113" w:firstLine="720"/>
              <w:jc w:val="both"/>
              <w:rPr>
                <w:rFonts w:ascii="Times New Roman" w:hAnsi="Times New Roman" w:cs="Times New Roman"/>
                <w:sz w:val="26"/>
                <w:szCs w:val="26"/>
              </w:rPr>
            </w:pPr>
            <w:r w:rsidRPr="0067194E">
              <w:rPr>
                <w:rFonts w:ascii="Times New Roman" w:hAnsi="Times New Roman" w:cs="Times New Roman"/>
                <w:sz w:val="26"/>
                <w:szCs w:val="26"/>
              </w:rPr>
              <w:t>Lai nodrošinātu pakāpenisku projektā minēto nozaru ieviešanu:</w:t>
            </w:r>
          </w:p>
          <w:p w14:paraId="674D4FE4" w14:textId="10CC6502" w:rsidR="005C777C" w:rsidRPr="0067194E" w:rsidRDefault="005C777C" w:rsidP="005C777C">
            <w:pPr>
              <w:spacing w:after="0" w:line="240" w:lineRule="auto"/>
              <w:ind w:right="113" w:firstLine="720"/>
              <w:jc w:val="both"/>
              <w:rPr>
                <w:rFonts w:ascii="Times New Roman" w:hAnsi="Times New Roman" w:cs="Times New Roman"/>
                <w:sz w:val="26"/>
                <w:szCs w:val="26"/>
              </w:rPr>
            </w:pPr>
            <w:r w:rsidRPr="0067194E">
              <w:rPr>
                <w:rFonts w:ascii="Times New Roman" w:hAnsi="Times New Roman" w:cs="Times New Roman"/>
                <w:sz w:val="26"/>
                <w:szCs w:val="26"/>
              </w:rPr>
              <w:t xml:space="preserve">1. Izglītības un zinātnes ministrija izstrādāja Ministru kabineta noteikumu projektu “Noteikumi par Latvijas Zinātnes padomes ekspertu kvalifikācijas kritērijiem, ekspertu komisiju izveidošanu un to darbības organizēšanu”, nosakot, ka eksperta tiesības zinātnieks var saņemt zinātnes nozarē uz laika periodu ne ilgāku par trīs gadiem, ja pēdējo triju gadu laikā ir autors vismaz trīs zinātniskās darbības </w:t>
            </w:r>
            <w:proofErr w:type="spellStart"/>
            <w:r w:rsidRPr="0067194E">
              <w:rPr>
                <w:rFonts w:ascii="Times New Roman" w:hAnsi="Times New Roman" w:cs="Times New Roman"/>
                <w:sz w:val="26"/>
                <w:szCs w:val="26"/>
              </w:rPr>
              <w:t>rezultāti</w:t>
            </w:r>
            <w:r w:rsidR="004A2776">
              <w:rPr>
                <w:rFonts w:ascii="Times New Roman" w:hAnsi="Times New Roman" w:cs="Times New Roman"/>
                <w:sz w:val="26"/>
                <w:szCs w:val="26"/>
              </w:rPr>
              <w:t>m</w:t>
            </w:r>
            <w:proofErr w:type="spellEnd"/>
            <w:r w:rsidRPr="0067194E">
              <w:rPr>
                <w:rFonts w:ascii="Times New Roman" w:hAnsi="Times New Roman" w:cs="Times New Roman"/>
                <w:sz w:val="26"/>
                <w:szCs w:val="26"/>
              </w:rPr>
              <w:t xml:space="preserve"> attiecīgajā zinātnes nozarē, savukārt ekspertu komisiju skaitu un to sastāvu, ievērojot, ka komisijās ir līdzvērtīgi pārstāvēti visu zinātņu nozaru eksperti, nosaka LZP;</w:t>
            </w:r>
          </w:p>
          <w:p w14:paraId="1BFEDAA9" w14:textId="0C4BC0DE" w:rsidR="005C777C" w:rsidRPr="0067194E" w:rsidRDefault="005C777C" w:rsidP="005C777C">
            <w:pPr>
              <w:spacing w:after="0" w:line="240" w:lineRule="auto"/>
              <w:ind w:right="113" w:firstLine="720"/>
              <w:jc w:val="both"/>
              <w:rPr>
                <w:rFonts w:ascii="Times New Roman" w:hAnsi="Times New Roman" w:cs="Times New Roman"/>
                <w:sz w:val="26"/>
                <w:szCs w:val="26"/>
              </w:rPr>
            </w:pPr>
            <w:r w:rsidRPr="0067194E">
              <w:rPr>
                <w:rFonts w:ascii="Times New Roman" w:hAnsi="Times New Roman" w:cs="Times New Roman"/>
                <w:sz w:val="26"/>
                <w:szCs w:val="26"/>
              </w:rPr>
              <w:t xml:space="preserve">2. Uzreiz pēc nozaru klasifikatora spēkā stāšanas dienas Augstskolas sadarbojoties ar AIP pēc </w:t>
            </w:r>
            <w:r w:rsidRPr="0067194E">
              <w:rPr>
                <w:rFonts w:ascii="Times New Roman" w:hAnsi="Times New Roman" w:cs="Times New Roman"/>
                <w:sz w:val="26"/>
                <w:szCs w:val="26"/>
              </w:rPr>
              <w:lastRenderedPageBreak/>
              <w:t>nepieciešamības (saskaņā ar Augstskolu likuma 35. pantā noteikto kārtību) pārskata nozaru profesoru padomes (Augstskolu likuma 28., 30., 31., 32., 33., 43. un 35. pants</w:t>
            </w:r>
            <w:r w:rsidR="004A2776">
              <w:rPr>
                <w:rFonts w:ascii="Times New Roman" w:hAnsi="Times New Roman" w:cs="Times New Roman"/>
                <w:sz w:val="26"/>
                <w:szCs w:val="26"/>
              </w:rPr>
              <w:t>)</w:t>
            </w:r>
            <w:r w:rsidRPr="0067194E">
              <w:rPr>
                <w:rFonts w:ascii="Times New Roman" w:hAnsi="Times New Roman" w:cs="Times New Roman"/>
                <w:sz w:val="26"/>
                <w:szCs w:val="26"/>
              </w:rPr>
              <w:t xml:space="preserve"> – tas ir atsevišķs jautājums par augstskolu akadēmiskā personāla politiku un studiju procesa organizāciju. Papildus augstskolām jāvērtē strukturāli jautājumi – Augstskolu likuma 23. un 24. pantā noteiktās prasības Institūta un fakultātes izveidošanai. Augstskolu institūti un fakultātes, kas izveidotas pirms noteikumu projekta pieņemšanas ministru kabinetā turpina savu darbību atbilstoši augstskolas nolemtajam;</w:t>
            </w:r>
          </w:p>
          <w:p w14:paraId="1B175066" w14:textId="6D914263" w:rsidR="005C777C" w:rsidRPr="0067194E" w:rsidRDefault="004A2776" w:rsidP="005C777C">
            <w:pPr>
              <w:spacing w:after="0" w:line="240" w:lineRule="auto"/>
              <w:ind w:right="113" w:firstLine="720"/>
              <w:jc w:val="both"/>
              <w:rPr>
                <w:rFonts w:ascii="Times New Roman" w:hAnsi="Times New Roman" w:cs="Times New Roman"/>
                <w:sz w:val="26"/>
                <w:szCs w:val="26"/>
              </w:rPr>
            </w:pPr>
            <w:r>
              <w:rPr>
                <w:rFonts w:ascii="Times New Roman" w:hAnsi="Times New Roman" w:cs="Times New Roman"/>
                <w:sz w:val="26"/>
                <w:szCs w:val="26"/>
              </w:rPr>
              <w:t>3. akreditācijas procesā</w:t>
            </w:r>
            <w:r w:rsidR="005C777C" w:rsidRPr="0067194E">
              <w:rPr>
                <w:rFonts w:ascii="Times New Roman" w:hAnsi="Times New Roman" w:cs="Times New Roman"/>
                <w:sz w:val="26"/>
                <w:szCs w:val="26"/>
              </w:rPr>
              <w:t xml:space="preserve"> Augstskolas (augstākās izglītības iestādes) studiju programmu akreditācijas pieteikumos norāda zinātnes nozares atbilstoši noteikumu projektā minētajai klasifikācijai, ja augstskolas uzskata par nepieciešamu, tās veic izmaiņas studiju programmu saturā, lai studiju programmu saturs precīzāk atbilstu zinātnes nozarei, kura norādīta studiju virziena akreditācijas pieteikum</w:t>
            </w:r>
            <w:r w:rsidR="00603B55">
              <w:rPr>
                <w:rFonts w:ascii="Times New Roman" w:hAnsi="Times New Roman" w:cs="Times New Roman"/>
                <w:sz w:val="26"/>
                <w:szCs w:val="26"/>
              </w:rPr>
              <w:t>ā</w:t>
            </w:r>
            <w:r w:rsidR="005C777C" w:rsidRPr="0067194E">
              <w:rPr>
                <w:rFonts w:ascii="Times New Roman" w:hAnsi="Times New Roman" w:cs="Times New Roman"/>
                <w:sz w:val="26"/>
                <w:szCs w:val="26"/>
              </w:rPr>
              <w:t>;</w:t>
            </w:r>
          </w:p>
          <w:p w14:paraId="68742C13" w14:textId="13917DAB" w:rsidR="005C777C" w:rsidRPr="0067194E" w:rsidRDefault="005C777C" w:rsidP="005C777C">
            <w:pPr>
              <w:spacing w:after="0" w:line="240" w:lineRule="auto"/>
              <w:ind w:right="113" w:firstLine="720"/>
              <w:jc w:val="both"/>
              <w:rPr>
                <w:rFonts w:ascii="Times New Roman" w:hAnsi="Times New Roman" w:cs="Times New Roman"/>
                <w:sz w:val="26"/>
                <w:szCs w:val="26"/>
              </w:rPr>
            </w:pPr>
            <w:r w:rsidRPr="0067194E">
              <w:rPr>
                <w:rFonts w:ascii="Times New Roman" w:hAnsi="Times New Roman" w:cs="Times New Roman"/>
                <w:sz w:val="26"/>
                <w:szCs w:val="26"/>
              </w:rPr>
              <w:t xml:space="preserve">4. Kad ir pabeigta akreditācija, augstskolas </w:t>
            </w:r>
            <w:r w:rsidR="00603B55">
              <w:rPr>
                <w:rFonts w:ascii="Times New Roman" w:hAnsi="Times New Roman" w:cs="Times New Roman"/>
                <w:sz w:val="26"/>
                <w:szCs w:val="26"/>
              </w:rPr>
              <w:t>pārliecinās</w:t>
            </w:r>
            <w:r w:rsidRPr="0067194E">
              <w:rPr>
                <w:rFonts w:ascii="Times New Roman" w:hAnsi="Times New Roman" w:cs="Times New Roman"/>
                <w:sz w:val="26"/>
                <w:szCs w:val="26"/>
              </w:rPr>
              <w:t xml:space="preserve">, vai ir akreditētas doktora studiju programmas, kurās, saskaņā ar MK noteikumiem Nr.1000 augstskolai ir piešķirtas promocijas tiesības. Ja programma atbilst nozarei, kura minēta MK noteikumos Nr. 1000 pilnā apjomā un ir izpildītas citas normatīvajos aktos noteiktās prasības, tad nekas nav jādara, bet, ja programma atšķiras, tad augstskola rīkojas saskaņā ar Zinātniskās darbības likuma 11. panta trešajā daļā noteikto lūdz LZP atzinumu un ja tas ir pozitīvs Izglītības un zinātnes ministrija attiecīgi rosinās veikt grozījumus MK noteikumos Nr. 1000. Ja programma vai vispār netiek akreditēta, tad augstskola, attiecīgi zaudē promocijas tiesības. Tas pats attiecas uz promocijas padomēm – saskaņā ar MK noteikumu Nr. 1001 5. punktā noteikto promocijas padomes sastāvu zinātnes nozarē vai </w:t>
            </w:r>
            <w:proofErr w:type="spellStart"/>
            <w:r w:rsidRPr="0067194E">
              <w:rPr>
                <w:rFonts w:ascii="Times New Roman" w:hAnsi="Times New Roman" w:cs="Times New Roman"/>
                <w:sz w:val="26"/>
                <w:szCs w:val="26"/>
              </w:rPr>
              <w:t>apakšnozarē</w:t>
            </w:r>
            <w:proofErr w:type="spellEnd"/>
            <w:r w:rsidRPr="0067194E">
              <w:rPr>
                <w:rFonts w:ascii="Times New Roman" w:hAnsi="Times New Roman" w:cs="Times New Roman"/>
                <w:sz w:val="26"/>
                <w:szCs w:val="26"/>
              </w:rPr>
              <w:t xml:space="preserve"> nosaka attiecīgā augstskola un tajā iekļauj vismaz piecus zinātniekus, kuriem ir LZP eksperta tiesības zinātnes nozarē, no tiem diviem – zinātnes </w:t>
            </w:r>
            <w:proofErr w:type="spellStart"/>
            <w:r w:rsidRPr="0067194E">
              <w:rPr>
                <w:rFonts w:ascii="Times New Roman" w:hAnsi="Times New Roman" w:cs="Times New Roman"/>
                <w:sz w:val="26"/>
                <w:szCs w:val="26"/>
              </w:rPr>
              <w:t>apakšnozarē</w:t>
            </w:r>
            <w:proofErr w:type="spellEnd"/>
            <w:r w:rsidRPr="0067194E">
              <w:rPr>
                <w:rFonts w:ascii="Times New Roman" w:hAnsi="Times New Roman" w:cs="Times New Roman"/>
                <w:sz w:val="26"/>
                <w:szCs w:val="26"/>
              </w:rPr>
              <w:t>, kurā tiek aizstāvēts promocijas darbs;</w:t>
            </w:r>
          </w:p>
          <w:p w14:paraId="4BCBB8A2" w14:textId="23D95751" w:rsidR="005C777C" w:rsidRPr="0067194E" w:rsidRDefault="005C777C" w:rsidP="005C777C">
            <w:pPr>
              <w:spacing w:after="0" w:line="240" w:lineRule="auto"/>
              <w:ind w:right="113" w:firstLine="720"/>
              <w:jc w:val="both"/>
              <w:rPr>
                <w:rFonts w:ascii="Times New Roman" w:hAnsi="Times New Roman" w:cs="Times New Roman"/>
                <w:sz w:val="26"/>
                <w:szCs w:val="26"/>
              </w:rPr>
            </w:pPr>
            <w:r w:rsidRPr="0067194E">
              <w:rPr>
                <w:rFonts w:ascii="Times New Roman" w:hAnsi="Times New Roman" w:cs="Times New Roman"/>
                <w:sz w:val="26"/>
                <w:szCs w:val="26"/>
              </w:rPr>
              <w:t>5. Pēc 2019. gada akreditācijas procesa līdz nākamajam akreditācijas</w:t>
            </w:r>
            <w:r w:rsidR="00603B55">
              <w:rPr>
                <w:rFonts w:ascii="Times New Roman" w:hAnsi="Times New Roman" w:cs="Times New Roman"/>
                <w:sz w:val="26"/>
                <w:szCs w:val="26"/>
              </w:rPr>
              <w:t xml:space="preserve"> posmam 202</w:t>
            </w:r>
            <w:r w:rsidRPr="0067194E">
              <w:rPr>
                <w:rFonts w:ascii="Times New Roman" w:hAnsi="Times New Roman" w:cs="Times New Roman"/>
                <w:sz w:val="26"/>
                <w:szCs w:val="26"/>
              </w:rPr>
              <w:t xml:space="preserve">5. gadā, Izglītības un zinātnes ministrija sagatavos grozījumus normatīvajos aktos  sasniedzot mērķus divos virzienos: a) pakāpeniski atsakoties no </w:t>
            </w:r>
            <w:proofErr w:type="spellStart"/>
            <w:r w:rsidRPr="0067194E">
              <w:rPr>
                <w:rFonts w:ascii="Times New Roman" w:hAnsi="Times New Roman" w:cs="Times New Roman"/>
                <w:sz w:val="26"/>
                <w:szCs w:val="26"/>
              </w:rPr>
              <w:t>apakšnozaru</w:t>
            </w:r>
            <w:proofErr w:type="spellEnd"/>
            <w:r w:rsidRPr="0067194E">
              <w:rPr>
                <w:rFonts w:ascii="Times New Roman" w:hAnsi="Times New Roman" w:cs="Times New Roman"/>
                <w:sz w:val="26"/>
                <w:szCs w:val="26"/>
              </w:rPr>
              <w:t xml:space="preserve"> lietojuma normatīvajos aktos </w:t>
            </w:r>
            <w:r w:rsidRPr="0067194E">
              <w:rPr>
                <w:rFonts w:ascii="Times New Roman" w:hAnsi="Times New Roman" w:cs="Times New Roman"/>
                <w:sz w:val="26"/>
                <w:szCs w:val="26"/>
              </w:rPr>
              <w:lastRenderedPageBreak/>
              <w:t xml:space="preserve">(sākot ar grozījumiem Augstskolu likumā); b) izstrādājot jaunu promocijas kārtību un zinātnisko grādu nomenklatūru. Piemēram, ar atteikšanos no </w:t>
            </w:r>
            <w:proofErr w:type="spellStart"/>
            <w:r w:rsidRPr="0067194E">
              <w:rPr>
                <w:rFonts w:ascii="Times New Roman" w:hAnsi="Times New Roman" w:cs="Times New Roman"/>
                <w:sz w:val="26"/>
                <w:szCs w:val="26"/>
              </w:rPr>
              <w:t>apakšnozaru</w:t>
            </w:r>
            <w:proofErr w:type="spellEnd"/>
            <w:r w:rsidRPr="0067194E">
              <w:rPr>
                <w:rFonts w:ascii="Times New Roman" w:hAnsi="Times New Roman" w:cs="Times New Roman"/>
                <w:sz w:val="26"/>
                <w:szCs w:val="26"/>
              </w:rPr>
              <w:t xml:space="preserve"> izmantošanas zinātnes klasifikācijā, tiks veikti grozījumi normatīvajā regulējumā, kas nosaka doktora diplomā ierakstāmās ziņas. Doktora studiju programmās studējošie un doktora grāda pretendenti promocijas darbu aizstāvēšana</w:t>
            </w:r>
            <w:r w:rsidR="00381F88">
              <w:rPr>
                <w:rFonts w:ascii="Times New Roman" w:hAnsi="Times New Roman" w:cs="Times New Roman"/>
                <w:sz w:val="26"/>
                <w:szCs w:val="26"/>
              </w:rPr>
              <w:t>i iesniegs tajā augstskolā, kurai</w:t>
            </w:r>
            <w:r w:rsidRPr="0067194E">
              <w:rPr>
                <w:rFonts w:ascii="Times New Roman" w:hAnsi="Times New Roman" w:cs="Times New Roman"/>
                <w:sz w:val="26"/>
                <w:szCs w:val="26"/>
              </w:rPr>
              <w:t xml:space="preserve"> būs promocijas tiesības attiecīgajā zinātnes nozarē. Augstskola, kas nodrošina promocijas procesu, izveidos promocijas padomi darba aizstāvēšanai padomes sastāvā iekļaujot LZP ekspertus atbilstoši MK noteikumiem Nr. 1001 Augstskolas var veidot arī starpdisciplināras promocijas padomes. Ministru kabineta noteikumos Nr. 1001 noteiktais eksāmens zinātnes </w:t>
            </w:r>
            <w:proofErr w:type="spellStart"/>
            <w:r w:rsidRPr="0067194E">
              <w:rPr>
                <w:rFonts w:ascii="Times New Roman" w:hAnsi="Times New Roman" w:cs="Times New Roman"/>
                <w:sz w:val="26"/>
                <w:szCs w:val="26"/>
              </w:rPr>
              <w:t>apakšnozarē</w:t>
            </w:r>
            <w:proofErr w:type="spellEnd"/>
            <w:r w:rsidRPr="0067194E">
              <w:rPr>
                <w:rFonts w:ascii="Times New Roman" w:hAnsi="Times New Roman" w:cs="Times New Roman"/>
                <w:sz w:val="26"/>
                <w:szCs w:val="26"/>
              </w:rPr>
              <w:t xml:space="preserve">, atsakoties no zinātnes klasifikācijas </w:t>
            </w:r>
            <w:proofErr w:type="spellStart"/>
            <w:r w:rsidRPr="0067194E">
              <w:rPr>
                <w:rFonts w:ascii="Times New Roman" w:hAnsi="Times New Roman" w:cs="Times New Roman"/>
                <w:sz w:val="26"/>
                <w:szCs w:val="26"/>
              </w:rPr>
              <w:t>apakšnozarēs</w:t>
            </w:r>
            <w:proofErr w:type="spellEnd"/>
            <w:r w:rsidRPr="0067194E">
              <w:rPr>
                <w:rFonts w:ascii="Times New Roman" w:hAnsi="Times New Roman" w:cs="Times New Roman"/>
                <w:sz w:val="26"/>
                <w:szCs w:val="26"/>
              </w:rPr>
              <w:t xml:space="preserve">, tiks aizstāts ar eksāmenu ”promocijas darbam atbilstošajā tēmā”, kas tādējādi nodrošina, ka visi eksāmeni, kas iepriekš būs nokārtoti </w:t>
            </w:r>
            <w:proofErr w:type="spellStart"/>
            <w:r w:rsidRPr="0067194E">
              <w:rPr>
                <w:rFonts w:ascii="Times New Roman" w:hAnsi="Times New Roman" w:cs="Times New Roman"/>
                <w:sz w:val="26"/>
                <w:szCs w:val="26"/>
              </w:rPr>
              <w:t>apakšnozarē</w:t>
            </w:r>
            <w:proofErr w:type="spellEnd"/>
            <w:r w:rsidRPr="0067194E">
              <w:rPr>
                <w:rFonts w:ascii="Times New Roman" w:hAnsi="Times New Roman" w:cs="Times New Roman"/>
                <w:sz w:val="26"/>
                <w:szCs w:val="26"/>
              </w:rPr>
              <w:t xml:space="preserve"> būs arī eksāmeni promocijas darbam atbilstošajā tēmā un citi nepieciešamie grozījumi.</w:t>
            </w:r>
          </w:p>
          <w:p w14:paraId="6176EF9F" w14:textId="77777777" w:rsidR="005C777C" w:rsidRPr="0067194E" w:rsidRDefault="005C777C" w:rsidP="005C777C">
            <w:pPr>
              <w:spacing w:after="0" w:line="240" w:lineRule="auto"/>
              <w:ind w:right="113" w:firstLine="720"/>
              <w:jc w:val="both"/>
              <w:rPr>
                <w:rFonts w:ascii="Times New Roman" w:hAnsi="Times New Roman" w:cs="Times New Roman"/>
                <w:sz w:val="26"/>
                <w:szCs w:val="26"/>
              </w:rPr>
            </w:pPr>
            <w:r w:rsidRPr="0067194E">
              <w:rPr>
                <w:rFonts w:ascii="Times New Roman" w:hAnsi="Times New Roman" w:cs="Times New Roman"/>
                <w:sz w:val="26"/>
                <w:szCs w:val="26"/>
              </w:rPr>
              <w:t xml:space="preserve">Izglītības un zinātnes ministrija pakāpeniski plāno atteikties no zinātnes </w:t>
            </w:r>
            <w:proofErr w:type="spellStart"/>
            <w:r w:rsidRPr="0067194E">
              <w:rPr>
                <w:rFonts w:ascii="Times New Roman" w:hAnsi="Times New Roman" w:cs="Times New Roman"/>
                <w:sz w:val="26"/>
                <w:szCs w:val="26"/>
              </w:rPr>
              <w:t>apakšnozaru</w:t>
            </w:r>
            <w:proofErr w:type="spellEnd"/>
            <w:r w:rsidRPr="0067194E">
              <w:rPr>
                <w:rFonts w:ascii="Times New Roman" w:hAnsi="Times New Roman" w:cs="Times New Roman"/>
                <w:sz w:val="26"/>
                <w:szCs w:val="26"/>
              </w:rPr>
              <w:t xml:space="preserve"> izmantošana zinātnes klasifikācijā, jo šāds dalījums ir ļoti sīkumains, kā arī vairākās </w:t>
            </w:r>
            <w:proofErr w:type="spellStart"/>
            <w:r w:rsidRPr="0067194E">
              <w:rPr>
                <w:rFonts w:ascii="Times New Roman" w:hAnsi="Times New Roman" w:cs="Times New Roman"/>
                <w:sz w:val="26"/>
                <w:szCs w:val="26"/>
              </w:rPr>
              <w:t>apakšnozarēs</w:t>
            </w:r>
            <w:proofErr w:type="spellEnd"/>
            <w:r w:rsidRPr="0067194E">
              <w:rPr>
                <w:rFonts w:ascii="Times New Roman" w:hAnsi="Times New Roman" w:cs="Times New Roman"/>
                <w:sz w:val="26"/>
                <w:szCs w:val="26"/>
              </w:rPr>
              <w:t xml:space="preserve"> strādājošo zinātnieku skaits ir mazāks par 10 cilvēkiem. Momentā atteikšanās no </w:t>
            </w:r>
            <w:proofErr w:type="spellStart"/>
            <w:r w:rsidRPr="0067194E">
              <w:rPr>
                <w:rFonts w:ascii="Times New Roman" w:hAnsi="Times New Roman" w:cs="Times New Roman"/>
                <w:sz w:val="26"/>
                <w:szCs w:val="26"/>
              </w:rPr>
              <w:t>apakšnozaru</w:t>
            </w:r>
            <w:proofErr w:type="spellEnd"/>
            <w:r w:rsidRPr="0067194E">
              <w:rPr>
                <w:rFonts w:ascii="Times New Roman" w:hAnsi="Times New Roman" w:cs="Times New Roman"/>
                <w:sz w:val="26"/>
                <w:szCs w:val="26"/>
              </w:rPr>
              <w:t xml:space="preserve"> dalījuma nav iespējama, to pamatojot ar jau minēto zinātnes un izglītības procesu nepārtrauktības nodrošināšanu. Ņemot vērā minēto Izglītības un zinātnes ministrija neatbalsta sarakstā minēto </w:t>
            </w:r>
            <w:proofErr w:type="spellStart"/>
            <w:r w:rsidRPr="0067194E">
              <w:rPr>
                <w:rFonts w:ascii="Times New Roman" w:hAnsi="Times New Roman" w:cs="Times New Roman"/>
                <w:sz w:val="26"/>
                <w:szCs w:val="26"/>
              </w:rPr>
              <w:t>apakšnozaru</w:t>
            </w:r>
            <w:proofErr w:type="spellEnd"/>
            <w:r w:rsidRPr="0067194E">
              <w:rPr>
                <w:rFonts w:ascii="Times New Roman" w:hAnsi="Times New Roman" w:cs="Times New Roman"/>
                <w:sz w:val="26"/>
                <w:szCs w:val="26"/>
              </w:rPr>
              <w:t xml:space="preserve"> pārskatīšanu uzreiz, un, iespējams, jaunu </w:t>
            </w:r>
            <w:proofErr w:type="spellStart"/>
            <w:r w:rsidRPr="0067194E">
              <w:rPr>
                <w:rFonts w:ascii="Times New Roman" w:hAnsi="Times New Roman" w:cs="Times New Roman"/>
                <w:sz w:val="26"/>
                <w:szCs w:val="26"/>
              </w:rPr>
              <w:t>apakšnozaru</w:t>
            </w:r>
            <w:proofErr w:type="spellEnd"/>
            <w:r w:rsidRPr="0067194E">
              <w:rPr>
                <w:rFonts w:ascii="Times New Roman" w:hAnsi="Times New Roman" w:cs="Times New Roman"/>
                <w:sz w:val="26"/>
                <w:szCs w:val="26"/>
              </w:rPr>
              <w:t xml:space="preserve"> izveidi, jo atbilstoši iepriekš minētajam </w:t>
            </w:r>
            <w:proofErr w:type="spellStart"/>
            <w:r w:rsidRPr="0067194E">
              <w:rPr>
                <w:rFonts w:ascii="Times New Roman" w:hAnsi="Times New Roman" w:cs="Times New Roman"/>
                <w:sz w:val="26"/>
                <w:szCs w:val="26"/>
              </w:rPr>
              <w:t>apakšnozares</w:t>
            </w:r>
            <w:proofErr w:type="spellEnd"/>
            <w:r w:rsidRPr="0067194E">
              <w:rPr>
                <w:rFonts w:ascii="Times New Roman" w:hAnsi="Times New Roman" w:cs="Times New Roman"/>
                <w:sz w:val="26"/>
                <w:szCs w:val="26"/>
              </w:rPr>
              <w:t xml:space="preserve"> turpmāk 2020. gadā (pēc nākamās studiju programmu akreditācijas) pakāpeniski tiks svītrotas no visiem normatīvajiem aktiem, kur tās ir minētas un notiks pilnīga attiekšanās no zinātnes dalījuma </w:t>
            </w:r>
            <w:proofErr w:type="spellStart"/>
            <w:r w:rsidRPr="0067194E">
              <w:rPr>
                <w:rFonts w:ascii="Times New Roman" w:hAnsi="Times New Roman" w:cs="Times New Roman"/>
                <w:sz w:val="26"/>
                <w:szCs w:val="26"/>
              </w:rPr>
              <w:t>apakšnozarēs</w:t>
            </w:r>
            <w:proofErr w:type="spellEnd"/>
            <w:r w:rsidRPr="0067194E">
              <w:rPr>
                <w:rFonts w:ascii="Times New Roman" w:hAnsi="Times New Roman" w:cs="Times New Roman"/>
                <w:sz w:val="26"/>
                <w:szCs w:val="26"/>
              </w:rPr>
              <w:t xml:space="preserve">. </w:t>
            </w:r>
          </w:p>
          <w:p w14:paraId="2F44FE79" w14:textId="139F7014" w:rsidR="001C754B" w:rsidRPr="001E067A" w:rsidRDefault="005C777C" w:rsidP="005C777C">
            <w:pPr>
              <w:ind w:firstLine="720"/>
              <w:jc w:val="both"/>
              <w:rPr>
                <w:rFonts w:ascii="Times New Roman" w:hAnsi="Times New Roman" w:cs="Times New Roman"/>
                <w:sz w:val="26"/>
                <w:szCs w:val="26"/>
              </w:rPr>
            </w:pPr>
            <w:r w:rsidRPr="0067194E">
              <w:rPr>
                <w:rFonts w:ascii="Times New Roman" w:hAnsi="Times New Roman" w:cs="Times New Roman"/>
                <w:sz w:val="26"/>
                <w:szCs w:val="26"/>
              </w:rPr>
              <w:t xml:space="preserve">Papildus norādām, ka projektā noteiktais zinātnes dalījums zinātnes nozarēs un </w:t>
            </w:r>
            <w:proofErr w:type="spellStart"/>
            <w:r w:rsidRPr="0067194E">
              <w:rPr>
                <w:rFonts w:ascii="Times New Roman" w:hAnsi="Times New Roman" w:cs="Times New Roman"/>
                <w:sz w:val="26"/>
                <w:szCs w:val="26"/>
              </w:rPr>
              <w:t>apakšnozarēs</w:t>
            </w:r>
            <w:proofErr w:type="spellEnd"/>
            <w:r w:rsidRPr="0067194E">
              <w:rPr>
                <w:rFonts w:ascii="Times New Roman" w:hAnsi="Times New Roman" w:cs="Times New Roman"/>
                <w:sz w:val="26"/>
                <w:szCs w:val="26"/>
              </w:rPr>
              <w:t xml:space="preserve"> atšķiras no izglītības tematisko jomu klasifikatoriem, kas minēti Ministru kabineta 2017. gada 13. jūnija noteikumos Nr. 322 “Noteikumu par Latvijas izglītības klasifikāciju”, kas klasificē Latvijas izglītību pēc tematiskajām jomām. Katrs no klasifikatoriem - izglītības klasifikators pēc </w:t>
            </w:r>
            <w:r w:rsidRPr="0067194E">
              <w:rPr>
                <w:rFonts w:ascii="Times New Roman" w:hAnsi="Times New Roman" w:cs="Times New Roman"/>
                <w:sz w:val="26"/>
                <w:szCs w:val="26"/>
              </w:rPr>
              <w:lastRenderedPageBreak/>
              <w:t xml:space="preserve">tematiskajām jomām un noteikumu projektā paredzētā Latvijas zinātnes nozaru un </w:t>
            </w:r>
            <w:proofErr w:type="spellStart"/>
            <w:r w:rsidRPr="0067194E">
              <w:rPr>
                <w:rFonts w:ascii="Times New Roman" w:hAnsi="Times New Roman" w:cs="Times New Roman"/>
                <w:sz w:val="26"/>
                <w:szCs w:val="26"/>
              </w:rPr>
              <w:t>apakšnozaru</w:t>
            </w:r>
            <w:proofErr w:type="spellEnd"/>
            <w:r w:rsidRPr="0067194E">
              <w:rPr>
                <w:rFonts w:ascii="Times New Roman" w:hAnsi="Times New Roman" w:cs="Times New Roman"/>
                <w:sz w:val="26"/>
                <w:szCs w:val="26"/>
              </w:rPr>
              <w:t xml:space="preserve"> klasifikācija ir radīta atšķirīgiem mērķiem un abas klasifikācijas plaši tiek izmantotas starptautiskajā praksē.</w:t>
            </w:r>
            <w:r w:rsidR="002B36EE" w:rsidRPr="001E067A">
              <w:rPr>
                <w:rFonts w:ascii="Times New Roman" w:hAnsi="Times New Roman" w:cs="Times New Roman"/>
                <w:sz w:val="26"/>
                <w:szCs w:val="26"/>
              </w:rPr>
              <w:t xml:space="preserve"> </w:t>
            </w:r>
          </w:p>
        </w:tc>
      </w:tr>
      <w:tr w:rsidR="00AB16CF" w:rsidRPr="001E067A" w14:paraId="7AA73D67" w14:textId="77777777" w:rsidTr="007E7FFB">
        <w:trPr>
          <w:trHeight w:val="465"/>
        </w:trPr>
        <w:tc>
          <w:tcPr>
            <w:tcW w:w="292" w:type="pct"/>
            <w:tcBorders>
              <w:top w:val="outset" w:sz="6" w:space="0" w:color="414142"/>
              <w:left w:val="outset" w:sz="6" w:space="0" w:color="414142"/>
              <w:bottom w:val="outset" w:sz="6" w:space="0" w:color="414142"/>
              <w:right w:val="outset" w:sz="6" w:space="0" w:color="414142"/>
            </w:tcBorders>
            <w:hideMark/>
          </w:tcPr>
          <w:p w14:paraId="19552F57" w14:textId="45759425" w:rsidR="00C14D9E" w:rsidRPr="001E067A" w:rsidRDefault="00C14D9E" w:rsidP="00C14D9E">
            <w:pPr>
              <w:rPr>
                <w:rFonts w:ascii="Times New Roman" w:hAnsi="Times New Roman" w:cs="Times New Roman"/>
                <w:sz w:val="26"/>
                <w:szCs w:val="26"/>
              </w:rPr>
            </w:pPr>
            <w:r w:rsidRPr="001E067A">
              <w:rPr>
                <w:rFonts w:ascii="Times New Roman" w:hAnsi="Times New Roman" w:cs="Times New Roman"/>
                <w:sz w:val="26"/>
                <w:szCs w:val="26"/>
              </w:rPr>
              <w:lastRenderedPageBreak/>
              <w:t>3.</w:t>
            </w:r>
          </w:p>
        </w:tc>
        <w:tc>
          <w:tcPr>
            <w:tcW w:w="1464" w:type="pct"/>
            <w:tcBorders>
              <w:top w:val="outset" w:sz="6" w:space="0" w:color="414142"/>
              <w:left w:val="outset" w:sz="6" w:space="0" w:color="414142"/>
              <w:bottom w:val="outset" w:sz="6" w:space="0" w:color="414142"/>
              <w:right w:val="outset" w:sz="6" w:space="0" w:color="414142"/>
            </w:tcBorders>
            <w:hideMark/>
          </w:tcPr>
          <w:p w14:paraId="7405E967" w14:textId="77777777" w:rsidR="00C14D9E" w:rsidRPr="001E067A" w:rsidRDefault="00C14D9E" w:rsidP="00C14D9E">
            <w:pPr>
              <w:rPr>
                <w:rFonts w:ascii="Times New Roman" w:hAnsi="Times New Roman" w:cs="Times New Roman"/>
                <w:sz w:val="26"/>
                <w:szCs w:val="26"/>
              </w:rPr>
            </w:pPr>
            <w:r w:rsidRPr="001E067A">
              <w:rPr>
                <w:rFonts w:ascii="Times New Roman" w:hAnsi="Times New Roman" w:cs="Times New Roman"/>
                <w:sz w:val="26"/>
                <w:szCs w:val="26"/>
              </w:rPr>
              <w:t>Projekta izstrādē iesaistītās institūcijas</w:t>
            </w:r>
          </w:p>
        </w:tc>
        <w:tc>
          <w:tcPr>
            <w:tcW w:w="3244" w:type="pct"/>
            <w:tcBorders>
              <w:top w:val="outset" w:sz="6" w:space="0" w:color="414142"/>
              <w:left w:val="outset" w:sz="6" w:space="0" w:color="414142"/>
              <w:bottom w:val="outset" w:sz="6" w:space="0" w:color="414142"/>
              <w:right w:val="outset" w:sz="6" w:space="0" w:color="414142"/>
            </w:tcBorders>
            <w:hideMark/>
          </w:tcPr>
          <w:p w14:paraId="21D81B97" w14:textId="77777777" w:rsidR="00C14D9E" w:rsidRPr="001E067A" w:rsidRDefault="00C73AF0" w:rsidP="00FD783A">
            <w:pPr>
              <w:rPr>
                <w:rFonts w:ascii="Times New Roman" w:hAnsi="Times New Roman" w:cs="Times New Roman"/>
                <w:sz w:val="26"/>
                <w:szCs w:val="26"/>
              </w:rPr>
            </w:pPr>
            <w:r w:rsidRPr="001E067A">
              <w:rPr>
                <w:rFonts w:ascii="Times New Roman" w:hAnsi="Times New Roman" w:cs="Times New Roman"/>
                <w:sz w:val="26"/>
                <w:szCs w:val="26"/>
              </w:rPr>
              <w:t xml:space="preserve">LZP, Izglītības un zinātnes ministrija </w:t>
            </w:r>
          </w:p>
        </w:tc>
      </w:tr>
      <w:tr w:rsidR="00AB16CF" w:rsidRPr="001E067A" w14:paraId="6E53D23A" w14:textId="77777777" w:rsidTr="007E7FFB">
        <w:tc>
          <w:tcPr>
            <w:tcW w:w="292" w:type="pct"/>
            <w:tcBorders>
              <w:top w:val="outset" w:sz="6" w:space="0" w:color="414142"/>
              <w:left w:val="outset" w:sz="6" w:space="0" w:color="414142"/>
              <w:bottom w:val="outset" w:sz="6" w:space="0" w:color="414142"/>
              <w:right w:val="outset" w:sz="6" w:space="0" w:color="414142"/>
            </w:tcBorders>
            <w:hideMark/>
          </w:tcPr>
          <w:p w14:paraId="7CEB988B" w14:textId="77777777" w:rsidR="00C14D9E" w:rsidRPr="001E067A" w:rsidRDefault="00B4732D" w:rsidP="00B4732D">
            <w:pPr>
              <w:rPr>
                <w:rFonts w:ascii="Times New Roman" w:hAnsi="Times New Roman" w:cs="Times New Roman"/>
                <w:sz w:val="26"/>
                <w:szCs w:val="26"/>
              </w:rPr>
            </w:pPr>
            <w:r w:rsidRPr="001E067A">
              <w:rPr>
                <w:rFonts w:ascii="Times New Roman" w:hAnsi="Times New Roman" w:cs="Times New Roman"/>
                <w:sz w:val="26"/>
                <w:szCs w:val="26"/>
              </w:rPr>
              <w:t>4.</w:t>
            </w:r>
          </w:p>
        </w:tc>
        <w:tc>
          <w:tcPr>
            <w:tcW w:w="1464" w:type="pct"/>
            <w:tcBorders>
              <w:top w:val="outset" w:sz="6" w:space="0" w:color="414142"/>
              <w:left w:val="outset" w:sz="6" w:space="0" w:color="414142"/>
              <w:bottom w:val="outset" w:sz="6" w:space="0" w:color="414142"/>
              <w:right w:val="outset" w:sz="6" w:space="0" w:color="414142"/>
            </w:tcBorders>
            <w:hideMark/>
          </w:tcPr>
          <w:p w14:paraId="7547FDB6" w14:textId="77777777" w:rsidR="00C14D9E" w:rsidRPr="001E067A" w:rsidRDefault="00C14D9E" w:rsidP="00C14D9E">
            <w:pPr>
              <w:rPr>
                <w:rFonts w:ascii="Times New Roman" w:hAnsi="Times New Roman" w:cs="Times New Roman"/>
                <w:sz w:val="26"/>
                <w:szCs w:val="26"/>
              </w:rPr>
            </w:pPr>
            <w:r w:rsidRPr="001E067A">
              <w:rPr>
                <w:rFonts w:ascii="Times New Roman" w:hAnsi="Times New Roman" w:cs="Times New Roman"/>
                <w:sz w:val="26"/>
                <w:szCs w:val="26"/>
              </w:rPr>
              <w:t>Cita informācija</w:t>
            </w:r>
          </w:p>
        </w:tc>
        <w:tc>
          <w:tcPr>
            <w:tcW w:w="3244" w:type="pct"/>
            <w:tcBorders>
              <w:top w:val="outset" w:sz="6" w:space="0" w:color="414142"/>
              <w:left w:val="outset" w:sz="6" w:space="0" w:color="414142"/>
              <w:bottom w:val="outset" w:sz="6" w:space="0" w:color="414142"/>
              <w:right w:val="outset" w:sz="6" w:space="0" w:color="414142"/>
            </w:tcBorders>
            <w:hideMark/>
          </w:tcPr>
          <w:p w14:paraId="65DD1AA3" w14:textId="77777777" w:rsidR="00C14D9E" w:rsidRPr="001E067A" w:rsidRDefault="00386C2D" w:rsidP="00C14D9E">
            <w:pPr>
              <w:rPr>
                <w:rFonts w:ascii="Times New Roman" w:hAnsi="Times New Roman" w:cs="Times New Roman"/>
                <w:sz w:val="26"/>
                <w:szCs w:val="26"/>
              </w:rPr>
            </w:pPr>
            <w:r w:rsidRPr="001E067A">
              <w:rPr>
                <w:rFonts w:ascii="Times New Roman" w:hAnsi="Times New Roman" w:cs="Times New Roman"/>
                <w:sz w:val="26"/>
                <w:szCs w:val="26"/>
              </w:rPr>
              <w:t>Nav</w:t>
            </w:r>
            <w:r w:rsidR="00C73AF0" w:rsidRPr="001E067A">
              <w:rPr>
                <w:rFonts w:ascii="Times New Roman" w:hAnsi="Times New Roman" w:cs="Times New Roman"/>
                <w:sz w:val="26"/>
                <w:szCs w:val="26"/>
              </w:rPr>
              <w:t>.</w:t>
            </w:r>
          </w:p>
        </w:tc>
      </w:tr>
    </w:tbl>
    <w:p w14:paraId="20B4F44E" w14:textId="77777777" w:rsidR="00C14D9E" w:rsidRPr="001E067A" w:rsidRDefault="00C14D9E" w:rsidP="00C14D9E">
      <w:pPr>
        <w:rPr>
          <w:rFonts w:ascii="Times New Roman" w:hAnsi="Times New Roman" w:cs="Times New Roman"/>
          <w:sz w:val="26"/>
          <w:szCs w:val="26"/>
        </w:rPr>
      </w:pPr>
      <w:r w:rsidRPr="001E067A">
        <w:rPr>
          <w:rFonts w:ascii="Times New Roman" w:hAnsi="Times New Roman" w:cs="Times New Roman"/>
          <w:sz w:val="26"/>
          <w:szCs w:val="26"/>
        </w:rPr>
        <w:t> </w:t>
      </w:r>
    </w:p>
    <w:tbl>
      <w:tblPr>
        <w:tblW w:w="5129"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62"/>
        <w:gridCol w:w="2820"/>
        <w:gridCol w:w="6249"/>
      </w:tblGrid>
      <w:tr w:rsidR="00AB16CF" w:rsidRPr="001E067A" w14:paraId="691BCCBE" w14:textId="77777777" w:rsidTr="007E7FFB">
        <w:trPr>
          <w:trHeight w:val="55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590D2A47" w14:textId="77777777" w:rsidR="00C14D9E" w:rsidRPr="001E067A" w:rsidRDefault="00C14D9E" w:rsidP="001067FA">
            <w:pPr>
              <w:jc w:val="center"/>
              <w:rPr>
                <w:rFonts w:ascii="Times New Roman" w:hAnsi="Times New Roman" w:cs="Times New Roman"/>
                <w:b/>
                <w:bCs/>
                <w:sz w:val="26"/>
                <w:szCs w:val="26"/>
              </w:rPr>
            </w:pPr>
            <w:r w:rsidRPr="001E067A">
              <w:rPr>
                <w:rFonts w:ascii="Times New Roman" w:hAnsi="Times New Roman" w:cs="Times New Roman"/>
                <w:b/>
                <w:bCs/>
                <w:sz w:val="26"/>
                <w:szCs w:val="26"/>
              </w:rPr>
              <w:t>II. Tiesību akta projekta ietekme uz sabiedrību, tautsaimniecības attīstību un administratīvo slogu</w:t>
            </w:r>
          </w:p>
        </w:tc>
      </w:tr>
      <w:tr w:rsidR="00AB16CF" w:rsidRPr="00B014B8" w14:paraId="17492988" w14:textId="77777777" w:rsidTr="007E7FFB">
        <w:trPr>
          <w:trHeight w:val="465"/>
        </w:trPr>
        <w:tc>
          <w:tcPr>
            <w:tcW w:w="292" w:type="pct"/>
            <w:tcBorders>
              <w:top w:val="outset" w:sz="6" w:space="0" w:color="414142"/>
              <w:left w:val="outset" w:sz="6" w:space="0" w:color="414142"/>
              <w:bottom w:val="outset" w:sz="6" w:space="0" w:color="414142"/>
              <w:right w:val="outset" w:sz="6" w:space="0" w:color="414142"/>
            </w:tcBorders>
            <w:hideMark/>
          </w:tcPr>
          <w:p w14:paraId="6A8A84E4" w14:textId="77777777" w:rsidR="00C14D9E" w:rsidRPr="00B014B8" w:rsidRDefault="00C14D9E" w:rsidP="00C14D9E">
            <w:pPr>
              <w:rPr>
                <w:rFonts w:ascii="Times New Roman" w:hAnsi="Times New Roman" w:cs="Times New Roman"/>
                <w:sz w:val="26"/>
                <w:szCs w:val="26"/>
              </w:rPr>
            </w:pPr>
            <w:r w:rsidRPr="00B014B8">
              <w:rPr>
                <w:rFonts w:ascii="Times New Roman" w:hAnsi="Times New Roman" w:cs="Times New Roman"/>
                <w:sz w:val="26"/>
                <w:szCs w:val="26"/>
              </w:rPr>
              <w:t>1.</w:t>
            </w:r>
          </w:p>
        </w:tc>
        <w:tc>
          <w:tcPr>
            <w:tcW w:w="1464" w:type="pct"/>
            <w:tcBorders>
              <w:top w:val="outset" w:sz="6" w:space="0" w:color="414142"/>
              <w:left w:val="outset" w:sz="6" w:space="0" w:color="414142"/>
              <w:bottom w:val="outset" w:sz="6" w:space="0" w:color="414142"/>
              <w:right w:val="outset" w:sz="6" w:space="0" w:color="414142"/>
            </w:tcBorders>
            <w:hideMark/>
          </w:tcPr>
          <w:p w14:paraId="5F18FFEF" w14:textId="77777777" w:rsidR="00C14D9E" w:rsidRPr="00B014B8" w:rsidRDefault="00C14D9E" w:rsidP="00C14D9E">
            <w:pPr>
              <w:rPr>
                <w:rFonts w:ascii="Times New Roman" w:hAnsi="Times New Roman" w:cs="Times New Roman"/>
                <w:sz w:val="26"/>
                <w:szCs w:val="26"/>
              </w:rPr>
            </w:pPr>
            <w:r w:rsidRPr="00B014B8">
              <w:rPr>
                <w:rFonts w:ascii="Times New Roman" w:hAnsi="Times New Roman" w:cs="Times New Roman"/>
                <w:sz w:val="26"/>
                <w:szCs w:val="26"/>
              </w:rPr>
              <w:t xml:space="preserve">Sabiedrības </w:t>
            </w:r>
            <w:proofErr w:type="spellStart"/>
            <w:r w:rsidRPr="00B014B8">
              <w:rPr>
                <w:rFonts w:ascii="Times New Roman" w:hAnsi="Times New Roman" w:cs="Times New Roman"/>
                <w:sz w:val="26"/>
                <w:szCs w:val="26"/>
              </w:rPr>
              <w:t>mērķgrupas</w:t>
            </w:r>
            <w:proofErr w:type="spellEnd"/>
            <w:r w:rsidRPr="00B014B8">
              <w:rPr>
                <w:rFonts w:ascii="Times New Roman" w:hAnsi="Times New Roman" w:cs="Times New Roman"/>
                <w:sz w:val="26"/>
                <w:szCs w:val="26"/>
              </w:rPr>
              <w:t>, kuras tiesiskais regulējums ietekmē vai varētu ietekmēt</w:t>
            </w:r>
          </w:p>
        </w:tc>
        <w:tc>
          <w:tcPr>
            <w:tcW w:w="3244" w:type="pct"/>
            <w:tcBorders>
              <w:top w:val="outset" w:sz="6" w:space="0" w:color="414142"/>
              <w:left w:val="outset" w:sz="6" w:space="0" w:color="414142"/>
              <w:bottom w:val="outset" w:sz="6" w:space="0" w:color="414142"/>
              <w:right w:val="outset" w:sz="6" w:space="0" w:color="414142"/>
            </w:tcBorders>
            <w:hideMark/>
          </w:tcPr>
          <w:p w14:paraId="5D1F5D3F" w14:textId="5DF38B47" w:rsidR="00642481" w:rsidRPr="00B014B8" w:rsidRDefault="00F36A45" w:rsidP="006847A5">
            <w:pPr>
              <w:spacing w:after="0" w:line="240" w:lineRule="auto"/>
              <w:jc w:val="both"/>
              <w:rPr>
                <w:rFonts w:ascii="Times New Roman" w:hAnsi="Times New Roman" w:cs="Times New Roman"/>
                <w:sz w:val="26"/>
                <w:szCs w:val="26"/>
              </w:rPr>
            </w:pPr>
            <w:r w:rsidRPr="00B014B8">
              <w:rPr>
                <w:rFonts w:ascii="Times New Roman" w:hAnsi="Times New Roman" w:cs="Times New Roman"/>
                <w:sz w:val="26"/>
                <w:szCs w:val="26"/>
              </w:rPr>
              <w:t xml:space="preserve">Zinātnieki, augstskolas, </w:t>
            </w:r>
            <w:r w:rsidR="001A2268" w:rsidRPr="00B014B8">
              <w:rPr>
                <w:rFonts w:ascii="Times New Roman" w:hAnsi="Times New Roman" w:cs="Times New Roman"/>
                <w:sz w:val="26"/>
                <w:szCs w:val="26"/>
              </w:rPr>
              <w:t>doktora studiju programmās studējoši</w:t>
            </w:r>
            <w:r w:rsidR="006847A5" w:rsidRPr="00B014B8">
              <w:rPr>
                <w:rFonts w:ascii="Times New Roman" w:hAnsi="Times New Roman" w:cs="Times New Roman"/>
                <w:sz w:val="26"/>
                <w:szCs w:val="26"/>
              </w:rPr>
              <w:t xml:space="preserve">e, zinātniskā grāda pretendenti, </w:t>
            </w:r>
            <w:r w:rsidR="00642481" w:rsidRPr="00B014B8">
              <w:rPr>
                <w:rFonts w:ascii="Times New Roman" w:hAnsi="Times New Roman" w:cs="Times New Roman"/>
                <w:sz w:val="26"/>
                <w:szCs w:val="26"/>
              </w:rPr>
              <w:t>LZP</w:t>
            </w:r>
            <w:r w:rsidR="00E84F21" w:rsidRPr="00B014B8">
              <w:rPr>
                <w:rFonts w:ascii="Times New Roman" w:hAnsi="Times New Roman" w:cs="Times New Roman"/>
                <w:sz w:val="26"/>
                <w:szCs w:val="26"/>
              </w:rPr>
              <w:t>. AIC, AIP</w:t>
            </w:r>
            <w:r w:rsidR="007D2913" w:rsidRPr="00B014B8">
              <w:rPr>
                <w:rFonts w:ascii="Times New Roman" w:hAnsi="Times New Roman" w:cs="Times New Roman"/>
                <w:sz w:val="26"/>
                <w:szCs w:val="26"/>
              </w:rPr>
              <w:t xml:space="preserve">. </w:t>
            </w:r>
          </w:p>
        </w:tc>
      </w:tr>
      <w:tr w:rsidR="00AB16CF" w:rsidRPr="00B014B8" w14:paraId="57020FED" w14:textId="77777777" w:rsidTr="007E7FFB">
        <w:trPr>
          <w:trHeight w:val="510"/>
        </w:trPr>
        <w:tc>
          <w:tcPr>
            <w:tcW w:w="292" w:type="pct"/>
            <w:tcBorders>
              <w:top w:val="outset" w:sz="6" w:space="0" w:color="414142"/>
              <w:left w:val="outset" w:sz="6" w:space="0" w:color="414142"/>
              <w:bottom w:val="outset" w:sz="6" w:space="0" w:color="414142"/>
              <w:right w:val="outset" w:sz="6" w:space="0" w:color="414142"/>
            </w:tcBorders>
            <w:hideMark/>
          </w:tcPr>
          <w:p w14:paraId="6CCB129B" w14:textId="77777777" w:rsidR="00C14D9E" w:rsidRPr="00B014B8" w:rsidRDefault="00C14D9E" w:rsidP="00C14D9E">
            <w:pPr>
              <w:rPr>
                <w:rFonts w:ascii="Times New Roman" w:hAnsi="Times New Roman" w:cs="Times New Roman"/>
                <w:sz w:val="26"/>
                <w:szCs w:val="26"/>
              </w:rPr>
            </w:pPr>
            <w:r w:rsidRPr="00B014B8">
              <w:rPr>
                <w:rFonts w:ascii="Times New Roman" w:hAnsi="Times New Roman" w:cs="Times New Roman"/>
                <w:sz w:val="26"/>
                <w:szCs w:val="26"/>
              </w:rPr>
              <w:t>2.</w:t>
            </w:r>
          </w:p>
        </w:tc>
        <w:tc>
          <w:tcPr>
            <w:tcW w:w="1464" w:type="pct"/>
            <w:tcBorders>
              <w:top w:val="outset" w:sz="6" w:space="0" w:color="414142"/>
              <w:left w:val="outset" w:sz="6" w:space="0" w:color="414142"/>
              <w:bottom w:val="outset" w:sz="6" w:space="0" w:color="414142"/>
              <w:right w:val="outset" w:sz="6" w:space="0" w:color="414142"/>
            </w:tcBorders>
            <w:hideMark/>
          </w:tcPr>
          <w:p w14:paraId="4595BA19" w14:textId="77777777" w:rsidR="00C14D9E" w:rsidRPr="00B014B8" w:rsidRDefault="00C14D9E" w:rsidP="00C14D9E">
            <w:pPr>
              <w:rPr>
                <w:rFonts w:ascii="Times New Roman" w:hAnsi="Times New Roman" w:cs="Times New Roman"/>
                <w:sz w:val="26"/>
                <w:szCs w:val="26"/>
              </w:rPr>
            </w:pPr>
            <w:r w:rsidRPr="00B014B8">
              <w:rPr>
                <w:rFonts w:ascii="Times New Roman" w:hAnsi="Times New Roman" w:cs="Times New Roman"/>
                <w:sz w:val="26"/>
                <w:szCs w:val="26"/>
              </w:rPr>
              <w:t>Tiesiskā regulējuma ietekme uz tautsaimniecību un administratīvo slogu</w:t>
            </w:r>
          </w:p>
        </w:tc>
        <w:tc>
          <w:tcPr>
            <w:tcW w:w="3244" w:type="pct"/>
            <w:tcBorders>
              <w:top w:val="outset" w:sz="6" w:space="0" w:color="414142"/>
              <w:left w:val="outset" w:sz="6" w:space="0" w:color="414142"/>
              <w:bottom w:val="outset" w:sz="6" w:space="0" w:color="414142"/>
              <w:right w:val="outset" w:sz="6" w:space="0" w:color="414142"/>
            </w:tcBorders>
            <w:hideMark/>
          </w:tcPr>
          <w:p w14:paraId="1C11193E" w14:textId="730E23A9" w:rsidR="00C14D9E" w:rsidRPr="00B014B8" w:rsidRDefault="00892F41" w:rsidP="00892F41">
            <w:pPr>
              <w:rPr>
                <w:rFonts w:ascii="Times New Roman" w:hAnsi="Times New Roman" w:cs="Times New Roman"/>
                <w:sz w:val="26"/>
                <w:szCs w:val="26"/>
              </w:rPr>
            </w:pPr>
            <w:r w:rsidRPr="00B014B8">
              <w:rPr>
                <w:rFonts w:ascii="Times New Roman" w:hAnsi="Times New Roman" w:cs="Times New Roman"/>
                <w:sz w:val="26"/>
                <w:szCs w:val="26"/>
              </w:rPr>
              <w:t>Administratīvais slogs nepalielināšanās</w:t>
            </w:r>
            <w:r w:rsidR="00152E70" w:rsidRPr="00B014B8">
              <w:rPr>
                <w:rFonts w:ascii="Times New Roman" w:hAnsi="Times New Roman" w:cs="Times New Roman"/>
                <w:sz w:val="26"/>
                <w:szCs w:val="26"/>
              </w:rPr>
              <w:t>.</w:t>
            </w:r>
          </w:p>
        </w:tc>
      </w:tr>
      <w:tr w:rsidR="00AB16CF" w:rsidRPr="001E067A" w14:paraId="4EE85392" w14:textId="77777777" w:rsidTr="007E7FFB">
        <w:trPr>
          <w:trHeight w:val="510"/>
        </w:trPr>
        <w:tc>
          <w:tcPr>
            <w:tcW w:w="292" w:type="pct"/>
            <w:tcBorders>
              <w:top w:val="outset" w:sz="6" w:space="0" w:color="414142"/>
              <w:left w:val="outset" w:sz="6" w:space="0" w:color="414142"/>
              <w:bottom w:val="outset" w:sz="6" w:space="0" w:color="414142"/>
              <w:right w:val="outset" w:sz="6" w:space="0" w:color="414142"/>
            </w:tcBorders>
            <w:hideMark/>
          </w:tcPr>
          <w:p w14:paraId="0529DDFA" w14:textId="77777777" w:rsidR="00C14D9E" w:rsidRPr="00B014B8" w:rsidRDefault="00C14D9E" w:rsidP="00C14D9E">
            <w:pPr>
              <w:rPr>
                <w:rFonts w:ascii="Times New Roman" w:hAnsi="Times New Roman" w:cs="Times New Roman"/>
                <w:sz w:val="26"/>
                <w:szCs w:val="26"/>
              </w:rPr>
            </w:pPr>
            <w:r w:rsidRPr="00B014B8">
              <w:rPr>
                <w:rFonts w:ascii="Times New Roman" w:hAnsi="Times New Roman" w:cs="Times New Roman"/>
                <w:sz w:val="26"/>
                <w:szCs w:val="26"/>
              </w:rPr>
              <w:t>3.</w:t>
            </w:r>
          </w:p>
        </w:tc>
        <w:tc>
          <w:tcPr>
            <w:tcW w:w="1464" w:type="pct"/>
            <w:tcBorders>
              <w:top w:val="outset" w:sz="6" w:space="0" w:color="414142"/>
              <w:left w:val="outset" w:sz="6" w:space="0" w:color="414142"/>
              <w:bottom w:val="outset" w:sz="6" w:space="0" w:color="414142"/>
              <w:right w:val="outset" w:sz="6" w:space="0" w:color="414142"/>
            </w:tcBorders>
            <w:hideMark/>
          </w:tcPr>
          <w:p w14:paraId="3235825C" w14:textId="77777777" w:rsidR="00C14D9E" w:rsidRPr="00B014B8" w:rsidRDefault="00C14D9E" w:rsidP="00C14D9E">
            <w:pPr>
              <w:rPr>
                <w:rFonts w:ascii="Times New Roman" w:hAnsi="Times New Roman" w:cs="Times New Roman"/>
                <w:sz w:val="26"/>
                <w:szCs w:val="26"/>
              </w:rPr>
            </w:pPr>
            <w:r w:rsidRPr="00B014B8">
              <w:rPr>
                <w:rFonts w:ascii="Times New Roman" w:hAnsi="Times New Roman" w:cs="Times New Roman"/>
                <w:sz w:val="26"/>
                <w:szCs w:val="26"/>
              </w:rPr>
              <w:t>Administratīvo izmaksu monetārs novērtējums</w:t>
            </w:r>
          </w:p>
        </w:tc>
        <w:tc>
          <w:tcPr>
            <w:tcW w:w="3244" w:type="pct"/>
            <w:tcBorders>
              <w:top w:val="outset" w:sz="6" w:space="0" w:color="414142"/>
              <w:left w:val="outset" w:sz="6" w:space="0" w:color="414142"/>
              <w:bottom w:val="outset" w:sz="6" w:space="0" w:color="414142"/>
              <w:right w:val="outset" w:sz="6" w:space="0" w:color="414142"/>
            </w:tcBorders>
            <w:hideMark/>
          </w:tcPr>
          <w:p w14:paraId="49D6C249" w14:textId="475E1EC0" w:rsidR="00C14D9E" w:rsidRPr="00B014B8" w:rsidRDefault="009766A3" w:rsidP="0076419D">
            <w:pPr>
              <w:ind w:hanging="1"/>
              <w:rPr>
                <w:rFonts w:ascii="Times New Roman" w:hAnsi="Times New Roman" w:cs="Times New Roman"/>
                <w:sz w:val="26"/>
                <w:szCs w:val="26"/>
              </w:rPr>
            </w:pPr>
            <w:r w:rsidRPr="00B014B8">
              <w:rPr>
                <w:rFonts w:ascii="Times New Roman" w:hAnsi="Times New Roman" w:cs="Times New Roman"/>
                <w:sz w:val="26"/>
                <w:szCs w:val="26"/>
              </w:rPr>
              <w:t>Papildus administratīvo izmaksu nav</w:t>
            </w:r>
            <w:r w:rsidR="008107DF" w:rsidRPr="00B014B8">
              <w:rPr>
                <w:rFonts w:ascii="Times New Roman" w:hAnsi="Times New Roman" w:cs="Times New Roman"/>
                <w:sz w:val="26"/>
                <w:szCs w:val="26"/>
              </w:rPr>
              <w:t>.</w:t>
            </w:r>
          </w:p>
        </w:tc>
      </w:tr>
      <w:tr w:rsidR="00AB16CF" w:rsidRPr="001E067A" w14:paraId="1A7FE9B8" w14:textId="77777777" w:rsidTr="007E7FFB">
        <w:trPr>
          <w:trHeight w:val="345"/>
        </w:trPr>
        <w:tc>
          <w:tcPr>
            <w:tcW w:w="292" w:type="pct"/>
            <w:tcBorders>
              <w:top w:val="outset" w:sz="6" w:space="0" w:color="414142"/>
              <w:left w:val="outset" w:sz="6" w:space="0" w:color="414142"/>
              <w:bottom w:val="outset" w:sz="6" w:space="0" w:color="414142"/>
              <w:right w:val="outset" w:sz="6" w:space="0" w:color="414142"/>
            </w:tcBorders>
            <w:hideMark/>
          </w:tcPr>
          <w:p w14:paraId="41DAD4D7" w14:textId="77777777" w:rsidR="00C14D9E" w:rsidRPr="001E067A" w:rsidRDefault="00C14D9E" w:rsidP="00C14D9E">
            <w:pPr>
              <w:rPr>
                <w:rFonts w:ascii="Times New Roman" w:hAnsi="Times New Roman" w:cs="Times New Roman"/>
                <w:sz w:val="26"/>
                <w:szCs w:val="26"/>
              </w:rPr>
            </w:pPr>
            <w:r w:rsidRPr="001E067A">
              <w:rPr>
                <w:rFonts w:ascii="Times New Roman" w:hAnsi="Times New Roman" w:cs="Times New Roman"/>
                <w:sz w:val="26"/>
                <w:szCs w:val="26"/>
              </w:rPr>
              <w:t>4.</w:t>
            </w:r>
          </w:p>
        </w:tc>
        <w:tc>
          <w:tcPr>
            <w:tcW w:w="1464" w:type="pct"/>
            <w:tcBorders>
              <w:top w:val="outset" w:sz="6" w:space="0" w:color="414142"/>
              <w:left w:val="outset" w:sz="6" w:space="0" w:color="414142"/>
              <w:bottom w:val="outset" w:sz="6" w:space="0" w:color="414142"/>
              <w:right w:val="outset" w:sz="6" w:space="0" w:color="414142"/>
            </w:tcBorders>
            <w:hideMark/>
          </w:tcPr>
          <w:p w14:paraId="03241CEB" w14:textId="77777777" w:rsidR="00C14D9E" w:rsidRPr="001E067A" w:rsidRDefault="00C14D9E" w:rsidP="00C14D9E">
            <w:pPr>
              <w:rPr>
                <w:rFonts w:ascii="Times New Roman" w:hAnsi="Times New Roman" w:cs="Times New Roman"/>
                <w:sz w:val="26"/>
                <w:szCs w:val="26"/>
              </w:rPr>
            </w:pPr>
            <w:r w:rsidRPr="001E067A">
              <w:rPr>
                <w:rFonts w:ascii="Times New Roman" w:hAnsi="Times New Roman" w:cs="Times New Roman"/>
                <w:sz w:val="26"/>
                <w:szCs w:val="26"/>
              </w:rPr>
              <w:t>Cita informācija</w:t>
            </w:r>
          </w:p>
        </w:tc>
        <w:tc>
          <w:tcPr>
            <w:tcW w:w="3244" w:type="pct"/>
            <w:tcBorders>
              <w:top w:val="outset" w:sz="6" w:space="0" w:color="414142"/>
              <w:left w:val="outset" w:sz="6" w:space="0" w:color="414142"/>
              <w:bottom w:val="outset" w:sz="6" w:space="0" w:color="414142"/>
              <w:right w:val="outset" w:sz="6" w:space="0" w:color="414142"/>
            </w:tcBorders>
            <w:hideMark/>
          </w:tcPr>
          <w:p w14:paraId="1B760A90" w14:textId="77777777" w:rsidR="00C14D9E" w:rsidRPr="001E067A" w:rsidRDefault="00D10AAF" w:rsidP="00C14D9E">
            <w:pPr>
              <w:rPr>
                <w:rFonts w:ascii="Times New Roman" w:hAnsi="Times New Roman" w:cs="Times New Roman"/>
                <w:sz w:val="26"/>
                <w:szCs w:val="26"/>
              </w:rPr>
            </w:pPr>
            <w:r w:rsidRPr="001E067A">
              <w:rPr>
                <w:rFonts w:ascii="Times New Roman" w:hAnsi="Times New Roman" w:cs="Times New Roman"/>
                <w:sz w:val="26"/>
                <w:szCs w:val="26"/>
              </w:rPr>
              <w:t>Nav</w:t>
            </w:r>
            <w:r w:rsidR="00C73AF0" w:rsidRPr="001E067A">
              <w:rPr>
                <w:rFonts w:ascii="Times New Roman" w:hAnsi="Times New Roman" w:cs="Times New Roman"/>
                <w:sz w:val="26"/>
                <w:szCs w:val="26"/>
              </w:rPr>
              <w:t>.</w:t>
            </w:r>
          </w:p>
        </w:tc>
      </w:tr>
    </w:tbl>
    <w:p w14:paraId="3835F330" w14:textId="77777777" w:rsidR="00C14D9E" w:rsidRPr="001E067A" w:rsidRDefault="00C14D9E" w:rsidP="00C14D9E">
      <w:pPr>
        <w:rPr>
          <w:rFonts w:ascii="Times New Roman" w:hAnsi="Times New Roman" w:cs="Times New Roman"/>
          <w:sz w:val="26"/>
          <w:szCs w:val="26"/>
        </w:rPr>
      </w:pPr>
      <w:r w:rsidRPr="001E067A">
        <w:rPr>
          <w:rFonts w:ascii="Times New Roman" w:hAnsi="Times New Roman" w:cs="Times New Roman"/>
          <w:sz w:val="26"/>
          <w:szCs w:val="26"/>
        </w:rPr>
        <w:t> </w:t>
      </w:r>
    </w:p>
    <w:tbl>
      <w:tblPr>
        <w:tblW w:w="5057"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496"/>
      </w:tblGrid>
      <w:tr w:rsidR="00A37568" w:rsidRPr="001E067A" w14:paraId="7DFB1E34" w14:textId="77777777" w:rsidTr="00AC21B7">
        <w:trPr>
          <w:trHeight w:val="288"/>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20EEA34A" w14:textId="77777777" w:rsidR="00A37568" w:rsidRPr="00801A20" w:rsidRDefault="00A37568" w:rsidP="00AC21B7">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801A20">
              <w:rPr>
                <w:rFonts w:ascii="Times New Roman" w:eastAsia="Times New Roman" w:hAnsi="Times New Roman" w:cs="Times New Roman"/>
                <w:b/>
                <w:bCs/>
                <w:sz w:val="24"/>
                <w:szCs w:val="24"/>
                <w:lang w:eastAsia="lv-LV"/>
              </w:rPr>
              <w:t>III. Tiesību akta projekta ietekme uz valsts budžetu un pašvaldību budžetiem</w:t>
            </w:r>
          </w:p>
        </w:tc>
      </w:tr>
      <w:tr w:rsidR="00A37568" w:rsidRPr="001E067A" w14:paraId="3772CA17" w14:textId="77777777" w:rsidTr="00AC21B7">
        <w:trPr>
          <w:trHeight w:val="288"/>
          <w:jc w:val="center"/>
        </w:trPr>
        <w:tc>
          <w:tcPr>
            <w:tcW w:w="5000" w:type="pct"/>
            <w:tcBorders>
              <w:top w:val="outset" w:sz="6" w:space="0" w:color="414142"/>
              <w:left w:val="outset" w:sz="6" w:space="0" w:color="414142"/>
              <w:bottom w:val="outset" w:sz="6" w:space="0" w:color="414142"/>
              <w:right w:val="outset" w:sz="6" w:space="0" w:color="414142"/>
            </w:tcBorders>
            <w:vAlign w:val="center"/>
          </w:tcPr>
          <w:p w14:paraId="25C2A64E" w14:textId="77777777" w:rsidR="00A37568" w:rsidRPr="00340405" w:rsidRDefault="00A37568" w:rsidP="00AC21B7">
            <w:pPr>
              <w:spacing w:before="100" w:beforeAutospacing="1" w:after="100" w:afterAutospacing="1" w:line="293" w:lineRule="atLeast"/>
              <w:jc w:val="center"/>
              <w:rPr>
                <w:rFonts w:ascii="Times New Roman" w:eastAsia="Times New Roman" w:hAnsi="Times New Roman" w:cs="Times New Roman"/>
                <w:bCs/>
                <w:sz w:val="26"/>
                <w:szCs w:val="26"/>
                <w:lang w:eastAsia="lv-LV"/>
              </w:rPr>
            </w:pPr>
            <w:r w:rsidRPr="00340405">
              <w:rPr>
                <w:rFonts w:ascii="Times New Roman" w:eastAsia="Times New Roman" w:hAnsi="Times New Roman" w:cs="Times New Roman"/>
                <w:bCs/>
                <w:sz w:val="26"/>
                <w:szCs w:val="26"/>
                <w:lang w:eastAsia="lv-LV"/>
              </w:rPr>
              <w:t>Projekts šo jomu neskar.</w:t>
            </w:r>
          </w:p>
        </w:tc>
      </w:tr>
    </w:tbl>
    <w:p w14:paraId="6A1E2141" w14:textId="77777777" w:rsidR="00A37568" w:rsidRPr="001E067A" w:rsidRDefault="00A37568" w:rsidP="00C14D9E">
      <w:pPr>
        <w:rPr>
          <w:rFonts w:ascii="Times New Roman" w:hAnsi="Times New Roman" w:cs="Times New Roman"/>
          <w:sz w:val="26"/>
          <w:szCs w:val="26"/>
        </w:rPr>
      </w:pPr>
    </w:p>
    <w:tbl>
      <w:tblPr>
        <w:tblStyle w:val="TableGrid"/>
        <w:tblW w:w="9634"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ook w:val="04A0" w:firstRow="1" w:lastRow="0" w:firstColumn="1" w:lastColumn="0" w:noHBand="0" w:noVBand="1"/>
      </w:tblPr>
      <w:tblGrid>
        <w:gridCol w:w="534"/>
        <w:gridCol w:w="2863"/>
        <w:gridCol w:w="6237"/>
      </w:tblGrid>
      <w:tr w:rsidR="00AB16CF" w:rsidRPr="001E067A" w14:paraId="2DF548C7" w14:textId="77777777" w:rsidTr="007E7FFB">
        <w:tc>
          <w:tcPr>
            <w:tcW w:w="9634" w:type="dxa"/>
            <w:gridSpan w:val="3"/>
            <w:tcBorders>
              <w:top w:val="single" w:sz="4" w:space="0" w:color="auto"/>
              <w:left w:val="single" w:sz="4" w:space="0" w:color="auto"/>
              <w:bottom w:val="single" w:sz="4" w:space="0" w:color="auto"/>
              <w:right w:val="single" w:sz="4" w:space="0" w:color="auto"/>
            </w:tcBorders>
            <w:hideMark/>
          </w:tcPr>
          <w:p w14:paraId="08BF4CE3" w14:textId="47E7B004" w:rsidR="006A6A7D" w:rsidRPr="001E067A" w:rsidRDefault="006A6A7D" w:rsidP="001067FA">
            <w:pPr>
              <w:jc w:val="center"/>
              <w:rPr>
                <w:b/>
                <w:bCs/>
                <w:sz w:val="26"/>
                <w:szCs w:val="26"/>
              </w:rPr>
            </w:pPr>
            <w:r w:rsidRPr="001E067A">
              <w:rPr>
                <w:b/>
                <w:bCs/>
                <w:sz w:val="26"/>
                <w:szCs w:val="26"/>
              </w:rPr>
              <w:t>IV. Tiesību akta projekta ietekme uz</w:t>
            </w:r>
            <w:r w:rsidR="00586839" w:rsidRPr="001E067A">
              <w:rPr>
                <w:b/>
                <w:bCs/>
                <w:sz w:val="26"/>
                <w:szCs w:val="26"/>
              </w:rPr>
              <w:t xml:space="preserve"> </w:t>
            </w:r>
            <w:r w:rsidRPr="001E067A">
              <w:rPr>
                <w:b/>
                <w:bCs/>
                <w:sz w:val="26"/>
                <w:szCs w:val="26"/>
              </w:rPr>
              <w:t>spēkā esošo tiesību normu sistēmu</w:t>
            </w:r>
          </w:p>
        </w:tc>
      </w:tr>
      <w:tr w:rsidR="00AB16CF" w:rsidRPr="001E067A" w14:paraId="0222F383" w14:textId="77777777" w:rsidTr="007E7FFB">
        <w:tc>
          <w:tcPr>
            <w:tcW w:w="534" w:type="dxa"/>
            <w:tcBorders>
              <w:top w:val="single" w:sz="4" w:space="0" w:color="auto"/>
              <w:left w:val="single" w:sz="4" w:space="0" w:color="auto"/>
              <w:bottom w:val="single" w:sz="4" w:space="0" w:color="auto"/>
              <w:right w:val="single" w:sz="4" w:space="0" w:color="auto"/>
            </w:tcBorders>
            <w:hideMark/>
          </w:tcPr>
          <w:p w14:paraId="35F5C97E" w14:textId="77777777" w:rsidR="006A6A7D" w:rsidRPr="00B014B8" w:rsidRDefault="006A6A7D" w:rsidP="007E7FFB">
            <w:pPr>
              <w:spacing w:before="100" w:beforeAutospacing="1" w:after="100" w:afterAutospacing="1"/>
              <w:rPr>
                <w:bCs/>
                <w:sz w:val="26"/>
                <w:szCs w:val="26"/>
              </w:rPr>
            </w:pPr>
            <w:r w:rsidRPr="00B014B8">
              <w:rPr>
                <w:bCs/>
                <w:sz w:val="26"/>
                <w:szCs w:val="26"/>
              </w:rPr>
              <w:t>1.</w:t>
            </w:r>
          </w:p>
        </w:tc>
        <w:tc>
          <w:tcPr>
            <w:tcW w:w="2863" w:type="dxa"/>
            <w:tcBorders>
              <w:top w:val="single" w:sz="4" w:space="0" w:color="auto"/>
              <w:left w:val="single" w:sz="4" w:space="0" w:color="auto"/>
              <w:bottom w:val="single" w:sz="4" w:space="0" w:color="auto"/>
              <w:right w:val="single" w:sz="4" w:space="0" w:color="auto"/>
            </w:tcBorders>
            <w:hideMark/>
          </w:tcPr>
          <w:p w14:paraId="313FC064" w14:textId="6086A8E9" w:rsidR="006A6A7D" w:rsidRPr="00B014B8" w:rsidRDefault="006A6A7D">
            <w:pPr>
              <w:spacing w:before="100" w:beforeAutospacing="1" w:after="100" w:afterAutospacing="1"/>
              <w:rPr>
                <w:bCs/>
                <w:sz w:val="26"/>
                <w:szCs w:val="26"/>
              </w:rPr>
            </w:pPr>
            <w:r w:rsidRPr="00B014B8">
              <w:rPr>
                <w:sz w:val="26"/>
                <w:szCs w:val="26"/>
              </w:rPr>
              <w:t>Nepieciešamie saistītie tiesību akt</w:t>
            </w:r>
            <w:r w:rsidR="007B2B83" w:rsidRPr="00B014B8">
              <w:rPr>
                <w:sz w:val="26"/>
                <w:szCs w:val="26"/>
              </w:rPr>
              <w:t>u</w:t>
            </w:r>
            <w:r w:rsidRPr="00B014B8">
              <w:rPr>
                <w:sz w:val="26"/>
                <w:szCs w:val="26"/>
              </w:rPr>
              <w:t xml:space="preserve"> projekti</w:t>
            </w:r>
          </w:p>
        </w:tc>
        <w:tc>
          <w:tcPr>
            <w:tcW w:w="6237" w:type="dxa"/>
            <w:tcBorders>
              <w:top w:val="single" w:sz="4" w:space="0" w:color="auto"/>
              <w:left w:val="single" w:sz="4" w:space="0" w:color="auto"/>
              <w:bottom w:val="single" w:sz="4" w:space="0" w:color="auto"/>
              <w:right w:val="single" w:sz="4" w:space="0" w:color="auto"/>
            </w:tcBorders>
          </w:tcPr>
          <w:p w14:paraId="73A4EAD9" w14:textId="33DC252D" w:rsidR="006D36FA" w:rsidRDefault="006D36FA" w:rsidP="006D36FA">
            <w:pPr>
              <w:jc w:val="both"/>
              <w:rPr>
                <w:sz w:val="26"/>
                <w:szCs w:val="26"/>
              </w:rPr>
            </w:pPr>
            <w:r w:rsidRPr="00B014B8">
              <w:rPr>
                <w:bCs/>
                <w:sz w:val="26"/>
                <w:szCs w:val="26"/>
              </w:rPr>
              <w:t>2017. gada 6. jūlijā Valsts sekretāru sanāksmē tika</w:t>
            </w:r>
            <w:r w:rsidRPr="00B014B8">
              <w:rPr>
                <w:sz w:val="26"/>
                <w:szCs w:val="26"/>
              </w:rPr>
              <w:t xml:space="preserve"> </w:t>
            </w:r>
            <w:r w:rsidRPr="00B014B8">
              <w:rPr>
                <w:bCs/>
                <w:sz w:val="26"/>
                <w:szCs w:val="26"/>
              </w:rPr>
              <w:t>izsludināts</w:t>
            </w:r>
            <w:r w:rsidRPr="00B014B8">
              <w:rPr>
                <w:sz w:val="26"/>
                <w:szCs w:val="26"/>
              </w:rPr>
              <w:t xml:space="preserve"> </w:t>
            </w:r>
            <w:r w:rsidRPr="00B014B8">
              <w:rPr>
                <w:bCs/>
                <w:sz w:val="26"/>
                <w:szCs w:val="26"/>
              </w:rPr>
              <w:t xml:space="preserve">tiesību akta projekts </w:t>
            </w:r>
            <w:r w:rsidRPr="00B014B8">
              <w:rPr>
                <w:sz w:val="26"/>
                <w:szCs w:val="26"/>
              </w:rPr>
              <w:t xml:space="preserve">“Grozījumi </w:t>
            </w:r>
            <w:r w:rsidRPr="00B014B8">
              <w:rPr>
                <w:bCs/>
                <w:sz w:val="26"/>
                <w:szCs w:val="26"/>
              </w:rPr>
              <w:t xml:space="preserve">Ministru kabineta </w:t>
            </w:r>
            <w:r w:rsidRPr="00B014B8">
              <w:rPr>
                <w:sz w:val="26"/>
                <w:szCs w:val="26"/>
              </w:rPr>
              <w:t xml:space="preserve">2006. gada 20. jūnija </w:t>
            </w:r>
            <w:r w:rsidRPr="00B014B8">
              <w:rPr>
                <w:bCs/>
                <w:sz w:val="26"/>
                <w:szCs w:val="26"/>
              </w:rPr>
              <w:t>noteikumos Nr. 497</w:t>
            </w:r>
            <w:r w:rsidRPr="00B014B8">
              <w:rPr>
                <w:sz w:val="26"/>
                <w:szCs w:val="26"/>
              </w:rPr>
              <w:t xml:space="preserve"> “</w:t>
            </w:r>
            <w:r w:rsidRPr="00B014B8">
              <w:rPr>
                <w:bCs/>
                <w:sz w:val="26"/>
                <w:szCs w:val="26"/>
              </w:rPr>
              <w:t xml:space="preserve">Noteikumi par Latvijas Zinātnes padomes ekspertu komisiju izveidošanu un darbību”, kurā tika paredzēts, ka </w:t>
            </w:r>
            <w:r w:rsidRPr="00B014B8">
              <w:rPr>
                <w:sz w:val="26"/>
                <w:szCs w:val="26"/>
              </w:rPr>
              <w:t xml:space="preserve">Ekspertu komisiju skaitu un to sastāvu nosaka padome ievērojot, ka komisijās ir līdzvērtīgi pārstāvēti zinātņu nozaru eksperti, Ekspertu komisija sniedz atzinumu par </w:t>
            </w:r>
            <w:r w:rsidRPr="00B014B8">
              <w:rPr>
                <w:sz w:val="26"/>
                <w:szCs w:val="26"/>
              </w:rPr>
              <w:lastRenderedPageBreak/>
              <w:t>padomei iesniegtajiem zinātnisko pētījumu projektiem un programmām atbilstoši normatīvajos aktos par zinātnisko pētījumu projektu un programmu īstenošanu noteiktajam un attiecīga zinātnisko pētījumu  projekta vai programmas konkursa nolikumam, un, līdz ar ko</w:t>
            </w:r>
            <w:r w:rsidRPr="00B014B8">
              <w:rPr>
                <w:bCs/>
                <w:sz w:val="26"/>
                <w:szCs w:val="26"/>
              </w:rPr>
              <w:t xml:space="preserve"> kā arī tika piedāvāts svītrot noteikumu V sadaļu, atsakoties no  vienotas vērtēšanas kārtības (VSS-723, </w:t>
            </w:r>
            <w:r w:rsidRPr="00B014B8">
              <w:rPr>
                <w:sz w:val="26"/>
                <w:szCs w:val="26"/>
              </w:rPr>
              <w:t>prot. Nr. 26; 13.§). Pēc 11.08.2017 saskaņošana sanāksmes un 21.09.2017 e-saskaņošanas projekts tika pārstrādāts un tika mainīts noteikumu projekta nosaukums “Noteikumi par Latvijas Zinātnes padomes ekspertu komisiju izveidošanu un darbību”</w:t>
            </w:r>
            <w:r w:rsidR="008E7EBA" w:rsidRPr="00B014B8">
              <w:rPr>
                <w:sz w:val="26"/>
                <w:szCs w:val="26"/>
              </w:rPr>
              <w:t>, kuros tiks noteikti ekspertu kvalifikācijas kritēriji, ekspertu komisiju izveidošanas kārtība un to darbības organizācija</w:t>
            </w:r>
            <w:r w:rsidRPr="00B014B8">
              <w:rPr>
                <w:sz w:val="26"/>
                <w:szCs w:val="26"/>
              </w:rPr>
              <w:t>.</w:t>
            </w:r>
            <w:r w:rsidR="006E050E">
              <w:rPr>
                <w:sz w:val="26"/>
                <w:szCs w:val="26"/>
              </w:rPr>
              <w:t xml:space="preserve"> </w:t>
            </w:r>
          </w:p>
          <w:p w14:paraId="2E68B636" w14:textId="6C9D8FC3" w:rsidR="00634756" w:rsidRPr="001E067A" w:rsidRDefault="00A62BC0" w:rsidP="00376E44">
            <w:pPr>
              <w:jc w:val="both"/>
              <w:rPr>
                <w:sz w:val="26"/>
                <w:szCs w:val="26"/>
              </w:rPr>
            </w:pPr>
            <w:r>
              <w:rPr>
                <w:sz w:val="26"/>
                <w:szCs w:val="26"/>
              </w:rPr>
              <w:t xml:space="preserve">Noteikumu projektā nozaru dalījums nemaina piešķirtās eksperta tiesības. Turpmāk piešķirot eksperta tiesības tās tiks norādītas atbilstoši projektā noteiktajam nozaru un </w:t>
            </w:r>
            <w:proofErr w:type="spellStart"/>
            <w:r>
              <w:rPr>
                <w:sz w:val="26"/>
                <w:szCs w:val="26"/>
              </w:rPr>
              <w:t>apakšnozaru</w:t>
            </w:r>
            <w:proofErr w:type="spellEnd"/>
            <w:r>
              <w:rPr>
                <w:sz w:val="26"/>
                <w:szCs w:val="26"/>
              </w:rPr>
              <w:t xml:space="preserve"> dalījumam, kur </w:t>
            </w:r>
            <w:proofErr w:type="spellStart"/>
            <w:r>
              <w:rPr>
                <w:sz w:val="26"/>
                <w:szCs w:val="26"/>
              </w:rPr>
              <w:t>apakšnozaru</w:t>
            </w:r>
            <w:proofErr w:type="spellEnd"/>
            <w:r>
              <w:rPr>
                <w:sz w:val="26"/>
                <w:szCs w:val="26"/>
              </w:rPr>
              <w:t xml:space="preserve"> dalījums nodrošinās sasaisti starp dažādā laikā (pirms un pēc noteikuma projekta pieņemšanas) piešķirtajām Latvijas Zinātnes padomes eksperta tiesībām.</w:t>
            </w:r>
          </w:p>
        </w:tc>
      </w:tr>
      <w:tr w:rsidR="00AB16CF" w:rsidRPr="001E067A" w14:paraId="7664ABE0" w14:textId="77777777" w:rsidTr="007E7FFB">
        <w:tc>
          <w:tcPr>
            <w:tcW w:w="534" w:type="dxa"/>
            <w:tcBorders>
              <w:top w:val="single" w:sz="4" w:space="0" w:color="auto"/>
              <w:left w:val="single" w:sz="4" w:space="0" w:color="auto"/>
              <w:bottom w:val="single" w:sz="4" w:space="0" w:color="auto"/>
              <w:right w:val="single" w:sz="4" w:space="0" w:color="auto"/>
            </w:tcBorders>
            <w:hideMark/>
          </w:tcPr>
          <w:p w14:paraId="11E49D6B" w14:textId="1C884BE9" w:rsidR="006A6A7D" w:rsidRPr="001E067A" w:rsidRDefault="006A6A7D" w:rsidP="007E7FFB">
            <w:pPr>
              <w:spacing w:before="100" w:beforeAutospacing="1" w:after="100" w:afterAutospacing="1"/>
              <w:jc w:val="both"/>
              <w:rPr>
                <w:bCs/>
                <w:sz w:val="26"/>
                <w:szCs w:val="26"/>
              </w:rPr>
            </w:pPr>
            <w:r w:rsidRPr="001E067A">
              <w:rPr>
                <w:bCs/>
                <w:sz w:val="26"/>
                <w:szCs w:val="26"/>
              </w:rPr>
              <w:lastRenderedPageBreak/>
              <w:t>2.</w:t>
            </w:r>
          </w:p>
        </w:tc>
        <w:tc>
          <w:tcPr>
            <w:tcW w:w="2863" w:type="dxa"/>
            <w:tcBorders>
              <w:top w:val="single" w:sz="4" w:space="0" w:color="auto"/>
              <w:left w:val="single" w:sz="4" w:space="0" w:color="auto"/>
              <w:bottom w:val="single" w:sz="4" w:space="0" w:color="auto"/>
              <w:right w:val="single" w:sz="4" w:space="0" w:color="auto"/>
            </w:tcBorders>
            <w:hideMark/>
          </w:tcPr>
          <w:p w14:paraId="0A77C787" w14:textId="77777777" w:rsidR="006A6A7D" w:rsidRPr="001E067A" w:rsidRDefault="006A6A7D">
            <w:pPr>
              <w:spacing w:before="100" w:beforeAutospacing="1" w:after="100" w:afterAutospacing="1"/>
              <w:rPr>
                <w:bCs/>
                <w:sz w:val="26"/>
                <w:szCs w:val="26"/>
              </w:rPr>
            </w:pPr>
            <w:r w:rsidRPr="001E067A">
              <w:rPr>
                <w:sz w:val="26"/>
                <w:szCs w:val="26"/>
              </w:rPr>
              <w:t>Atbildīgā institūcija</w:t>
            </w:r>
          </w:p>
        </w:tc>
        <w:tc>
          <w:tcPr>
            <w:tcW w:w="6237" w:type="dxa"/>
            <w:tcBorders>
              <w:top w:val="single" w:sz="4" w:space="0" w:color="auto"/>
              <w:left w:val="single" w:sz="4" w:space="0" w:color="auto"/>
              <w:bottom w:val="single" w:sz="4" w:space="0" w:color="auto"/>
              <w:right w:val="single" w:sz="4" w:space="0" w:color="auto"/>
            </w:tcBorders>
            <w:hideMark/>
          </w:tcPr>
          <w:p w14:paraId="302E2C42" w14:textId="77777777" w:rsidR="00152E70" w:rsidRPr="001E067A" w:rsidRDefault="00FD783A">
            <w:pPr>
              <w:spacing w:before="100" w:beforeAutospacing="1" w:after="100" w:afterAutospacing="1"/>
              <w:jc w:val="both"/>
              <w:rPr>
                <w:bCs/>
                <w:sz w:val="26"/>
                <w:szCs w:val="26"/>
              </w:rPr>
            </w:pPr>
            <w:r w:rsidRPr="001E067A">
              <w:rPr>
                <w:bCs/>
                <w:sz w:val="26"/>
                <w:szCs w:val="26"/>
              </w:rPr>
              <w:t>Izglītības un zinātnes m</w:t>
            </w:r>
            <w:r w:rsidR="00A3427E" w:rsidRPr="001E067A">
              <w:rPr>
                <w:bCs/>
                <w:sz w:val="26"/>
                <w:szCs w:val="26"/>
              </w:rPr>
              <w:t>inistrija</w:t>
            </w:r>
            <w:r w:rsidR="00152E70" w:rsidRPr="001E067A">
              <w:rPr>
                <w:bCs/>
                <w:sz w:val="26"/>
                <w:szCs w:val="26"/>
              </w:rPr>
              <w:t>.</w:t>
            </w:r>
          </w:p>
        </w:tc>
      </w:tr>
      <w:tr w:rsidR="00AB16CF" w:rsidRPr="001E067A" w14:paraId="39169EB2" w14:textId="77777777" w:rsidTr="007E7FFB">
        <w:tc>
          <w:tcPr>
            <w:tcW w:w="534" w:type="dxa"/>
            <w:tcBorders>
              <w:top w:val="single" w:sz="4" w:space="0" w:color="auto"/>
              <w:left w:val="single" w:sz="4" w:space="0" w:color="auto"/>
              <w:bottom w:val="single" w:sz="4" w:space="0" w:color="auto"/>
              <w:right w:val="single" w:sz="4" w:space="0" w:color="auto"/>
            </w:tcBorders>
            <w:hideMark/>
          </w:tcPr>
          <w:p w14:paraId="0F22B0A8" w14:textId="77777777" w:rsidR="006A6A7D" w:rsidRPr="001E067A" w:rsidRDefault="006A6A7D" w:rsidP="007E7FFB">
            <w:pPr>
              <w:spacing w:before="100" w:beforeAutospacing="1" w:after="100" w:afterAutospacing="1"/>
              <w:jc w:val="both"/>
              <w:rPr>
                <w:bCs/>
                <w:sz w:val="26"/>
                <w:szCs w:val="26"/>
              </w:rPr>
            </w:pPr>
            <w:r w:rsidRPr="001E067A">
              <w:rPr>
                <w:bCs/>
                <w:sz w:val="26"/>
                <w:szCs w:val="26"/>
              </w:rPr>
              <w:t>3.</w:t>
            </w:r>
          </w:p>
        </w:tc>
        <w:tc>
          <w:tcPr>
            <w:tcW w:w="2863" w:type="dxa"/>
            <w:tcBorders>
              <w:top w:val="single" w:sz="4" w:space="0" w:color="auto"/>
              <w:left w:val="single" w:sz="4" w:space="0" w:color="auto"/>
              <w:bottom w:val="single" w:sz="4" w:space="0" w:color="auto"/>
              <w:right w:val="single" w:sz="4" w:space="0" w:color="auto"/>
            </w:tcBorders>
            <w:hideMark/>
          </w:tcPr>
          <w:p w14:paraId="40DFCF4F" w14:textId="77777777" w:rsidR="006A6A7D" w:rsidRPr="001E067A" w:rsidRDefault="006A6A7D">
            <w:pPr>
              <w:spacing w:before="100" w:beforeAutospacing="1" w:after="100" w:afterAutospacing="1"/>
              <w:rPr>
                <w:bCs/>
                <w:sz w:val="26"/>
                <w:szCs w:val="26"/>
              </w:rPr>
            </w:pPr>
            <w:r w:rsidRPr="001E067A">
              <w:rPr>
                <w:sz w:val="26"/>
                <w:szCs w:val="26"/>
              </w:rPr>
              <w:t>Cita informācija</w:t>
            </w:r>
          </w:p>
        </w:tc>
        <w:tc>
          <w:tcPr>
            <w:tcW w:w="6237" w:type="dxa"/>
            <w:tcBorders>
              <w:top w:val="single" w:sz="4" w:space="0" w:color="auto"/>
              <w:left w:val="single" w:sz="4" w:space="0" w:color="auto"/>
              <w:bottom w:val="single" w:sz="4" w:space="0" w:color="auto"/>
              <w:right w:val="single" w:sz="4" w:space="0" w:color="auto"/>
            </w:tcBorders>
            <w:hideMark/>
          </w:tcPr>
          <w:p w14:paraId="313D3CA7" w14:textId="77777777" w:rsidR="00C73404" w:rsidRPr="0067194E" w:rsidRDefault="00C73404" w:rsidP="00C73404">
            <w:pPr>
              <w:ind w:right="113"/>
              <w:jc w:val="both"/>
              <w:rPr>
                <w:sz w:val="26"/>
                <w:szCs w:val="26"/>
              </w:rPr>
            </w:pPr>
            <w:r w:rsidRPr="0067194E">
              <w:rPr>
                <w:sz w:val="26"/>
                <w:szCs w:val="26"/>
              </w:rPr>
              <w:t xml:space="preserve">Pašlaik atsauce uz zinātnes nozarēm un </w:t>
            </w:r>
            <w:proofErr w:type="spellStart"/>
            <w:r w:rsidRPr="0067194E">
              <w:rPr>
                <w:sz w:val="26"/>
                <w:szCs w:val="26"/>
              </w:rPr>
              <w:t>apakšnozarēm</w:t>
            </w:r>
            <w:proofErr w:type="spellEnd"/>
            <w:r w:rsidRPr="0067194E">
              <w:rPr>
                <w:sz w:val="26"/>
                <w:szCs w:val="26"/>
              </w:rPr>
              <w:t xml:space="preserve"> ir minēta (attiecīgi, izmanto LZP sarakstu):</w:t>
            </w:r>
          </w:p>
          <w:p w14:paraId="154CA804" w14:textId="77777777" w:rsidR="00C73404" w:rsidRPr="0067194E" w:rsidRDefault="00C73404" w:rsidP="00C73404">
            <w:pPr>
              <w:ind w:right="113"/>
              <w:jc w:val="both"/>
              <w:rPr>
                <w:sz w:val="26"/>
                <w:szCs w:val="26"/>
              </w:rPr>
            </w:pPr>
            <w:r w:rsidRPr="0067194E">
              <w:rPr>
                <w:sz w:val="26"/>
                <w:szCs w:val="26"/>
              </w:rPr>
              <w:t>(1) Augstskolu likuma 3., 8., 23., 24., 28., 30., 31., 32., 33., 34., 35., 55., 55.</w:t>
            </w:r>
            <w:r w:rsidRPr="0067194E">
              <w:rPr>
                <w:sz w:val="26"/>
                <w:szCs w:val="26"/>
                <w:vertAlign w:val="superscript"/>
              </w:rPr>
              <w:t>3</w:t>
            </w:r>
            <w:r w:rsidRPr="0067194E">
              <w:rPr>
                <w:sz w:val="26"/>
                <w:szCs w:val="26"/>
              </w:rPr>
              <w:t>, 58. un 87. pantā;</w:t>
            </w:r>
          </w:p>
          <w:p w14:paraId="38D650A9" w14:textId="77777777" w:rsidR="00C73404" w:rsidRPr="0067194E" w:rsidRDefault="00C73404" w:rsidP="00C73404">
            <w:pPr>
              <w:ind w:right="113"/>
              <w:jc w:val="both"/>
              <w:rPr>
                <w:sz w:val="26"/>
                <w:szCs w:val="26"/>
              </w:rPr>
            </w:pPr>
            <w:r w:rsidRPr="0067194E">
              <w:rPr>
                <w:sz w:val="26"/>
                <w:szCs w:val="26"/>
              </w:rPr>
              <w:t>(2) Zinātniskās darbības likuma 11. un 13. pantā;</w:t>
            </w:r>
          </w:p>
          <w:p w14:paraId="10E12782" w14:textId="77777777" w:rsidR="00C73404" w:rsidRPr="0067194E" w:rsidRDefault="00C73404" w:rsidP="00C73404">
            <w:pPr>
              <w:ind w:right="113"/>
              <w:jc w:val="both"/>
              <w:rPr>
                <w:sz w:val="26"/>
                <w:szCs w:val="26"/>
              </w:rPr>
            </w:pPr>
            <w:r w:rsidRPr="0067194E">
              <w:rPr>
                <w:sz w:val="26"/>
                <w:szCs w:val="26"/>
              </w:rPr>
              <w:t>(3) Ministru kabineta 2006. gada 20. jūnija noteikumos Nr. 497 “Noteikumi par Latvijas Zinātnes padomes ekspertu komisiju izveidošanu un darbību”;</w:t>
            </w:r>
          </w:p>
          <w:p w14:paraId="28B55DFA" w14:textId="77777777" w:rsidR="00C73404" w:rsidRPr="0067194E" w:rsidRDefault="00C73404" w:rsidP="00C73404">
            <w:pPr>
              <w:ind w:right="113"/>
              <w:jc w:val="both"/>
              <w:rPr>
                <w:sz w:val="26"/>
                <w:szCs w:val="26"/>
              </w:rPr>
            </w:pPr>
            <w:r w:rsidRPr="0067194E">
              <w:rPr>
                <w:sz w:val="26"/>
                <w:szCs w:val="26"/>
              </w:rPr>
              <w:t>(4) Ministru kabineta 2005. gada 27. decembra noteikumu Nr. 1001 “Doktora zinātniskā grāda piešķiršanas (promocijas) kārtība un kritēriji”;</w:t>
            </w:r>
          </w:p>
          <w:p w14:paraId="50E2F8B1" w14:textId="77777777" w:rsidR="00C73404" w:rsidRPr="0067194E" w:rsidRDefault="00C73404" w:rsidP="00C73404">
            <w:pPr>
              <w:ind w:right="113"/>
              <w:jc w:val="both"/>
              <w:rPr>
                <w:sz w:val="26"/>
                <w:szCs w:val="26"/>
              </w:rPr>
            </w:pPr>
            <w:r w:rsidRPr="0067194E">
              <w:rPr>
                <w:sz w:val="26"/>
                <w:szCs w:val="26"/>
              </w:rPr>
              <w:t>(5) Ministru kabineta 2005. gada 27. decembra noteikumi Nr.1000 “Noteikumi par doktora zinātniskā grāda piešķiršanas (promocijas) tiesību deleģēšanu augstskolām”;</w:t>
            </w:r>
          </w:p>
          <w:p w14:paraId="2E6B72F9" w14:textId="77777777" w:rsidR="00C73404" w:rsidRPr="0067194E" w:rsidRDefault="00C73404" w:rsidP="00C73404">
            <w:pPr>
              <w:ind w:right="113"/>
              <w:jc w:val="both"/>
              <w:rPr>
                <w:sz w:val="26"/>
                <w:szCs w:val="26"/>
              </w:rPr>
            </w:pPr>
            <w:r w:rsidRPr="0067194E">
              <w:rPr>
                <w:sz w:val="26"/>
                <w:szCs w:val="26"/>
              </w:rPr>
              <w:t>(6) Ministru kabineta 2013. gada 16. aprīļa noteikumi Nr.202 “Kārtība, kādā izsniedz valsts atzītus augstāko izglītību apliecinošus dokumentus”;</w:t>
            </w:r>
          </w:p>
          <w:p w14:paraId="6B2677AC" w14:textId="77777777" w:rsidR="00C73404" w:rsidRPr="0067194E" w:rsidRDefault="00C73404" w:rsidP="00C73404">
            <w:pPr>
              <w:ind w:right="113"/>
              <w:jc w:val="both"/>
              <w:rPr>
                <w:sz w:val="26"/>
                <w:szCs w:val="26"/>
              </w:rPr>
            </w:pPr>
            <w:r w:rsidRPr="0067194E">
              <w:rPr>
                <w:sz w:val="26"/>
                <w:szCs w:val="26"/>
              </w:rPr>
              <w:t>(7)</w:t>
            </w:r>
            <w:r w:rsidRPr="0067194E">
              <w:t xml:space="preserve"> </w:t>
            </w:r>
            <w:r w:rsidRPr="0067194E">
              <w:rPr>
                <w:sz w:val="26"/>
                <w:szCs w:val="26"/>
              </w:rPr>
              <w:t>Ministru kabineta 2014. gada 13. maija noteikumi Nr.240 “Noteikumi par valsts akadēmiskās izglītības standartu”;</w:t>
            </w:r>
          </w:p>
          <w:p w14:paraId="4A9D091B" w14:textId="3DC9EAAF" w:rsidR="00C73404" w:rsidRDefault="00C73404" w:rsidP="00C73404">
            <w:pPr>
              <w:jc w:val="both"/>
              <w:rPr>
                <w:sz w:val="26"/>
                <w:szCs w:val="26"/>
              </w:rPr>
            </w:pPr>
            <w:r w:rsidRPr="0067194E">
              <w:rPr>
                <w:sz w:val="26"/>
                <w:szCs w:val="26"/>
              </w:rPr>
              <w:lastRenderedPageBreak/>
              <w:t>(8) Ministru kabineta 2015. gada 14. jūlija noteikumi Nr. 408 “Studiju programmu licencēšanas noteikumi”.</w:t>
            </w:r>
          </w:p>
          <w:p w14:paraId="6520DEF7" w14:textId="63D26883" w:rsidR="00CF696C" w:rsidRPr="001E067A" w:rsidRDefault="00C73404" w:rsidP="00CF696C">
            <w:pPr>
              <w:jc w:val="both"/>
              <w:rPr>
                <w:sz w:val="26"/>
                <w:szCs w:val="26"/>
              </w:rPr>
            </w:pPr>
            <w:r>
              <w:rPr>
                <w:sz w:val="26"/>
                <w:szCs w:val="26"/>
              </w:rPr>
              <w:t xml:space="preserve">Izglītības un zinātnes ministrija pakāpeniski, sākot ar </w:t>
            </w:r>
            <w:r w:rsidR="00CF696C">
              <w:rPr>
                <w:sz w:val="26"/>
                <w:szCs w:val="26"/>
              </w:rPr>
              <w:t>2020</w:t>
            </w:r>
            <w:r>
              <w:rPr>
                <w:sz w:val="26"/>
                <w:szCs w:val="26"/>
              </w:rPr>
              <w:t xml:space="preserve">. gadu </w:t>
            </w:r>
            <w:r w:rsidR="00CF696C">
              <w:rPr>
                <w:sz w:val="26"/>
                <w:szCs w:val="26"/>
              </w:rPr>
              <w:t xml:space="preserve"> (pēc lielākās daļas doktora studiju programmu akreditācijas)</w:t>
            </w:r>
            <w:r w:rsidR="003F5DD5">
              <w:rPr>
                <w:sz w:val="26"/>
                <w:szCs w:val="26"/>
              </w:rPr>
              <w:t xml:space="preserve"> </w:t>
            </w:r>
            <w:r>
              <w:rPr>
                <w:sz w:val="26"/>
                <w:szCs w:val="26"/>
              </w:rPr>
              <w:t>veiks grozījumus šeit minētajos normatīvajos aktos, paredzot atteikšanos jēdziena “</w:t>
            </w:r>
            <w:proofErr w:type="spellStart"/>
            <w:r>
              <w:rPr>
                <w:sz w:val="26"/>
                <w:szCs w:val="26"/>
              </w:rPr>
              <w:t>apakšnozare</w:t>
            </w:r>
            <w:proofErr w:type="spellEnd"/>
            <w:r>
              <w:rPr>
                <w:sz w:val="26"/>
                <w:szCs w:val="26"/>
              </w:rPr>
              <w:t>” izmantošanas normatīvajā regulējumā.</w:t>
            </w:r>
          </w:p>
        </w:tc>
      </w:tr>
    </w:tbl>
    <w:p w14:paraId="33D2DAE5" w14:textId="77777777" w:rsidR="00B8581E" w:rsidRPr="001E067A" w:rsidRDefault="00B8581E" w:rsidP="00C14D9E">
      <w:pPr>
        <w:rPr>
          <w:rFonts w:ascii="Times New Roman" w:hAnsi="Times New Roman" w:cs="Times New Roman"/>
          <w:sz w:val="26"/>
          <w:szCs w:val="26"/>
        </w:rPr>
      </w:pPr>
    </w:p>
    <w:tbl>
      <w:tblPr>
        <w:tblW w:w="5129"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631"/>
      </w:tblGrid>
      <w:tr w:rsidR="00F23687" w:rsidRPr="001E067A" w14:paraId="3E9F5012" w14:textId="77777777" w:rsidTr="0047426A">
        <w:tc>
          <w:tcPr>
            <w:tcW w:w="5000" w:type="pct"/>
            <w:tcBorders>
              <w:top w:val="outset" w:sz="6" w:space="0" w:color="414142"/>
              <w:left w:val="outset" w:sz="6" w:space="0" w:color="414142"/>
              <w:bottom w:val="outset" w:sz="6" w:space="0" w:color="414142"/>
              <w:right w:val="outset" w:sz="6" w:space="0" w:color="414142"/>
            </w:tcBorders>
            <w:vAlign w:val="center"/>
            <w:hideMark/>
          </w:tcPr>
          <w:p w14:paraId="452F3209" w14:textId="77777777" w:rsidR="00F23687" w:rsidRPr="003E6EED" w:rsidRDefault="00F23687" w:rsidP="00E2094C">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3E6EED">
              <w:rPr>
                <w:rFonts w:ascii="Times New Roman" w:eastAsia="Times New Roman" w:hAnsi="Times New Roman" w:cs="Times New Roman"/>
                <w:b/>
                <w:bCs/>
                <w:sz w:val="24"/>
                <w:szCs w:val="24"/>
                <w:lang w:eastAsia="lv-LV"/>
              </w:rPr>
              <w:t>V. Tiesību akta projekta atbilstība Latvijas Republikas starptautiskajām saistībām</w:t>
            </w:r>
          </w:p>
        </w:tc>
      </w:tr>
      <w:tr w:rsidR="00F23687" w:rsidRPr="001E067A" w14:paraId="38BA5AE2" w14:textId="77777777" w:rsidTr="0047426A">
        <w:tc>
          <w:tcPr>
            <w:tcW w:w="5000" w:type="pct"/>
            <w:tcBorders>
              <w:top w:val="outset" w:sz="6" w:space="0" w:color="414142"/>
              <w:left w:val="outset" w:sz="6" w:space="0" w:color="414142"/>
              <w:bottom w:val="outset" w:sz="6" w:space="0" w:color="414142"/>
              <w:right w:val="outset" w:sz="6" w:space="0" w:color="414142"/>
            </w:tcBorders>
            <w:vAlign w:val="center"/>
          </w:tcPr>
          <w:p w14:paraId="00CFA35A" w14:textId="77777777" w:rsidR="00F23687" w:rsidRPr="002579C8" w:rsidRDefault="00F23687" w:rsidP="00E2094C">
            <w:pPr>
              <w:spacing w:before="100" w:beforeAutospacing="1" w:after="100" w:afterAutospacing="1" w:line="293" w:lineRule="atLeast"/>
              <w:jc w:val="center"/>
              <w:rPr>
                <w:rFonts w:ascii="Times New Roman" w:eastAsia="Times New Roman" w:hAnsi="Times New Roman" w:cs="Times New Roman"/>
                <w:bCs/>
                <w:sz w:val="26"/>
                <w:szCs w:val="26"/>
                <w:lang w:eastAsia="lv-LV"/>
              </w:rPr>
            </w:pPr>
            <w:r w:rsidRPr="002579C8">
              <w:rPr>
                <w:rFonts w:ascii="Times New Roman" w:eastAsia="Times New Roman" w:hAnsi="Times New Roman" w:cs="Times New Roman"/>
                <w:bCs/>
                <w:sz w:val="26"/>
                <w:szCs w:val="26"/>
                <w:lang w:eastAsia="lv-LV"/>
              </w:rPr>
              <w:t>Projekts šo jomu neskar.</w:t>
            </w:r>
          </w:p>
        </w:tc>
      </w:tr>
    </w:tbl>
    <w:p w14:paraId="2EC72AFF" w14:textId="77777777" w:rsidR="00075CB1" w:rsidRPr="001E067A" w:rsidRDefault="00075CB1" w:rsidP="00C14D9E">
      <w:pPr>
        <w:rPr>
          <w:rFonts w:ascii="Times New Roman" w:hAnsi="Times New Roman" w:cs="Times New Roman"/>
          <w:sz w:val="26"/>
          <w:szCs w:val="26"/>
        </w:rPr>
      </w:pPr>
    </w:p>
    <w:tbl>
      <w:tblPr>
        <w:tblpPr w:leftFromText="180" w:rightFromText="180" w:vertAnchor="text" w:horzAnchor="page" w:tblpX="1643" w:tblpY="-77"/>
        <w:tblW w:w="5129"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61"/>
        <w:gridCol w:w="2835"/>
        <w:gridCol w:w="6235"/>
      </w:tblGrid>
      <w:tr w:rsidR="00AB16CF" w:rsidRPr="001E067A" w14:paraId="7DA746DA" w14:textId="77777777" w:rsidTr="007E7FFB">
        <w:trPr>
          <w:trHeight w:val="42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3B2460ED" w14:textId="77777777" w:rsidR="00B8581E" w:rsidRPr="001E067A" w:rsidRDefault="00B8581E" w:rsidP="007E7FFB">
            <w:pPr>
              <w:jc w:val="center"/>
              <w:rPr>
                <w:rFonts w:ascii="Times New Roman" w:hAnsi="Times New Roman" w:cs="Times New Roman"/>
                <w:b/>
                <w:bCs/>
                <w:sz w:val="26"/>
                <w:szCs w:val="26"/>
              </w:rPr>
            </w:pPr>
            <w:r w:rsidRPr="001E067A">
              <w:rPr>
                <w:rFonts w:ascii="Times New Roman" w:hAnsi="Times New Roman" w:cs="Times New Roman"/>
                <w:b/>
                <w:bCs/>
                <w:sz w:val="26"/>
                <w:szCs w:val="26"/>
              </w:rPr>
              <w:t>VI. Sabiedrības līdzdalība un komunikācijas aktivitātes</w:t>
            </w:r>
          </w:p>
        </w:tc>
      </w:tr>
      <w:tr w:rsidR="00AB16CF" w:rsidRPr="00B014B8" w14:paraId="38D3F670" w14:textId="77777777" w:rsidTr="007E7FFB">
        <w:trPr>
          <w:trHeight w:val="540"/>
        </w:trPr>
        <w:tc>
          <w:tcPr>
            <w:tcW w:w="291" w:type="pct"/>
            <w:tcBorders>
              <w:top w:val="outset" w:sz="6" w:space="0" w:color="414142"/>
              <w:left w:val="outset" w:sz="6" w:space="0" w:color="414142"/>
              <w:bottom w:val="outset" w:sz="6" w:space="0" w:color="414142"/>
              <w:right w:val="outset" w:sz="6" w:space="0" w:color="414142"/>
            </w:tcBorders>
            <w:hideMark/>
          </w:tcPr>
          <w:p w14:paraId="15560279" w14:textId="77777777" w:rsidR="00B8581E" w:rsidRPr="00B014B8" w:rsidRDefault="00B8581E" w:rsidP="007E7FFB">
            <w:pPr>
              <w:rPr>
                <w:rFonts w:ascii="Times New Roman" w:hAnsi="Times New Roman" w:cs="Times New Roman"/>
                <w:sz w:val="26"/>
                <w:szCs w:val="26"/>
              </w:rPr>
            </w:pPr>
            <w:r w:rsidRPr="00B014B8">
              <w:rPr>
                <w:rFonts w:ascii="Times New Roman" w:hAnsi="Times New Roman" w:cs="Times New Roman"/>
                <w:sz w:val="26"/>
                <w:szCs w:val="26"/>
              </w:rPr>
              <w:t>1.</w:t>
            </w:r>
          </w:p>
        </w:tc>
        <w:tc>
          <w:tcPr>
            <w:tcW w:w="1472" w:type="pct"/>
            <w:tcBorders>
              <w:top w:val="outset" w:sz="6" w:space="0" w:color="414142"/>
              <w:left w:val="outset" w:sz="6" w:space="0" w:color="414142"/>
              <w:bottom w:val="outset" w:sz="6" w:space="0" w:color="414142"/>
              <w:right w:val="outset" w:sz="6" w:space="0" w:color="414142"/>
            </w:tcBorders>
            <w:hideMark/>
          </w:tcPr>
          <w:p w14:paraId="1FA99761" w14:textId="77777777" w:rsidR="00B8581E" w:rsidRPr="00B014B8" w:rsidRDefault="00B8581E" w:rsidP="007E7FFB">
            <w:pPr>
              <w:rPr>
                <w:rFonts w:ascii="Times New Roman" w:hAnsi="Times New Roman" w:cs="Times New Roman"/>
                <w:sz w:val="26"/>
                <w:szCs w:val="26"/>
              </w:rPr>
            </w:pPr>
            <w:r w:rsidRPr="00B014B8">
              <w:rPr>
                <w:rFonts w:ascii="Times New Roman" w:hAnsi="Times New Roman" w:cs="Times New Roman"/>
                <w:sz w:val="26"/>
                <w:szCs w:val="26"/>
              </w:rPr>
              <w:t>Plānotās sabiedrības līdzdalības un komunikācijas aktivitātes saistībā ar projektu</w:t>
            </w:r>
          </w:p>
        </w:tc>
        <w:tc>
          <w:tcPr>
            <w:tcW w:w="3237" w:type="pct"/>
            <w:tcBorders>
              <w:top w:val="outset" w:sz="6" w:space="0" w:color="414142"/>
              <w:left w:val="outset" w:sz="6" w:space="0" w:color="414142"/>
              <w:bottom w:val="outset" w:sz="6" w:space="0" w:color="414142"/>
              <w:right w:val="outset" w:sz="6" w:space="0" w:color="414142"/>
            </w:tcBorders>
            <w:hideMark/>
          </w:tcPr>
          <w:p w14:paraId="4821194A" w14:textId="5EE0D281" w:rsidR="00B8581E" w:rsidRPr="00B014B8" w:rsidRDefault="00B8581E" w:rsidP="005A2D45">
            <w:pPr>
              <w:spacing w:after="0" w:line="240" w:lineRule="auto"/>
              <w:jc w:val="both"/>
              <w:rPr>
                <w:rFonts w:ascii="Times New Roman" w:hAnsi="Times New Roman" w:cs="Times New Roman"/>
                <w:sz w:val="26"/>
                <w:szCs w:val="26"/>
              </w:rPr>
            </w:pPr>
            <w:r w:rsidRPr="00B014B8">
              <w:rPr>
                <w:rFonts w:ascii="Times New Roman" w:hAnsi="Times New Roman" w:cs="Times New Roman"/>
                <w:sz w:val="26"/>
                <w:szCs w:val="26"/>
              </w:rPr>
              <w:t xml:space="preserve">Projekts </w:t>
            </w:r>
            <w:r w:rsidR="00214E0C" w:rsidRPr="00B014B8">
              <w:rPr>
                <w:rFonts w:ascii="Times New Roman" w:hAnsi="Times New Roman" w:cs="Times New Roman"/>
                <w:sz w:val="26"/>
                <w:szCs w:val="26"/>
              </w:rPr>
              <w:t>pēc izs</w:t>
            </w:r>
            <w:r w:rsidR="005A2D45" w:rsidRPr="00B014B8">
              <w:rPr>
                <w:rFonts w:ascii="Times New Roman" w:hAnsi="Times New Roman" w:cs="Times New Roman"/>
                <w:sz w:val="26"/>
                <w:szCs w:val="26"/>
              </w:rPr>
              <w:t>ludināšanas Valsts sekretāru sanāk</w:t>
            </w:r>
            <w:r w:rsidR="00214E0C" w:rsidRPr="00B014B8">
              <w:rPr>
                <w:rFonts w:ascii="Times New Roman" w:hAnsi="Times New Roman" w:cs="Times New Roman"/>
                <w:sz w:val="26"/>
                <w:szCs w:val="26"/>
              </w:rPr>
              <w:t>s</w:t>
            </w:r>
            <w:r w:rsidR="001246AB" w:rsidRPr="00B014B8">
              <w:rPr>
                <w:rFonts w:ascii="Times New Roman" w:hAnsi="Times New Roman" w:cs="Times New Roman"/>
                <w:sz w:val="26"/>
                <w:szCs w:val="26"/>
              </w:rPr>
              <w:t xml:space="preserve">mē </w:t>
            </w:r>
            <w:r w:rsidR="005A2D45" w:rsidRPr="00B014B8">
              <w:rPr>
                <w:rFonts w:ascii="Times New Roman" w:hAnsi="Times New Roman" w:cs="Times New Roman"/>
                <w:sz w:val="26"/>
                <w:szCs w:val="26"/>
              </w:rPr>
              <w:t xml:space="preserve"> </w:t>
            </w:r>
            <w:r w:rsidRPr="00B014B8">
              <w:rPr>
                <w:rFonts w:ascii="Times New Roman" w:hAnsi="Times New Roman" w:cs="Times New Roman"/>
                <w:sz w:val="26"/>
                <w:szCs w:val="26"/>
              </w:rPr>
              <w:t xml:space="preserve">publicēts </w:t>
            </w:r>
            <w:r w:rsidR="00FD783A" w:rsidRPr="00B014B8">
              <w:rPr>
                <w:rFonts w:ascii="Times New Roman" w:hAnsi="Times New Roman" w:cs="Times New Roman"/>
                <w:sz w:val="26"/>
                <w:szCs w:val="26"/>
              </w:rPr>
              <w:t xml:space="preserve">Izglītības un zinātnes </w:t>
            </w:r>
            <w:r w:rsidRPr="00B014B8">
              <w:rPr>
                <w:rFonts w:ascii="Times New Roman" w:hAnsi="Times New Roman" w:cs="Times New Roman"/>
                <w:sz w:val="26"/>
                <w:szCs w:val="26"/>
              </w:rPr>
              <w:t>ministrijas mājaslapā</w:t>
            </w:r>
            <w:r w:rsidR="00A47D30" w:rsidRPr="00B014B8">
              <w:rPr>
                <w:rFonts w:ascii="Times New Roman" w:hAnsi="Times New Roman" w:cs="Times New Roman"/>
                <w:sz w:val="26"/>
                <w:szCs w:val="26"/>
              </w:rPr>
              <w:t xml:space="preserve"> internetā</w:t>
            </w:r>
            <w:r w:rsidR="001246AB" w:rsidRPr="00B014B8">
              <w:rPr>
                <w:rFonts w:ascii="Times New Roman" w:hAnsi="Times New Roman" w:cs="Times New Roman"/>
                <w:sz w:val="26"/>
                <w:szCs w:val="26"/>
              </w:rPr>
              <w:t xml:space="preserve"> (</w:t>
            </w:r>
            <w:hyperlink r:id="rId9" w:history="1">
              <w:r w:rsidR="001246AB" w:rsidRPr="00B014B8">
                <w:rPr>
                  <w:rStyle w:val="Hyperlink"/>
                  <w:rFonts w:ascii="Times New Roman" w:hAnsi="Times New Roman" w:cs="Times New Roman"/>
                  <w:sz w:val="26"/>
                  <w:szCs w:val="26"/>
                </w:rPr>
                <w:t>http://izm.gov.lv/lv/normativie-akti/normativo-aktu-projekti</w:t>
              </w:r>
            </w:hyperlink>
            <w:r w:rsidR="001246AB" w:rsidRPr="00B014B8">
              <w:rPr>
                <w:rFonts w:ascii="Times New Roman" w:hAnsi="Times New Roman" w:cs="Times New Roman"/>
                <w:sz w:val="26"/>
                <w:szCs w:val="26"/>
              </w:rPr>
              <w:t>)</w:t>
            </w:r>
            <w:r w:rsidRPr="00B014B8">
              <w:rPr>
                <w:rFonts w:ascii="Times New Roman" w:hAnsi="Times New Roman" w:cs="Times New Roman"/>
                <w:sz w:val="26"/>
                <w:szCs w:val="26"/>
              </w:rPr>
              <w:t>.</w:t>
            </w:r>
            <w:r w:rsidR="001246AB" w:rsidRPr="00B014B8">
              <w:rPr>
                <w:rFonts w:ascii="Times New Roman" w:hAnsi="Times New Roman" w:cs="Times New Roman"/>
                <w:sz w:val="26"/>
                <w:szCs w:val="26"/>
              </w:rPr>
              <w:t xml:space="preserve"> </w:t>
            </w:r>
          </w:p>
        </w:tc>
      </w:tr>
      <w:tr w:rsidR="00AB16CF" w:rsidRPr="00B014B8" w14:paraId="772ECA74" w14:textId="77777777" w:rsidTr="007E7FFB">
        <w:trPr>
          <w:trHeight w:val="330"/>
        </w:trPr>
        <w:tc>
          <w:tcPr>
            <w:tcW w:w="291" w:type="pct"/>
            <w:tcBorders>
              <w:top w:val="outset" w:sz="6" w:space="0" w:color="414142"/>
              <w:left w:val="outset" w:sz="6" w:space="0" w:color="414142"/>
              <w:bottom w:val="outset" w:sz="6" w:space="0" w:color="414142"/>
              <w:right w:val="outset" w:sz="6" w:space="0" w:color="414142"/>
            </w:tcBorders>
            <w:hideMark/>
          </w:tcPr>
          <w:p w14:paraId="36A1F643" w14:textId="77777777" w:rsidR="00B8581E" w:rsidRPr="00B014B8" w:rsidRDefault="00B8581E" w:rsidP="007E7FFB">
            <w:pPr>
              <w:rPr>
                <w:rFonts w:ascii="Times New Roman" w:hAnsi="Times New Roman" w:cs="Times New Roman"/>
                <w:sz w:val="26"/>
                <w:szCs w:val="26"/>
              </w:rPr>
            </w:pPr>
            <w:r w:rsidRPr="00B014B8">
              <w:rPr>
                <w:rFonts w:ascii="Times New Roman" w:hAnsi="Times New Roman" w:cs="Times New Roman"/>
                <w:sz w:val="26"/>
                <w:szCs w:val="26"/>
              </w:rPr>
              <w:t>2.</w:t>
            </w:r>
          </w:p>
        </w:tc>
        <w:tc>
          <w:tcPr>
            <w:tcW w:w="1472" w:type="pct"/>
            <w:tcBorders>
              <w:top w:val="outset" w:sz="6" w:space="0" w:color="414142"/>
              <w:left w:val="outset" w:sz="6" w:space="0" w:color="414142"/>
              <w:bottom w:val="outset" w:sz="6" w:space="0" w:color="414142"/>
              <w:right w:val="outset" w:sz="6" w:space="0" w:color="414142"/>
            </w:tcBorders>
            <w:hideMark/>
          </w:tcPr>
          <w:p w14:paraId="7E713E6E" w14:textId="77777777" w:rsidR="00B8581E" w:rsidRPr="00B014B8" w:rsidRDefault="00B8581E" w:rsidP="007E7FFB">
            <w:pPr>
              <w:rPr>
                <w:rFonts w:ascii="Times New Roman" w:hAnsi="Times New Roman" w:cs="Times New Roman"/>
                <w:sz w:val="26"/>
                <w:szCs w:val="26"/>
              </w:rPr>
            </w:pPr>
            <w:r w:rsidRPr="00B014B8">
              <w:rPr>
                <w:rFonts w:ascii="Times New Roman" w:hAnsi="Times New Roman" w:cs="Times New Roman"/>
                <w:sz w:val="26"/>
                <w:szCs w:val="26"/>
              </w:rPr>
              <w:t>Sabiedrības līdzdalība projekta izstrādē</w:t>
            </w:r>
          </w:p>
        </w:tc>
        <w:tc>
          <w:tcPr>
            <w:tcW w:w="3237" w:type="pct"/>
            <w:tcBorders>
              <w:top w:val="outset" w:sz="6" w:space="0" w:color="414142"/>
              <w:left w:val="outset" w:sz="6" w:space="0" w:color="414142"/>
              <w:bottom w:val="outset" w:sz="6" w:space="0" w:color="414142"/>
              <w:right w:val="outset" w:sz="6" w:space="0" w:color="414142"/>
            </w:tcBorders>
            <w:hideMark/>
          </w:tcPr>
          <w:p w14:paraId="5974F6D9" w14:textId="118CA186" w:rsidR="00B8581E" w:rsidRPr="00B014B8" w:rsidRDefault="00632D6D" w:rsidP="00F00125">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Saņemts viedoklis no </w:t>
            </w:r>
            <w:r w:rsidR="00F00125">
              <w:rPr>
                <w:rFonts w:ascii="Times New Roman" w:hAnsi="Times New Roman" w:cs="Times New Roman"/>
                <w:sz w:val="26"/>
                <w:szCs w:val="26"/>
              </w:rPr>
              <w:t>Latvijas Universitātes un</w:t>
            </w:r>
            <w:r>
              <w:rPr>
                <w:rFonts w:ascii="Times New Roman" w:hAnsi="Times New Roman" w:cs="Times New Roman"/>
                <w:sz w:val="26"/>
                <w:szCs w:val="26"/>
              </w:rPr>
              <w:t xml:space="preserve"> Latvijas farmaceitu biedrības.</w:t>
            </w:r>
          </w:p>
        </w:tc>
      </w:tr>
      <w:tr w:rsidR="00AB16CF" w:rsidRPr="00B014B8" w14:paraId="670D2ACB" w14:textId="77777777" w:rsidTr="007E7FFB">
        <w:trPr>
          <w:trHeight w:val="465"/>
        </w:trPr>
        <w:tc>
          <w:tcPr>
            <w:tcW w:w="291" w:type="pct"/>
            <w:tcBorders>
              <w:top w:val="outset" w:sz="6" w:space="0" w:color="414142"/>
              <w:left w:val="outset" w:sz="6" w:space="0" w:color="414142"/>
              <w:bottom w:val="outset" w:sz="6" w:space="0" w:color="414142"/>
              <w:right w:val="outset" w:sz="6" w:space="0" w:color="414142"/>
            </w:tcBorders>
            <w:hideMark/>
          </w:tcPr>
          <w:p w14:paraId="5919CC5C" w14:textId="77777777" w:rsidR="00B8581E" w:rsidRPr="00B014B8" w:rsidRDefault="00B8581E" w:rsidP="007E7FFB">
            <w:pPr>
              <w:rPr>
                <w:rFonts w:ascii="Times New Roman" w:hAnsi="Times New Roman" w:cs="Times New Roman"/>
                <w:sz w:val="26"/>
                <w:szCs w:val="26"/>
              </w:rPr>
            </w:pPr>
            <w:r w:rsidRPr="00B014B8">
              <w:rPr>
                <w:rFonts w:ascii="Times New Roman" w:hAnsi="Times New Roman" w:cs="Times New Roman"/>
                <w:sz w:val="26"/>
                <w:szCs w:val="26"/>
              </w:rPr>
              <w:t>3.</w:t>
            </w:r>
          </w:p>
        </w:tc>
        <w:tc>
          <w:tcPr>
            <w:tcW w:w="1472" w:type="pct"/>
            <w:tcBorders>
              <w:top w:val="outset" w:sz="6" w:space="0" w:color="414142"/>
              <w:left w:val="outset" w:sz="6" w:space="0" w:color="414142"/>
              <w:bottom w:val="outset" w:sz="6" w:space="0" w:color="414142"/>
              <w:right w:val="outset" w:sz="6" w:space="0" w:color="414142"/>
            </w:tcBorders>
            <w:hideMark/>
          </w:tcPr>
          <w:p w14:paraId="4DC1C7F4" w14:textId="77777777" w:rsidR="00B8581E" w:rsidRPr="00B014B8" w:rsidRDefault="00B8581E" w:rsidP="007E7FFB">
            <w:pPr>
              <w:rPr>
                <w:rFonts w:ascii="Times New Roman" w:hAnsi="Times New Roman" w:cs="Times New Roman"/>
                <w:sz w:val="26"/>
                <w:szCs w:val="26"/>
              </w:rPr>
            </w:pPr>
            <w:r w:rsidRPr="00B014B8">
              <w:rPr>
                <w:rFonts w:ascii="Times New Roman" w:hAnsi="Times New Roman" w:cs="Times New Roman"/>
                <w:sz w:val="26"/>
                <w:szCs w:val="26"/>
              </w:rPr>
              <w:t>Sabiedrības līdzdalības rezultāti</w:t>
            </w:r>
          </w:p>
        </w:tc>
        <w:tc>
          <w:tcPr>
            <w:tcW w:w="3237" w:type="pct"/>
            <w:tcBorders>
              <w:top w:val="outset" w:sz="6" w:space="0" w:color="414142"/>
              <w:left w:val="outset" w:sz="6" w:space="0" w:color="414142"/>
              <w:bottom w:val="outset" w:sz="6" w:space="0" w:color="414142"/>
              <w:right w:val="outset" w:sz="6" w:space="0" w:color="414142"/>
            </w:tcBorders>
            <w:hideMark/>
          </w:tcPr>
          <w:p w14:paraId="1E20B003" w14:textId="615228A8" w:rsidR="00B8581E" w:rsidRPr="00B014B8" w:rsidRDefault="00632D6D" w:rsidP="005A2D45">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Saņemtie viedokļi iekļauti izziņā. </w:t>
            </w:r>
          </w:p>
        </w:tc>
      </w:tr>
      <w:tr w:rsidR="00AB16CF" w:rsidRPr="001E067A" w14:paraId="365E1794" w14:textId="77777777" w:rsidTr="007E7FFB">
        <w:trPr>
          <w:trHeight w:val="465"/>
        </w:trPr>
        <w:tc>
          <w:tcPr>
            <w:tcW w:w="291" w:type="pct"/>
            <w:tcBorders>
              <w:top w:val="outset" w:sz="6" w:space="0" w:color="414142"/>
              <w:left w:val="outset" w:sz="6" w:space="0" w:color="414142"/>
              <w:bottom w:val="outset" w:sz="6" w:space="0" w:color="414142"/>
              <w:right w:val="outset" w:sz="6" w:space="0" w:color="414142"/>
            </w:tcBorders>
            <w:hideMark/>
          </w:tcPr>
          <w:p w14:paraId="7F2FA76D" w14:textId="77777777" w:rsidR="00B8581E" w:rsidRPr="00B014B8" w:rsidRDefault="00B8581E" w:rsidP="007E7FFB">
            <w:pPr>
              <w:rPr>
                <w:rFonts w:ascii="Times New Roman" w:hAnsi="Times New Roman" w:cs="Times New Roman"/>
                <w:sz w:val="26"/>
                <w:szCs w:val="26"/>
              </w:rPr>
            </w:pPr>
            <w:r w:rsidRPr="00B014B8">
              <w:rPr>
                <w:rFonts w:ascii="Times New Roman" w:hAnsi="Times New Roman" w:cs="Times New Roman"/>
                <w:sz w:val="26"/>
                <w:szCs w:val="26"/>
              </w:rPr>
              <w:t>4.</w:t>
            </w:r>
          </w:p>
        </w:tc>
        <w:tc>
          <w:tcPr>
            <w:tcW w:w="1472" w:type="pct"/>
            <w:tcBorders>
              <w:top w:val="outset" w:sz="6" w:space="0" w:color="414142"/>
              <w:left w:val="outset" w:sz="6" w:space="0" w:color="414142"/>
              <w:bottom w:val="outset" w:sz="6" w:space="0" w:color="414142"/>
              <w:right w:val="outset" w:sz="6" w:space="0" w:color="414142"/>
            </w:tcBorders>
            <w:hideMark/>
          </w:tcPr>
          <w:p w14:paraId="62370033" w14:textId="77777777" w:rsidR="00B8581E" w:rsidRPr="00B014B8" w:rsidRDefault="00B8581E" w:rsidP="007E7FFB">
            <w:pPr>
              <w:rPr>
                <w:rFonts w:ascii="Times New Roman" w:hAnsi="Times New Roman" w:cs="Times New Roman"/>
                <w:sz w:val="26"/>
                <w:szCs w:val="26"/>
              </w:rPr>
            </w:pPr>
            <w:r w:rsidRPr="00B014B8">
              <w:rPr>
                <w:rFonts w:ascii="Times New Roman" w:hAnsi="Times New Roman" w:cs="Times New Roman"/>
                <w:sz w:val="26"/>
                <w:szCs w:val="26"/>
              </w:rPr>
              <w:t>Cita informācija</w:t>
            </w:r>
          </w:p>
        </w:tc>
        <w:tc>
          <w:tcPr>
            <w:tcW w:w="3237" w:type="pct"/>
            <w:tcBorders>
              <w:top w:val="outset" w:sz="6" w:space="0" w:color="414142"/>
              <w:left w:val="outset" w:sz="6" w:space="0" w:color="414142"/>
              <w:bottom w:val="outset" w:sz="6" w:space="0" w:color="414142"/>
              <w:right w:val="outset" w:sz="6" w:space="0" w:color="414142"/>
            </w:tcBorders>
            <w:hideMark/>
          </w:tcPr>
          <w:p w14:paraId="730F8B40" w14:textId="77777777" w:rsidR="00B8581E" w:rsidRPr="001E067A" w:rsidRDefault="00B8581E" w:rsidP="007E7FFB">
            <w:pPr>
              <w:spacing w:after="0" w:line="240" w:lineRule="auto"/>
              <w:rPr>
                <w:rFonts w:ascii="Times New Roman" w:hAnsi="Times New Roman" w:cs="Times New Roman"/>
                <w:sz w:val="26"/>
                <w:szCs w:val="26"/>
              </w:rPr>
            </w:pPr>
            <w:r w:rsidRPr="00B014B8">
              <w:rPr>
                <w:rFonts w:ascii="Times New Roman" w:hAnsi="Times New Roman" w:cs="Times New Roman"/>
                <w:sz w:val="26"/>
                <w:szCs w:val="26"/>
              </w:rPr>
              <w:t>Nav.</w:t>
            </w:r>
          </w:p>
        </w:tc>
      </w:tr>
    </w:tbl>
    <w:p w14:paraId="4726A7D9" w14:textId="77777777" w:rsidR="00D33593" w:rsidRDefault="00D33593" w:rsidP="008C1B34">
      <w:pPr>
        <w:spacing w:after="0"/>
        <w:rPr>
          <w:rFonts w:ascii="Times New Roman" w:hAnsi="Times New Roman" w:cs="Times New Roman"/>
          <w:sz w:val="26"/>
          <w:szCs w:val="26"/>
        </w:rPr>
      </w:pPr>
    </w:p>
    <w:tbl>
      <w:tblPr>
        <w:tblW w:w="5133" w:type="pct"/>
        <w:tblInd w:w="-8"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69"/>
        <w:gridCol w:w="2834"/>
        <w:gridCol w:w="6236"/>
      </w:tblGrid>
      <w:tr w:rsidR="00075CB1" w:rsidRPr="001E067A" w14:paraId="7626386E" w14:textId="77777777" w:rsidTr="00517C25">
        <w:trPr>
          <w:trHeight w:val="37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78012077" w14:textId="77777777" w:rsidR="00075CB1" w:rsidRDefault="00075CB1" w:rsidP="00517C25">
            <w:pPr>
              <w:jc w:val="center"/>
              <w:rPr>
                <w:rFonts w:ascii="Times New Roman" w:hAnsi="Times New Roman" w:cs="Times New Roman"/>
                <w:b/>
                <w:bCs/>
                <w:sz w:val="26"/>
                <w:szCs w:val="26"/>
              </w:rPr>
            </w:pPr>
          </w:p>
          <w:p w14:paraId="5E47737C" w14:textId="77777777" w:rsidR="00075CB1" w:rsidRPr="001E067A" w:rsidRDefault="00075CB1" w:rsidP="00517C25">
            <w:pPr>
              <w:jc w:val="center"/>
              <w:rPr>
                <w:rFonts w:ascii="Times New Roman" w:hAnsi="Times New Roman" w:cs="Times New Roman"/>
                <w:b/>
                <w:bCs/>
                <w:sz w:val="26"/>
                <w:szCs w:val="26"/>
              </w:rPr>
            </w:pPr>
            <w:r w:rsidRPr="001E067A">
              <w:rPr>
                <w:rFonts w:ascii="Times New Roman" w:hAnsi="Times New Roman" w:cs="Times New Roman"/>
                <w:b/>
                <w:bCs/>
                <w:sz w:val="26"/>
                <w:szCs w:val="26"/>
              </w:rPr>
              <w:t>VII. Tiesību akta projekta izpildes nodrošināšana un tās ietekme uz institūcijām</w:t>
            </w:r>
          </w:p>
        </w:tc>
      </w:tr>
      <w:tr w:rsidR="00075CB1" w:rsidRPr="001E067A" w14:paraId="4C713C91" w14:textId="77777777" w:rsidTr="00517C25">
        <w:trPr>
          <w:trHeight w:val="420"/>
        </w:trPr>
        <w:tc>
          <w:tcPr>
            <w:tcW w:w="295" w:type="pct"/>
            <w:tcBorders>
              <w:top w:val="outset" w:sz="6" w:space="0" w:color="414142"/>
              <w:left w:val="outset" w:sz="6" w:space="0" w:color="414142"/>
              <w:bottom w:val="outset" w:sz="6" w:space="0" w:color="414142"/>
              <w:right w:val="outset" w:sz="6" w:space="0" w:color="414142"/>
            </w:tcBorders>
            <w:hideMark/>
          </w:tcPr>
          <w:p w14:paraId="334FD2BE" w14:textId="77777777" w:rsidR="00075CB1" w:rsidRPr="001E067A" w:rsidRDefault="00075CB1" w:rsidP="00517C25">
            <w:pPr>
              <w:rPr>
                <w:rFonts w:ascii="Times New Roman" w:hAnsi="Times New Roman" w:cs="Times New Roman"/>
                <w:sz w:val="26"/>
                <w:szCs w:val="26"/>
              </w:rPr>
            </w:pPr>
            <w:r w:rsidRPr="001E067A">
              <w:rPr>
                <w:rFonts w:ascii="Times New Roman" w:hAnsi="Times New Roman" w:cs="Times New Roman"/>
                <w:sz w:val="26"/>
                <w:szCs w:val="26"/>
              </w:rPr>
              <w:t>1.</w:t>
            </w:r>
          </w:p>
        </w:tc>
        <w:tc>
          <w:tcPr>
            <w:tcW w:w="1470" w:type="pct"/>
            <w:tcBorders>
              <w:top w:val="outset" w:sz="6" w:space="0" w:color="414142"/>
              <w:left w:val="outset" w:sz="6" w:space="0" w:color="414142"/>
              <w:bottom w:val="outset" w:sz="6" w:space="0" w:color="414142"/>
              <w:right w:val="outset" w:sz="6" w:space="0" w:color="414142"/>
            </w:tcBorders>
            <w:hideMark/>
          </w:tcPr>
          <w:p w14:paraId="18548364" w14:textId="77777777" w:rsidR="00075CB1" w:rsidRPr="001E067A" w:rsidRDefault="00075CB1" w:rsidP="00517C25">
            <w:pPr>
              <w:rPr>
                <w:rFonts w:ascii="Times New Roman" w:hAnsi="Times New Roman" w:cs="Times New Roman"/>
                <w:sz w:val="26"/>
                <w:szCs w:val="26"/>
              </w:rPr>
            </w:pPr>
            <w:r w:rsidRPr="001E067A">
              <w:rPr>
                <w:rFonts w:ascii="Times New Roman" w:hAnsi="Times New Roman" w:cs="Times New Roman"/>
                <w:sz w:val="26"/>
                <w:szCs w:val="26"/>
              </w:rPr>
              <w:t>Projekta izpildē iesaistītās institūcijas</w:t>
            </w:r>
          </w:p>
        </w:tc>
        <w:tc>
          <w:tcPr>
            <w:tcW w:w="3235" w:type="pct"/>
            <w:tcBorders>
              <w:top w:val="outset" w:sz="6" w:space="0" w:color="414142"/>
              <w:left w:val="outset" w:sz="6" w:space="0" w:color="414142"/>
              <w:bottom w:val="outset" w:sz="6" w:space="0" w:color="414142"/>
              <w:right w:val="outset" w:sz="6" w:space="0" w:color="414142"/>
            </w:tcBorders>
            <w:hideMark/>
          </w:tcPr>
          <w:p w14:paraId="7D4147ED" w14:textId="77777777" w:rsidR="00075CB1" w:rsidRPr="001E067A" w:rsidRDefault="00075CB1" w:rsidP="00517C25">
            <w:pPr>
              <w:spacing w:after="0" w:line="240" w:lineRule="auto"/>
              <w:rPr>
                <w:rFonts w:ascii="Times New Roman" w:hAnsi="Times New Roman" w:cs="Times New Roman"/>
                <w:sz w:val="26"/>
                <w:szCs w:val="26"/>
              </w:rPr>
            </w:pPr>
            <w:r w:rsidRPr="001E067A">
              <w:rPr>
                <w:rFonts w:ascii="Times New Roman" w:hAnsi="Times New Roman" w:cs="Times New Roman"/>
                <w:sz w:val="26"/>
                <w:szCs w:val="26"/>
              </w:rPr>
              <w:t>Zinātniskās institūcijas, augstskolas, LZP, Izglītības un zinātnes ministrija</w:t>
            </w:r>
            <w:r>
              <w:rPr>
                <w:rFonts w:ascii="Times New Roman" w:hAnsi="Times New Roman" w:cs="Times New Roman"/>
                <w:sz w:val="26"/>
                <w:szCs w:val="26"/>
              </w:rPr>
              <w:t>, Akadēmiskās informācijas centrs, Augstākā izglītības padome</w:t>
            </w:r>
            <w:r w:rsidRPr="001E067A">
              <w:rPr>
                <w:rFonts w:ascii="Times New Roman" w:hAnsi="Times New Roman" w:cs="Times New Roman"/>
                <w:sz w:val="26"/>
                <w:szCs w:val="26"/>
              </w:rPr>
              <w:t>.</w:t>
            </w:r>
          </w:p>
        </w:tc>
      </w:tr>
      <w:tr w:rsidR="00075CB1" w:rsidRPr="001E067A" w14:paraId="1E9B4BEC" w14:textId="77777777" w:rsidTr="00517C25">
        <w:trPr>
          <w:trHeight w:val="450"/>
        </w:trPr>
        <w:tc>
          <w:tcPr>
            <w:tcW w:w="295" w:type="pct"/>
            <w:tcBorders>
              <w:top w:val="outset" w:sz="6" w:space="0" w:color="414142"/>
              <w:left w:val="outset" w:sz="6" w:space="0" w:color="414142"/>
              <w:bottom w:val="outset" w:sz="6" w:space="0" w:color="414142"/>
              <w:right w:val="outset" w:sz="6" w:space="0" w:color="414142"/>
            </w:tcBorders>
            <w:hideMark/>
          </w:tcPr>
          <w:p w14:paraId="2F2D6F0D" w14:textId="77777777" w:rsidR="00075CB1" w:rsidRPr="001E067A" w:rsidRDefault="00075CB1" w:rsidP="00517C25">
            <w:pPr>
              <w:rPr>
                <w:rFonts w:ascii="Times New Roman" w:hAnsi="Times New Roman" w:cs="Times New Roman"/>
                <w:sz w:val="26"/>
                <w:szCs w:val="26"/>
              </w:rPr>
            </w:pPr>
            <w:r w:rsidRPr="001E067A">
              <w:rPr>
                <w:rFonts w:ascii="Times New Roman" w:hAnsi="Times New Roman" w:cs="Times New Roman"/>
                <w:sz w:val="26"/>
                <w:szCs w:val="26"/>
              </w:rPr>
              <w:t>2.</w:t>
            </w:r>
          </w:p>
        </w:tc>
        <w:tc>
          <w:tcPr>
            <w:tcW w:w="1470" w:type="pct"/>
            <w:tcBorders>
              <w:top w:val="outset" w:sz="6" w:space="0" w:color="414142"/>
              <w:left w:val="outset" w:sz="6" w:space="0" w:color="414142"/>
              <w:bottom w:val="outset" w:sz="6" w:space="0" w:color="414142"/>
              <w:right w:val="outset" w:sz="6" w:space="0" w:color="414142"/>
            </w:tcBorders>
            <w:hideMark/>
          </w:tcPr>
          <w:p w14:paraId="7D0A2088" w14:textId="77777777" w:rsidR="00075CB1" w:rsidRPr="001E067A" w:rsidRDefault="00075CB1" w:rsidP="00517C25">
            <w:pPr>
              <w:spacing w:after="0" w:line="240" w:lineRule="auto"/>
              <w:rPr>
                <w:rFonts w:ascii="Times New Roman" w:hAnsi="Times New Roman" w:cs="Times New Roman"/>
                <w:sz w:val="26"/>
                <w:szCs w:val="26"/>
              </w:rPr>
            </w:pPr>
            <w:r w:rsidRPr="001E067A">
              <w:rPr>
                <w:rFonts w:ascii="Times New Roman" w:hAnsi="Times New Roman" w:cs="Times New Roman"/>
                <w:sz w:val="26"/>
                <w:szCs w:val="26"/>
              </w:rPr>
              <w:t>Projekta izpildes ietekme uz pārvaldes funkcijām un institucionālo struktūru.</w:t>
            </w:r>
          </w:p>
          <w:p w14:paraId="088F074F" w14:textId="77777777" w:rsidR="00075CB1" w:rsidRPr="001E067A" w:rsidRDefault="00075CB1" w:rsidP="00517C25">
            <w:pPr>
              <w:spacing w:after="0" w:line="240" w:lineRule="auto"/>
              <w:rPr>
                <w:rFonts w:ascii="Times New Roman" w:hAnsi="Times New Roman" w:cs="Times New Roman"/>
                <w:sz w:val="26"/>
                <w:szCs w:val="26"/>
              </w:rPr>
            </w:pPr>
            <w:r w:rsidRPr="001E067A">
              <w:rPr>
                <w:rFonts w:ascii="Times New Roman" w:hAnsi="Times New Roman" w:cs="Times New Roman"/>
                <w:sz w:val="26"/>
                <w:szCs w:val="26"/>
              </w:rPr>
              <w:t>Jaunu institūciju izveide, esošu institūciju likvidācija vai reorganizācija, to ietekme uz institūcijas cilvēkresursiem</w:t>
            </w:r>
          </w:p>
        </w:tc>
        <w:tc>
          <w:tcPr>
            <w:tcW w:w="3235" w:type="pct"/>
            <w:tcBorders>
              <w:top w:val="outset" w:sz="6" w:space="0" w:color="414142"/>
              <w:left w:val="outset" w:sz="6" w:space="0" w:color="414142"/>
              <w:bottom w:val="outset" w:sz="6" w:space="0" w:color="414142"/>
              <w:right w:val="outset" w:sz="6" w:space="0" w:color="414142"/>
            </w:tcBorders>
            <w:hideMark/>
          </w:tcPr>
          <w:p w14:paraId="72180596" w14:textId="77777777" w:rsidR="00075CB1" w:rsidRPr="001E067A" w:rsidRDefault="00075CB1" w:rsidP="00517C25">
            <w:pPr>
              <w:jc w:val="both"/>
              <w:rPr>
                <w:rFonts w:ascii="Times New Roman" w:hAnsi="Times New Roman" w:cs="Times New Roman"/>
                <w:sz w:val="26"/>
                <w:szCs w:val="26"/>
              </w:rPr>
            </w:pPr>
            <w:r w:rsidRPr="001E067A">
              <w:rPr>
                <w:rFonts w:ascii="Times New Roman" w:hAnsi="Times New Roman" w:cs="Times New Roman"/>
                <w:sz w:val="26"/>
                <w:szCs w:val="26"/>
              </w:rPr>
              <w:t>Projekts šo jomu neskar.</w:t>
            </w:r>
          </w:p>
        </w:tc>
      </w:tr>
      <w:tr w:rsidR="00075CB1" w:rsidRPr="001E067A" w14:paraId="324CDF88" w14:textId="77777777" w:rsidTr="00517C25">
        <w:trPr>
          <w:trHeight w:val="390"/>
        </w:trPr>
        <w:tc>
          <w:tcPr>
            <w:tcW w:w="295" w:type="pct"/>
            <w:tcBorders>
              <w:top w:val="outset" w:sz="6" w:space="0" w:color="414142"/>
              <w:left w:val="outset" w:sz="6" w:space="0" w:color="414142"/>
              <w:bottom w:val="outset" w:sz="6" w:space="0" w:color="414142"/>
              <w:right w:val="outset" w:sz="6" w:space="0" w:color="414142"/>
            </w:tcBorders>
            <w:hideMark/>
          </w:tcPr>
          <w:p w14:paraId="46BC5D19" w14:textId="77777777" w:rsidR="00075CB1" w:rsidRPr="001E067A" w:rsidRDefault="00075CB1" w:rsidP="00517C25">
            <w:pPr>
              <w:rPr>
                <w:rFonts w:ascii="Times New Roman" w:hAnsi="Times New Roman" w:cs="Times New Roman"/>
                <w:sz w:val="26"/>
                <w:szCs w:val="26"/>
              </w:rPr>
            </w:pPr>
            <w:r w:rsidRPr="001E067A">
              <w:rPr>
                <w:rFonts w:ascii="Times New Roman" w:hAnsi="Times New Roman" w:cs="Times New Roman"/>
                <w:sz w:val="26"/>
                <w:szCs w:val="26"/>
              </w:rPr>
              <w:lastRenderedPageBreak/>
              <w:t>3.</w:t>
            </w:r>
          </w:p>
        </w:tc>
        <w:tc>
          <w:tcPr>
            <w:tcW w:w="1470" w:type="pct"/>
            <w:tcBorders>
              <w:top w:val="outset" w:sz="6" w:space="0" w:color="414142"/>
              <w:left w:val="outset" w:sz="6" w:space="0" w:color="414142"/>
              <w:bottom w:val="outset" w:sz="6" w:space="0" w:color="414142"/>
              <w:right w:val="outset" w:sz="6" w:space="0" w:color="414142"/>
            </w:tcBorders>
            <w:hideMark/>
          </w:tcPr>
          <w:p w14:paraId="434C630C" w14:textId="77777777" w:rsidR="00075CB1" w:rsidRPr="001E067A" w:rsidRDefault="00075CB1" w:rsidP="00517C25">
            <w:pPr>
              <w:rPr>
                <w:rFonts w:ascii="Times New Roman" w:hAnsi="Times New Roman" w:cs="Times New Roman"/>
                <w:sz w:val="26"/>
                <w:szCs w:val="26"/>
              </w:rPr>
            </w:pPr>
            <w:r w:rsidRPr="001E067A">
              <w:rPr>
                <w:rFonts w:ascii="Times New Roman" w:hAnsi="Times New Roman" w:cs="Times New Roman"/>
                <w:sz w:val="26"/>
                <w:szCs w:val="26"/>
              </w:rPr>
              <w:t>Cita informācija</w:t>
            </w:r>
          </w:p>
        </w:tc>
        <w:tc>
          <w:tcPr>
            <w:tcW w:w="3235" w:type="pct"/>
            <w:tcBorders>
              <w:top w:val="outset" w:sz="6" w:space="0" w:color="414142"/>
              <w:left w:val="outset" w:sz="6" w:space="0" w:color="414142"/>
              <w:bottom w:val="outset" w:sz="6" w:space="0" w:color="414142"/>
              <w:right w:val="outset" w:sz="6" w:space="0" w:color="414142"/>
            </w:tcBorders>
          </w:tcPr>
          <w:p w14:paraId="64808A77" w14:textId="77777777" w:rsidR="00075CB1" w:rsidRPr="001E067A" w:rsidRDefault="00075CB1" w:rsidP="00517C25">
            <w:pPr>
              <w:spacing w:after="0" w:line="240" w:lineRule="auto"/>
              <w:jc w:val="both"/>
              <w:rPr>
                <w:rFonts w:ascii="Times New Roman" w:hAnsi="Times New Roman" w:cs="Times New Roman"/>
                <w:sz w:val="26"/>
                <w:szCs w:val="26"/>
              </w:rPr>
            </w:pPr>
            <w:r w:rsidRPr="001E067A">
              <w:rPr>
                <w:rFonts w:ascii="Times New Roman" w:hAnsi="Times New Roman" w:cs="Times New Roman"/>
                <w:sz w:val="26"/>
                <w:szCs w:val="26"/>
              </w:rPr>
              <w:t>Nav.</w:t>
            </w:r>
          </w:p>
        </w:tc>
      </w:tr>
    </w:tbl>
    <w:p w14:paraId="2EBC2B6D" w14:textId="77777777" w:rsidR="00075CB1" w:rsidRDefault="00075CB1" w:rsidP="008C1B34">
      <w:pPr>
        <w:spacing w:after="0"/>
        <w:rPr>
          <w:rFonts w:ascii="Times New Roman" w:hAnsi="Times New Roman" w:cs="Times New Roman"/>
          <w:sz w:val="26"/>
          <w:szCs w:val="26"/>
        </w:rPr>
      </w:pPr>
    </w:p>
    <w:p w14:paraId="380008B9" w14:textId="77777777" w:rsidR="005C0E71" w:rsidRPr="001E067A" w:rsidRDefault="005C0E71" w:rsidP="008C1B34">
      <w:pPr>
        <w:pStyle w:val="naisf"/>
        <w:tabs>
          <w:tab w:val="left" w:pos="6804"/>
        </w:tabs>
        <w:spacing w:before="0" w:after="0"/>
        <w:ind w:firstLine="0"/>
        <w:rPr>
          <w:sz w:val="26"/>
          <w:szCs w:val="26"/>
        </w:rPr>
      </w:pPr>
      <w:r w:rsidRPr="001E067A">
        <w:rPr>
          <w:sz w:val="26"/>
          <w:szCs w:val="26"/>
        </w:rPr>
        <w:t>Izglītības un zinātnes ministrs</w:t>
      </w:r>
      <w:r w:rsidRPr="001E067A">
        <w:rPr>
          <w:sz w:val="26"/>
          <w:szCs w:val="26"/>
        </w:rPr>
        <w:tab/>
      </w:r>
      <w:r w:rsidRPr="001E067A">
        <w:rPr>
          <w:sz w:val="26"/>
          <w:szCs w:val="26"/>
        </w:rPr>
        <w:tab/>
        <w:t>Kārlis Šadurskis</w:t>
      </w:r>
    </w:p>
    <w:p w14:paraId="745B7BA5" w14:textId="77777777" w:rsidR="005C0E71" w:rsidRPr="001E067A" w:rsidRDefault="005C0E71" w:rsidP="005C0E71">
      <w:pPr>
        <w:pStyle w:val="naisf"/>
        <w:tabs>
          <w:tab w:val="left" w:pos="6804"/>
        </w:tabs>
        <w:spacing w:before="0" w:after="0"/>
        <w:ind w:firstLine="0"/>
        <w:rPr>
          <w:sz w:val="26"/>
          <w:szCs w:val="26"/>
        </w:rPr>
      </w:pPr>
    </w:p>
    <w:p w14:paraId="37A75492" w14:textId="77777777" w:rsidR="005C0E71" w:rsidRPr="001E067A" w:rsidRDefault="009508E0" w:rsidP="005C0E71">
      <w:pPr>
        <w:pStyle w:val="naisf"/>
        <w:tabs>
          <w:tab w:val="left" w:pos="6804"/>
        </w:tabs>
        <w:spacing w:before="0" w:after="0"/>
        <w:ind w:firstLine="0"/>
        <w:rPr>
          <w:sz w:val="26"/>
          <w:szCs w:val="26"/>
        </w:rPr>
      </w:pPr>
      <w:r w:rsidRPr="001E067A">
        <w:rPr>
          <w:sz w:val="26"/>
          <w:szCs w:val="26"/>
        </w:rPr>
        <w:t>V</w:t>
      </w:r>
      <w:r w:rsidR="001D729F" w:rsidRPr="001E067A">
        <w:rPr>
          <w:sz w:val="26"/>
          <w:szCs w:val="26"/>
        </w:rPr>
        <w:t>īza</w:t>
      </w:r>
      <w:r w:rsidR="005C0E71" w:rsidRPr="001E067A">
        <w:rPr>
          <w:sz w:val="26"/>
          <w:szCs w:val="26"/>
        </w:rPr>
        <w:t>:</w:t>
      </w:r>
    </w:p>
    <w:p w14:paraId="29644446" w14:textId="77777777" w:rsidR="005C0E71" w:rsidRPr="001E067A" w:rsidRDefault="005C0E71" w:rsidP="005C0E71">
      <w:pPr>
        <w:pStyle w:val="naisf"/>
        <w:tabs>
          <w:tab w:val="left" w:pos="6804"/>
        </w:tabs>
        <w:spacing w:before="0" w:after="0"/>
        <w:ind w:firstLine="0"/>
        <w:rPr>
          <w:sz w:val="26"/>
          <w:szCs w:val="26"/>
        </w:rPr>
      </w:pPr>
      <w:r w:rsidRPr="001E067A">
        <w:rPr>
          <w:sz w:val="26"/>
          <w:szCs w:val="26"/>
        </w:rPr>
        <w:t>valsts sekretāre</w:t>
      </w:r>
      <w:r w:rsidRPr="001E067A">
        <w:rPr>
          <w:sz w:val="26"/>
          <w:szCs w:val="26"/>
        </w:rPr>
        <w:tab/>
      </w:r>
      <w:r w:rsidRPr="001E067A">
        <w:rPr>
          <w:sz w:val="26"/>
          <w:szCs w:val="26"/>
        </w:rPr>
        <w:tab/>
        <w:t>Līga Lejiņa</w:t>
      </w:r>
    </w:p>
    <w:p w14:paraId="68B1F1E7" w14:textId="77777777" w:rsidR="00075CB1" w:rsidRDefault="00075CB1" w:rsidP="009508E0">
      <w:pPr>
        <w:spacing w:after="0" w:line="240" w:lineRule="auto"/>
        <w:jc w:val="both"/>
        <w:rPr>
          <w:rFonts w:ascii="Times New Roman" w:hAnsi="Times New Roman" w:cs="Times New Roman"/>
          <w:sz w:val="24"/>
          <w:szCs w:val="24"/>
        </w:rPr>
      </w:pPr>
    </w:p>
    <w:p w14:paraId="08083893" w14:textId="5165DA43" w:rsidR="005C0E71" w:rsidRPr="001E067A" w:rsidRDefault="00027A9A" w:rsidP="009508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08</w:t>
      </w:r>
      <w:r w:rsidR="00EF7B16" w:rsidRPr="001E067A">
        <w:rPr>
          <w:rFonts w:ascii="Times New Roman" w:hAnsi="Times New Roman" w:cs="Times New Roman"/>
          <w:sz w:val="24"/>
          <w:szCs w:val="24"/>
        </w:rPr>
        <w:t>.</w:t>
      </w:r>
      <w:r>
        <w:rPr>
          <w:rFonts w:ascii="Times New Roman" w:hAnsi="Times New Roman" w:cs="Times New Roman"/>
          <w:sz w:val="24"/>
          <w:szCs w:val="24"/>
        </w:rPr>
        <w:t>12</w:t>
      </w:r>
      <w:r w:rsidR="00EF7B16" w:rsidRPr="001E067A">
        <w:rPr>
          <w:rFonts w:ascii="Times New Roman" w:hAnsi="Times New Roman" w:cs="Times New Roman"/>
          <w:sz w:val="24"/>
          <w:szCs w:val="24"/>
        </w:rPr>
        <w:t>.2017</w:t>
      </w:r>
      <w:r w:rsidR="005C0E71" w:rsidRPr="001E067A">
        <w:rPr>
          <w:rFonts w:ascii="Times New Roman" w:hAnsi="Times New Roman" w:cs="Times New Roman"/>
          <w:sz w:val="24"/>
          <w:szCs w:val="24"/>
        </w:rPr>
        <w:t>.</w:t>
      </w:r>
      <w:r w:rsidR="00145956" w:rsidRPr="001E067A">
        <w:rPr>
          <w:rFonts w:ascii="Times New Roman" w:hAnsi="Times New Roman" w:cs="Times New Roman"/>
          <w:sz w:val="24"/>
          <w:szCs w:val="24"/>
        </w:rPr>
        <w:t xml:space="preserve"> </w:t>
      </w:r>
      <w:r w:rsidR="00F73358">
        <w:rPr>
          <w:rFonts w:ascii="Times New Roman" w:hAnsi="Times New Roman" w:cs="Times New Roman"/>
          <w:sz w:val="24"/>
          <w:szCs w:val="24"/>
        </w:rPr>
        <w:t>1</w:t>
      </w:r>
      <w:r w:rsidR="005C1583">
        <w:rPr>
          <w:rFonts w:ascii="Times New Roman" w:hAnsi="Times New Roman" w:cs="Times New Roman"/>
          <w:sz w:val="24"/>
          <w:szCs w:val="24"/>
        </w:rPr>
        <w:t>3</w:t>
      </w:r>
      <w:r w:rsidR="00145956" w:rsidRPr="001E067A">
        <w:rPr>
          <w:rFonts w:ascii="Times New Roman" w:hAnsi="Times New Roman" w:cs="Times New Roman"/>
          <w:sz w:val="24"/>
          <w:szCs w:val="24"/>
        </w:rPr>
        <w:t>:</w:t>
      </w:r>
      <w:r w:rsidR="00F73358">
        <w:rPr>
          <w:rFonts w:ascii="Times New Roman" w:hAnsi="Times New Roman" w:cs="Times New Roman"/>
          <w:sz w:val="24"/>
          <w:szCs w:val="24"/>
        </w:rPr>
        <w:t>55</w:t>
      </w:r>
    </w:p>
    <w:p w14:paraId="7D7239C5" w14:textId="02FC23CB" w:rsidR="00942BE8" w:rsidRPr="001E067A" w:rsidRDefault="00290D25" w:rsidP="009508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2035</w:t>
      </w:r>
    </w:p>
    <w:p w14:paraId="7B0E3B8B" w14:textId="77777777" w:rsidR="00290D25" w:rsidRDefault="00B87B6B" w:rsidP="009508E0">
      <w:pPr>
        <w:spacing w:after="0" w:line="240" w:lineRule="auto"/>
        <w:jc w:val="both"/>
        <w:rPr>
          <w:rFonts w:ascii="Times New Roman" w:hAnsi="Times New Roman" w:cs="Times New Roman"/>
          <w:sz w:val="24"/>
          <w:szCs w:val="24"/>
        </w:rPr>
      </w:pPr>
      <w:r w:rsidRPr="001E067A">
        <w:rPr>
          <w:rFonts w:ascii="Times New Roman" w:hAnsi="Times New Roman" w:cs="Times New Roman"/>
          <w:sz w:val="24"/>
          <w:szCs w:val="24"/>
        </w:rPr>
        <w:t>K.</w:t>
      </w:r>
      <w:r w:rsidR="0078243E" w:rsidRPr="001E067A">
        <w:rPr>
          <w:rFonts w:ascii="Times New Roman" w:hAnsi="Times New Roman" w:cs="Times New Roman"/>
          <w:sz w:val="24"/>
          <w:szCs w:val="24"/>
        </w:rPr>
        <w:t xml:space="preserve"> </w:t>
      </w:r>
      <w:r w:rsidRPr="001E067A">
        <w:rPr>
          <w:rFonts w:ascii="Times New Roman" w:hAnsi="Times New Roman" w:cs="Times New Roman"/>
          <w:sz w:val="24"/>
          <w:szCs w:val="24"/>
        </w:rPr>
        <w:t>Veldre, 67047857</w:t>
      </w:r>
    </w:p>
    <w:p w14:paraId="03EFE5A9" w14:textId="20DD0BCA" w:rsidR="005C0E71" w:rsidRPr="001E067A" w:rsidRDefault="005B7834" w:rsidP="009508E0">
      <w:pPr>
        <w:spacing w:after="0" w:line="240" w:lineRule="auto"/>
        <w:jc w:val="both"/>
        <w:rPr>
          <w:rFonts w:ascii="Times New Roman" w:hAnsi="Times New Roman" w:cs="Times New Roman"/>
          <w:sz w:val="24"/>
          <w:szCs w:val="24"/>
        </w:rPr>
      </w:pPr>
      <w:hyperlink r:id="rId10" w:history="1">
        <w:r w:rsidR="00B87B6B" w:rsidRPr="001E067A">
          <w:rPr>
            <w:rStyle w:val="Hyperlink"/>
            <w:rFonts w:ascii="Times New Roman" w:hAnsi="Times New Roman" w:cs="Times New Roman"/>
            <w:color w:val="auto"/>
            <w:sz w:val="24"/>
            <w:szCs w:val="24"/>
            <w:u w:val="none"/>
          </w:rPr>
          <w:t>kaspars.veldre@izm.gov.lv</w:t>
        </w:r>
      </w:hyperlink>
      <w:r w:rsidR="00290D25">
        <w:rPr>
          <w:rStyle w:val="Hyperlink"/>
          <w:rFonts w:ascii="Times New Roman" w:hAnsi="Times New Roman" w:cs="Times New Roman"/>
          <w:color w:val="auto"/>
          <w:sz w:val="24"/>
          <w:szCs w:val="24"/>
          <w:u w:val="none"/>
        </w:rPr>
        <w:t xml:space="preserve"> </w:t>
      </w:r>
    </w:p>
    <w:p w14:paraId="1F3A82CD" w14:textId="77777777" w:rsidR="00290D25" w:rsidRDefault="00B87B6B" w:rsidP="008D160B">
      <w:pPr>
        <w:spacing w:after="0" w:line="240" w:lineRule="auto"/>
        <w:jc w:val="both"/>
        <w:rPr>
          <w:rFonts w:ascii="Times New Roman" w:hAnsi="Times New Roman" w:cs="Times New Roman"/>
          <w:sz w:val="24"/>
          <w:szCs w:val="24"/>
        </w:rPr>
      </w:pPr>
      <w:r w:rsidRPr="001E067A">
        <w:rPr>
          <w:rFonts w:ascii="Times New Roman" w:hAnsi="Times New Roman" w:cs="Times New Roman"/>
          <w:sz w:val="24"/>
          <w:szCs w:val="24"/>
        </w:rPr>
        <w:t>N.</w:t>
      </w:r>
      <w:r w:rsidR="0078243E" w:rsidRPr="001E067A">
        <w:rPr>
          <w:rFonts w:ascii="Times New Roman" w:hAnsi="Times New Roman" w:cs="Times New Roman"/>
          <w:sz w:val="24"/>
          <w:szCs w:val="24"/>
        </w:rPr>
        <w:t xml:space="preserve"> </w:t>
      </w:r>
      <w:r w:rsidRPr="001E067A">
        <w:rPr>
          <w:rFonts w:ascii="Times New Roman" w:hAnsi="Times New Roman" w:cs="Times New Roman"/>
          <w:sz w:val="24"/>
          <w:szCs w:val="24"/>
        </w:rPr>
        <w:t>Mazure, 6704</w:t>
      </w:r>
      <w:r w:rsidR="009508E0" w:rsidRPr="001E067A">
        <w:rPr>
          <w:rFonts w:ascii="Times New Roman" w:hAnsi="Times New Roman" w:cs="Times New Roman"/>
          <w:sz w:val="24"/>
          <w:szCs w:val="24"/>
        </w:rPr>
        <w:t>7940</w:t>
      </w:r>
    </w:p>
    <w:p w14:paraId="2C39ED15" w14:textId="5B19F8AE" w:rsidR="00EF7B16" w:rsidRPr="005E6620" w:rsidRDefault="005B7834" w:rsidP="008D160B">
      <w:pPr>
        <w:spacing w:after="0" w:line="240" w:lineRule="auto"/>
        <w:jc w:val="both"/>
        <w:rPr>
          <w:rFonts w:ascii="Times New Roman" w:hAnsi="Times New Roman" w:cs="Times New Roman"/>
          <w:sz w:val="24"/>
          <w:szCs w:val="24"/>
        </w:rPr>
      </w:pPr>
      <w:hyperlink r:id="rId11" w:history="1">
        <w:r w:rsidR="001D3EB9" w:rsidRPr="001E067A">
          <w:rPr>
            <w:rStyle w:val="Hyperlink"/>
            <w:rFonts w:ascii="Times New Roman" w:hAnsi="Times New Roman" w:cs="Times New Roman"/>
            <w:color w:val="auto"/>
            <w:sz w:val="24"/>
            <w:szCs w:val="24"/>
            <w:u w:val="none"/>
          </w:rPr>
          <w:t>nadezda.mazure@izm.gov.lv</w:t>
        </w:r>
      </w:hyperlink>
      <w:r w:rsidR="00290D25">
        <w:rPr>
          <w:rStyle w:val="Hyperlink"/>
          <w:rFonts w:ascii="Times New Roman" w:hAnsi="Times New Roman" w:cs="Times New Roman"/>
          <w:color w:val="auto"/>
          <w:sz w:val="24"/>
          <w:szCs w:val="24"/>
          <w:u w:val="none"/>
        </w:rPr>
        <w:t xml:space="preserve"> </w:t>
      </w:r>
      <w:bookmarkStart w:id="0" w:name="_GoBack"/>
      <w:bookmarkEnd w:id="0"/>
    </w:p>
    <w:sectPr w:rsidR="00EF7B16" w:rsidRPr="005E6620" w:rsidSect="004E73EB">
      <w:headerReference w:type="default" r:id="rId12"/>
      <w:footerReference w:type="default" r:id="rId13"/>
      <w:footerReference w:type="first" r:id="rId14"/>
      <w:pgSz w:w="12240" w:h="15840"/>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B025A3" w14:textId="77777777" w:rsidR="005B7834" w:rsidRDefault="005B7834" w:rsidP="0074133E">
      <w:pPr>
        <w:spacing w:after="0" w:line="240" w:lineRule="auto"/>
      </w:pPr>
      <w:r>
        <w:separator/>
      </w:r>
    </w:p>
  </w:endnote>
  <w:endnote w:type="continuationSeparator" w:id="0">
    <w:p w14:paraId="260716AD" w14:textId="77777777" w:rsidR="005B7834" w:rsidRDefault="005B7834" w:rsidP="007413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kChampa">
    <w:panose1 w:val="020B0604020202020204"/>
    <w:charset w:val="00"/>
    <w:family w:val="swiss"/>
    <w:pitch w:val="variable"/>
    <w:sig w:usb0="03000003" w:usb1="00000000" w:usb2="00000000" w:usb3="00000000" w:csb0="0001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985C38" w14:textId="0BE4A272" w:rsidR="0074133E" w:rsidRPr="004E73EB" w:rsidRDefault="009114C7" w:rsidP="004E73EB">
    <w:pPr>
      <w:pStyle w:val="Footer"/>
      <w:jc w:val="both"/>
      <w:rPr>
        <w:rFonts w:ascii="Times New Roman" w:hAnsi="Times New Roman" w:cs="Times New Roman"/>
        <w:sz w:val="24"/>
        <w:szCs w:val="24"/>
      </w:rPr>
    </w:pPr>
    <w:r w:rsidRPr="004E73EB">
      <w:rPr>
        <w:rFonts w:ascii="Times New Roman" w:hAnsi="Times New Roman" w:cs="Times New Roman"/>
        <w:sz w:val="24"/>
        <w:szCs w:val="24"/>
      </w:rPr>
      <w:t>IZMAnot_</w:t>
    </w:r>
    <w:r w:rsidR="00027A9A">
      <w:rPr>
        <w:rFonts w:ascii="Times New Roman" w:hAnsi="Times New Roman" w:cs="Times New Roman"/>
        <w:sz w:val="24"/>
        <w:szCs w:val="24"/>
      </w:rPr>
      <w:t>081217</w:t>
    </w:r>
    <w:r w:rsidR="0074133E" w:rsidRPr="004E73EB">
      <w:rPr>
        <w:rFonts w:ascii="Times New Roman" w:hAnsi="Times New Roman" w:cs="Times New Roman"/>
        <w:sz w:val="24"/>
        <w:szCs w:val="24"/>
      </w:rPr>
      <w:t>_nozare</w:t>
    </w:r>
    <w:r w:rsidR="00E05E0C" w:rsidRPr="004E73EB">
      <w:rPr>
        <w:rFonts w:ascii="Times New Roman" w:hAnsi="Times New Roman" w:cs="Times New Roman"/>
        <w:sz w:val="24"/>
        <w:szCs w:val="24"/>
      </w:rPr>
      <w:t>s</w:t>
    </w:r>
    <w:r w:rsidR="0074133E" w:rsidRPr="004E73EB">
      <w:rPr>
        <w:rFonts w:ascii="Times New Roman" w:hAnsi="Times New Roman" w:cs="Times New Roman"/>
        <w:sz w:val="24"/>
        <w:szCs w:val="24"/>
      </w:rPr>
      <w:t xml:space="preserve">; Ministru kabineta noteikumu projekta “Noteikumi par </w:t>
    </w:r>
    <w:r w:rsidR="00660645" w:rsidRPr="004E73EB">
      <w:rPr>
        <w:rFonts w:ascii="Times New Roman" w:hAnsi="Times New Roman" w:cs="Times New Roman"/>
        <w:sz w:val="24"/>
        <w:szCs w:val="24"/>
      </w:rPr>
      <w:t xml:space="preserve">Latvijas </w:t>
    </w:r>
    <w:r w:rsidR="0074133E" w:rsidRPr="004E73EB">
      <w:rPr>
        <w:rFonts w:ascii="Times New Roman" w:hAnsi="Times New Roman" w:cs="Times New Roman"/>
        <w:sz w:val="24"/>
        <w:szCs w:val="24"/>
      </w:rPr>
      <w:t xml:space="preserve">zinātnes nozarēm un </w:t>
    </w:r>
    <w:proofErr w:type="spellStart"/>
    <w:r w:rsidR="0074133E" w:rsidRPr="004E73EB">
      <w:rPr>
        <w:rFonts w:ascii="Times New Roman" w:hAnsi="Times New Roman" w:cs="Times New Roman"/>
        <w:sz w:val="24"/>
        <w:szCs w:val="24"/>
      </w:rPr>
      <w:t>apakšnozarēm</w:t>
    </w:r>
    <w:proofErr w:type="spellEnd"/>
    <w:r w:rsidR="0074133E" w:rsidRPr="004E73EB">
      <w:rPr>
        <w:rFonts w:ascii="Times New Roman" w:hAnsi="Times New Roman" w:cs="Times New Roman"/>
        <w:sz w:val="24"/>
        <w:szCs w:val="24"/>
      </w:rPr>
      <w:t>”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3080D" w14:textId="082C3AD4" w:rsidR="004E73EB" w:rsidRPr="002258DE" w:rsidRDefault="004E73EB" w:rsidP="004E73EB">
    <w:pPr>
      <w:pStyle w:val="Footer"/>
      <w:jc w:val="both"/>
      <w:rPr>
        <w:rFonts w:ascii="Times New Roman" w:hAnsi="Times New Roman" w:cs="Times New Roman"/>
        <w:sz w:val="24"/>
        <w:szCs w:val="24"/>
      </w:rPr>
    </w:pPr>
    <w:r w:rsidRPr="002258DE">
      <w:rPr>
        <w:rFonts w:ascii="Times New Roman" w:hAnsi="Times New Roman" w:cs="Times New Roman"/>
        <w:sz w:val="24"/>
        <w:szCs w:val="24"/>
      </w:rPr>
      <w:t>I</w:t>
    </w:r>
    <w:r w:rsidR="000A3B4E">
      <w:rPr>
        <w:rFonts w:ascii="Times New Roman" w:hAnsi="Times New Roman" w:cs="Times New Roman"/>
        <w:sz w:val="24"/>
        <w:szCs w:val="24"/>
      </w:rPr>
      <w:t>ZMAnot_</w:t>
    </w:r>
    <w:r w:rsidR="0044290F">
      <w:rPr>
        <w:rFonts w:ascii="Times New Roman" w:hAnsi="Times New Roman" w:cs="Times New Roman"/>
        <w:sz w:val="24"/>
        <w:szCs w:val="24"/>
      </w:rPr>
      <w:t>1208</w:t>
    </w:r>
    <w:r w:rsidRPr="002258DE">
      <w:rPr>
        <w:rFonts w:ascii="Times New Roman" w:hAnsi="Times New Roman" w:cs="Times New Roman"/>
        <w:sz w:val="24"/>
        <w:szCs w:val="24"/>
      </w:rPr>
      <w:t xml:space="preserve">17_nozares; Ministru kabineta noteikumu projekta “Noteikumi par Latvijas zinātnes nozarēm un </w:t>
    </w:r>
    <w:proofErr w:type="spellStart"/>
    <w:r w:rsidRPr="002258DE">
      <w:rPr>
        <w:rFonts w:ascii="Times New Roman" w:hAnsi="Times New Roman" w:cs="Times New Roman"/>
        <w:sz w:val="24"/>
        <w:szCs w:val="24"/>
      </w:rPr>
      <w:t>apakšnozarēm</w:t>
    </w:r>
    <w:proofErr w:type="spellEnd"/>
    <w:r w:rsidRPr="002258DE">
      <w:rPr>
        <w:rFonts w:ascii="Times New Roman" w:hAnsi="Times New Roman" w:cs="Times New Roman"/>
        <w:sz w:val="24"/>
        <w:szCs w:val="24"/>
      </w:rPr>
      <w:t>”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8724CF" w14:textId="77777777" w:rsidR="005B7834" w:rsidRDefault="005B7834" w:rsidP="0074133E">
      <w:pPr>
        <w:spacing w:after="0" w:line="240" w:lineRule="auto"/>
      </w:pPr>
      <w:r>
        <w:separator/>
      </w:r>
    </w:p>
  </w:footnote>
  <w:footnote w:type="continuationSeparator" w:id="0">
    <w:p w14:paraId="6F43073B" w14:textId="77777777" w:rsidR="005B7834" w:rsidRDefault="005B7834" w:rsidP="007413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646045626"/>
      <w:docPartObj>
        <w:docPartGallery w:val="Page Numbers (Top of Page)"/>
        <w:docPartUnique/>
      </w:docPartObj>
    </w:sdtPr>
    <w:sdtEndPr>
      <w:rPr>
        <w:noProof/>
      </w:rPr>
    </w:sdtEndPr>
    <w:sdtContent>
      <w:p w14:paraId="4FEA5DEF" w14:textId="77777777" w:rsidR="004E73EB" w:rsidRPr="004E73EB" w:rsidRDefault="004E73EB">
        <w:pPr>
          <w:pStyle w:val="Header"/>
          <w:jc w:val="center"/>
          <w:rPr>
            <w:rFonts w:ascii="Times New Roman" w:hAnsi="Times New Roman" w:cs="Times New Roman"/>
            <w:sz w:val="24"/>
            <w:szCs w:val="24"/>
          </w:rPr>
        </w:pPr>
        <w:r w:rsidRPr="004E73EB">
          <w:rPr>
            <w:rFonts w:ascii="Times New Roman" w:hAnsi="Times New Roman" w:cs="Times New Roman"/>
            <w:sz w:val="24"/>
            <w:szCs w:val="24"/>
          </w:rPr>
          <w:fldChar w:fldCharType="begin"/>
        </w:r>
        <w:r w:rsidRPr="004E73EB">
          <w:rPr>
            <w:rFonts w:ascii="Times New Roman" w:hAnsi="Times New Roman" w:cs="Times New Roman"/>
            <w:sz w:val="24"/>
            <w:szCs w:val="24"/>
          </w:rPr>
          <w:instrText xml:space="preserve"> PAGE   \* MERGEFORMAT </w:instrText>
        </w:r>
        <w:r w:rsidRPr="004E73EB">
          <w:rPr>
            <w:rFonts w:ascii="Times New Roman" w:hAnsi="Times New Roman" w:cs="Times New Roman"/>
            <w:sz w:val="24"/>
            <w:szCs w:val="24"/>
          </w:rPr>
          <w:fldChar w:fldCharType="separate"/>
        </w:r>
        <w:r w:rsidR="00290D25">
          <w:rPr>
            <w:rFonts w:ascii="Times New Roman" w:hAnsi="Times New Roman" w:cs="Times New Roman"/>
            <w:noProof/>
            <w:sz w:val="24"/>
            <w:szCs w:val="24"/>
          </w:rPr>
          <w:t>8</w:t>
        </w:r>
        <w:r w:rsidRPr="004E73EB">
          <w:rPr>
            <w:rFonts w:ascii="Times New Roman" w:hAnsi="Times New Roman" w:cs="Times New Roman"/>
            <w:noProof/>
            <w:sz w:val="24"/>
            <w:szCs w:val="24"/>
          </w:rPr>
          <w:fldChar w:fldCharType="end"/>
        </w:r>
      </w:p>
    </w:sdtContent>
  </w:sdt>
  <w:p w14:paraId="6D227A8E" w14:textId="77777777" w:rsidR="004E73EB" w:rsidRDefault="004E73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965450"/>
    <w:multiLevelType w:val="hybridMultilevel"/>
    <w:tmpl w:val="DC92760C"/>
    <w:lvl w:ilvl="0" w:tplc="1936974C">
      <w:start w:val="2016"/>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69E24F07"/>
    <w:multiLevelType w:val="hybridMultilevel"/>
    <w:tmpl w:val="A7587C9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D9E"/>
    <w:rsid w:val="0000426A"/>
    <w:rsid w:val="000043C8"/>
    <w:rsid w:val="00005DB3"/>
    <w:rsid w:val="00011DB6"/>
    <w:rsid w:val="0001623B"/>
    <w:rsid w:val="00024EA1"/>
    <w:rsid w:val="00026663"/>
    <w:rsid w:val="00027A9A"/>
    <w:rsid w:val="000309A6"/>
    <w:rsid w:val="00035E47"/>
    <w:rsid w:val="000421B6"/>
    <w:rsid w:val="000474B9"/>
    <w:rsid w:val="00055D56"/>
    <w:rsid w:val="000705EC"/>
    <w:rsid w:val="00073DC5"/>
    <w:rsid w:val="00075CB1"/>
    <w:rsid w:val="00081559"/>
    <w:rsid w:val="00084863"/>
    <w:rsid w:val="00090BBB"/>
    <w:rsid w:val="00095CE4"/>
    <w:rsid w:val="00096FD2"/>
    <w:rsid w:val="000978BD"/>
    <w:rsid w:val="00097B57"/>
    <w:rsid w:val="000A3B4E"/>
    <w:rsid w:val="000A4003"/>
    <w:rsid w:val="000A5A1A"/>
    <w:rsid w:val="000B0F03"/>
    <w:rsid w:val="000B6289"/>
    <w:rsid w:val="000C0C00"/>
    <w:rsid w:val="000C4EC9"/>
    <w:rsid w:val="000D3A77"/>
    <w:rsid w:val="000D4EA8"/>
    <w:rsid w:val="000E056E"/>
    <w:rsid w:val="000E3B16"/>
    <w:rsid w:val="000E48B6"/>
    <w:rsid w:val="000F3357"/>
    <w:rsid w:val="000F51D7"/>
    <w:rsid w:val="001032BE"/>
    <w:rsid w:val="001063A9"/>
    <w:rsid w:val="001067FA"/>
    <w:rsid w:val="00111939"/>
    <w:rsid w:val="001246AB"/>
    <w:rsid w:val="00124FF3"/>
    <w:rsid w:val="00136B53"/>
    <w:rsid w:val="00136F4D"/>
    <w:rsid w:val="00145956"/>
    <w:rsid w:val="00147E9C"/>
    <w:rsid w:val="00150E44"/>
    <w:rsid w:val="00151DEC"/>
    <w:rsid w:val="00152E70"/>
    <w:rsid w:val="00153B4E"/>
    <w:rsid w:val="00161BA7"/>
    <w:rsid w:val="00173FC8"/>
    <w:rsid w:val="00176998"/>
    <w:rsid w:val="0018510C"/>
    <w:rsid w:val="00193C81"/>
    <w:rsid w:val="0019462E"/>
    <w:rsid w:val="00196B34"/>
    <w:rsid w:val="001A2268"/>
    <w:rsid w:val="001A5373"/>
    <w:rsid w:val="001B0175"/>
    <w:rsid w:val="001B5F25"/>
    <w:rsid w:val="001C5436"/>
    <w:rsid w:val="001C59AD"/>
    <w:rsid w:val="001C6EB2"/>
    <w:rsid w:val="001C754B"/>
    <w:rsid w:val="001D1B4B"/>
    <w:rsid w:val="001D3EB9"/>
    <w:rsid w:val="001D729F"/>
    <w:rsid w:val="001E067A"/>
    <w:rsid w:val="001E2DFC"/>
    <w:rsid w:val="001E39D2"/>
    <w:rsid w:val="001E5397"/>
    <w:rsid w:val="001E5760"/>
    <w:rsid w:val="001F28B5"/>
    <w:rsid w:val="001F6D45"/>
    <w:rsid w:val="00212521"/>
    <w:rsid w:val="00214E0C"/>
    <w:rsid w:val="0022194E"/>
    <w:rsid w:val="00221EC4"/>
    <w:rsid w:val="00222F68"/>
    <w:rsid w:val="002258DE"/>
    <w:rsid w:val="00225A10"/>
    <w:rsid w:val="00227FB2"/>
    <w:rsid w:val="00244E89"/>
    <w:rsid w:val="00245000"/>
    <w:rsid w:val="002456FB"/>
    <w:rsid w:val="00250C0B"/>
    <w:rsid w:val="002579C8"/>
    <w:rsid w:val="00261E59"/>
    <w:rsid w:val="00261F37"/>
    <w:rsid w:val="0026332B"/>
    <w:rsid w:val="00267A13"/>
    <w:rsid w:val="00267BFF"/>
    <w:rsid w:val="00272767"/>
    <w:rsid w:val="00273608"/>
    <w:rsid w:val="002744F4"/>
    <w:rsid w:val="00274538"/>
    <w:rsid w:val="00283470"/>
    <w:rsid w:val="00283643"/>
    <w:rsid w:val="00286CF7"/>
    <w:rsid w:val="00287C67"/>
    <w:rsid w:val="00290D25"/>
    <w:rsid w:val="00291D45"/>
    <w:rsid w:val="00293332"/>
    <w:rsid w:val="002A0202"/>
    <w:rsid w:val="002A0555"/>
    <w:rsid w:val="002A7C3C"/>
    <w:rsid w:val="002B36EE"/>
    <w:rsid w:val="002B4B1C"/>
    <w:rsid w:val="002B5F02"/>
    <w:rsid w:val="002C07EC"/>
    <w:rsid w:val="002C2D0A"/>
    <w:rsid w:val="002C7D1B"/>
    <w:rsid w:val="002D6187"/>
    <w:rsid w:val="002D6E00"/>
    <w:rsid w:val="002E23F4"/>
    <w:rsid w:val="002E2CE7"/>
    <w:rsid w:val="002F53B3"/>
    <w:rsid w:val="002F57BF"/>
    <w:rsid w:val="002F61A3"/>
    <w:rsid w:val="00303024"/>
    <w:rsid w:val="00333AE0"/>
    <w:rsid w:val="0033463E"/>
    <w:rsid w:val="00334689"/>
    <w:rsid w:val="00336697"/>
    <w:rsid w:val="00340405"/>
    <w:rsid w:val="00347879"/>
    <w:rsid w:val="00351328"/>
    <w:rsid w:val="00351C7E"/>
    <w:rsid w:val="003537C3"/>
    <w:rsid w:val="00357E8F"/>
    <w:rsid w:val="00360AA7"/>
    <w:rsid w:val="00360DDA"/>
    <w:rsid w:val="00363CC5"/>
    <w:rsid w:val="003656A6"/>
    <w:rsid w:val="00372D81"/>
    <w:rsid w:val="003754B8"/>
    <w:rsid w:val="00375ADC"/>
    <w:rsid w:val="00376E44"/>
    <w:rsid w:val="00376F72"/>
    <w:rsid w:val="0038026A"/>
    <w:rsid w:val="00381F88"/>
    <w:rsid w:val="00386705"/>
    <w:rsid w:val="00386C2D"/>
    <w:rsid w:val="00395D54"/>
    <w:rsid w:val="003A1147"/>
    <w:rsid w:val="003A1731"/>
    <w:rsid w:val="003A2344"/>
    <w:rsid w:val="003A4C94"/>
    <w:rsid w:val="003B34D5"/>
    <w:rsid w:val="003B5B88"/>
    <w:rsid w:val="003B5DF5"/>
    <w:rsid w:val="003C1111"/>
    <w:rsid w:val="003C5D11"/>
    <w:rsid w:val="003D38C8"/>
    <w:rsid w:val="003D4F05"/>
    <w:rsid w:val="003E48A9"/>
    <w:rsid w:val="003E6EED"/>
    <w:rsid w:val="003F5DD5"/>
    <w:rsid w:val="00402CCA"/>
    <w:rsid w:val="00412374"/>
    <w:rsid w:val="00424837"/>
    <w:rsid w:val="00427A46"/>
    <w:rsid w:val="00431E35"/>
    <w:rsid w:val="004324EC"/>
    <w:rsid w:val="00434414"/>
    <w:rsid w:val="00437372"/>
    <w:rsid w:val="0044290F"/>
    <w:rsid w:val="00443A4F"/>
    <w:rsid w:val="00445F34"/>
    <w:rsid w:val="00450E35"/>
    <w:rsid w:val="004510D1"/>
    <w:rsid w:val="004524DF"/>
    <w:rsid w:val="004547FE"/>
    <w:rsid w:val="004556EE"/>
    <w:rsid w:val="00456F8E"/>
    <w:rsid w:val="00467323"/>
    <w:rsid w:val="0047426A"/>
    <w:rsid w:val="00475D4E"/>
    <w:rsid w:val="00477D09"/>
    <w:rsid w:val="00480514"/>
    <w:rsid w:val="00487D63"/>
    <w:rsid w:val="00492480"/>
    <w:rsid w:val="00492FAF"/>
    <w:rsid w:val="004941BE"/>
    <w:rsid w:val="00496578"/>
    <w:rsid w:val="004A1228"/>
    <w:rsid w:val="004A2776"/>
    <w:rsid w:val="004A4E49"/>
    <w:rsid w:val="004A5335"/>
    <w:rsid w:val="004A7059"/>
    <w:rsid w:val="004A7EE2"/>
    <w:rsid w:val="004D0336"/>
    <w:rsid w:val="004D2DF3"/>
    <w:rsid w:val="004D4A47"/>
    <w:rsid w:val="004E1928"/>
    <w:rsid w:val="004E64C1"/>
    <w:rsid w:val="004E73EB"/>
    <w:rsid w:val="004F2312"/>
    <w:rsid w:val="00502EA4"/>
    <w:rsid w:val="005049A5"/>
    <w:rsid w:val="0050675C"/>
    <w:rsid w:val="00511CD5"/>
    <w:rsid w:val="005148CC"/>
    <w:rsid w:val="0051786C"/>
    <w:rsid w:val="00523EC1"/>
    <w:rsid w:val="00535CF9"/>
    <w:rsid w:val="00540FAD"/>
    <w:rsid w:val="00541B23"/>
    <w:rsid w:val="0054683D"/>
    <w:rsid w:val="0055330C"/>
    <w:rsid w:val="00560711"/>
    <w:rsid w:val="00572B57"/>
    <w:rsid w:val="00577CF2"/>
    <w:rsid w:val="0058169F"/>
    <w:rsid w:val="00586839"/>
    <w:rsid w:val="0059684B"/>
    <w:rsid w:val="0059791E"/>
    <w:rsid w:val="005A2D45"/>
    <w:rsid w:val="005A3CB6"/>
    <w:rsid w:val="005A6197"/>
    <w:rsid w:val="005B24A9"/>
    <w:rsid w:val="005B6FE9"/>
    <w:rsid w:val="005B7834"/>
    <w:rsid w:val="005C0E71"/>
    <w:rsid w:val="005C1583"/>
    <w:rsid w:val="005C2ADF"/>
    <w:rsid w:val="005C4F45"/>
    <w:rsid w:val="005C777C"/>
    <w:rsid w:val="005D5157"/>
    <w:rsid w:val="005D5D95"/>
    <w:rsid w:val="005E0F5F"/>
    <w:rsid w:val="005E1B33"/>
    <w:rsid w:val="005E3007"/>
    <w:rsid w:val="005E6620"/>
    <w:rsid w:val="005E6B90"/>
    <w:rsid w:val="00602D35"/>
    <w:rsid w:val="00603B55"/>
    <w:rsid w:val="00613661"/>
    <w:rsid w:val="00632D6D"/>
    <w:rsid w:val="00634756"/>
    <w:rsid w:val="006375F0"/>
    <w:rsid w:val="006379F7"/>
    <w:rsid w:val="00640D79"/>
    <w:rsid w:val="00641B21"/>
    <w:rsid w:val="00642481"/>
    <w:rsid w:val="0065084D"/>
    <w:rsid w:val="0065623B"/>
    <w:rsid w:val="00656E9B"/>
    <w:rsid w:val="00660645"/>
    <w:rsid w:val="00661893"/>
    <w:rsid w:val="00665A2D"/>
    <w:rsid w:val="006806BC"/>
    <w:rsid w:val="00682960"/>
    <w:rsid w:val="00684058"/>
    <w:rsid w:val="006847A5"/>
    <w:rsid w:val="006901C1"/>
    <w:rsid w:val="00694ED8"/>
    <w:rsid w:val="006962B0"/>
    <w:rsid w:val="006A37D7"/>
    <w:rsid w:val="006A6A7D"/>
    <w:rsid w:val="006B6F47"/>
    <w:rsid w:val="006C1CDB"/>
    <w:rsid w:val="006C32DF"/>
    <w:rsid w:val="006D36FA"/>
    <w:rsid w:val="006D59D0"/>
    <w:rsid w:val="006E001C"/>
    <w:rsid w:val="006E050E"/>
    <w:rsid w:val="006E1A75"/>
    <w:rsid w:val="006F5D9E"/>
    <w:rsid w:val="0070111F"/>
    <w:rsid w:val="0070553A"/>
    <w:rsid w:val="00706FF5"/>
    <w:rsid w:val="00711CAF"/>
    <w:rsid w:val="007204F7"/>
    <w:rsid w:val="007236C9"/>
    <w:rsid w:val="0072390A"/>
    <w:rsid w:val="00724A32"/>
    <w:rsid w:val="00737555"/>
    <w:rsid w:val="0074133E"/>
    <w:rsid w:val="00757591"/>
    <w:rsid w:val="0076419D"/>
    <w:rsid w:val="0076528F"/>
    <w:rsid w:val="00766263"/>
    <w:rsid w:val="00767342"/>
    <w:rsid w:val="00773AFF"/>
    <w:rsid w:val="0077555D"/>
    <w:rsid w:val="0078243E"/>
    <w:rsid w:val="00783B57"/>
    <w:rsid w:val="007867B0"/>
    <w:rsid w:val="00786994"/>
    <w:rsid w:val="007871B4"/>
    <w:rsid w:val="007960EA"/>
    <w:rsid w:val="007A2838"/>
    <w:rsid w:val="007A5CED"/>
    <w:rsid w:val="007B2B83"/>
    <w:rsid w:val="007B4483"/>
    <w:rsid w:val="007C0E6C"/>
    <w:rsid w:val="007C245E"/>
    <w:rsid w:val="007D2145"/>
    <w:rsid w:val="007D2913"/>
    <w:rsid w:val="007D5897"/>
    <w:rsid w:val="007D732B"/>
    <w:rsid w:val="007E0B64"/>
    <w:rsid w:val="007E42F0"/>
    <w:rsid w:val="007E4680"/>
    <w:rsid w:val="007E49C1"/>
    <w:rsid w:val="007E5CFA"/>
    <w:rsid w:val="007E6399"/>
    <w:rsid w:val="007E6663"/>
    <w:rsid w:val="007E667F"/>
    <w:rsid w:val="007E7FFB"/>
    <w:rsid w:val="007F0067"/>
    <w:rsid w:val="007F17FB"/>
    <w:rsid w:val="007F46A5"/>
    <w:rsid w:val="007F4E6C"/>
    <w:rsid w:val="00800229"/>
    <w:rsid w:val="00801A20"/>
    <w:rsid w:val="00802C46"/>
    <w:rsid w:val="008107DF"/>
    <w:rsid w:val="00813F24"/>
    <w:rsid w:val="008158E6"/>
    <w:rsid w:val="00816E78"/>
    <w:rsid w:val="00816EE4"/>
    <w:rsid w:val="008201BC"/>
    <w:rsid w:val="00822F82"/>
    <w:rsid w:val="008256B7"/>
    <w:rsid w:val="0084165E"/>
    <w:rsid w:val="00843B80"/>
    <w:rsid w:val="00845218"/>
    <w:rsid w:val="0084758E"/>
    <w:rsid w:val="008523AD"/>
    <w:rsid w:val="008542A8"/>
    <w:rsid w:val="0085430B"/>
    <w:rsid w:val="008561EB"/>
    <w:rsid w:val="008562CB"/>
    <w:rsid w:val="00856A61"/>
    <w:rsid w:val="00864640"/>
    <w:rsid w:val="00870A0F"/>
    <w:rsid w:val="008739D6"/>
    <w:rsid w:val="00874F66"/>
    <w:rsid w:val="008775D8"/>
    <w:rsid w:val="00881461"/>
    <w:rsid w:val="00882AF7"/>
    <w:rsid w:val="00892F41"/>
    <w:rsid w:val="008A3328"/>
    <w:rsid w:val="008A34B9"/>
    <w:rsid w:val="008A7C77"/>
    <w:rsid w:val="008B375E"/>
    <w:rsid w:val="008C1B34"/>
    <w:rsid w:val="008C47D9"/>
    <w:rsid w:val="008C7D32"/>
    <w:rsid w:val="008D160B"/>
    <w:rsid w:val="008D5A0F"/>
    <w:rsid w:val="008D6675"/>
    <w:rsid w:val="008E7EBA"/>
    <w:rsid w:val="008F0C3A"/>
    <w:rsid w:val="008F4633"/>
    <w:rsid w:val="008F52A9"/>
    <w:rsid w:val="00904047"/>
    <w:rsid w:val="009040D3"/>
    <w:rsid w:val="00910943"/>
    <w:rsid w:val="009110F4"/>
    <w:rsid w:val="009114C7"/>
    <w:rsid w:val="00915755"/>
    <w:rsid w:val="009164EE"/>
    <w:rsid w:val="009371C6"/>
    <w:rsid w:val="00941394"/>
    <w:rsid w:val="00942BE8"/>
    <w:rsid w:val="00944079"/>
    <w:rsid w:val="00947B2F"/>
    <w:rsid w:val="009508E0"/>
    <w:rsid w:val="00956304"/>
    <w:rsid w:val="00962F69"/>
    <w:rsid w:val="009659AA"/>
    <w:rsid w:val="00971471"/>
    <w:rsid w:val="00973D3E"/>
    <w:rsid w:val="009766A3"/>
    <w:rsid w:val="0098255A"/>
    <w:rsid w:val="009A28E6"/>
    <w:rsid w:val="009B7534"/>
    <w:rsid w:val="009C0477"/>
    <w:rsid w:val="009C4800"/>
    <w:rsid w:val="009C7F89"/>
    <w:rsid w:val="009D2664"/>
    <w:rsid w:val="009E1167"/>
    <w:rsid w:val="009E3957"/>
    <w:rsid w:val="009E5719"/>
    <w:rsid w:val="009E6DCB"/>
    <w:rsid w:val="009E6E9A"/>
    <w:rsid w:val="00A06637"/>
    <w:rsid w:val="00A06A5B"/>
    <w:rsid w:val="00A20835"/>
    <w:rsid w:val="00A265C2"/>
    <w:rsid w:val="00A3427E"/>
    <w:rsid w:val="00A37568"/>
    <w:rsid w:val="00A404F0"/>
    <w:rsid w:val="00A47D30"/>
    <w:rsid w:val="00A52043"/>
    <w:rsid w:val="00A53497"/>
    <w:rsid w:val="00A53E69"/>
    <w:rsid w:val="00A62BC0"/>
    <w:rsid w:val="00A64360"/>
    <w:rsid w:val="00A643AA"/>
    <w:rsid w:val="00A64C2B"/>
    <w:rsid w:val="00A70BFC"/>
    <w:rsid w:val="00A735E7"/>
    <w:rsid w:val="00A82AC0"/>
    <w:rsid w:val="00A86409"/>
    <w:rsid w:val="00A87C4C"/>
    <w:rsid w:val="00A9762D"/>
    <w:rsid w:val="00AA0A41"/>
    <w:rsid w:val="00AA46BC"/>
    <w:rsid w:val="00AB16CF"/>
    <w:rsid w:val="00AD3614"/>
    <w:rsid w:val="00AD4A43"/>
    <w:rsid w:val="00AD6CE4"/>
    <w:rsid w:val="00AE2D1B"/>
    <w:rsid w:val="00AE49FA"/>
    <w:rsid w:val="00AF32EE"/>
    <w:rsid w:val="00AF5F27"/>
    <w:rsid w:val="00B014B8"/>
    <w:rsid w:val="00B02C4C"/>
    <w:rsid w:val="00B04943"/>
    <w:rsid w:val="00B108E7"/>
    <w:rsid w:val="00B13CFC"/>
    <w:rsid w:val="00B15EE3"/>
    <w:rsid w:val="00B1619A"/>
    <w:rsid w:val="00B22029"/>
    <w:rsid w:val="00B2708B"/>
    <w:rsid w:val="00B30843"/>
    <w:rsid w:val="00B33325"/>
    <w:rsid w:val="00B335E8"/>
    <w:rsid w:val="00B40102"/>
    <w:rsid w:val="00B446DA"/>
    <w:rsid w:val="00B4732D"/>
    <w:rsid w:val="00B50C14"/>
    <w:rsid w:val="00B5773F"/>
    <w:rsid w:val="00B60AFD"/>
    <w:rsid w:val="00B75E17"/>
    <w:rsid w:val="00B764CE"/>
    <w:rsid w:val="00B779AB"/>
    <w:rsid w:val="00B826F5"/>
    <w:rsid w:val="00B83261"/>
    <w:rsid w:val="00B8581E"/>
    <w:rsid w:val="00B87B6B"/>
    <w:rsid w:val="00B90AD8"/>
    <w:rsid w:val="00BA1789"/>
    <w:rsid w:val="00BA4306"/>
    <w:rsid w:val="00BA76B7"/>
    <w:rsid w:val="00BB089C"/>
    <w:rsid w:val="00BB5569"/>
    <w:rsid w:val="00BC3729"/>
    <w:rsid w:val="00BC7C35"/>
    <w:rsid w:val="00BD5448"/>
    <w:rsid w:val="00BE1403"/>
    <w:rsid w:val="00BE19BE"/>
    <w:rsid w:val="00BE7369"/>
    <w:rsid w:val="00C030CC"/>
    <w:rsid w:val="00C053C7"/>
    <w:rsid w:val="00C14D9E"/>
    <w:rsid w:val="00C155BD"/>
    <w:rsid w:val="00C211CB"/>
    <w:rsid w:val="00C26587"/>
    <w:rsid w:val="00C324E8"/>
    <w:rsid w:val="00C366C8"/>
    <w:rsid w:val="00C45C57"/>
    <w:rsid w:val="00C5201D"/>
    <w:rsid w:val="00C60A67"/>
    <w:rsid w:val="00C62115"/>
    <w:rsid w:val="00C63EEB"/>
    <w:rsid w:val="00C64114"/>
    <w:rsid w:val="00C64856"/>
    <w:rsid w:val="00C704EB"/>
    <w:rsid w:val="00C73404"/>
    <w:rsid w:val="00C73AF0"/>
    <w:rsid w:val="00C742F5"/>
    <w:rsid w:val="00C74FFB"/>
    <w:rsid w:val="00C76156"/>
    <w:rsid w:val="00C83723"/>
    <w:rsid w:val="00C91AE6"/>
    <w:rsid w:val="00C93E16"/>
    <w:rsid w:val="00C9627E"/>
    <w:rsid w:val="00CA1E4C"/>
    <w:rsid w:val="00CA46A9"/>
    <w:rsid w:val="00CA7336"/>
    <w:rsid w:val="00CA795D"/>
    <w:rsid w:val="00CB153A"/>
    <w:rsid w:val="00CB2B7B"/>
    <w:rsid w:val="00CB69C8"/>
    <w:rsid w:val="00CC0FE0"/>
    <w:rsid w:val="00CC2780"/>
    <w:rsid w:val="00CC4182"/>
    <w:rsid w:val="00CD2521"/>
    <w:rsid w:val="00CD3574"/>
    <w:rsid w:val="00CD7EE8"/>
    <w:rsid w:val="00CE4661"/>
    <w:rsid w:val="00CE4F1D"/>
    <w:rsid w:val="00CF696C"/>
    <w:rsid w:val="00D00246"/>
    <w:rsid w:val="00D01D47"/>
    <w:rsid w:val="00D03FE3"/>
    <w:rsid w:val="00D04FD4"/>
    <w:rsid w:val="00D1040F"/>
    <w:rsid w:val="00D1052A"/>
    <w:rsid w:val="00D10AAF"/>
    <w:rsid w:val="00D12863"/>
    <w:rsid w:val="00D220A3"/>
    <w:rsid w:val="00D23F2C"/>
    <w:rsid w:val="00D240A1"/>
    <w:rsid w:val="00D25048"/>
    <w:rsid w:val="00D26343"/>
    <w:rsid w:val="00D27489"/>
    <w:rsid w:val="00D27A43"/>
    <w:rsid w:val="00D3056F"/>
    <w:rsid w:val="00D33593"/>
    <w:rsid w:val="00D416F2"/>
    <w:rsid w:val="00D423CA"/>
    <w:rsid w:val="00D60F78"/>
    <w:rsid w:val="00D60FA2"/>
    <w:rsid w:val="00D61B15"/>
    <w:rsid w:val="00D72968"/>
    <w:rsid w:val="00D75DCE"/>
    <w:rsid w:val="00D777AF"/>
    <w:rsid w:val="00D77F3A"/>
    <w:rsid w:val="00D802CB"/>
    <w:rsid w:val="00D8195D"/>
    <w:rsid w:val="00D8386B"/>
    <w:rsid w:val="00D92994"/>
    <w:rsid w:val="00D93A07"/>
    <w:rsid w:val="00DA1FAC"/>
    <w:rsid w:val="00DA3012"/>
    <w:rsid w:val="00DA55D9"/>
    <w:rsid w:val="00DA7904"/>
    <w:rsid w:val="00DA7F35"/>
    <w:rsid w:val="00DB0E5F"/>
    <w:rsid w:val="00DB157C"/>
    <w:rsid w:val="00DD6B04"/>
    <w:rsid w:val="00DE24EE"/>
    <w:rsid w:val="00DE45AB"/>
    <w:rsid w:val="00DE566E"/>
    <w:rsid w:val="00DF0830"/>
    <w:rsid w:val="00DF2EF6"/>
    <w:rsid w:val="00DF4228"/>
    <w:rsid w:val="00E02161"/>
    <w:rsid w:val="00E05E0C"/>
    <w:rsid w:val="00E17401"/>
    <w:rsid w:val="00E1783D"/>
    <w:rsid w:val="00E25034"/>
    <w:rsid w:val="00E31842"/>
    <w:rsid w:val="00E3361D"/>
    <w:rsid w:val="00E345D7"/>
    <w:rsid w:val="00E3580C"/>
    <w:rsid w:val="00E408FA"/>
    <w:rsid w:val="00E41612"/>
    <w:rsid w:val="00E41A79"/>
    <w:rsid w:val="00E429CD"/>
    <w:rsid w:val="00E4635E"/>
    <w:rsid w:val="00E476BF"/>
    <w:rsid w:val="00E50525"/>
    <w:rsid w:val="00E53AB6"/>
    <w:rsid w:val="00E57146"/>
    <w:rsid w:val="00E57735"/>
    <w:rsid w:val="00E673C1"/>
    <w:rsid w:val="00E725C1"/>
    <w:rsid w:val="00E72934"/>
    <w:rsid w:val="00E7528B"/>
    <w:rsid w:val="00E84F21"/>
    <w:rsid w:val="00E867BE"/>
    <w:rsid w:val="00EA03B4"/>
    <w:rsid w:val="00EA0587"/>
    <w:rsid w:val="00EA2748"/>
    <w:rsid w:val="00EA2790"/>
    <w:rsid w:val="00EA4BD7"/>
    <w:rsid w:val="00EA6BF5"/>
    <w:rsid w:val="00EB0EF0"/>
    <w:rsid w:val="00EB27DB"/>
    <w:rsid w:val="00EB5830"/>
    <w:rsid w:val="00EB62F9"/>
    <w:rsid w:val="00ED1EF4"/>
    <w:rsid w:val="00ED2220"/>
    <w:rsid w:val="00ED313F"/>
    <w:rsid w:val="00ED3D57"/>
    <w:rsid w:val="00ED4B37"/>
    <w:rsid w:val="00EF7B16"/>
    <w:rsid w:val="00F00125"/>
    <w:rsid w:val="00F00DAE"/>
    <w:rsid w:val="00F01E1A"/>
    <w:rsid w:val="00F10F1E"/>
    <w:rsid w:val="00F21DAD"/>
    <w:rsid w:val="00F23687"/>
    <w:rsid w:val="00F2459D"/>
    <w:rsid w:val="00F26A93"/>
    <w:rsid w:val="00F31619"/>
    <w:rsid w:val="00F36A45"/>
    <w:rsid w:val="00F41A2E"/>
    <w:rsid w:val="00F437AE"/>
    <w:rsid w:val="00F43FC6"/>
    <w:rsid w:val="00F473DF"/>
    <w:rsid w:val="00F5100C"/>
    <w:rsid w:val="00F64E6E"/>
    <w:rsid w:val="00F65E5C"/>
    <w:rsid w:val="00F67E00"/>
    <w:rsid w:val="00F71D6D"/>
    <w:rsid w:val="00F720E9"/>
    <w:rsid w:val="00F73358"/>
    <w:rsid w:val="00FA27A4"/>
    <w:rsid w:val="00FA2C0A"/>
    <w:rsid w:val="00FB24A5"/>
    <w:rsid w:val="00FB6E7E"/>
    <w:rsid w:val="00FC07F4"/>
    <w:rsid w:val="00FC1111"/>
    <w:rsid w:val="00FD1797"/>
    <w:rsid w:val="00FD202E"/>
    <w:rsid w:val="00FD3BA4"/>
    <w:rsid w:val="00FD783A"/>
    <w:rsid w:val="00FE34CE"/>
    <w:rsid w:val="00FE4EAD"/>
    <w:rsid w:val="00FF2F63"/>
    <w:rsid w:val="00FF41AA"/>
  </w:rsids>
  <m:mathPr>
    <m:mathFont m:val="Cambria Math"/>
    <m:brkBin m:val="before"/>
    <m:brkBinSub m:val="--"/>
    <m:smallFrac m:val="0"/>
    <m:dispDef/>
    <m:lMargin m:val="0"/>
    <m:rMargin m:val="0"/>
    <m:defJc m:val="centerGroup"/>
    <m:wrapIndent m:val="1440"/>
    <m:intLim m:val="subSup"/>
    <m:naryLim m:val="undOvr"/>
  </m:mathPr>
  <w:themeFontLang w:val="ru-RU" w:bidi="lo-L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211AE3"/>
  <w15:docId w15:val="{B3E265EA-D95E-4AB8-B58C-E8C78A438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783D"/>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4D9E"/>
    <w:rPr>
      <w:color w:val="0563C1" w:themeColor="hyperlink"/>
      <w:u w:val="single"/>
    </w:rPr>
  </w:style>
  <w:style w:type="character" w:styleId="FollowedHyperlink">
    <w:name w:val="FollowedHyperlink"/>
    <w:basedOn w:val="DefaultParagraphFont"/>
    <w:uiPriority w:val="99"/>
    <w:semiHidden/>
    <w:unhideWhenUsed/>
    <w:rsid w:val="00767342"/>
    <w:rPr>
      <w:color w:val="954F72" w:themeColor="followedHyperlink"/>
      <w:u w:val="single"/>
    </w:rPr>
  </w:style>
  <w:style w:type="paragraph" w:customStyle="1" w:styleId="naisf">
    <w:name w:val="naisf"/>
    <w:basedOn w:val="Normal"/>
    <w:uiPriority w:val="99"/>
    <w:rsid w:val="005C0E71"/>
    <w:pPr>
      <w:spacing w:before="75" w:after="75" w:line="240" w:lineRule="auto"/>
      <w:ind w:firstLine="375"/>
      <w:jc w:val="both"/>
    </w:pPr>
    <w:rPr>
      <w:rFonts w:ascii="Times New Roman" w:eastAsia="Times New Roman" w:hAnsi="Times New Roman" w:cs="Times New Roman"/>
      <w:sz w:val="24"/>
      <w:szCs w:val="24"/>
      <w:lang w:eastAsia="lv-LV"/>
    </w:rPr>
  </w:style>
  <w:style w:type="table" w:styleId="TableGrid">
    <w:name w:val="Table Grid"/>
    <w:basedOn w:val="TableNormal"/>
    <w:rsid w:val="006A6A7D"/>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5034"/>
    <w:pPr>
      <w:ind w:left="720"/>
      <w:contextualSpacing/>
    </w:pPr>
  </w:style>
  <w:style w:type="paragraph" w:styleId="Header">
    <w:name w:val="header"/>
    <w:basedOn w:val="Normal"/>
    <w:link w:val="HeaderChar"/>
    <w:uiPriority w:val="99"/>
    <w:unhideWhenUsed/>
    <w:rsid w:val="0074133E"/>
    <w:pPr>
      <w:tabs>
        <w:tab w:val="center" w:pos="4153"/>
        <w:tab w:val="right" w:pos="8306"/>
      </w:tabs>
      <w:spacing w:after="0" w:line="240" w:lineRule="auto"/>
    </w:pPr>
  </w:style>
  <w:style w:type="character" w:customStyle="1" w:styleId="HeaderChar">
    <w:name w:val="Header Char"/>
    <w:basedOn w:val="DefaultParagraphFont"/>
    <w:link w:val="Header"/>
    <w:uiPriority w:val="99"/>
    <w:rsid w:val="0074133E"/>
    <w:rPr>
      <w:lang w:val="lv-LV"/>
    </w:rPr>
  </w:style>
  <w:style w:type="paragraph" w:styleId="Footer">
    <w:name w:val="footer"/>
    <w:basedOn w:val="Normal"/>
    <w:link w:val="FooterChar"/>
    <w:uiPriority w:val="99"/>
    <w:unhideWhenUsed/>
    <w:rsid w:val="0074133E"/>
    <w:pPr>
      <w:tabs>
        <w:tab w:val="center" w:pos="4153"/>
        <w:tab w:val="right" w:pos="8306"/>
      </w:tabs>
      <w:spacing w:after="0" w:line="240" w:lineRule="auto"/>
    </w:pPr>
  </w:style>
  <w:style w:type="character" w:customStyle="1" w:styleId="FooterChar">
    <w:name w:val="Footer Char"/>
    <w:basedOn w:val="DefaultParagraphFont"/>
    <w:link w:val="Footer"/>
    <w:uiPriority w:val="99"/>
    <w:rsid w:val="0074133E"/>
    <w:rPr>
      <w:lang w:val="lv-LV"/>
    </w:rPr>
  </w:style>
  <w:style w:type="character" w:styleId="CommentReference">
    <w:name w:val="annotation reference"/>
    <w:basedOn w:val="DefaultParagraphFont"/>
    <w:uiPriority w:val="99"/>
    <w:semiHidden/>
    <w:unhideWhenUsed/>
    <w:rsid w:val="001C5436"/>
    <w:rPr>
      <w:sz w:val="16"/>
      <w:szCs w:val="16"/>
    </w:rPr>
  </w:style>
  <w:style w:type="paragraph" w:styleId="CommentText">
    <w:name w:val="annotation text"/>
    <w:basedOn w:val="Normal"/>
    <w:link w:val="CommentTextChar"/>
    <w:uiPriority w:val="99"/>
    <w:semiHidden/>
    <w:unhideWhenUsed/>
    <w:rsid w:val="001C5436"/>
    <w:pPr>
      <w:spacing w:line="240" w:lineRule="auto"/>
    </w:pPr>
    <w:rPr>
      <w:sz w:val="20"/>
      <w:szCs w:val="20"/>
    </w:rPr>
  </w:style>
  <w:style w:type="character" w:customStyle="1" w:styleId="CommentTextChar">
    <w:name w:val="Comment Text Char"/>
    <w:basedOn w:val="DefaultParagraphFont"/>
    <w:link w:val="CommentText"/>
    <w:uiPriority w:val="99"/>
    <w:semiHidden/>
    <w:rsid w:val="001C5436"/>
    <w:rPr>
      <w:sz w:val="20"/>
      <w:szCs w:val="20"/>
      <w:lang w:val="lv-LV"/>
    </w:rPr>
  </w:style>
  <w:style w:type="paragraph" w:styleId="CommentSubject">
    <w:name w:val="annotation subject"/>
    <w:basedOn w:val="CommentText"/>
    <w:next w:val="CommentText"/>
    <w:link w:val="CommentSubjectChar"/>
    <w:uiPriority w:val="99"/>
    <w:semiHidden/>
    <w:unhideWhenUsed/>
    <w:rsid w:val="001C5436"/>
    <w:rPr>
      <w:b/>
      <w:bCs/>
    </w:rPr>
  </w:style>
  <w:style w:type="character" w:customStyle="1" w:styleId="CommentSubjectChar">
    <w:name w:val="Comment Subject Char"/>
    <w:basedOn w:val="CommentTextChar"/>
    <w:link w:val="CommentSubject"/>
    <w:uiPriority w:val="99"/>
    <w:semiHidden/>
    <w:rsid w:val="001C5436"/>
    <w:rPr>
      <w:b/>
      <w:bCs/>
      <w:sz w:val="20"/>
      <w:szCs w:val="20"/>
      <w:lang w:val="lv-LV"/>
    </w:rPr>
  </w:style>
  <w:style w:type="paragraph" w:styleId="BalloonText">
    <w:name w:val="Balloon Text"/>
    <w:basedOn w:val="Normal"/>
    <w:link w:val="BalloonTextChar"/>
    <w:uiPriority w:val="99"/>
    <w:semiHidden/>
    <w:unhideWhenUsed/>
    <w:rsid w:val="001C54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5436"/>
    <w:rPr>
      <w:rFonts w:ascii="Segoe UI" w:hAnsi="Segoe UI" w:cs="Segoe UI"/>
      <w:sz w:val="18"/>
      <w:szCs w:val="18"/>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00768">
      <w:bodyDiv w:val="1"/>
      <w:marLeft w:val="0"/>
      <w:marRight w:val="0"/>
      <w:marTop w:val="0"/>
      <w:marBottom w:val="0"/>
      <w:divBdr>
        <w:top w:val="none" w:sz="0" w:space="0" w:color="auto"/>
        <w:left w:val="none" w:sz="0" w:space="0" w:color="auto"/>
        <w:bottom w:val="none" w:sz="0" w:space="0" w:color="auto"/>
        <w:right w:val="none" w:sz="0" w:space="0" w:color="auto"/>
      </w:divBdr>
      <w:divsChild>
        <w:div w:id="642394162">
          <w:marLeft w:val="0"/>
          <w:marRight w:val="0"/>
          <w:marTop w:val="400"/>
          <w:marBottom w:val="0"/>
          <w:divBdr>
            <w:top w:val="none" w:sz="0" w:space="0" w:color="auto"/>
            <w:left w:val="none" w:sz="0" w:space="0" w:color="auto"/>
            <w:bottom w:val="none" w:sz="0" w:space="0" w:color="auto"/>
            <w:right w:val="none" w:sz="0" w:space="0" w:color="auto"/>
          </w:divBdr>
        </w:div>
        <w:div w:id="227765492">
          <w:marLeft w:val="0"/>
          <w:marRight w:val="0"/>
          <w:marTop w:val="240"/>
          <w:marBottom w:val="0"/>
          <w:divBdr>
            <w:top w:val="none" w:sz="0" w:space="0" w:color="auto"/>
            <w:left w:val="none" w:sz="0" w:space="0" w:color="auto"/>
            <w:bottom w:val="none" w:sz="0" w:space="0" w:color="auto"/>
            <w:right w:val="none" w:sz="0" w:space="0" w:color="auto"/>
          </w:divBdr>
        </w:div>
      </w:divsChild>
    </w:div>
    <w:div w:id="309599126">
      <w:bodyDiv w:val="1"/>
      <w:marLeft w:val="0"/>
      <w:marRight w:val="0"/>
      <w:marTop w:val="0"/>
      <w:marBottom w:val="0"/>
      <w:divBdr>
        <w:top w:val="none" w:sz="0" w:space="0" w:color="auto"/>
        <w:left w:val="none" w:sz="0" w:space="0" w:color="auto"/>
        <w:bottom w:val="none" w:sz="0" w:space="0" w:color="auto"/>
        <w:right w:val="none" w:sz="0" w:space="0" w:color="auto"/>
      </w:divBdr>
    </w:div>
    <w:div w:id="1206675277">
      <w:bodyDiv w:val="1"/>
      <w:marLeft w:val="0"/>
      <w:marRight w:val="0"/>
      <w:marTop w:val="0"/>
      <w:marBottom w:val="0"/>
      <w:divBdr>
        <w:top w:val="none" w:sz="0" w:space="0" w:color="auto"/>
        <w:left w:val="none" w:sz="0" w:space="0" w:color="auto"/>
        <w:bottom w:val="none" w:sz="0" w:space="0" w:color="auto"/>
        <w:right w:val="none" w:sz="0" w:space="0" w:color="auto"/>
      </w:divBdr>
      <w:divsChild>
        <w:div w:id="1080441379">
          <w:marLeft w:val="0"/>
          <w:marRight w:val="0"/>
          <w:marTop w:val="0"/>
          <w:marBottom w:val="0"/>
          <w:divBdr>
            <w:top w:val="none" w:sz="0" w:space="0" w:color="auto"/>
            <w:left w:val="none" w:sz="0" w:space="0" w:color="auto"/>
            <w:bottom w:val="none" w:sz="0" w:space="0" w:color="auto"/>
            <w:right w:val="none" w:sz="0" w:space="0" w:color="auto"/>
          </w:divBdr>
        </w:div>
        <w:div w:id="1692412175">
          <w:marLeft w:val="0"/>
          <w:marRight w:val="0"/>
          <w:marTop w:val="0"/>
          <w:marBottom w:val="0"/>
          <w:divBdr>
            <w:top w:val="none" w:sz="0" w:space="0" w:color="auto"/>
            <w:left w:val="none" w:sz="0" w:space="0" w:color="auto"/>
            <w:bottom w:val="none" w:sz="0" w:space="0" w:color="auto"/>
            <w:right w:val="none" w:sz="0" w:space="0" w:color="auto"/>
          </w:divBdr>
        </w:div>
        <w:div w:id="946616928">
          <w:marLeft w:val="0"/>
          <w:marRight w:val="0"/>
          <w:marTop w:val="0"/>
          <w:marBottom w:val="0"/>
          <w:divBdr>
            <w:top w:val="none" w:sz="0" w:space="0" w:color="auto"/>
            <w:left w:val="none" w:sz="0" w:space="0" w:color="auto"/>
            <w:bottom w:val="none" w:sz="0" w:space="0" w:color="auto"/>
            <w:right w:val="none" w:sz="0" w:space="0" w:color="auto"/>
          </w:divBdr>
        </w:div>
        <w:div w:id="368604323">
          <w:marLeft w:val="0"/>
          <w:marRight w:val="0"/>
          <w:marTop w:val="0"/>
          <w:marBottom w:val="0"/>
          <w:divBdr>
            <w:top w:val="none" w:sz="0" w:space="0" w:color="auto"/>
            <w:left w:val="none" w:sz="0" w:space="0" w:color="auto"/>
            <w:bottom w:val="none" w:sz="0" w:space="0" w:color="auto"/>
            <w:right w:val="none" w:sz="0" w:space="0" w:color="auto"/>
          </w:divBdr>
        </w:div>
      </w:divsChild>
    </w:div>
    <w:div w:id="1334263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ecd.org/science/inno/38235147.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dezda.mazure@izm.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aspars.veldre@izm.gov.lv" TargetMode="External"/><Relationship Id="rId4" Type="http://schemas.openxmlformats.org/officeDocument/2006/relationships/settings" Target="settings.xml"/><Relationship Id="rId9" Type="http://schemas.openxmlformats.org/officeDocument/2006/relationships/hyperlink" Target="http://izm.gov.lv/lv/normativie-akti/normativo-aktu-projekti"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DCD2CB-608A-4D1E-A8A5-21544E5A9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9</Pages>
  <Words>2524</Words>
  <Characters>14387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Izgl'itibas un zinatnes ministrija</Company>
  <LinksUpToDate>false</LinksUpToDate>
  <CharactersWithSpaces>16878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Nadežda Mazure</dc:creator>
  <cp:keywords/>
  <dc:description/>
  <cp:lastModifiedBy>Nadežda Mazure</cp:lastModifiedBy>
  <cp:revision>66</cp:revision>
  <dcterms:created xsi:type="dcterms:W3CDTF">2017-11-10T14:56:00Z</dcterms:created>
  <dcterms:modified xsi:type="dcterms:W3CDTF">2017-12-08T12:39:00Z</dcterms:modified>
</cp:coreProperties>
</file>