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7A655" w14:textId="77777777" w:rsidR="009A72C5" w:rsidRPr="008A4B76" w:rsidRDefault="009A72C5" w:rsidP="009A72C5">
      <w:pPr>
        <w:contextualSpacing/>
        <w:jc w:val="center"/>
        <w:rPr>
          <w:b/>
          <w:bCs/>
          <w:sz w:val="28"/>
          <w:szCs w:val="28"/>
        </w:rPr>
      </w:pPr>
      <w:r w:rsidRPr="008A4B76">
        <w:rPr>
          <w:b/>
          <w:sz w:val="28"/>
          <w:szCs w:val="28"/>
        </w:rPr>
        <w:t>Ministru kabineta noteikumu projekta „</w:t>
      </w:r>
      <w:r w:rsidR="005651E9" w:rsidRPr="008A4B76">
        <w:rPr>
          <w:b/>
          <w:bCs/>
          <w:sz w:val="28"/>
          <w:szCs w:val="28"/>
        </w:rPr>
        <w:t xml:space="preserve">Darbības programmas „Izaugsme un nodarbinātība” </w:t>
      </w:r>
      <w:r w:rsidR="008F69EB" w:rsidRPr="008A4B76">
        <w:rPr>
          <w:b/>
          <w:bCs/>
          <w:sz w:val="28"/>
          <w:szCs w:val="28"/>
        </w:rPr>
        <w:t xml:space="preserve">8.2.1. specifiskā atbalsta mērķa „Samazināt studiju programmu fragmentāciju un stiprināt resursu koplietošanu” </w:t>
      </w:r>
      <w:r w:rsidR="00CE4E41" w:rsidRPr="008A4B76">
        <w:rPr>
          <w:b/>
          <w:bCs/>
          <w:sz w:val="28"/>
          <w:szCs w:val="28"/>
        </w:rPr>
        <w:t xml:space="preserve">pirmās un otrās projektu iesniegumu atlases kārtas </w:t>
      </w:r>
      <w:r w:rsidR="008F69EB" w:rsidRPr="008A4B76">
        <w:rPr>
          <w:b/>
          <w:bCs/>
          <w:sz w:val="28"/>
          <w:szCs w:val="28"/>
        </w:rPr>
        <w:t>īstenošanas noteikumi” sākotnējās ietekmes novērtējuma ziņojums (anotācija)</w:t>
      </w:r>
    </w:p>
    <w:p w14:paraId="0234EED6" w14:textId="77777777" w:rsidR="009A72C5" w:rsidRPr="008A4B76" w:rsidRDefault="009A72C5" w:rsidP="009A72C5">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7"/>
        <w:gridCol w:w="143"/>
        <w:gridCol w:w="1295"/>
        <w:gridCol w:w="406"/>
        <w:gridCol w:w="6510"/>
      </w:tblGrid>
      <w:tr w:rsidR="009A72C5" w:rsidRPr="008A4B76" w14:paraId="02A1D097" w14:textId="77777777" w:rsidTr="001B4247">
        <w:tc>
          <w:tcPr>
            <w:tcW w:w="5000" w:type="pct"/>
            <w:gridSpan w:val="5"/>
            <w:tcBorders>
              <w:top w:val="single" w:sz="4" w:space="0" w:color="auto"/>
              <w:left w:val="single" w:sz="4" w:space="0" w:color="auto"/>
              <w:bottom w:val="outset" w:sz="6" w:space="0" w:color="000000"/>
              <w:right w:val="single" w:sz="4" w:space="0" w:color="auto"/>
            </w:tcBorders>
            <w:vAlign w:val="center"/>
          </w:tcPr>
          <w:p w14:paraId="43BB470F" w14:textId="77777777" w:rsidR="009A72C5" w:rsidRPr="008A4B76" w:rsidRDefault="009A72C5" w:rsidP="00DD2EFA">
            <w:pPr>
              <w:spacing w:before="100" w:beforeAutospacing="1" w:after="100" w:afterAutospacing="1"/>
              <w:jc w:val="center"/>
              <w:rPr>
                <w:b/>
                <w:bCs/>
              </w:rPr>
            </w:pPr>
            <w:r w:rsidRPr="008A4B76">
              <w:rPr>
                <w:b/>
                <w:bCs/>
              </w:rPr>
              <w:t>I. Tiesību akta projekta izstrādes nepieciešamība</w:t>
            </w:r>
          </w:p>
        </w:tc>
      </w:tr>
      <w:tr w:rsidR="009A72C5" w:rsidRPr="008A4B76" w14:paraId="78A11CAD" w14:textId="77777777" w:rsidTr="001B4247">
        <w:tc>
          <w:tcPr>
            <w:tcW w:w="161" w:type="pct"/>
            <w:tcBorders>
              <w:top w:val="outset" w:sz="6" w:space="0" w:color="000000"/>
              <w:left w:val="outset" w:sz="6" w:space="0" w:color="000000"/>
              <w:bottom w:val="outset" w:sz="6" w:space="0" w:color="000000"/>
              <w:right w:val="outset" w:sz="6" w:space="0" w:color="000000"/>
            </w:tcBorders>
          </w:tcPr>
          <w:p w14:paraId="14CBD593" w14:textId="77777777" w:rsidR="009A72C5" w:rsidRPr="008A4B76" w:rsidRDefault="009A72C5" w:rsidP="00DD2EFA">
            <w:pPr>
              <w:spacing w:before="100" w:beforeAutospacing="1" w:after="100" w:afterAutospacing="1"/>
            </w:pPr>
            <w:r w:rsidRPr="008A4B76">
              <w:t>1.</w:t>
            </w:r>
          </w:p>
        </w:tc>
        <w:tc>
          <w:tcPr>
            <w:tcW w:w="833" w:type="pct"/>
            <w:gridSpan w:val="2"/>
            <w:tcBorders>
              <w:top w:val="outset" w:sz="6" w:space="0" w:color="000000"/>
              <w:left w:val="outset" w:sz="6" w:space="0" w:color="000000"/>
              <w:bottom w:val="outset" w:sz="6" w:space="0" w:color="000000"/>
              <w:right w:val="outset" w:sz="6" w:space="0" w:color="000000"/>
            </w:tcBorders>
          </w:tcPr>
          <w:p w14:paraId="6ACD1C07" w14:textId="77777777" w:rsidR="009A72C5" w:rsidRPr="008A4B76" w:rsidRDefault="009A72C5" w:rsidP="00DD2EFA">
            <w:pPr>
              <w:spacing w:before="100" w:beforeAutospacing="1" w:after="100" w:afterAutospacing="1"/>
            </w:pPr>
            <w:r w:rsidRPr="008A4B76">
              <w:t>Pamatojums</w:t>
            </w:r>
          </w:p>
        </w:tc>
        <w:tc>
          <w:tcPr>
            <w:tcW w:w="4006" w:type="pct"/>
            <w:gridSpan w:val="2"/>
            <w:tcBorders>
              <w:top w:val="outset" w:sz="6" w:space="0" w:color="000000"/>
              <w:left w:val="outset" w:sz="6" w:space="0" w:color="000000"/>
              <w:bottom w:val="outset" w:sz="6" w:space="0" w:color="000000"/>
              <w:right w:val="outset" w:sz="6" w:space="0" w:color="000000"/>
            </w:tcBorders>
          </w:tcPr>
          <w:p w14:paraId="59B92F27" w14:textId="77777777" w:rsidR="009A72C5" w:rsidRPr="008A4B76" w:rsidRDefault="009A72C5" w:rsidP="000313BC">
            <w:pPr>
              <w:pStyle w:val="ListParagraph"/>
              <w:ind w:left="0" w:right="91" w:firstLine="516"/>
              <w:rPr>
                <w:szCs w:val="24"/>
              </w:rPr>
            </w:pPr>
            <w:r w:rsidRPr="008A4B76">
              <w:rPr>
                <w:szCs w:val="24"/>
              </w:rPr>
              <w:t>Ministru kabineta (turpmāk – MK) noteikumu projekts „</w:t>
            </w:r>
            <w:r w:rsidR="00086A35" w:rsidRPr="008A4B76">
              <w:rPr>
                <w:szCs w:val="24"/>
              </w:rPr>
              <w:t xml:space="preserve">Darbības programmas „Izaugsme un nodarbinātība” 8.2.1. specifiskā atbalsta mērķa „Samazināt studiju programmu fragmentāciju un stiprināt resursu koplietošanu” </w:t>
            </w:r>
            <w:r w:rsidR="00CE4E41" w:rsidRPr="008A4B76">
              <w:rPr>
                <w:szCs w:val="24"/>
              </w:rPr>
              <w:t>pirmās un otrās projektu iesniegumu atlases kārtas</w:t>
            </w:r>
            <w:r w:rsidR="00780384" w:rsidRPr="008A4B76">
              <w:rPr>
                <w:szCs w:val="24"/>
              </w:rPr>
              <w:t xml:space="preserve"> </w:t>
            </w:r>
            <w:r w:rsidR="00086A35" w:rsidRPr="008A4B76">
              <w:rPr>
                <w:szCs w:val="24"/>
              </w:rPr>
              <w:t>īstenošanas noteikumi”</w:t>
            </w:r>
            <w:r w:rsidRPr="008A4B76">
              <w:rPr>
                <w:szCs w:val="24"/>
              </w:rPr>
              <w:t xml:space="preserve"> (turpmāk – noteikumu projekts) sagatavots saskaņā ar:</w:t>
            </w:r>
          </w:p>
          <w:p w14:paraId="3052D9B0" w14:textId="69E0141C" w:rsidR="009A72C5" w:rsidRPr="008A4B76" w:rsidRDefault="009A72C5" w:rsidP="00B848E2">
            <w:pPr>
              <w:pStyle w:val="ListParagraph"/>
              <w:numPr>
                <w:ilvl w:val="0"/>
                <w:numId w:val="1"/>
              </w:numPr>
              <w:ind w:right="91"/>
              <w:rPr>
                <w:szCs w:val="24"/>
              </w:rPr>
            </w:pPr>
            <w:r w:rsidRPr="008A4B76">
              <w:rPr>
                <w:szCs w:val="24"/>
                <w:lang w:eastAsia="lv-LV"/>
              </w:rPr>
              <w:t>Eiropas Savienības struktūrfondu un Kohēzijas fonda 2014. – 2020.</w:t>
            </w:r>
            <w:r w:rsidR="00BA0E1E" w:rsidRPr="008A4B76">
              <w:rPr>
                <w:szCs w:val="24"/>
                <w:lang w:eastAsia="lv-LV"/>
              </w:rPr>
              <w:t xml:space="preserve"> </w:t>
            </w:r>
            <w:r w:rsidRPr="008A4B76">
              <w:rPr>
                <w:szCs w:val="24"/>
                <w:lang w:eastAsia="lv-LV"/>
              </w:rPr>
              <w:t xml:space="preserve">gada plānošanas perioda vadības likuma </w:t>
            </w:r>
            <w:r w:rsidRPr="008A4B76">
              <w:rPr>
                <w:bCs/>
                <w:szCs w:val="24"/>
              </w:rPr>
              <w:t>20.</w:t>
            </w:r>
            <w:r w:rsidR="00BA0E1E" w:rsidRPr="008A4B76">
              <w:rPr>
                <w:bCs/>
                <w:szCs w:val="24"/>
              </w:rPr>
              <w:t xml:space="preserve"> </w:t>
            </w:r>
            <w:r w:rsidRPr="008A4B76">
              <w:rPr>
                <w:bCs/>
                <w:szCs w:val="24"/>
              </w:rPr>
              <w:t>panta</w:t>
            </w:r>
            <w:r w:rsidR="00C2155A" w:rsidRPr="008A4B76">
              <w:rPr>
                <w:bCs/>
                <w:szCs w:val="24"/>
              </w:rPr>
              <w:t xml:space="preserve">  </w:t>
            </w:r>
            <w:r w:rsidRPr="008A4B76">
              <w:rPr>
                <w:bCs/>
                <w:szCs w:val="24"/>
              </w:rPr>
              <w:t>6. un 13.</w:t>
            </w:r>
            <w:r w:rsidR="00BA0E1E" w:rsidRPr="008A4B76">
              <w:rPr>
                <w:bCs/>
                <w:szCs w:val="24"/>
              </w:rPr>
              <w:t xml:space="preserve"> </w:t>
            </w:r>
            <w:r w:rsidRPr="008A4B76">
              <w:rPr>
                <w:bCs/>
                <w:szCs w:val="24"/>
              </w:rPr>
              <w:t>punktu;</w:t>
            </w:r>
          </w:p>
          <w:p w14:paraId="75760BB4" w14:textId="77777777" w:rsidR="009A72C5" w:rsidRPr="008A4B76" w:rsidRDefault="009A72C5" w:rsidP="00B848E2">
            <w:pPr>
              <w:pStyle w:val="ListParagraph"/>
              <w:numPr>
                <w:ilvl w:val="0"/>
                <w:numId w:val="1"/>
              </w:numPr>
              <w:ind w:right="91"/>
              <w:rPr>
                <w:szCs w:val="24"/>
              </w:rPr>
            </w:pPr>
            <w:r w:rsidRPr="008A4B76">
              <w:rPr>
                <w:szCs w:val="24"/>
                <w:shd w:val="clear" w:color="auto" w:fill="FFFFFF"/>
              </w:rPr>
              <w:t>Ministru Prezidenta 2014.</w:t>
            </w:r>
            <w:r w:rsidR="00BA0E1E" w:rsidRPr="008A4B76">
              <w:rPr>
                <w:szCs w:val="24"/>
                <w:shd w:val="clear" w:color="auto" w:fill="FFFFFF"/>
              </w:rPr>
              <w:t xml:space="preserve"> </w:t>
            </w:r>
            <w:r w:rsidRPr="008A4B76">
              <w:rPr>
                <w:szCs w:val="24"/>
                <w:shd w:val="clear" w:color="auto" w:fill="FFFFFF"/>
              </w:rPr>
              <w:t>gada 21.</w:t>
            </w:r>
            <w:r w:rsidR="00BA0E1E" w:rsidRPr="008A4B76">
              <w:rPr>
                <w:szCs w:val="24"/>
                <w:shd w:val="clear" w:color="auto" w:fill="FFFFFF"/>
              </w:rPr>
              <w:t xml:space="preserve"> </w:t>
            </w:r>
            <w:r w:rsidRPr="008A4B76">
              <w:rPr>
                <w:szCs w:val="24"/>
                <w:shd w:val="clear" w:color="auto" w:fill="FFFFFF"/>
              </w:rPr>
              <w:t>jūlija rezolūciju Nr.12/2014</w:t>
            </w:r>
            <w:r w:rsidRPr="008A4B76">
              <w:rPr>
                <w:szCs w:val="24"/>
                <w:lang w:eastAsia="lv-LV"/>
              </w:rPr>
              <w:t>–</w:t>
            </w:r>
            <w:r w:rsidRPr="008A4B76">
              <w:rPr>
                <w:szCs w:val="24"/>
                <w:shd w:val="clear" w:color="auto" w:fill="FFFFFF"/>
              </w:rPr>
              <w:t>JUR</w:t>
            </w:r>
            <w:r w:rsidRPr="008A4B76">
              <w:rPr>
                <w:szCs w:val="24"/>
                <w:lang w:eastAsia="lv-LV"/>
              </w:rPr>
              <w:t>–</w:t>
            </w:r>
            <w:r w:rsidRPr="008A4B76">
              <w:rPr>
                <w:szCs w:val="24"/>
                <w:shd w:val="clear" w:color="auto" w:fill="FFFFFF"/>
              </w:rPr>
              <w:t>151, kura nosaka līdz 2017.</w:t>
            </w:r>
            <w:r w:rsidR="00BA0E1E" w:rsidRPr="008A4B76">
              <w:rPr>
                <w:szCs w:val="24"/>
                <w:shd w:val="clear" w:color="auto" w:fill="FFFFFF"/>
              </w:rPr>
              <w:t xml:space="preserve"> </w:t>
            </w:r>
            <w:r w:rsidRPr="008A4B76">
              <w:rPr>
                <w:szCs w:val="24"/>
                <w:shd w:val="clear" w:color="auto" w:fill="FFFFFF"/>
              </w:rPr>
              <w:t>gada 1.</w:t>
            </w:r>
            <w:r w:rsidR="00BA0E1E" w:rsidRPr="008A4B76">
              <w:rPr>
                <w:szCs w:val="24"/>
                <w:shd w:val="clear" w:color="auto" w:fill="FFFFFF"/>
              </w:rPr>
              <w:t xml:space="preserve"> </w:t>
            </w:r>
            <w:r w:rsidRPr="008A4B76">
              <w:rPr>
                <w:szCs w:val="24"/>
                <w:shd w:val="clear" w:color="auto" w:fill="FFFFFF"/>
              </w:rPr>
              <w:t xml:space="preserve">decembrim atbilstoši kompetencei sagatavot un noteiktā kārtībā iesniegt MK </w:t>
            </w:r>
            <w:r w:rsidRPr="008A4B76">
              <w:rPr>
                <w:szCs w:val="24"/>
              </w:rPr>
              <w:t xml:space="preserve">specifiskā atbalsta mērķa īstenošanas noteikumus; </w:t>
            </w:r>
          </w:p>
          <w:p w14:paraId="4CABDF44" w14:textId="77777777" w:rsidR="009A72C5" w:rsidRPr="008A4B76" w:rsidRDefault="009A72C5" w:rsidP="00B848E2">
            <w:pPr>
              <w:pStyle w:val="ListParagraph"/>
              <w:numPr>
                <w:ilvl w:val="0"/>
                <w:numId w:val="1"/>
              </w:numPr>
              <w:ind w:right="91"/>
              <w:rPr>
                <w:szCs w:val="24"/>
              </w:rPr>
            </w:pPr>
            <w:r w:rsidRPr="008A4B76">
              <w:rPr>
                <w:szCs w:val="24"/>
                <w:lang w:eastAsia="lv-LV"/>
              </w:rPr>
              <w:t xml:space="preserve">Eiropas Savienības (turpmāk – </w:t>
            </w:r>
            <w:r w:rsidRPr="008A4B76">
              <w:rPr>
                <w:szCs w:val="24"/>
              </w:rPr>
              <w:t>ES) fondu un Kohēzijas politikas 2014.</w:t>
            </w:r>
            <w:r w:rsidRPr="008A4B76">
              <w:rPr>
                <w:szCs w:val="24"/>
                <w:lang w:eastAsia="lv-LV"/>
              </w:rPr>
              <w:t> – </w:t>
            </w:r>
            <w:r w:rsidRPr="008A4B76">
              <w:rPr>
                <w:szCs w:val="24"/>
              </w:rPr>
              <w:t>2020.</w:t>
            </w:r>
            <w:r w:rsidR="00BA0E1E" w:rsidRPr="008A4B76">
              <w:rPr>
                <w:szCs w:val="24"/>
              </w:rPr>
              <w:t xml:space="preserve"> </w:t>
            </w:r>
            <w:r w:rsidRPr="008A4B76">
              <w:rPr>
                <w:szCs w:val="24"/>
              </w:rPr>
              <w:t>gada plānošanas perioda darbības programmu „Izaugsme un nodarbinātība”, kas  apstiprināta Eiropas Komisijā (turpmāk – EK) 2014.</w:t>
            </w:r>
            <w:r w:rsidR="00BA0E1E" w:rsidRPr="008A4B76">
              <w:rPr>
                <w:szCs w:val="24"/>
              </w:rPr>
              <w:t xml:space="preserve"> </w:t>
            </w:r>
            <w:r w:rsidRPr="008A4B76">
              <w:rPr>
                <w:szCs w:val="24"/>
              </w:rPr>
              <w:t>gada 11.</w:t>
            </w:r>
            <w:r w:rsidR="00BA0E1E" w:rsidRPr="008A4B76">
              <w:rPr>
                <w:szCs w:val="24"/>
              </w:rPr>
              <w:t xml:space="preserve"> </w:t>
            </w:r>
            <w:r w:rsidRPr="008A4B76">
              <w:rPr>
                <w:szCs w:val="24"/>
              </w:rPr>
              <w:t xml:space="preserve">novembrī. </w:t>
            </w:r>
          </w:p>
        </w:tc>
      </w:tr>
      <w:tr w:rsidR="009A72C5" w:rsidRPr="008A4B76" w14:paraId="57D8BAC2" w14:textId="77777777" w:rsidTr="001B4247">
        <w:tc>
          <w:tcPr>
            <w:tcW w:w="161" w:type="pct"/>
            <w:tcBorders>
              <w:top w:val="outset" w:sz="6" w:space="0" w:color="000000"/>
              <w:left w:val="outset" w:sz="6" w:space="0" w:color="000000"/>
              <w:bottom w:val="outset" w:sz="6" w:space="0" w:color="000000"/>
              <w:right w:val="outset" w:sz="6" w:space="0" w:color="000000"/>
            </w:tcBorders>
          </w:tcPr>
          <w:p w14:paraId="57D6050B" w14:textId="77777777" w:rsidR="009A72C5" w:rsidRPr="008A4B76" w:rsidRDefault="009A72C5" w:rsidP="00DD2EFA">
            <w:pPr>
              <w:spacing w:before="100" w:beforeAutospacing="1" w:after="100" w:afterAutospacing="1"/>
            </w:pPr>
            <w:r w:rsidRPr="008A4B76">
              <w:t>2.</w:t>
            </w:r>
          </w:p>
        </w:tc>
        <w:tc>
          <w:tcPr>
            <w:tcW w:w="833" w:type="pct"/>
            <w:gridSpan w:val="2"/>
            <w:tcBorders>
              <w:top w:val="outset" w:sz="6" w:space="0" w:color="000000"/>
              <w:left w:val="outset" w:sz="6" w:space="0" w:color="000000"/>
              <w:bottom w:val="outset" w:sz="6" w:space="0" w:color="000000"/>
              <w:right w:val="outset" w:sz="6" w:space="0" w:color="000000"/>
            </w:tcBorders>
          </w:tcPr>
          <w:p w14:paraId="488C5BED" w14:textId="77777777" w:rsidR="009A72C5" w:rsidRPr="008A4B76" w:rsidRDefault="009A72C5" w:rsidP="00593077">
            <w:pPr>
              <w:spacing w:before="100" w:beforeAutospacing="1" w:after="100" w:afterAutospacing="1"/>
            </w:pPr>
            <w:r w:rsidRPr="008A4B76">
              <w:t>Pašreizējā situācija un problēmas, kuru risināšanai tiesību akta projekts izstrādāts, tiesiskā regulējuma mērķis un būtība</w:t>
            </w:r>
          </w:p>
        </w:tc>
        <w:tc>
          <w:tcPr>
            <w:tcW w:w="4006" w:type="pct"/>
            <w:gridSpan w:val="2"/>
            <w:tcBorders>
              <w:top w:val="outset" w:sz="6" w:space="0" w:color="000000"/>
              <w:left w:val="outset" w:sz="6" w:space="0" w:color="000000"/>
              <w:bottom w:val="outset" w:sz="6" w:space="0" w:color="000000"/>
              <w:right w:val="outset" w:sz="6" w:space="0" w:color="000000"/>
            </w:tcBorders>
          </w:tcPr>
          <w:p w14:paraId="2D444D76" w14:textId="77777777" w:rsidR="008C1097" w:rsidRPr="008A4B76" w:rsidRDefault="008C1097" w:rsidP="008A4B76">
            <w:pPr>
              <w:tabs>
                <w:tab w:val="left" w:pos="567"/>
                <w:tab w:val="left" w:pos="2884"/>
              </w:tabs>
              <w:ind w:right="145"/>
              <w:jc w:val="both"/>
              <w:rPr>
                <w:b/>
              </w:rPr>
            </w:pPr>
            <w:r w:rsidRPr="008A4B76">
              <w:rPr>
                <w:b/>
              </w:rPr>
              <w:t xml:space="preserve">I </w:t>
            </w:r>
          </w:p>
          <w:p w14:paraId="4BAF6046" w14:textId="30F1C3C2" w:rsidR="00F73F7E" w:rsidRPr="008A4B76" w:rsidRDefault="00D31F09" w:rsidP="008A4B76">
            <w:pPr>
              <w:tabs>
                <w:tab w:val="left" w:pos="567"/>
                <w:tab w:val="left" w:pos="2884"/>
              </w:tabs>
              <w:ind w:right="145"/>
              <w:jc w:val="both"/>
            </w:pPr>
            <w:r w:rsidRPr="008A4B76">
              <w:t>ES</w:t>
            </w:r>
            <w:r w:rsidR="00F73F7E" w:rsidRPr="008A4B76">
              <w:t xml:space="preserve"> struktūrfondu un Kohēzijas fonda 2014. – 2020. gada plānošanas perioda darbības programmas „Izaugsme un nodarbinātība” 8.2.1. specifiskā atbalsta mērķa “Samazināt studiju programmu fragmentāciju un stiprināt resursu koplietošanu” (turpmāk</w:t>
            </w:r>
            <w:r w:rsidRPr="008A4B76">
              <w:t xml:space="preserve"> </w:t>
            </w:r>
            <w:r w:rsidR="00F73F7E" w:rsidRPr="008A4B76">
              <w:t xml:space="preserve">– 8.2.1. SAM) ietvaros </w:t>
            </w:r>
            <w:r w:rsidR="00E83F56" w:rsidRPr="008A4B76">
              <w:t xml:space="preserve">finansējums </w:t>
            </w:r>
            <w:r w:rsidR="00F73F7E" w:rsidRPr="008A4B76">
              <w:t xml:space="preserve">paredzēts </w:t>
            </w:r>
            <w:r w:rsidR="00825222" w:rsidRPr="008A4B76">
              <w:t xml:space="preserve">(1) </w:t>
            </w:r>
            <w:r w:rsidR="00F73F7E" w:rsidRPr="008A4B76">
              <w:t>kopīgo doktorantūras studiju programmu</w:t>
            </w:r>
            <w:r w:rsidR="00BB3F85" w:rsidRPr="008A4B76">
              <w:t>,</w:t>
            </w:r>
            <w:r w:rsidR="00F73F7E" w:rsidRPr="008A4B76">
              <w:t xml:space="preserve"> </w:t>
            </w:r>
            <w:r w:rsidR="00825222" w:rsidRPr="008A4B76">
              <w:t xml:space="preserve">(2) </w:t>
            </w:r>
            <w:r w:rsidR="00F73F7E" w:rsidRPr="008A4B76">
              <w:t xml:space="preserve">studiju programmu Eiropas Savienības oficiālajās valodās, kas nav latviešu valoda (turpmāk – ES valodas), </w:t>
            </w:r>
            <w:r w:rsidR="00825222" w:rsidRPr="008A4B76">
              <w:t xml:space="preserve">kā arī (3) pedagoģijas studiju programmu latviešu valodā </w:t>
            </w:r>
            <w:r w:rsidR="00F73F7E" w:rsidRPr="008A4B76">
              <w:t>izstrādei, aprobācijai</w:t>
            </w:r>
            <w:r w:rsidR="00192CB5" w:rsidRPr="008A4B76">
              <w:t>,</w:t>
            </w:r>
            <w:r w:rsidR="00F73F7E" w:rsidRPr="008A4B76">
              <w:t xml:space="preserve"> akreditācijai</w:t>
            </w:r>
            <w:r w:rsidR="00192CB5" w:rsidRPr="008A4B76">
              <w:t xml:space="preserve"> un</w:t>
            </w:r>
            <w:r w:rsidR="00F73F7E" w:rsidRPr="008A4B76">
              <w:t xml:space="preserve"> starptautiskajai publicitātei. </w:t>
            </w:r>
          </w:p>
          <w:p w14:paraId="43BAD867" w14:textId="197853DC" w:rsidR="006907B0" w:rsidRPr="008A4B76" w:rsidRDefault="000F0B24" w:rsidP="001B6036">
            <w:pPr>
              <w:tabs>
                <w:tab w:val="left" w:pos="567"/>
                <w:tab w:val="left" w:pos="2884"/>
              </w:tabs>
              <w:ind w:right="145" w:firstLine="537"/>
              <w:jc w:val="both"/>
            </w:pPr>
            <w:r w:rsidRPr="008A4B76">
              <w:t>Augstas kvalitātes konkurētspējīgu studiju programmu izstrāde</w:t>
            </w:r>
            <w:r w:rsidR="007B0DCA" w:rsidRPr="008A4B76">
              <w:t xml:space="preserve"> </w:t>
            </w:r>
            <w:r w:rsidR="00DC5C41" w:rsidRPr="008A4B76">
              <w:t>atbilst politikas plānošanas dokumentos noteiktajiem mērķiem un rīcības virzieniem</w:t>
            </w:r>
            <w:r w:rsidR="00577D67" w:rsidRPr="008A4B76">
              <w:rPr>
                <w:rStyle w:val="FootnoteReference"/>
              </w:rPr>
              <w:footnoteReference w:id="1"/>
            </w:r>
            <w:r w:rsidR="0048365B" w:rsidRPr="008A4B76">
              <w:t xml:space="preserve">, </w:t>
            </w:r>
            <w:r w:rsidR="00086948" w:rsidRPr="008A4B76">
              <w:t xml:space="preserve">tostarp Latvijas Viedās specializācijas stratēģijai </w:t>
            </w:r>
            <w:r w:rsidR="00086948" w:rsidRPr="008A4B76">
              <w:lastRenderedPageBreak/>
              <w:t>(turpmāk – RIS3)</w:t>
            </w:r>
            <w:r w:rsidR="00086948" w:rsidRPr="008A4B76">
              <w:rPr>
                <w:rStyle w:val="FootnoteReference"/>
              </w:rPr>
              <w:footnoteReference w:id="2"/>
            </w:r>
            <w:r w:rsidR="00086948" w:rsidRPr="008A4B76">
              <w:t xml:space="preserve">, </w:t>
            </w:r>
            <w:r w:rsidR="0048365B" w:rsidRPr="008A4B76">
              <w:t>veicinot Latvijas tautsaimniecības attīstības vajadzī</w:t>
            </w:r>
            <w:r w:rsidR="007B0DCA" w:rsidRPr="008A4B76">
              <w:t xml:space="preserve">bām nepieciešamo cilvēkresursu sagatavošanu, stiprinot augstākās izglītības resursu efektīvu izmantošanu </w:t>
            </w:r>
            <w:r w:rsidR="00240F47" w:rsidRPr="008A4B76">
              <w:t>un attīstot pētniecībā balstī</w:t>
            </w:r>
            <w:r w:rsidR="0061331B" w:rsidRPr="008A4B76">
              <w:t>tas doktora</w:t>
            </w:r>
            <w:r w:rsidR="00240F47" w:rsidRPr="008A4B76">
              <w:t>n</w:t>
            </w:r>
            <w:r w:rsidR="0061331B" w:rsidRPr="008A4B76">
              <w:t>t</w:t>
            </w:r>
            <w:r w:rsidR="00240F47" w:rsidRPr="008A4B76">
              <w:t xml:space="preserve">ūras studiju programmas, </w:t>
            </w:r>
            <w:r w:rsidR="007B0DCA" w:rsidRPr="008A4B76">
              <w:t>veicinot augstākās izglītības internacionalizāciju</w:t>
            </w:r>
            <w:r w:rsidR="00DC5C41" w:rsidRPr="008A4B76">
              <w:t xml:space="preserve">. </w:t>
            </w:r>
          </w:p>
          <w:p w14:paraId="2857B651" w14:textId="5771B14F" w:rsidR="004C533C" w:rsidRPr="008A4B76" w:rsidRDefault="00A0030B" w:rsidP="00BA55B3">
            <w:pPr>
              <w:tabs>
                <w:tab w:val="left" w:pos="567"/>
                <w:tab w:val="left" w:pos="2884"/>
              </w:tabs>
              <w:spacing w:after="120"/>
              <w:ind w:right="147" w:firstLine="539"/>
              <w:jc w:val="both"/>
            </w:pPr>
            <w:r w:rsidRPr="008A4B76">
              <w:t xml:space="preserve">Latvijas augstākās izglītības iestāžu būtisks uzdevums ir veidot Latvijā iesakņotu un globālu </w:t>
            </w:r>
            <w:proofErr w:type="spellStart"/>
            <w:r w:rsidRPr="008A4B76">
              <w:t>cilvēkkapitālu</w:t>
            </w:r>
            <w:proofErr w:type="spellEnd"/>
            <w:r w:rsidRPr="008A4B76">
              <w:t>, pēc iespējas sasaistot studiju procesu ar Latvijas tautsaimniecības attīstībai nepiec</w:t>
            </w:r>
            <w:r w:rsidR="006907B0" w:rsidRPr="008A4B76">
              <w:t>iešamo speciālistu sagatavošanu.</w:t>
            </w:r>
            <w:r w:rsidRPr="008A4B76">
              <w:t xml:space="preserve"> </w:t>
            </w:r>
            <w:r w:rsidR="006907B0" w:rsidRPr="008A4B76">
              <w:t>Jāveido</w:t>
            </w:r>
            <w:r w:rsidR="002E67BB" w:rsidRPr="008A4B76">
              <w:t xml:space="preserve"> </w:t>
            </w:r>
            <w:r w:rsidR="00FC00D2" w:rsidRPr="008A4B76">
              <w:t>dinamisk</w:t>
            </w:r>
            <w:r w:rsidR="006907B0" w:rsidRPr="008A4B76">
              <w:t>a</w:t>
            </w:r>
            <w:r w:rsidR="00584DB9" w:rsidRPr="008A4B76">
              <w:t xml:space="preserve"> </w:t>
            </w:r>
            <w:r w:rsidR="002E67BB" w:rsidRPr="008A4B76">
              <w:t>studiju vid</w:t>
            </w:r>
            <w:r w:rsidR="006907B0" w:rsidRPr="008A4B76">
              <w:t>e</w:t>
            </w:r>
            <w:r w:rsidR="002E67BB" w:rsidRPr="008A4B76">
              <w:t xml:space="preserve">, </w:t>
            </w:r>
            <w:r w:rsidR="00962DF8" w:rsidRPr="008A4B76">
              <w:t>kas</w:t>
            </w:r>
            <w:r w:rsidR="00BC16EA" w:rsidRPr="008A4B76">
              <w:t xml:space="preserve"> </w:t>
            </w:r>
            <w:r w:rsidR="00584DB9" w:rsidRPr="008A4B76">
              <w:t xml:space="preserve">Latvijas studentiem </w:t>
            </w:r>
            <w:r w:rsidR="00FC00D2" w:rsidRPr="008A4B76">
              <w:t>do</w:t>
            </w:r>
            <w:r w:rsidR="006A621D" w:rsidRPr="008A4B76">
              <w:t>d</w:t>
            </w:r>
            <w:r w:rsidR="00FC00D2" w:rsidRPr="008A4B76">
              <w:t xml:space="preserve"> </w:t>
            </w:r>
            <w:r w:rsidR="00BC16EA" w:rsidRPr="008A4B76">
              <w:t xml:space="preserve">iespēju </w:t>
            </w:r>
            <w:r w:rsidR="00FC00D2" w:rsidRPr="008A4B76">
              <w:t xml:space="preserve">apgūt </w:t>
            </w:r>
            <w:r w:rsidR="00BC16EA" w:rsidRPr="008A4B76">
              <w:t>un izmantot tautsaimniecības attīstībai globālajā zināšanu telpā esošās zināšanas, iegūt</w:t>
            </w:r>
            <w:r w:rsidR="00FC00D2" w:rsidRPr="008A4B76">
              <w:t xml:space="preserve"> </w:t>
            </w:r>
            <w:r w:rsidR="00962DF8" w:rsidRPr="008A4B76">
              <w:t xml:space="preserve">plašu </w:t>
            </w:r>
            <w:r w:rsidR="003D2347" w:rsidRPr="008A4B76">
              <w:t xml:space="preserve">pasaules </w:t>
            </w:r>
            <w:r w:rsidR="00962DF8" w:rsidRPr="008A4B76">
              <w:t>redzējumu, attīstī</w:t>
            </w:r>
            <w:r w:rsidR="00BC16EA" w:rsidRPr="008A4B76">
              <w:t>t</w:t>
            </w:r>
            <w:r w:rsidR="00962DF8" w:rsidRPr="008A4B76">
              <w:t xml:space="preserve"> </w:t>
            </w:r>
            <w:proofErr w:type="spellStart"/>
            <w:r w:rsidR="00962DF8" w:rsidRPr="008A4B76">
              <w:t>starpkultūru</w:t>
            </w:r>
            <w:proofErr w:type="spellEnd"/>
            <w:r w:rsidR="00962DF8" w:rsidRPr="008A4B76">
              <w:t xml:space="preserve"> komunikācijas prasmes</w:t>
            </w:r>
            <w:r w:rsidR="003D2347" w:rsidRPr="008A4B76">
              <w:t>,</w:t>
            </w:r>
            <w:r w:rsidR="00FC00D2" w:rsidRPr="008A4B76">
              <w:t xml:space="preserve"> kā arī iegūt citas kompetences, kas nepieciešamas konkurētspējīga </w:t>
            </w:r>
            <w:proofErr w:type="spellStart"/>
            <w:r w:rsidR="00FC00D2" w:rsidRPr="008A4B76">
              <w:t>cilvēkkapitāla</w:t>
            </w:r>
            <w:proofErr w:type="spellEnd"/>
            <w:r w:rsidR="00FC00D2" w:rsidRPr="008A4B76">
              <w:t xml:space="preserve"> </w:t>
            </w:r>
            <w:r w:rsidR="007B386C" w:rsidRPr="008A4B76">
              <w:t>nodrošināšanai</w:t>
            </w:r>
            <w:r w:rsidR="00FC00D2" w:rsidRPr="008A4B76">
              <w:t xml:space="preserve">. </w:t>
            </w:r>
          </w:p>
          <w:p w14:paraId="47FA17AB" w14:textId="77777777" w:rsidR="00F73F7E" w:rsidRPr="008A4B76" w:rsidRDefault="00F73F7E" w:rsidP="00F73F7E">
            <w:pPr>
              <w:tabs>
                <w:tab w:val="left" w:pos="567"/>
                <w:tab w:val="left" w:pos="2884"/>
              </w:tabs>
              <w:ind w:right="145" w:firstLine="516"/>
              <w:jc w:val="both"/>
            </w:pPr>
            <w:r w:rsidRPr="008A4B76">
              <w:t xml:space="preserve">Latvijā vērojama augstākās izglītības studiju programmu pārlieka dublēšanās un fragmentācija, ko apliecina studējošo skaitam un tā dinamikai neatbilstoši liels studiju programmu skaits. Laika posmā no 2006. gada līdz </w:t>
            </w:r>
            <w:r w:rsidR="00140A5B" w:rsidRPr="008A4B76">
              <w:t>2016</w:t>
            </w:r>
            <w:r w:rsidRPr="008A4B76">
              <w:t xml:space="preserve">. gadam, samazinoties studējošo skaitam par 35%, piedāvāto studiju programmu skaits salīdzinājumā ar 2006./2007. </w:t>
            </w:r>
            <w:proofErr w:type="spellStart"/>
            <w:r w:rsidRPr="008A4B76">
              <w:t>ak.g</w:t>
            </w:r>
            <w:proofErr w:type="spellEnd"/>
            <w:r w:rsidRPr="008A4B76">
              <w:t xml:space="preserve">. sākumu (616 programmas) </w:t>
            </w:r>
            <w:r w:rsidR="00140A5B" w:rsidRPr="008A4B76">
              <w:t>2016</w:t>
            </w:r>
            <w:r w:rsidRPr="008A4B76">
              <w:t>./</w:t>
            </w:r>
            <w:r w:rsidR="00140A5B" w:rsidRPr="008A4B76">
              <w:t>2017</w:t>
            </w:r>
            <w:r w:rsidRPr="008A4B76">
              <w:t xml:space="preserve">. </w:t>
            </w:r>
            <w:proofErr w:type="spellStart"/>
            <w:r w:rsidRPr="008A4B76">
              <w:t>ak.g</w:t>
            </w:r>
            <w:proofErr w:type="spellEnd"/>
            <w:r w:rsidRPr="008A4B76">
              <w:t xml:space="preserve">. sākumā ir pieaudzis līdz </w:t>
            </w:r>
            <w:r w:rsidR="00140A5B" w:rsidRPr="008A4B76">
              <w:t xml:space="preserve">916 </w:t>
            </w:r>
            <w:r w:rsidRPr="008A4B76">
              <w:t xml:space="preserve">programmām. Studiju programmu ārējā </w:t>
            </w:r>
            <w:proofErr w:type="spellStart"/>
            <w:r w:rsidRPr="008A4B76">
              <w:t>izvērtējumā</w:t>
            </w:r>
            <w:proofErr w:type="spellEnd"/>
            <w:r w:rsidR="00894EFE" w:rsidRPr="008A4B76">
              <w:rPr>
                <w:rStyle w:val="FootnoteReference"/>
              </w:rPr>
              <w:footnoteReference w:id="3"/>
            </w:r>
            <w:r w:rsidRPr="008A4B76">
              <w:t xml:space="preserve">  uzsvērtas studiju programmu kvalitātes un starptautiskās konkurētspējas problēmas, t.sk. doktorantūras līmenī. Viena no galvenajām problēmām doktorantūras līmenī ir tā, ka vairākos studiju virzienos, piemēram – informācijas tehnoloģijas, fizika, ķīmija, medicīna, farmācija, vides zinātne u.c., līdzīgas doktorantūras programmas vienlaikus tiek piedāvātas vairākās augstskolās. Pārāk daudz līdzīga satura doktora studiju programmas ir drauds to pastāvēšanai ilgākā laika periodā un mazas valsts apstākļos tas noved pie tā, ka doktorantiem nav iespējas pietiekami bieži un pastāvīgi komunicēt ar spēcīgiem pasniedzējiem un sasvstarpēji. Vairākās augstskolās atsevišķās specialitātēs, kurās ir doktorantūra, nepastāv tā saucamā zinātniskā “kritiskā masa”, kas vajadzīga, lai sekmīgi sagatavotu jaunus zinātniekus. Šādās augstskolās ir neliels gadā sagatavojamo doktoru skaits šajās specialitātēs. Lai risinātu šo problēmu, viena no iespējām ir veicināt augstskolu sadarbību, apvienojot resursus kopīgu doktorantūras studiju programmu izstrādē </w:t>
            </w:r>
            <w:r w:rsidRPr="008A4B76">
              <w:lastRenderedPageBreak/>
              <w:t>un īstenošanā. Tādā veidā tiktu radītas un īstenotas spēcīgas doktorantūras studiju programmas, kurās studējošo skaits nodrošinātu nepieciešamo “kritisko masu”, tādā veidā paaugstinot studiju programmu kvalitāti un starptautisko konkurētspēju.</w:t>
            </w:r>
          </w:p>
          <w:p w14:paraId="606AD795" w14:textId="77777777" w:rsidR="004D6952" w:rsidRPr="008A4B76" w:rsidRDefault="00B1698D" w:rsidP="006518A0">
            <w:pPr>
              <w:tabs>
                <w:tab w:val="left" w:pos="567"/>
                <w:tab w:val="left" w:pos="2884"/>
              </w:tabs>
              <w:spacing w:after="120"/>
              <w:ind w:right="147" w:firstLine="516"/>
              <w:jc w:val="both"/>
            </w:pPr>
            <w:r w:rsidRPr="008A4B76">
              <w:t>P</w:t>
            </w:r>
            <w:r w:rsidR="00F73F7E" w:rsidRPr="008A4B76">
              <w:t xml:space="preserve">roblēma, kas rada draudus Latvijas augstākās izglītības starptautiskajai konkurētspējai, ir nepietiekošs kvalitatīvu studiju programmu ES valodās piedāvājums, kas neveicina ārvalstu studējošo interesi par studijām Latvijā. Ņemot vērā to, ka augstākās izglītības </w:t>
            </w:r>
            <w:proofErr w:type="spellStart"/>
            <w:r w:rsidR="00F73F7E" w:rsidRPr="008A4B76">
              <w:t>atvērtības</w:t>
            </w:r>
            <w:proofErr w:type="spellEnd"/>
            <w:r w:rsidR="00F73F7E" w:rsidRPr="008A4B76">
              <w:t xml:space="preserve"> starptautiskai sadarbībai un informācijas apmaiņai veicināšana, kā arī eksportspējas kāpināšana ir viens no prioritārajiem augstākās izglītības attīstības rīcības virzieniem, būtiski ir stimulēt jaunu, kvalitatīvu studiju programmu (visu līmeņu) ES valodās izstrādi un ieviešanu (tai skaitā kopīgo studiju programmu). Tas dotu iespēju piesaistīt ārvalstu studējošos, kas ir būtiski situācijā, kad studējošo skaits Latvijā arvien samazinās. </w:t>
            </w:r>
            <w:r w:rsidR="004D6952" w:rsidRPr="008A4B76">
              <w:t xml:space="preserve">Ārvalstu studējošo piesaiste ļautu </w:t>
            </w:r>
            <w:r w:rsidR="004D6952" w:rsidRPr="008A4B76">
              <w:rPr>
                <w:b/>
              </w:rPr>
              <w:t>veidot starptautisku studiju vidi tepat Latvijā, padarot vietējās augstskolas pievilcīgākas arī vietējiem studentiem</w:t>
            </w:r>
            <w:r w:rsidR="004D6952" w:rsidRPr="008A4B76">
              <w:t xml:space="preserve">. </w:t>
            </w:r>
          </w:p>
          <w:p w14:paraId="64F89772" w14:textId="72CDB248" w:rsidR="000C4ACF" w:rsidRPr="008A4B76" w:rsidRDefault="001E76FC" w:rsidP="0048336D">
            <w:pPr>
              <w:tabs>
                <w:tab w:val="left" w:pos="2884"/>
              </w:tabs>
              <w:ind w:firstLine="537"/>
              <w:jc w:val="both"/>
            </w:pPr>
            <w:r w:rsidRPr="008A4B76">
              <w:t xml:space="preserve">2017.gadā tika veikts 8.2.1.SAM paplašinātais sākotnējais novērtējums, kura ietvaros tika </w:t>
            </w:r>
            <w:r w:rsidR="001972CC" w:rsidRPr="008A4B76">
              <w:t xml:space="preserve">padziļināti analizēta situācija ar kopīgo doktorantūras studiju programmu un programmu ES valodās, kas nav latviešu valoda, īstenošanu Latvijā un </w:t>
            </w:r>
            <w:r w:rsidRPr="008A4B76">
              <w:t>sagatavoti ieteikumi 8.2.1. SAM ieviešanai</w:t>
            </w:r>
            <w:r w:rsidRPr="008A4B76">
              <w:rPr>
                <w:rStyle w:val="FootnoteReference"/>
              </w:rPr>
              <w:footnoteReference w:id="4"/>
            </w:r>
            <w:r w:rsidR="000E1EC6" w:rsidRPr="008A4B76">
              <w:t xml:space="preserve"> </w:t>
            </w:r>
            <w:r w:rsidR="00731123" w:rsidRPr="008A4B76">
              <w:t xml:space="preserve">(turpmāk – </w:t>
            </w:r>
            <w:r w:rsidR="000C4ACF" w:rsidRPr="008A4B76">
              <w:rPr>
                <w:b/>
              </w:rPr>
              <w:t xml:space="preserve">8.2.1. SAM </w:t>
            </w:r>
            <w:r w:rsidR="00731123" w:rsidRPr="008A4B76">
              <w:rPr>
                <w:b/>
              </w:rPr>
              <w:t>sākotnējais novērtējums</w:t>
            </w:r>
            <w:r w:rsidR="00731123" w:rsidRPr="008A4B76">
              <w:t>)</w:t>
            </w:r>
            <w:r w:rsidR="004C05E6" w:rsidRPr="008A4B76">
              <w:t>.</w:t>
            </w:r>
            <w:r w:rsidR="000E7CB6" w:rsidRPr="008A4B76">
              <w:t xml:space="preserve"> Minētā n</w:t>
            </w:r>
            <w:r w:rsidR="00A334A9" w:rsidRPr="008A4B76">
              <w:t xml:space="preserve">ovērtējuma </w:t>
            </w:r>
            <w:r w:rsidR="000C4ACF" w:rsidRPr="008A4B76">
              <w:t>periods attiecas uz situāciju 2011.-2016.gadā</w:t>
            </w:r>
            <w:r w:rsidR="000E7CB6" w:rsidRPr="008A4B76">
              <w:t xml:space="preserve"> </w:t>
            </w:r>
            <w:r w:rsidR="00B1698D" w:rsidRPr="008A4B76">
              <w:t>(turpmāk – pārskata periods)</w:t>
            </w:r>
            <w:r w:rsidR="000E7CB6" w:rsidRPr="008A4B76">
              <w:t xml:space="preserve">, </w:t>
            </w:r>
            <w:r w:rsidR="006518A0" w:rsidRPr="008A4B76">
              <w:t>apkop</w:t>
            </w:r>
            <w:r w:rsidR="0048336D" w:rsidRPr="008A4B76">
              <w:t>ojot šādu galveno statistiku</w:t>
            </w:r>
            <w:r w:rsidR="000E7CB6" w:rsidRPr="008A4B76">
              <w:t xml:space="preserve">:  </w:t>
            </w:r>
          </w:p>
          <w:p w14:paraId="2FD6EA79" w14:textId="4C120AB2" w:rsidR="000C4ACF" w:rsidRPr="008A4B76" w:rsidRDefault="000E7CB6" w:rsidP="000C4ACF">
            <w:pPr>
              <w:tabs>
                <w:tab w:val="left" w:pos="2884"/>
              </w:tabs>
              <w:ind w:firstLine="516"/>
              <w:jc w:val="both"/>
            </w:pPr>
            <w:r w:rsidRPr="008A4B76">
              <w:t xml:space="preserve">- </w:t>
            </w:r>
            <w:r w:rsidR="000C4ACF" w:rsidRPr="008A4B76">
              <w:t xml:space="preserve">Kopš 2011.gada studējošo skaits Latvijas </w:t>
            </w:r>
            <w:r w:rsidR="00000661" w:rsidRPr="008A4B76">
              <w:t>AII</w:t>
            </w:r>
            <w:r w:rsidR="000C4ACF" w:rsidRPr="008A4B76">
              <w:t xml:space="preserve"> ir samazinājies par 14% (2011. gada 1. oktobrī bija 97 035 studējošie, 2016. gada 1. oktobrī 82 914), ārvalstu stud</w:t>
            </w:r>
            <w:r w:rsidR="00000661" w:rsidRPr="008A4B76">
              <w:t>ējošo</w:t>
            </w:r>
            <w:r w:rsidR="000C4ACF" w:rsidRPr="008A4B76">
              <w:t xml:space="preserve"> skaits, kas studē grāda vai kvalifikācijas iegūšanai, ir teju trīskāršojies (2011. gada 1. oktobrī 2202 studenti, 2016. gada 1. oktobrī 6314 studenti), </w:t>
            </w:r>
            <w:r w:rsidR="00000661" w:rsidRPr="008A4B76">
              <w:t xml:space="preserve">bet apmaiņas studentu skaits </w:t>
            </w:r>
            <w:r w:rsidR="000C4ACF" w:rsidRPr="008A4B76">
              <w:t xml:space="preserve">ir pieaudzis </w:t>
            </w:r>
            <w:r w:rsidR="00000661" w:rsidRPr="008A4B76">
              <w:t>trīs ar pusi reizes</w:t>
            </w:r>
            <w:r w:rsidR="000C4ACF" w:rsidRPr="008A4B76">
              <w:t xml:space="preserve"> (2011. gada 1. oktobrī – 515, 2016. gada 1. oktobrī – 1823).</w:t>
            </w:r>
          </w:p>
          <w:p w14:paraId="62EDF9AC" w14:textId="7B7AD783" w:rsidR="004C05E6" w:rsidRPr="008A4B76" w:rsidRDefault="000E7CB6" w:rsidP="000C4ACF">
            <w:pPr>
              <w:tabs>
                <w:tab w:val="left" w:pos="2884"/>
              </w:tabs>
              <w:ind w:firstLine="516"/>
              <w:jc w:val="both"/>
            </w:pPr>
            <w:r w:rsidRPr="008A4B76">
              <w:t xml:space="preserve">- </w:t>
            </w:r>
            <w:r w:rsidR="00B1698D" w:rsidRPr="008A4B76">
              <w:t>P</w:t>
            </w:r>
            <w:r w:rsidR="000C4ACF" w:rsidRPr="008A4B76">
              <w:t>ārskata periodā vietējo studentu skaits ir strauji sarucis (par 20% sešu gadu laikā) un ārvalstu studējošo piesaiste lielākajām augstskolām ļauj daļēji kompensēt vietējo studentu skaita samazinājumu.</w:t>
            </w:r>
            <w:r w:rsidR="00643668" w:rsidRPr="008A4B76">
              <w:t xml:space="preserve"> </w:t>
            </w:r>
            <w:r w:rsidR="000C4ACF" w:rsidRPr="008A4B76">
              <w:t>No studiju programmu piedāvājuma puses – pēdējo sešu gadu laikā – studiju programmu skaits ir samazinājies relatīvi nedaudz (tikai par 2%), kas liecina par nepieciešamību pārskatīt gan programmu piedāvājumu, gan studiju programmu īstenošanai nepieciešamos resursus kontekstā ar studējošo skaitu.</w:t>
            </w:r>
          </w:p>
          <w:p w14:paraId="5E9033E5" w14:textId="022973CC" w:rsidR="00BC49A3" w:rsidRPr="008A4B76" w:rsidRDefault="000E7CB6" w:rsidP="000C4ACF">
            <w:pPr>
              <w:tabs>
                <w:tab w:val="left" w:pos="2884"/>
              </w:tabs>
              <w:ind w:firstLine="516"/>
              <w:jc w:val="both"/>
            </w:pPr>
            <w:r w:rsidRPr="008A4B76">
              <w:lastRenderedPageBreak/>
              <w:t xml:space="preserve">- </w:t>
            </w:r>
            <w:r w:rsidR="0048336D" w:rsidRPr="008A4B76">
              <w:t>P</w:t>
            </w:r>
            <w:r w:rsidR="00BC49A3" w:rsidRPr="008A4B76">
              <w:t xml:space="preserve">ēdējo gadu laikā pieaudzis akadēmiskā personāla pamatdarbā ar zinātnisko grādu skaits un ārvalstu viesprofesoru, </w:t>
            </w:r>
            <w:proofErr w:type="spellStart"/>
            <w:r w:rsidR="00BC49A3" w:rsidRPr="008A4B76">
              <w:t>viesdocentu</w:t>
            </w:r>
            <w:proofErr w:type="spellEnd"/>
            <w:r w:rsidR="00BC49A3" w:rsidRPr="008A4B76">
              <w:t xml:space="preserve"> un vieslektoru skaits, kas būtiski ietekmē studiju procesa kvalitāti pozitīvā virzienā.</w:t>
            </w:r>
            <w:r w:rsidR="003014BF" w:rsidRPr="008A4B76">
              <w:rPr>
                <w:rStyle w:val="FootnoteReference"/>
              </w:rPr>
              <w:footnoteReference w:id="5"/>
            </w:r>
          </w:p>
          <w:p w14:paraId="67433F47" w14:textId="7EDD2AF9" w:rsidR="00E86CAA" w:rsidRPr="008A4B76" w:rsidRDefault="001C3739" w:rsidP="00E86CAA">
            <w:pPr>
              <w:tabs>
                <w:tab w:val="left" w:pos="2884"/>
              </w:tabs>
              <w:ind w:firstLine="516"/>
              <w:jc w:val="both"/>
            </w:pPr>
            <w:r w:rsidRPr="008A4B76">
              <w:t xml:space="preserve">- </w:t>
            </w:r>
            <w:r w:rsidR="00B1698D" w:rsidRPr="008A4B76">
              <w:t>Pārskata periodā</w:t>
            </w:r>
            <w:r w:rsidR="00BC49A3" w:rsidRPr="008A4B76">
              <w:t xml:space="preserve"> studiju programmu piedāvājums ES valodās ir audzis par 6%.</w:t>
            </w:r>
            <w:r w:rsidR="003014BF" w:rsidRPr="008A4B76">
              <w:rPr>
                <w:rStyle w:val="FootnoteReference"/>
              </w:rPr>
              <w:footnoteReference w:id="6"/>
            </w:r>
          </w:p>
          <w:p w14:paraId="3CD9556F" w14:textId="0D8D807B" w:rsidR="00515B59" w:rsidRPr="008A4B76" w:rsidRDefault="00E86CAA" w:rsidP="00AD1E20">
            <w:pPr>
              <w:tabs>
                <w:tab w:val="left" w:pos="2884"/>
              </w:tabs>
              <w:ind w:firstLine="516"/>
              <w:jc w:val="both"/>
            </w:pPr>
            <w:r w:rsidRPr="008A4B76">
              <w:t xml:space="preserve">- </w:t>
            </w:r>
            <w:r w:rsidR="0093159B" w:rsidRPr="008A4B76">
              <w:t xml:space="preserve">2015. gadā Latvijā tika piedāvātas 99 </w:t>
            </w:r>
            <w:r w:rsidR="00515B59" w:rsidRPr="008A4B76">
              <w:t xml:space="preserve">pilna laika </w:t>
            </w:r>
            <w:r w:rsidR="0093159B" w:rsidRPr="008A4B76">
              <w:t xml:space="preserve">doktorantūras studiju programmas (90 valsts augstskolās un 9 </w:t>
            </w:r>
            <w:r w:rsidR="00D56A31" w:rsidRPr="008A4B76">
              <w:t>privāt</w:t>
            </w:r>
            <w:r w:rsidR="0093159B" w:rsidRPr="008A4B76">
              <w:t xml:space="preserve">personu dibinātajās augstskolās). Lielāko doktorantūras studiju programmu piedāvājumu nodrošina </w:t>
            </w:r>
            <w:r w:rsidR="00515B59" w:rsidRPr="008A4B76">
              <w:t xml:space="preserve">Latvijas Universitāte (24 programmas), Rīgas Tehniskā universitāte (21 programma) </w:t>
            </w:r>
            <w:r w:rsidR="0093159B" w:rsidRPr="008A4B76">
              <w:t>un</w:t>
            </w:r>
            <w:r w:rsidR="007349DC" w:rsidRPr="008A4B76">
              <w:t xml:space="preserve"> </w:t>
            </w:r>
            <w:r w:rsidR="0093159B" w:rsidRPr="008A4B76">
              <w:t>L</w:t>
            </w:r>
            <w:r w:rsidR="00515B59" w:rsidRPr="008A4B76">
              <w:t>atvijas Lauksaimniecības universitāte (13 programmas)</w:t>
            </w:r>
            <w:r w:rsidR="009010EB" w:rsidRPr="008A4B76">
              <w:t xml:space="preserve"> - </w:t>
            </w:r>
            <w:r w:rsidR="0093159B" w:rsidRPr="008A4B76">
              <w:t xml:space="preserve">kopā </w:t>
            </w:r>
            <w:r w:rsidR="009010EB" w:rsidRPr="008A4B76">
              <w:t xml:space="preserve">≈ </w:t>
            </w:r>
            <w:r w:rsidR="0093159B" w:rsidRPr="008A4B76">
              <w:t>60% no kopējā doktorantūras studiju programmu piedāvājuma valstī.</w:t>
            </w:r>
            <w:r w:rsidR="00047349" w:rsidRPr="008A4B76">
              <w:rPr>
                <w:rStyle w:val="FootnoteReference"/>
              </w:rPr>
              <w:footnoteReference w:id="7"/>
            </w:r>
          </w:p>
          <w:p w14:paraId="78AF50F2" w14:textId="7224A060" w:rsidR="00643668" w:rsidRPr="008A4B76" w:rsidRDefault="0048336D" w:rsidP="008A4B76">
            <w:pPr>
              <w:tabs>
                <w:tab w:val="left" w:pos="2884"/>
              </w:tabs>
              <w:spacing w:after="60"/>
              <w:ind w:firstLine="539"/>
              <w:jc w:val="both"/>
            </w:pPr>
            <w:r w:rsidRPr="008A4B76">
              <w:t>-</w:t>
            </w:r>
            <w:r w:rsidR="00643668" w:rsidRPr="008A4B76">
              <w:t xml:space="preserve"> Latvijas augstskolās tiek īstenots neliels skaits kopīgo doktorantūras studiju programmu (</w:t>
            </w:r>
            <w:r w:rsidR="00DC061B" w:rsidRPr="008A4B76">
              <w:t>5</w:t>
            </w:r>
            <w:r w:rsidR="00643668" w:rsidRPr="008A4B76">
              <w:t xml:space="preserve"> studiju programmas</w:t>
            </w:r>
            <w:r w:rsidR="008524DF" w:rsidRPr="008A4B76">
              <w:t>)</w:t>
            </w:r>
            <w:r w:rsidR="00643668" w:rsidRPr="008A4B76">
              <w:t>.</w:t>
            </w:r>
            <w:r w:rsidRPr="008A4B76">
              <w:rPr>
                <w:rStyle w:val="FootnoteReference"/>
              </w:rPr>
              <w:footnoteReference w:id="8"/>
            </w:r>
            <w:r w:rsidR="009B28CE" w:rsidRPr="008A4B76">
              <w:t xml:space="preserve">  </w:t>
            </w:r>
          </w:p>
          <w:p w14:paraId="684D69E6" w14:textId="77777777" w:rsidR="008C1097" w:rsidRPr="008A4B76" w:rsidRDefault="008C1097" w:rsidP="008A4B76">
            <w:pPr>
              <w:tabs>
                <w:tab w:val="left" w:pos="2884"/>
              </w:tabs>
              <w:jc w:val="both"/>
              <w:rPr>
                <w:b/>
              </w:rPr>
            </w:pPr>
            <w:r w:rsidRPr="008A4B76">
              <w:rPr>
                <w:b/>
              </w:rPr>
              <w:t>II</w:t>
            </w:r>
          </w:p>
          <w:p w14:paraId="78C15B02" w14:textId="55247EF0" w:rsidR="00A46890" w:rsidRPr="008A4B76" w:rsidRDefault="006518A0" w:rsidP="008A4B76">
            <w:pPr>
              <w:tabs>
                <w:tab w:val="left" w:pos="2884"/>
              </w:tabs>
              <w:jc w:val="both"/>
            </w:pPr>
            <w:r w:rsidRPr="008A4B76">
              <w:t xml:space="preserve">Paralēli 8.2.1.SAM sākotnējā novērtējuma izstrādei 2017.gadā noritēja darbs pie </w:t>
            </w:r>
            <w:r w:rsidR="00A46890" w:rsidRPr="008A4B76">
              <w:t>mērķtiecīgu pasākumu</w:t>
            </w:r>
            <w:r w:rsidRPr="008A4B76">
              <w:t xml:space="preserve"> izstrādes</w:t>
            </w:r>
            <w:r w:rsidR="00A46890" w:rsidRPr="008A4B76">
              <w:t xml:space="preserve"> konceptuāli jaunas kompetencēs balstītas izglītības prasībām atbilstošas </w:t>
            </w:r>
            <w:r w:rsidR="00A46890" w:rsidRPr="008A4B76">
              <w:rPr>
                <w:b/>
              </w:rPr>
              <w:t>skolotāju izglītības</w:t>
            </w:r>
            <w:r w:rsidR="00A46890" w:rsidRPr="008A4B76">
              <w:t xml:space="preserve"> nodrošināšanai Latvijā</w:t>
            </w:r>
            <w:r w:rsidR="00BC3037" w:rsidRPr="008A4B76">
              <w:t>.</w:t>
            </w:r>
            <w:r w:rsidR="0039499E" w:rsidRPr="008A4B76">
              <w:t xml:space="preserve"> </w:t>
            </w:r>
            <w:r w:rsidR="00BC3037" w:rsidRPr="008A4B76">
              <w:t>L</w:t>
            </w:r>
            <w:r w:rsidR="00A46890" w:rsidRPr="008A4B76">
              <w:t xml:space="preserve">ai nodrošinātu Latvijas izglītības kvalitātes paaugstināšanos visās izglītības pakāpēs un visos izglītības veidos, nepieciešama pāreja uz kompetencēs balstītu vispārējo izglītību, ko IZM saskaņā ar Izglītības attīstības pamatnostādnēm 2014.-2020.gadam pašreiz ievieš Latvijas </w:t>
            </w:r>
            <w:r w:rsidR="00BC7F8B" w:rsidRPr="008A4B76">
              <w:t xml:space="preserve">izglītības </w:t>
            </w:r>
            <w:r w:rsidR="00A46890" w:rsidRPr="008A4B76">
              <w:t xml:space="preserve">iestādēs. Kompetencēs balstīta izglītība ir vērsta uz cilvēka rīcībspējai nepieciešamo </w:t>
            </w:r>
            <w:proofErr w:type="spellStart"/>
            <w:r w:rsidR="00A46890" w:rsidRPr="008A4B76">
              <w:t>pamatkompetenču</w:t>
            </w:r>
            <w:proofErr w:type="spellEnd"/>
            <w:r w:rsidR="00A46890" w:rsidRPr="008A4B76">
              <w:t xml:space="preserve"> un caurviju kompetenču attīstību. Kompetencēs balstītas izglītības priekšnoteikums ir pedagogu sagatavošana konceptuāli jaunā kvalitātē. </w:t>
            </w:r>
          </w:p>
          <w:p w14:paraId="2CCD48C0" w14:textId="407E138B" w:rsidR="00B31411" w:rsidRPr="008A4B76" w:rsidRDefault="00AD1E20" w:rsidP="007D18FC">
            <w:pPr>
              <w:ind w:firstLine="516"/>
              <w:jc w:val="both"/>
            </w:pPr>
            <w:r w:rsidRPr="008A4B76">
              <w:lastRenderedPageBreak/>
              <w:t>L</w:t>
            </w:r>
            <w:r w:rsidR="00A46890" w:rsidRPr="008A4B76">
              <w:t xml:space="preserve">ai nodrošinātu pedagogu sagatavošanai nepieciešamo resursu mobilizāciju un koncentrāciju, studiju programmu sadrumstalotības un dublēšanās mazināšanos, kā arī finansējuma efektīvu izmantošanu, Ministru kabinets 2017. gada 28. martā pieņēma lēmumu, ka ar 2017. gada 1. oktobri tiek likvidēta Rīgas Pedagoģijas un izglītības vadības akadēmija, to pievienojot Latvijas Universitātei. Pamatojoties uz </w:t>
            </w:r>
            <w:r w:rsidR="0094237E" w:rsidRPr="008A4B76">
              <w:t xml:space="preserve">minēto </w:t>
            </w:r>
            <w:r w:rsidR="00A46890" w:rsidRPr="008A4B76">
              <w:t>lēmum</w:t>
            </w:r>
            <w:r w:rsidR="0094237E" w:rsidRPr="008A4B76">
              <w:t>u</w:t>
            </w:r>
            <w:r w:rsidR="0094237E" w:rsidRPr="008A4B76">
              <w:rPr>
                <w:rStyle w:val="FootnoteReference"/>
              </w:rPr>
              <w:footnoteReference w:id="9"/>
            </w:r>
            <w:r w:rsidR="00A46890" w:rsidRPr="008A4B76">
              <w:t xml:space="preserve"> IZM izveidoj</w:t>
            </w:r>
            <w:r w:rsidR="0011306F" w:rsidRPr="008A4B76">
              <w:t>a</w:t>
            </w:r>
            <w:r w:rsidR="00A46890" w:rsidRPr="008A4B76">
              <w:t xml:space="preserve"> </w:t>
            </w:r>
            <w:r w:rsidR="00A46890" w:rsidRPr="008A4B76">
              <w:rPr>
                <w:b/>
              </w:rPr>
              <w:t>darba grupu</w:t>
            </w:r>
            <w:r w:rsidR="00A46890" w:rsidRPr="008A4B76">
              <w:t xml:space="preserve"> (turpmāk – darba grupa), kurai līdz 2017. gada 31. oktobrim </w:t>
            </w:r>
            <w:r w:rsidR="0011306F" w:rsidRPr="008A4B76">
              <w:t xml:space="preserve">bija </w:t>
            </w:r>
            <w:r w:rsidR="00A46890" w:rsidRPr="008A4B76">
              <w:t xml:space="preserve">jāsagatavo priekšlikumi konceptuāli jaunas kompetencēs balstītas izglītības prasībām atbilstošas skolotāju izglītības nodrošināšanai Latvijā. </w:t>
            </w:r>
            <w:r w:rsidR="00B31411" w:rsidRPr="008A4B76">
              <w:t>Darba grupas priekšlikumi tik</w:t>
            </w:r>
            <w:r w:rsidR="0011306F" w:rsidRPr="008A4B76">
              <w:t>a</w:t>
            </w:r>
            <w:r w:rsidR="00B31411" w:rsidRPr="008A4B76">
              <w:t xml:space="preserve"> ņemti vērā izstrādājot 8.2.1. SAM īstenošanas nosacījumus</w:t>
            </w:r>
            <w:r w:rsidRPr="008A4B76">
              <w:rPr>
                <w:rStyle w:val="FootnoteReference"/>
              </w:rPr>
              <w:footnoteReference w:id="10"/>
            </w:r>
            <w:r w:rsidR="00B31411" w:rsidRPr="008A4B76">
              <w:t>.</w:t>
            </w:r>
            <w:r w:rsidR="00B31411" w:rsidRPr="008A4B76">
              <w:rPr>
                <w:rFonts w:ascii="Cambria" w:eastAsiaTheme="minorHAnsi" w:hAnsi="Cambria" w:cs="Cambria"/>
                <w:color w:val="000000"/>
                <w:lang w:eastAsia="en-US"/>
              </w:rPr>
              <w:t xml:space="preserve"> </w:t>
            </w:r>
          </w:p>
          <w:p w14:paraId="5A6CAC50" w14:textId="77777777" w:rsidR="00A46890" w:rsidRPr="008A4B76" w:rsidRDefault="00A46890" w:rsidP="007D18FC">
            <w:pPr>
              <w:ind w:firstLine="516"/>
              <w:jc w:val="both"/>
            </w:pPr>
            <w:r w:rsidRPr="008A4B76">
              <w:t xml:space="preserve">Lai mobilizētu resursus izglītības studiju jomas modernizācijai un vienlaikus stimulētu </w:t>
            </w:r>
            <w:proofErr w:type="spellStart"/>
            <w:r w:rsidRPr="008A4B76">
              <w:t>policentrisku</w:t>
            </w:r>
            <w:proofErr w:type="spellEnd"/>
            <w:r w:rsidRPr="008A4B76">
              <w:t xml:space="preserve"> Latvijas attīstību, IZM turpinās izglītības studiju resursu koncentrēšanu AII, kas sagatavo skolotājus. Tādējādi integrējot skolotāju izglītību gan ar sociālo un humanitāro, gan ar eksakto zinātņu nozaru studijām un pētniecību, gan arī palielinot izglītības studiju finansējumu. Rezultātā tiks izstrādāts mazāks skaits kvalitatīvāku un konkurētspējīgāku </w:t>
            </w:r>
            <w:r w:rsidR="007D2C3B" w:rsidRPr="008A4B76">
              <w:t xml:space="preserve">pedagoģijas </w:t>
            </w:r>
            <w:r w:rsidRPr="008A4B76">
              <w:t>studiju programmu, un studējošajiem tiks nodrošināts kvalitatīvāks studiju saturs, piekļuve visu akadēmisko jomu resursiem, mecenātu līdzekļiem, ES struktūrfondu programmu ietvaros modernizētajai infrastruktūrai, kā arī nodrošinātas starptautiskās sadarbības iespējas.</w:t>
            </w:r>
          </w:p>
          <w:p w14:paraId="161B6C9B" w14:textId="49B8E81F" w:rsidR="00A46890" w:rsidRPr="008A4B76" w:rsidRDefault="00A46890" w:rsidP="007D18FC">
            <w:pPr>
              <w:ind w:firstLine="516"/>
              <w:jc w:val="both"/>
            </w:pPr>
            <w:r w:rsidRPr="008A4B76">
              <w:t>Ministru kabineta rīkojuma projekta “Par Rīgas Pedagoģijas un izglītības vadības akadēmijas likvidāciju, pievienojot Latvijas Universitātei” sākotnējās ietekmes novērtējuma ziņojumā (anotācijā)</w:t>
            </w:r>
            <w:r w:rsidRPr="008A4B76">
              <w:rPr>
                <w:rStyle w:val="FootnoteReference"/>
              </w:rPr>
              <w:footnoteReference w:id="11"/>
            </w:r>
            <w:r w:rsidRPr="008A4B76">
              <w:t xml:space="preserve"> ir noteikts, ka studiju programmu konsolidācijai un tālākai attīstībai, kā arī pārvaldībai un personāla attīstībai tiks paredzēti līdzekļi 8.2.1. </w:t>
            </w:r>
            <w:r w:rsidR="00BC3037" w:rsidRPr="008A4B76">
              <w:t xml:space="preserve">SAM </w:t>
            </w:r>
            <w:r w:rsidRPr="008A4B76">
              <w:t>“Samazināt studiju programmu fragmentāciju un stiprināt resursu koplietošanu”,</w:t>
            </w:r>
            <w:r w:rsidR="009E5158" w:rsidRPr="008A4B76">
              <w:t xml:space="preserve"> </w:t>
            </w:r>
            <w:r w:rsidRPr="008A4B76">
              <w:t xml:space="preserve">8.2.2. </w:t>
            </w:r>
            <w:r w:rsidR="00BC3037" w:rsidRPr="008A4B76">
              <w:t xml:space="preserve">SAM </w:t>
            </w:r>
            <w:r w:rsidRPr="008A4B76">
              <w:t xml:space="preserve">“Stiprināt augstākās izglītības iestāžu akadēmisko personālu stratēģiskās specializācijas jomās”, 8.2.3. </w:t>
            </w:r>
            <w:r w:rsidR="00BC3037" w:rsidRPr="008A4B76">
              <w:t xml:space="preserve">SAM </w:t>
            </w:r>
            <w:r w:rsidRPr="008A4B76">
              <w:t>“Nodrošināt labāku pārvaldību augstākās izglītības iestādēs”  ietvaros.</w:t>
            </w:r>
          </w:p>
          <w:p w14:paraId="6B387FA6" w14:textId="3F51401E" w:rsidR="008457C0" w:rsidRPr="008A4B76" w:rsidRDefault="00B11A62" w:rsidP="008A4B76">
            <w:pPr>
              <w:tabs>
                <w:tab w:val="left" w:pos="33"/>
              </w:tabs>
              <w:spacing w:before="60" w:after="60"/>
              <w:ind w:firstLine="516"/>
              <w:jc w:val="both"/>
            </w:pPr>
            <w:r w:rsidRPr="008A4B76">
              <w:t>Ņemot vērā minēto</w:t>
            </w:r>
            <w:r w:rsidR="008457C0" w:rsidRPr="008A4B76">
              <w:t xml:space="preserve"> nozares politikas aktuālo jautājumu</w:t>
            </w:r>
            <w:r w:rsidRPr="008A4B76">
              <w:t xml:space="preserve">, </w:t>
            </w:r>
            <w:r w:rsidR="00BC3037" w:rsidRPr="008A4B76">
              <w:t>IZM</w:t>
            </w:r>
            <w:r w:rsidR="00900135" w:rsidRPr="008A4B76">
              <w:t xml:space="preserve"> </w:t>
            </w:r>
            <w:r w:rsidR="008457C0" w:rsidRPr="008A4B76">
              <w:t xml:space="preserve">ir </w:t>
            </w:r>
            <w:r w:rsidR="00900135" w:rsidRPr="008A4B76">
              <w:t>ierosināj</w:t>
            </w:r>
            <w:r w:rsidR="008457C0" w:rsidRPr="008A4B76">
              <w:t>usi</w:t>
            </w:r>
            <w:r w:rsidR="00900135" w:rsidRPr="008A4B76">
              <w:t xml:space="preserve"> </w:t>
            </w:r>
            <w:r w:rsidR="00900135" w:rsidRPr="008A4B76">
              <w:rPr>
                <w:b/>
              </w:rPr>
              <w:t>grozījumus darbības programmā „Izaugsme un nodarbinātība”</w:t>
            </w:r>
            <w:r w:rsidR="00900135" w:rsidRPr="008A4B76">
              <w:t xml:space="preserve">, paredzot </w:t>
            </w:r>
            <w:r w:rsidRPr="008A4B76">
              <w:t xml:space="preserve">8.2.1.SAM ietvaros </w:t>
            </w:r>
            <w:r w:rsidR="008457C0" w:rsidRPr="008A4B76">
              <w:t>investīcijas plānot arī</w:t>
            </w:r>
            <w:r w:rsidRPr="008A4B76">
              <w:t xml:space="preserve"> </w:t>
            </w:r>
            <w:r w:rsidR="007D2C3B" w:rsidRPr="008A4B76">
              <w:t>pedagoģijas</w:t>
            </w:r>
            <w:r w:rsidR="00B01D5B" w:rsidRPr="008A4B76">
              <w:t xml:space="preserve"> </w:t>
            </w:r>
            <w:r w:rsidRPr="008A4B76">
              <w:t>studiju programmu izstrāde</w:t>
            </w:r>
            <w:r w:rsidR="008457C0" w:rsidRPr="008A4B76">
              <w:t>i</w:t>
            </w:r>
            <w:r w:rsidRPr="008A4B76">
              <w:t>, aprobācija</w:t>
            </w:r>
            <w:r w:rsidR="008457C0" w:rsidRPr="008A4B76">
              <w:t>i</w:t>
            </w:r>
            <w:r w:rsidRPr="008A4B76">
              <w:t xml:space="preserve"> un akreditācija</w:t>
            </w:r>
            <w:r w:rsidR="008457C0" w:rsidRPr="008A4B76">
              <w:t>i</w:t>
            </w:r>
            <w:r w:rsidR="00900135" w:rsidRPr="008A4B76">
              <w:t xml:space="preserve">, </w:t>
            </w:r>
            <w:r w:rsidR="008457C0" w:rsidRPr="008A4B76">
              <w:t>tostarp</w:t>
            </w:r>
            <w:r w:rsidR="00900135" w:rsidRPr="008A4B76">
              <w:t xml:space="preserve"> plānojot jaunu iznākuma rādītāju (jaun</w:t>
            </w:r>
            <w:r w:rsidR="009661B9" w:rsidRPr="008A4B76">
              <w:t>o</w:t>
            </w:r>
            <w:r w:rsidR="00900135" w:rsidRPr="008A4B76">
              <w:t xml:space="preserve"> </w:t>
            </w:r>
            <w:r w:rsidR="007D2C3B" w:rsidRPr="008A4B76">
              <w:t xml:space="preserve">pedagoģijas </w:t>
            </w:r>
            <w:r w:rsidR="00900135" w:rsidRPr="008A4B76">
              <w:t>studiju programm</w:t>
            </w:r>
            <w:r w:rsidR="009661B9" w:rsidRPr="008A4B76">
              <w:t>u skaits</w:t>
            </w:r>
            <w:r w:rsidR="00900135" w:rsidRPr="008A4B76">
              <w:t xml:space="preserve">, </w:t>
            </w:r>
            <w:r w:rsidR="009661B9" w:rsidRPr="008A4B76">
              <w:t xml:space="preserve">kuru izstrādei un ieviešanai piešķirts ESF </w:t>
            </w:r>
            <w:r w:rsidR="0097057D" w:rsidRPr="008A4B76">
              <w:t>atbalsts</w:t>
            </w:r>
            <w:r w:rsidR="00900135" w:rsidRPr="008A4B76">
              <w:t>) un rezultāta rādītāju (atbalstīt</w:t>
            </w:r>
            <w:r w:rsidR="009661B9" w:rsidRPr="008A4B76">
              <w:t>o</w:t>
            </w:r>
            <w:r w:rsidR="00900135" w:rsidRPr="008A4B76">
              <w:t xml:space="preserve"> jauno </w:t>
            </w:r>
            <w:r w:rsidR="007D2C3B" w:rsidRPr="008A4B76">
              <w:t xml:space="preserve">pedagoģijas </w:t>
            </w:r>
            <w:r w:rsidR="00900135" w:rsidRPr="008A4B76">
              <w:t>studiju programm</w:t>
            </w:r>
            <w:r w:rsidR="009661B9" w:rsidRPr="008A4B76">
              <w:t>u skaits</w:t>
            </w:r>
            <w:r w:rsidR="00900135" w:rsidRPr="008A4B76">
              <w:t>, kas saņēmušas EQAR aģentūras akreditāciju)</w:t>
            </w:r>
            <w:r w:rsidR="00BD6245" w:rsidRPr="008A4B76">
              <w:t xml:space="preserve">, vienlaikus </w:t>
            </w:r>
            <w:r w:rsidR="0011306F" w:rsidRPr="008A4B76">
              <w:t xml:space="preserve">proporcionāli </w:t>
            </w:r>
            <w:r w:rsidR="00BD6245" w:rsidRPr="008A4B76">
              <w:t>samazinot iznākuma un rezultāta rādītāju vērtības, kas attiecas uz studiju programmu izstrādi ES valodās</w:t>
            </w:r>
            <w:r w:rsidR="0011306F" w:rsidRPr="008A4B76">
              <w:t xml:space="preserve"> un kopīgajām </w:t>
            </w:r>
            <w:r w:rsidR="0011306F" w:rsidRPr="008A4B76">
              <w:lastRenderedPageBreak/>
              <w:t>doktorantūras studiju programmām</w:t>
            </w:r>
            <w:r w:rsidR="00BD6245" w:rsidRPr="008A4B76">
              <w:t>.</w:t>
            </w:r>
            <w:r w:rsidR="00900135" w:rsidRPr="008A4B76">
              <w:t xml:space="preserve"> </w:t>
            </w:r>
            <w:r w:rsidR="00BD6245" w:rsidRPr="008A4B76">
              <w:t>Ierosināti</w:t>
            </w:r>
            <w:r w:rsidR="009661B9" w:rsidRPr="008A4B76">
              <w:t>e</w:t>
            </w:r>
            <w:r w:rsidR="00BD6245" w:rsidRPr="008A4B76">
              <w:t xml:space="preserve"> grozījumi darbības programmā „Izaugsme un nodarbinātība” atbilst 8.2.1.SAM mērķim</w:t>
            </w:r>
            <w:r w:rsidR="00DF26A7" w:rsidRPr="008A4B76">
              <w:rPr>
                <w:sz w:val="20"/>
                <w:szCs w:val="20"/>
              </w:rPr>
              <w:t xml:space="preserve"> </w:t>
            </w:r>
            <w:r w:rsidR="00DF26A7" w:rsidRPr="008A4B76">
              <w:t>– samazināt studiju programmu fragmentāciju un stiprināt resursu koplietošanu</w:t>
            </w:r>
            <w:r w:rsidR="00BD6245" w:rsidRPr="008A4B76">
              <w:t>, ņemot vērā, ka studiju virzienā „</w:t>
            </w:r>
            <w:r w:rsidR="00DF26A7" w:rsidRPr="008A4B76">
              <w:t>Izglītība, pedagoģija un sports</w:t>
            </w:r>
            <w:r w:rsidR="00BD6245" w:rsidRPr="008A4B76">
              <w:t>”</w:t>
            </w:r>
            <w:r w:rsidR="00DF26A7" w:rsidRPr="008A4B76">
              <w:t xml:space="preserve"> tiks nodrošināta studiju programmu skaita samazināšan</w:t>
            </w:r>
            <w:r w:rsidR="009661B9" w:rsidRPr="008A4B76">
              <w:t>a</w:t>
            </w:r>
            <w:r w:rsidR="00DF26A7" w:rsidRPr="008A4B76">
              <w:t>, kas ir viens no būtiskākajiem 8.2.1. SAM rezultāta rādītājiem.</w:t>
            </w:r>
          </w:p>
          <w:p w14:paraId="1C7B4CA7" w14:textId="77777777" w:rsidR="008C1097" w:rsidRPr="008A4B76" w:rsidRDefault="008C1097" w:rsidP="008A4B76">
            <w:pPr>
              <w:jc w:val="both"/>
              <w:rPr>
                <w:b/>
              </w:rPr>
            </w:pPr>
            <w:r w:rsidRPr="008A4B76">
              <w:rPr>
                <w:b/>
              </w:rPr>
              <w:t>III</w:t>
            </w:r>
          </w:p>
          <w:p w14:paraId="311EC7A9" w14:textId="2081CE90" w:rsidR="0039499E" w:rsidRPr="008A4B76" w:rsidRDefault="00036ADC" w:rsidP="008A4B76">
            <w:pPr>
              <w:ind w:firstLine="537"/>
              <w:jc w:val="both"/>
            </w:pPr>
            <w:r w:rsidRPr="008A4B76">
              <w:t xml:space="preserve">Ar noteikumu projektu tiks noteikts </w:t>
            </w:r>
            <w:r w:rsidRPr="008A4B76">
              <w:rPr>
                <w:b/>
              </w:rPr>
              <w:t>tiesiskais ietvars</w:t>
            </w:r>
            <w:r w:rsidRPr="008A4B76">
              <w:t xml:space="preserve"> 8.2.1. SAM  īstenošanai.</w:t>
            </w:r>
            <w:r w:rsidR="00BC3037" w:rsidRPr="008A4B76">
              <w:t xml:space="preserve"> </w:t>
            </w:r>
            <w:r w:rsidR="0039499E" w:rsidRPr="008A4B76">
              <w:t xml:space="preserve">Noteikumu projekts nosaka kārtību, kādā īsteno 8.2.1. SAM pirmo un otro projektu iesniegumu atlases kārtu. </w:t>
            </w:r>
          </w:p>
          <w:p w14:paraId="7A5AAC60" w14:textId="77777777" w:rsidR="0053632E" w:rsidRPr="008A4B76" w:rsidRDefault="0053632E" w:rsidP="0053632E">
            <w:pPr>
              <w:tabs>
                <w:tab w:val="left" w:pos="426"/>
                <w:tab w:val="left" w:pos="1134"/>
              </w:tabs>
              <w:ind w:firstLine="516"/>
              <w:jc w:val="both"/>
            </w:pPr>
            <w:bookmarkStart w:id="0" w:name="_Ref455047587"/>
            <w:r w:rsidRPr="008A4B76">
              <w:t xml:space="preserve">8.2.1. SAM īstenošanai </w:t>
            </w:r>
            <w:r w:rsidRPr="008A4B76">
              <w:rPr>
                <w:b/>
              </w:rPr>
              <w:t>plānotais kopējais attiecināmais finansējums</w:t>
            </w:r>
            <w:r w:rsidRPr="008A4B76">
              <w:t xml:space="preserve"> ir 10 815 000 </w:t>
            </w:r>
            <w:proofErr w:type="spellStart"/>
            <w:r w:rsidRPr="008A4B76">
              <w:rPr>
                <w:i/>
              </w:rPr>
              <w:t>euro</w:t>
            </w:r>
            <w:proofErr w:type="spellEnd"/>
            <w:r w:rsidRPr="008A4B76">
              <w:t>, ko veido ESF finansējums 9 192 750 </w:t>
            </w:r>
            <w:proofErr w:type="spellStart"/>
            <w:r w:rsidRPr="008A4B76">
              <w:rPr>
                <w:i/>
              </w:rPr>
              <w:t>euro</w:t>
            </w:r>
            <w:proofErr w:type="spellEnd"/>
            <w:r w:rsidRPr="008A4B76">
              <w:t xml:space="preserve"> un valsts budžeta līdzfinansējums 1 622 250 </w:t>
            </w:r>
            <w:proofErr w:type="spellStart"/>
            <w:r w:rsidRPr="008A4B76">
              <w:rPr>
                <w:i/>
              </w:rPr>
              <w:t>euro</w:t>
            </w:r>
            <w:proofErr w:type="spellEnd"/>
            <w:r w:rsidRPr="008A4B76">
              <w:t xml:space="preserve">.  </w:t>
            </w:r>
          </w:p>
          <w:p w14:paraId="0CB9FAD4" w14:textId="77777777" w:rsidR="008C1097" w:rsidRPr="008A4B76" w:rsidRDefault="008C1097" w:rsidP="008C1097">
            <w:pPr>
              <w:ind w:firstLine="516"/>
              <w:jc w:val="both"/>
            </w:pPr>
            <w:r w:rsidRPr="008A4B76">
              <w:t xml:space="preserve">8.2.1. SAM ietvaros paredzēts īstenot </w:t>
            </w:r>
            <w:r w:rsidRPr="008A4B76">
              <w:rPr>
                <w:b/>
              </w:rPr>
              <w:t>divas atšķirīga veida atlases kārtas:</w:t>
            </w:r>
            <w:r w:rsidRPr="008A4B76">
              <w:t xml:space="preserve"> </w:t>
            </w:r>
          </w:p>
          <w:p w14:paraId="55D8550E" w14:textId="460EA090" w:rsidR="008C1097" w:rsidRPr="008A4B76" w:rsidRDefault="008C1097" w:rsidP="004057BD">
            <w:pPr>
              <w:pStyle w:val="ListParagraph"/>
              <w:numPr>
                <w:ilvl w:val="0"/>
                <w:numId w:val="37"/>
              </w:numPr>
              <w:ind w:left="537" w:hanging="284"/>
            </w:pPr>
            <w:r w:rsidRPr="008A4B76">
              <w:rPr>
                <w:b/>
              </w:rPr>
              <w:t>P</w:t>
            </w:r>
            <w:r w:rsidR="00392828" w:rsidRPr="008A4B76">
              <w:rPr>
                <w:b/>
              </w:rPr>
              <w:t>irmajai kārtai</w:t>
            </w:r>
            <w:r w:rsidR="00392828" w:rsidRPr="008A4B76">
              <w:t xml:space="preserve"> pieejams</w:t>
            </w:r>
            <w:r w:rsidRPr="008A4B76">
              <w:t xml:space="preserve"> </w:t>
            </w:r>
            <w:r w:rsidR="00392828" w:rsidRPr="008A4B76">
              <w:t xml:space="preserve">kopējais attiecināmais finansējums </w:t>
            </w:r>
            <w:r w:rsidR="004057BD" w:rsidRPr="008A4B76">
              <w:t xml:space="preserve">ir </w:t>
            </w:r>
            <w:r w:rsidR="00392828" w:rsidRPr="008A4B76">
              <w:t xml:space="preserve">3 000 000 </w:t>
            </w:r>
            <w:proofErr w:type="spellStart"/>
            <w:r w:rsidR="00392828" w:rsidRPr="008A4B76">
              <w:rPr>
                <w:i/>
              </w:rPr>
              <w:t>euro</w:t>
            </w:r>
            <w:proofErr w:type="spellEnd"/>
            <w:r w:rsidR="00392828" w:rsidRPr="008A4B76">
              <w:t xml:space="preserve"> (Eiropas Sociālā fonda (turpmāk – ESF) finansējums 2 550 000 </w:t>
            </w:r>
            <w:proofErr w:type="spellStart"/>
            <w:r w:rsidR="00392828" w:rsidRPr="008A4B76">
              <w:rPr>
                <w:i/>
              </w:rPr>
              <w:t>euro</w:t>
            </w:r>
            <w:proofErr w:type="spellEnd"/>
            <w:r w:rsidR="00392828" w:rsidRPr="008A4B76">
              <w:t xml:space="preserve"> un valsts budžeta finansējums 450 000 </w:t>
            </w:r>
            <w:proofErr w:type="spellStart"/>
            <w:r w:rsidR="00392828" w:rsidRPr="008A4B76">
              <w:rPr>
                <w:i/>
              </w:rPr>
              <w:t>euro</w:t>
            </w:r>
            <w:proofErr w:type="spellEnd"/>
            <w:r w:rsidR="00392828" w:rsidRPr="008A4B76">
              <w:t>)</w:t>
            </w:r>
            <w:r w:rsidR="00392828" w:rsidRPr="008A4B76">
              <w:rPr>
                <w:i/>
              </w:rPr>
              <w:t xml:space="preserve"> </w:t>
            </w:r>
            <w:r w:rsidR="00392828" w:rsidRPr="008A4B76">
              <w:t xml:space="preserve">un tās </w:t>
            </w:r>
            <w:r w:rsidRPr="008A4B76">
              <w:t>ietvaros finansējums paredzēts jaunu pedagoģijas studiju programmu izstrādei ierobežotas projektu iesniegumu atlases veidā;</w:t>
            </w:r>
          </w:p>
          <w:p w14:paraId="2FC60DFD" w14:textId="77777777" w:rsidR="00392828" w:rsidRPr="008A4B76" w:rsidRDefault="008C1097" w:rsidP="004057BD">
            <w:pPr>
              <w:pStyle w:val="ListParagraph"/>
              <w:numPr>
                <w:ilvl w:val="0"/>
                <w:numId w:val="37"/>
              </w:numPr>
              <w:ind w:left="537" w:hanging="284"/>
            </w:pPr>
            <w:r w:rsidRPr="008A4B76">
              <w:rPr>
                <w:b/>
              </w:rPr>
              <w:t>O</w:t>
            </w:r>
            <w:r w:rsidR="00392828" w:rsidRPr="008A4B76">
              <w:rPr>
                <w:b/>
              </w:rPr>
              <w:t>trajai kārtai</w:t>
            </w:r>
            <w:r w:rsidR="00392828" w:rsidRPr="008A4B76">
              <w:t xml:space="preserve"> pieejams kopējais attiecināmais finansējums </w:t>
            </w:r>
            <w:r w:rsidRPr="008A4B76">
              <w:t xml:space="preserve"> </w:t>
            </w:r>
            <w:r w:rsidR="00392828" w:rsidRPr="008A4B76">
              <w:t xml:space="preserve">7 815 000 </w:t>
            </w:r>
            <w:proofErr w:type="spellStart"/>
            <w:r w:rsidR="00392828" w:rsidRPr="008A4B76">
              <w:rPr>
                <w:i/>
              </w:rPr>
              <w:t>euro</w:t>
            </w:r>
            <w:proofErr w:type="spellEnd"/>
            <w:r w:rsidR="00392828" w:rsidRPr="008A4B76">
              <w:t xml:space="preserve"> (ESF finansējums 6 642 750 </w:t>
            </w:r>
            <w:proofErr w:type="spellStart"/>
            <w:r w:rsidR="00392828" w:rsidRPr="008A4B76">
              <w:rPr>
                <w:i/>
              </w:rPr>
              <w:t>euro</w:t>
            </w:r>
            <w:proofErr w:type="spellEnd"/>
            <w:r w:rsidR="00392828" w:rsidRPr="008A4B76">
              <w:t xml:space="preserve"> un valsts budžeta finansējums 1 172 250 </w:t>
            </w:r>
            <w:proofErr w:type="spellStart"/>
            <w:r w:rsidR="00392828" w:rsidRPr="008A4B76">
              <w:rPr>
                <w:i/>
              </w:rPr>
              <w:t>euro</w:t>
            </w:r>
            <w:proofErr w:type="spellEnd"/>
            <w:r w:rsidR="00392828" w:rsidRPr="008A4B76">
              <w:t>)</w:t>
            </w:r>
            <w:r w:rsidR="00392828" w:rsidRPr="008A4B76">
              <w:rPr>
                <w:i/>
              </w:rPr>
              <w:t xml:space="preserve"> </w:t>
            </w:r>
            <w:r w:rsidR="00392828" w:rsidRPr="008A4B76">
              <w:t>un tās</w:t>
            </w:r>
            <w:r w:rsidRPr="008A4B76">
              <w:t xml:space="preserve"> ietvaros finansējums paredzēts kopīgo doktorantūras studiju programmu un studiju programmu ES valodās izstrādei atklātas projektu iesniegumu atlases veidā.</w:t>
            </w:r>
            <w:r w:rsidR="00392828" w:rsidRPr="008A4B76">
              <w:t xml:space="preserve"> </w:t>
            </w:r>
          </w:p>
          <w:p w14:paraId="79591A73" w14:textId="3A327FFE" w:rsidR="00392828" w:rsidRPr="008A4B76" w:rsidRDefault="00392828" w:rsidP="004057BD">
            <w:pPr>
              <w:pStyle w:val="ListParagraph"/>
              <w:ind w:left="537"/>
            </w:pPr>
            <w:r w:rsidRPr="008A4B76">
              <w:t>L</w:t>
            </w:r>
            <w:r w:rsidRPr="008A4B76">
              <w:rPr>
                <w:color w:val="000000" w:themeColor="text1"/>
              </w:rPr>
              <w:t xml:space="preserve">īdz 2018. gada 31. decembrim pieejamais kopējais attiecināmais finansējums, lai slēgtu vienošanos un līgumus par projektu īstenošanu, ir 7 142 466 </w:t>
            </w:r>
            <w:proofErr w:type="spellStart"/>
            <w:r w:rsidRPr="008A4B76">
              <w:rPr>
                <w:i/>
                <w:color w:val="000000" w:themeColor="text1"/>
              </w:rPr>
              <w:t>euro</w:t>
            </w:r>
            <w:proofErr w:type="spellEnd"/>
            <w:r w:rsidRPr="008A4B76">
              <w:rPr>
                <w:color w:val="000000" w:themeColor="text1"/>
              </w:rPr>
              <w:t xml:space="preserve"> (ESF finansējums 6 071 096 </w:t>
            </w:r>
            <w:proofErr w:type="spellStart"/>
            <w:r w:rsidRPr="008A4B76">
              <w:rPr>
                <w:i/>
                <w:color w:val="000000" w:themeColor="text1"/>
              </w:rPr>
              <w:t>euro</w:t>
            </w:r>
            <w:proofErr w:type="spellEnd"/>
            <w:r w:rsidRPr="008A4B76">
              <w:rPr>
                <w:color w:val="000000" w:themeColor="text1"/>
              </w:rPr>
              <w:t xml:space="preserve"> un valsts budžeta finansējums 1 071 370 </w:t>
            </w:r>
            <w:proofErr w:type="spellStart"/>
            <w:r w:rsidRPr="008A4B76">
              <w:rPr>
                <w:i/>
                <w:color w:val="000000" w:themeColor="text1"/>
              </w:rPr>
              <w:t>euro</w:t>
            </w:r>
            <w:proofErr w:type="spellEnd"/>
            <w:r w:rsidRPr="008A4B76">
              <w:rPr>
                <w:i/>
                <w:color w:val="000000" w:themeColor="text1"/>
              </w:rPr>
              <w:t>)</w:t>
            </w:r>
            <w:r w:rsidRPr="008A4B76">
              <w:rPr>
                <w:color w:val="000000" w:themeColor="text1"/>
              </w:rPr>
              <w:t xml:space="preserve">. </w:t>
            </w:r>
            <w:r w:rsidRPr="008A4B76">
              <w:rPr>
                <w:b/>
                <w:bCs/>
              </w:rPr>
              <w:t xml:space="preserve">8.2.1.SAM rezerves finansējums </w:t>
            </w:r>
            <w:r w:rsidRPr="008A4B76">
              <w:rPr>
                <w:bCs/>
              </w:rPr>
              <w:t>ir</w:t>
            </w:r>
            <w:r w:rsidRPr="008A4B76">
              <w:rPr>
                <w:b/>
                <w:bCs/>
              </w:rPr>
              <w:t xml:space="preserve"> </w:t>
            </w:r>
            <w:r w:rsidRPr="008A4B76">
              <w:rPr>
                <w:bCs/>
              </w:rPr>
              <w:t>672 534</w:t>
            </w:r>
            <w:r w:rsidRPr="008A4B76">
              <w:rPr>
                <w:bCs/>
                <w:i/>
              </w:rPr>
              <w:t xml:space="preserve"> </w:t>
            </w:r>
            <w:proofErr w:type="spellStart"/>
            <w:r w:rsidRPr="008A4B76">
              <w:rPr>
                <w:i/>
              </w:rPr>
              <w:t>euro</w:t>
            </w:r>
            <w:proofErr w:type="spellEnd"/>
            <w:r w:rsidRPr="008A4B76">
              <w:rPr>
                <w:bCs/>
                <w:i/>
              </w:rPr>
              <w:t xml:space="preserve"> </w:t>
            </w:r>
            <w:r w:rsidRPr="008A4B76">
              <w:rPr>
                <w:bCs/>
              </w:rPr>
              <w:t>(</w:t>
            </w:r>
            <w:r w:rsidRPr="008A4B76">
              <w:t xml:space="preserve">ESF </w:t>
            </w:r>
            <w:r w:rsidRPr="008A4B76">
              <w:rPr>
                <w:bCs/>
              </w:rPr>
              <w:t>571 654</w:t>
            </w:r>
            <w:r w:rsidRPr="008A4B76">
              <w:rPr>
                <w:bCs/>
                <w:i/>
              </w:rPr>
              <w:t xml:space="preserve"> </w:t>
            </w:r>
            <w:proofErr w:type="spellStart"/>
            <w:r w:rsidRPr="008A4B76">
              <w:rPr>
                <w:i/>
              </w:rPr>
              <w:t>euro</w:t>
            </w:r>
            <w:proofErr w:type="spellEnd"/>
            <w:r w:rsidRPr="008A4B76">
              <w:rPr>
                <w:i/>
              </w:rPr>
              <w:t xml:space="preserve"> </w:t>
            </w:r>
            <w:r w:rsidRPr="008A4B76">
              <w:t>un valsts budžeta finansējums 100 880</w:t>
            </w:r>
            <w:r w:rsidRPr="008A4B76">
              <w:rPr>
                <w:i/>
              </w:rPr>
              <w:t xml:space="preserve"> </w:t>
            </w:r>
            <w:proofErr w:type="spellStart"/>
            <w:r w:rsidRPr="008A4B76">
              <w:rPr>
                <w:i/>
              </w:rPr>
              <w:t>euro</w:t>
            </w:r>
            <w:proofErr w:type="spellEnd"/>
            <w:r w:rsidRPr="008A4B76">
              <w:t>)</w:t>
            </w:r>
            <w:r w:rsidRPr="008A4B76">
              <w:rPr>
                <w:i/>
              </w:rPr>
              <w:t>.</w:t>
            </w:r>
          </w:p>
          <w:p w14:paraId="489B668D" w14:textId="576AB606" w:rsidR="008C1097" w:rsidRPr="008A4B76" w:rsidRDefault="008C1097" w:rsidP="008A4B76">
            <w:pPr>
              <w:spacing w:after="120"/>
              <w:ind w:firstLine="539"/>
              <w:jc w:val="both"/>
            </w:pPr>
            <w:r w:rsidRPr="008A4B76">
              <w:t>Ja minēto kārtu ietvaros netiks piesaistīts viss pieejamais finansējums, tiks vērtēta nepieciešamība organizēt atkārtotu atklātu projektu iesniegumu atlasi.</w:t>
            </w:r>
          </w:p>
          <w:p w14:paraId="68A85571" w14:textId="78C79BA5" w:rsidR="00392828" w:rsidRPr="008A4B76" w:rsidRDefault="0039499E" w:rsidP="00ED00A1">
            <w:pPr>
              <w:tabs>
                <w:tab w:val="left" w:pos="426"/>
                <w:tab w:val="left" w:pos="1134"/>
              </w:tabs>
              <w:ind w:firstLine="516"/>
              <w:jc w:val="both"/>
            </w:pPr>
            <w:r w:rsidRPr="008A4B76">
              <w:rPr>
                <w:b/>
                <w:iCs/>
              </w:rPr>
              <w:t>Pirm</w:t>
            </w:r>
            <w:r w:rsidR="00ED00A1" w:rsidRPr="008A4B76">
              <w:rPr>
                <w:b/>
                <w:iCs/>
              </w:rPr>
              <w:t xml:space="preserve">ās - </w:t>
            </w:r>
            <w:r w:rsidRPr="008A4B76">
              <w:rPr>
                <w:b/>
                <w:iCs/>
              </w:rPr>
              <w:t xml:space="preserve">ierobežotas atlases </w:t>
            </w:r>
            <w:r w:rsidR="00ED00A1" w:rsidRPr="008A4B76">
              <w:rPr>
                <w:b/>
                <w:iCs/>
              </w:rPr>
              <w:t>– kārtas</w:t>
            </w:r>
            <w:r w:rsidR="00ED00A1" w:rsidRPr="008A4B76">
              <w:rPr>
                <w:iCs/>
              </w:rPr>
              <w:t xml:space="preserve"> </w:t>
            </w:r>
            <w:r w:rsidRPr="008A4B76">
              <w:t>projekt</w:t>
            </w:r>
            <w:r w:rsidR="00ED00A1" w:rsidRPr="008A4B76">
              <w:t>u</w:t>
            </w:r>
            <w:r w:rsidRPr="008A4B76">
              <w:t xml:space="preserve"> iesniedzēji (finansējuma saņēmēji) ir</w:t>
            </w:r>
            <w:r w:rsidR="009661B9" w:rsidRPr="008A4B76">
              <w:t xml:space="preserve"> </w:t>
            </w:r>
            <w:r w:rsidR="00ED00A1" w:rsidRPr="008A4B76">
              <w:t xml:space="preserve">sešas </w:t>
            </w:r>
            <w:r w:rsidR="009661B9" w:rsidRPr="008A4B76">
              <w:t xml:space="preserve">augstākās izglītības institūcijas, kas īsteno </w:t>
            </w:r>
            <w:r w:rsidR="007D2C3B" w:rsidRPr="008A4B76">
              <w:t xml:space="preserve">pedagoģijas  </w:t>
            </w:r>
            <w:r w:rsidR="009661B9" w:rsidRPr="008A4B76">
              <w:t xml:space="preserve">izglītības studiju programmas – </w:t>
            </w:r>
            <w:r w:rsidR="00ED00A1" w:rsidRPr="008A4B76">
              <w:t xml:space="preserve">(1) </w:t>
            </w:r>
            <w:r w:rsidRPr="008A4B76">
              <w:t xml:space="preserve">Latvijas Universitāte, </w:t>
            </w:r>
            <w:r w:rsidR="00ED00A1" w:rsidRPr="008A4B76">
              <w:t xml:space="preserve">(2) </w:t>
            </w:r>
            <w:r w:rsidRPr="008A4B76">
              <w:t xml:space="preserve">Daugavpils Universitāte, </w:t>
            </w:r>
            <w:r w:rsidR="00ED00A1" w:rsidRPr="008A4B76">
              <w:t xml:space="preserve">(3) </w:t>
            </w:r>
            <w:r w:rsidRPr="008A4B76">
              <w:t xml:space="preserve">Liepājas Universitāte, </w:t>
            </w:r>
            <w:r w:rsidR="00ED00A1" w:rsidRPr="008A4B76">
              <w:t xml:space="preserve">(4) </w:t>
            </w:r>
            <w:r w:rsidRPr="008A4B76">
              <w:t xml:space="preserve">Rēzeknes Tehnoloģiju akadēmija, </w:t>
            </w:r>
            <w:r w:rsidR="00ED00A1" w:rsidRPr="008A4B76">
              <w:t xml:space="preserve">(5) </w:t>
            </w:r>
            <w:r w:rsidRPr="008A4B76">
              <w:t xml:space="preserve">Jāzepa Vītola Latvijas Mūzikas akadēmija un </w:t>
            </w:r>
            <w:r w:rsidR="00ED00A1" w:rsidRPr="008A4B76">
              <w:t xml:space="preserve">(6) </w:t>
            </w:r>
            <w:r w:rsidRPr="008A4B76">
              <w:t xml:space="preserve">Latvijas Sporta pedagoģijas akadēmija. </w:t>
            </w:r>
          </w:p>
          <w:p w14:paraId="04F0AFAD" w14:textId="39C449A7" w:rsidR="00E52C61" w:rsidRPr="008A4B76" w:rsidRDefault="00ED00A1" w:rsidP="00ED00A1">
            <w:pPr>
              <w:tabs>
                <w:tab w:val="left" w:pos="426"/>
                <w:tab w:val="left" w:pos="1134"/>
              </w:tabs>
              <w:ind w:firstLine="516"/>
              <w:jc w:val="both"/>
              <w:rPr>
                <w:iCs/>
              </w:rPr>
            </w:pPr>
            <w:r w:rsidRPr="008A4B76">
              <w:t xml:space="preserve">Tās noteiktas par </w:t>
            </w:r>
            <w:r w:rsidRPr="008A4B76">
              <w:rPr>
                <w:iCs/>
              </w:rPr>
              <w:t>p</w:t>
            </w:r>
            <w:r w:rsidR="00E52C61" w:rsidRPr="008A4B76">
              <w:rPr>
                <w:iCs/>
              </w:rPr>
              <w:t>rojektu iesniedzēji</w:t>
            </w:r>
            <w:r w:rsidRPr="008A4B76">
              <w:rPr>
                <w:iCs/>
              </w:rPr>
              <w:t xml:space="preserve">em </w:t>
            </w:r>
            <w:r w:rsidR="00E52C61" w:rsidRPr="008A4B76">
              <w:rPr>
                <w:iCs/>
              </w:rPr>
              <w:t xml:space="preserve">atbilstoši informatīvajā ziņojumā “Priekšlikumi konceptuāli jaunas kompetencēs balstītas izglītības prasībām atbilstošas skolotāju izglītības nodrošināšanai </w:t>
            </w:r>
            <w:r w:rsidR="00E52C61" w:rsidRPr="008A4B76">
              <w:rPr>
                <w:iCs/>
              </w:rPr>
              <w:lastRenderedPageBreak/>
              <w:t>Latvijā”</w:t>
            </w:r>
            <w:r w:rsidR="00E52C61" w:rsidRPr="008A4B76">
              <w:rPr>
                <w:rStyle w:val="FootnoteReference"/>
                <w:iCs/>
              </w:rPr>
              <w:footnoteReference w:id="12"/>
            </w:r>
            <w:r w:rsidR="00E52C61" w:rsidRPr="008A4B76">
              <w:rPr>
                <w:iCs/>
              </w:rPr>
              <w:t xml:space="preserve"> iekļautajiem priekšlikumiem, </w:t>
            </w:r>
            <w:r w:rsidR="00914155" w:rsidRPr="008A4B76">
              <w:rPr>
                <w:iCs/>
              </w:rPr>
              <w:t>kas paredz</w:t>
            </w:r>
            <w:r w:rsidR="00E52C61" w:rsidRPr="008A4B76">
              <w:rPr>
                <w:iCs/>
              </w:rPr>
              <w:t>, ka pedagoģijas izglītība ir jākoncentrē augstskolās, kuru stratēģiskā specializācija ietver pedagoģijas studiju īstenošanu. Kaut gan Latvijas Lauksaimniecības universitāte un Rīgas Stradiņa universitāte šobrīd īsteno studiju programmas, kas ietilpst studiju virzienā ,,Izglītība, pedagoģija un sports”, tomēr tās netiek iekļautas projekta iesniedzēju sarakstā, jo to stratēģiskā specializācija nav vērsta uz šī studiju virziena attīstību.</w:t>
            </w:r>
          </w:p>
          <w:p w14:paraId="2090442F" w14:textId="3A4A53AD" w:rsidR="00CA6C55" w:rsidRPr="008A4B76" w:rsidRDefault="00CA6C55" w:rsidP="00C26BD1">
            <w:pPr>
              <w:pStyle w:val="tv213"/>
              <w:shd w:val="clear" w:color="auto" w:fill="FFFFFF"/>
              <w:spacing w:before="0" w:beforeAutospacing="0" w:after="0" w:afterAutospacing="0"/>
              <w:ind w:firstLine="516"/>
              <w:jc w:val="both"/>
            </w:pPr>
            <w:r w:rsidRPr="008A4B76">
              <w:t>Pirmās kārtas ietvaros projektu iesniedzēji projektus īsteno sadarbībā ar tām augstskolām, kas būs noteiktas pedagoģijas izglītības attīstības plānā, kurš</w:t>
            </w:r>
            <w:r w:rsidR="00392828" w:rsidRPr="008A4B76">
              <w:t>,</w:t>
            </w:r>
            <w:r w:rsidRPr="008A4B76">
              <w:t xml:space="preserve"> savukārt</w:t>
            </w:r>
            <w:r w:rsidR="00392828" w:rsidRPr="008A4B76">
              <w:t>,</w:t>
            </w:r>
            <w:r w:rsidRPr="008A4B76">
              <w:t xml:space="preserve"> būs </w:t>
            </w:r>
            <w:r w:rsidR="00392828" w:rsidRPr="008A4B76">
              <w:t>jā</w:t>
            </w:r>
            <w:r w:rsidRPr="008A4B76">
              <w:t xml:space="preserve">saskaņo ar Pedagoģijas izglītības </w:t>
            </w:r>
            <w:proofErr w:type="spellStart"/>
            <w:r w:rsidRPr="008A4B76">
              <w:t>jaunveides</w:t>
            </w:r>
            <w:proofErr w:type="spellEnd"/>
            <w:r w:rsidRPr="008A4B76">
              <w:t xml:space="preserve"> konsultatīvo padomi.</w:t>
            </w:r>
          </w:p>
          <w:p w14:paraId="59948BBA" w14:textId="67BFF7C4" w:rsidR="009E541C" w:rsidRPr="00150F04" w:rsidRDefault="009E541C" w:rsidP="00C26BD1">
            <w:pPr>
              <w:pStyle w:val="tv213"/>
              <w:shd w:val="clear" w:color="auto" w:fill="FFFFFF"/>
              <w:spacing w:before="0" w:beforeAutospacing="0" w:after="0" w:afterAutospacing="0"/>
              <w:ind w:firstLine="516"/>
              <w:jc w:val="both"/>
              <w:rPr>
                <w:b/>
              </w:rPr>
            </w:pPr>
            <w:r w:rsidRPr="008A4B76">
              <w:t xml:space="preserve">Noteikumu projekts paredz, ka Pedagoģijas izglītības </w:t>
            </w:r>
            <w:proofErr w:type="spellStart"/>
            <w:r w:rsidRPr="008A4B76">
              <w:t>jaunveides</w:t>
            </w:r>
            <w:proofErr w:type="spellEnd"/>
            <w:r w:rsidRPr="008A4B76">
              <w:t xml:space="preserve"> konsultatīvo padomi izveido IZM</w:t>
            </w:r>
            <w:r w:rsidR="00815693" w:rsidRPr="008A4B76">
              <w:t>,</w:t>
            </w:r>
            <w:r w:rsidRPr="008A4B76">
              <w:t xml:space="preserve"> un tās sastāvā iekļau</w:t>
            </w:r>
            <w:r w:rsidR="00392828" w:rsidRPr="008A4B76">
              <w:t>j</w:t>
            </w:r>
            <w:r w:rsidRPr="008A4B76">
              <w:t xml:space="preserve"> IZM, Latvijas Nacionālā kultūras centra, Latvijas Studentu apvienības</w:t>
            </w:r>
            <w:r w:rsidR="00392828" w:rsidRPr="008A4B76">
              <w:t xml:space="preserve">, </w:t>
            </w:r>
            <w:r w:rsidRPr="008A4B76">
              <w:t>nodibinājuma „Iespējamā misija” pārstāvj</w:t>
            </w:r>
            <w:r w:rsidR="00392828" w:rsidRPr="008A4B76">
              <w:t>us</w:t>
            </w:r>
            <w:r w:rsidRPr="008A4B76">
              <w:t xml:space="preserve">, darbības programmas „Izaugsme un nodarbinātība” 8.3.1. specifiskā atbalsta mērķa „Attīstīt kompetenču pieejā balstītu vispārējās izglītības saturu” 8.3.1.1. pasākuma „Kompetenču pieejā balstīta vispārējās izglītības satura aprobācija un ieviešana” ietvaros Valsts izglītības satura centra īstenotā projekta „Kompetenču pieeja mācību saturā” </w:t>
            </w:r>
            <w:r w:rsidR="006F185D" w:rsidRPr="008A4B76">
              <w:t xml:space="preserve">un nozares </w:t>
            </w:r>
            <w:r w:rsidRPr="008A4B76">
              <w:t>ekspert</w:t>
            </w:r>
            <w:r w:rsidR="00392828" w:rsidRPr="008A4B76">
              <w:t>us</w:t>
            </w:r>
            <w:r w:rsidRPr="008A4B76">
              <w:t>.</w:t>
            </w:r>
            <w:r w:rsidR="00B720A4" w:rsidRPr="008A4B76">
              <w:t xml:space="preserve"> </w:t>
            </w:r>
            <w:r w:rsidR="00B720A4" w:rsidRPr="00150F04">
              <w:rPr>
                <w:b/>
              </w:rPr>
              <w:t xml:space="preserve">Pedagoģijas izglītības </w:t>
            </w:r>
            <w:proofErr w:type="spellStart"/>
            <w:r w:rsidR="00B720A4" w:rsidRPr="00150F04">
              <w:rPr>
                <w:b/>
              </w:rPr>
              <w:t>jaunveides</w:t>
            </w:r>
            <w:proofErr w:type="spellEnd"/>
            <w:r w:rsidR="00B720A4" w:rsidRPr="00150F04">
              <w:rPr>
                <w:b/>
              </w:rPr>
              <w:t xml:space="preserve"> konsultatīv</w:t>
            </w:r>
            <w:r w:rsidR="00815693" w:rsidRPr="00150F04">
              <w:rPr>
                <w:b/>
              </w:rPr>
              <w:t>ās</w:t>
            </w:r>
            <w:r w:rsidR="00B720A4" w:rsidRPr="00150F04">
              <w:rPr>
                <w:b/>
              </w:rPr>
              <w:t xml:space="preserve"> padomes darbībai finansējums</w:t>
            </w:r>
            <w:r w:rsidR="00150F04" w:rsidRPr="00150F04">
              <w:rPr>
                <w:b/>
              </w:rPr>
              <w:t xml:space="preserve"> nav nepieciešams.</w:t>
            </w:r>
          </w:p>
          <w:p w14:paraId="389291D8" w14:textId="77777777" w:rsidR="00C26BD1" w:rsidRPr="008A4B76" w:rsidRDefault="00C26BD1" w:rsidP="00C26BD1">
            <w:pPr>
              <w:pStyle w:val="Default"/>
              <w:ind w:firstLine="516"/>
              <w:jc w:val="both"/>
              <w:rPr>
                <w:color w:val="auto"/>
              </w:rPr>
            </w:pPr>
            <w:r w:rsidRPr="008A4B76">
              <w:rPr>
                <w:color w:val="auto"/>
              </w:rPr>
              <w:t xml:space="preserve">Pirmās kārtas ietvaros katram </w:t>
            </w:r>
            <w:r w:rsidRPr="008A4B76">
              <w:rPr>
                <w:iCs/>
                <w:color w:val="auto"/>
              </w:rPr>
              <w:t>projekta iesniedzējam pieejamais</w:t>
            </w:r>
            <w:r w:rsidRPr="008A4B76">
              <w:rPr>
                <w:color w:val="auto"/>
              </w:rPr>
              <w:t xml:space="preserve"> finansējums noteikts, pamatojoties uz vairākiem raksturlielumiem:</w:t>
            </w:r>
          </w:p>
          <w:p w14:paraId="69F1E47B" w14:textId="77777777" w:rsidR="00C26BD1" w:rsidRPr="008A4B76" w:rsidRDefault="00C26BD1" w:rsidP="00C26BD1">
            <w:pPr>
              <w:pStyle w:val="Default"/>
              <w:numPr>
                <w:ilvl w:val="0"/>
                <w:numId w:val="28"/>
              </w:numPr>
              <w:jc w:val="both"/>
              <w:rPr>
                <w:color w:val="auto"/>
              </w:rPr>
            </w:pPr>
            <w:r w:rsidRPr="008A4B76">
              <w:t xml:space="preserve">vienas studiju programmas izstrādes izmaksas (ekspertu darbs,  ārvalstu un iekšzemes komandējumi, pieredzes apmaiņas pasākumi, darba vietu aprīkojums, tulkošanas un citu pakalpojumu izmaksas) (atkarībā no studiju programmu izstrādē iesaistīto ekspertu skaita, vidēji plānots </w:t>
            </w:r>
            <w:r w:rsidR="005437C5" w:rsidRPr="008A4B76">
              <w:t>72</w:t>
            </w:r>
            <w:r w:rsidRPr="008A4B76">
              <w:t xml:space="preserve"> </w:t>
            </w:r>
            <w:r w:rsidR="005437C5" w:rsidRPr="008A4B76">
              <w:t>66</w:t>
            </w:r>
            <w:r w:rsidRPr="008A4B76">
              <w:t xml:space="preserve">0 </w:t>
            </w:r>
            <w:proofErr w:type="spellStart"/>
            <w:r w:rsidRPr="008A4B76">
              <w:rPr>
                <w:i/>
              </w:rPr>
              <w:t>euro</w:t>
            </w:r>
            <w:proofErr w:type="spellEnd"/>
            <w:r w:rsidRPr="008A4B76">
              <w:t>);</w:t>
            </w:r>
          </w:p>
          <w:p w14:paraId="7FD73ACA" w14:textId="77777777" w:rsidR="00C26BD1" w:rsidRPr="008A4B76" w:rsidRDefault="00A312AF" w:rsidP="00C26BD1">
            <w:pPr>
              <w:pStyle w:val="Default"/>
              <w:numPr>
                <w:ilvl w:val="0"/>
                <w:numId w:val="28"/>
              </w:numPr>
              <w:jc w:val="both"/>
              <w:rPr>
                <w:color w:val="auto"/>
              </w:rPr>
            </w:pPr>
            <w:r w:rsidRPr="008A4B76">
              <w:t>vienas studiju programmas licences izmaksas</w:t>
            </w:r>
            <w:r w:rsidR="003F5861" w:rsidRPr="008A4B76">
              <w:t>, tai skaitā sadarbības partneriem, kas arī īstenos projekta ietvaros izstrādāto jauno pedago</w:t>
            </w:r>
            <w:r w:rsidR="007D2C3B" w:rsidRPr="008A4B76">
              <w:t>ģijas</w:t>
            </w:r>
            <w:r w:rsidR="003F5861" w:rsidRPr="008A4B76">
              <w:t xml:space="preserve"> studiju programmu</w:t>
            </w:r>
            <w:r w:rsidRPr="008A4B76">
              <w:t xml:space="preserve"> (2761 </w:t>
            </w:r>
            <w:proofErr w:type="spellStart"/>
            <w:r w:rsidRPr="008A4B76">
              <w:rPr>
                <w:i/>
              </w:rPr>
              <w:t>euro</w:t>
            </w:r>
            <w:proofErr w:type="spellEnd"/>
            <w:r w:rsidRPr="008A4B76">
              <w:t xml:space="preserve"> saskaņā ar Ministru kabineta 2015.gada 14.jūlija noteikumiem “Nodibinājuma "Akadēmiskās informācijas centrs" maksas pakalpojumu cenrādis”</w:t>
            </w:r>
            <w:r w:rsidRPr="008A4B76">
              <w:rPr>
                <w:rStyle w:val="FootnoteReference"/>
              </w:rPr>
              <w:footnoteReference w:id="13"/>
            </w:r>
            <w:r w:rsidRPr="008A4B76">
              <w:t xml:space="preserve"> (</w:t>
            </w:r>
            <w:r w:rsidR="003F5861" w:rsidRPr="008A4B76">
              <w:t>turpmāk – AIC cenrādis</w:t>
            </w:r>
            <w:r w:rsidR="000B1BE6" w:rsidRPr="008A4B76">
              <w:t>)</w:t>
            </w:r>
            <w:r w:rsidRPr="008A4B76">
              <w:t>;</w:t>
            </w:r>
          </w:p>
          <w:p w14:paraId="7EF75E1A" w14:textId="77777777" w:rsidR="00A312AF" w:rsidRPr="008A4B76" w:rsidRDefault="00A312AF" w:rsidP="00C26BD1">
            <w:pPr>
              <w:pStyle w:val="Default"/>
              <w:numPr>
                <w:ilvl w:val="0"/>
                <w:numId w:val="28"/>
              </w:numPr>
              <w:jc w:val="both"/>
            </w:pPr>
            <w:r w:rsidRPr="008A4B76">
              <w:t xml:space="preserve">studiju virziena „Izglītība, pedagoģija un sports” akreditācijas izmaksas </w:t>
            </w:r>
            <w:r w:rsidR="003F5861" w:rsidRPr="008A4B76">
              <w:t xml:space="preserve">(saskaņā ar AIC cenrādi robežās no 13 862 </w:t>
            </w:r>
            <w:proofErr w:type="spellStart"/>
            <w:r w:rsidR="003F5861" w:rsidRPr="008A4B76">
              <w:rPr>
                <w:i/>
              </w:rPr>
              <w:t>euro</w:t>
            </w:r>
            <w:proofErr w:type="spellEnd"/>
            <w:r w:rsidR="003F5861" w:rsidRPr="008A4B76">
              <w:t xml:space="preserve"> līdz 19 690 </w:t>
            </w:r>
            <w:proofErr w:type="spellStart"/>
            <w:r w:rsidR="003F5861" w:rsidRPr="008A4B76">
              <w:rPr>
                <w:i/>
              </w:rPr>
              <w:t>euro</w:t>
            </w:r>
            <w:proofErr w:type="spellEnd"/>
            <w:r w:rsidR="003F5861" w:rsidRPr="008A4B76">
              <w:rPr>
                <w:i/>
              </w:rPr>
              <w:t xml:space="preserve"> </w:t>
            </w:r>
            <w:r w:rsidR="003F5861" w:rsidRPr="008A4B76">
              <w:t xml:space="preserve">atkarībā no </w:t>
            </w:r>
            <w:r w:rsidR="00E60E73" w:rsidRPr="008A4B76">
              <w:t xml:space="preserve">katras augstskolas </w:t>
            </w:r>
            <w:r w:rsidR="003F5861" w:rsidRPr="008A4B76">
              <w:t>studiju programmu skaita šajā studiju virzienā);</w:t>
            </w:r>
          </w:p>
          <w:p w14:paraId="72E1FC0F" w14:textId="77777777" w:rsidR="003F5861" w:rsidRPr="008A4B76" w:rsidRDefault="003F5861" w:rsidP="00C26BD1">
            <w:pPr>
              <w:pStyle w:val="Default"/>
              <w:numPr>
                <w:ilvl w:val="0"/>
                <w:numId w:val="28"/>
              </w:numPr>
              <w:jc w:val="both"/>
            </w:pPr>
            <w:proofErr w:type="spellStart"/>
            <w:r w:rsidRPr="008A4B76">
              <w:t>mērķstipendiju</w:t>
            </w:r>
            <w:proofErr w:type="spellEnd"/>
            <w:r w:rsidRPr="008A4B76">
              <w:t xml:space="preserve"> izmaksas</w:t>
            </w:r>
            <w:r w:rsidR="00E60E73" w:rsidRPr="008A4B76">
              <w:t xml:space="preserve"> studiju programmu aprobācijas periodā</w:t>
            </w:r>
            <w:r w:rsidRPr="008A4B76">
              <w:t xml:space="preserve"> (saskaņā ar Ministru kabineta 2004.gada 24.augusta noteikum</w:t>
            </w:r>
            <w:r w:rsidR="009C600B" w:rsidRPr="008A4B76">
              <w:t>os</w:t>
            </w:r>
            <w:r w:rsidRPr="008A4B76">
              <w:t xml:space="preserve"> Nr.740 „Noteikumi par stipendijām” </w:t>
            </w:r>
            <w:r w:rsidR="009C600B" w:rsidRPr="008A4B76">
              <w:t xml:space="preserve">paredzēto paaugstināto stipendiju apmēru </w:t>
            </w:r>
            <w:r w:rsidRPr="008A4B76">
              <w:t xml:space="preserve">doktorantūras studiju </w:t>
            </w:r>
            <w:r w:rsidRPr="008A4B76">
              <w:lastRenderedPageBreak/>
              <w:t xml:space="preserve">programmā –227,6 </w:t>
            </w:r>
            <w:proofErr w:type="spellStart"/>
            <w:r w:rsidRPr="008A4B76">
              <w:rPr>
                <w:i/>
              </w:rPr>
              <w:t>euro</w:t>
            </w:r>
            <w:proofErr w:type="spellEnd"/>
            <w:r w:rsidRPr="008A4B76">
              <w:t xml:space="preserve"> mēnesī, pārējās studiju programmās</w:t>
            </w:r>
            <w:r w:rsidR="009C600B" w:rsidRPr="008A4B76">
              <w:t xml:space="preserve"> </w:t>
            </w:r>
            <w:r w:rsidRPr="008A4B76">
              <w:t xml:space="preserve">- 199,2 </w:t>
            </w:r>
            <w:proofErr w:type="spellStart"/>
            <w:r w:rsidRPr="008A4B76">
              <w:rPr>
                <w:i/>
              </w:rPr>
              <w:t>euro</w:t>
            </w:r>
            <w:proofErr w:type="spellEnd"/>
            <w:r w:rsidRPr="008A4B76">
              <w:t xml:space="preserve"> mēnesī);</w:t>
            </w:r>
          </w:p>
          <w:p w14:paraId="628FCBF3" w14:textId="77777777" w:rsidR="000B1BE6" w:rsidRPr="008A4B76" w:rsidRDefault="000B1BE6" w:rsidP="00C26BD1">
            <w:pPr>
              <w:pStyle w:val="Default"/>
              <w:numPr>
                <w:ilvl w:val="0"/>
                <w:numId w:val="28"/>
              </w:numPr>
              <w:jc w:val="both"/>
            </w:pPr>
            <w:r w:rsidRPr="008A4B76">
              <w:t>studiju programmas publicitātes izmaksas;</w:t>
            </w:r>
          </w:p>
          <w:p w14:paraId="419016E6" w14:textId="77777777" w:rsidR="003F5861" w:rsidRPr="008A4B76" w:rsidRDefault="003F5861" w:rsidP="00C26BD1">
            <w:pPr>
              <w:pStyle w:val="Default"/>
              <w:numPr>
                <w:ilvl w:val="0"/>
                <w:numId w:val="28"/>
              </w:numPr>
              <w:jc w:val="both"/>
            </w:pPr>
            <w:r w:rsidRPr="008A4B76">
              <w:t>projekta vadības izmaksas;</w:t>
            </w:r>
          </w:p>
          <w:p w14:paraId="44335890" w14:textId="221BFEA0" w:rsidR="00C26BD1" w:rsidRPr="008A4B76" w:rsidRDefault="003F5861" w:rsidP="00957BFF">
            <w:pPr>
              <w:pStyle w:val="Default"/>
              <w:numPr>
                <w:ilvl w:val="0"/>
                <w:numId w:val="28"/>
              </w:numPr>
              <w:spacing w:after="60"/>
              <w:ind w:left="777" w:hanging="357"/>
              <w:jc w:val="both"/>
            </w:pPr>
            <w:r w:rsidRPr="008A4B76">
              <w:t>projekta netiešās izmaksas.</w:t>
            </w:r>
          </w:p>
          <w:p w14:paraId="00D970B8" w14:textId="77777777" w:rsidR="00BA6AAE" w:rsidRPr="008A4B76" w:rsidRDefault="0039499E" w:rsidP="007D18FC">
            <w:pPr>
              <w:ind w:firstLine="516"/>
              <w:jc w:val="both"/>
            </w:pPr>
            <w:r w:rsidRPr="008A4B76">
              <w:t>Pirmās kārtas ietvaros projekta iesniedzēji īsteno šādas darbības</w:t>
            </w:r>
            <w:r w:rsidR="00AC3149" w:rsidRPr="008A4B76">
              <w:t xml:space="preserve"> –</w:t>
            </w:r>
            <w:r w:rsidRPr="008A4B76">
              <w:t xml:space="preserve"> jaunu </w:t>
            </w:r>
            <w:r w:rsidR="007D2C3B" w:rsidRPr="008A4B76">
              <w:t xml:space="preserve">pedagoģijas </w:t>
            </w:r>
            <w:r w:rsidRPr="008A4B76">
              <w:t>studiju programmu izstrāde</w:t>
            </w:r>
            <w:r w:rsidR="00AC3149" w:rsidRPr="008A4B76">
              <w:t xml:space="preserve"> </w:t>
            </w:r>
            <w:r w:rsidR="007C6CC1" w:rsidRPr="008A4B76">
              <w:t>un</w:t>
            </w:r>
            <w:r w:rsidRPr="008A4B76">
              <w:t xml:space="preserve"> licencēšana, jauno studiju programmu aprobācija</w:t>
            </w:r>
            <w:r w:rsidR="007C6CC1" w:rsidRPr="008A4B76">
              <w:t xml:space="preserve">, </w:t>
            </w:r>
            <w:r w:rsidR="00AC3149" w:rsidRPr="008A4B76">
              <w:t xml:space="preserve">tai skaitā </w:t>
            </w:r>
            <w:proofErr w:type="spellStart"/>
            <w:r w:rsidR="00AC3149" w:rsidRPr="008A4B76">
              <w:t>mērķstipendijas</w:t>
            </w:r>
            <w:proofErr w:type="spellEnd"/>
            <w:r w:rsidR="00AC3149" w:rsidRPr="008A4B76">
              <w:t xml:space="preserve"> ierobežotam studentu skaitam </w:t>
            </w:r>
            <w:r w:rsidR="007C6CC1" w:rsidRPr="008A4B76">
              <w:t>otrā līmeņa profesionālās augstākās izglītības, maģistra vai doktora studiju programmās</w:t>
            </w:r>
            <w:r w:rsidR="00AC3149" w:rsidRPr="008A4B76">
              <w:t>,</w:t>
            </w:r>
            <w:r w:rsidR="003538CB" w:rsidRPr="008A4B76">
              <w:t xml:space="preserve"> </w:t>
            </w:r>
            <w:r w:rsidRPr="008A4B76">
              <w:t>studiju virziena</w:t>
            </w:r>
            <w:r w:rsidR="003538CB" w:rsidRPr="008A4B76">
              <w:t xml:space="preserve"> ”Izglītība, pedagoģija un sports” </w:t>
            </w:r>
            <w:r w:rsidRPr="008A4B76">
              <w:t>akreditācija</w:t>
            </w:r>
            <w:r w:rsidR="003538CB" w:rsidRPr="008A4B76">
              <w:t xml:space="preserve"> EQAR aģentūrā</w:t>
            </w:r>
            <w:r w:rsidRPr="008A4B76">
              <w:t>, jauno studiju programmu publicitāte.</w:t>
            </w:r>
          </w:p>
          <w:p w14:paraId="30C6059B" w14:textId="77777777" w:rsidR="0018755C" w:rsidRPr="008A4B76" w:rsidRDefault="00BA6AAE" w:rsidP="007D18FC">
            <w:pPr>
              <w:ind w:firstLine="516"/>
              <w:jc w:val="both"/>
            </w:pPr>
            <w:r w:rsidRPr="008A4B76">
              <w:t xml:space="preserve">Studiju programmu aprobācijas periodā tiks testētas jaunās </w:t>
            </w:r>
            <w:r w:rsidR="000B1BE6" w:rsidRPr="008A4B76">
              <w:t xml:space="preserve">studiju </w:t>
            </w:r>
            <w:r w:rsidRPr="008A4B76">
              <w:t xml:space="preserve">programmas, lai nodrošināta atgriezenisko saiti un konstatētu to īstenošanas problēmas. Aprobācijas procesā projekta eksperti </w:t>
            </w:r>
            <w:r w:rsidR="00705B7C" w:rsidRPr="008A4B76">
              <w:t>izvērtēs studiju programmu ieviešanas procesu un kvalitāti, veicot</w:t>
            </w:r>
            <w:r w:rsidR="00B274BF" w:rsidRPr="008A4B76">
              <w:t xml:space="preserve"> aptaujas un intervijas (akadēmiskā personāla, studējošo), vēro</w:t>
            </w:r>
            <w:r w:rsidR="00705B7C" w:rsidRPr="008A4B76">
              <w:t>jot</w:t>
            </w:r>
            <w:r w:rsidR="00B274BF" w:rsidRPr="008A4B76">
              <w:t xml:space="preserve"> nodarbības u.tml.</w:t>
            </w:r>
            <w:r w:rsidR="00705B7C" w:rsidRPr="008A4B76">
              <w:t xml:space="preserve"> </w:t>
            </w:r>
            <w:r w:rsidR="00CD4A69" w:rsidRPr="008A4B76">
              <w:t xml:space="preserve">Atsevišķu jauno studiju programmu aprobācijā plānots iesaistīt </w:t>
            </w:r>
            <w:r w:rsidR="000B1BE6" w:rsidRPr="008A4B76">
              <w:t xml:space="preserve">arī </w:t>
            </w:r>
            <w:r w:rsidR="00CD4A69" w:rsidRPr="008A4B76">
              <w:t xml:space="preserve">studējošos, paredzot tiem </w:t>
            </w:r>
            <w:proofErr w:type="spellStart"/>
            <w:r w:rsidR="00C64ED7" w:rsidRPr="008A4B76">
              <w:t>mērķstipendijas</w:t>
            </w:r>
            <w:proofErr w:type="spellEnd"/>
            <w:r w:rsidR="00CD4A69" w:rsidRPr="008A4B76">
              <w:t xml:space="preserve">, lai šie studenti sniegtu atgriezenisko saiti par studiju programmu saturu, organizāciju, materiāli tehnisko un informatīvo nodrošinājumu, atbalsta sistēmu studentiem, u.c. studiju programmas iekšējās kvalitātes nodrošināšanas aspektiem. </w:t>
            </w:r>
            <w:r w:rsidR="00C64ED7" w:rsidRPr="008A4B76">
              <w:t>Šiem studējošajiem</w:t>
            </w:r>
            <w:r w:rsidR="00B274BF" w:rsidRPr="008A4B76">
              <w:t xml:space="preserve"> būs noteikti konkrēti uzdevumi, </w:t>
            </w:r>
            <w:r w:rsidR="0018755C" w:rsidRPr="008A4B76">
              <w:t xml:space="preserve">lai nodrošinātu visu studiju programmas īstenošanas aspektu </w:t>
            </w:r>
            <w:proofErr w:type="spellStart"/>
            <w:r w:rsidR="0018755C" w:rsidRPr="008A4B76">
              <w:t>izvērtējumu</w:t>
            </w:r>
            <w:proofErr w:type="spellEnd"/>
            <w:r w:rsidR="0018755C" w:rsidRPr="008A4B76">
              <w:t xml:space="preserve"> no studējošo perspektīvas </w:t>
            </w:r>
            <w:r w:rsidR="00B274BF" w:rsidRPr="008A4B76">
              <w:t>un sagaidītu attiecīgus priekšlikumus studiju programmas pilnveidošanai</w:t>
            </w:r>
            <w:r w:rsidR="00C64ED7" w:rsidRPr="008A4B76">
              <w:t>.</w:t>
            </w:r>
            <w:r w:rsidRPr="008A4B76">
              <w:t xml:space="preserve"> </w:t>
            </w:r>
          </w:p>
          <w:p w14:paraId="37D1DF15" w14:textId="77777777" w:rsidR="0018755C" w:rsidRPr="008A4B76" w:rsidRDefault="0018755C" w:rsidP="0018755C">
            <w:pPr>
              <w:ind w:firstLine="516"/>
              <w:jc w:val="both"/>
            </w:pPr>
            <w:r w:rsidRPr="008A4B76">
              <w:t>Pamatojoties uz informatīvajā ziņojumā “Priekšlikumi konceptuāli jaunas kompetencēs balstītas izglītības prasībām atbilstošas skolotāju izglītības nodrošināšanai Latvijā</w:t>
            </w:r>
            <w:r w:rsidR="00A00C62" w:rsidRPr="008A4B76">
              <w:t>”</w:t>
            </w:r>
            <w:r w:rsidR="001D5FC0" w:rsidRPr="008A4B76">
              <w:rPr>
                <w:rStyle w:val="FootnoteReference"/>
              </w:rPr>
              <w:footnoteReference w:id="14"/>
            </w:r>
            <w:r w:rsidRPr="008A4B76">
              <w:t xml:space="preserve"> sniegtajiem ieteikumiem,  </w:t>
            </w:r>
            <w:proofErr w:type="spellStart"/>
            <w:r w:rsidRPr="008A4B76">
              <w:t>mērķstipendijas</w:t>
            </w:r>
            <w:proofErr w:type="spellEnd"/>
            <w:r w:rsidRPr="008A4B76">
              <w:t xml:space="preserve"> paredzētas ierobežotam skaitam studējošo šādās studiju programmās:</w:t>
            </w:r>
          </w:p>
          <w:p w14:paraId="0967EA75" w14:textId="77777777" w:rsidR="0018755C" w:rsidRPr="008A4B76" w:rsidRDefault="0018755C" w:rsidP="0018755C">
            <w:pPr>
              <w:ind w:firstLine="516"/>
              <w:jc w:val="both"/>
            </w:pPr>
            <w:r w:rsidRPr="008A4B76">
              <w:t>1.</w:t>
            </w:r>
            <w:r w:rsidRPr="008A4B76">
              <w:tab/>
              <w:t>studijām 2. līmeņa profesionālās augstākās izglītības studiju programmā skolotāja kvalifikācijas iegūšanai pēc studijām citā jomā (ne-pedagoģijas studijām) (uz vienu gadu; divas uzņemšanas);</w:t>
            </w:r>
          </w:p>
          <w:p w14:paraId="729A40C0" w14:textId="77777777" w:rsidR="0018755C" w:rsidRPr="008A4B76" w:rsidRDefault="0018755C" w:rsidP="0018755C">
            <w:pPr>
              <w:ind w:firstLine="516"/>
              <w:jc w:val="both"/>
            </w:pPr>
            <w:r w:rsidRPr="008A4B76">
              <w:t>2.</w:t>
            </w:r>
            <w:r w:rsidRPr="008A4B76">
              <w:tab/>
              <w:t>maģistra studiju programmā “Izglītības tehnoloģijas” (uz vienu gadu; divas uzņemšanas);</w:t>
            </w:r>
          </w:p>
          <w:p w14:paraId="22B2F313" w14:textId="77777777" w:rsidR="0018755C" w:rsidRPr="008A4B76" w:rsidRDefault="0018755C" w:rsidP="0018755C">
            <w:pPr>
              <w:ind w:firstLine="516"/>
              <w:jc w:val="both"/>
            </w:pPr>
            <w:r w:rsidRPr="008A4B76">
              <w:t>3.</w:t>
            </w:r>
            <w:r w:rsidRPr="008A4B76">
              <w:tab/>
              <w:t>pedagoģijas doktora studiju programmā (uz diviem gadiem; vienai uzņemšanai).</w:t>
            </w:r>
          </w:p>
          <w:p w14:paraId="4623D3FA" w14:textId="2703F853" w:rsidR="0018755C" w:rsidRPr="008A4B76" w:rsidRDefault="0018755C" w:rsidP="0018755C">
            <w:pPr>
              <w:ind w:firstLine="516"/>
              <w:jc w:val="both"/>
            </w:pPr>
            <w:r w:rsidRPr="008A4B76">
              <w:t xml:space="preserve">Minētās studiju programmas ir identificētas kā prioritāri atbalstāmas, jo 2. līmeņa profesionālās augstākās izglītības studiju programmā skolotāja kvalifikācijas iegūšanai pēc ne-pedagoģijas studijām ir jānodrošina operatīva un kvalitatīva jauno pedagogu sagatavošana. Atbalsts maģistra studiju programmai “Izglītības tehnoloģijas” ir nepieciešams, jo šādu speciālistu sagatavošana Latvijā </w:t>
            </w:r>
            <w:r w:rsidRPr="008A4B76">
              <w:lastRenderedPageBreak/>
              <w:t>līdz šim nav veikta, bet izglītības sistēmas darbības uzlabošanai šādi speciālisti ir akūti nepieciešami. Savukārt atbalsts doktorantūras programmā studējošiem ir nepieciešams</w:t>
            </w:r>
            <w:r w:rsidR="00C64ED7" w:rsidRPr="008A4B76">
              <w:t>,</w:t>
            </w:r>
            <w:r w:rsidRPr="008A4B76">
              <w:t xml:space="preserve"> lai stiprinātu skolu un augstskolu personāla kapacitāti pētniecībā balstīta mūsdienīga izglītības satura īstenošanai gan skolās, gan augstskolās.</w:t>
            </w:r>
          </w:p>
          <w:p w14:paraId="678800E0" w14:textId="431B262B" w:rsidR="0018755C" w:rsidRPr="008A4B76" w:rsidRDefault="008B296A" w:rsidP="0018755C">
            <w:pPr>
              <w:ind w:firstLine="516"/>
              <w:jc w:val="both"/>
            </w:pPr>
            <w:r w:rsidRPr="008A4B76">
              <w:t>Saskaņā ar informatīvajā ziņojumā noteikto, v</w:t>
            </w:r>
            <w:r w:rsidR="0018755C" w:rsidRPr="008A4B76">
              <w:t xml:space="preserve">ērtējot pretendentus uz </w:t>
            </w:r>
            <w:proofErr w:type="spellStart"/>
            <w:r w:rsidR="0018755C" w:rsidRPr="008A4B76">
              <w:t>mērķstipendijām</w:t>
            </w:r>
            <w:proofErr w:type="spellEnd"/>
            <w:r w:rsidR="00957BFF" w:rsidRPr="008A4B76">
              <w:t>,</w:t>
            </w:r>
            <w:r w:rsidR="0018755C" w:rsidRPr="008A4B76">
              <w:t xml:space="preserve"> ir jāvērtē tādi aspekti kā:</w:t>
            </w:r>
            <w:r w:rsidRPr="008A4B76">
              <w:t xml:space="preserve"> </w:t>
            </w:r>
          </w:p>
          <w:p w14:paraId="67967028" w14:textId="77777777" w:rsidR="0018755C" w:rsidRPr="008A4B76" w:rsidRDefault="0018755C" w:rsidP="0018755C">
            <w:pPr>
              <w:ind w:firstLine="516"/>
              <w:jc w:val="both"/>
            </w:pPr>
            <w:r w:rsidRPr="008A4B76">
              <w:t>-</w:t>
            </w:r>
            <w:r w:rsidRPr="008A4B76">
              <w:tab/>
              <w:t>līderības un pārmaiņu aģentu kompetences, piem</w:t>
            </w:r>
            <w:r w:rsidR="004E6A79" w:rsidRPr="008A4B76">
              <w:t>ēram</w:t>
            </w:r>
            <w:r w:rsidRPr="008A4B76">
              <w:t>, pieredze jaunu iniciatīvu veidošanā, iesaistīšanās nevalstisko organizāciju darbā, u.c.;</w:t>
            </w:r>
          </w:p>
          <w:p w14:paraId="1159A61F" w14:textId="77777777" w:rsidR="0018755C" w:rsidRPr="008A4B76" w:rsidRDefault="0018755C" w:rsidP="0018755C">
            <w:pPr>
              <w:ind w:firstLine="516"/>
              <w:jc w:val="both"/>
            </w:pPr>
            <w:r w:rsidRPr="008A4B76">
              <w:t>-</w:t>
            </w:r>
            <w:r w:rsidRPr="008A4B76">
              <w:tab/>
              <w:t>līdzdalība izglītības projektos (</w:t>
            </w:r>
            <w:r w:rsidR="008B296A" w:rsidRPr="008A4B76">
              <w:t xml:space="preserve">šis aspekts </w:t>
            </w:r>
            <w:r w:rsidRPr="008A4B76">
              <w:t xml:space="preserve">jāvērtē pretendentiem uz </w:t>
            </w:r>
            <w:proofErr w:type="spellStart"/>
            <w:r w:rsidRPr="008A4B76">
              <w:t>mērķstipendijām</w:t>
            </w:r>
            <w:proofErr w:type="spellEnd"/>
            <w:r w:rsidRPr="008A4B76">
              <w:t xml:space="preserve"> maģistra un doktorantūras studiju programmās)</w:t>
            </w:r>
            <w:r w:rsidR="008B296A" w:rsidRPr="008A4B76">
              <w:t>;</w:t>
            </w:r>
          </w:p>
          <w:p w14:paraId="3746A2D8" w14:textId="77777777" w:rsidR="00580FD9" w:rsidRPr="008A4B76" w:rsidRDefault="0018755C" w:rsidP="0018755C">
            <w:pPr>
              <w:ind w:firstLine="516"/>
              <w:jc w:val="both"/>
            </w:pPr>
            <w:r w:rsidRPr="008A4B76">
              <w:t>-</w:t>
            </w:r>
            <w:r w:rsidRPr="008A4B76">
              <w:tab/>
              <w:t>darbs pie inovatīvu mācību materiālu, mācību metožu izstrādes (</w:t>
            </w:r>
            <w:r w:rsidR="008B296A" w:rsidRPr="008A4B76">
              <w:t xml:space="preserve">šis aspekts </w:t>
            </w:r>
            <w:r w:rsidRPr="008A4B76">
              <w:t xml:space="preserve">jāvērtē pretendentiem uz </w:t>
            </w:r>
            <w:proofErr w:type="spellStart"/>
            <w:r w:rsidRPr="008A4B76">
              <w:t>mērķstipendijām</w:t>
            </w:r>
            <w:proofErr w:type="spellEnd"/>
            <w:r w:rsidRPr="008A4B76">
              <w:t xml:space="preserve"> doktorantūras studiju programmā)</w:t>
            </w:r>
            <w:r w:rsidR="00580FD9" w:rsidRPr="008A4B76">
              <w:t>.</w:t>
            </w:r>
          </w:p>
          <w:p w14:paraId="2BE1F90F" w14:textId="77777777" w:rsidR="00FF49F6" w:rsidRPr="008A4B76" w:rsidRDefault="00FF49F6" w:rsidP="0018755C">
            <w:pPr>
              <w:ind w:firstLine="516"/>
              <w:jc w:val="both"/>
            </w:pPr>
          </w:p>
          <w:p w14:paraId="3B18DAC0" w14:textId="5E5A4478" w:rsidR="00470EA5" w:rsidRPr="008A4B76" w:rsidRDefault="009661B9" w:rsidP="008A4B76">
            <w:pPr>
              <w:spacing w:after="60"/>
              <w:ind w:firstLine="516"/>
              <w:jc w:val="both"/>
            </w:pPr>
            <w:r w:rsidRPr="008A4B76">
              <w:t>Pirmās kārtas ietvaros k</w:t>
            </w:r>
            <w:r w:rsidR="00DE0950" w:rsidRPr="008A4B76">
              <w:t>atrs projekta iesniedz</w:t>
            </w:r>
            <w:r w:rsidR="00A21213" w:rsidRPr="008A4B76">
              <w:t>ējs iesniedz vienu projekt</w:t>
            </w:r>
            <w:r w:rsidR="000B1BE6" w:rsidRPr="008A4B76">
              <w:t>u</w:t>
            </w:r>
            <w:r w:rsidR="00253014" w:rsidRPr="008A4B76">
              <w:t>, ietverot tajā visas studiju virzienā „Izglītība, pedagoģija un sports” izstrādāt plānotās jaunās pedago</w:t>
            </w:r>
            <w:r w:rsidR="007D2C3B" w:rsidRPr="008A4B76">
              <w:t>ģijas</w:t>
            </w:r>
            <w:r w:rsidR="00253014" w:rsidRPr="008A4B76">
              <w:t xml:space="preserve"> studiju programmas,  un projektu īsteno sadarbībā ar tām augstskolām, kas ir noteiktas pedagoģijas izglītības attīstības plānā.</w:t>
            </w:r>
            <w:r w:rsidR="00A21213" w:rsidRPr="008A4B76">
              <w:t xml:space="preserve"> Kopumā pirmās kārtas ietvaros plānots izstrādāt </w:t>
            </w:r>
            <w:r w:rsidR="00401E7E" w:rsidRPr="008A4B76">
              <w:t>23 jaunas pedago</w:t>
            </w:r>
            <w:r w:rsidR="007D2C3B" w:rsidRPr="008A4B76">
              <w:t>ģijas</w:t>
            </w:r>
            <w:r w:rsidR="00A21213" w:rsidRPr="008A4B76">
              <w:t xml:space="preserve"> studiju </w:t>
            </w:r>
            <w:r w:rsidR="00401E7E" w:rsidRPr="008A4B76">
              <w:t>programmas</w:t>
            </w:r>
            <w:r w:rsidR="00A21213" w:rsidRPr="008A4B76">
              <w:t>, no kurām viena būs kopīgā doktorantūras studiju programma pedagoģijā.</w:t>
            </w:r>
            <w:r w:rsidR="00E36CE0" w:rsidRPr="008A4B76">
              <w:t xml:space="preserve"> Viens no projektu atlases nosacījumiem paredz, ka jaunajām </w:t>
            </w:r>
            <w:r w:rsidR="007D2C3B" w:rsidRPr="008A4B76">
              <w:t xml:space="preserve">pedagoģijas </w:t>
            </w:r>
            <w:r w:rsidR="00E36CE0" w:rsidRPr="008A4B76">
              <w:t xml:space="preserve">studiju programmām jābūt izstrādātām sinerģijā ar 8.3.1. specifiskā atbalsta mērķa “Attīstīt kompetenču pieejā balstītu vispārējās izglītības saturu” 8.3.1.1.pasākuma “Kompetenču pieejā balstīta vispārējās izglītības satura aprobācija un ieviešana” ietvaros </w:t>
            </w:r>
            <w:r w:rsidR="00401E7E" w:rsidRPr="008A4B76">
              <w:t xml:space="preserve">Valsts izglītības satura centra </w:t>
            </w:r>
            <w:r w:rsidR="00E36CE0" w:rsidRPr="008A4B76">
              <w:t>īstenotā projekta „Kompetenču pieeja mācību saturā” rezultātiem</w:t>
            </w:r>
            <w:r w:rsidR="00AC3149" w:rsidRPr="008A4B76">
              <w:t xml:space="preserve">, kā arī </w:t>
            </w:r>
            <w:r w:rsidR="007D2C3B" w:rsidRPr="008A4B76">
              <w:t xml:space="preserve">pedagoģijas </w:t>
            </w:r>
            <w:r w:rsidR="00AC3149" w:rsidRPr="008A4B76">
              <w:t>studiju programm</w:t>
            </w:r>
            <w:r w:rsidR="00FF49F6" w:rsidRPr="008A4B76">
              <w:t>u izstrādē</w:t>
            </w:r>
            <w:r w:rsidR="00AC3149" w:rsidRPr="008A4B76">
              <w:t xml:space="preserve"> </w:t>
            </w:r>
            <w:r w:rsidR="00596204" w:rsidRPr="008A4B76">
              <w:t>jā</w:t>
            </w:r>
            <w:r w:rsidR="00AC3149" w:rsidRPr="008A4B76">
              <w:t>iesaist</w:t>
            </w:r>
            <w:r w:rsidR="00596204" w:rsidRPr="008A4B76">
              <w:t>a</w:t>
            </w:r>
            <w:r w:rsidR="00AC3149" w:rsidRPr="008A4B76">
              <w:t xml:space="preserve"> </w:t>
            </w:r>
            <w:r w:rsidR="00FF49F6" w:rsidRPr="008A4B76">
              <w:t>šī projekta ekspertus</w:t>
            </w:r>
            <w:r w:rsidR="00E36CE0" w:rsidRPr="008A4B76">
              <w:t>.</w:t>
            </w:r>
            <w:r w:rsidR="00D00CB0" w:rsidRPr="008A4B76">
              <w:t xml:space="preserve"> Tāpat </w:t>
            </w:r>
            <w:r w:rsidR="000B1BE6" w:rsidRPr="008A4B76">
              <w:t xml:space="preserve">augstskolai  </w:t>
            </w:r>
            <w:r w:rsidR="00D00CB0" w:rsidRPr="008A4B76">
              <w:t>ir jāizstrādā pedagoģijas izglītības attīstības pl</w:t>
            </w:r>
            <w:r w:rsidR="00FF49F6" w:rsidRPr="008A4B76">
              <w:t xml:space="preserve">āns, </w:t>
            </w:r>
            <w:r w:rsidR="00B7435E" w:rsidRPr="008A4B76">
              <w:t xml:space="preserve">par kuru </w:t>
            </w:r>
            <w:r w:rsidR="00FF49F6" w:rsidRPr="008A4B76">
              <w:t xml:space="preserve">jāsaņem pozitīvs </w:t>
            </w:r>
            <w:r w:rsidR="00401E7E" w:rsidRPr="008A4B76">
              <w:t xml:space="preserve">atzinums no Pedagoģijas izglītības </w:t>
            </w:r>
            <w:proofErr w:type="spellStart"/>
            <w:r w:rsidR="00401E7E" w:rsidRPr="008A4B76">
              <w:t>jaunveides</w:t>
            </w:r>
            <w:proofErr w:type="spellEnd"/>
            <w:r w:rsidR="00401E7E" w:rsidRPr="008A4B76">
              <w:t xml:space="preserve"> konsultatīvās padomes, kuras sastāvā </w:t>
            </w:r>
            <w:r w:rsidR="000B1BE6" w:rsidRPr="008A4B76">
              <w:t>tiks</w:t>
            </w:r>
            <w:r w:rsidR="00401E7E" w:rsidRPr="008A4B76">
              <w:t xml:space="preserve"> iekļauts </w:t>
            </w:r>
            <w:r w:rsidR="00FF49F6" w:rsidRPr="008A4B76">
              <w:t xml:space="preserve">projekta „Kompetenču pieeja mācību saturā” </w:t>
            </w:r>
            <w:r w:rsidR="00401E7E" w:rsidRPr="008A4B76">
              <w:t xml:space="preserve">eksperts. </w:t>
            </w:r>
          </w:p>
          <w:p w14:paraId="438CBAD0" w14:textId="77777777" w:rsidR="002412FD" w:rsidRPr="008A4B76" w:rsidRDefault="009C067C" w:rsidP="007D18FC">
            <w:pPr>
              <w:ind w:firstLine="516"/>
              <w:jc w:val="both"/>
            </w:pPr>
            <w:r w:rsidRPr="008A4B76">
              <w:t xml:space="preserve">Kompetenču pieejas projektā plānots nodrošināt profesionālās kompetences pilnveidi vismaz 6000 pedagogiem. Aprobācijas procesa īstenošanai, izpratnes veidošanai par kompetenču pieeju mācību saturā un sagatavošanos ieviešanai kompetenču pieejas projektā tiks īstenotas vairākas atšķirīgas pedagogu profesionālās kompetences pilnveides A programmas. </w:t>
            </w:r>
            <w:r w:rsidR="002412FD" w:rsidRPr="008A4B76">
              <w:rPr>
                <w:rStyle w:val="FootnoteReference"/>
              </w:rPr>
              <w:footnoteReference w:id="15"/>
            </w:r>
          </w:p>
          <w:p w14:paraId="08E786D9" w14:textId="77777777" w:rsidR="00327D07" w:rsidRPr="008A4B76" w:rsidRDefault="00327D07" w:rsidP="007D18FC">
            <w:pPr>
              <w:ind w:firstLine="516"/>
              <w:jc w:val="both"/>
            </w:pPr>
            <w:r w:rsidRPr="008A4B76">
              <w:t xml:space="preserve">Viens </w:t>
            </w:r>
            <w:r w:rsidR="007B0660" w:rsidRPr="008A4B76">
              <w:t xml:space="preserve">no </w:t>
            </w:r>
            <w:r w:rsidRPr="008A4B76">
              <w:t xml:space="preserve">8.2.1.SAM pirmās kārtas ietvaros izstrādājamo jauno pedagoģijas studiju programmu satura veidošanas principiem paredz, ka jāveido tādas studiju programmas, kuru moduļi ir vienlaikus piedāvājami un noderīgi arī profesionālai pilnveidei, tālākizglītībai, </w:t>
            </w:r>
            <w:r w:rsidRPr="008A4B76">
              <w:lastRenderedPageBreak/>
              <w:t>papildu kvalifikācijas iegūšanai (</w:t>
            </w:r>
            <w:r w:rsidR="002F3CD7" w:rsidRPr="008A4B76">
              <w:t>jauno pedagoģijas studiju programmu satura veidošanas principi ir noteikti informatīvajā ziņojumā “Priekšlikumi konceptuāli jaunas kompetencēs balstītas izglītības prasībām atbilstošas skolotāju izglītības nodrošināšanai Latvijā”</w:t>
            </w:r>
            <w:r w:rsidRPr="008A4B76">
              <w:t>).</w:t>
            </w:r>
          </w:p>
          <w:p w14:paraId="352CD8AC" w14:textId="77777777" w:rsidR="002412FD" w:rsidRPr="008A4B76" w:rsidRDefault="004F6BB7" w:rsidP="007D18FC">
            <w:pPr>
              <w:ind w:firstLine="516"/>
              <w:jc w:val="both"/>
            </w:pPr>
            <w:r w:rsidRPr="008A4B76">
              <w:t>Izglītības attīstības pamatnostādņu 2014.-2020.gadam īstenošanas plānā 2015. – 2017.gadam (M</w:t>
            </w:r>
            <w:r w:rsidR="00460886" w:rsidRPr="008A4B76">
              <w:t>inistru kabineta</w:t>
            </w:r>
            <w:r w:rsidRPr="008A4B76">
              <w:t xml:space="preserve">  2015. gada 29. jūnija rīkojums Nr. 331)</w:t>
            </w:r>
            <w:r w:rsidR="00426E32" w:rsidRPr="008A4B76">
              <w:rPr>
                <w:rStyle w:val="FootnoteReference"/>
              </w:rPr>
              <w:footnoteReference w:id="16"/>
            </w:r>
            <w:r w:rsidRPr="008A4B76">
              <w:t xml:space="preserve"> kā viens no veicamajiem pasākumiem, kura īstenošana paredzēta </w:t>
            </w:r>
            <w:r w:rsidR="00460886" w:rsidRPr="008A4B76">
              <w:t xml:space="preserve">arī </w:t>
            </w:r>
            <w:r w:rsidRPr="008A4B76">
              <w:t xml:space="preserve">valsts budžeta ietvaros, </w:t>
            </w:r>
            <w:r w:rsidR="00426E32" w:rsidRPr="008A4B76">
              <w:t xml:space="preserve">ir pedagogu profesionālo kompetenču pilnveide </w:t>
            </w:r>
            <w:r w:rsidRPr="008A4B76">
              <w:t xml:space="preserve">kompetenču pieejā balstīta izglītības satura ieviešanai. </w:t>
            </w:r>
            <w:r w:rsidR="00460886" w:rsidRPr="008A4B76">
              <w:t>L</w:t>
            </w:r>
            <w:r w:rsidRPr="008A4B76">
              <w:t xml:space="preserve">īdz ar to tiks nodrošināta 8.2.1.SAM </w:t>
            </w:r>
            <w:r w:rsidR="00D8292C" w:rsidRPr="008A4B76">
              <w:t xml:space="preserve">pirmās </w:t>
            </w:r>
            <w:r w:rsidRPr="008A4B76">
              <w:t>kārtas ietvaros plānoto darbību sasaiste ar pasākumiem profesionālās tālākizglītības jomā jau esošajiem pedagogiem attiecībā uz jaunā, kompetencēs balstītā izglītības satura ieviešanu.</w:t>
            </w:r>
            <w:r w:rsidR="00460886" w:rsidRPr="008A4B76">
              <w:t xml:space="preserve"> </w:t>
            </w:r>
          </w:p>
          <w:p w14:paraId="14810DE9" w14:textId="77777777" w:rsidR="00765AA8" w:rsidRPr="008A4B76" w:rsidRDefault="00765AA8" w:rsidP="002C2E86">
            <w:pPr>
              <w:ind w:firstLine="516"/>
              <w:jc w:val="both"/>
            </w:pPr>
            <w:r w:rsidRPr="008A4B76">
              <w:t>Pirmās kārtas projektu īstenošanai paredzēts piesaistīt atbilstošu un daudzveidīgu ekspertu klāstu, lai varētu izmantot to dažādo pieredzi, specializāciju (ārvalstu eksperti, tehnoloģiju eksperti, skolotāju metodisko  apvienību eksperti, kompetenču pieejas eksperti, Aizsardzības ministrijas eksperti, nodibinājuma „Iespējamā misija” eksperti).</w:t>
            </w:r>
          </w:p>
          <w:p w14:paraId="35FF6BCD" w14:textId="77777777" w:rsidR="00FB2997" w:rsidRPr="008A4B76" w:rsidRDefault="00FB2997" w:rsidP="00FB2997">
            <w:pPr>
              <w:ind w:firstLine="516"/>
              <w:jc w:val="both"/>
            </w:pPr>
            <w:r w:rsidRPr="008A4B76">
              <w:t>Noteikumu projekts paredz, ka projekta vadības personālu un projekta īstenošanas personālu var piesaistīt gan uz darba līguma pamata, gan uz uzņēmuma līguma pamata</w:t>
            </w:r>
            <w:r w:rsidR="00F32DEB" w:rsidRPr="008A4B76">
              <w:t xml:space="preserve"> (šādā gadījumā </w:t>
            </w:r>
            <w:r w:rsidR="00F1346E" w:rsidRPr="008A4B76">
              <w:t>tas būs attiecināms</w:t>
            </w:r>
            <w:r w:rsidR="00F32DEB" w:rsidRPr="008A4B76">
              <w:t xml:space="preserve"> uz pakalpojumu izmaksām)</w:t>
            </w:r>
            <w:r w:rsidRPr="008A4B76">
              <w:t>.</w:t>
            </w:r>
          </w:p>
          <w:p w14:paraId="6898211D" w14:textId="11D810FB" w:rsidR="00D35164" w:rsidRPr="008A4B76" w:rsidRDefault="0037617D" w:rsidP="002C2E86">
            <w:pPr>
              <w:ind w:firstLine="516"/>
              <w:jc w:val="both"/>
            </w:pPr>
            <w:r w:rsidRPr="008A4B76">
              <w:t>Pirmās kārtas a</w:t>
            </w:r>
            <w:r w:rsidR="00C3051A" w:rsidRPr="008A4B76">
              <w:t xml:space="preserve">ttiecināmajās izmaksās </w:t>
            </w:r>
            <w:r w:rsidR="000C03F7" w:rsidRPr="008A4B76">
              <w:t>ir iekļautas</w:t>
            </w:r>
            <w:r w:rsidR="00C3051A" w:rsidRPr="008A4B76">
              <w:t xml:space="preserve"> iekšzemes komandējumu un darba braucienu izmaksas projekta vadības un īstenošanas personālam, kā arī ārvalstu komandējumu izmaksas projekta īstenošanas personālam. Šāds regulējums </w:t>
            </w:r>
            <w:r w:rsidR="00722FDA" w:rsidRPr="008A4B76">
              <w:t>attiecībā</w:t>
            </w:r>
            <w:r w:rsidR="00356690" w:rsidRPr="008A4B76">
              <w:t xml:space="preserve"> uz</w:t>
            </w:r>
            <w:r w:rsidR="00C5695A" w:rsidRPr="008A4B76">
              <w:t xml:space="preserve"> </w:t>
            </w:r>
            <w:r w:rsidR="002D70C7" w:rsidRPr="008A4B76">
              <w:t xml:space="preserve">iekšzemes komandējumu un darba braucienu izmaksām noteikts, ņemot vērā, ka </w:t>
            </w:r>
            <w:r w:rsidR="008C1549" w:rsidRPr="008A4B76">
              <w:t xml:space="preserve">pedagoģijas </w:t>
            </w:r>
            <w:r w:rsidR="002D70C7" w:rsidRPr="008A4B76">
              <w:t>studiju programmu izstrādē</w:t>
            </w:r>
            <w:r w:rsidR="008C1549" w:rsidRPr="008A4B76">
              <w:t xml:space="preserve">, aprobācijā, </w:t>
            </w:r>
            <w:r w:rsidR="00A227E9" w:rsidRPr="008A4B76">
              <w:t xml:space="preserve">studiju virziena </w:t>
            </w:r>
            <w:r w:rsidR="008C1549" w:rsidRPr="008A4B76">
              <w:t>akreditācij</w:t>
            </w:r>
            <w:r w:rsidR="00A227E9" w:rsidRPr="008A4B76">
              <w:t>as procesā</w:t>
            </w:r>
            <w:r w:rsidR="008C1549" w:rsidRPr="008A4B76">
              <w:t xml:space="preserve"> un </w:t>
            </w:r>
            <w:r w:rsidR="00A227E9" w:rsidRPr="008A4B76">
              <w:t xml:space="preserve">studiju programmu </w:t>
            </w:r>
            <w:r w:rsidR="008C1549" w:rsidRPr="008A4B76">
              <w:t>publicitātes nodrošināšanā</w:t>
            </w:r>
            <w:r w:rsidR="002D70C7" w:rsidRPr="008A4B76">
              <w:t xml:space="preserve"> tiks iesaistīti sadarbības partneri, kuri atrodas </w:t>
            </w:r>
            <w:r w:rsidR="00A227E9" w:rsidRPr="008A4B76">
              <w:t>dažādās</w:t>
            </w:r>
            <w:r w:rsidR="002D70C7" w:rsidRPr="008A4B76">
              <w:t xml:space="preserve"> pilsētās (</w:t>
            </w:r>
            <w:r w:rsidR="00A227E9" w:rsidRPr="008A4B76">
              <w:t xml:space="preserve">Rīgā, </w:t>
            </w:r>
            <w:r w:rsidR="002D70C7" w:rsidRPr="008A4B76">
              <w:t xml:space="preserve"> Daugavpil</w:t>
            </w:r>
            <w:r w:rsidR="008C1549" w:rsidRPr="008A4B76">
              <w:t>ī</w:t>
            </w:r>
            <w:r w:rsidR="002D70C7" w:rsidRPr="008A4B76">
              <w:t>, Liepāj</w:t>
            </w:r>
            <w:r w:rsidR="008C1549" w:rsidRPr="008A4B76">
              <w:t>ā</w:t>
            </w:r>
            <w:r w:rsidR="002D70C7" w:rsidRPr="008A4B76">
              <w:t>, Rēzekn</w:t>
            </w:r>
            <w:r w:rsidR="008C1549" w:rsidRPr="008A4B76">
              <w:t>ē</w:t>
            </w:r>
            <w:r w:rsidR="002D70C7" w:rsidRPr="008A4B76">
              <w:t>)</w:t>
            </w:r>
            <w:r w:rsidR="00031F96" w:rsidRPr="008A4B76">
              <w:t xml:space="preserve">, līdz  ar to </w:t>
            </w:r>
            <w:r w:rsidR="00D35164" w:rsidRPr="008A4B76">
              <w:t>ir jāparedz iespēja projekta vadības personālam un projekta īstenošanas personālam segt iekšzemes komandējumu un darba braucienu izmaksas uz attiecīgajām partnerinstitūcijām.</w:t>
            </w:r>
            <w:r w:rsidR="00C5695A" w:rsidRPr="008A4B76">
              <w:t xml:space="preserve"> </w:t>
            </w:r>
            <w:r w:rsidR="008C1549" w:rsidRPr="008A4B76">
              <w:t xml:space="preserve">Vienlaikus projekta īstenošanas personālam ir jāparedz iespēja segt iekšzemes komandējumu un darba braucienu izmaksas, kas saistītas ar pieredzes apmaiņas pasākumiem. </w:t>
            </w:r>
            <w:r w:rsidR="00C5695A" w:rsidRPr="008A4B76">
              <w:t>Saistībā ar minētajiem iekšzemes komandējumiem</w:t>
            </w:r>
            <w:r w:rsidR="00CE6F0C" w:rsidRPr="008A4B76">
              <w:t xml:space="preserve"> un darba braucieniem</w:t>
            </w:r>
            <w:r w:rsidR="00C5695A" w:rsidRPr="008A4B76">
              <w:t xml:space="preserve">, </w:t>
            </w:r>
            <w:r w:rsidR="00DD194D" w:rsidRPr="008A4B76">
              <w:t xml:space="preserve">kad </w:t>
            </w:r>
            <w:r w:rsidR="00C5695A" w:rsidRPr="008A4B76">
              <w:t xml:space="preserve">projekta </w:t>
            </w:r>
            <w:r w:rsidR="00DD194D" w:rsidRPr="008A4B76">
              <w:t xml:space="preserve">vadības un </w:t>
            </w:r>
            <w:r w:rsidR="00C5695A" w:rsidRPr="008A4B76">
              <w:t xml:space="preserve">īstenošanas personālam </w:t>
            </w:r>
            <w:r w:rsidR="00DD194D" w:rsidRPr="008A4B76">
              <w:t xml:space="preserve">rodas nepieciešamība </w:t>
            </w:r>
            <w:r w:rsidR="00C5695A" w:rsidRPr="008A4B76">
              <w:t>izmantot</w:t>
            </w:r>
            <w:r w:rsidR="00DD194D" w:rsidRPr="008A4B76">
              <w:t xml:space="preserve"> transporta līdzekļu nomas vai </w:t>
            </w:r>
            <w:r w:rsidR="00C5695A" w:rsidRPr="008A4B76">
              <w:t>sabiedriskā transpor</w:t>
            </w:r>
            <w:r w:rsidR="00DD194D" w:rsidRPr="008A4B76">
              <w:t xml:space="preserve">ta pakalpojumus, kā arī personīgo transportu, </w:t>
            </w:r>
            <w:r w:rsidR="00C5695A" w:rsidRPr="008A4B76">
              <w:t xml:space="preserve"> noteikumu projekts paredz, ka attiecināmajās izmaksās tiek iekļautas arī transporta izmaksas.</w:t>
            </w:r>
            <w:r w:rsidR="00DD194D" w:rsidRPr="008A4B76">
              <w:t xml:space="preserve"> </w:t>
            </w:r>
            <w:r w:rsidR="00A227E9" w:rsidRPr="008A4B76">
              <w:t>A</w:t>
            </w:r>
            <w:r w:rsidR="00031F96" w:rsidRPr="008A4B76">
              <w:t xml:space="preserve">ttiecībā </w:t>
            </w:r>
            <w:r w:rsidR="00722FDA" w:rsidRPr="008A4B76">
              <w:t>uz ārvalstu komandējumu izmaksām</w:t>
            </w:r>
            <w:r w:rsidR="00A227E9" w:rsidRPr="008A4B76">
              <w:t xml:space="preserve"> šāds regulējums </w:t>
            </w:r>
            <w:r w:rsidR="00722FDA" w:rsidRPr="008A4B76">
              <w:t xml:space="preserve">noteikts, ņemot vērā, ka studiju programmu izstrādē, aprobācijā, kā arī studiju virziena akreditācijas procesā ir jāiesaista ārvalstu eksperti. Vienlaikus </w:t>
            </w:r>
            <w:r w:rsidR="00722FDA" w:rsidRPr="008A4B76">
              <w:lastRenderedPageBreak/>
              <w:t xml:space="preserve">arī vietējiem ekspertiem, kas iesaistīti projekta īstenošanā, var </w:t>
            </w:r>
            <w:r w:rsidR="006B08DA" w:rsidRPr="008A4B76">
              <w:t xml:space="preserve">paredzēt ārvalstu komandējumus pieredzes apmaiņas pasākumiem citu valstu augstākās izglītības institūcijās, lai pārņemtu to pozitīvo pieredzi skolotāju izglītības  jomā. </w:t>
            </w:r>
            <w:r w:rsidR="00181FCD" w:rsidRPr="008A4B76">
              <w:t xml:space="preserve">Nepieciešamības gadījumā arī studiju virziena akreditācijai EQAR aģentūrā </w:t>
            </w:r>
            <w:r w:rsidR="009158A8" w:rsidRPr="008A4B76">
              <w:t xml:space="preserve">projekta īstenošanas personālam ir jāparedz iespējas segt ārvalstu komandējumu izmaksas, lai nodrošinātu vizītes uz attiecīgo aģentūru. </w:t>
            </w:r>
          </w:p>
          <w:p w14:paraId="3DAD010A" w14:textId="291015F2" w:rsidR="00C3051A" w:rsidRPr="008A4B76" w:rsidRDefault="00FA495D" w:rsidP="002C2E86">
            <w:pPr>
              <w:ind w:firstLine="516"/>
              <w:jc w:val="both"/>
            </w:pPr>
            <w:r w:rsidRPr="008A4B76">
              <w:t xml:space="preserve">Noteikumu projekts paredz, ka </w:t>
            </w:r>
            <w:r w:rsidR="0037617D" w:rsidRPr="008A4B76">
              <w:t xml:space="preserve">pirmās kārtas projektu </w:t>
            </w:r>
            <w:r w:rsidRPr="008A4B76">
              <w:t>attiecināmajās izmaksās ir iekļautas tulkošanas pakalpojumu izmaksas, ņemot vērā to, ka studiju programmu un akreditācijas dokumentācija ir jāiesniedz valsts valodā ar tulkojumu angļu valodā</w:t>
            </w:r>
            <w:r w:rsidRPr="008A4B76">
              <w:rPr>
                <w:rStyle w:val="FootnoteReference"/>
              </w:rPr>
              <w:footnoteReference w:id="17"/>
            </w:r>
            <w:r w:rsidRPr="008A4B76">
              <w:t xml:space="preserve">. Vienlaikus, ja </w:t>
            </w:r>
            <w:r w:rsidR="00C26624" w:rsidRPr="008A4B76">
              <w:t xml:space="preserve">studiju programmu aprobācijas </w:t>
            </w:r>
            <w:r w:rsidRPr="008A4B76">
              <w:t>ietvaros tiek organizētas diskusijas, konferences, semināri, tad pasākuma organizētājam ir jānodrošina tulkojums valsts valodā.</w:t>
            </w:r>
            <w:r w:rsidR="00F32DEB" w:rsidRPr="008A4B76">
              <w:t xml:space="preserve"> </w:t>
            </w:r>
            <w:r w:rsidR="0037617D" w:rsidRPr="008A4B76">
              <w:t>A</w:t>
            </w:r>
            <w:r w:rsidR="00F32DEB" w:rsidRPr="008A4B76">
              <w:t xml:space="preserve">ttiecināmajās izmaksās ir iekļautas </w:t>
            </w:r>
            <w:r w:rsidR="0037617D" w:rsidRPr="008A4B76">
              <w:t xml:space="preserve">arī </w:t>
            </w:r>
            <w:r w:rsidR="00F32DEB" w:rsidRPr="008A4B76">
              <w:t>juridisko pakalpojumu izmaksas, ņemot vērā to, ka kopīgās doktorantūras studiju programmas</w:t>
            </w:r>
            <w:r w:rsidR="0037617D" w:rsidRPr="008A4B76">
              <w:t xml:space="preserve"> pedagoģijā </w:t>
            </w:r>
            <w:r w:rsidR="00F32DEB" w:rsidRPr="008A4B76">
              <w:t>izstrād</w:t>
            </w:r>
            <w:r w:rsidR="0071549D" w:rsidRPr="008A4B76">
              <w:t>es un īstenošanā iesaistīto partnerinstitūciju prasību saskaņošanā</w:t>
            </w:r>
            <w:r w:rsidR="00F32DEB" w:rsidRPr="008A4B76">
              <w:t xml:space="preserve"> var rasties </w:t>
            </w:r>
            <w:r w:rsidR="0071549D" w:rsidRPr="008A4B76">
              <w:t xml:space="preserve">nepieciešamība pēc </w:t>
            </w:r>
            <w:r w:rsidR="0037617D" w:rsidRPr="008A4B76">
              <w:t xml:space="preserve">konsultatīva </w:t>
            </w:r>
            <w:r w:rsidR="0071549D" w:rsidRPr="008A4B76">
              <w:t>juridisk</w:t>
            </w:r>
            <w:r w:rsidR="0037617D" w:rsidRPr="008A4B76">
              <w:t>ā</w:t>
            </w:r>
            <w:r w:rsidR="0071549D" w:rsidRPr="008A4B76">
              <w:t xml:space="preserve"> </w:t>
            </w:r>
            <w:r w:rsidR="0037617D" w:rsidRPr="008A4B76">
              <w:t>atbalsta</w:t>
            </w:r>
            <w:r w:rsidR="0071549D" w:rsidRPr="008A4B76">
              <w:t xml:space="preserve">. </w:t>
            </w:r>
          </w:p>
          <w:p w14:paraId="310D9F2C" w14:textId="77777777" w:rsidR="00FA495D" w:rsidRPr="008A4B76" w:rsidRDefault="00FA495D" w:rsidP="002C2E86">
            <w:pPr>
              <w:ind w:firstLine="516"/>
              <w:jc w:val="both"/>
            </w:pPr>
          </w:p>
          <w:p w14:paraId="72A019D9" w14:textId="0A323738" w:rsidR="0039499E" w:rsidRPr="002709C2" w:rsidRDefault="0039499E" w:rsidP="007D18FC">
            <w:pPr>
              <w:ind w:firstLine="516"/>
              <w:jc w:val="both"/>
            </w:pPr>
            <w:r w:rsidRPr="008A4B76">
              <w:rPr>
                <w:b/>
              </w:rPr>
              <w:t>Otro kārtu</w:t>
            </w:r>
            <w:r w:rsidRPr="008A4B76">
              <w:t xml:space="preserve"> īsteno </w:t>
            </w:r>
            <w:r w:rsidR="00C23948" w:rsidRPr="008A4B76">
              <w:rPr>
                <w:b/>
              </w:rPr>
              <w:t>atklātas</w:t>
            </w:r>
            <w:r w:rsidRPr="008A4B76">
              <w:t xml:space="preserve"> projektu iesniegumu atlases veidā.</w:t>
            </w:r>
            <w:r w:rsidRPr="008A4B76">
              <w:rPr>
                <w:iCs/>
              </w:rPr>
              <w:t xml:space="preserve"> Otrās </w:t>
            </w:r>
            <w:r w:rsidRPr="008A4B76">
              <w:t>kārtas ietvaros projekta iesniedzēji ir augstākās izglītības institūcija</w:t>
            </w:r>
            <w:r w:rsidR="00900135" w:rsidRPr="008A4B76">
              <w:t>s</w:t>
            </w:r>
            <w:r w:rsidR="00930CAC" w:rsidRPr="008A4B76">
              <w:t xml:space="preserve"> (gan valsts, gan </w:t>
            </w:r>
            <w:r w:rsidR="00D56A31" w:rsidRPr="008A4B76">
              <w:t>privāt</w:t>
            </w:r>
            <w:r w:rsidR="00930CAC" w:rsidRPr="008A4B76">
              <w:t>personu dibinātās)</w:t>
            </w:r>
            <w:r w:rsidRPr="008A4B76">
              <w:t>, tai skaitā koledžas</w:t>
            </w:r>
            <w:r w:rsidR="002709C2">
              <w:t xml:space="preserve">,  izņemot </w:t>
            </w:r>
            <w:r w:rsidR="002709C2" w:rsidRPr="002709C2">
              <w:t>valsts dibinātas augstskolas aģentūras – koledžas. Valsts dibinātas</w:t>
            </w:r>
            <w:r w:rsidR="002709C2" w:rsidRPr="002709C2" w:rsidDel="00066A2D">
              <w:t xml:space="preserve"> </w:t>
            </w:r>
            <w:r w:rsidR="002709C2" w:rsidRPr="002709C2">
              <w:t>augstskolas  aģentūra – koledža ir labuma guvējs augstskolas īstenotā projektā, ja tā ietvaros ir plānots izstrādāt studiju programmas augstskolas aģentūrā – koledžā (ja attiecināms)</w:t>
            </w:r>
            <w:r w:rsidRPr="008A4B76">
              <w:t xml:space="preserve">. </w:t>
            </w:r>
          </w:p>
          <w:p w14:paraId="030C82E3" w14:textId="77777777" w:rsidR="00805626" w:rsidRPr="008A4B76" w:rsidRDefault="00805626" w:rsidP="007D18FC">
            <w:pPr>
              <w:ind w:firstLine="516"/>
              <w:jc w:val="both"/>
            </w:pPr>
            <w:r w:rsidRPr="008A4B76">
              <w:t xml:space="preserve">Otrās kārtas ietvaros projekta iesniedzēji projektu var īstenot individuāli vai sadarbībā ar citu augstākās izglītības institūciju, tai skaitā ārvalstu, vai zinātnisko institūciju. Sadarbības partnerus plānots iesaistīt ar to cilvēkresursiem, kas nepieciešami studiju programmu izstrādei un aprobācijai, jo īpaši attiecībā uz kopīgām studiju programmām. Zinātnisko institūciju kā sadarbības partneru iesaiste ir būtiska, lai </w:t>
            </w:r>
            <w:r w:rsidR="00805C39" w:rsidRPr="008A4B76">
              <w:t>nodrošinātu</w:t>
            </w:r>
            <w:r w:rsidRPr="008A4B76">
              <w:t xml:space="preserve"> pētniecībā balstītu augstāko izglītību.</w:t>
            </w:r>
            <w:r w:rsidR="00805C39" w:rsidRPr="008A4B76">
              <w:t xml:space="preserve"> </w:t>
            </w:r>
          </w:p>
          <w:p w14:paraId="1205E50E" w14:textId="77777777" w:rsidR="00C078B0" w:rsidRPr="008A4B76" w:rsidRDefault="00C078B0" w:rsidP="007D18FC">
            <w:pPr>
              <w:ind w:firstLine="516"/>
              <w:jc w:val="both"/>
            </w:pPr>
            <w:r w:rsidRPr="008A4B76">
              <w:t xml:space="preserve">Gadījumā, ja otrās kārtas ietvaros tiks iesniegti vairāki kvalitatīvi projektu iesniegumi, kas pārsniegs otrai kārtai pieejamo finansējumu, </w:t>
            </w:r>
            <w:r w:rsidR="002F3CD7" w:rsidRPr="008A4B76">
              <w:t xml:space="preserve">IZM izvērtēs iespēju </w:t>
            </w:r>
            <w:r w:rsidR="00D56A31" w:rsidRPr="008A4B76">
              <w:t>pārdalīt finansējumu no citiem tās pārziņā esošajiem specifisk</w:t>
            </w:r>
            <w:r w:rsidR="0011306F" w:rsidRPr="008A4B76">
              <w:t>ajiem</w:t>
            </w:r>
            <w:r w:rsidR="00D56A31" w:rsidRPr="008A4B76">
              <w:t xml:space="preserve"> atbalsta mērķiem vai </w:t>
            </w:r>
            <w:r w:rsidR="002F3CD7" w:rsidRPr="008A4B76">
              <w:t xml:space="preserve">šādiem projektiem novirzīt finansējumu no 8.2.1.SAM rezerves finansējuma (672 534 </w:t>
            </w:r>
            <w:proofErr w:type="spellStart"/>
            <w:r w:rsidR="002F3CD7" w:rsidRPr="008A4B76">
              <w:rPr>
                <w:i/>
              </w:rPr>
              <w:t>euro</w:t>
            </w:r>
            <w:proofErr w:type="spellEnd"/>
            <w:r w:rsidR="002F3CD7" w:rsidRPr="008A4B76">
              <w:t>).</w:t>
            </w:r>
          </w:p>
          <w:p w14:paraId="07311279" w14:textId="77777777" w:rsidR="0039499E" w:rsidRDefault="0039499E" w:rsidP="0039499E">
            <w:pPr>
              <w:pStyle w:val="tv213"/>
              <w:shd w:val="clear" w:color="auto" w:fill="FFFFFF"/>
              <w:spacing w:before="0" w:beforeAutospacing="0" w:after="0" w:afterAutospacing="0"/>
              <w:ind w:firstLine="516"/>
              <w:jc w:val="both"/>
            </w:pPr>
            <w:r w:rsidRPr="008A4B76">
              <w:t>Otrās kārtas ietvaros projekta iesniedzēji īsteno šādas darbības: kopīgo</w:t>
            </w:r>
            <w:r w:rsidR="0039764E" w:rsidRPr="008A4B76">
              <w:t xml:space="preserve"> doktorantūras studiju programmu un studiju programmu ES valodās </w:t>
            </w:r>
            <w:r w:rsidRPr="008A4B76">
              <w:t>izstrāde</w:t>
            </w:r>
            <w:r w:rsidR="00D3763D" w:rsidRPr="008A4B76">
              <w:t xml:space="preserve"> </w:t>
            </w:r>
            <w:r w:rsidR="007C6CC1" w:rsidRPr="008A4B76">
              <w:t xml:space="preserve">un </w:t>
            </w:r>
            <w:r w:rsidRPr="008A4B76">
              <w:t>licencēšana, jauno studiju programmu aprobācija, studiju virziena akreditācija</w:t>
            </w:r>
            <w:r w:rsidR="003538CB" w:rsidRPr="008A4B76">
              <w:t xml:space="preserve"> EQAR aģentūrā un studiju programmas akreditācija starptautiskā profesionālā organizācijā (</w:t>
            </w:r>
            <w:r w:rsidR="007C6CC1" w:rsidRPr="008A4B76">
              <w:t>ja attiecināms</w:t>
            </w:r>
            <w:r w:rsidR="003538CB" w:rsidRPr="008A4B76">
              <w:t>)</w:t>
            </w:r>
            <w:r w:rsidRPr="008A4B76">
              <w:t xml:space="preserve">, jauno studiju programmu </w:t>
            </w:r>
            <w:r w:rsidR="0039764E" w:rsidRPr="008A4B76">
              <w:t xml:space="preserve">starptautiskā </w:t>
            </w:r>
            <w:r w:rsidRPr="008A4B76">
              <w:t>publicitāte</w:t>
            </w:r>
            <w:r w:rsidR="0039764E" w:rsidRPr="008A4B76">
              <w:t>.</w:t>
            </w:r>
          </w:p>
          <w:p w14:paraId="6348B74D" w14:textId="6FC0F530" w:rsidR="00391E6C" w:rsidRPr="008A4B76" w:rsidRDefault="00391E6C" w:rsidP="00391E6C">
            <w:pPr>
              <w:pStyle w:val="tv213"/>
              <w:shd w:val="clear" w:color="auto" w:fill="FFFFFF"/>
              <w:ind w:firstLine="516"/>
              <w:jc w:val="both"/>
            </w:pPr>
            <w:r w:rsidRPr="002709C2">
              <w:lastRenderedPageBreak/>
              <w:t>Studiju programmu izstrādei ES valodās ir saistošs Augstskolu likuma regulējums. Augstskolu likuma 56.panta trešā daļa</w:t>
            </w:r>
            <w:r w:rsidR="007F47D8" w:rsidRPr="002709C2">
              <w:rPr>
                <w:rStyle w:val="FootnoteReference"/>
              </w:rPr>
              <w:footnoteReference w:id="18"/>
            </w:r>
            <w:r w:rsidRPr="002709C2">
              <w:t xml:space="preserve"> nosaka, ka  </w:t>
            </w:r>
            <w:r w:rsidR="00C90299" w:rsidRPr="002709C2">
              <w:t>studiju programmas ES valodās var</w:t>
            </w:r>
            <w:r w:rsidRPr="002709C2">
              <w:t xml:space="preserve"> īsteno</w:t>
            </w:r>
            <w:r w:rsidR="00C90299" w:rsidRPr="002709C2">
              <w:t>t</w:t>
            </w:r>
            <w:r w:rsidRPr="002709C2">
              <w:t xml:space="preserve"> tikai noteiktos gadījumos: ES oficiālajās valodās var īstenot studiju programmas, kuras ārvalstu studējošie apgūst Latvijā, un studiju programmas, kuras īsteno Eiropas Savienības programmu un starpvalstu līgumos paredzētās sadarbības ietvaros; studiju programmas, kuru īstenošana svešvalodā ir nepieciešama studiju programmas mērķu sasniegšanai, atbilstoši Latvijas Republikas izglītības klasifikācijai šādās izglītības programmu grupās: valodu un kultūras studijas, valodu programmas; ES oficiālajās valodās drīkst īstenot kopīgās studiju programmas.</w:t>
            </w:r>
          </w:p>
          <w:p w14:paraId="009E61E9" w14:textId="77777777" w:rsidR="004E376C" w:rsidRPr="008A4B76" w:rsidRDefault="004E376C" w:rsidP="0039499E">
            <w:pPr>
              <w:pStyle w:val="tv213"/>
              <w:shd w:val="clear" w:color="auto" w:fill="FFFFFF"/>
              <w:spacing w:before="0" w:beforeAutospacing="0" w:after="0" w:afterAutospacing="0"/>
              <w:ind w:firstLine="516"/>
              <w:jc w:val="both"/>
            </w:pPr>
            <w:r w:rsidRPr="008A4B76">
              <w:t>Projekta vadības personālu un projekta īstenošanas personālu var piesaistīt gan uz darba līguma pamata, gan uz uzņēmuma līguma pamata</w:t>
            </w:r>
            <w:r w:rsidR="0037617D" w:rsidRPr="008A4B76">
              <w:t xml:space="preserve"> (pakalpojumu izmaksas)</w:t>
            </w:r>
            <w:r w:rsidRPr="008A4B76">
              <w:t>.</w:t>
            </w:r>
          </w:p>
          <w:p w14:paraId="571ED2BA" w14:textId="77777777" w:rsidR="00D80F3D" w:rsidRPr="008A4B76" w:rsidRDefault="00D8292C" w:rsidP="00D80F3D">
            <w:pPr>
              <w:pStyle w:val="tv213"/>
              <w:shd w:val="clear" w:color="auto" w:fill="FFFFFF"/>
              <w:spacing w:before="0" w:beforeAutospacing="0" w:after="0" w:afterAutospacing="0"/>
              <w:ind w:firstLine="516"/>
              <w:jc w:val="both"/>
            </w:pPr>
            <w:r w:rsidRPr="008A4B76">
              <w:t>Otrās</w:t>
            </w:r>
            <w:r w:rsidR="008579B8" w:rsidRPr="008A4B76">
              <w:t xml:space="preserve"> kārtas ietvaros pēc projekta iesniedzēja izvēles ir iespējams </w:t>
            </w:r>
            <w:r w:rsidRPr="008A4B76">
              <w:t>saņemt</w:t>
            </w:r>
            <w:r w:rsidR="008579B8" w:rsidRPr="008A4B76">
              <w:t xml:space="preserve"> atbalstu jaunās studiju programmas akreditācijai starptautiskajā profesionālajā organizācijā. Šāda veida akreditācija norāda to, ka attiecīgā studiju programma ir starptautiski atzīta kādā konkrētā profesionālajā jomā, līdz ar to apliecina studiju programmas kvalitāti. AII ir iespēja akreditēt studiju programmas atsevišķos tematiskajos virzienos, piemēram, informācijas un komunikāciju tehnoloģiju virzienā - Eiropas informātikas izglītības kvalitātes nodrošināšanas tīklā EQANIE</w:t>
            </w:r>
            <w:r w:rsidR="009A719C" w:rsidRPr="008A4B76">
              <w:rPr>
                <w:rStyle w:val="FootnoteReference"/>
              </w:rPr>
              <w:footnoteReference w:id="19"/>
            </w:r>
            <w:r w:rsidR="008579B8" w:rsidRPr="008A4B76">
              <w:t xml:space="preserve"> (</w:t>
            </w:r>
            <w:proofErr w:type="spellStart"/>
            <w:r w:rsidR="008579B8" w:rsidRPr="008A4B76">
              <w:rPr>
                <w:i/>
              </w:rPr>
              <w:t>European</w:t>
            </w:r>
            <w:proofErr w:type="spellEnd"/>
            <w:r w:rsidR="008579B8" w:rsidRPr="008A4B76">
              <w:rPr>
                <w:i/>
              </w:rPr>
              <w:t xml:space="preserve"> </w:t>
            </w:r>
            <w:proofErr w:type="spellStart"/>
            <w:r w:rsidR="008579B8" w:rsidRPr="008A4B76">
              <w:rPr>
                <w:i/>
              </w:rPr>
              <w:t>Quality</w:t>
            </w:r>
            <w:proofErr w:type="spellEnd"/>
            <w:r w:rsidR="008579B8" w:rsidRPr="008A4B76">
              <w:rPr>
                <w:i/>
              </w:rPr>
              <w:t xml:space="preserve"> </w:t>
            </w:r>
            <w:proofErr w:type="spellStart"/>
            <w:r w:rsidR="008579B8" w:rsidRPr="008A4B76">
              <w:rPr>
                <w:i/>
              </w:rPr>
              <w:t>Assurance</w:t>
            </w:r>
            <w:proofErr w:type="spellEnd"/>
            <w:r w:rsidR="008579B8" w:rsidRPr="008A4B76">
              <w:rPr>
                <w:i/>
              </w:rPr>
              <w:t xml:space="preserve"> </w:t>
            </w:r>
            <w:proofErr w:type="spellStart"/>
            <w:r w:rsidR="008579B8" w:rsidRPr="008A4B76">
              <w:rPr>
                <w:i/>
              </w:rPr>
              <w:t>Network</w:t>
            </w:r>
            <w:proofErr w:type="spellEnd"/>
            <w:r w:rsidR="008579B8" w:rsidRPr="008A4B76">
              <w:rPr>
                <w:i/>
              </w:rPr>
              <w:t xml:space="preserve"> </w:t>
            </w:r>
            <w:proofErr w:type="spellStart"/>
            <w:r w:rsidR="008579B8" w:rsidRPr="008A4B76">
              <w:rPr>
                <w:i/>
              </w:rPr>
              <w:t>for</w:t>
            </w:r>
            <w:proofErr w:type="spellEnd"/>
            <w:r w:rsidR="008579B8" w:rsidRPr="008A4B76">
              <w:rPr>
                <w:i/>
              </w:rPr>
              <w:t xml:space="preserve"> </w:t>
            </w:r>
            <w:proofErr w:type="spellStart"/>
            <w:r w:rsidR="008579B8" w:rsidRPr="008A4B76">
              <w:rPr>
                <w:i/>
              </w:rPr>
              <w:t>Informatics</w:t>
            </w:r>
            <w:proofErr w:type="spellEnd"/>
            <w:r w:rsidR="008579B8" w:rsidRPr="008A4B76">
              <w:rPr>
                <w:i/>
              </w:rPr>
              <w:t xml:space="preserve"> </w:t>
            </w:r>
            <w:proofErr w:type="spellStart"/>
            <w:r w:rsidR="008579B8" w:rsidRPr="008A4B76">
              <w:rPr>
                <w:i/>
              </w:rPr>
              <w:t>Education</w:t>
            </w:r>
            <w:proofErr w:type="spellEnd"/>
            <w:r w:rsidR="008579B8" w:rsidRPr="008A4B76">
              <w:t xml:space="preserve">), inženierzinātņu virzienā - Eiropas </w:t>
            </w:r>
            <w:proofErr w:type="spellStart"/>
            <w:r w:rsidR="008579B8" w:rsidRPr="008A4B76">
              <w:t>Inženierizglītības</w:t>
            </w:r>
            <w:proofErr w:type="spellEnd"/>
            <w:r w:rsidR="008579B8" w:rsidRPr="008A4B76">
              <w:t xml:space="preserve"> akreditācijas tīklā ENAEE</w:t>
            </w:r>
            <w:r w:rsidR="009A719C" w:rsidRPr="008A4B76">
              <w:rPr>
                <w:rStyle w:val="FootnoteReference"/>
              </w:rPr>
              <w:footnoteReference w:id="20"/>
            </w:r>
            <w:r w:rsidR="008579B8" w:rsidRPr="008A4B76">
              <w:t xml:space="preserve"> (</w:t>
            </w:r>
            <w:proofErr w:type="spellStart"/>
            <w:r w:rsidR="008579B8" w:rsidRPr="008A4B76">
              <w:rPr>
                <w:i/>
              </w:rPr>
              <w:t>European</w:t>
            </w:r>
            <w:proofErr w:type="spellEnd"/>
            <w:r w:rsidR="008579B8" w:rsidRPr="008A4B76">
              <w:rPr>
                <w:i/>
              </w:rPr>
              <w:t xml:space="preserve"> </w:t>
            </w:r>
            <w:proofErr w:type="spellStart"/>
            <w:r w:rsidR="008579B8" w:rsidRPr="008A4B76">
              <w:rPr>
                <w:i/>
              </w:rPr>
              <w:t>Network</w:t>
            </w:r>
            <w:proofErr w:type="spellEnd"/>
            <w:r w:rsidR="008579B8" w:rsidRPr="008A4B76">
              <w:rPr>
                <w:i/>
              </w:rPr>
              <w:t xml:space="preserve"> </w:t>
            </w:r>
            <w:proofErr w:type="spellStart"/>
            <w:r w:rsidR="008579B8" w:rsidRPr="008A4B76">
              <w:rPr>
                <w:i/>
              </w:rPr>
              <w:t>for</w:t>
            </w:r>
            <w:proofErr w:type="spellEnd"/>
            <w:r w:rsidR="008579B8" w:rsidRPr="008A4B76">
              <w:rPr>
                <w:i/>
              </w:rPr>
              <w:t xml:space="preserve"> </w:t>
            </w:r>
            <w:proofErr w:type="spellStart"/>
            <w:r w:rsidR="008579B8" w:rsidRPr="008A4B76">
              <w:rPr>
                <w:i/>
              </w:rPr>
              <w:t>Accreditation</w:t>
            </w:r>
            <w:proofErr w:type="spellEnd"/>
            <w:r w:rsidR="008579B8" w:rsidRPr="008A4B76">
              <w:rPr>
                <w:i/>
              </w:rPr>
              <w:t xml:space="preserve"> </w:t>
            </w:r>
            <w:proofErr w:type="spellStart"/>
            <w:r w:rsidR="008579B8" w:rsidRPr="008A4B76">
              <w:rPr>
                <w:i/>
              </w:rPr>
              <w:t>of</w:t>
            </w:r>
            <w:proofErr w:type="spellEnd"/>
            <w:r w:rsidR="008579B8" w:rsidRPr="008A4B76">
              <w:rPr>
                <w:i/>
              </w:rPr>
              <w:t xml:space="preserve"> Engineering </w:t>
            </w:r>
            <w:proofErr w:type="spellStart"/>
            <w:r w:rsidR="008579B8" w:rsidRPr="008A4B76">
              <w:rPr>
                <w:i/>
              </w:rPr>
              <w:t>Education</w:t>
            </w:r>
            <w:proofErr w:type="spellEnd"/>
            <w:r w:rsidR="008579B8" w:rsidRPr="008A4B76">
              <w:t>), vadībā un uzņēmējdarbībā - Centrālās un Austrumeiropas vadības izglītības asociācijā  CEEMAN</w:t>
            </w:r>
            <w:r w:rsidR="009A719C" w:rsidRPr="008A4B76">
              <w:rPr>
                <w:rStyle w:val="FootnoteReference"/>
              </w:rPr>
              <w:footnoteReference w:id="21"/>
            </w:r>
            <w:r w:rsidR="008579B8" w:rsidRPr="008A4B76">
              <w:t xml:space="preserve"> (</w:t>
            </w:r>
            <w:proofErr w:type="spellStart"/>
            <w:r w:rsidR="008579B8" w:rsidRPr="008A4B76">
              <w:rPr>
                <w:i/>
              </w:rPr>
              <w:t>The</w:t>
            </w:r>
            <w:proofErr w:type="spellEnd"/>
            <w:r w:rsidR="008579B8" w:rsidRPr="008A4B76">
              <w:rPr>
                <w:i/>
              </w:rPr>
              <w:t xml:space="preserve"> </w:t>
            </w:r>
            <w:proofErr w:type="spellStart"/>
            <w:r w:rsidR="008579B8" w:rsidRPr="008A4B76">
              <w:rPr>
                <w:i/>
              </w:rPr>
              <w:t>Central</w:t>
            </w:r>
            <w:proofErr w:type="spellEnd"/>
            <w:r w:rsidR="008579B8" w:rsidRPr="008A4B76">
              <w:rPr>
                <w:i/>
              </w:rPr>
              <w:t xml:space="preserve"> </w:t>
            </w:r>
            <w:proofErr w:type="spellStart"/>
            <w:r w:rsidR="008579B8" w:rsidRPr="008A4B76">
              <w:rPr>
                <w:i/>
              </w:rPr>
              <w:t>and</w:t>
            </w:r>
            <w:proofErr w:type="spellEnd"/>
            <w:r w:rsidR="008579B8" w:rsidRPr="008A4B76">
              <w:rPr>
                <w:i/>
              </w:rPr>
              <w:t xml:space="preserve"> East </w:t>
            </w:r>
            <w:proofErr w:type="spellStart"/>
            <w:r w:rsidR="008579B8" w:rsidRPr="008A4B76">
              <w:rPr>
                <w:i/>
              </w:rPr>
              <w:t>European</w:t>
            </w:r>
            <w:proofErr w:type="spellEnd"/>
            <w:r w:rsidR="008579B8" w:rsidRPr="008A4B76">
              <w:rPr>
                <w:i/>
              </w:rPr>
              <w:t xml:space="preserve"> </w:t>
            </w:r>
            <w:proofErr w:type="spellStart"/>
            <w:r w:rsidR="008579B8" w:rsidRPr="008A4B76">
              <w:rPr>
                <w:i/>
              </w:rPr>
              <w:t>Management</w:t>
            </w:r>
            <w:proofErr w:type="spellEnd"/>
            <w:r w:rsidR="008579B8" w:rsidRPr="008A4B76">
              <w:rPr>
                <w:i/>
              </w:rPr>
              <w:t xml:space="preserve"> </w:t>
            </w:r>
            <w:proofErr w:type="spellStart"/>
            <w:r w:rsidR="008579B8" w:rsidRPr="008A4B76">
              <w:rPr>
                <w:i/>
              </w:rPr>
              <w:t>Development</w:t>
            </w:r>
            <w:proofErr w:type="spellEnd"/>
            <w:r w:rsidR="008579B8" w:rsidRPr="008A4B76">
              <w:rPr>
                <w:i/>
              </w:rPr>
              <w:t xml:space="preserve"> Association</w:t>
            </w:r>
            <w:r w:rsidR="008579B8" w:rsidRPr="008A4B76">
              <w:t xml:space="preserve"> ) u.c.</w:t>
            </w:r>
          </w:p>
          <w:p w14:paraId="5487146B" w14:textId="77777777" w:rsidR="008579B8" w:rsidRPr="008A4B76" w:rsidRDefault="008579B8" w:rsidP="009A719C">
            <w:pPr>
              <w:pStyle w:val="tv213"/>
              <w:shd w:val="clear" w:color="auto" w:fill="FFFFFF"/>
              <w:spacing w:before="0" w:beforeAutospacing="0" w:after="0" w:afterAutospacing="0"/>
              <w:ind w:firstLine="516"/>
              <w:jc w:val="both"/>
            </w:pPr>
            <w:r w:rsidRPr="008A4B76">
              <w:t xml:space="preserve">Arī starptautisko profesionālo organizāciju akreditācija balstās uz </w:t>
            </w:r>
            <w:r w:rsidR="00D8292C" w:rsidRPr="008A4B76">
              <w:t>s</w:t>
            </w:r>
            <w:r w:rsidRPr="008A4B76">
              <w:t>tandarti</w:t>
            </w:r>
            <w:r w:rsidR="00D8292C" w:rsidRPr="008A4B76">
              <w:t>em</w:t>
            </w:r>
            <w:r w:rsidRPr="008A4B76">
              <w:t xml:space="preserve"> un vadlīnij</w:t>
            </w:r>
            <w:r w:rsidR="00D8292C" w:rsidRPr="008A4B76">
              <w:t>ām</w:t>
            </w:r>
            <w:r w:rsidRPr="008A4B76">
              <w:t xml:space="preserve"> kvalitātes nodrošināšanai Eiropas augstākās izglītības telpā </w:t>
            </w:r>
            <w:r w:rsidR="00D8292C" w:rsidRPr="008A4B76">
              <w:rPr>
                <w:i/>
              </w:rPr>
              <w:t>(</w:t>
            </w:r>
            <w:proofErr w:type="spellStart"/>
            <w:r w:rsidR="00D8292C" w:rsidRPr="008A4B76">
              <w:rPr>
                <w:i/>
              </w:rPr>
              <w:t>European</w:t>
            </w:r>
            <w:proofErr w:type="spellEnd"/>
            <w:r w:rsidR="00D8292C" w:rsidRPr="008A4B76">
              <w:rPr>
                <w:i/>
              </w:rPr>
              <w:t xml:space="preserve"> </w:t>
            </w:r>
            <w:proofErr w:type="spellStart"/>
            <w:r w:rsidR="00D8292C" w:rsidRPr="008A4B76">
              <w:rPr>
                <w:i/>
              </w:rPr>
              <w:t>Standards</w:t>
            </w:r>
            <w:proofErr w:type="spellEnd"/>
            <w:r w:rsidR="00D8292C" w:rsidRPr="008A4B76">
              <w:rPr>
                <w:i/>
              </w:rPr>
              <w:t xml:space="preserve"> </w:t>
            </w:r>
            <w:proofErr w:type="spellStart"/>
            <w:r w:rsidR="00D8292C" w:rsidRPr="008A4B76">
              <w:rPr>
                <w:i/>
              </w:rPr>
              <w:t>and</w:t>
            </w:r>
            <w:proofErr w:type="spellEnd"/>
            <w:r w:rsidR="00D8292C" w:rsidRPr="008A4B76">
              <w:rPr>
                <w:i/>
              </w:rPr>
              <w:t xml:space="preserve"> </w:t>
            </w:r>
            <w:proofErr w:type="spellStart"/>
            <w:r w:rsidR="00D8292C" w:rsidRPr="008A4B76">
              <w:rPr>
                <w:i/>
              </w:rPr>
              <w:t>Guidelines</w:t>
            </w:r>
            <w:proofErr w:type="spellEnd"/>
            <w:r w:rsidR="00D8292C" w:rsidRPr="008A4B76">
              <w:rPr>
                <w:i/>
              </w:rPr>
              <w:t xml:space="preserve"> </w:t>
            </w:r>
            <w:proofErr w:type="spellStart"/>
            <w:r w:rsidR="00D8292C" w:rsidRPr="008A4B76">
              <w:rPr>
                <w:i/>
              </w:rPr>
              <w:t>for</w:t>
            </w:r>
            <w:proofErr w:type="spellEnd"/>
            <w:r w:rsidR="00D8292C" w:rsidRPr="008A4B76">
              <w:rPr>
                <w:i/>
              </w:rPr>
              <w:t xml:space="preserve"> </w:t>
            </w:r>
            <w:proofErr w:type="spellStart"/>
            <w:r w:rsidR="00D8292C" w:rsidRPr="008A4B76">
              <w:rPr>
                <w:i/>
              </w:rPr>
              <w:t>Quality</w:t>
            </w:r>
            <w:proofErr w:type="spellEnd"/>
            <w:r w:rsidR="00D8292C" w:rsidRPr="008A4B76">
              <w:rPr>
                <w:i/>
              </w:rPr>
              <w:t xml:space="preserve"> </w:t>
            </w:r>
            <w:proofErr w:type="spellStart"/>
            <w:r w:rsidR="00D8292C" w:rsidRPr="008A4B76">
              <w:rPr>
                <w:i/>
              </w:rPr>
              <w:t>Assurance</w:t>
            </w:r>
            <w:proofErr w:type="spellEnd"/>
            <w:r w:rsidR="00D8292C" w:rsidRPr="008A4B76">
              <w:rPr>
                <w:i/>
              </w:rPr>
              <w:t xml:space="preserve"> – ESG)</w:t>
            </w:r>
            <w:r w:rsidR="00D8292C" w:rsidRPr="008A4B76">
              <w:rPr>
                <w:rFonts w:ascii="Arial" w:hAnsi="Arial" w:cs="Arial"/>
              </w:rPr>
              <w:t xml:space="preserve"> </w:t>
            </w:r>
            <w:r w:rsidRPr="008A4B76">
              <w:t>prasību ievērošanu un var izvirzīt papildus nozarei specifiskās prasības.</w:t>
            </w:r>
            <w:r w:rsidR="00FC0A70" w:rsidRPr="008A4B76">
              <w:t xml:space="preserve"> </w:t>
            </w:r>
            <w:r w:rsidR="00EA14F4" w:rsidRPr="008A4B76">
              <w:t xml:space="preserve">Atbalsts studiju programmas akreditācijai starptautiskajā profesionālajā organizācijā paredzēts tikai tādā gadījumā, ja </w:t>
            </w:r>
            <w:r w:rsidR="00FC0A70" w:rsidRPr="008A4B76">
              <w:t xml:space="preserve">tiks </w:t>
            </w:r>
            <w:r w:rsidR="00A32FCA" w:rsidRPr="008A4B76">
              <w:t xml:space="preserve">īpaši </w:t>
            </w:r>
            <w:r w:rsidR="00FC0A70" w:rsidRPr="008A4B76">
              <w:t>pamatota</w:t>
            </w:r>
            <w:r w:rsidR="00EA14F4" w:rsidRPr="008A4B76">
              <w:t xml:space="preserve"> studiju programm</w:t>
            </w:r>
            <w:r w:rsidR="00FC0A70" w:rsidRPr="008A4B76">
              <w:t>as</w:t>
            </w:r>
            <w:r w:rsidR="00EA14F4" w:rsidRPr="008A4B76">
              <w:t xml:space="preserve"> profesionālās starptautiskās akreditācijas veikšanas lietderība un pozitīvā ietekme uz studiju programmas kvalitāti</w:t>
            </w:r>
            <w:r w:rsidR="00FC0A70" w:rsidRPr="008A4B76">
              <w:t>.</w:t>
            </w:r>
            <w:r w:rsidR="00D8292C" w:rsidRPr="008A4B76">
              <w:rPr>
                <w:rFonts w:ascii="Arial" w:hAnsi="Arial" w:cs="Arial"/>
              </w:rPr>
              <w:t xml:space="preserve"> </w:t>
            </w:r>
          </w:p>
          <w:p w14:paraId="5D2732EC" w14:textId="77777777" w:rsidR="009D588F" w:rsidRPr="008A4B76" w:rsidRDefault="00A21213" w:rsidP="009D588F">
            <w:pPr>
              <w:tabs>
                <w:tab w:val="left" w:pos="426"/>
                <w:tab w:val="left" w:pos="1134"/>
              </w:tabs>
              <w:ind w:firstLine="516"/>
              <w:jc w:val="both"/>
              <w:rPr>
                <w:iCs/>
              </w:rPr>
            </w:pPr>
            <w:r w:rsidRPr="008A4B76">
              <w:t>Otrās kārtas ietvaros p</w:t>
            </w:r>
            <w:r w:rsidR="009D588F" w:rsidRPr="008A4B76">
              <w:t xml:space="preserve">rojekta iesniedzējs </w:t>
            </w:r>
            <w:r w:rsidRPr="008A4B76">
              <w:t xml:space="preserve">iesniedz </w:t>
            </w:r>
            <w:r w:rsidR="001830BF" w:rsidRPr="008A4B76">
              <w:t xml:space="preserve">vienu </w:t>
            </w:r>
            <w:r w:rsidRPr="008A4B76">
              <w:t>projekta iesniegumu</w:t>
            </w:r>
            <w:r w:rsidR="00F12BC8" w:rsidRPr="008A4B76">
              <w:t xml:space="preserve">, iekļaujot tajā </w:t>
            </w:r>
            <w:r w:rsidR="00480A6B" w:rsidRPr="008A4B76">
              <w:t xml:space="preserve">visas izstrādāt plānotās </w:t>
            </w:r>
            <w:r w:rsidR="00F12BC8" w:rsidRPr="008A4B76">
              <w:t>studiju programmas ES valodās</w:t>
            </w:r>
            <w:r w:rsidR="00B60BAD" w:rsidRPr="008A4B76">
              <w:t xml:space="preserve"> un </w:t>
            </w:r>
            <w:r w:rsidR="00F12BC8" w:rsidRPr="008A4B76">
              <w:t>kopīgās doktorantūras studiju programmas (ja attiecināms)</w:t>
            </w:r>
            <w:r w:rsidR="0037617D" w:rsidRPr="008A4B76">
              <w:t xml:space="preserve">, izņemot studiju programmas studiju virzienā „Izglītība, </w:t>
            </w:r>
            <w:r w:rsidR="0037617D" w:rsidRPr="008A4B76">
              <w:lastRenderedPageBreak/>
              <w:t>pedagoģija un sports”</w:t>
            </w:r>
            <w:r w:rsidR="00480A6B" w:rsidRPr="008A4B76">
              <w:t>.</w:t>
            </w:r>
            <w:r w:rsidR="009D588F" w:rsidRPr="008A4B76">
              <w:t xml:space="preserve"> </w:t>
            </w:r>
            <w:r w:rsidR="00AC40C6" w:rsidRPr="008A4B76">
              <w:t>P</w:t>
            </w:r>
            <w:r w:rsidR="00B60BAD" w:rsidRPr="008A4B76">
              <w:t xml:space="preserve">lānots, ka AII pārskatīs kopējo studiju programmu klāstu </w:t>
            </w:r>
            <w:r w:rsidR="007E6C1B" w:rsidRPr="008A4B76">
              <w:t xml:space="preserve">katrā </w:t>
            </w:r>
            <w:r w:rsidR="00B60BAD" w:rsidRPr="008A4B76">
              <w:t xml:space="preserve">studiju virzienā, izvērtējot studiju programmu aktualitāti un pārklāšanos. </w:t>
            </w:r>
            <w:r w:rsidR="00AC40C6" w:rsidRPr="008A4B76">
              <w:t>Tādējādi</w:t>
            </w:r>
            <w:r w:rsidR="00B60BAD" w:rsidRPr="008A4B76">
              <w:t xml:space="preserve"> tiks nodrošināta </w:t>
            </w:r>
            <w:r w:rsidR="00B60BAD" w:rsidRPr="008A4B76">
              <w:rPr>
                <w:iCs/>
              </w:rPr>
              <w:t>resursu konsolidācija katrā studiju virzienā,</w:t>
            </w:r>
            <w:r w:rsidR="00434E7F" w:rsidRPr="008A4B76">
              <w:rPr>
                <w:iCs/>
              </w:rPr>
              <w:t xml:space="preserve"> </w:t>
            </w:r>
            <w:r w:rsidR="007E6C1B" w:rsidRPr="008A4B76">
              <w:rPr>
                <w:iCs/>
              </w:rPr>
              <w:t>vienlaikus veicinot starpdisciplināru studiju programmu izstrādi.</w:t>
            </w:r>
            <w:r w:rsidR="00B60BAD" w:rsidRPr="008A4B76">
              <w:rPr>
                <w:iCs/>
              </w:rPr>
              <w:t xml:space="preserve"> </w:t>
            </w:r>
          </w:p>
          <w:p w14:paraId="43D970B6" w14:textId="77777777" w:rsidR="006B2A78" w:rsidRPr="008A4B76" w:rsidRDefault="006B2A78" w:rsidP="009D588F">
            <w:pPr>
              <w:tabs>
                <w:tab w:val="left" w:pos="426"/>
                <w:tab w:val="left" w:pos="1134"/>
              </w:tabs>
              <w:ind w:firstLine="516"/>
              <w:jc w:val="both"/>
            </w:pPr>
            <w:r w:rsidRPr="008A4B76">
              <w:t xml:space="preserve">Šobrīd spēkā esošais normatīvais regulējums neparedz profesionālā doktora grāda iegūšanas iespējas, vienlaikus </w:t>
            </w:r>
            <w:r w:rsidR="00B701FD" w:rsidRPr="008A4B76">
              <w:t>jāņem vērā</w:t>
            </w:r>
            <w:r w:rsidRPr="008A4B76">
              <w:t>, ka Kultūras ministrija ir ierosinājusi grozījumus Augstskolu likumā (pieņemti 1. lasījumā Saeimas sēdē 2017.gada 8.jūnijā, Nr. 923/Lp12), kas paredz profesionālā doktora grāda iegūšanas iespējas izglītības tematiskajā jomā “Mākslas”. Līdz ar to</w:t>
            </w:r>
            <w:r w:rsidR="00B701FD" w:rsidRPr="008A4B76">
              <w:t>, ja</w:t>
            </w:r>
            <w:r w:rsidRPr="008A4B76">
              <w:t xml:space="preserve"> </w:t>
            </w:r>
            <w:r w:rsidR="000D0503" w:rsidRPr="008A4B76">
              <w:t xml:space="preserve">uz </w:t>
            </w:r>
            <w:r w:rsidR="00B701FD" w:rsidRPr="008A4B76">
              <w:t xml:space="preserve">projektu iesniegšanas brīdi būs stājušies spēkā minētie grozījumi Augstskolu likumā, tad </w:t>
            </w:r>
            <w:r w:rsidRPr="008A4B76">
              <w:t>otrās kārtas ietvaros</w:t>
            </w:r>
            <w:r w:rsidR="00AA130A" w:rsidRPr="008A4B76">
              <w:t xml:space="preserve"> Kultūras ministrijas pārziņā esošās kultūras un mākslas augstskolas </w:t>
            </w:r>
            <w:r w:rsidR="00B701FD" w:rsidRPr="008A4B76">
              <w:t xml:space="preserve">varēs </w:t>
            </w:r>
            <w:r w:rsidR="00AA130A" w:rsidRPr="008A4B76">
              <w:t xml:space="preserve">iesniegt projekta iesniegumus un </w:t>
            </w:r>
            <w:r w:rsidR="000D0503" w:rsidRPr="008A4B76">
              <w:t xml:space="preserve">pretendēt uz 8.2.1.SAM finansējumu </w:t>
            </w:r>
            <w:r w:rsidR="00665D86" w:rsidRPr="008A4B76">
              <w:t xml:space="preserve">kopīgo </w:t>
            </w:r>
            <w:r w:rsidRPr="008A4B76">
              <w:t xml:space="preserve">profesionālās doktorantūras studiju </w:t>
            </w:r>
            <w:r w:rsidR="006832A9" w:rsidRPr="008A4B76">
              <w:t xml:space="preserve">programmu </w:t>
            </w:r>
            <w:r w:rsidR="000D0503" w:rsidRPr="008A4B76">
              <w:t>izstrādei</w:t>
            </w:r>
            <w:r w:rsidRPr="008A4B76">
              <w:t xml:space="preserve"> studiju virzienā „Mākslas”</w:t>
            </w:r>
            <w:r w:rsidR="00AA130A" w:rsidRPr="008A4B76">
              <w:t>.</w:t>
            </w:r>
            <w:r w:rsidR="0014173C" w:rsidRPr="008A4B76">
              <w:t xml:space="preserve"> </w:t>
            </w:r>
          </w:p>
          <w:p w14:paraId="07C5BBF4" w14:textId="77777777" w:rsidR="003538CB" w:rsidRPr="008A4B76" w:rsidRDefault="00273A36" w:rsidP="003538CB">
            <w:pPr>
              <w:tabs>
                <w:tab w:val="left" w:pos="426"/>
                <w:tab w:val="left" w:pos="1134"/>
              </w:tabs>
              <w:ind w:firstLine="516"/>
              <w:jc w:val="both"/>
            </w:pPr>
            <w:r w:rsidRPr="008A4B76">
              <w:rPr>
                <w:iCs/>
              </w:rPr>
              <w:t xml:space="preserve">Viens </w:t>
            </w:r>
            <w:r w:rsidR="00F04F3F" w:rsidRPr="008A4B76">
              <w:rPr>
                <w:iCs/>
              </w:rPr>
              <w:t xml:space="preserve">no projektu atlases nosacījumiem paredz, ka </w:t>
            </w:r>
            <w:r w:rsidR="00814A88" w:rsidRPr="008A4B76">
              <w:t xml:space="preserve">finansējumu </w:t>
            </w:r>
            <w:r w:rsidR="00F04F3F" w:rsidRPr="008A4B76">
              <w:t>kopīgo doktorantūras studiju programmu un studiju programmu ES valodās izstrādei var saņemt, ja šīs programmas ti</w:t>
            </w:r>
            <w:r w:rsidR="00AC40C6" w:rsidRPr="008A4B76">
              <w:t>e</w:t>
            </w:r>
            <w:r w:rsidR="00F04F3F" w:rsidRPr="008A4B76">
              <w:t xml:space="preserve">k veidotas, slēdzot esošās studiju programmas.  </w:t>
            </w:r>
            <w:r w:rsidR="00D3763D" w:rsidRPr="008A4B76">
              <w:t>AII ir jābūt izstrādātam studiju programmu attīstības un konsolidācijas plānam</w:t>
            </w:r>
            <w:r w:rsidR="000F066C" w:rsidRPr="008A4B76">
              <w:t>,</w:t>
            </w:r>
            <w:r w:rsidR="00805626" w:rsidRPr="008A4B76">
              <w:t xml:space="preserve"> </w:t>
            </w:r>
            <w:r w:rsidR="000F066C" w:rsidRPr="008A4B76">
              <w:t>kas saskaņots ar Izglītības un zinātnes ministrijas izveidotu komisiju, kuras sastāvā tiks iekļauti Izglītības un zinātnes ministrijas, nozares ministriju un nozares profesionālo organizāciju pārstāvji.</w:t>
            </w:r>
          </w:p>
          <w:p w14:paraId="47C83E35" w14:textId="1328B65A" w:rsidR="00837140" w:rsidRPr="008A4B76" w:rsidRDefault="00837140" w:rsidP="00837140">
            <w:pPr>
              <w:ind w:firstLine="516"/>
              <w:jc w:val="both"/>
            </w:pPr>
            <w:r w:rsidRPr="008A4B76">
              <w:t xml:space="preserve">Noteikumu projekts paredz, ka </w:t>
            </w:r>
            <w:r w:rsidR="00274F3B" w:rsidRPr="008A4B76">
              <w:t xml:space="preserve">otrās kārtas </w:t>
            </w:r>
            <w:r w:rsidRPr="008A4B76">
              <w:t>attiecināmajās izmaksās ir iekļautas iekšzemes komandējumu un darba braucienu izmaksas projekta vadības un īstenošanas personālam, kā arī ārvalstu komandējumu izmaksas projekta vadītajam un projekta īstenošanas personālam.</w:t>
            </w:r>
            <w:r w:rsidR="00D35164" w:rsidRPr="008A4B76">
              <w:t xml:space="preserve"> Šāds regulējums attiecībā un iekšzemes komandējumu izmaksām noteikts, ņemto vērā to, ka 8.2.1. SAM atbalstāmo darbību īstenošanai, projekta iesniedzējs var paredzēt kā sadarbības partnerus piesaistīt citas augstākās izglītības institūcijas un zinātniskās institūcijas, līdz ar to ir jāparedz iespēja projekta vadības personālam un projekta īstenošanas personālam segt iekšzemes komandējumu un darba braucienu izmaksas uz attiecīgajām partnerinstitūcijām Vienlaikus projekta īstenošanas personālam ir jāparedz iespēja segt iekšzemes komandējumu un darba braucienu izmaksas, kas saistītas ar pieredzes apmaiņas pasākumiem</w:t>
            </w:r>
            <w:r w:rsidR="00F52DF5" w:rsidRPr="008A4B76">
              <w:t>, kā arī studiju programmu licencēšanas un akreditācijas procedūru nodrošināšanu</w:t>
            </w:r>
            <w:r w:rsidR="00D35164" w:rsidRPr="008A4B76">
              <w:t xml:space="preserve">. </w:t>
            </w:r>
            <w:r w:rsidR="00356690" w:rsidRPr="008A4B76">
              <w:t xml:space="preserve">Saistībā ar minētajiem iekšzemes komandējumiem un darba braucieniem, kad projekta vadības un īstenošanas personālam rodas nepieciešamība izmantot transporta līdzekļu nomas vai sabiedriskā transporta pakalpojumus, kā arī personīgo transportu,  noteikumu projekts paredz, ka attiecināmajās izmaksās tiek iekļautas arī transporta izmaksas </w:t>
            </w:r>
            <w:r w:rsidR="00D35164" w:rsidRPr="008A4B76">
              <w:t>A</w:t>
            </w:r>
            <w:r w:rsidRPr="008A4B76">
              <w:t xml:space="preserve">ttiecībā uz ārvalstu komandējumu izmaksām </w:t>
            </w:r>
            <w:r w:rsidR="00D35164" w:rsidRPr="008A4B76">
              <w:t xml:space="preserve">šāds regulējums </w:t>
            </w:r>
            <w:r w:rsidRPr="008A4B76">
              <w:t xml:space="preserve">noteikts, ņemot vērā, ka studiju programmu izstrādē, aprobācijā, kā arī studiju virziena akreditācijas procesā ir jāiesaista ārvalstu eksperti. Ja projektā plānots </w:t>
            </w:r>
            <w:r w:rsidRPr="008A4B76">
              <w:lastRenderedPageBreak/>
              <w:t xml:space="preserve">izstrādāt kopīgo studiju programmu ar partnerinstitūcijām, kas ir ārvalstu augstākās izglītības institūcijas, ir jāparedz iespēja </w:t>
            </w:r>
            <w:r w:rsidR="00274F3B" w:rsidRPr="008A4B76">
              <w:t xml:space="preserve">projekta īstenošanas personālam </w:t>
            </w:r>
            <w:r w:rsidRPr="008A4B76">
              <w:t>segt komandējumu izmaksas uz attiecīgajām partnerinstitūcijām</w:t>
            </w:r>
            <w:r w:rsidR="00274F3B" w:rsidRPr="008A4B76">
              <w:t>.</w:t>
            </w:r>
            <w:r w:rsidRPr="008A4B76">
              <w:t xml:space="preserve"> Vienlaikus projekta </w:t>
            </w:r>
            <w:r w:rsidR="00274F3B" w:rsidRPr="008A4B76">
              <w:t xml:space="preserve">īstenošanas personālam </w:t>
            </w:r>
            <w:r w:rsidRPr="008A4B76">
              <w:t xml:space="preserve">var paredzēt ārvalstu komandējumus pieredzes apmaiņas pasākumiem uz citu valstu augstākās izglītības institūcijām, lai pārņemtu to pozitīvo pieredzi. </w:t>
            </w:r>
            <w:r w:rsidR="00274F3B" w:rsidRPr="008A4B76">
              <w:t xml:space="preserve">Arī studiju virziena akreditācijai </w:t>
            </w:r>
            <w:r w:rsidRPr="008A4B76">
              <w:t>EQAR aģentūr</w:t>
            </w:r>
            <w:r w:rsidR="00274F3B" w:rsidRPr="008A4B76">
              <w:t>ā</w:t>
            </w:r>
            <w:r w:rsidRPr="008A4B76">
              <w:t xml:space="preserve"> projekta īstenošanas personālam ir jāparedz iespējas segt ārvalstu komandējumu izmaksas, lai nodrošinātu vizītes uz attiecīgo aģentūru</w:t>
            </w:r>
            <w:r w:rsidR="00274F3B" w:rsidRPr="008A4B76">
              <w:t xml:space="preserve">, kā arī </w:t>
            </w:r>
            <w:r w:rsidRPr="008A4B76">
              <w:t xml:space="preserve"> studiju programmas akreditācija</w:t>
            </w:r>
            <w:r w:rsidR="00274F3B" w:rsidRPr="008A4B76">
              <w:t>i</w:t>
            </w:r>
            <w:r w:rsidRPr="008A4B76">
              <w:t xml:space="preserve"> starptautiskajā profesionālajā organizācijā. Ņemot vērā to, ka otrās kārtas ietvaros viena no atbalstāmajām darbībām ir projekta ietvaros izstrādāto studiju programmu starptautiskā publicitāte, projekta īstenotājs var paredzēt ārvalstu komandējumus projekta īstenošanas personālam</w:t>
            </w:r>
            <w:r w:rsidR="00274F3B" w:rsidRPr="008A4B76">
              <w:t xml:space="preserve"> </w:t>
            </w:r>
            <w:r w:rsidR="00405746" w:rsidRPr="008A4B76">
              <w:t xml:space="preserve">vai projekta vadītājam </w:t>
            </w:r>
            <w:r w:rsidR="00274F3B" w:rsidRPr="008A4B76">
              <w:t>studiju programmu starptautiskajai publicitātei</w:t>
            </w:r>
            <w:r w:rsidRPr="008A4B76">
              <w:t xml:space="preserve">.  </w:t>
            </w:r>
            <w:r w:rsidR="00405746" w:rsidRPr="008A4B76">
              <w:t>Otrās  kārtas ietvaros projekta iesniedzēja sadarbības partneri var būt ārvalstu augstākās izglītības institūcijas, līdz ar to ir paredzēta iespēja ārvalstu komandējumos doties arī projekta vadītājam.</w:t>
            </w:r>
          </w:p>
          <w:p w14:paraId="6807446E" w14:textId="77777777" w:rsidR="00837140" w:rsidRPr="008A4B76" w:rsidRDefault="00837140" w:rsidP="00FF7865">
            <w:pPr>
              <w:ind w:firstLine="516"/>
              <w:jc w:val="both"/>
            </w:pPr>
            <w:r w:rsidRPr="008A4B76">
              <w:t xml:space="preserve">Noteikumu projekts paredz, ka </w:t>
            </w:r>
            <w:r w:rsidR="0064729B" w:rsidRPr="008A4B76">
              <w:t xml:space="preserve">otrās kārtas projektu </w:t>
            </w:r>
            <w:r w:rsidRPr="008A4B76">
              <w:t>attiecināmajās izmaksās ir iekļautas tulkošanas pakalpojumu izmaksas, ņemot vērā to, ka studiju programmu un akreditācijas dokumentācija ir jāiesniedz valsts valodā ar tulkojumu angļu valodā (vai citā valodā, ja tas atbilst šīs studiju programmas mērķiem un ir saskaņots ar Studiju akreditācijas komisiju)</w:t>
            </w:r>
            <w:r w:rsidRPr="008A4B76">
              <w:rPr>
                <w:rStyle w:val="FootnoteReference"/>
              </w:rPr>
              <w:footnoteReference w:id="22"/>
            </w:r>
            <w:r w:rsidRPr="008A4B76">
              <w:t xml:space="preserve">, kā arī studiju programmu izstrādē ir jāiesaista ārvalstu eksperti. </w:t>
            </w:r>
            <w:r w:rsidR="00657712" w:rsidRPr="008A4B76">
              <w:t xml:space="preserve">Vienlaikus, ja studiju programmu aprobācijas ietvaros tiek organizētas diskusijas, konferences, semināri, tad pasākuma organizētājam ir jānodrošina tulkojums valsts valodā. </w:t>
            </w:r>
            <w:r w:rsidRPr="008A4B76">
              <w:t xml:space="preserve">Arī studiju programmas sagatavošana akreditācijai starptautiskā profesionālajā organizācijā, kā arī jauno studiju programmu starptautiskās publicitātes pasākumu nodrošināšana var radīt nepieciešamību izmantot tulkošanas pakalpojumus. </w:t>
            </w:r>
            <w:r w:rsidR="0064729B" w:rsidRPr="008A4B76">
              <w:t>A</w:t>
            </w:r>
            <w:r w:rsidR="001830BF" w:rsidRPr="008A4B76">
              <w:t xml:space="preserve">ttiecināmajās izmaksās ir iekļautas </w:t>
            </w:r>
            <w:r w:rsidR="0064729B" w:rsidRPr="008A4B76">
              <w:t xml:space="preserve">arī </w:t>
            </w:r>
            <w:r w:rsidR="001830BF" w:rsidRPr="008A4B76">
              <w:t xml:space="preserve">juridisko pakalpojumu izmaksas, ņemot vērā to, ka kopīgo studiju programmu izstrādes procesā var rasties nepieciešamība pēc konsultatīva atbalsta, risinot atšķirīgu finanšu pieeju saskaņošanas jautājumus gadījumos, kad </w:t>
            </w:r>
            <w:r w:rsidR="00346FF7" w:rsidRPr="008A4B76">
              <w:t xml:space="preserve">šīs programmas īstenošanā iesaistītie </w:t>
            </w:r>
            <w:r w:rsidR="001830BF" w:rsidRPr="008A4B76">
              <w:t>partneri pārstāv pēc atšķirīgiem principiem funkcionējošas AII (valsts dibinātas, privātpersonu dibinātas, ārvalstu AII)</w:t>
            </w:r>
            <w:r w:rsidR="00346FF7" w:rsidRPr="008A4B76">
              <w:t>.</w:t>
            </w:r>
            <w:r w:rsidR="001830BF" w:rsidRPr="008A4B76">
              <w:t xml:space="preserve"> </w:t>
            </w:r>
          </w:p>
          <w:p w14:paraId="79D90D3E" w14:textId="77777777" w:rsidR="00645A85" w:rsidRPr="008A4B76" w:rsidRDefault="00645A85" w:rsidP="00FF7865">
            <w:pPr>
              <w:ind w:firstLine="516"/>
              <w:jc w:val="both"/>
            </w:pPr>
            <w:r w:rsidRPr="008A4B76">
              <w:t xml:space="preserve">Lai veicinātu finanšu līdzekļu efektīvāku izmantošanu un to izmantošanu </w:t>
            </w:r>
            <w:r w:rsidR="00B964D7" w:rsidRPr="008A4B76">
              <w:t xml:space="preserve">galveno </w:t>
            </w:r>
            <w:r w:rsidRPr="008A4B76">
              <w:t xml:space="preserve">atbalstāmo darbību </w:t>
            </w:r>
            <w:r w:rsidR="00B964D7" w:rsidRPr="008A4B76">
              <w:t>izmaksu segšanai, n</w:t>
            </w:r>
            <w:r w:rsidRPr="008A4B76">
              <w:t xml:space="preserve">oteikumu projekts paredz, ka ar diskusiju un pieredzes apmaiņas pasākumu organizēšanu un īstenošanu saistītās izmaksas nepārsniedz septiņus procentus no projekta kopējām attiecināmajām izmaksām, savukārt jaunās studiju programmas starptautiskās publicitātes izmaksas nepārsniedz piecus procentus no projekta kopējām attiecināmajām izmaksām. </w:t>
            </w:r>
          </w:p>
          <w:p w14:paraId="16DE0933" w14:textId="77777777" w:rsidR="00273A36" w:rsidRPr="008A4B76" w:rsidRDefault="003538CB" w:rsidP="008A4B76">
            <w:pPr>
              <w:tabs>
                <w:tab w:val="left" w:pos="426"/>
                <w:tab w:val="left" w:pos="1134"/>
              </w:tabs>
              <w:spacing w:after="120"/>
              <w:ind w:firstLine="516"/>
              <w:jc w:val="both"/>
              <w:rPr>
                <w:iCs/>
                <w:color w:val="C00000"/>
              </w:rPr>
            </w:pPr>
            <w:r w:rsidRPr="008A4B76">
              <w:lastRenderedPageBreak/>
              <w:t xml:space="preserve">Otrās kārtas ietvaros projekta maksimālo attiecināmo izmaksu kopsummu nosaka pēc projektā izstrādāt plānoto studiju programmu skaita, ievērojot, ka projekta kopējais attiecināmais finansējums vienas studiju programmas  izstrādei un pārējām atbalstāmajām darbībām nepārsniedz 100 000 </w:t>
            </w:r>
            <w:proofErr w:type="spellStart"/>
            <w:r w:rsidRPr="008A4B76">
              <w:rPr>
                <w:i/>
              </w:rPr>
              <w:t>euro</w:t>
            </w:r>
            <w:proofErr w:type="spellEnd"/>
            <w:r w:rsidRPr="008A4B76">
              <w:t>.</w:t>
            </w:r>
          </w:p>
          <w:p w14:paraId="5F139ECD" w14:textId="77777777" w:rsidR="0039499E" w:rsidRPr="008A4B76" w:rsidRDefault="0039499E" w:rsidP="0039499E">
            <w:pPr>
              <w:tabs>
                <w:tab w:val="left" w:pos="426"/>
                <w:tab w:val="left" w:pos="1134"/>
              </w:tabs>
              <w:ind w:firstLine="516"/>
              <w:jc w:val="both"/>
              <w:rPr>
                <w:iCs/>
                <w:color w:val="000000" w:themeColor="text1"/>
              </w:rPr>
            </w:pPr>
            <w:r w:rsidRPr="008A4B76">
              <w:rPr>
                <w:color w:val="000000" w:themeColor="text1"/>
              </w:rPr>
              <w:t xml:space="preserve">8.2.1. SAM </w:t>
            </w:r>
            <w:r w:rsidRPr="008A4B76">
              <w:rPr>
                <w:b/>
                <w:iCs/>
                <w:color w:val="000000" w:themeColor="text1"/>
              </w:rPr>
              <w:t>mērķa grupa</w:t>
            </w:r>
            <w:r w:rsidRPr="008A4B76">
              <w:rPr>
                <w:iCs/>
                <w:color w:val="000000" w:themeColor="text1"/>
              </w:rPr>
              <w:t xml:space="preserve"> ir augstākās izglītības institūcijas</w:t>
            </w:r>
            <w:r w:rsidR="00805C39" w:rsidRPr="008A4B76">
              <w:rPr>
                <w:iCs/>
                <w:color w:val="000000" w:themeColor="text1"/>
              </w:rPr>
              <w:t xml:space="preserve"> - </w:t>
            </w:r>
            <w:r w:rsidRPr="008A4B76">
              <w:rPr>
                <w:iCs/>
                <w:color w:val="000000" w:themeColor="text1"/>
              </w:rPr>
              <w:t xml:space="preserve"> </w:t>
            </w:r>
            <w:r w:rsidR="00805C39" w:rsidRPr="008A4B76">
              <w:t>valsts vai privātperson</w:t>
            </w:r>
            <w:r w:rsidR="00C23D15" w:rsidRPr="008A4B76">
              <w:t>u</w:t>
            </w:r>
            <w:r w:rsidR="00805C39" w:rsidRPr="008A4B76">
              <w:t xml:space="preserve"> dibināta</w:t>
            </w:r>
            <w:r w:rsidR="00C23D15" w:rsidRPr="008A4B76">
              <w:t>s</w:t>
            </w:r>
            <w:r w:rsidR="00805C39" w:rsidRPr="008A4B76">
              <w:t xml:space="preserve"> un noteiktā kārtībā Latvijas Republikā reģistrēta</w:t>
            </w:r>
            <w:r w:rsidR="00C23D15" w:rsidRPr="008A4B76">
              <w:t>s</w:t>
            </w:r>
            <w:r w:rsidR="00805C39" w:rsidRPr="008A4B76">
              <w:t xml:space="preserve"> un akreditēta</w:t>
            </w:r>
            <w:r w:rsidR="00C23D15" w:rsidRPr="008A4B76">
              <w:t>s</w:t>
            </w:r>
            <w:r w:rsidR="00805C39" w:rsidRPr="008A4B76">
              <w:t xml:space="preserve"> augstskola</w:t>
            </w:r>
            <w:r w:rsidR="00C23D15" w:rsidRPr="008A4B76">
              <w:t>s</w:t>
            </w:r>
            <w:r w:rsidR="00805C39" w:rsidRPr="008A4B76">
              <w:t xml:space="preserve"> vai koledža</w:t>
            </w:r>
            <w:r w:rsidR="00C23D15" w:rsidRPr="008A4B76">
              <w:t>s</w:t>
            </w:r>
            <w:r w:rsidRPr="008A4B76">
              <w:rPr>
                <w:iCs/>
                <w:color w:val="000000" w:themeColor="text1"/>
              </w:rPr>
              <w:t xml:space="preserve">. </w:t>
            </w:r>
          </w:p>
          <w:bookmarkEnd w:id="0"/>
          <w:p w14:paraId="0EBFFDEF" w14:textId="77777777" w:rsidR="0039499E" w:rsidRPr="008A4B76" w:rsidRDefault="0039499E" w:rsidP="007D18FC">
            <w:pPr>
              <w:ind w:firstLine="516"/>
              <w:jc w:val="both"/>
            </w:pPr>
            <w:r w:rsidRPr="008A4B76">
              <w:t xml:space="preserve">Plānotais </w:t>
            </w:r>
            <w:r w:rsidRPr="008A4B76">
              <w:rPr>
                <w:b/>
              </w:rPr>
              <w:t>projektu ilgums</w:t>
            </w:r>
            <w:r w:rsidRPr="008A4B76">
              <w:t xml:space="preserve"> aptuveni 3 – 5 gadi. Projektus plānots īstenot ne ilgāk kā līdz 2023.gada 30.novembrim.</w:t>
            </w:r>
          </w:p>
          <w:p w14:paraId="767D7D08" w14:textId="77777777" w:rsidR="0039499E" w:rsidRPr="008A4B76" w:rsidRDefault="0039499E" w:rsidP="007D18FC">
            <w:pPr>
              <w:ind w:firstLine="516"/>
              <w:jc w:val="both"/>
            </w:pPr>
            <w:r w:rsidRPr="008A4B76">
              <w:t xml:space="preserve">8.2.1. SAM ietvaros līdz 2023. gada 31. decembrim sasniedzami šādi </w:t>
            </w:r>
            <w:r w:rsidRPr="008A4B76">
              <w:rPr>
                <w:b/>
              </w:rPr>
              <w:t>uzraudzības rādītāji</w:t>
            </w:r>
            <w:r w:rsidRPr="008A4B76">
              <w:t xml:space="preserve">: </w:t>
            </w:r>
          </w:p>
          <w:p w14:paraId="4732997C" w14:textId="77777777" w:rsidR="0039499E" w:rsidRPr="008A4B76" w:rsidRDefault="0039499E" w:rsidP="0039499E">
            <w:pPr>
              <w:tabs>
                <w:tab w:val="left" w:pos="1276"/>
              </w:tabs>
              <w:ind w:firstLine="516"/>
              <w:jc w:val="both"/>
              <w:rPr>
                <w:b/>
              </w:rPr>
            </w:pPr>
            <w:r w:rsidRPr="008A4B76">
              <w:t>1.</w:t>
            </w:r>
            <w:r w:rsidRPr="008A4B76">
              <w:tab/>
            </w:r>
            <w:r w:rsidRPr="008A4B76">
              <w:rPr>
                <w:b/>
              </w:rPr>
              <w:t>iznākuma rādītāji:</w:t>
            </w:r>
          </w:p>
          <w:p w14:paraId="7B37145E" w14:textId="77777777" w:rsidR="0039499E" w:rsidRPr="008A4B76" w:rsidRDefault="0039499E" w:rsidP="0039499E">
            <w:pPr>
              <w:tabs>
                <w:tab w:val="left" w:pos="1276"/>
              </w:tabs>
              <w:ind w:firstLine="516"/>
              <w:jc w:val="both"/>
            </w:pPr>
            <w:r w:rsidRPr="008A4B76">
              <w:t xml:space="preserve">1.1. kopīgo doktorantūras studiju programmu skaits, kuru izstrādei un ieviešanai piešķirts ESF atbalsts – </w:t>
            </w:r>
            <w:r w:rsidR="00181FCD" w:rsidRPr="008A4B76">
              <w:t>11</w:t>
            </w:r>
            <w:r w:rsidR="00C1774E" w:rsidRPr="008A4B76">
              <w:t>, tai skaitā pirmās kārtas ietvaros – viena un otrās kārtas ietvaros – 1</w:t>
            </w:r>
            <w:r w:rsidR="00181FCD" w:rsidRPr="008A4B76">
              <w:t>0</w:t>
            </w:r>
            <w:r w:rsidRPr="008A4B76">
              <w:t>;</w:t>
            </w:r>
          </w:p>
          <w:p w14:paraId="0B1550B0" w14:textId="77777777" w:rsidR="00181FCD" w:rsidRPr="008A4B76" w:rsidRDefault="00181FCD" w:rsidP="0039499E">
            <w:pPr>
              <w:tabs>
                <w:tab w:val="left" w:pos="1276"/>
              </w:tabs>
              <w:ind w:firstLine="516"/>
              <w:jc w:val="both"/>
            </w:pPr>
            <w:r w:rsidRPr="008A4B76">
              <w:t>1.2. pirmās kārtas ietvaros jauno pedago</w:t>
            </w:r>
            <w:r w:rsidR="007D2C3B" w:rsidRPr="008A4B76">
              <w:t>ģijas</w:t>
            </w:r>
            <w:r w:rsidRPr="008A4B76">
              <w:t xml:space="preserve"> studiju programmu skaits, kuru izstrādei un ieviešanai piešķirts Eiropas Sociālā fonda atbalsts – 22</w:t>
            </w:r>
            <w:r w:rsidR="00DA7552" w:rsidRPr="008A4B76">
              <w:t>,</w:t>
            </w:r>
            <w:r w:rsidR="00434E7F" w:rsidRPr="008A4B76">
              <w:t xml:space="preserve"> tai skaitā līdz 2018.gada 31 decembrim - 16</w:t>
            </w:r>
            <w:r w:rsidRPr="008A4B76">
              <w:t>;</w:t>
            </w:r>
          </w:p>
          <w:p w14:paraId="4BC53133" w14:textId="77777777" w:rsidR="0039499E" w:rsidRPr="008A4B76" w:rsidRDefault="0039499E" w:rsidP="0039499E">
            <w:pPr>
              <w:tabs>
                <w:tab w:val="left" w:pos="1276"/>
              </w:tabs>
              <w:ind w:firstLine="516"/>
              <w:jc w:val="both"/>
            </w:pPr>
            <w:r w:rsidRPr="008A4B76">
              <w:t>1.</w:t>
            </w:r>
            <w:r w:rsidR="00181FCD" w:rsidRPr="008A4B76">
              <w:t>3</w:t>
            </w:r>
            <w:r w:rsidRPr="008A4B76">
              <w:t xml:space="preserve">. </w:t>
            </w:r>
            <w:r w:rsidR="00C1774E" w:rsidRPr="008A4B76">
              <w:t xml:space="preserve">otrās kārtas ietvaros </w:t>
            </w:r>
            <w:r w:rsidRPr="008A4B76">
              <w:t xml:space="preserve">studiju programmu ES valodās, izņemot latviešu valodu, skaits, kuru izstrādei un ieviešanai piešķirts ESF atbalsts – </w:t>
            </w:r>
            <w:r w:rsidR="00181FCD" w:rsidRPr="008A4B76">
              <w:t>62</w:t>
            </w:r>
            <w:r w:rsidR="00434E7F" w:rsidRPr="008A4B76">
              <w:t>;</w:t>
            </w:r>
          </w:p>
          <w:p w14:paraId="66FD5362" w14:textId="77777777" w:rsidR="0039499E" w:rsidRPr="008A4B76" w:rsidRDefault="0039499E" w:rsidP="0039499E">
            <w:pPr>
              <w:tabs>
                <w:tab w:val="left" w:pos="1276"/>
              </w:tabs>
              <w:ind w:firstLine="516"/>
              <w:jc w:val="both"/>
            </w:pPr>
            <w:r w:rsidRPr="008A4B76">
              <w:t>2.</w:t>
            </w:r>
            <w:r w:rsidRPr="008A4B76">
              <w:tab/>
            </w:r>
            <w:r w:rsidRPr="008A4B76">
              <w:rPr>
                <w:b/>
              </w:rPr>
              <w:t>rezultāta rādītāji</w:t>
            </w:r>
            <w:r w:rsidRPr="008A4B76">
              <w:t>:</w:t>
            </w:r>
          </w:p>
          <w:p w14:paraId="1F74B8FC" w14:textId="77777777" w:rsidR="0039499E" w:rsidRPr="008A4B76" w:rsidRDefault="0039499E" w:rsidP="0039499E">
            <w:pPr>
              <w:tabs>
                <w:tab w:val="left" w:pos="1276"/>
              </w:tabs>
              <w:ind w:firstLine="516"/>
              <w:jc w:val="both"/>
            </w:pPr>
            <w:r w:rsidRPr="008A4B76">
              <w:t>2.1. slēgto studiju programmu skaits,  uz kuru bāzes izveidotas atbalstītās jaunās studiju programmas – 220</w:t>
            </w:r>
            <w:r w:rsidR="00181FCD" w:rsidRPr="008A4B76">
              <w:t>,</w:t>
            </w:r>
            <w:r w:rsidR="00181FCD" w:rsidRPr="008A4B76">
              <w:rPr>
                <w:bCs/>
              </w:rPr>
              <w:t xml:space="preserve"> tai skaitā pirmās kārtas ietvaros – 50 un otrās kārtas ietvaros – 170</w:t>
            </w:r>
            <w:r w:rsidRPr="008A4B76">
              <w:t>;</w:t>
            </w:r>
          </w:p>
          <w:p w14:paraId="5BE961FA" w14:textId="77777777" w:rsidR="0039499E" w:rsidRPr="008A4B76" w:rsidRDefault="0039499E" w:rsidP="0039499E">
            <w:pPr>
              <w:tabs>
                <w:tab w:val="left" w:pos="1276"/>
              </w:tabs>
              <w:ind w:firstLine="516"/>
              <w:jc w:val="both"/>
            </w:pPr>
            <w:r w:rsidRPr="008A4B76">
              <w:t xml:space="preserve">2.2. atbalstīto jauno kopīgo doktorantūras studiju programmu skaits, kuras saņēmušas EQAR aģentūras akreditāciju – </w:t>
            </w:r>
            <w:r w:rsidR="00181FCD" w:rsidRPr="008A4B76">
              <w:t>11</w:t>
            </w:r>
            <w:r w:rsidR="00C1774E" w:rsidRPr="008A4B76">
              <w:t xml:space="preserve">, tai skaitā pirmās kārtas ietvaros – </w:t>
            </w:r>
            <w:r w:rsidR="00181FCD" w:rsidRPr="008A4B76">
              <w:rPr>
                <w:bCs/>
              </w:rPr>
              <w:t>viena un otrās kārtas ietvaros – 10</w:t>
            </w:r>
            <w:r w:rsidRPr="008A4B76">
              <w:t>;</w:t>
            </w:r>
          </w:p>
          <w:p w14:paraId="2360AA22" w14:textId="77777777" w:rsidR="00181FCD" w:rsidRPr="008A4B76" w:rsidRDefault="00181FCD" w:rsidP="0039499E">
            <w:pPr>
              <w:tabs>
                <w:tab w:val="left" w:pos="1276"/>
              </w:tabs>
              <w:ind w:firstLine="516"/>
              <w:jc w:val="both"/>
            </w:pPr>
            <w:r w:rsidRPr="008A4B76">
              <w:t>2.3. pirmās kārtas ietvaros</w:t>
            </w:r>
            <w:r w:rsidRPr="008A4B76">
              <w:rPr>
                <w:bCs/>
              </w:rPr>
              <w:t xml:space="preserve"> atbalstīto jauno pedago</w:t>
            </w:r>
            <w:r w:rsidR="007D2C3B" w:rsidRPr="008A4B76">
              <w:rPr>
                <w:bCs/>
              </w:rPr>
              <w:t>ģijas</w:t>
            </w:r>
            <w:r w:rsidRPr="008A4B76">
              <w:rPr>
                <w:bCs/>
              </w:rPr>
              <w:t xml:space="preserve"> studiju programmu skaits, kas saņēmušas EQAR aģentūras akreditāciju – 22;</w:t>
            </w:r>
          </w:p>
          <w:p w14:paraId="4E6BACEC" w14:textId="77777777" w:rsidR="0039499E" w:rsidRPr="008A4B76" w:rsidRDefault="0039499E" w:rsidP="0039499E">
            <w:pPr>
              <w:tabs>
                <w:tab w:val="left" w:pos="1276"/>
              </w:tabs>
              <w:ind w:firstLine="516"/>
              <w:jc w:val="both"/>
            </w:pPr>
            <w:r w:rsidRPr="008A4B76">
              <w:t>2.</w:t>
            </w:r>
            <w:r w:rsidR="00181FCD" w:rsidRPr="008A4B76">
              <w:t>4</w:t>
            </w:r>
            <w:r w:rsidRPr="008A4B76">
              <w:t xml:space="preserve">. </w:t>
            </w:r>
            <w:r w:rsidR="00C1774E" w:rsidRPr="008A4B76">
              <w:t xml:space="preserve">otrās kārtas ietvaros </w:t>
            </w:r>
            <w:r w:rsidRPr="008A4B76">
              <w:t xml:space="preserve">atbalstīto jauno studiju programmu ES valodās, kas nav latviešu valoda, skaits, kas saņēmušas EQAR aģentūras akreditāciju – </w:t>
            </w:r>
            <w:r w:rsidR="00181FCD" w:rsidRPr="008A4B76">
              <w:t>62</w:t>
            </w:r>
            <w:r w:rsidR="009357C3" w:rsidRPr="008A4B76">
              <w:t xml:space="preserve">; </w:t>
            </w:r>
          </w:p>
          <w:p w14:paraId="13D5BA05" w14:textId="77777777" w:rsidR="0039499E" w:rsidRPr="008A4B76" w:rsidRDefault="0039499E" w:rsidP="0039499E">
            <w:pPr>
              <w:tabs>
                <w:tab w:val="left" w:pos="1276"/>
              </w:tabs>
              <w:ind w:firstLine="516"/>
              <w:jc w:val="both"/>
            </w:pPr>
            <w:r w:rsidRPr="008A4B76">
              <w:t xml:space="preserve">3. </w:t>
            </w:r>
            <w:r w:rsidRPr="008A4B76">
              <w:rPr>
                <w:b/>
              </w:rPr>
              <w:t>finanšu rādītājs</w:t>
            </w:r>
            <w:r w:rsidRPr="008A4B76">
              <w:t xml:space="preserve"> līdz 2018. gada 31. decembrim – sertificēti izdevumi 350 000 </w:t>
            </w:r>
            <w:proofErr w:type="spellStart"/>
            <w:r w:rsidRPr="008A4B76">
              <w:rPr>
                <w:i/>
              </w:rPr>
              <w:t>euro</w:t>
            </w:r>
            <w:proofErr w:type="spellEnd"/>
            <w:r w:rsidRPr="008A4B76">
              <w:t xml:space="preserve"> apmērā.</w:t>
            </w:r>
          </w:p>
          <w:p w14:paraId="094E14F5" w14:textId="77777777" w:rsidR="00181FCD" w:rsidRPr="008A4B76" w:rsidRDefault="00181FCD" w:rsidP="003538CB">
            <w:pPr>
              <w:tabs>
                <w:tab w:val="left" w:pos="567"/>
                <w:tab w:val="left" w:pos="2884"/>
              </w:tabs>
              <w:ind w:firstLine="567"/>
              <w:jc w:val="both"/>
            </w:pPr>
          </w:p>
          <w:p w14:paraId="1386A4E4" w14:textId="3A8D2A3B" w:rsidR="002B4ADC" w:rsidRPr="008A4B76" w:rsidRDefault="002B4ADC" w:rsidP="002B4ADC">
            <w:pPr>
              <w:ind w:firstLine="720"/>
              <w:jc w:val="both"/>
            </w:pPr>
            <w:r w:rsidRPr="008A4B76">
              <w:t>Ņemot vērā to, ka 8.2.1.SAM ietvaros atbalsts ir paredzēts studiju programmu izstrādei, arī rezultāta rādītāju mērvienība ir noteikta studiju programma. Pašlaik spēkā esošais Augstskolu likums paredz studiju virzienu akreditāciju</w:t>
            </w:r>
            <w:r w:rsidR="00A66650" w:rsidRPr="008A4B76">
              <w:t>,</w:t>
            </w:r>
            <w:r w:rsidRPr="008A4B76">
              <w:t xml:space="preserve"> nevis studiju programmu akreditāciju</w:t>
            </w:r>
            <w:r w:rsidR="00A66650" w:rsidRPr="008A4B76">
              <w:t>. V</w:t>
            </w:r>
            <w:r w:rsidRPr="008A4B76">
              <w:t>ienlaikus jāņem vērā, ka Augstskolu likuma pirmā panta 16.punkts nosaka, ka studiju virziena akreditācija — pārbaude nolūkā noteikt augstskolas vai koledžas resursu kvalitāti un spēju atbilstoši normatīvo aktu prasībām īstenot noteiktam studiju virzienam atbilstošu studiju programmu. Bez tam Augstskolu likuma pirmā panta 1.</w:t>
            </w:r>
            <w:r w:rsidRPr="008A4B76">
              <w:rPr>
                <w:vertAlign w:val="superscript"/>
              </w:rPr>
              <w:t xml:space="preserve">1 </w:t>
            </w:r>
            <w:r w:rsidRPr="008A4B76">
              <w:t xml:space="preserve">punkts nosaka, ka </w:t>
            </w:r>
            <w:r w:rsidRPr="008A4B76">
              <w:rPr>
                <w:b/>
              </w:rPr>
              <w:t>akreditēta studiju programma</w:t>
            </w:r>
            <w:r w:rsidRPr="008A4B76">
              <w:t xml:space="preserve"> — studiju programma, kura atbilst </w:t>
            </w:r>
            <w:r w:rsidRPr="008A4B76">
              <w:lastRenderedPageBreak/>
              <w:t xml:space="preserve">konkrētam likumā noteiktā kārtībā akreditētam augstskolas vai koledžas studiju virzienam. Akreditētas studiju programmas akreditācijas termiņš nepārsniedz termiņu, uz kādu akreditēts atbilstošais studiju virziens augstskolā vai koledžā. </w:t>
            </w:r>
          </w:p>
          <w:p w14:paraId="2F7086E9" w14:textId="77777777" w:rsidR="004664B6" w:rsidRPr="008A4B76" w:rsidRDefault="004664B6" w:rsidP="002B4ADC">
            <w:pPr>
              <w:ind w:firstLine="720"/>
              <w:jc w:val="both"/>
            </w:pPr>
          </w:p>
          <w:p w14:paraId="0AF46872" w14:textId="77777777" w:rsidR="003538CB" w:rsidRPr="008A4B76" w:rsidRDefault="003538CB" w:rsidP="00FF7865">
            <w:pPr>
              <w:tabs>
                <w:tab w:val="left" w:pos="567"/>
                <w:tab w:val="left" w:pos="2884"/>
              </w:tabs>
              <w:ind w:firstLine="567"/>
              <w:jc w:val="both"/>
            </w:pPr>
            <w:r w:rsidRPr="008A4B76">
              <w:t>Noteikumu projekts paredz, ka specifiskā atbalsta ietvaros finansējuma saņēmējam izmaksas ir attiecināmas, ja tās atbilst noteikumos minētajām izmaksu pozīcijām, un ir radušās</w:t>
            </w:r>
            <w:r w:rsidR="00221F2B" w:rsidRPr="008A4B76">
              <w:t xml:space="preserve"> </w:t>
            </w:r>
            <w:r w:rsidR="00434E7F" w:rsidRPr="008A4B76">
              <w:t xml:space="preserve">— pirmās kārtas ietvaros no grozījumu darbības programmā „Izaugsme un nodarbinātība” </w:t>
            </w:r>
            <w:r w:rsidR="00BD5377" w:rsidRPr="008A4B76">
              <w:t xml:space="preserve">(Nr.3.) </w:t>
            </w:r>
            <w:r w:rsidR="00434E7F" w:rsidRPr="008A4B76">
              <w:t xml:space="preserve">iesniegšanas dienas Eiropas Komisijai, otrās kārtas ietvaros no noteikumu spēkā stāšanās dienas, izņemot valsts koledžām no dienas, kad noslēgta vienošanās par projekta īstenošanu, </w:t>
            </w:r>
            <w:r w:rsidRPr="008A4B76">
              <w:t xml:space="preserve"> savukārt sadarbības partnerim – pēc sadarbības līgumu noslēgšanas, bet ne agrāk kā no vienošanās vai līguma par projekta īstenošanu noslēgšanas dienas.</w:t>
            </w:r>
          </w:p>
          <w:p w14:paraId="5D57A20C" w14:textId="77777777" w:rsidR="005A10F7" w:rsidRPr="008A4B76" w:rsidRDefault="005A10F7" w:rsidP="003538CB">
            <w:pPr>
              <w:tabs>
                <w:tab w:val="left" w:pos="567"/>
                <w:tab w:val="left" w:pos="2884"/>
              </w:tabs>
              <w:ind w:firstLine="567"/>
              <w:jc w:val="both"/>
            </w:pPr>
            <w:r w:rsidRPr="008A4B76">
              <w:t xml:space="preserve">Izmaksu </w:t>
            </w:r>
            <w:proofErr w:type="spellStart"/>
            <w:r w:rsidRPr="008A4B76">
              <w:t>attiecināmības</w:t>
            </w:r>
            <w:proofErr w:type="spellEnd"/>
            <w:r w:rsidRPr="008A4B76">
              <w:t xml:space="preserve"> termiņš no noteikumu spēkā stāšanās dienas ir noteikts, lai paredzētu iespēju ātrāk uzsākt projekta darbības, tādējādi veicinot finanšu rādītāja sasniegšanu. </w:t>
            </w:r>
          </w:p>
          <w:p w14:paraId="05F08EE3" w14:textId="4965F431" w:rsidR="00866B63" w:rsidRPr="008A4B76" w:rsidRDefault="00866B63" w:rsidP="003538CB">
            <w:pPr>
              <w:tabs>
                <w:tab w:val="left" w:pos="567"/>
                <w:tab w:val="left" w:pos="2884"/>
              </w:tabs>
              <w:ind w:firstLine="567"/>
              <w:jc w:val="both"/>
            </w:pPr>
            <w:r w:rsidRPr="008A4B76">
              <w:t xml:space="preserve">Noteikumu projekts paredz, ka projekta iesniedzējs var paredzēt arī </w:t>
            </w:r>
            <w:r w:rsidRPr="008A4B76">
              <w:rPr>
                <w:b/>
              </w:rPr>
              <w:t>neattiecināmās izmaksas</w:t>
            </w:r>
            <w:r w:rsidRPr="008A4B76">
              <w:t>. Ja izmaksas, kas īstenojot projektu pārsniedz noteikumu projektā noteikto projekta maksimālo attiecināmo izmaksu kopsummu vai minētos izmaksu ierobežojumus, tās var iekļaut projekta kopējās izmaksās kā neattiecināmās izmaksas un segt tās no saviem līdzekļiem.</w:t>
            </w:r>
          </w:p>
          <w:p w14:paraId="78A65CD9" w14:textId="77777777" w:rsidR="005A10F7" w:rsidRPr="008A4B76" w:rsidRDefault="005A10F7" w:rsidP="003538CB">
            <w:pPr>
              <w:tabs>
                <w:tab w:val="left" w:pos="567"/>
                <w:tab w:val="left" w:pos="2884"/>
              </w:tabs>
              <w:ind w:firstLine="567"/>
              <w:jc w:val="both"/>
            </w:pPr>
          </w:p>
          <w:p w14:paraId="2144EE7D" w14:textId="4179A2FE" w:rsidR="003538CB" w:rsidRPr="008A4B76" w:rsidRDefault="003538CB" w:rsidP="003538CB">
            <w:pPr>
              <w:tabs>
                <w:tab w:val="left" w:pos="567"/>
                <w:tab w:val="left" w:pos="2884"/>
              </w:tabs>
              <w:ind w:firstLine="567"/>
              <w:jc w:val="both"/>
            </w:pPr>
            <w:r w:rsidRPr="008A4B76">
              <w:t xml:space="preserve">Noteikumu projekts paredz, ja projekta īstenošanas laikā finansējuma saņēmējam ir paredzēts </w:t>
            </w:r>
            <w:r w:rsidRPr="008A4B76">
              <w:rPr>
                <w:b/>
              </w:rPr>
              <w:t>avanss</w:t>
            </w:r>
            <w:r w:rsidRPr="008A4B76">
              <w:t xml:space="preserve">, to var izmaksāt pa daļām. </w:t>
            </w:r>
            <w:r w:rsidR="006763FE" w:rsidRPr="008A4B76">
              <w:t>Viens avansa maksājums nepārsniedz 30 procentus no projektam piešķirtā Eiropas Sociālā fonda finansējuma un valsts budžeta līdzfinansējuma kopsummas</w:t>
            </w:r>
            <w:r w:rsidRPr="008A4B76">
              <w:t xml:space="preserve">. </w:t>
            </w:r>
            <w:r w:rsidR="006D3C00" w:rsidRPr="008A4B76">
              <w:t>Šāds</w:t>
            </w:r>
            <w:r w:rsidR="00FD58D3" w:rsidRPr="008A4B76">
              <w:t xml:space="preserve"> avansa apmērs</w:t>
            </w:r>
            <w:r w:rsidR="006D3C00" w:rsidRPr="008A4B76">
              <w:t xml:space="preserve"> nepieciešams</w:t>
            </w:r>
            <w:r w:rsidR="00FD58D3" w:rsidRPr="008A4B76">
              <w:t xml:space="preserve">, lai nodrošinātu iespēju finansējuma saņēmējiem īstenot projekta darbības atbilstoši plānotajam laika grafikam. </w:t>
            </w:r>
            <w:r w:rsidRPr="008A4B76">
              <w:t xml:space="preserve">Finansējuma saņēmējiem, kuriem ir </w:t>
            </w:r>
            <w:r w:rsidR="002709C2" w:rsidRPr="002709C2">
              <w:t>valsts budžeta daļēji finansētas atvasinātas publiskas personas statuss, kura projektu īsteno tai deleģēto valsts pārvaldes uzdevumu ietvaros</w:t>
            </w:r>
            <w:r w:rsidR="002709C2" w:rsidRPr="008A4B76" w:rsidDel="002709C2">
              <w:t xml:space="preserve"> </w:t>
            </w:r>
            <w:r w:rsidRPr="008A4B76">
              <w:t>(valsts dibinātas augstskolas</w:t>
            </w:r>
            <w:r w:rsidR="00FC2E45" w:rsidRPr="008A4B76">
              <w:t>)</w:t>
            </w:r>
            <w:r w:rsidRPr="008A4B76">
              <w:t xml:space="preserve">, avansa un starpposma maksājumu kopsumma var būt 100 procenti no projektam piešķirtā </w:t>
            </w:r>
            <w:r w:rsidR="00C16C02" w:rsidRPr="008A4B76">
              <w:t>ESF</w:t>
            </w:r>
            <w:r w:rsidRPr="008A4B76">
              <w:t xml:space="preserve"> finansējuma un valsts budžeta līdzfinansējuma kopsummas. Finansējuma saņēmējiem, kas ir </w:t>
            </w:r>
            <w:r w:rsidR="00D56A31" w:rsidRPr="008A4B76">
              <w:t>privāt</w:t>
            </w:r>
            <w:r w:rsidRPr="008A4B76">
              <w:t xml:space="preserve">personu dibinātas augstākās izglītības institūcijas, avansa un starpposma maksājumu kopsumma var būt 90 procenti no projektā paredzētā </w:t>
            </w:r>
            <w:r w:rsidR="00C16C02" w:rsidRPr="008A4B76">
              <w:t>ESF</w:t>
            </w:r>
            <w:r w:rsidRPr="008A4B76">
              <w:t xml:space="preserve"> finansējuma un valsts budžeta līdzfinansējuma kopsummas.</w:t>
            </w:r>
            <w:r w:rsidR="003E3EAB" w:rsidRPr="008A4B76">
              <w:t xml:space="preserve"> 100 procentu avansa apmērs valsts dibinātām augstskolām noteikts, pamatojoties uz </w:t>
            </w:r>
            <w:r w:rsidR="003E3EAB" w:rsidRPr="008A4B76">
              <w:rPr>
                <w:rFonts w:eastAsiaTheme="majorEastAsia"/>
              </w:rPr>
              <w:t xml:space="preserve">MK 2015.gada 17.marta noteikumu Nr.130 “Noteikumi par valsts budžeta līdzekļu plānošanu Eiropas Savienības struktūrfondu un Kohēzijas fonda projektu īstenošanai un maksājumu veikšanu 2014.–2020.gada plānošanas periodā” 20.punktā ietverto regulējumu. </w:t>
            </w:r>
            <w:r w:rsidR="000A3BE5" w:rsidRPr="008A4B76">
              <w:rPr>
                <w:rFonts w:eastAsiaTheme="majorEastAsia"/>
              </w:rPr>
              <w:t xml:space="preserve">Šāds regulējums ir noteikts, lai valsts dibinātās augstskolas varētu nodrošināt nepārtrauktu </w:t>
            </w:r>
            <w:r w:rsidR="000A3BE5" w:rsidRPr="008A4B76">
              <w:rPr>
                <w:rFonts w:eastAsiaTheme="majorEastAsia"/>
              </w:rPr>
              <w:lastRenderedPageBreak/>
              <w:t xml:space="preserve">finanšu plūsmu un mazinātu finanšu riskus, ņemot vērā to, ka laika posmā no 2018. – 2023.gadam tās vienlaikus īstenos vairākus projektus. </w:t>
            </w:r>
            <w:r w:rsidR="00CB6696" w:rsidRPr="008A4B76">
              <w:rPr>
                <w:rFonts w:eastAsiaTheme="majorEastAsia"/>
              </w:rPr>
              <w:t xml:space="preserve">Saskaņā ar Augstskolu likuma 7. pantu un 78.pantu šie finansējuma saņēmēji ir valsts budžeta daļēji finansētas atvasinātas publiskas personas. Tās īsteno projektu tām deleģēto valsts pārvaldes uzdevumu ietvaros. </w:t>
            </w:r>
            <w:r w:rsidR="003E3EAB" w:rsidRPr="008A4B76">
              <w:t xml:space="preserve">To darbības tiesiskais pamats ir Augstskolu likums, Zinātniskās darbības likums, augstskolu satversmes </w:t>
            </w:r>
            <w:r w:rsidR="00B8281E" w:rsidRPr="008A4B76">
              <w:t xml:space="preserve">vai koledžu nolikumi </w:t>
            </w:r>
            <w:r w:rsidR="003E3EAB" w:rsidRPr="008A4B76">
              <w:t>un citi normatīvie akti. Augstskolu likumā ir noteikti augstskolu uzdevumi, kas tai skaitā paredz, ka augstskolas izstrādā studiju programmas, izraugās akadēmisko personālu, iekārto laboratorijas, darbnīcas, bibliotēkas un citas struktūras tā, lai studējošajiem dotu iespēju iegūt zināšanas, akadēmisko izglītību un profesionālo prasmi atbilstoši zinātnes attīstības līmenim un Latvijas kultūras tradīcijām, turklāt iespējami koncentrētā un didaktiski pilnvērtīgā veidā. Augstskolu mērķi un pamatdarbības virzieni ir noteikti katras augstskolas satversmē, savukārt koledž</w:t>
            </w:r>
            <w:r w:rsidR="00B8281E" w:rsidRPr="008A4B76">
              <w:t>u</w:t>
            </w:r>
            <w:r w:rsidR="00B27058" w:rsidRPr="008A4B76">
              <w:t xml:space="preserve"> </w:t>
            </w:r>
            <w:r w:rsidR="003E3EAB" w:rsidRPr="008A4B76">
              <w:t>- nolikumā.</w:t>
            </w:r>
          </w:p>
          <w:p w14:paraId="6C7DFC69" w14:textId="77777777" w:rsidR="003E3EAB" w:rsidRPr="008A4B76" w:rsidRDefault="003E3EAB" w:rsidP="003538CB">
            <w:pPr>
              <w:tabs>
                <w:tab w:val="left" w:pos="567"/>
                <w:tab w:val="left" w:pos="2884"/>
              </w:tabs>
              <w:ind w:firstLine="567"/>
              <w:jc w:val="both"/>
            </w:pPr>
          </w:p>
          <w:p w14:paraId="38494187" w14:textId="5F331502" w:rsidR="00040671" w:rsidRPr="008A4B76" w:rsidRDefault="00933730" w:rsidP="001628AF">
            <w:pPr>
              <w:ind w:firstLine="516"/>
              <w:jc w:val="both"/>
            </w:pPr>
            <w:r w:rsidRPr="008A4B76">
              <w:t xml:space="preserve">Saskaņā ar </w:t>
            </w:r>
            <w:r w:rsidR="0089724E" w:rsidRPr="008A4B76">
              <w:t xml:space="preserve">spēkā esošo </w:t>
            </w:r>
            <w:r w:rsidRPr="008A4B76">
              <w:t xml:space="preserve">nacionālo normatīvo regulējumu </w:t>
            </w:r>
            <w:r w:rsidRPr="008A4B76">
              <w:rPr>
                <w:b/>
              </w:rPr>
              <w:t>studiju virzienu akreditāciju</w:t>
            </w:r>
            <w:r w:rsidRPr="008A4B76">
              <w:t xml:space="preserve"> organizē Akadēmiskās informācijas centrs. Plānots</w:t>
            </w:r>
            <w:r w:rsidR="0089724E" w:rsidRPr="008A4B76">
              <w:t>,</w:t>
            </w:r>
            <w:r w:rsidRPr="008A4B76">
              <w:t xml:space="preserve"> ka 2018.gada nogalē Akadēmiskās informācijas centrs tiks iekļauts  Eiropas augstākās izglītības kvalitātes nodrošināšanas reģistrā.</w:t>
            </w:r>
          </w:p>
          <w:p w14:paraId="6D63BBC5" w14:textId="61D0DDC4" w:rsidR="004664B6" w:rsidRPr="008A4B76" w:rsidRDefault="004664B6" w:rsidP="004664B6">
            <w:pPr>
              <w:ind w:firstLine="516"/>
              <w:jc w:val="both"/>
            </w:pPr>
            <w:r w:rsidRPr="008A4B76">
              <w:t>Vienlaikus jāatzīmē, ka š.g. 9.novembrī IZM ir sniegusi priekšlikumus likumprojektam “Grozījumi Augstskolu likumā” (</w:t>
            </w:r>
            <w:proofErr w:type="spellStart"/>
            <w:r w:rsidRPr="008A4B76">
              <w:t>Nr</w:t>
            </w:r>
            <w:proofErr w:type="spellEnd"/>
            <w:r w:rsidRPr="008A4B76">
              <w:t xml:space="preserve">: 998/ </w:t>
            </w:r>
            <w:proofErr w:type="spellStart"/>
            <w:r w:rsidRPr="008A4B76">
              <w:t>Lp</w:t>
            </w:r>
            <w:proofErr w:type="spellEnd"/>
            <w:r w:rsidRPr="008A4B76">
              <w:t xml:space="preserve"> 12)</w:t>
            </w:r>
            <w:r w:rsidRPr="008A4B76">
              <w:rPr>
                <w:rStyle w:val="FootnoteReference"/>
              </w:rPr>
              <w:footnoteReference w:id="23"/>
            </w:r>
            <w:r w:rsidRPr="008A4B76">
              <w:t>, kas paredz izteikt jaunā redakcijā Augstskolu likuma 55.</w:t>
            </w:r>
            <w:r w:rsidRPr="008A4B76">
              <w:rPr>
                <w:vertAlign w:val="superscript"/>
              </w:rPr>
              <w:t xml:space="preserve">3 </w:t>
            </w:r>
            <w:r w:rsidRPr="008A4B76">
              <w:t xml:space="preserve">pantu, ar ko </w:t>
            </w:r>
            <w:r w:rsidR="0089724E" w:rsidRPr="008A4B76">
              <w:t>plānota</w:t>
            </w:r>
            <w:r w:rsidRPr="008A4B76">
              <w:t xml:space="preserve"> atgriešanās pie studiju programmu akreditācijas, kā arī </w:t>
            </w:r>
            <w:r w:rsidR="00924C12" w:rsidRPr="008A4B76">
              <w:t xml:space="preserve">paredzot </w:t>
            </w:r>
            <w:r w:rsidR="0089724E" w:rsidRPr="008A4B76">
              <w:t xml:space="preserve">iespēju </w:t>
            </w:r>
            <w:r w:rsidRPr="008A4B76">
              <w:t>studiju programmu novērtēšan</w:t>
            </w:r>
            <w:r w:rsidR="0089724E" w:rsidRPr="008A4B76">
              <w:t>u veikt</w:t>
            </w:r>
            <w:r w:rsidRPr="008A4B76">
              <w:t xml:space="preserve"> jebkur</w:t>
            </w:r>
            <w:r w:rsidR="0089724E" w:rsidRPr="008A4B76">
              <w:t>ā</w:t>
            </w:r>
            <w:r w:rsidRPr="008A4B76">
              <w:t xml:space="preserve"> Eiropas augstākās izglītības kvalitātes nodrošināšanas reģistrā iekļaut</w:t>
            </w:r>
            <w:r w:rsidR="0089724E" w:rsidRPr="008A4B76">
              <w:t>ā</w:t>
            </w:r>
            <w:r w:rsidRPr="008A4B76">
              <w:t xml:space="preserve"> kvalitātes nodrošināšanas aģentūr</w:t>
            </w:r>
            <w:r w:rsidR="0089724E" w:rsidRPr="008A4B76">
              <w:t>ā</w:t>
            </w:r>
            <w:r w:rsidRPr="008A4B76">
              <w:t>. Vienlaikus studiju programmas tiks turpināts grupēt studiju virzienos. Lai studiju virzienu grupēšanu padarītu caurredzamāku un veidotu sasaisti ar citiem studiju programmu iedalīšanas veidiem, tiek paredzēts, ka studiju virzieni tiks grupēti saskaņā ar Latvijas izglītības klasifikācijā paredzētajām izglītības tematiskajām jomām</w:t>
            </w:r>
            <w:r w:rsidR="0089724E" w:rsidRPr="008A4B76">
              <w:t xml:space="preserve">. </w:t>
            </w:r>
          </w:p>
          <w:p w14:paraId="26276BB4" w14:textId="2562BF3C" w:rsidR="004664B6" w:rsidRPr="008A4B76" w:rsidRDefault="004664B6" w:rsidP="004664B6">
            <w:pPr>
              <w:ind w:firstLine="516"/>
              <w:jc w:val="both"/>
            </w:pPr>
            <w:r w:rsidRPr="008A4B76">
              <w:t>Paredzēts, ka minētie grozījumi stā</w:t>
            </w:r>
            <w:r w:rsidR="00924C12" w:rsidRPr="008A4B76">
              <w:t>sies</w:t>
            </w:r>
            <w:r w:rsidRPr="008A4B76">
              <w:t xml:space="preserve"> spēkā 2019.gada 1.janvārī, līdz ar to tie neradīs riskus 8.2.1. SAM uzraudzības rādītāju sasniegšanā, jo finansējuma saņēmējiem būs iespējas studiju programmu akreditācijas </w:t>
            </w:r>
            <w:r w:rsidR="00A63235" w:rsidRPr="008A4B76">
              <w:t>nodrošināšanai</w:t>
            </w:r>
            <w:r w:rsidRPr="008A4B76">
              <w:t xml:space="preserve"> izvēlēties jebkuru Eiropas augstākās izglītības kvalitātes nodrošināšanas reģistrā iekļautu kvalitātes nodrošināšanas aģentūru. </w:t>
            </w:r>
          </w:p>
          <w:p w14:paraId="515BAB09" w14:textId="77777777" w:rsidR="00040671" w:rsidRPr="008A4B76" w:rsidRDefault="00040671" w:rsidP="001628AF">
            <w:pPr>
              <w:ind w:firstLine="516"/>
              <w:jc w:val="both"/>
            </w:pPr>
            <w:r w:rsidRPr="008A4B76">
              <w:t xml:space="preserve">Šobrīd maksa par studiju virziena akreditāciju </w:t>
            </w:r>
            <w:r w:rsidR="00933730" w:rsidRPr="008A4B76">
              <w:t>i</w:t>
            </w:r>
            <w:r w:rsidRPr="008A4B76">
              <w:t xml:space="preserve">r atkarīga no studiju programmu skaita konkrētā studiju virzienā, un saskaņā ar AIC cenrādi tā ir robežās no 11 502 </w:t>
            </w:r>
            <w:proofErr w:type="spellStart"/>
            <w:r w:rsidRPr="008A4B76">
              <w:rPr>
                <w:i/>
              </w:rPr>
              <w:t>euro</w:t>
            </w:r>
            <w:proofErr w:type="spellEnd"/>
            <w:r w:rsidRPr="008A4B76">
              <w:t xml:space="preserve"> (studiju virzienā, kuram atbilst viena studiju programma) līdz  21 300 </w:t>
            </w:r>
            <w:proofErr w:type="spellStart"/>
            <w:r w:rsidRPr="008A4B76">
              <w:rPr>
                <w:i/>
              </w:rPr>
              <w:t>euro</w:t>
            </w:r>
            <w:proofErr w:type="spellEnd"/>
            <w:r w:rsidRPr="008A4B76">
              <w:t xml:space="preserve">  (studiju virzienā, kuram atbilst 30 studiju programmas un vairāk). Papildus </w:t>
            </w:r>
            <w:r w:rsidR="00DC7F82" w:rsidRPr="008A4B76">
              <w:t>norādītajām izmaksām</w:t>
            </w:r>
            <w:r w:rsidRPr="008A4B76">
              <w:t xml:space="preserve"> AII ir jākompensē akreditācijas</w:t>
            </w:r>
            <w:r w:rsidR="00DC7F82" w:rsidRPr="008A4B76">
              <w:t xml:space="preserve"> </w:t>
            </w:r>
            <w:r w:rsidRPr="008A4B76">
              <w:t xml:space="preserve">ekspertiem ekonomiski izdevīgākos ceļa </w:t>
            </w:r>
            <w:r w:rsidRPr="008A4B76">
              <w:lastRenderedPageBreak/>
              <w:t>izdevumus</w:t>
            </w:r>
            <w:r w:rsidR="00AC3225" w:rsidRPr="008A4B76">
              <w:t xml:space="preserve"> </w:t>
            </w:r>
            <w:r w:rsidR="00CE6CBE" w:rsidRPr="008A4B76">
              <w:t xml:space="preserve">ne vairāk kā 711,44 </w:t>
            </w:r>
            <w:proofErr w:type="spellStart"/>
            <w:r w:rsidR="00CE6CBE" w:rsidRPr="008A4B76">
              <w:rPr>
                <w:i/>
              </w:rPr>
              <w:t>euro</w:t>
            </w:r>
            <w:proofErr w:type="spellEnd"/>
            <w:r w:rsidR="00CE6CBE" w:rsidRPr="008A4B76">
              <w:t xml:space="preserve"> apmērā un viesnīcas izdevumus, nepārsniedzot 106,72 </w:t>
            </w:r>
            <w:proofErr w:type="spellStart"/>
            <w:r w:rsidR="00CE6CBE" w:rsidRPr="008A4B76">
              <w:rPr>
                <w:i/>
              </w:rPr>
              <w:t>euro</w:t>
            </w:r>
            <w:proofErr w:type="spellEnd"/>
            <w:r w:rsidR="00CE6CBE" w:rsidRPr="008A4B76">
              <w:t xml:space="preserve"> par nakti</w:t>
            </w:r>
            <w:r w:rsidR="00DA7552" w:rsidRPr="008A4B76">
              <w:t xml:space="preserve"> saskaņā ar pašlaik spēkā esošo AIC cenrādi</w:t>
            </w:r>
            <w:r w:rsidR="00AC3225" w:rsidRPr="008A4B76">
              <w:t>.</w:t>
            </w:r>
            <w:r w:rsidR="00CE6CBE" w:rsidRPr="008A4B76">
              <w:t xml:space="preserve"> </w:t>
            </w:r>
          </w:p>
          <w:p w14:paraId="44BD5F85" w14:textId="77777777" w:rsidR="00592DD8" w:rsidRPr="008A4B76" w:rsidRDefault="00592DD8" w:rsidP="00196380">
            <w:pPr>
              <w:ind w:firstLine="516"/>
              <w:jc w:val="both"/>
            </w:pPr>
          </w:p>
          <w:p w14:paraId="300656B2" w14:textId="39510096" w:rsidR="00C1026D" w:rsidRPr="008A4B76" w:rsidRDefault="00196380" w:rsidP="00196380">
            <w:pPr>
              <w:ind w:firstLine="516"/>
              <w:jc w:val="both"/>
            </w:pPr>
            <w:r w:rsidRPr="008A4B76">
              <w:t>8.2.1. SAM pirmās</w:t>
            </w:r>
            <w:r w:rsidR="005B3FAB" w:rsidRPr="008A4B76">
              <w:t xml:space="preserve"> un otrās</w:t>
            </w:r>
            <w:r w:rsidRPr="008A4B76">
              <w:t xml:space="preserve"> kārtas ietvaros </w:t>
            </w:r>
            <w:r w:rsidR="00F95AB7" w:rsidRPr="008A4B76">
              <w:rPr>
                <w:b/>
              </w:rPr>
              <w:t>komercdarbības atbalsta sniegšana nav paredzēta</w:t>
            </w:r>
            <w:r w:rsidR="001E705F" w:rsidRPr="008A4B76">
              <w:t xml:space="preserve">. </w:t>
            </w:r>
            <w:r w:rsidR="005B3FAB" w:rsidRPr="008A4B76">
              <w:t>Analizējot statistikas datus par AII</w:t>
            </w:r>
            <w:r w:rsidR="005B3FAB" w:rsidRPr="008A4B76">
              <w:rPr>
                <w:rStyle w:val="FootnoteReference"/>
              </w:rPr>
              <w:footnoteReference w:id="24"/>
            </w:r>
            <w:r w:rsidR="005B3FAB" w:rsidRPr="008A4B76">
              <w:t xml:space="preserve">, secināts, ka tajās ārvalsts studējošo skaits </w:t>
            </w:r>
            <w:r w:rsidR="00FD6BEE" w:rsidRPr="008A4B76">
              <w:t>pēdējos 3 pārskata gados vidēji ir tikai 8% (2014.g. – 6%, 2015.gadā</w:t>
            </w:r>
            <w:r w:rsidR="004E1D30" w:rsidRPr="008A4B76">
              <w:t xml:space="preserve"> –</w:t>
            </w:r>
            <w:r w:rsidR="00FD6BEE" w:rsidRPr="008A4B76">
              <w:t xml:space="preserve"> 8%, </w:t>
            </w:r>
            <w:r w:rsidR="00F95AB7" w:rsidRPr="008A4B76">
              <w:t>2016.gadā</w:t>
            </w:r>
            <w:r w:rsidR="004E1D30" w:rsidRPr="008A4B76">
              <w:t xml:space="preserve"> –</w:t>
            </w:r>
            <w:r w:rsidR="00F95AB7" w:rsidRPr="008A4B76">
              <w:t xml:space="preserve"> 10%</w:t>
            </w:r>
            <w:r w:rsidR="00FD6BEE" w:rsidRPr="008A4B76">
              <w:t>), kas nepārsniedz 15% robežu</w:t>
            </w:r>
            <w:r w:rsidR="004E1D30" w:rsidRPr="008A4B76">
              <w:t xml:space="preserve"> un tādējādi uzskatāms, ka atbalstam ir vienīgi vietēja mēroga ietekme saskaņā ar Eiropas Komisijas dokumenta “Komisijas paziņojums par Līguma par Eiropas Savienības darbību 107. panta 1. punktā minēto valsts atbalsta jēdzienu”</w:t>
            </w:r>
            <w:r w:rsidR="004E1D30" w:rsidRPr="008A4B76">
              <w:rPr>
                <w:rStyle w:val="FootnoteReference"/>
              </w:rPr>
              <w:footnoteReference w:id="25"/>
            </w:r>
            <w:r w:rsidR="004E1D30" w:rsidRPr="008A4B76">
              <w:t xml:space="preserve"> 196. un 197.punktu</w:t>
            </w:r>
            <w:r w:rsidR="00FD6BEE" w:rsidRPr="008A4B76">
              <w:t xml:space="preserve">. </w:t>
            </w:r>
          </w:p>
          <w:p w14:paraId="7E38BB49" w14:textId="513C6C7F" w:rsidR="00FA3E05" w:rsidRPr="008A4B76" w:rsidRDefault="008173A6" w:rsidP="00130C08">
            <w:pPr>
              <w:ind w:firstLine="516"/>
              <w:jc w:val="both"/>
              <w:rPr>
                <w:rFonts w:ascii="Open Sans" w:hAnsi="Open Sans" w:cs="Arial"/>
              </w:rPr>
            </w:pPr>
            <w:r w:rsidRPr="008A4B76">
              <w:rPr>
                <w:rFonts w:ascii="Open Sans" w:hAnsi="Open Sans" w:cs="Arial"/>
              </w:rPr>
              <w:t xml:space="preserve">Zināma veida salīdzinājumu sniedz arī pasaules augstskolu reitingi. </w:t>
            </w:r>
            <w:r w:rsidR="00C1026D" w:rsidRPr="008A4B76">
              <w:rPr>
                <w:rFonts w:ascii="Open Sans" w:hAnsi="Open Sans" w:cs="Arial"/>
              </w:rPr>
              <w:t>Šobrīd ietekmīgākie universitāšu reitingi ir "</w:t>
            </w:r>
            <w:r w:rsidR="00C1026D" w:rsidRPr="008A4B76">
              <w:rPr>
                <w:rFonts w:ascii="Open Sans" w:hAnsi="Open Sans" w:cs="Arial"/>
                <w:i/>
              </w:rPr>
              <w:t xml:space="preserve">QS </w:t>
            </w:r>
            <w:proofErr w:type="spellStart"/>
            <w:r w:rsidR="00C1026D" w:rsidRPr="008A4B76">
              <w:rPr>
                <w:rFonts w:ascii="Open Sans" w:hAnsi="Open Sans" w:cs="Arial"/>
                <w:i/>
              </w:rPr>
              <w:t>World</w:t>
            </w:r>
            <w:proofErr w:type="spellEnd"/>
            <w:r w:rsidR="00C1026D" w:rsidRPr="008A4B76">
              <w:rPr>
                <w:rFonts w:ascii="Open Sans" w:hAnsi="Open Sans" w:cs="Arial"/>
                <w:i/>
              </w:rPr>
              <w:t xml:space="preserve"> </w:t>
            </w:r>
            <w:proofErr w:type="spellStart"/>
            <w:r w:rsidR="00C1026D" w:rsidRPr="008A4B76">
              <w:rPr>
                <w:rFonts w:ascii="Open Sans" w:hAnsi="Open Sans" w:cs="Arial"/>
                <w:i/>
              </w:rPr>
              <w:t>University</w:t>
            </w:r>
            <w:proofErr w:type="spellEnd"/>
            <w:r w:rsidR="00C1026D" w:rsidRPr="008A4B76">
              <w:rPr>
                <w:rFonts w:ascii="Open Sans" w:hAnsi="Open Sans" w:cs="Arial"/>
                <w:i/>
              </w:rPr>
              <w:t xml:space="preserve"> </w:t>
            </w:r>
            <w:proofErr w:type="spellStart"/>
            <w:r w:rsidR="00C1026D" w:rsidRPr="008A4B76">
              <w:rPr>
                <w:rFonts w:ascii="Open Sans" w:hAnsi="Open Sans" w:cs="Arial"/>
                <w:i/>
              </w:rPr>
              <w:t>Rankings</w:t>
            </w:r>
            <w:proofErr w:type="spellEnd"/>
            <w:r w:rsidR="00C1026D" w:rsidRPr="008A4B76">
              <w:rPr>
                <w:rFonts w:ascii="Open Sans" w:hAnsi="Open Sans" w:cs="Arial"/>
                <w:i/>
              </w:rPr>
              <w:t>"</w:t>
            </w:r>
            <w:r w:rsidR="00C1026D" w:rsidRPr="008A4B76">
              <w:rPr>
                <w:rStyle w:val="FootnoteReference"/>
                <w:rFonts w:cs="Arial"/>
              </w:rPr>
              <w:footnoteReference w:id="26"/>
            </w:r>
            <w:r w:rsidR="00C1026D" w:rsidRPr="008A4B76">
              <w:rPr>
                <w:rFonts w:ascii="Open Sans" w:hAnsi="Open Sans" w:cs="Arial"/>
              </w:rPr>
              <w:t>, "</w:t>
            </w:r>
            <w:proofErr w:type="spellStart"/>
            <w:r w:rsidR="00C1026D" w:rsidRPr="008A4B76">
              <w:rPr>
                <w:rFonts w:ascii="Open Sans" w:hAnsi="Open Sans" w:cs="Arial"/>
                <w:i/>
              </w:rPr>
              <w:t>Times</w:t>
            </w:r>
            <w:proofErr w:type="spellEnd"/>
            <w:r w:rsidR="00C1026D" w:rsidRPr="008A4B76">
              <w:rPr>
                <w:rFonts w:ascii="Open Sans" w:hAnsi="Open Sans" w:cs="Arial"/>
                <w:i/>
              </w:rPr>
              <w:t xml:space="preserve"> </w:t>
            </w:r>
            <w:proofErr w:type="spellStart"/>
            <w:r w:rsidR="00C1026D" w:rsidRPr="008A4B76">
              <w:rPr>
                <w:rFonts w:ascii="Open Sans" w:hAnsi="Open Sans" w:cs="Arial"/>
                <w:i/>
                <w:color w:val="2B292A"/>
              </w:rPr>
              <w:t>Higher</w:t>
            </w:r>
            <w:proofErr w:type="spellEnd"/>
            <w:r w:rsidR="00C1026D" w:rsidRPr="008A4B76">
              <w:rPr>
                <w:rFonts w:ascii="Open Sans" w:hAnsi="Open Sans" w:cs="Arial"/>
                <w:i/>
                <w:color w:val="2B292A"/>
              </w:rPr>
              <w:t xml:space="preserve"> </w:t>
            </w:r>
            <w:proofErr w:type="spellStart"/>
            <w:r w:rsidR="00C1026D" w:rsidRPr="008A4B76">
              <w:rPr>
                <w:rFonts w:ascii="Open Sans" w:hAnsi="Open Sans" w:cs="Arial"/>
                <w:i/>
                <w:color w:val="2B292A"/>
              </w:rPr>
              <w:t>Education</w:t>
            </w:r>
            <w:proofErr w:type="spellEnd"/>
            <w:r w:rsidR="00C1026D" w:rsidRPr="008A4B76">
              <w:rPr>
                <w:rFonts w:ascii="Open Sans" w:hAnsi="Open Sans" w:cs="Arial"/>
                <w:i/>
                <w:color w:val="2B292A"/>
              </w:rPr>
              <w:t xml:space="preserve"> </w:t>
            </w:r>
            <w:proofErr w:type="spellStart"/>
            <w:r w:rsidR="00C1026D" w:rsidRPr="008A4B76">
              <w:rPr>
                <w:rFonts w:ascii="Open Sans" w:hAnsi="Open Sans" w:cs="Arial"/>
                <w:i/>
                <w:color w:val="2B292A"/>
              </w:rPr>
              <w:t>World</w:t>
            </w:r>
            <w:proofErr w:type="spellEnd"/>
            <w:r w:rsidR="00C1026D" w:rsidRPr="008A4B76">
              <w:rPr>
                <w:rFonts w:ascii="Open Sans" w:hAnsi="Open Sans" w:cs="Arial"/>
                <w:i/>
                <w:color w:val="2B292A"/>
              </w:rPr>
              <w:t xml:space="preserve"> </w:t>
            </w:r>
            <w:proofErr w:type="spellStart"/>
            <w:r w:rsidR="00C1026D" w:rsidRPr="008A4B76">
              <w:rPr>
                <w:rFonts w:ascii="Open Sans" w:hAnsi="Open Sans" w:cs="Arial"/>
                <w:i/>
                <w:color w:val="2B292A"/>
              </w:rPr>
              <w:t>University</w:t>
            </w:r>
            <w:proofErr w:type="spellEnd"/>
            <w:r w:rsidR="00C1026D" w:rsidRPr="008A4B76">
              <w:rPr>
                <w:rFonts w:ascii="Open Sans" w:hAnsi="Open Sans" w:cs="Arial"/>
                <w:i/>
                <w:color w:val="2B292A"/>
              </w:rPr>
              <w:t xml:space="preserve"> </w:t>
            </w:r>
            <w:proofErr w:type="spellStart"/>
            <w:r w:rsidR="00C1026D" w:rsidRPr="008A4B76">
              <w:rPr>
                <w:rFonts w:ascii="Open Sans" w:hAnsi="Open Sans" w:cs="Arial"/>
                <w:i/>
                <w:color w:val="2B292A"/>
              </w:rPr>
              <w:t>Rankings</w:t>
            </w:r>
            <w:proofErr w:type="spellEnd"/>
            <w:r w:rsidR="00C1026D" w:rsidRPr="008A4B76">
              <w:rPr>
                <w:rFonts w:ascii="Open Sans" w:hAnsi="Open Sans" w:cs="Arial"/>
                <w:i/>
              </w:rPr>
              <w:t>"</w:t>
            </w:r>
            <w:r w:rsidR="00C1026D" w:rsidRPr="008A4B76">
              <w:rPr>
                <w:rStyle w:val="FootnoteReference"/>
                <w:rFonts w:cs="Arial"/>
              </w:rPr>
              <w:footnoteReference w:id="27"/>
            </w:r>
            <w:r w:rsidR="00C1026D" w:rsidRPr="008A4B76">
              <w:rPr>
                <w:rFonts w:ascii="Open Sans" w:hAnsi="Open Sans" w:cs="Arial"/>
              </w:rPr>
              <w:t xml:space="preserve">, kā arī Šanhajas </w:t>
            </w:r>
            <w:r w:rsidR="00C1026D" w:rsidRPr="008A4B76">
              <w:rPr>
                <w:rFonts w:ascii="Open Sans" w:hAnsi="Open Sans" w:cs="Arial"/>
                <w:i/>
              </w:rPr>
              <w:t>ARWU</w:t>
            </w:r>
            <w:r w:rsidR="00C1026D" w:rsidRPr="008A4B76">
              <w:rPr>
                <w:rFonts w:ascii="Open Sans" w:hAnsi="Open Sans" w:cs="Arial"/>
              </w:rPr>
              <w:t xml:space="preserve"> (</w:t>
            </w:r>
            <w:proofErr w:type="spellStart"/>
            <w:r w:rsidR="00C1026D" w:rsidRPr="008A4B76">
              <w:rPr>
                <w:rFonts w:ascii="Open Sans" w:hAnsi="Open Sans" w:cs="Arial"/>
                <w:i/>
              </w:rPr>
              <w:t>The</w:t>
            </w:r>
            <w:proofErr w:type="spellEnd"/>
            <w:r w:rsidR="00C1026D" w:rsidRPr="008A4B76">
              <w:rPr>
                <w:rFonts w:ascii="Open Sans" w:hAnsi="Open Sans" w:cs="Arial"/>
                <w:i/>
              </w:rPr>
              <w:t xml:space="preserve"> </w:t>
            </w:r>
            <w:proofErr w:type="spellStart"/>
            <w:r w:rsidR="00C1026D" w:rsidRPr="008A4B76">
              <w:rPr>
                <w:rFonts w:ascii="Open Sans" w:hAnsi="Open Sans" w:cs="Arial"/>
                <w:i/>
              </w:rPr>
              <w:t>Academic</w:t>
            </w:r>
            <w:proofErr w:type="spellEnd"/>
            <w:r w:rsidR="00C1026D" w:rsidRPr="008A4B76">
              <w:rPr>
                <w:rFonts w:ascii="Open Sans" w:hAnsi="Open Sans" w:cs="Arial"/>
                <w:i/>
              </w:rPr>
              <w:t xml:space="preserve"> </w:t>
            </w:r>
            <w:proofErr w:type="spellStart"/>
            <w:r w:rsidR="00C1026D" w:rsidRPr="008A4B76">
              <w:rPr>
                <w:rFonts w:ascii="Open Sans" w:hAnsi="Open Sans" w:cs="Arial"/>
                <w:i/>
              </w:rPr>
              <w:t>Ranking</w:t>
            </w:r>
            <w:proofErr w:type="spellEnd"/>
            <w:r w:rsidR="00C1026D" w:rsidRPr="008A4B76">
              <w:rPr>
                <w:rFonts w:ascii="Open Sans" w:hAnsi="Open Sans" w:cs="Arial"/>
                <w:i/>
              </w:rPr>
              <w:t xml:space="preserve"> </w:t>
            </w:r>
            <w:proofErr w:type="spellStart"/>
            <w:r w:rsidR="00C1026D" w:rsidRPr="008A4B76">
              <w:rPr>
                <w:rFonts w:ascii="Open Sans" w:hAnsi="Open Sans" w:cs="Arial"/>
                <w:i/>
              </w:rPr>
              <w:t>of</w:t>
            </w:r>
            <w:proofErr w:type="spellEnd"/>
            <w:r w:rsidR="00C1026D" w:rsidRPr="008A4B76">
              <w:rPr>
                <w:rFonts w:ascii="Open Sans" w:hAnsi="Open Sans" w:cs="Arial"/>
                <w:i/>
              </w:rPr>
              <w:t xml:space="preserve"> </w:t>
            </w:r>
            <w:proofErr w:type="spellStart"/>
            <w:r w:rsidR="00C1026D" w:rsidRPr="008A4B76">
              <w:rPr>
                <w:rFonts w:ascii="Open Sans" w:hAnsi="Open Sans" w:cs="Arial"/>
                <w:i/>
              </w:rPr>
              <w:t>World</w:t>
            </w:r>
            <w:proofErr w:type="spellEnd"/>
            <w:r w:rsidR="00C1026D" w:rsidRPr="008A4B76">
              <w:rPr>
                <w:rFonts w:ascii="Open Sans" w:hAnsi="Open Sans" w:cs="Arial"/>
                <w:i/>
              </w:rPr>
              <w:t xml:space="preserve"> </w:t>
            </w:r>
            <w:proofErr w:type="spellStart"/>
            <w:r w:rsidR="00C1026D" w:rsidRPr="008A4B76">
              <w:rPr>
                <w:rFonts w:ascii="Open Sans" w:hAnsi="Open Sans" w:cs="Arial"/>
                <w:i/>
              </w:rPr>
              <w:t>Universities</w:t>
            </w:r>
            <w:proofErr w:type="spellEnd"/>
            <w:r w:rsidR="00C1026D" w:rsidRPr="008A4B76">
              <w:rPr>
                <w:rFonts w:ascii="Open Sans" w:hAnsi="Open Sans" w:cs="Arial"/>
              </w:rPr>
              <w:t>)</w:t>
            </w:r>
            <w:r w:rsidR="00C1026D" w:rsidRPr="008A4B76">
              <w:rPr>
                <w:rStyle w:val="FootnoteReference"/>
                <w:rFonts w:cs="Arial"/>
              </w:rPr>
              <w:footnoteReference w:id="28"/>
            </w:r>
            <w:r w:rsidR="00C1026D" w:rsidRPr="008A4B76">
              <w:rPr>
                <w:rFonts w:ascii="Open Sans" w:hAnsi="Open Sans" w:cs="Arial"/>
              </w:rPr>
              <w:t xml:space="preserve"> reitings. "</w:t>
            </w:r>
            <w:r w:rsidR="00C1026D" w:rsidRPr="008A4B76">
              <w:rPr>
                <w:rFonts w:ascii="Open Sans" w:hAnsi="Open Sans" w:cs="Arial"/>
                <w:i/>
              </w:rPr>
              <w:t xml:space="preserve">QS </w:t>
            </w:r>
            <w:proofErr w:type="spellStart"/>
            <w:r w:rsidR="00C1026D" w:rsidRPr="008A4B76">
              <w:rPr>
                <w:rFonts w:ascii="Open Sans" w:hAnsi="Open Sans" w:cs="Arial"/>
                <w:i/>
              </w:rPr>
              <w:t>World</w:t>
            </w:r>
            <w:proofErr w:type="spellEnd"/>
            <w:r w:rsidR="00C1026D" w:rsidRPr="008A4B76">
              <w:rPr>
                <w:rFonts w:ascii="Open Sans" w:hAnsi="Open Sans" w:cs="Arial"/>
                <w:i/>
              </w:rPr>
              <w:t xml:space="preserve"> </w:t>
            </w:r>
            <w:proofErr w:type="spellStart"/>
            <w:r w:rsidR="00C1026D" w:rsidRPr="008A4B76">
              <w:rPr>
                <w:rFonts w:ascii="Open Sans" w:hAnsi="Open Sans" w:cs="Arial"/>
                <w:i/>
              </w:rPr>
              <w:t>University</w:t>
            </w:r>
            <w:proofErr w:type="spellEnd"/>
            <w:r w:rsidR="00C1026D" w:rsidRPr="008A4B76">
              <w:rPr>
                <w:rFonts w:ascii="Open Sans" w:hAnsi="Open Sans" w:cs="Arial"/>
                <w:i/>
              </w:rPr>
              <w:t xml:space="preserve"> </w:t>
            </w:r>
            <w:proofErr w:type="spellStart"/>
            <w:r w:rsidR="00C1026D" w:rsidRPr="008A4B76">
              <w:rPr>
                <w:rFonts w:ascii="Open Sans" w:hAnsi="Open Sans" w:cs="Arial"/>
                <w:i/>
              </w:rPr>
              <w:t>Rankings</w:t>
            </w:r>
            <w:proofErr w:type="spellEnd"/>
            <w:r w:rsidR="00C1026D" w:rsidRPr="008A4B76">
              <w:rPr>
                <w:rFonts w:ascii="Open Sans" w:hAnsi="Open Sans" w:cs="Arial"/>
                <w:i/>
              </w:rPr>
              <w:t>"</w:t>
            </w:r>
            <w:r w:rsidR="00C1026D" w:rsidRPr="008A4B76">
              <w:rPr>
                <w:rFonts w:ascii="Open Sans" w:hAnsi="Open Sans" w:cs="Arial"/>
              </w:rPr>
              <w:t xml:space="preserve"> tiek veidots kopš 2004.gada, vadoties pēc vairākiem indikatoriem: pasaules mēroga reputācijas, augstskolu mācībspēku un darba devēju aptauju rezultātiem, </w:t>
            </w:r>
            <w:proofErr w:type="spellStart"/>
            <w:r w:rsidR="00C1026D" w:rsidRPr="008A4B76">
              <w:rPr>
                <w:rFonts w:ascii="Open Sans" w:hAnsi="Open Sans" w:cs="Arial"/>
              </w:rPr>
              <w:t>citējamības</w:t>
            </w:r>
            <w:proofErr w:type="spellEnd"/>
            <w:r w:rsidR="00C1026D" w:rsidRPr="008A4B76">
              <w:rPr>
                <w:rFonts w:ascii="Open Sans" w:hAnsi="Open Sans" w:cs="Arial"/>
              </w:rPr>
              <w:t>, pasniedzēju un studentu skaita attiecības, kā arī ārvalstu studentu un mācībspēku īpatsvara.  “</w:t>
            </w:r>
            <w:r w:rsidR="00C1026D" w:rsidRPr="008A4B76">
              <w:rPr>
                <w:rFonts w:ascii="Open Sans" w:hAnsi="Open Sans" w:cs="Arial"/>
                <w:i/>
              </w:rPr>
              <w:t xml:space="preserve">QS </w:t>
            </w:r>
            <w:proofErr w:type="spellStart"/>
            <w:r w:rsidR="00C1026D" w:rsidRPr="008A4B76">
              <w:rPr>
                <w:rFonts w:ascii="Open Sans" w:hAnsi="Open Sans" w:cs="Arial"/>
                <w:i/>
              </w:rPr>
              <w:t>World</w:t>
            </w:r>
            <w:proofErr w:type="spellEnd"/>
            <w:r w:rsidR="00C1026D" w:rsidRPr="008A4B76">
              <w:rPr>
                <w:rFonts w:ascii="Open Sans" w:hAnsi="Open Sans" w:cs="Arial"/>
                <w:i/>
              </w:rPr>
              <w:t xml:space="preserve"> </w:t>
            </w:r>
            <w:proofErr w:type="spellStart"/>
            <w:r w:rsidR="00C1026D" w:rsidRPr="008A4B76">
              <w:rPr>
                <w:rFonts w:ascii="Open Sans" w:hAnsi="Open Sans" w:cs="Arial"/>
                <w:i/>
              </w:rPr>
              <w:t>University</w:t>
            </w:r>
            <w:proofErr w:type="spellEnd"/>
            <w:r w:rsidR="00C1026D" w:rsidRPr="008A4B76">
              <w:rPr>
                <w:rFonts w:ascii="Open Sans" w:hAnsi="Open Sans" w:cs="Arial"/>
                <w:i/>
              </w:rPr>
              <w:t xml:space="preserve"> </w:t>
            </w:r>
            <w:proofErr w:type="spellStart"/>
            <w:r w:rsidR="00C1026D" w:rsidRPr="008A4B76">
              <w:rPr>
                <w:rFonts w:ascii="Open Sans" w:hAnsi="Open Sans" w:cs="Arial"/>
                <w:i/>
              </w:rPr>
              <w:t>Rankings</w:t>
            </w:r>
            <w:proofErr w:type="spellEnd"/>
            <w:r w:rsidR="00C1026D" w:rsidRPr="008A4B76">
              <w:rPr>
                <w:rFonts w:ascii="Open Sans" w:hAnsi="Open Sans" w:cs="Arial" w:hint="eastAsia"/>
                <w:i/>
              </w:rPr>
              <w:t>”</w:t>
            </w:r>
            <w:r w:rsidR="00C1026D" w:rsidRPr="008A4B76">
              <w:rPr>
                <w:rFonts w:ascii="Open Sans" w:hAnsi="Open Sans" w:cs="Arial"/>
              </w:rPr>
              <w:t xml:space="preserve"> 2018.gada reitingā ir iekļuvušas divas mūsu valsts universitātes - Rīgas Tehniskā universitāte, kas ierindojas 651</w:t>
            </w:r>
            <w:r w:rsidR="00F4575A" w:rsidRPr="008A4B76">
              <w:rPr>
                <w:rFonts w:ascii="Open Sans" w:hAnsi="Open Sans" w:cs="Arial"/>
              </w:rPr>
              <w:t>.</w:t>
            </w:r>
            <w:r w:rsidR="00C1026D" w:rsidRPr="008A4B76">
              <w:rPr>
                <w:rFonts w:ascii="Open Sans" w:hAnsi="Open Sans" w:cs="Arial"/>
              </w:rPr>
              <w:t xml:space="preserve"> – 700</w:t>
            </w:r>
            <w:r w:rsidR="00F4575A" w:rsidRPr="008A4B76">
              <w:rPr>
                <w:rFonts w:ascii="Open Sans" w:hAnsi="Open Sans" w:cs="Arial"/>
              </w:rPr>
              <w:t>.</w:t>
            </w:r>
            <w:r w:rsidR="00C1026D" w:rsidRPr="008A4B76">
              <w:rPr>
                <w:rFonts w:ascii="Open Sans" w:hAnsi="Open Sans" w:cs="Arial"/>
              </w:rPr>
              <w:t xml:space="preserve"> vietā, un Latvijas Universitāte, kas ierindojas 701</w:t>
            </w:r>
            <w:r w:rsidR="00F4575A" w:rsidRPr="008A4B76">
              <w:rPr>
                <w:rFonts w:ascii="Open Sans" w:hAnsi="Open Sans" w:cs="Arial"/>
              </w:rPr>
              <w:t>.</w:t>
            </w:r>
            <w:r w:rsidR="00C1026D" w:rsidRPr="008A4B76">
              <w:rPr>
                <w:rFonts w:ascii="Open Sans" w:hAnsi="Open Sans" w:cs="Arial"/>
              </w:rPr>
              <w:t xml:space="preserve"> – 750</w:t>
            </w:r>
            <w:r w:rsidR="00F4575A" w:rsidRPr="008A4B76">
              <w:rPr>
                <w:rFonts w:ascii="Open Sans" w:hAnsi="Open Sans" w:cs="Arial"/>
              </w:rPr>
              <w:t>.</w:t>
            </w:r>
            <w:r w:rsidR="00C1026D" w:rsidRPr="008A4B76">
              <w:rPr>
                <w:rFonts w:ascii="Open Sans" w:hAnsi="Open Sans" w:cs="Arial"/>
              </w:rPr>
              <w:t xml:space="preserve"> vietā. Savukārt “</w:t>
            </w:r>
            <w:proofErr w:type="spellStart"/>
            <w:r w:rsidR="00C1026D" w:rsidRPr="008A4B76">
              <w:rPr>
                <w:rFonts w:ascii="Open Sans" w:hAnsi="Open Sans" w:cs="Arial"/>
                <w:i/>
              </w:rPr>
              <w:t>Times</w:t>
            </w:r>
            <w:proofErr w:type="spellEnd"/>
            <w:r w:rsidR="00C1026D" w:rsidRPr="008A4B76">
              <w:rPr>
                <w:rFonts w:ascii="Open Sans" w:hAnsi="Open Sans" w:cs="Arial"/>
                <w:i/>
              </w:rPr>
              <w:t xml:space="preserve"> </w:t>
            </w:r>
            <w:proofErr w:type="spellStart"/>
            <w:r w:rsidR="00C1026D" w:rsidRPr="008A4B76">
              <w:rPr>
                <w:rFonts w:ascii="Open Sans" w:hAnsi="Open Sans" w:cs="Arial"/>
                <w:i/>
              </w:rPr>
              <w:t>Higher</w:t>
            </w:r>
            <w:proofErr w:type="spellEnd"/>
            <w:r w:rsidR="00C1026D" w:rsidRPr="008A4B76">
              <w:rPr>
                <w:rFonts w:ascii="Open Sans" w:hAnsi="Open Sans" w:cs="Arial"/>
                <w:i/>
              </w:rPr>
              <w:t xml:space="preserve"> </w:t>
            </w:r>
            <w:proofErr w:type="spellStart"/>
            <w:r w:rsidR="00C1026D" w:rsidRPr="008A4B76">
              <w:rPr>
                <w:rFonts w:ascii="Open Sans" w:hAnsi="Open Sans" w:cs="Arial"/>
                <w:i/>
              </w:rPr>
              <w:t>Education</w:t>
            </w:r>
            <w:proofErr w:type="spellEnd"/>
            <w:r w:rsidR="00C1026D" w:rsidRPr="008A4B76">
              <w:rPr>
                <w:rFonts w:ascii="Open Sans" w:hAnsi="Open Sans" w:cs="Arial"/>
                <w:i/>
              </w:rPr>
              <w:t>"</w:t>
            </w:r>
            <w:r w:rsidR="00C1026D" w:rsidRPr="008A4B76">
              <w:rPr>
                <w:rFonts w:ascii="Open Sans" w:hAnsi="Open Sans" w:cs="Arial"/>
              </w:rPr>
              <w:t xml:space="preserve"> 201</w:t>
            </w:r>
            <w:r w:rsidR="00C01326" w:rsidRPr="008A4B76">
              <w:rPr>
                <w:rFonts w:ascii="Open Sans" w:hAnsi="Open Sans" w:cs="Arial"/>
              </w:rPr>
              <w:t>7</w:t>
            </w:r>
            <w:r w:rsidR="00C1026D" w:rsidRPr="008A4B76">
              <w:rPr>
                <w:rFonts w:ascii="Open Sans" w:hAnsi="Open Sans" w:cs="Arial"/>
              </w:rPr>
              <w:t>.gada reitingā Latvijas Universitāte un Rīgas Tehniskā universitāte ierindojas 801</w:t>
            </w:r>
            <w:r w:rsidR="00F4575A" w:rsidRPr="008A4B76">
              <w:rPr>
                <w:rFonts w:ascii="Open Sans" w:hAnsi="Open Sans" w:cs="Arial"/>
              </w:rPr>
              <w:t>.</w:t>
            </w:r>
            <w:r w:rsidR="00C1026D" w:rsidRPr="008A4B76">
              <w:rPr>
                <w:rFonts w:ascii="Open Sans" w:hAnsi="Open Sans" w:cs="Arial"/>
              </w:rPr>
              <w:t xml:space="preserve"> – 1000</w:t>
            </w:r>
            <w:r w:rsidR="00F4575A" w:rsidRPr="008A4B76">
              <w:rPr>
                <w:rFonts w:ascii="Open Sans" w:hAnsi="Open Sans" w:cs="Arial"/>
              </w:rPr>
              <w:t>.</w:t>
            </w:r>
            <w:r w:rsidR="00C1026D" w:rsidRPr="008A4B76">
              <w:rPr>
                <w:rFonts w:ascii="Open Sans" w:hAnsi="Open Sans" w:cs="Arial"/>
              </w:rPr>
              <w:t xml:space="preserve"> vietā, bet Šanhajas ARWU reitingā nav atrodama neviena no Latvijas augstskolām.</w:t>
            </w:r>
            <w:r w:rsidR="00992AC2" w:rsidRPr="008A4B76">
              <w:rPr>
                <w:rFonts w:ascii="Open Sans" w:hAnsi="Open Sans" w:cs="Arial"/>
              </w:rPr>
              <w:t xml:space="preserve"> </w:t>
            </w:r>
            <w:r w:rsidRPr="008A4B76">
              <w:rPr>
                <w:rFonts w:ascii="Open Sans" w:hAnsi="Open Sans" w:cs="Arial"/>
              </w:rPr>
              <w:t xml:space="preserve">Šāds augstskolu salīdzinošais vērtējums liecina par Latvijas AII kopumā </w:t>
            </w:r>
            <w:r w:rsidR="00992AC2" w:rsidRPr="008A4B76">
              <w:rPr>
                <w:rFonts w:ascii="Open Sans" w:hAnsi="Open Sans" w:cs="Arial"/>
              </w:rPr>
              <w:t>vietēja mēroga ietekm</w:t>
            </w:r>
            <w:r w:rsidRPr="008A4B76">
              <w:rPr>
                <w:rFonts w:ascii="Open Sans" w:hAnsi="Open Sans" w:cs="Arial"/>
              </w:rPr>
              <w:t>i</w:t>
            </w:r>
            <w:r w:rsidR="00992AC2" w:rsidRPr="008A4B76">
              <w:rPr>
                <w:rFonts w:ascii="Open Sans" w:hAnsi="Open Sans" w:cs="Arial"/>
              </w:rPr>
              <w:t>.</w:t>
            </w:r>
          </w:p>
          <w:p w14:paraId="6175CA71" w14:textId="77777777" w:rsidR="004E1D30" w:rsidRPr="008A4B76" w:rsidRDefault="004E1D30" w:rsidP="00FA3E05">
            <w:pPr>
              <w:ind w:firstLine="516"/>
              <w:jc w:val="both"/>
            </w:pPr>
            <w:r w:rsidRPr="008A4B76">
              <w:t>Sadarbības partneri 8.2.1.SAM ietvaros var būt AII un zinātniskās institūcijas. Attiecībā uz sadarbības AII attiecināmi tie paši nosacījumi kā uz projekta iesniedzējiem</w:t>
            </w:r>
            <w:r w:rsidR="00983B8A" w:rsidRPr="008A4B76">
              <w:t xml:space="preserve">, savukārt sadarbības zinātniskās institūcijas projektos iesaistīsies ar to cilvēkresursiem kā projekta īstenošanas personāls, personālam sedzot faktiskās izmaksas, </w:t>
            </w:r>
            <w:r w:rsidR="004B0639" w:rsidRPr="008A4B76">
              <w:t xml:space="preserve">un </w:t>
            </w:r>
            <w:r w:rsidR="00983B8A" w:rsidRPr="008A4B76">
              <w:t>tādējādi neradot projektos iesaistītajām zinātniskajām institūcijām ekonomiskās priekšrocības.</w:t>
            </w:r>
          </w:p>
          <w:p w14:paraId="7EE432AE" w14:textId="081255BC" w:rsidR="005B3FAB" w:rsidRPr="002F2538" w:rsidRDefault="00F95AB7">
            <w:pPr>
              <w:ind w:firstLine="516"/>
              <w:jc w:val="both"/>
            </w:pPr>
            <w:r w:rsidRPr="008A4B76">
              <w:t xml:space="preserve">Līdz ar to var secināt, ka 8.2.1. SAM ietvaros sniegtajam atbalstam  </w:t>
            </w:r>
            <w:r w:rsidR="00130C08" w:rsidRPr="008A4B76">
              <w:t>AII</w:t>
            </w:r>
            <w:r w:rsidR="00983B8A" w:rsidRPr="008A4B76">
              <w:t xml:space="preserve"> (projektu iesniedzējiem un sadarbības partneriem) </w:t>
            </w:r>
            <w:r w:rsidRPr="008A4B76">
              <w:t>nav ietekmes uz  konkurenci un tirdzniecību Eiropas Savienības iekšējā tirgū</w:t>
            </w:r>
            <w:r w:rsidR="00983B8A" w:rsidRPr="008A4B76">
              <w:t>, bet sadarbības partneriem</w:t>
            </w:r>
            <w:r w:rsidR="00130C08" w:rsidRPr="008A4B76">
              <w:t xml:space="preserve"> </w:t>
            </w:r>
            <w:r w:rsidR="00130C08" w:rsidRPr="008A4B76">
              <w:rPr>
                <w:rFonts w:ascii="Open Sans" w:hAnsi="Open Sans" w:cs="Arial"/>
              </w:rPr>
              <w:t>–</w:t>
            </w:r>
            <w:r w:rsidR="00983B8A" w:rsidRPr="008A4B76">
              <w:t xml:space="preserve"> zinātniskajām institūcijām netiek radītas </w:t>
            </w:r>
            <w:r w:rsidR="00983B8A" w:rsidRPr="008A4B76">
              <w:lastRenderedPageBreak/>
              <w:t>ekonomiskās priekšrocības, kā rezultātā</w:t>
            </w:r>
            <w:r w:rsidRPr="008A4B76">
              <w:t xml:space="preserve"> neizpildās visas Komercdarbības atbalsta kontroles likuma 5.pantā minētās valsts atbalsta pazīmes un tiks īstenoti </w:t>
            </w:r>
            <w:r w:rsidR="002F2538" w:rsidRPr="002F2538">
              <w:rPr>
                <w:b/>
              </w:rPr>
              <w:t>projekti, kas nav saistīti ar saimnieciskās darbības veikšanu vai nekvalificējas kā komercdarbības atbalsts.</w:t>
            </w:r>
          </w:p>
          <w:p w14:paraId="4491EF62" w14:textId="77777777" w:rsidR="00D10691" w:rsidRPr="008A4B76" w:rsidRDefault="00D10691">
            <w:pPr>
              <w:tabs>
                <w:tab w:val="left" w:pos="567"/>
                <w:tab w:val="left" w:pos="2884"/>
              </w:tabs>
              <w:ind w:firstLine="567"/>
              <w:jc w:val="both"/>
            </w:pPr>
          </w:p>
          <w:p w14:paraId="2D99649C" w14:textId="77777777" w:rsidR="005B3840" w:rsidRPr="008A4B76" w:rsidRDefault="005B3840" w:rsidP="005B3840">
            <w:pPr>
              <w:tabs>
                <w:tab w:val="left" w:pos="567"/>
                <w:tab w:val="left" w:pos="2884"/>
              </w:tabs>
              <w:ind w:firstLine="567"/>
              <w:jc w:val="both"/>
            </w:pPr>
            <w:r w:rsidRPr="008A4B76">
              <w:t xml:space="preserve">8.2.1. SAM ietvaros plānotās ESF investīcijas nodrošina </w:t>
            </w:r>
            <w:r w:rsidRPr="008A4B76">
              <w:rPr>
                <w:b/>
              </w:rPr>
              <w:t>sinerģiju</w:t>
            </w:r>
            <w:r w:rsidRPr="008A4B76">
              <w:t xml:space="preserve"> un papildinātību ar vairākiem darbības programmas „Izaugsme un nodarbinātība” prioritārā virziena “Izglītības, prasmes un mūžizglītības” specifiskajiem atbalsta mērķiem, kas vērsti uz uzlabojumiem augstākajā izglītībā un </w:t>
            </w:r>
            <w:r w:rsidR="00D3763D" w:rsidRPr="008A4B76">
              <w:t>kuru primārā mērķa grupa ir AII</w:t>
            </w:r>
            <w:r w:rsidRPr="008A4B76">
              <w:t xml:space="preserve">, tai skaitā koledžas: </w:t>
            </w:r>
          </w:p>
          <w:p w14:paraId="70B57EA0" w14:textId="77777777" w:rsidR="00927887" w:rsidRPr="008A4B76" w:rsidRDefault="00927887" w:rsidP="007D18FC">
            <w:pPr>
              <w:pStyle w:val="CCBullet"/>
              <w:numPr>
                <w:ilvl w:val="0"/>
                <w:numId w:val="27"/>
              </w:numPr>
              <w:spacing w:before="0" w:after="0"/>
              <w:rPr>
                <w:rFonts w:ascii="Times New Roman" w:hAnsi="Times New Roman"/>
                <w:sz w:val="24"/>
                <w:szCs w:val="24"/>
              </w:rPr>
            </w:pPr>
            <w:r w:rsidRPr="008A4B76">
              <w:rPr>
                <w:rFonts w:ascii="Times New Roman" w:hAnsi="Times New Roman"/>
                <w:b/>
                <w:sz w:val="24"/>
                <w:szCs w:val="24"/>
              </w:rPr>
              <w:t>8.1.1. SAM</w:t>
            </w:r>
            <w:r w:rsidRPr="008A4B76">
              <w:rPr>
                <w:rFonts w:ascii="Times New Roman" w:hAnsi="Times New Roman"/>
                <w:sz w:val="24"/>
                <w:szCs w:val="24"/>
              </w:rPr>
              <w:t xml:space="preserve"> “Palielināt modernizēto STEM, tajā skaitā medicīnas un radošās industrijas, studiju programmu skaitu”</w:t>
            </w:r>
            <w:r w:rsidR="00A324A2" w:rsidRPr="008A4B76">
              <w:rPr>
                <w:rFonts w:ascii="Times New Roman" w:hAnsi="Times New Roman"/>
                <w:sz w:val="24"/>
                <w:szCs w:val="24"/>
              </w:rPr>
              <w:t xml:space="preserve"> (turpmāk – 8.1.1. SAM), kā arī </w:t>
            </w:r>
            <w:r w:rsidRPr="008A4B76">
              <w:rPr>
                <w:rFonts w:ascii="Times New Roman" w:hAnsi="Times New Roman"/>
                <w:b/>
                <w:sz w:val="24"/>
                <w:szCs w:val="24"/>
              </w:rPr>
              <w:t>8.1.4. SAM</w:t>
            </w:r>
            <w:r w:rsidRPr="008A4B76">
              <w:rPr>
                <w:rFonts w:ascii="Times New Roman" w:hAnsi="Times New Roman"/>
                <w:sz w:val="24"/>
                <w:szCs w:val="24"/>
              </w:rPr>
              <w:t xml:space="preserve"> “Uzlabot pirmā līmeņa profesionālās augstākās izglītības STEM, t.sk. medicīnas un radošās industrijas, studiju mācību vidi koledžās”</w:t>
            </w:r>
            <w:r w:rsidR="00A324A2" w:rsidRPr="008A4B76">
              <w:rPr>
                <w:rFonts w:ascii="Times New Roman" w:hAnsi="Times New Roman"/>
                <w:sz w:val="24"/>
                <w:szCs w:val="24"/>
              </w:rPr>
              <w:t xml:space="preserve"> (turpmāk – </w:t>
            </w:r>
            <w:r w:rsidR="00956661" w:rsidRPr="008A4B76">
              <w:rPr>
                <w:rFonts w:ascii="Times New Roman" w:hAnsi="Times New Roman"/>
                <w:sz w:val="24"/>
                <w:szCs w:val="24"/>
              </w:rPr>
              <w:t>8</w:t>
            </w:r>
            <w:r w:rsidR="00A324A2" w:rsidRPr="008A4B76">
              <w:rPr>
                <w:rFonts w:ascii="Times New Roman" w:hAnsi="Times New Roman"/>
                <w:sz w:val="24"/>
                <w:szCs w:val="24"/>
              </w:rPr>
              <w:t>.1.4. SAM). 8.1.1. SAM un 8.</w:t>
            </w:r>
            <w:r w:rsidR="00F72E15" w:rsidRPr="008A4B76">
              <w:rPr>
                <w:rFonts w:ascii="Times New Roman" w:hAnsi="Times New Roman"/>
                <w:sz w:val="24"/>
                <w:szCs w:val="24"/>
              </w:rPr>
              <w:t>1</w:t>
            </w:r>
            <w:r w:rsidR="00A324A2" w:rsidRPr="008A4B76">
              <w:rPr>
                <w:rFonts w:ascii="Times New Roman" w:hAnsi="Times New Roman"/>
                <w:sz w:val="24"/>
                <w:szCs w:val="24"/>
              </w:rPr>
              <w:t>.4. SAM īstenošanas rezultātā tiks modernizēta augstskolu un koledžu  infrastruktūra, kas ir viens no priekšnoteikumiem kvalitatīvu studiju programmu izveid</w:t>
            </w:r>
            <w:r w:rsidR="00874E85" w:rsidRPr="008A4B76">
              <w:rPr>
                <w:rFonts w:ascii="Times New Roman" w:hAnsi="Times New Roman"/>
                <w:sz w:val="24"/>
                <w:szCs w:val="24"/>
              </w:rPr>
              <w:t xml:space="preserve">ei </w:t>
            </w:r>
            <w:r w:rsidR="00A324A2" w:rsidRPr="008A4B76">
              <w:rPr>
                <w:rFonts w:ascii="Times New Roman" w:hAnsi="Times New Roman"/>
                <w:sz w:val="24"/>
                <w:szCs w:val="24"/>
              </w:rPr>
              <w:t>un īstenošan</w:t>
            </w:r>
            <w:r w:rsidR="00874E85" w:rsidRPr="008A4B76">
              <w:rPr>
                <w:rFonts w:ascii="Times New Roman" w:hAnsi="Times New Roman"/>
                <w:sz w:val="24"/>
                <w:szCs w:val="24"/>
              </w:rPr>
              <w:t>ai</w:t>
            </w:r>
            <w:r w:rsidR="00A324A2" w:rsidRPr="008A4B76">
              <w:rPr>
                <w:rFonts w:ascii="Times New Roman" w:hAnsi="Times New Roman"/>
                <w:sz w:val="24"/>
                <w:szCs w:val="24"/>
              </w:rPr>
              <w:t xml:space="preserve">.  </w:t>
            </w:r>
          </w:p>
          <w:p w14:paraId="7DC7A4AD" w14:textId="77777777" w:rsidR="00927887" w:rsidRPr="008A4B76" w:rsidRDefault="00927887" w:rsidP="007D18FC">
            <w:pPr>
              <w:pStyle w:val="CCBullet"/>
              <w:numPr>
                <w:ilvl w:val="0"/>
                <w:numId w:val="27"/>
              </w:numPr>
              <w:spacing w:before="0" w:after="0"/>
              <w:rPr>
                <w:rFonts w:ascii="Times New Roman" w:hAnsi="Times New Roman"/>
                <w:sz w:val="24"/>
                <w:szCs w:val="24"/>
              </w:rPr>
            </w:pPr>
            <w:r w:rsidRPr="008A4B76">
              <w:rPr>
                <w:rFonts w:ascii="Times New Roman" w:hAnsi="Times New Roman"/>
                <w:b/>
                <w:sz w:val="24"/>
                <w:szCs w:val="24"/>
              </w:rPr>
              <w:t>8.2.2. SAM</w:t>
            </w:r>
            <w:r w:rsidRPr="008A4B76">
              <w:rPr>
                <w:rFonts w:ascii="Times New Roman" w:hAnsi="Times New Roman"/>
                <w:sz w:val="24"/>
                <w:szCs w:val="24"/>
              </w:rPr>
              <w:t xml:space="preserve"> “Stiprināt augstākās izglītības institūciju akadēmisko personālu stratēģiskās specializācijas jomās”</w:t>
            </w:r>
            <w:r w:rsidR="00A324A2" w:rsidRPr="008A4B76">
              <w:rPr>
                <w:rFonts w:ascii="Times New Roman" w:hAnsi="Times New Roman"/>
                <w:sz w:val="24"/>
                <w:szCs w:val="24"/>
              </w:rPr>
              <w:t xml:space="preserve"> (turpmāk – 8.2.2. SAM). 8.2.2. SAM ietvaros paredzēts </w:t>
            </w:r>
            <w:r w:rsidR="00E83F56" w:rsidRPr="008A4B76">
              <w:rPr>
                <w:rFonts w:ascii="Times New Roman" w:hAnsi="Times New Roman"/>
                <w:sz w:val="24"/>
                <w:szCs w:val="24"/>
              </w:rPr>
              <w:t xml:space="preserve">finansējums </w:t>
            </w:r>
            <w:r w:rsidR="00A324A2" w:rsidRPr="008A4B76">
              <w:rPr>
                <w:rFonts w:ascii="Times New Roman" w:hAnsi="Times New Roman"/>
                <w:sz w:val="24"/>
                <w:szCs w:val="24"/>
              </w:rPr>
              <w:t xml:space="preserve">ārvalsts pasniedzēju piesaistei darbam AII Latvijā, </w:t>
            </w:r>
            <w:r w:rsidR="00E83F56" w:rsidRPr="008A4B76">
              <w:rPr>
                <w:rFonts w:ascii="Times New Roman" w:hAnsi="Times New Roman"/>
                <w:sz w:val="24"/>
                <w:szCs w:val="24"/>
              </w:rPr>
              <w:t xml:space="preserve">finansējums </w:t>
            </w:r>
            <w:r w:rsidR="00A324A2" w:rsidRPr="008A4B76">
              <w:rPr>
                <w:rFonts w:ascii="Times New Roman" w:hAnsi="Times New Roman"/>
                <w:sz w:val="24"/>
                <w:szCs w:val="24"/>
              </w:rPr>
              <w:t xml:space="preserve">akadēmiskā personāla kompetenču un prasmju pilnveidei, t.sk. ES valodu apguvei, jauno pasniedzēju piesaistei, </w:t>
            </w:r>
            <w:r w:rsidR="00E83F56" w:rsidRPr="008A4B76">
              <w:rPr>
                <w:rFonts w:ascii="Times New Roman" w:hAnsi="Times New Roman"/>
                <w:sz w:val="24"/>
                <w:szCs w:val="24"/>
              </w:rPr>
              <w:t xml:space="preserve">veicinot </w:t>
            </w:r>
            <w:r w:rsidR="00A324A2" w:rsidRPr="008A4B76">
              <w:rPr>
                <w:rFonts w:ascii="Times New Roman" w:hAnsi="Times New Roman"/>
                <w:sz w:val="24"/>
                <w:szCs w:val="24"/>
              </w:rPr>
              <w:t>doktorantu akadēmisko darbu AII. Minēt</w:t>
            </w:r>
            <w:r w:rsidR="00E83F56" w:rsidRPr="008A4B76">
              <w:rPr>
                <w:rFonts w:ascii="Times New Roman" w:hAnsi="Times New Roman"/>
                <w:sz w:val="24"/>
                <w:szCs w:val="24"/>
              </w:rPr>
              <w:t>ie</w:t>
            </w:r>
            <w:r w:rsidR="00A324A2" w:rsidRPr="008A4B76">
              <w:rPr>
                <w:rFonts w:ascii="Times New Roman" w:hAnsi="Times New Roman"/>
                <w:sz w:val="24"/>
                <w:szCs w:val="24"/>
              </w:rPr>
              <w:t xml:space="preserve"> </w:t>
            </w:r>
            <w:r w:rsidR="00E83F56" w:rsidRPr="008A4B76">
              <w:rPr>
                <w:rFonts w:ascii="Times New Roman" w:hAnsi="Times New Roman"/>
                <w:sz w:val="24"/>
                <w:szCs w:val="24"/>
              </w:rPr>
              <w:t xml:space="preserve">stimuli </w:t>
            </w:r>
            <w:r w:rsidR="00A324A2" w:rsidRPr="008A4B76">
              <w:rPr>
                <w:rFonts w:ascii="Times New Roman" w:hAnsi="Times New Roman"/>
                <w:sz w:val="24"/>
                <w:szCs w:val="24"/>
              </w:rPr>
              <w:t xml:space="preserve">vistiešākā veidā </w:t>
            </w:r>
            <w:r w:rsidR="003346B2" w:rsidRPr="008A4B76">
              <w:rPr>
                <w:rFonts w:ascii="Times New Roman" w:hAnsi="Times New Roman"/>
                <w:sz w:val="24"/>
                <w:szCs w:val="24"/>
              </w:rPr>
              <w:t xml:space="preserve">veicinās 8.2.1. SAM sekmīgu īstenošanu, jo kompetents akadēmiskais personāls, kas spēj vadīt studiju kursus ES valodās, ir viens no priekšnoteikumiem </w:t>
            </w:r>
            <w:r w:rsidR="0065248E" w:rsidRPr="008A4B76">
              <w:rPr>
                <w:rFonts w:ascii="Times New Roman" w:hAnsi="Times New Roman"/>
                <w:sz w:val="24"/>
                <w:szCs w:val="24"/>
              </w:rPr>
              <w:t>kvalitatīvu studiju programmu ES valodās un kopīgo doktorantūras studiju programmu izveidei un īstenošanai.</w:t>
            </w:r>
            <w:r w:rsidR="00A324A2" w:rsidRPr="008A4B76">
              <w:rPr>
                <w:rFonts w:ascii="Times New Roman" w:hAnsi="Times New Roman"/>
                <w:sz w:val="24"/>
                <w:szCs w:val="24"/>
              </w:rPr>
              <w:t xml:space="preserve"> </w:t>
            </w:r>
          </w:p>
          <w:p w14:paraId="6F05780E" w14:textId="77777777" w:rsidR="00927887" w:rsidRPr="008A4B76" w:rsidRDefault="00927887" w:rsidP="007D18FC">
            <w:pPr>
              <w:pStyle w:val="CCBullet"/>
              <w:numPr>
                <w:ilvl w:val="0"/>
                <w:numId w:val="27"/>
              </w:numPr>
              <w:spacing w:before="0" w:after="0"/>
              <w:rPr>
                <w:rFonts w:ascii="Times New Roman" w:hAnsi="Times New Roman"/>
                <w:sz w:val="24"/>
                <w:szCs w:val="24"/>
              </w:rPr>
            </w:pPr>
            <w:r w:rsidRPr="008A4B76">
              <w:rPr>
                <w:rFonts w:ascii="Times New Roman" w:hAnsi="Times New Roman"/>
                <w:b/>
                <w:sz w:val="24"/>
                <w:szCs w:val="24"/>
              </w:rPr>
              <w:t>8.2.3. SAM</w:t>
            </w:r>
            <w:r w:rsidRPr="008A4B76">
              <w:rPr>
                <w:rFonts w:ascii="Times New Roman" w:hAnsi="Times New Roman"/>
                <w:sz w:val="24"/>
                <w:szCs w:val="24"/>
              </w:rPr>
              <w:t xml:space="preserve"> “Nodrošināt labāku pārvaldību augstākās izglītības institūcijās”</w:t>
            </w:r>
            <w:r w:rsidR="00874E85" w:rsidRPr="008A4B76">
              <w:rPr>
                <w:rFonts w:ascii="Times New Roman" w:hAnsi="Times New Roman"/>
                <w:sz w:val="24"/>
                <w:szCs w:val="24"/>
              </w:rPr>
              <w:t xml:space="preserve"> (turpmāk – 8.2.3. SAM)</w:t>
            </w:r>
            <w:r w:rsidR="00DE5919" w:rsidRPr="008A4B76">
              <w:rPr>
                <w:rFonts w:ascii="Times New Roman" w:hAnsi="Times New Roman"/>
                <w:sz w:val="24"/>
                <w:szCs w:val="24"/>
              </w:rPr>
              <w:t xml:space="preserve">, kura </w:t>
            </w:r>
            <w:r w:rsidR="00A324A2" w:rsidRPr="008A4B76">
              <w:rPr>
                <w:rFonts w:ascii="Times New Roman" w:hAnsi="Times New Roman"/>
                <w:sz w:val="24"/>
                <w:szCs w:val="24"/>
              </w:rPr>
              <w:t xml:space="preserve">atbalstāmajās darbībās ir paredzēta arī </w:t>
            </w:r>
            <w:r w:rsidR="00DE5919" w:rsidRPr="008A4B76">
              <w:rPr>
                <w:rFonts w:ascii="Times New Roman" w:hAnsi="Times New Roman"/>
                <w:sz w:val="24"/>
                <w:szCs w:val="24"/>
              </w:rPr>
              <w:t xml:space="preserve">studiju programmu satura pārstrukturizācija un aktualizācija, studiju programmu konsolidācija. </w:t>
            </w:r>
            <w:r w:rsidR="00874E85" w:rsidRPr="008A4B76">
              <w:rPr>
                <w:rFonts w:ascii="Times New Roman" w:hAnsi="Times New Roman"/>
                <w:sz w:val="24"/>
                <w:szCs w:val="24"/>
              </w:rPr>
              <w:t xml:space="preserve">Vienlaicīga </w:t>
            </w:r>
            <w:r w:rsidR="00533593" w:rsidRPr="008A4B76">
              <w:rPr>
                <w:rFonts w:ascii="Times New Roman" w:hAnsi="Times New Roman"/>
                <w:sz w:val="24"/>
                <w:szCs w:val="24"/>
              </w:rPr>
              <w:t xml:space="preserve">un saskaņota </w:t>
            </w:r>
            <w:r w:rsidR="00874E85" w:rsidRPr="008A4B76">
              <w:rPr>
                <w:rFonts w:ascii="Times New Roman" w:hAnsi="Times New Roman"/>
                <w:sz w:val="24"/>
                <w:szCs w:val="24"/>
              </w:rPr>
              <w:t>8.2.1.</w:t>
            </w:r>
            <w:r w:rsidR="009A5892" w:rsidRPr="008A4B76">
              <w:rPr>
                <w:rFonts w:ascii="Times New Roman" w:hAnsi="Times New Roman"/>
                <w:sz w:val="24"/>
                <w:szCs w:val="24"/>
              </w:rPr>
              <w:t xml:space="preserve"> SAM</w:t>
            </w:r>
            <w:r w:rsidR="00874E85" w:rsidRPr="008A4B76">
              <w:rPr>
                <w:rFonts w:ascii="Times New Roman" w:hAnsi="Times New Roman"/>
                <w:sz w:val="24"/>
                <w:szCs w:val="24"/>
              </w:rPr>
              <w:t xml:space="preserve"> un 8.2.3. SAM īstenošana nodrošinās</w:t>
            </w:r>
            <w:r w:rsidR="00956661" w:rsidRPr="008A4B76">
              <w:rPr>
                <w:rFonts w:ascii="Times New Roman" w:hAnsi="Times New Roman"/>
                <w:sz w:val="24"/>
                <w:szCs w:val="24"/>
              </w:rPr>
              <w:t xml:space="preserve">, ka līdz 2023.gadam Latvijas AII piedāvās kvalitatīvas, modernas un konkurētspējīgas studiju programmas, </w:t>
            </w:r>
            <w:r w:rsidR="001519F3" w:rsidRPr="008A4B76">
              <w:rPr>
                <w:rFonts w:ascii="Times New Roman" w:hAnsi="Times New Roman"/>
                <w:sz w:val="24"/>
                <w:szCs w:val="24"/>
              </w:rPr>
              <w:t>kuru</w:t>
            </w:r>
            <w:r w:rsidR="0064691B" w:rsidRPr="008A4B76">
              <w:rPr>
                <w:rFonts w:ascii="Times New Roman" w:hAnsi="Times New Roman"/>
                <w:sz w:val="24"/>
                <w:szCs w:val="24"/>
              </w:rPr>
              <w:t xml:space="preserve"> skaits </w:t>
            </w:r>
            <w:r w:rsidR="00197FB3" w:rsidRPr="008A4B76">
              <w:rPr>
                <w:rFonts w:ascii="Times New Roman" w:hAnsi="Times New Roman"/>
                <w:sz w:val="24"/>
                <w:szCs w:val="24"/>
              </w:rPr>
              <w:t xml:space="preserve">ir samērojams ar studējošo skaitu </w:t>
            </w:r>
            <w:r w:rsidR="0064691B" w:rsidRPr="008A4B76">
              <w:rPr>
                <w:rFonts w:ascii="Times New Roman" w:hAnsi="Times New Roman"/>
                <w:sz w:val="24"/>
                <w:szCs w:val="24"/>
              </w:rPr>
              <w:t>un to</w:t>
            </w:r>
            <w:r w:rsidR="001519F3" w:rsidRPr="008A4B76">
              <w:rPr>
                <w:rFonts w:ascii="Times New Roman" w:hAnsi="Times New Roman"/>
                <w:sz w:val="24"/>
                <w:szCs w:val="24"/>
              </w:rPr>
              <w:t xml:space="preserve"> īstenošana balstās uz resursu koplietošanu, un tās </w:t>
            </w:r>
            <w:r w:rsidR="00956661" w:rsidRPr="008A4B76">
              <w:rPr>
                <w:rFonts w:ascii="Times New Roman" w:hAnsi="Times New Roman"/>
                <w:sz w:val="24"/>
                <w:szCs w:val="24"/>
              </w:rPr>
              <w:t>ir pievilcīgas ne tikai vietējiem, bet arī ārvalstu studējošiem.</w:t>
            </w:r>
          </w:p>
          <w:p w14:paraId="3FDBB0FD" w14:textId="77777777" w:rsidR="00927887" w:rsidRPr="008A4B76" w:rsidRDefault="00927887" w:rsidP="007D18FC">
            <w:pPr>
              <w:pStyle w:val="CCBullet"/>
              <w:numPr>
                <w:ilvl w:val="0"/>
                <w:numId w:val="27"/>
              </w:numPr>
              <w:spacing w:before="0" w:after="0"/>
              <w:rPr>
                <w:rFonts w:ascii="Times New Roman" w:hAnsi="Times New Roman"/>
                <w:sz w:val="24"/>
                <w:szCs w:val="24"/>
              </w:rPr>
            </w:pPr>
            <w:r w:rsidRPr="008A4B76">
              <w:rPr>
                <w:rFonts w:ascii="Times New Roman" w:hAnsi="Times New Roman"/>
                <w:b/>
                <w:sz w:val="24"/>
                <w:szCs w:val="24"/>
              </w:rPr>
              <w:t>8.2.4. SAM</w:t>
            </w:r>
            <w:r w:rsidRPr="008A4B76">
              <w:rPr>
                <w:rFonts w:ascii="Times New Roman" w:hAnsi="Times New Roman"/>
                <w:sz w:val="24"/>
                <w:szCs w:val="24"/>
              </w:rPr>
              <w:t xml:space="preserve"> “Nodrošināt atbalstu EQAR aģentūrai izvirzīto prasību izpildei”</w:t>
            </w:r>
            <w:r w:rsidR="008331C8" w:rsidRPr="008A4B76">
              <w:rPr>
                <w:rFonts w:ascii="Times New Roman" w:hAnsi="Times New Roman"/>
                <w:sz w:val="24"/>
                <w:szCs w:val="24"/>
              </w:rPr>
              <w:t xml:space="preserve"> (turpmāk – 8.2.</w:t>
            </w:r>
            <w:r w:rsidR="00874E85" w:rsidRPr="008A4B76">
              <w:rPr>
                <w:rFonts w:ascii="Times New Roman" w:hAnsi="Times New Roman"/>
                <w:sz w:val="24"/>
                <w:szCs w:val="24"/>
              </w:rPr>
              <w:t>4</w:t>
            </w:r>
            <w:r w:rsidR="008331C8" w:rsidRPr="008A4B76">
              <w:rPr>
                <w:rFonts w:ascii="Times New Roman" w:hAnsi="Times New Roman"/>
                <w:sz w:val="24"/>
                <w:szCs w:val="24"/>
              </w:rPr>
              <w:t>. SAM)</w:t>
            </w:r>
            <w:r w:rsidRPr="008A4B76">
              <w:rPr>
                <w:rFonts w:ascii="Times New Roman" w:hAnsi="Times New Roman"/>
                <w:sz w:val="24"/>
                <w:szCs w:val="24"/>
              </w:rPr>
              <w:t>.</w:t>
            </w:r>
            <w:r w:rsidR="00DE5919" w:rsidRPr="008A4B76">
              <w:rPr>
                <w:rFonts w:ascii="Times New Roman" w:hAnsi="Times New Roman"/>
                <w:sz w:val="24"/>
                <w:szCs w:val="24"/>
              </w:rPr>
              <w:t xml:space="preserve"> Ņemot vērā, ka 8.2.1. SAM </w:t>
            </w:r>
            <w:r w:rsidR="008331C8" w:rsidRPr="008A4B76">
              <w:rPr>
                <w:rFonts w:ascii="Times New Roman" w:hAnsi="Times New Roman"/>
                <w:sz w:val="24"/>
                <w:szCs w:val="24"/>
              </w:rPr>
              <w:t xml:space="preserve">ietvaros </w:t>
            </w:r>
            <w:r w:rsidR="00DE5919" w:rsidRPr="008A4B76">
              <w:rPr>
                <w:rFonts w:ascii="Times New Roman" w:hAnsi="Times New Roman"/>
                <w:sz w:val="24"/>
                <w:szCs w:val="24"/>
              </w:rPr>
              <w:t>kā viena no atbalstāmajām darbībā</w:t>
            </w:r>
            <w:r w:rsidR="008331C8" w:rsidRPr="008A4B76">
              <w:rPr>
                <w:rFonts w:ascii="Times New Roman" w:hAnsi="Times New Roman"/>
                <w:sz w:val="24"/>
                <w:szCs w:val="24"/>
              </w:rPr>
              <w:t>m</w:t>
            </w:r>
            <w:r w:rsidR="00DE5919" w:rsidRPr="008A4B76">
              <w:rPr>
                <w:rFonts w:ascii="Times New Roman" w:hAnsi="Times New Roman"/>
                <w:sz w:val="24"/>
                <w:szCs w:val="24"/>
              </w:rPr>
              <w:t xml:space="preserve"> ir</w:t>
            </w:r>
            <w:r w:rsidR="008331C8" w:rsidRPr="008A4B76">
              <w:rPr>
                <w:rFonts w:ascii="Times New Roman" w:hAnsi="Times New Roman"/>
                <w:sz w:val="24"/>
                <w:szCs w:val="24"/>
              </w:rPr>
              <w:t xml:space="preserve"> paredzēta</w:t>
            </w:r>
            <w:r w:rsidR="00DE5919" w:rsidRPr="008A4B76">
              <w:rPr>
                <w:rFonts w:ascii="Times New Roman" w:hAnsi="Times New Roman"/>
                <w:sz w:val="24"/>
                <w:szCs w:val="24"/>
              </w:rPr>
              <w:t xml:space="preserve"> studiju programmu </w:t>
            </w:r>
            <w:r w:rsidR="00F428B9" w:rsidRPr="008A4B76">
              <w:rPr>
                <w:rFonts w:ascii="Times New Roman" w:hAnsi="Times New Roman"/>
                <w:sz w:val="24"/>
                <w:szCs w:val="24"/>
              </w:rPr>
              <w:t xml:space="preserve">(studiju virziena) </w:t>
            </w:r>
            <w:r w:rsidR="00DE5919" w:rsidRPr="008A4B76">
              <w:rPr>
                <w:rFonts w:ascii="Times New Roman" w:hAnsi="Times New Roman"/>
                <w:sz w:val="24"/>
                <w:szCs w:val="24"/>
              </w:rPr>
              <w:t>akreditācija</w:t>
            </w:r>
            <w:r w:rsidR="00F72E15" w:rsidRPr="008A4B76">
              <w:rPr>
                <w:rFonts w:ascii="Times New Roman" w:hAnsi="Times New Roman"/>
                <w:sz w:val="24"/>
                <w:szCs w:val="24"/>
              </w:rPr>
              <w:t xml:space="preserve"> EQ</w:t>
            </w:r>
            <w:r w:rsidR="00F428B9" w:rsidRPr="008A4B76">
              <w:rPr>
                <w:rFonts w:ascii="Times New Roman" w:hAnsi="Times New Roman"/>
                <w:sz w:val="24"/>
                <w:szCs w:val="24"/>
              </w:rPr>
              <w:t>A</w:t>
            </w:r>
            <w:r w:rsidR="00F72E15" w:rsidRPr="008A4B76">
              <w:rPr>
                <w:rFonts w:ascii="Times New Roman" w:hAnsi="Times New Roman"/>
                <w:sz w:val="24"/>
                <w:szCs w:val="24"/>
              </w:rPr>
              <w:t>R</w:t>
            </w:r>
            <w:r w:rsidR="00F428B9" w:rsidRPr="008A4B76">
              <w:rPr>
                <w:rFonts w:ascii="Times New Roman" w:hAnsi="Times New Roman"/>
                <w:sz w:val="24"/>
                <w:szCs w:val="24"/>
              </w:rPr>
              <w:t xml:space="preserve"> aģentūrā</w:t>
            </w:r>
            <w:r w:rsidR="008331C8" w:rsidRPr="008A4B76">
              <w:rPr>
                <w:rFonts w:ascii="Times New Roman" w:hAnsi="Times New Roman"/>
                <w:sz w:val="24"/>
                <w:szCs w:val="24"/>
              </w:rPr>
              <w:t xml:space="preserve">, būtiski ir nodrošināt 8.2.4. SAM veiksmīgu īstenošanu </w:t>
            </w:r>
            <w:r w:rsidR="008331C8" w:rsidRPr="008A4B76">
              <w:rPr>
                <w:rFonts w:ascii="Times New Roman" w:hAnsi="Times New Roman"/>
                <w:sz w:val="24"/>
                <w:szCs w:val="24"/>
              </w:rPr>
              <w:lastRenderedPageBreak/>
              <w:t xml:space="preserve">un </w:t>
            </w:r>
            <w:r w:rsidR="00F428B9" w:rsidRPr="008A4B76">
              <w:rPr>
                <w:rFonts w:ascii="Times New Roman" w:hAnsi="Times New Roman"/>
                <w:sz w:val="24"/>
                <w:szCs w:val="24"/>
              </w:rPr>
              <w:t xml:space="preserve">savlaicīgi </w:t>
            </w:r>
            <w:r w:rsidR="008331C8" w:rsidRPr="008A4B76">
              <w:rPr>
                <w:rFonts w:ascii="Times New Roman" w:hAnsi="Times New Roman"/>
                <w:sz w:val="24"/>
                <w:szCs w:val="24"/>
              </w:rPr>
              <w:t>sasniegt rezultāta rādītāju</w:t>
            </w:r>
            <w:r w:rsidR="00F428B9" w:rsidRPr="008A4B76">
              <w:rPr>
                <w:rFonts w:ascii="Times New Roman" w:hAnsi="Times New Roman"/>
                <w:sz w:val="24"/>
                <w:szCs w:val="24"/>
              </w:rPr>
              <w:t xml:space="preserve">, ka </w:t>
            </w:r>
            <w:r w:rsidR="008331C8" w:rsidRPr="008A4B76">
              <w:rPr>
                <w:rFonts w:ascii="Times New Roman" w:hAnsi="Times New Roman"/>
                <w:sz w:val="24"/>
                <w:szCs w:val="24"/>
              </w:rPr>
              <w:t xml:space="preserve"> </w:t>
            </w:r>
            <w:r w:rsidR="00F72E15" w:rsidRPr="008A4B76">
              <w:rPr>
                <w:rFonts w:ascii="Times New Roman" w:hAnsi="Times New Roman"/>
                <w:sz w:val="24"/>
                <w:szCs w:val="24"/>
              </w:rPr>
              <w:t>Latvijā</w:t>
            </w:r>
            <w:r w:rsidR="00F428B9" w:rsidRPr="008A4B76">
              <w:rPr>
                <w:rFonts w:ascii="Times New Roman" w:hAnsi="Times New Roman"/>
                <w:sz w:val="24"/>
                <w:szCs w:val="24"/>
              </w:rPr>
              <w:t xml:space="preserve"> ir akreditācijas aģentūra</w:t>
            </w:r>
            <w:r w:rsidR="008331C8" w:rsidRPr="008A4B76">
              <w:rPr>
                <w:rFonts w:ascii="Times New Roman" w:hAnsi="Times New Roman"/>
                <w:sz w:val="24"/>
                <w:szCs w:val="24"/>
              </w:rPr>
              <w:t>, kas atbilst EQAR aģentūrai izvirzītajām prasībām.</w:t>
            </w:r>
            <w:r w:rsidR="00874E85" w:rsidRPr="008A4B76">
              <w:rPr>
                <w:rFonts w:ascii="Times New Roman" w:hAnsi="Times New Roman"/>
                <w:sz w:val="24"/>
                <w:szCs w:val="24"/>
              </w:rPr>
              <w:t xml:space="preserve"> </w:t>
            </w:r>
          </w:p>
          <w:p w14:paraId="6A21B625" w14:textId="77777777" w:rsidR="00927887" w:rsidRPr="008A4B76" w:rsidRDefault="00F428B9" w:rsidP="007D18FC">
            <w:pPr>
              <w:pStyle w:val="CCBodyText"/>
              <w:spacing w:before="0" w:after="0"/>
              <w:ind w:firstLine="516"/>
              <w:rPr>
                <w:rFonts w:ascii="Times New Roman" w:hAnsi="Times New Roman"/>
                <w:sz w:val="24"/>
                <w:szCs w:val="24"/>
              </w:rPr>
            </w:pPr>
            <w:r w:rsidRPr="008A4B76">
              <w:rPr>
                <w:rFonts w:ascii="Times New Roman" w:hAnsi="Times New Roman"/>
                <w:sz w:val="24"/>
                <w:szCs w:val="24"/>
                <w:lang w:eastAsia="lv-LV"/>
              </w:rPr>
              <w:t>P</w:t>
            </w:r>
            <w:r w:rsidR="00927887" w:rsidRPr="008A4B76">
              <w:rPr>
                <w:rFonts w:ascii="Times New Roman" w:hAnsi="Times New Roman"/>
                <w:sz w:val="24"/>
                <w:szCs w:val="24"/>
                <w:lang w:eastAsia="lv-LV"/>
              </w:rPr>
              <w:t xml:space="preserve">apildus </w:t>
            </w:r>
            <w:r w:rsidRPr="008A4B76">
              <w:rPr>
                <w:rFonts w:ascii="Times New Roman" w:hAnsi="Times New Roman"/>
                <w:sz w:val="24"/>
                <w:szCs w:val="24"/>
                <w:lang w:eastAsia="lv-LV"/>
              </w:rPr>
              <w:t xml:space="preserve">iepriekš minētajiem specifiskajiem atbalsta mērķiem, iespējama sinerģija arī ar citiem </w:t>
            </w:r>
            <w:r w:rsidR="00B8204F" w:rsidRPr="008A4B76">
              <w:rPr>
                <w:rFonts w:ascii="Times New Roman" w:hAnsi="Times New Roman"/>
                <w:sz w:val="24"/>
                <w:szCs w:val="24"/>
                <w:lang w:eastAsia="lv-LV"/>
              </w:rPr>
              <w:t xml:space="preserve">darbības programmas “Izaugsme un nodarbinātība” prioritārā virziena “Pētniecība, tehnoloģiju attīstība un inovācijas” </w:t>
            </w:r>
            <w:r w:rsidRPr="008A4B76">
              <w:rPr>
                <w:rFonts w:ascii="Times New Roman" w:hAnsi="Times New Roman"/>
                <w:sz w:val="24"/>
                <w:szCs w:val="24"/>
                <w:lang w:eastAsia="lv-LV"/>
              </w:rPr>
              <w:t xml:space="preserve">specifiskajiem atbalsta mērķiem, ņemot vērā, ka daļa </w:t>
            </w:r>
            <w:r w:rsidR="00C66124" w:rsidRPr="008A4B76">
              <w:rPr>
                <w:rFonts w:ascii="Times New Roman" w:hAnsi="Times New Roman"/>
                <w:sz w:val="24"/>
                <w:szCs w:val="24"/>
                <w:lang w:eastAsia="lv-LV"/>
              </w:rPr>
              <w:t>augstskolu</w:t>
            </w:r>
            <w:r w:rsidRPr="008A4B76">
              <w:rPr>
                <w:rFonts w:ascii="Times New Roman" w:hAnsi="Times New Roman"/>
                <w:sz w:val="24"/>
                <w:szCs w:val="24"/>
                <w:lang w:eastAsia="lv-LV"/>
              </w:rPr>
              <w:t xml:space="preserve"> ir arī zinātniskās institūcijas. </w:t>
            </w:r>
            <w:r w:rsidR="00B8204F" w:rsidRPr="008A4B76">
              <w:rPr>
                <w:rFonts w:ascii="Times New Roman" w:hAnsi="Times New Roman"/>
                <w:sz w:val="24"/>
                <w:szCs w:val="24"/>
                <w:lang w:eastAsia="lv-LV"/>
              </w:rPr>
              <w:t>1.1.1. specifiskā atbalsta mērķ</w:t>
            </w:r>
            <w:r w:rsidR="00B039EC" w:rsidRPr="008A4B76">
              <w:rPr>
                <w:rFonts w:ascii="Times New Roman" w:hAnsi="Times New Roman"/>
                <w:sz w:val="24"/>
                <w:szCs w:val="24"/>
                <w:lang w:eastAsia="lv-LV"/>
              </w:rPr>
              <w:t>a</w:t>
            </w:r>
            <w:r w:rsidR="00B8204F" w:rsidRPr="008A4B76">
              <w:rPr>
                <w:rFonts w:ascii="Times New Roman" w:hAnsi="Times New Roman"/>
                <w:sz w:val="24"/>
                <w:szCs w:val="24"/>
                <w:lang w:eastAsia="lv-LV"/>
              </w:rPr>
              <w:t xml:space="preserve"> “Palielināt Latvijas zinātnisko institūciju pētniecisko un inovatīvo kapacitāti un spēju piesaistīt ārējo finansējumu, ieguldot cilvēkresursos un infrastruktūrā”</w:t>
            </w:r>
            <w:r w:rsidR="00B039EC" w:rsidRPr="008A4B76">
              <w:t xml:space="preserve"> </w:t>
            </w:r>
            <w:r w:rsidR="00B039EC" w:rsidRPr="008A4B76">
              <w:rPr>
                <w:rFonts w:ascii="Times New Roman" w:hAnsi="Times New Roman"/>
                <w:sz w:val="24"/>
                <w:szCs w:val="24"/>
                <w:lang w:eastAsia="lv-LV"/>
              </w:rPr>
              <w:t xml:space="preserve">(turpmāk – 1.1.1. SAM)  </w:t>
            </w:r>
            <w:r w:rsidR="00B8204F" w:rsidRPr="008A4B76">
              <w:rPr>
                <w:rFonts w:ascii="Times New Roman" w:hAnsi="Times New Roman"/>
                <w:sz w:val="24"/>
                <w:szCs w:val="24"/>
                <w:lang w:eastAsia="lv-LV"/>
              </w:rPr>
              <w:t xml:space="preserve">1.1.1.4. </w:t>
            </w:r>
            <w:r w:rsidR="00DE5919" w:rsidRPr="008A4B76">
              <w:rPr>
                <w:rFonts w:ascii="Times New Roman" w:hAnsi="Times New Roman"/>
                <w:sz w:val="24"/>
                <w:szCs w:val="24"/>
                <w:lang w:eastAsia="lv-LV"/>
              </w:rPr>
              <w:t xml:space="preserve">pasākuma </w:t>
            </w:r>
            <w:r w:rsidR="00B8204F" w:rsidRPr="008A4B76">
              <w:rPr>
                <w:rFonts w:ascii="Times New Roman" w:hAnsi="Times New Roman"/>
                <w:sz w:val="24"/>
                <w:szCs w:val="24"/>
                <w:lang w:eastAsia="lv-LV"/>
              </w:rPr>
              <w:t xml:space="preserve">“P&amp;A infrastruktūras attīstīšana viedās specializācijas jomās un zinātnisko institūciju institucionālās kapacitātes stiprināšana” ietvaros </w:t>
            </w:r>
            <w:r w:rsidR="00DE5919" w:rsidRPr="008A4B76">
              <w:rPr>
                <w:rFonts w:ascii="Times New Roman" w:hAnsi="Times New Roman"/>
                <w:sz w:val="24"/>
                <w:szCs w:val="24"/>
                <w:lang w:eastAsia="lv-LV"/>
              </w:rPr>
              <w:t xml:space="preserve">ir </w:t>
            </w:r>
            <w:r w:rsidR="00B8204F" w:rsidRPr="008A4B76">
              <w:rPr>
                <w:rFonts w:ascii="Times New Roman" w:hAnsi="Times New Roman"/>
                <w:sz w:val="24"/>
                <w:szCs w:val="24"/>
                <w:lang w:eastAsia="lv-LV"/>
              </w:rPr>
              <w:t>plānot</w:t>
            </w:r>
            <w:r w:rsidR="00DE5919" w:rsidRPr="008A4B76">
              <w:rPr>
                <w:rFonts w:ascii="Times New Roman" w:hAnsi="Times New Roman"/>
                <w:sz w:val="24"/>
                <w:szCs w:val="24"/>
                <w:lang w:eastAsia="lv-LV"/>
              </w:rPr>
              <w:t>as</w:t>
            </w:r>
            <w:r w:rsidR="00B8204F" w:rsidRPr="008A4B76">
              <w:rPr>
                <w:rFonts w:ascii="Times New Roman" w:hAnsi="Times New Roman"/>
                <w:sz w:val="24"/>
                <w:szCs w:val="24"/>
                <w:lang w:eastAsia="lv-LV"/>
              </w:rPr>
              <w:t xml:space="preserve"> investīcij</w:t>
            </w:r>
            <w:r w:rsidR="00DE5919" w:rsidRPr="008A4B76">
              <w:rPr>
                <w:rFonts w:ascii="Times New Roman" w:hAnsi="Times New Roman"/>
                <w:sz w:val="24"/>
                <w:szCs w:val="24"/>
                <w:lang w:eastAsia="lv-LV"/>
              </w:rPr>
              <w:t>as</w:t>
            </w:r>
            <w:r w:rsidR="00B8204F" w:rsidRPr="008A4B76">
              <w:rPr>
                <w:rFonts w:ascii="Times New Roman" w:hAnsi="Times New Roman"/>
                <w:sz w:val="24"/>
                <w:szCs w:val="24"/>
                <w:lang w:eastAsia="lv-LV"/>
              </w:rPr>
              <w:t xml:space="preserve"> zinātnisko institūciju pētniecības un attīstības infrastruktūras modernizēšanā</w:t>
            </w:r>
            <w:r w:rsidR="00927887" w:rsidRPr="008A4B76">
              <w:rPr>
                <w:rFonts w:ascii="Times New Roman" w:hAnsi="Times New Roman"/>
                <w:sz w:val="24"/>
                <w:szCs w:val="24"/>
                <w:lang w:eastAsia="lv-LV"/>
              </w:rPr>
              <w:t>.</w:t>
            </w:r>
            <w:r w:rsidR="00DE5919" w:rsidRPr="008A4B76">
              <w:rPr>
                <w:rFonts w:ascii="Times New Roman" w:hAnsi="Times New Roman"/>
                <w:sz w:val="24"/>
                <w:szCs w:val="24"/>
                <w:lang w:eastAsia="lv-LV"/>
              </w:rPr>
              <w:t xml:space="preserve"> </w:t>
            </w:r>
            <w:r w:rsidR="00DE5919" w:rsidRPr="008A4B76">
              <w:rPr>
                <w:rFonts w:ascii="Times New Roman" w:hAnsi="Times New Roman"/>
                <w:sz w:val="24"/>
                <w:szCs w:val="24"/>
              </w:rPr>
              <w:t xml:space="preserve">Savukārt 1.1.1. SAM  1.1.1.5. pasākuma </w:t>
            </w:r>
            <w:r w:rsidR="00B039EC" w:rsidRPr="008A4B76">
              <w:rPr>
                <w:rFonts w:ascii="Times New Roman" w:hAnsi="Times New Roman"/>
                <w:sz w:val="24"/>
                <w:szCs w:val="24"/>
              </w:rPr>
              <w:t xml:space="preserve">“Atbalsts starptautiskās sadarbības projektiem pētniecībā un inovācijās” </w:t>
            </w:r>
            <w:r w:rsidR="00DE5919" w:rsidRPr="008A4B76">
              <w:rPr>
                <w:rFonts w:ascii="Times New Roman" w:hAnsi="Times New Roman"/>
                <w:sz w:val="24"/>
                <w:szCs w:val="24"/>
              </w:rPr>
              <w:t>ietvaros zinātnisko institūciju attīstītie starptautiskās sadarbības tīkli var sniegt pienesumu gan kopīgu doktorantūras studiju programmu, gan studiju programmu ES valodās izstrādē.</w:t>
            </w:r>
          </w:p>
          <w:p w14:paraId="2A559A49" w14:textId="77777777" w:rsidR="00FF49F6" w:rsidRPr="008A4B76" w:rsidRDefault="00814A88" w:rsidP="00DE5919">
            <w:pPr>
              <w:tabs>
                <w:tab w:val="left" w:pos="2884"/>
              </w:tabs>
              <w:ind w:firstLine="516"/>
              <w:jc w:val="both"/>
            </w:pPr>
            <w:r w:rsidRPr="008A4B76">
              <w:t>Finansējum</w:t>
            </w:r>
            <w:r w:rsidR="00187E50" w:rsidRPr="008A4B76">
              <w:t>s</w:t>
            </w:r>
            <w:r w:rsidRPr="008A4B76">
              <w:t xml:space="preserve"> </w:t>
            </w:r>
            <w:r w:rsidR="00B7689E" w:rsidRPr="008A4B76">
              <w:t xml:space="preserve">studiju programmu </w:t>
            </w:r>
            <w:r w:rsidR="00C66124" w:rsidRPr="008A4B76">
              <w:t xml:space="preserve">izstrādei </w:t>
            </w:r>
            <w:r w:rsidR="00B7689E" w:rsidRPr="008A4B76">
              <w:t xml:space="preserve">ES valodās </w:t>
            </w:r>
            <w:r w:rsidR="005D42AC" w:rsidRPr="008A4B76">
              <w:t>8.2.1. SAM ietvaros sekmē</w:t>
            </w:r>
            <w:r w:rsidR="00305C45" w:rsidRPr="008A4B76">
              <w:t>s</w:t>
            </w:r>
            <w:r w:rsidR="005D42AC" w:rsidRPr="008A4B76">
              <w:t xml:space="preserve"> </w:t>
            </w:r>
            <w:r w:rsidR="00C66124" w:rsidRPr="008A4B76">
              <w:t xml:space="preserve"> arī papildinātību </w:t>
            </w:r>
            <w:r w:rsidR="005D42AC" w:rsidRPr="008A4B76">
              <w:t xml:space="preserve">ar </w:t>
            </w:r>
            <w:r w:rsidR="00B7689E" w:rsidRPr="008A4B76">
              <w:rPr>
                <w:b/>
              </w:rPr>
              <w:t>“</w:t>
            </w:r>
            <w:proofErr w:type="spellStart"/>
            <w:r w:rsidR="00305C45" w:rsidRPr="008A4B76">
              <w:rPr>
                <w:b/>
              </w:rPr>
              <w:t>Erasmus</w:t>
            </w:r>
            <w:proofErr w:type="spellEnd"/>
            <w:r w:rsidR="00305C45" w:rsidRPr="008A4B76">
              <w:rPr>
                <w:b/>
              </w:rPr>
              <w:t>+</w:t>
            </w:r>
            <w:r w:rsidR="00B7689E" w:rsidRPr="008A4B76">
              <w:rPr>
                <w:b/>
              </w:rPr>
              <w:t>”</w:t>
            </w:r>
            <w:r w:rsidR="000876BA" w:rsidRPr="008A4B76">
              <w:t xml:space="preserve"> </w:t>
            </w:r>
            <w:r w:rsidR="00CB45B4" w:rsidRPr="008A4B76">
              <w:t xml:space="preserve">programmas </w:t>
            </w:r>
            <w:r w:rsidR="000876BA" w:rsidRPr="008A4B76">
              <w:t>aktivitāti “</w:t>
            </w:r>
            <w:proofErr w:type="spellStart"/>
            <w:r w:rsidR="000876BA" w:rsidRPr="008A4B76">
              <w:t>Erasmus</w:t>
            </w:r>
            <w:proofErr w:type="spellEnd"/>
            <w:r w:rsidR="000876BA" w:rsidRPr="008A4B76">
              <w:t xml:space="preserve"> </w:t>
            </w:r>
            <w:proofErr w:type="spellStart"/>
            <w:r w:rsidR="000876BA" w:rsidRPr="008A4B76">
              <w:t>Mundus</w:t>
            </w:r>
            <w:proofErr w:type="spellEnd"/>
            <w:r w:rsidR="000876BA" w:rsidRPr="008A4B76">
              <w:t xml:space="preserve"> kopīgo maģistrantūras studiju programmu īstenošana”</w:t>
            </w:r>
            <w:r w:rsidR="00B7689E" w:rsidRPr="008A4B76">
              <w:t xml:space="preserve">, jo </w:t>
            </w:r>
            <w:r w:rsidR="00C66124" w:rsidRPr="008A4B76">
              <w:t xml:space="preserve">8.2.1. SAM izstrādātās </w:t>
            </w:r>
            <w:r w:rsidR="00B7689E" w:rsidRPr="008A4B76">
              <w:t xml:space="preserve">jaunās </w:t>
            </w:r>
            <w:r w:rsidR="00C66124" w:rsidRPr="008A4B76">
              <w:t xml:space="preserve">kopīgās </w:t>
            </w:r>
            <w:r w:rsidR="008375E4" w:rsidRPr="008A4B76">
              <w:t xml:space="preserve">maģistrantūras studiju </w:t>
            </w:r>
            <w:r w:rsidR="00B7689E" w:rsidRPr="008A4B76">
              <w:t>programmas</w:t>
            </w:r>
            <w:r w:rsidR="00C66124" w:rsidRPr="008A4B76">
              <w:t xml:space="preserve"> ES valodās</w:t>
            </w:r>
            <w:r w:rsidR="00B7689E" w:rsidRPr="008A4B76">
              <w:t xml:space="preserve"> varētu </w:t>
            </w:r>
            <w:r w:rsidR="00C66124" w:rsidRPr="008A4B76">
              <w:t xml:space="preserve">tālāk </w:t>
            </w:r>
            <w:r w:rsidR="00B7689E" w:rsidRPr="008A4B76">
              <w:t xml:space="preserve">pieteikt </w:t>
            </w:r>
            <w:r w:rsidR="00DA506E" w:rsidRPr="008A4B76">
              <w:t xml:space="preserve">minētās aktivitātes </w:t>
            </w:r>
            <w:r w:rsidR="00B7689E" w:rsidRPr="008A4B76">
              <w:t>konkursos</w:t>
            </w:r>
            <w:r w:rsidR="008375E4" w:rsidRPr="008A4B76">
              <w:t xml:space="preserve"> (šīs aktivitātes ietvaros netiek finansēta kopīgo maģistrantūras studiju programmu </w:t>
            </w:r>
            <w:r w:rsidR="00C66124" w:rsidRPr="008A4B76">
              <w:t>izstrāde</w:t>
            </w:r>
            <w:r w:rsidR="008375E4" w:rsidRPr="008A4B76">
              <w:t>)</w:t>
            </w:r>
            <w:r w:rsidR="00C66124" w:rsidRPr="008A4B76">
              <w:rPr>
                <w:rStyle w:val="FootnoteReference"/>
              </w:rPr>
              <w:footnoteReference w:id="29"/>
            </w:r>
            <w:r w:rsidR="00DA506E" w:rsidRPr="008A4B76">
              <w:t>.</w:t>
            </w:r>
            <w:r w:rsidR="000876BA" w:rsidRPr="008A4B76">
              <w:t xml:space="preserve"> </w:t>
            </w:r>
          </w:p>
          <w:p w14:paraId="310CAB20" w14:textId="77777777" w:rsidR="00544D0B" w:rsidRPr="008A4B76" w:rsidRDefault="00FF49F6" w:rsidP="008473CA">
            <w:pPr>
              <w:spacing w:line="285" w:lineRule="atLeast"/>
              <w:ind w:firstLine="516"/>
              <w:jc w:val="both"/>
            </w:pPr>
            <w:r w:rsidRPr="008A4B76">
              <w:t xml:space="preserve">8.2.1. SAM projektu iesniegumu vērtēšanas kritēriji izstrādāti, ievērojot  8.2.1. </w:t>
            </w:r>
            <w:r w:rsidR="00596204" w:rsidRPr="008A4B76">
              <w:t xml:space="preserve">SAM </w:t>
            </w:r>
            <w:r w:rsidRPr="008A4B76">
              <w:t>sākotnējā novērtējumā sniegtos priekšlikumus</w:t>
            </w:r>
            <w:r w:rsidR="008473CA" w:rsidRPr="008A4B76">
              <w:rPr>
                <w:rStyle w:val="FootnoteReference"/>
              </w:rPr>
              <w:footnoteReference w:id="30"/>
            </w:r>
            <w:r w:rsidRPr="008A4B76">
              <w:t>,</w:t>
            </w:r>
            <w:r w:rsidR="000B072D" w:rsidRPr="008A4B76">
              <w:t xml:space="preserve"> k</w:t>
            </w:r>
            <w:r w:rsidRPr="008A4B76">
              <w:t xml:space="preserve">ā arī Eiropas Komisijas izstrādātās </w:t>
            </w:r>
            <w:r w:rsidR="00CB45B4" w:rsidRPr="008A4B76">
              <w:t>„</w:t>
            </w:r>
            <w:proofErr w:type="spellStart"/>
            <w:r w:rsidRPr="008A4B76">
              <w:t>Erasmus</w:t>
            </w:r>
            <w:proofErr w:type="spellEnd"/>
            <w:r w:rsidRPr="008A4B76">
              <w:t>+</w:t>
            </w:r>
            <w:r w:rsidR="00CB45B4" w:rsidRPr="008A4B76">
              <w:t>”</w:t>
            </w:r>
            <w:r w:rsidRPr="008A4B76">
              <w:t xml:space="preserve"> programmas vadlīnijas</w:t>
            </w:r>
            <w:r w:rsidR="00CB45B4" w:rsidRPr="008A4B76">
              <w:rPr>
                <w:rStyle w:val="FootnoteReference"/>
              </w:rPr>
              <w:footnoteReference w:id="31"/>
            </w:r>
            <w:r w:rsidR="00305C45" w:rsidRPr="008A4B76">
              <w:t xml:space="preserve"> par aktivitāti „</w:t>
            </w:r>
            <w:r w:rsidR="0062442C" w:rsidRPr="008A4B76">
              <w:t>Kapacitātes stiprināšana augstākajā izglītībā</w:t>
            </w:r>
            <w:r w:rsidR="00305C45" w:rsidRPr="008A4B76">
              <w:t>”</w:t>
            </w:r>
            <w:r w:rsidR="00596204" w:rsidRPr="008A4B76">
              <w:t xml:space="preserve">. </w:t>
            </w:r>
          </w:p>
          <w:p w14:paraId="5088A5E5" w14:textId="2F4E56B7" w:rsidR="00F914DC" w:rsidRPr="00D44A03" w:rsidRDefault="00544D0B" w:rsidP="00F914DC">
            <w:pPr>
              <w:spacing w:line="285" w:lineRule="atLeast"/>
              <w:ind w:firstLine="516"/>
              <w:jc w:val="both"/>
            </w:pPr>
            <w:r w:rsidRPr="008A4B76">
              <w:t>Lai nodrošinātu kvalitatīvu un objektīvu 8.2.1. SAM ietvaros iesniegto projektu iesniegumu novērtējumu, to saturiskās kvalitātes vērtēšanai tiks piesaistīti Eiropas Komisijas ekspertu datu bāzē</w:t>
            </w:r>
            <w:r w:rsidRPr="008A4B76">
              <w:rPr>
                <w:rStyle w:val="FootnoteReference"/>
              </w:rPr>
              <w:footnoteReference w:id="32"/>
            </w:r>
            <w:r w:rsidRPr="008A4B76">
              <w:t xml:space="preserve">  esošie eksperti, </w:t>
            </w:r>
            <w:r w:rsidRPr="00D44A03">
              <w:t xml:space="preserve">kam </w:t>
            </w:r>
            <w:r w:rsidR="002E446C" w:rsidRPr="00D44A03">
              <w:t xml:space="preserve">ir pieredze </w:t>
            </w:r>
            <w:r w:rsidR="00F914DC" w:rsidRPr="00D44A03">
              <w:t xml:space="preserve">līdzīga satura projektu vērtēšanā Eiropas Savienības mērogā. </w:t>
            </w:r>
          </w:p>
          <w:p w14:paraId="2551227A" w14:textId="77777777" w:rsidR="00F914DC" w:rsidRPr="00D44A03" w:rsidRDefault="00F914DC" w:rsidP="00F914DC">
            <w:pPr>
              <w:spacing w:line="285" w:lineRule="atLeast"/>
              <w:ind w:firstLine="516"/>
              <w:jc w:val="both"/>
            </w:pPr>
            <w:r w:rsidRPr="00D44A03">
              <w:t>Sadarbības iestāde piesaistīs Eiropas Komisijas ekspertu datubāzē iekļautu ekspertus, izmantojot šādus atlases kritērijus:</w:t>
            </w:r>
          </w:p>
          <w:p w14:paraId="34A46575" w14:textId="77777777" w:rsidR="00F914DC" w:rsidRPr="00D44A03" w:rsidRDefault="00F914DC" w:rsidP="00F914DC">
            <w:pPr>
              <w:spacing w:line="285" w:lineRule="atLeast"/>
              <w:ind w:firstLine="516"/>
              <w:jc w:val="both"/>
            </w:pPr>
            <w:r w:rsidRPr="00D44A03">
              <w:t>‒</w:t>
            </w:r>
            <w:r w:rsidRPr="00D44A03">
              <w:tab/>
              <w:t>ekspertam ir doktora zinātniskais grāds;</w:t>
            </w:r>
          </w:p>
          <w:p w14:paraId="21D509C1" w14:textId="03B15BDD" w:rsidR="00F914DC" w:rsidRPr="00D44A03" w:rsidRDefault="00F914DC" w:rsidP="00F914DC">
            <w:pPr>
              <w:spacing w:line="285" w:lineRule="atLeast"/>
              <w:ind w:firstLine="516"/>
              <w:jc w:val="both"/>
            </w:pPr>
            <w:r w:rsidRPr="00D44A03">
              <w:lastRenderedPageBreak/>
              <w:t>‒</w:t>
            </w:r>
            <w:r w:rsidRPr="00D44A03">
              <w:tab/>
              <w:t>ekspertam ir augstākās izglītības studiju satura izstrādes, inovāciju un pārvaldības, vai izglītības tehnoloģiju praktiskā vai pētnieciskā pieredze pēdējo četru gadu laikā;</w:t>
            </w:r>
          </w:p>
          <w:p w14:paraId="38DBC2F7" w14:textId="77777777" w:rsidR="00F914DC" w:rsidRPr="00D44A03" w:rsidRDefault="00F914DC" w:rsidP="00F914DC">
            <w:pPr>
              <w:spacing w:line="285" w:lineRule="atLeast"/>
              <w:ind w:firstLine="516"/>
              <w:jc w:val="both"/>
            </w:pPr>
            <w:r w:rsidRPr="00D44A03">
              <w:t>‒</w:t>
            </w:r>
            <w:r w:rsidRPr="00D44A03">
              <w:tab/>
              <w:t>ekspertam ir vēlama pieredze Ekonomiskās sadarbības un attīstības organizācijas vai citu līdzvērtīgu starptautiska līmeņa pētījumos augstākajā izglītībā.</w:t>
            </w:r>
          </w:p>
          <w:p w14:paraId="4E0DC4D7" w14:textId="63BA006F" w:rsidR="00226894" w:rsidRPr="00D44A03" w:rsidRDefault="00F914DC" w:rsidP="00F914DC">
            <w:pPr>
              <w:spacing w:line="285" w:lineRule="atLeast"/>
              <w:ind w:firstLine="516"/>
              <w:jc w:val="both"/>
            </w:pPr>
            <w:r w:rsidRPr="00D44A03">
              <w:t xml:space="preserve">8.2.1. SAM ietvaros paredzēts vērtēt projekta iesnieguma saturisko integritāti un kvalitāti. Tādējādi, ārvalstu ekspertam jābūt spējīgam veikt projektā plānoto darbību sistēmisku analīzi un sniegt savu vērtējumu par projekta iesnieguma saturisko integritāti un kvalitāti, līdzīgi kā </w:t>
            </w:r>
            <w:proofErr w:type="spellStart"/>
            <w:r w:rsidRPr="00D44A03">
              <w:t>Erasmus</w:t>
            </w:r>
            <w:proofErr w:type="spellEnd"/>
            <w:r w:rsidRPr="00D44A03">
              <w:t xml:space="preserve"> + ietvaros īstenotiem augstāko izglītības institūciju kapacitātes stiprināšanas projektiem augstākajā izglītībā.</w:t>
            </w:r>
          </w:p>
          <w:p w14:paraId="01453A43" w14:textId="77777777" w:rsidR="00335801" w:rsidRPr="008A4B76" w:rsidRDefault="00335801" w:rsidP="00866B63">
            <w:pPr>
              <w:spacing w:line="285" w:lineRule="atLeast"/>
              <w:ind w:firstLine="516"/>
              <w:jc w:val="both"/>
            </w:pPr>
            <w:r w:rsidRPr="00D44A03">
              <w:t xml:space="preserve">8.2.1. SAM ietvaros </w:t>
            </w:r>
            <w:r w:rsidR="00866B63" w:rsidRPr="00D44A03">
              <w:t>visas</w:t>
            </w:r>
            <w:r w:rsidR="00866B63" w:rsidRPr="008A4B76">
              <w:t xml:space="preserve"> </w:t>
            </w:r>
            <w:r w:rsidRPr="008A4B76">
              <w:t>plānotās atbalstāmās darbības atbilst darbības programmas „Izaugsme un nodarbinātība” 8.prioritārajam virzienam “Izglītība, prasmes un mūžizglītība” noteiktajai intervences kategorijai – 116 “Terciārās izglītības vai pielīdzināma līmeņa izglītības kvalitātes, efektivitātes un pieejamības uzlabošana nolūkā palielināt līdzdalības un sasniegumu līmeni, jo īpaši nelabvēlīgā situācijā”.</w:t>
            </w:r>
          </w:p>
        </w:tc>
      </w:tr>
      <w:tr w:rsidR="009A72C5" w:rsidRPr="008A4B76" w14:paraId="301BF1E9" w14:textId="77777777" w:rsidTr="001B4247">
        <w:tc>
          <w:tcPr>
            <w:tcW w:w="161" w:type="pct"/>
            <w:tcBorders>
              <w:top w:val="outset" w:sz="6" w:space="0" w:color="000000"/>
              <w:left w:val="outset" w:sz="6" w:space="0" w:color="000000"/>
              <w:bottom w:val="single" w:sz="4" w:space="0" w:color="auto"/>
              <w:right w:val="outset" w:sz="6" w:space="0" w:color="000000"/>
            </w:tcBorders>
          </w:tcPr>
          <w:p w14:paraId="30819AF1" w14:textId="45277875" w:rsidR="009A72C5" w:rsidRPr="008A4B76" w:rsidRDefault="009A72C5" w:rsidP="00DD2EFA">
            <w:pPr>
              <w:spacing w:before="100" w:beforeAutospacing="1" w:after="100" w:afterAutospacing="1"/>
            </w:pPr>
            <w:r w:rsidRPr="008A4B76">
              <w:lastRenderedPageBreak/>
              <w:t>3.</w:t>
            </w:r>
          </w:p>
        </w:tc>
        <w:tc>
          <w:tcPr>
            <w:tcW w:w="833" w:type="pct"/>
            <w:gridSpan w:val="2"/>
            <w:tcBorders>
              <w:top w:val="outset" w:sz="6" w:space="0" w:color="000000"/>
              <w:left w:val="outset" w:sz="6" w:space="0" w:color="000000"/>
              <w:bottom w:val="single" w:sz="4" w:space="0" w:color="auto"/>
              <w:right w:val="outset" w:sz="6" w:space="0" w:color="000000"/>
            </w:tcBorders>
          </w:tcPr>
          <w:p w14:paraId="7721D528" w14:textId="77777777" w:rsidR="009A72C5" w:rsidRPr="008A4B76" w:rsidRDefault="009A72C5" w:rsidP="00DD2EFA">
            <w:pPr>
              <w:spacing w:before="100" w:beforeAutospacing="1" w:after="100" w:afterAutospacing="1"/>
            </w:pPr>
            <w:r w:rsidRPr="008A4B76">
              <w:t>Projekta izstrādē iesaistītās institūcijas</w:t>
            </w:r>
          </w:p>
        </w:tc>
        <w:tc>
          <w:tcPr>
            <w:tcW w:w="4006" w:type="pct"/>
            <w:gridSpan w:val="2"/>
            <w:tcBorders>
              <w:top w:val="outset" w:sz="6" w:space="0" w:color="000000"/>
              <w:left w:val="outset" w:sz="6" w:space="0" w:color="000000"/>
              <w:bottom w:val="single" w:sz="4" w:space="0" w:color="auto"/>
              <w:right w:val="outset" w:sz="6" w:space="0" w:color="000000"/>
            </w:tcBorders>
          </w:tcPr>
          <w:p w14:paraId="67FB55EA" w14:textId="77777777" w:rsidR="009A72C5" w:rsidRPr="008A4B76" w:rsidRDefault="00F73F7E" w:rsidP="00155679">
            <w:pPr>
              <w:ind w:right="93"/>
              <w:jc w:val="both"/>
              <w:rPr>
                <w:bCs/>
                <w:iCs/>
              </w:rPr>
            </w:pPr>
            <w:r w:rsidRPr="008A4B76">
              <w:rPr>
                <w:bCs/>
                <w:iCs/>
              </w:rPr>
              <w:t>8.2.1. SAM</w:t>
            </w:r>
            <w:r w:rsidR="009A72C5" w:rsidRPr="008A4B76">
              <w:rPr>
                <w:bCs/>
                <w:iCs/>
              </w:rPr>
              <w:t xml:space="preserve"> plānošanas un noteikumu projekta izstrādes ietvaros tiek iesaistītas </w:t>
            </w:r>
            <w:r w:rsidR="00155679" w:rsidRPr="008A4B76">
              <w:rPr>
                <w:bCs/>
                <w:iCs/>
              </w:rPr>
              <w:t>ES</w:t>
            </w:r>
            <w:r w:rsidR="009A72C5" w:rsidRPr="008A4B76">
              <w:rPr>
                <w:bCs/>
                <w:iCs/>
              </w:rPr>
              <w:t xml:space="preserve"> fondu vadībā iesaistītās iestādes un sociālie partneri.</w:t>
            </w:r>
          </w:p>
        </w:tc>
      </w:tr>
      <w:tr w:rsidR="009A72C5" w:rsidRPr="008A4B76" w14:paraId="7CD5694E" w14:textId="77777777" w:rsidTr="001B4247">
        <w:trPr>
          <w:trHeight w:val="1445"/>
        </w:trPr>
        <w:tc>
          <w:tcPr>
            <w:tcW w:w="161" w:type="pct"/>
            <w:tcBorders>
              <w:top w:val="single" w:sz="4" w:space="0" w:color="auto"/>
              <w:left w:val="single" w:sz="4" w:space="0" w:color="auto"/>
              <w:bottom w:val="single" w:sz="4" w:space="0" w:color="auto"/>
              <w:right w:val="single" w:sz="4" w:space="0" w:color="auto"/>
            </w:tcBorders>
          </w:tcPr>
          <w:p w14:paraId="3B1C53CF" w14:textId="77777777" w:rsidR="009A72C5" w:rsidRPr="008A4B76" w:rsidRDefault="009A72C5" w:rsidP="00DD2EFA">
            <w:pPr>
              <w:spacing w:before="100" w:beforeAutospacing="1" w:after="100" w:afterAutospacing="1"/>
            </w:pPr>
            <w:r w:rsidRPr="008A4B76">
              <w:t>4.</w:t>
            </w:r>
          </w:p>
        </w:tc>
        <w:tc>
          <w:tcPr>
            <w:tcW w:w="833" w:type="pct"/>
            <w:gridSpan w:val="2"/>
            <w:tcBorders>
              <w:top w:val="single" w:sz="4" w:space="0" w:color="auto"/>
              <w:left w:val="single" w:sz="4" w:space="0" w:color="auto"/>
              <w:bottom w:val="single" w:sz="4" w:space="0" w:color="auto"/>
              <w:right w:val="single" w:sz="4" w:space="0" w:color="auto"/>
            </w:tcBorders>
          </w:tcPr>
          <w:p w14:paraId="48C7EFB6" w14:textId="77777777" w:rsidR="009A72C5" w:rsidRPr="008A4B76" w:rsidRDefault="009A72C5" w:rsidP="00DD2EFA">
            <w:pPr>
              <w:spacing w:before="100" w:beforeAutospacing="1" w:after="100" w:afterAutospacing="1"/>
            </w:pPr>
            <w:r w:rsidRPr="008A4B76">
              <w:t>Cita informācija</w:t>
            </w:r>
          </w:p>
        </w:tc>
        <w:tc>
          <w:tcPr>
            <w:tcW w:w="4006" w:type="pct"/>
            <w:gridSpan w:val="2"/>
            <w:tcBorders>
              <w:top w:val="single" w:sz="4" w:space="0" w:color="auto"/>
              <w:left w:val="single" w:sz="4" w:space="0" w:color="auto"/>
              <w:bottom w:val="single" w:sz="4" w:space="0" w:color="auto"/>
              <w:right w:val="single" w:sz="4" w:space="0" w:color="auto"/>
            </w:tcBorders>
          </w:tcPr>
          <w:p w14:paraId="3943E5D8" w14:textId="77777777" w:rsidR="00D11A9F" w:rsidRPr="008A4B76" w:rsidRDefault="00DE2661" w:rsidP="00924C90">
            <w:pPr>
              <w:ind w:right="91"/>
              <w:jc w:val="both"/>
              <w:rPr>
                <w:b/>
              </w:rPr>
            </w:pPr>
            <w:r w:rsidRPr="008A4B76">
              <w:rPr>
                <w:bCs/>
                <w:iCs/>
              </w:rPr>
              <w:t xml:space="preserve">8.2.1. </w:t>
            </w:r>
            <w:r w:rsidR="009A72C5" w:rsidRPr="008A4B76">
              <w:rPr>
                <w:bCs/>
                <w:iCs/>
              </w:rPr>
              <w:t>SAM projekta iesniegumu vērtēšanas kritērij</w:t>
            </w:r>
            <w:r w:rsidR="00A72F68" w:rsidRPr="008A4B76">
              <w:rPr>
                <w:bCs/>
                <w:iCs/>
              </w:rPr>
              <w:t>i</w:t>
            </w:r>
            <w:r w:rsidR="00B46B01" w:rsidRPr="008A4B76">
              <w:rPr>
                <w:bCs/>
                <w:iCs/>
              </w:rPr>
              <w:t xml:space="preserve"> informatīvi</w:t>
            </w:r>
            <w:r w:rsidR="009A72C5" w:rsidRPr="008A4B76">
              <w:rPr>
                <w:bCs/>
                <w:iCs/>
              </w:rPr>
              <w:t xml:space="preserve"> </w:t>
            </w:r>
            <w:r w:rsidR="00726668" w:rsidRPr="008A4B76">
              <w:rPr>
                <w:bCs/>
                <w:iCs/>
              </w:rPr>
              <w:t>izskatīt</w:t>
            </w:r>
            <w:r w:rsidR="00A72F68" w:rsidRPr="008A4B76">
              <w:rPr>
                <w:bCs/>
                <w:iCs/>
              </w:rPr>
              <w:t>i</w:t>
            </w:r>
            <w:r w:rsidR="009A72C5" w:rsidRPr="008A4B76">
              <w:rPr>
                <w:bCs/>
                <w:iCs/>
              </w:rPr>
              <w:t xml:space="preserve"> </w:t>
            </w:r>
            <w:r w:rsidR="00F46F24" w:rsidRPr="008A4B76">
              <w:rPr>
                <w:bCs/>
                <w:iCs/>
              </w:rPr>
              <w:t xml:space="preserve">ES struktūrfondu un Kohēzijas fonda 2014.–2020. gada plānošanas perioda </w:t>
            </w:r>
            <w:r w:rsidR="00342635" w:rsidRPr="008A4B76">
              <w:rPr>
                <w:bCs/>
                <w:iCs/>
              </w:rPr>
              <w:t xml:space="preserve">Izglītības, prasmju un mūžizglītības prioritārā virziena </w:t>
            </w:r>
            <w:r w:rsidR="00F46F24" w:rsidRPr="008A4B76">
              <w:rPr>
                <w:bCs/>
                <w:iCs/>
              </w:rPr>
              <w:t xml:space="preserve">apakškomitejas </w:t>
            </w:r>
            <w:r w:rsidR="00342635" w:rsidRPr="008A4B76">
              <w:rPr>
                <w:bCs/>
                <w:iCs/>
              </w:rPr>
              <w:t xml:space="preserve">2017.gada 28.septembra </w:t>
            </w:r>
            <w:r w:rsidR="009A72C5" w:rsidRPr="008A4B76">
              <w:rPr>
                <w:bCs/>
                <w:iCs/>
              </w:rPr>
              <w:t>sēdē</w:t>
            </w:r>
            <w:r w:rsidR="00A72F68" w:rsidRPr="008A4B76">
              <w:rPr>
                <w:rStyle w:val="FootnoteReference"/>
                <w:bCs/>
                <w:iCs/>
              </w:rPr>
              <w:footnoteReference w:id="33"/>
            </w:r>
            <w:r w:rsidR="00924C90" w:rsidRPr="008A4B76">
              <w:rPr>
                <w:bCs/>
                <w:iCs/>
              </w:rPr>
              <w:t xml:space="preserve"> un </w:t>
            </w:r>
            <w:r w:rsidR="00876F00" w:rsidRPr="008A4B76">
              <w:rPr>
                <w:bCs/>
                <w:iCs/>
              </w:rPr>
              <w:t xml:space="preserve">Eiropas Savienības struktūrfondu un Kohēzijas fonda uzraudzības komitejas </w:t>
            </w:r>
            <w:r w:rsidR="00D10691" w:rsidRPr="008A4B76">
              <w:rPr>
                <w:bCs/>
                <w:iCs/>
              </w:rPr>
              <w:t>2017.gada 28.novembra sēdē</w:t>
            </w:r>
            <w:r w:rsidR="00924C90" w:rsidRPr="008A4B76">
              <w:rPr>
                <w:bCs/>
                <w:iCs/>
              </w:rPr>
              <w:t xml:space="preserve"> virzīti apstiprināšanai</w:t>
            </w:r>
            <w:r w:rsidR="00D10691" w:rsidRPr="008A4B76">
              <w:rPr>
                <w:bCs/>
                <w:iCs/>
              </w:rPr>
              <w:t>.</w:t>
            </w:r>
          </w:p>
        </w:tc>
      </w:tr>
      <w:tr w:rsidR="00593077" w:rsidRPr="008A4B76" w14:paraId="7DDAE4F9" w14:textId="77777777" w:rsidTr="001B4247">
        <w:trPr>
          <w:trHeight w:val="35"/>
        </w:trPr>
        <w:tc>
          <w:tcPr>
            <w:tcW w:w="161" w:type="pct"/>
            <w:tcBorders>
              <w:top w:val="single" w:sz="4" w:space="0" w:color="auto"/>
              <w:left w:val="nil"/>
              <w:bottom w:val="single" w:sz="4" w:space="0" w:color="auto"/>
              <w:right w:val="nil"/>
            </w:tcBorders>
          </w:tcPr>
          <w:p w14:paraId="2235CD60" w14:textId="77777777" w:rsidR="00593077" w:rsidRPr="008A4B76" w:rsidRDefault="00593077" w:rsidP="00DD2EFA">
            <w:pPr>
              <w:spacing w:before="100" w:beforeAutospacing="1" w:after="100" w:afterAutospacing="1"/>
            </w:pPr>
          </w:p>
        </w:tc>
        <w:tc>
          <w:tcPr>
            <w:tcW w:w="833" w:type="pct"/>
            <w:gridSpan w:val="2"/>
            <w:tcBorders>
              <w:top w:val="single" w:sz="4" w:space="0" w:color="auto"/>
              <w:left w:val="nil"/>
              <w:bottom w:val="single" w:sz="4" w:space="0" w:color="auto"/>
              <w:right w:val="nil"/>
            </w:tcBorders>
          </w:tcPr>
          <w:p w14:paraId="05148F0E" w14:textId="77777777" w:rsidR="00593077" w:rsidRPr="008A4B76" w:rsidRDefault="00593077" w:rsidP="00DD2EFA">
            <w:pPr>
              <w:spacing w:before="100" w:beforeAutospacing="1" w:after="100" w:afterAutospacing="1"/>
            </w:pPr>
          </w:p>
        </w:tc>
        <w:tc>
          <w:tcPr>
            <w:tcW w:w="4006" w:type="pct"/>
            <w:gridSpan w:val="2"/>
            <w:tcBorders>
              <w:top w:val="single" w:sz="4" w:space="0" w:color="auto"/>
              <w:left w:val="nil"/>
              <w:bottom w:val="single" w:sz="4" w:space="0" w:color="auto"/>
              <w:right w:val="nil"/>
            </w:tcBorders>
          </w:tcPr>
          <w:p w14:paraId="00C0C1E3" w14:textId="77777777" w:rsidR="00593077" w:rsidRPr="008A4B76" w:rsidRDefault="00593077" w:rsidP="00DD2EFA">
            <w:pPr>
              <w:ind w:right="91"/>
              <w:jc w:val="both"/>
            </w:pPr>
          </w:p>
        </w:tc>
      </w:tr>
      <w:tr w:rsidR="009A72C5" w:rsidRPr="008A4B76" w14:paraId="79873B3C" w14:textId="77777777" w:rsidTr="001B4247">
        <w:tc>
          <w:tcPr>
            <w:tcW w:w="5000" w:type="pct"/>
            <w:gridSpan w:val="5"/>
            <w:tcBorders>
              <w:top w:val="single" w:sz="4" w:space="0" w:color="auto"/>
              <w:left w:val="single" w:sz="4" w:space="0" w:color="auto"/>
              <w:bottom w:val="single" w:sz="4" w:space="0" w:color="auto"/>
              <w:right w:val="single" w:sz="4" w:space="0" w:color="auto"/>
            </w:tcBorders>
            <w:vAlign w:val="center"/>
          </w:tcPr>
          <w:p w14:paraId="518F178C" w14:textId="77777777" w:rsidR="009A72C5" w:rsidRPr="008A4B76" w:rsidRDefault="009A72C5" w:rsidP="00DD2EFA">
            <w:pPr>
              <w:spacing w:before="100" w:beforeAutospacing="1" w:after="100" w:afterAutospacing="1"/>
              <w:jc w:val="center"/>
              <w:rPr>
                <w:b/>
                <w:bCs/>
              </w:rPr>
            </w:pPr>
            <w:r w:rsidRPr="008A4B76">
              <w:rPr>
                <w:b/>
              </w:rPr>
              <w:t xml:space="preserve">II. </w:t>
            </w:r>
            <w:r w:rsidRPr="008A4B76">
              <w:rPr>
                <w:b/>
                <w:bCs/>
              </w:rPr>
              <w:t>Tiesību akta projekta ietekme uz sabiedrību, tautsaimniecības attīstību un administratīvo slogu</w:t>
            </w:r>
          </w:p>
        </w:tc>
      </w:tr>
      <w:tr w:rsidR="009A72C5" w:rsidRPr="008A4B76" w14:paraId="5084D3CF" w14:textId="77777777" w:rsidTr="001B4247">
        <w:tc>
          <w:tcPr>
            <w:tcW w:w="244" w:type="pct"/>
            <w:gridSpan w:val="2"/>
            <w:tcBorders>
              <w:top w:val="single" w:sz="4" w:space="0" w:color="auto"/>
              <w:left w:val="outset" w:sz="6" w:space="0" w:color="000000"/>
              <w:bottom w:val="outset" w:sz="6" w:space="0" w:color="000000"/>
              <w:right w:val="outset" w:sz="6" w:space="0" w:color="000000"/>
            </w:tcBorders>
          </w:tcPr>
          <w:p w14:paraId="53F863C8" w14:textId="77777777" w:rsidR="009A72C5" w:rsidRPr="008A4B76" w:rsidRDefault="009A72C5" w:rsidP="00DD2EFA">
            <w:pPr>
              <w:spacing w:before="100" w:beforeAutospacing="1" w:after="100" w:afterAutospacing="1"/>
              <w:jc w:val="center"/>
            </w:pPr>
            <w:r w:rsidRPr="008A4B76">
              <w:t>1.</w:t>
            </w:r>
          </w:p>
        </w:tc>
        <w:tc>
          <w:tcPr>
            <w:tcW w:w="985" w:type="pct"/>
            <w:gridSpan w:val="2"/>
            <w:tcBorders>
              <w:top w:val="single" w:sz="4" w:space="0" w:color="auto"/>
              <w:left w:val="outset" w:sz="6" w:space="0" w:color="000000"/>
              <w:bottom w:val="outset" w:sz="6" w:space="0" w:color="000000"/>
              <w:right w:val="outset" w:sz="6" w:space="0" w:color="000000"/>
            </w:tcBorders>
          </w:tcPr>
          <w:p w14:paraId="7B18DA93" w14:textId="77777777" w:rsidR="009A72C5" w:rsidRPr="008A4B76" w:rsidRDefault="009A72C5" w:rsidP="00DD2EFA">
            <w:pPr>
              <w:spacing w:before="100" w:beforeAutospacing="1" w:after="100" w:afterAutospacing="1"/>
            </w:pPr>
            <w:r w:rsidRPr="008A4B76">
              <w:t xml:space="preserve">Sabiedrības </w:t>
            </w:r>
            <w:proofErr w:type="spellStart"/>
            <w:r w:rsidRPr="008A4B76">
              <w:t>mērķgrupas</w:t>
            </w:r>
            <w:proofErr w:type="spellEnd"/>
            <w:r w:rsidRPr="008A4B76">
              <w:t>, kuras tiesiskais regulējums ietekmē vai varētu ietekmēt</w:t>
            </w:r>
          </w:p>
        </w:tc>
        <w:tc>
          <w:tcPr>
            <w:tcW w:w="3772" w:type="pct"/>
            <w:tcBorders>
              <w:top w:val="single" w:sz="4" w:space="0" w:color="auto"/>
              <w:left w:val="outset" w:sz="6" w:space="0" w:color="000000"/>
              <w:bottom w:val="outset" w:sz="6" w:space="0" w:color="000000"/>
              <w:right w:val="outset" w:sz="6" w:space="0" w:color="000000"/>
            </w:tcBorders>
          </w:tcPr>
          <w:p w14:paraId="03864154" w14:textId="77777777" w:rsidR="00E83FF0" w:rsidRPr="008A4B76" w:rsidRDefault="00E83FF0" w:rsidP="00E83FF0">
            <w:pPr>
              <w:ind w:right="91"/>
              <w:jc w:val="both"/>
            </w:pPr>
            <w:r w:rsidRPr="008A4B76">
              <w:t>Tiesiskais regulējums ietekmē augstākās izglītības institūcija</w:t>
            </w:r>
            <w:r w:rsidR="00342635" w:rsidRPr="008A4B76">
              <w:t>s</w:t>
            </w:r>
            <w:r w:rsidRPr="008A4B76">
              <w:t>, tai skaitā koledžas, iepriekš minēto institūciju akadēmisko personālu un studējošos.</w:t>
            </w:r>
          </w:p>
        </w:tc>
      </w:tr>
      <w:tr w:rsidR="009A72C5" w:rsidRPr="008A4B76" w14:paraId="1DD15E74" w14:textId="77777777" w:rsidTr="001B4247">
        <w:tc>
          <w:tcPr>
            <w:tcW w:w="244" w:type="pct"/>
            <w:gridSpan w:val="2"/>
            <w:tcBorders>
              <w:top w:val="outset" w:sz="6" w:space="0" w:color="000000"/>
              <w:left w:val="outset" w:sz="6" w:space="0" w:color="000000"/>
              <w:bottom w:val="outset" w:sz="6" w:space="0" w:color="000000"/>
              <w:right w:val="outset" w:sz="6" w:space="0" w:color="000000"/>
            </w:tcBorders>
          </w:tcPr>
          <w:p w14:paraId="12BE910E" w14:textId="77777777" w:rsidR="009A72C5" w:rsidRPr="008A4B76" w:rsidRDefault="009A72C5" w:rsidP="00DD2EFA">
            <w:pPr>
              <w:ind w:left="57" w:right="57"/>
              <w:jc w:val="center"/>
            </w:pPr>
            <w:r w:rsidRPr="008A4B76">
              <w:t>2.</w:t>
            </w:r>
          </w:p>
        </w:tc>
        <w:tc>
          <w:tcPr>
            <w:tcW w:w="985" w:type="pct"/>
            <w:gridSpan w:val="2"/>
            <w:tcBorders>
              <w:top w:val="outset" w:sz="6" w:space="0" w:color="000000"/>
              <w:left w:val="outset" w:sz="6" w:space="0" w:color="000000"/>
              <w:bottom w:val="outset" w:sz="6" w:space="0" w:color="000000"/>
              <w:right w:val="outset" w:sz="6" w:space="0" w:color="000000"/>
            </w:tcBorders>
          </w:tcPr>
          <w:p w14:paraId="33CF8C4B" w14:textId="77777777" w:rsidR="009A72C5" w:rsidRPr="008A4B76" w:rsidRDefault="009A72C5" w:rsidP="00DD2EFA">
            <w:pPr>
              <w:ind w:left="57" w:right="57"/>
            </w:pPr>
            <w:r w:rsidRPr="008A4B76">
              <w:t xml:space="preserve">Tiesiskā regulējuma ietekme uz tautsaimniecību un </w:t>
            </w:r>
            <w:r w:rsidRPr="008A4B76">
              <w:lastRenderedPageBreak/>
              <w:t>administratīvo slogu</w:t>
            </w:r>
          </w:p>
        </w:tc>
        <w:tc>
          <w:tcPr>
            <w:tcW w:w="3772" w:type="pct"/>
            <w:tcBorders>
              <w:top w:val="outset" w:sz="6" w:space="0" w:color="000000"/>
              <w:left w:val="outset" w:sz="6" w:space="0" w:color="000000"/>
              <w:bottom w:val="outset" w:sz="6" w:space="0" w:color="000000"/>
              <w:right w:val="outset" w:sz="6" w:space="0" w:color="000000"/>
            </w:tcBorders>
          </w:tcPr>
          <w:p w14:paraId="3C45FAA7" w14:textId="77777777" w:rsidR="009A72C5" w:rsidRPr="008A4B76" w:rsidRDefault="009A72C5" w:rsidP="00DD2EFA">
            <w:pPr>
              <w:shd w:val="clear" w:color="auto" w:fill="FFFFFF"/>
              <w:ind w:left="57" w:right="113"/>
              <w:jc w:val="both"/>
              <w:rPr>
                <w:b/>
              </w:rPr>
            </w:pPr>
            <w:r w:rsidRPr="008A4B76">
              <w:rPr>
                <w:b/>
              </w:rPr>
              <w:lastRenderedPageBreak/>
              <w:t>Ietekme uz makroekonomisko vidi</w:t>
            </w:r>
            <w:r w:rsidR="00F76013" w:rsidRPr="008A4B76">
              <w:rPr>
                <w:b/>
              </w:rPr>
              <w:t xml:space="preserve"> un uzņēmējdarbības vidi</w:t>
            </w:r>
            <w:r w:rsidRPr="008A4B76">
              <w:rPr>
                <w:b/>
              </w:rPr>
              <w:t>:</w:t>
            </w:r>
          </w:p>
          <w:p w14:paraId="63ADB79A" w14:textId="4EB99B6E" w:rsidR="002F7655" w:rsidRPr="008A4B76" w:rsidRDefault="002F7655" w:rsidP="00897269">
            <w:pPr>
              <w:shd w:val="clear" w:color="auto" w:fill="FFFFFF"/>
              <w:ind w:left="57" w:right="113"/>
              <w:jc w:val="both"/>
            </w:pPr>
            <w:r w:rsidRPr="008A4B76">
              <w:t>Studiju programmu piedāvājuma pārskatīšana</w:t>
            </w:r>
            <w:r w:rsidR="00ED394B" w:rsidRPr="008A4B76">
              <w:t xml:space="preserve">, konkurētspējīgu studiju programmu izstrāde </w:t>
            </w:r>
            <w:r w:rsidRPr="008A4B76">
              <w:t xml:space="preserve">un </w:t>
            </w:r>
            <w:r w:rsidR="00ED394B" w:rsidRPr="008A4B76">
              <w:t xml:space="preserve">augstākās izglītības  </w:t>
            </w:r>
            <w:r w:rsidRPr="008A4B76">
              <w:t>internacionalizācija</w:t>
            </w:r>
            <w:r w:rsidR="00ED394B" w:rsidRPr="008A4B76">
              <w:t>s stiprināšana</w:t>
            </w:r>
            <w:r w:rsidRPr="008A4B76">
              <w:t xml:space="preserve">, resursus koncentrējot uz mazāku skaitu </w:t>
            </w:r>
            <w:r w:rsidR="00395C7D" w:rsidRPr="008A4B76">
              <w:t>kvalitatīvāk</w:t>
            </w:r>
            <w:r w:rsidR="00ED394B" w:rsidRPr="008A4B76">
              <w:t>u</w:t>
            </w:r>
            <w:r w:rsidR="00395C7D" w:rsidRPr="008A4B76">
              <w:t xml:space="preserve"> studiju programmu</w:t>
            </w:r>
            <w:r w:rsidRPr="008A4B76">
              <w:t xml:space="preserve"> un </w:t>
            </w:r>
            <w:r w:rsidR="00395C7D" w:rsidRPr="008A4B76">
              <w:t xml:space="preserve">veicinot </w:t>
            </w:r>
            <w:r w:rsidRPr="008A4B76">
              <w:lastRenderedPageBreak/>
              <w:t xml:space="preserve">resursu koplietošanu starp vairākām augstskolām, </w:t>
            </w:r>
            <w:r w:rsidR="00395C7D" w:rsidRPr="008A4B76">
              <w:t>kā ar</w:t>
            </w:r>
            <w:r w:rsidR="009A6032" w:rsidRPr="008A4B76">
              <w:t xml:space="preserve">ī </w:t>
            </w:r>
            <w:r w:rsidRPr="008A4B76">
              <w:t>zinātniskajā pētniecībā balstītas kopīg</w:t>
            </w:r>
            <w:r w:rsidR="009A6032" w:rsidRPr="008A4B76">
              <w:t>u</w:t>
            </w:r>
            <w:r w:rsidRPr="008A4B76">
              <w:t xml:space="preserve"> doktorantūras studiju programm</w:t>
            </w:r>
            <w:r w:rsidR="009A6032" w:rsidRPr="008A4B76">
              <w:t>u izveide</w:t>
            </w:r>
            <w:r w:rsidRPr="008A4B76">
              <w:t xml:space="preserve"> kalpos kā pamats augstākās izglītības kvalitātes un konkurētspējas uzlabošanai.</w:t>
            </w:r>
            <w:r w:rsidR="00395C7D" w:rsidRPr="008A4B76">
              <w:t xml:space="preserve"> Tā kā 8.2.1. SAM aktivitātes ir vērstas uz uzlabojumiem augstākajā izglītībā, tādā veidā </w:t>
            </w:r>
            <w:r w:rsidR="009A6032" w:rsidRPr="008A4B76">
              <w:t xml:space="preserve">tiks </w:t>
            </w:r>
            <w:r w:rsidR="00395C7D" w:rsidRPr="008A4B76">
              <w:t>sekmē</w:t>
            </w:r>
            <w:r w:rsidR="009A6032" w:rsidRPr="008A4B76">
              <w:t>ta</w:t>
            </w:r>
            <w:r w:rsidR="00395C7D" w:rsidRPr="008A4B76">
              <w:t xml:space="preserve"> Latvijas augstākās izglītības konkurētspējas palielināšan</w:t>
            </w:r>
            <w:r w:rsidR="009A6032" w:rsidRPr="008A4B76">
              <w:t>ās</w:t>
            </w:r>
            <w:r w:rsidR="00395C7D" w:rsidRPr="008A4B76">
              <w:t xml:space="preserve"> un veicin</w:t>
            </w:r>
            <w:r w:rsidR="009A6032" w:rsidRPr="008A4B76">
              <w:t xml:space="preserve">āta </w:t>
            </w:r>
            <w:r w:rsidR="00395C7D" w:rsidRPr="008A4B76">
              <w:t>tautsaimniecības attīstīb</w:t>
            </w:r>
            <w:r w:rsidR="009A6032" w:rsidRPr="008A4B76">
              <w:t>a</w:t>
            </w:r>
            <w:r w:rsidR="00395C7D" w:rsidRPr="008A4B76">
              <w:t xml:space="preserve"> valstī kopumā.</w:t>
            </w:r>
            <w:r w:rsidR="009A6032" w:rsidRPr="008A4B76">
              <w:t xml:space="preserve"> </w:t>
            </w:r>
            <w:r w:rsidR="00B60A82" w:rsidRPr="008A4B76">
              <w:t xml:space="preserve">8.2.1. SAM īstenošanas rezultātā palielināsies iespēja Latvijas tautsaimniecībai piesaistīt starptautiskā vidē izglītotus, uzņēmīgus un ekonomiski aktīvus cilvēkus. </w:t>
            </w:r>
          </w:p>
          <w:p w14:paraId="1A696E1B" w14:textId="77777777" w:rsidR="000F2F0E" w:rsidRPr="008A4B76" w:rsidRDefault="000F2F0E" w:rsidP="00897269">
            <w:pPr>
              <w:shd w:val="clear" w:color="auto" w:fill="FFFFFF"/>
              <w:ind w:left="57" w:right="113"/>
              <w:jc w:val="both"/>
            </w:pPr>
            <w:r w:rsidRPr="008A4B76">
              <w:t>8.2.1. SAM īstenošanas rezultātā tiks veicināta ārvalstu studējošo piesaiste, kas pozitīvi ietekmēs ne tikai Latvijas augstākās izglītības sistēmu, bet arī valsts iekšzemes kopproduktu</w:t>
            </w:r>
            <w:r w:rsidR="00760554" w:rsidRPr="008A4B76">
              <w:t xml:space="preserve"> (turpmāk – IKP)</w:t>
            </w:r>
            <w:r w:rsidRPr="008A4B76">
              <w:t xml:space="preserve">, darba tirgu, valsts budžeta ieņēmumus, tautsaimniecību un valsts attīstību kopumā. Augstākās izglītības pakalpojumu eksports ir viena no straujāk augošajām eksporta nozarēm ar lielu izaugsmes potenciālu. Pienesums ekonomikai no šīs industrijas 2015./2016. studiju gadā kopumā bijis 148 milj. </w:t>
            </w:r>
            <w:proofErr w:type="spellStart"/>
            <w:r w:rsidRPr="008A4B76">
              <w:rPr>
                <w:i/>
              </w:rPr>
              <w:t>euro</w:t>
            </w:r>
            <w:proofErr w:type="spellEnd"/>
            <w:r w:rsidRPr="008A4B76">
              <w:t xml:space="preserve"> jeb 0,6% no iekšzemes kopprodukta.</w:t>
            </w:r>
            <w:r w:rsidRPr="008A4B76">
              <w:rPr>
                <w:rStyle w:val="FootnoteReference"/>
              </w:rPr>
              <w:footnoteReference w:id="34"/>
            </w:r>
          </w:p>
          <w:p w14:paraId="59B1CF82" w14:textId="77777777" w:rsidR="003F63AB" w:rsidRPr="008A4B76" w:rsidRDefault="003F63AB" w:rsidP="00897269">
            <w:pPr>
              <w:shd w:val="clear" w:color="auto" w:fill="FFFFFF"/>
              <w:ind w:left="57" w:right="113"/>
              <w:jc w:val="both"/>
            </w:pPr>
            <w:r w:rsidRPr="008A4B76">
              <w:t xml:space="preserve">8.2.1. SAM paplašinātā sākotnējā novērtējuma izstrādes procesā SIA „Jaunrades laboratorija” izvērtēja 8.2.1. SAM plānoto ieguldījumu lietderību, aprēķinot to ietekmi uz Latvijas tautsaimniecību 15 gadu pārskata periodā (līdz 2036 gadam). Detalizēts ieguvumu aprēķins sniegts 25.pielikumā “8.2.1. SAM lietderīguma </w:t>
            </w:r>
            <w:proofErr w:type="spellStart"/>
            <w:r w:rsidRPr="008A4B76">
              <w:t>izvērtējums</w:t>
            </w:r>
            <w:proofErr w:type="spellEnd"/>
            <w:r w:rsidRPr="008A4B76">
              <w:t>”</w:t>
            </w:r>
            <w:r w:rsidRPr="008A4B76">
              <w:rPr>
                <w:rStyle w:val="FootnoteReference"/>
              </w:rPr>
              <w:footnoteReference w:id="35"/>
            </w:r>
            <w:r w:rsidRPr="008A4B76">
              <w:t xml:space="preserve">. </w:t>
            </w:r>
          </w:p>
          <w:p w14:paraId="157295EE" w14:textId="77777777" w:rsidR="000F2F0E" w:rsidRPr="008A4B76" w:rsidRDefault="000F2F0E" w:rsidP="000F2F0E">
            <w:pPr>
              <w:shd w:val="clear" w:color="auto" w:fill="FFFFFF"/>
              <w:ind w:left="57" w:right="113"/>
              <w:jc w:val="both"/>
            </w:pPr>
            <w:r w:rsidRPr="008A4B76">
              <w:t>8.2.1. SAM ietekme būs novērojama makroekonomiskā līmenī, un paredzams, ka papildus piesaistīti studenti atstās ietekmi uz tautsaimniecību šādi:</w:t>
            </w:r>
          </w:p>
          <w:p w14:paraId="67EE8DEC" w14:textId="77777777" w:rsidR="000F2F0E" w:rsidRPr="008A4B76" w:rsidRDefault="000F2F0E" w:rsidP="00EF7677">
            <w:pPr>
              <w:pStyle w:val="ListParagraph"/>
              <w:numPr>
                <w:ilvl w:val="0"/>
                <w:numId w:val="31"/>
              </w:numPr>
              <w:shd w:val="clear" w:color="auto" w:fill="FFFFFF"/>
              <w:ind w:left="554" w:right="113" w:hanging="305"/>
            </w:pPr>
            <w:r w:rsidRPr="008A4B76">
              <w:t>ar savu tiešo pienesumu Latvijas tautsaimniecībai, studiju laikā tērējot savus finanšu līdzekļus ikdienas precēm, maksājot par dzīvošanu Latvijā un piesaistot papildu tūristus;</w:t>
            </w:r>
          </w:p>
          <w:p w14:paraId="45C774FE" w14:textId="77777777" w:rsidR="000F2F0E" w:rsidRPr="008A4B76" w:rsidRDefault="000F2F0E" w:rsidP="00EF7677">
            <w:pPr>
              <w:pStyle w:val="ListParagraph"/>
              <w:numPr>
                <w:ilvl w:val="0"/>
                <w:numId w:val="31"/>
              </w:numPr>
              <w:shd w:val="clear" w:color="auto" w:fill="FFFFFF"/>
              <w:ind w:left="554" w:right="113" w:hanging="305"/>
            </w:pPr>
            <w:r w:rsidRPr="008A4B76">
              <w:t>radot darba vietas izglītības un klientu apkalpošanas nozarēs;</w:t>
            </w:r>
          </w:p>
          <w:p w14:paraId="0FE02172" w14:textId="77777777" w:rsidR="000F2F0E" w:rsidRPr="008A4B76" w:rsidRDefault="000F2F0E" w:rsidP="00EF7677">
            <w:pPr>
              <w:pStyle w:val="ListParagraph"/>
              <w:numPr>
                <w:ilvl w:val="0"/>
                <w:numId w:val="31"/>
              </w:numPr>
              <w:shd w:val="clear" w:color="auto" w:fill="FFFFFF"/>
              <w:ind w:left="554" w:right="113" w:hanging="305"/>
            </w:pPr>
            <w:r w:rsidRPr="008A4B76">
              <w:t>pēc studiju beigām dibinot Latvijā jaunus uzņēmumus, radot jaunas darba vietas;</w:t>
            </w:r>
          </w:p>
          <w:p w14:paraId="246FDED8" w14:textId="77777777" w:rsidR="000F2F0E" w:rsidRPr="008A4B76" w:rsidRDefault="000F2F0E" w:rsidP="00EF7677">
            <w:pPr>
              <w:pStyle w:val="ListParagraph"/>
              <w:numPr>
                <w:ilvl w:val="0"/>
                <w:numId w:val="31"/>
              </w:numPr>
              <w:shd w:val="clear" w:color="auto" w:fill="FFFFFF"/>
              <w:ind w:left="554" w:right="113" w:hanging="305"/>
            </w:pPr>
            <w:r w:rsidRPr="008A4B76">
              <w:t>pēc studiju beigām atgriežoties mītnes zemē, dibinot uzņēmumu un veidojot sadarbību ar Latvijas uzņēmumiem.</w:t>
            </w:r>
          </w:p>
          <w:p w14:paraId="72C4C26F" w14:textId="77777777" w:rsidR="000F2F0E" w:rsidRPr="008A4B76" w:rsidRDefault="000F2F0E" w:rsidP="00897269">
            <w:pPr>
              <w:shd w:val="clear" w:color="auto" w:fill="FFFFFF"/>
              <w:ind w:left="57" w:right="113"/>
              <w:jc w:val="both"/>
            </w:pPr>
            <w:r w:rsidRPr="008A4B76">
              <w:t xml:space="preserve">Viens ārvalstu students gada laikā vidēji sniedz 8 246 </w:t>
            </w:r>
            <w:proofErr w:type="spellStart"/>
            <w:r w:rsidRPr="008A4B76">
              <w:rPr>
                <w:i/>
              </w:rPr>
              <w:t>euro</w:t>
            </w:r>
            <w:proofErr w:type="spellEnd"/>
            <w:r w:rsidRPr="008A4B76">
              <w:t xml:space="preserve"> pienesumu ekonomikai</w:t>
            </w:r>
            <w:r w:rsidR="00760554" w:rsidRPr="008A4B76">
              <w:rPr>
                <w:rStyle w:val="FootnoteReference"/>
              </w:rPr>
              <w:footnoteReference w:id="36"/>
            </w:r>
            <w:r w:rsidRPr="008A4B76">
              <w:t xml:space="preserve">, no kuriem 3 432 </w:t>
            </w:r>
            <w:proofErr w:type="spellStart"/>
            <w:r w:rsidRPr="008A4B76">
              <w:rPr>
                <w:i/>
              </w:rPr>
              <w:t>euro</w:t>
            </w:r>
            <w:proofErr w:type="spellEnd"/>
            <w:r w:rsidRPr="008A4B76">
              <w:t xml:space="preserve"> tiek iztērēti mājokļa apmaksāšanai, 3 696 </w:t>
            </w:r>
            <w:proofErr w:type="spellStart"/>
            <w:r w:rsidRPr="008A4B76">
              <w:rPr>
                <w:i/>
              </w:rPr>
              <w:t>euro</w:t>
            </w:r>
            <w:proofErr w:type="spellEnd"/>
            <w:r w:rsidRPr="008A4B76">
              <w:t xml:space="preserve"> par citiem izdevumiem (ikdienas tēriņi, izklaides u.t.t.). Papildus 1 118 </w:t>
            </w:r>
            <w:proofErr w:type="spellStart"/>
            <w:r w:rsidR="00760554" w:rsidRPr="008A4B76">
              <w:rPr>
                <w:i/>
              </w:rPr>
              <w:t>euro</w:t>
            </w:r>
            <w:proofErr w:type="spellEnd"/>
            <w:r w:rsidRPr="008A4B76">
              <w:t xml:space="preserve"> sniedz tūristi – ģimene un draugi, kas ierodas Latvijā, lai viesotos pie šī studenta. Tiek pieņemts, ka viens students Latvijā pavadīs vidēji 3 gadus, kas nozīmē, ka viena studenta pienesums studiju laikā būs 24 738 </w:t>
            </w:r>
            <w:proofErr w:type="spellStart"/>
            <w:r w:rsidRPr="008A4B76">
              <w:rPr>
                <w:i/>
              </w:rPr>
              <w:t>euro</w:t>
            </w:r>
            <w:proofErr w:type="spellEnd"/>
            <w:r w:rsidRPr="008A4B76">
              <w:t xml:space="preserve">. Līdz 2036. gadam 8.2.1. SAM  rezultātā papildus </w:t>
            </w:r>
            <w:r w:rsidRPr="008A4B76">
              <w:lastRenderedPageBreak/>
              <w:t xml:space="preserve">piesaistītie ārvalstu studenti radīs 94,3 milj. </w:t>
            </w:r>
            <w:proofErr w:type="spellStart"/>
            <w:r w:rsidRPr="008A4B76">
              <w:rPr>
                <w:i/>
              </w:rPr>
              <w:t>euro</w:t>
            </w:r>
            <w:proofErr w:type="spellEnd"/>
            <w:r w:rsidRPr="008A4B76">
              <w:t xml:space="preserve"> (diskontētā vērtība) pienesumu IKP reālistiskajā scenārijā un 538,7 milj. </w:t>
            </w:r>
            <w:proofErr w:type="spellStart"/>
            <w:r w:rsidRPr="008A4B76">
              <w:rPr>
                <w:i/>
              </w:rPr>
              <w:t>euro</w:t>
            </w:r>
            <w:proofErr w:type="spellEnd"/>
            <w:r w:rsidRPr="008A4B76">
              <w:t xml:space="preserve"> pienesumu IKP optimistiskajā scenārijā, tērējot finanšu līdzekļus studiju laikā.</w:t>
            </w:r>
          </w:p>
          <w:p w14:paraId="0163FE7C" w14:textId="77777777" w:rsidR="000F2F0E" w:rsidRPr="008A4B76" w:rsidRDefault="000F2F0E" w:rsidP="00897269">
            <w:pPr>
              <w:shd w:val="clear" w:color="auto" w:fill="FFFFFF"/>
              <w:ind w:left="57" w:right="113"/>
              <w:jc w:val="both"/>
            </w:pPr>
            <w:r w:rsidRPr="008A4B76">
              <w:t>8.2.1. SAM īstenošanas rezultātā piesaistīto ārvalstu studentu dzīvošanas un studēšanas organizēšanai un nodrošināšanai studiju laikā (3 gadi) būs nepieciešams papildu darbaspēks (pasniedzēji, nekustamā īpašuma aģenti, pārdēvēji veikalos u.c.). Viens ārvalstu students radīs pieprasījumu pēc papildus 0.27 darba vietām</w:t>
            </w:r>
            <w:r w:rsidR="00EF18C0" w:rsidRPr="008A4B76">
              <w:rPr>
                <w:rStyle w:val="FootnoteReference"/>
              </w:rPr>
              <w:footnoteReference w:id="37"/>
            </w:r>
            <w:r w:rsidRPr="008A4B76">
              <w:t xml:space="preserve">. Valsts IKP uz vienu strādājošo 2016. gadā bija 28 197 </w:t>
            </w:r>
            <w:proofErr w:type="spellStart"/>
            <w:r w:rsidR="00760554" w:rsidRPr="008A4B76">
              <w:rPr>
                <w:i/>
              </w:rPr>
              <w:t>euro</w:t>
            </w:r>
            <w:proofErr w:type="spellEnd"/>
            <w:r w:rsidRPr="008A4B76">
              <w:t xml:space="preserve">. 8.2.1. SAM rezultātā nepieciešama papildu slodze rada 22 197 </w:t>
            </w:r>
            <w:proofErr w:type="spellStart"/>
            <w:r w:rsidR="00057077" w:rsidRPr="008A4B76">
              <w:rPr>
                <w:i/>
              </w:rPr>
              <w:t>euro</w:t>
            </w:r>
            <w:proofErr w:type="spellEnd"/>
            <w:r w:rsidRPr="008A4B76">
              <w:rPr>
                <w:i/>
              </w:rPr>
              <w:t xml:space="preserve"> </w:t>
            </w:r>
            <w:r w:rsidRPr="008A4B76">
              <w:t xml:space="preserve">pienesumu IKP gada laikā. Ņemot vērā imatrikulēto ārvalstu studentu skaitu, radītā papildus slodze līdz 2036. gadam sniegs 87 milj. </w:t>
            </w:r>
            <w:proofErr w:type="spellStart"/>
            <w:r w:rsidR="00760554" w:rsidRPr="008A4B76">
              <w:rPr>
                <w:i/>
              </w:rPr>
              <w:t>euro</w:t>
            </w:r>
            <w:proofErr w:type="spellEnd"/>
            <w:r w:rsidRPr="008A4B76">
              <w:t xml:space="preserve"> (diskontētā vērtība) pienesumu IKP reālistiskajā scenārijā un 497 milj. </w:t>
            </w:r>
            <w:proofErr w:type="spellStart"/>
            <w:r w:rsidR="00760554" w:rsidRPr="008A4B76">
              <w:rPr>
                <w:i/>
              </w:rPr>
              <w:t>euro</w:t>
            </w:r>
            <w:proofErr w:type="spellEnd"/>
            <w:r w:rsidRPr="008A4B76">
              <w:t xml:space="preserve"> pienesumu IKP optimistiskajā scenārijā.</w:t>
            </w:r>
          </w:p>
          <w:p w14:paraId="74268CB9" w14:textId="77777777" w:rsidR="000F2F0E" w:rsidRPr="008A4B76" w:rsidRDefault="000F2F0E" w:rsidP="00897269">
            <w:pPr>
              <w:shd w:val="clear" w:color="auto" w:fill="FFFFFF"/>
              <w:ind w:left="57" w:right="113"/>
              <w:jc w:val="both"/>
            </w:pPr>
            <w:r w:rsidRPr="008A4B76">
              <w:t>Ārvalstu studenti, kuri paliks Latvijā pēc studiju beigām un uzsāks uzņēmējdarbību, arī veido potenciālo pienesumu IKP. R</w:t>
            </w:r>
            <w:r w:rsidR="00EF18C0" w:rsidRPr="008A4B76">
              <w:t>īgas Tehniskās universitātes</w:t>
            </w:r>
            <w:r w:rsidRPr="008A4B76">
              <w:t xml:space="preserve"> 2013. gada pētījumā 2% ārvalstu studenti norādīja, ka plāno palikt Latvijā pavisam, un 5% norādīja, ka plāno uzturēties kādu laiku pēc studiju noslēguma</w:t>
            </w:r>
            <w:r w:rsidR="00EF18C0" w:rsidRPr="008A4B76">
              <w:rPr>
                <w:rStyle w:val="FootnoteReference"/>
              </w:rPr>
              <w:footnoteReference w:id="38"/>
            </w:r>
            <w:r w:rsidRPr="008A4B76">
              <w:t>. Kāda daļa AII beidzēju nodarbosies ar uzņēmējdarbību pēc grāda vai kvalifikācijas iegūšanas, precīzi nevar prognozēt. Aprēķinā tiek pieņemts, ka tie būs 4%</w:t>
            </w:r>
            <w:r w:rsidR="00EF18C0" w:rsidRPr="008A4B76">
              <w:rPr>
                <w:rStyle w:val="FootnoteReference"/>
              </w:rPr>
              <w:footnoteReference w:id="39"/>
            </w:r>
            <w:r w:rsidRPr="008A4B76">
              <w:t xml:space="preserve"> no grādu vai kvalifikāciju ieguvušajiem. Tiek pieņemts, ka pirmie uzņēmumi varētu tikt nodibināti 2024. gadā ar sākotnējo apgrozījumu 100 000 </w:t>
            </w:r>
            <w:proofErr w:type="spellStart"/>
            <w:r w:rsidR="00760554" w:rsidRPr="008A4B76">
              <w:rPr>
                <w:i/>
              </w:rPr>
              <w:t>euro</w:t>
            </w:r>
            <w:proofErr w:type="spellEnd"/>
            <w:r w:rsidRPr="008A4B76">
              <w:t xml:space="preserve"> gadā</w:t>
            </w:r>
            <w:r w:rsidR="00EF18C0" w:rsidRPr="008A4B76">
              <w:rPr>
                <w:rStyle w:val="FootnoteReference"/>
              </w:rPr>
              <w:footnoteReference w:id="40"/>
            </w:r>
            <w:r w:rsidRPr="008A4B76">
              <w:t xml:space="preserve">, katrā nākamajā gadā palielinoties par 50 000 </w:t>
            </w:r>
            <w:proofErr w:type="spellStart"/>
            <w:r w:rsidR="00EF18C0" w:rsidRPr="008A4B76">
              <w:rPr>
                <w:i/>
              </w:rPr>
              <w:t>euro</w:t>
            </w:r>
            <w:proofErr w:type="spellEnd"/>
            <w:r w:rsidRPr="008A4B76">
              <w:t xml:space="preserve">. 8.2.1. SAM pārskata periodā (līdz 2036. gadam) šo studentu dibināto uzņēmumu pienesums IKP sastādīs 17,45 milj. </w:t>
            </w:r>
            <w:proofErr w:type="spellStart"/>
            <w:r w:rsidR="00EF18C0" w:rsidRPr="008A4B76">
              <w:rPr>
                <w:i/>
              </w:rPr>
              <w:t>euro</w:t>
            </w:r>
            <w:proofErr w:type="spellEnd"/>
            <w:r w:rsidRPr="008A4B76">
              <w:t xml:space="preserve"> reālistiskajā scenārijā un 35 milj. </w:t>
            </w:r>
            <w:proofErr w:type="spellStart"/>
            <w:r w:rsidR="00760554" w:rsidRPr="008A4B76">
              <w:rPr>
                <w:i/>
              </w:rPr>
              <w:t>euro</w:t>
            </w:r>
            <w:proofErr w:type="spellEnd"/>
            <w:r w:rsidRPr="008A4B76">
              <w:t xml:space="preserve"> optimistiskajā scenārijā. Ekonomiskais un sociālais pienesums, kuru radīs papildus darba vietas, netiek aplēsts, jo atalgojums darbiniekiem tiek maksāts no uzņēmuma apgrozījuma naudas, t.i., ietilpst augstāk minētajos 17.45 milj. </w:t>
            </w:r>
            <w:proofErr w:type="spellStart"/>
            <w:r w:rsidR="00760554" w:rsidRPr="008A4B76">
              <w:rPr>
                <w:i/>
              </w:rPr>
              <w:t>euro</w:t>
            </w:r>
            <w:proofErr w:type="spellEnd"/>
            <w:r w:rsidRPr="008A4B76">
              <w:t>.</w:t>
            </w:r>
          </w:p>
          <w:p w14:paraId="05F17F76" w14:textId="77777777" w:rsidR="000F2F0E" w:rsidRPr="008A4B76" w:rsidRDefault="000F2F0E" w:rsidP="00897269">
            <w:pPr>
              <w:shd w:val="clear" w:color="auto" w:fill="FFFFFF"/>
              <w:ind w:left="57" w:right="113"/>
              <w:jc w:val="both"/>
            </w:pPr>
            <w:r w:rsidRPr="008A4B76">
              <w:t xml:space="preserve">Ārvalstu studentu kopējā ietekmē uz IKP 8.2.1. SAM pārskata perioda ietvaros (līdz 2036. gadam) veidos no 1 052 908 650 </w:t>
            </w:r>
            <w:proofErr w:type="spellStart"/>
            <w:r w:rsidR="00760554" w:rsidRPr="008A4B76">
              <w:rPr>
                <w:i/>
              </w:rPr>
              <w:t>euro</w:t>
            </w:r>
            <w:proofErr w:type="spellEnd"/>
            <w:r w:rsidRPr="008A4B76">
              <w:t xml:space="preserve"> (reālistiskais scenārijs) līdz 1 905 309 868 </w:t>
            </w:r>
            <w:proofErr w:type="spellStart"/>
            <w:r w:rsidR="00760554" w:rsidRPr="008A4B76">
              <w:rPr>
                <w:i/>
              </w:rPr>
              <w:t>euro</w:t>
            </w:r>
            <w:proofErr w:type="spellEnd"/>
            <w:r w:rsidRPr="008A4B76">
              <w:t xml:space="preserve"> (optimistiskais </w:t>
            </w:r>
            <w:r w:rsidRPr="008A4B76">
              <w:lastRenderedPageBreak/>
              <w:t>scenārijs). Vidējie nodokļu ieņēmumi Latvijā veido 28%</w:t>
            </w:r>
            <w:r w:rsidR="00EF18C0" w:rsidRPr="008A4B76">
              <w:rPr>
                <w:rStyle w:val="FootnoteReference"/>
              </w:rPr>
              <w:footnoteReference w:id="41"/>
            </w:r>
            <w:r w:rsidRPr="008A4B76">
              <w:t xml:space="preserve">. Pienesums valsts budžetam no nodokļu ieņēmumiem 8.2.1. SAM pārskata perioda ietvaros (līdz 2036. gadam) būs 55,74 milj. </w:t>
            </w:r>
            <w:proofErr w:type="spellStart"/>
            <w:r w:rsidR="00760554" w:rsidRPr="008A4B76">
              <w:rPr>
                <w:i/>
              </w:rPr>
              <w:t>euro</w:t>
            </w:r>
            <w:proofErr w:type="spellEnd"/>
            <w:r w:rsidRPr="008A4B76">
              <w:t xml:space="preserve"> reālistiskajā scenārijā līdz 300 milj. </w:t>
            </w:r>
            <w:proofErr w:type="spellStart"/>
            <w:r w:rsidR="00760554" w:rsidRPr="008A4B76">
              <w:rPr>
                <w:i/>
              </w:rPr>
              <w:t>euro</w:t>
            </w:r>
            <w:proofErr w:type="spellEnd"/>
            <w:r w:rsidRPr="008A4B76">
              <w:t xml:space="preserve"> optimistiskajā scenārijā.</w:t>
            </w:r>
          </w:p>
          <w:p w14:paraId="1CB38040" w14:textId="77777777" w:rsidR="000F2F0E" w:rsidRPr="008A4B76" w:rsidRDefault="000F2F0E" w:rsidP="00897269">
            <w:pPr>
              <w:shd w:val="clear" w:color="auto" w:fill="FFFFFF"/>
              <w:ind w:left="57" w:right="113"/>
              <w:jc w:val="both"/>
            </w:pPr>
          </w:p>
          <w:p w14:paraId="2D4BDB70" w14:textId="77777777" w:rsidR="009A72C5" w:rsidRPr="008A4B76" w:rsidRDefault="009A72C5" w:rsidP="00DD2EFA">
            <w:pPr>
              <w:shd w:val="clear" w:color="auto" w:fill="FFFFFF"/>
              <w:ind w:left="57" w:right="113"/>
              <w:jc w:val="both"/>
              <w:rPr>
                <w:b/>
              </w:rPr>
            </w:pPr>
            <w:r w:rsidRPr="008A4B76">
              <w:rPr>
                <w:b/>
              </w:rPr>
              <w:t xml:space="preserve">Ietekme uz administratīvajām procedūrām un to izmaksām: </w:t>
            </w:r>
          </w:p>
          <w:p w14:paraId="522E1667" w14:textId="77777777" w:rsidR="00342635" w:rsidRPr="008A4B76" w:rsidRDefault="00342635" w:rsidP="00342635">
            <w:pPr>
              <w:shd w:val="clear" w:color="auto" w:fill="FFFFFF"/>
              <w:ind w:left="57" w:right="113"/>
              <w:jc w:val="both"/>
            </w:pPr>
            <w:r w:rsidRPr="008A4B76">
              <w:t>Kopumā sabiedrības grupām un institūcijām noteikumu projekta tiesiskais regulējums nemaina tiesības un pienākumus, kā arī veicamās darbības.</w:t>
            </w:r>
          </w:p>
          <w:p w14:paraId="4D1E4888" w14:textId="77777777" w:rsidR="00041498" w:rsidRPr="008A4B76" w:rsidRDefault="00041498" w:rsidP="007B1450">
            <w:pPr>
              <w:shd w:val="clear" w:color="auto" w:fill="FFFFFF"/>
              <w:ind w:left="57" w:right="113"/>
              <w:jc w:val="both"/>
            </w:pPr>
            <w:r w:rsidRPr="008A4B76">
              <w:t>8.</w:t>
            </w:r>
            <w:r w:rsidR="007B1450" w:rsidRPr="008A4B76">
              <w:t>2</w:t>
            </w:r>
            <w:r w:rsidRPr="008A4B76">
              <w:t>.</w:t>
            </w:r>
            <w:r w:rsidR="007B1450" w:rsidRPr="008A4B76">
              <w:t>1</w:t>
            </w:r>
            <w:r w:rsidRPr="008A4B76">
              <w:t>. SAM ietvaros finansējuma saņēmējs nodrošina noteikumu projekt</w:t>
            </w:r>
            <w:r w:rsidR="00342635" w:rsidRPr="008A4B76">
              <w:t>ā</w:t>
            </w:r>
            <w:r w:rsidRPr="008A4B76">
              <w:t xml:space="preserve"> minētos informācijas sniegšanas pasākumus.</w:t>
            </w:r>
          </w:p>
        </w:tc>
      </w:tr>
      <w:tr w:rsidR="009A72C5" w:rsidRPr="008A4B76" w14:paraId="56B79E14" w14:textId="77777777" w:rsidTr="001B4247">
        <w:tc>
          <w:tcPr>
            <w:tcW w:w="244" w:type="pct"/>
            <w:gridSpan w:val="2"/>
            <w:tcBorders>
              <w:top w:val="outset" w:sz="6" w:space="0" w:color="000000"/>
              <w:left w:val="outset" w:sz="6" w:space="0" w:color="000000"/>
              <w:bottom w:val="outset" w:sz="6" w:space="0" w:color="000000"/>
              <w:right w:val="outset" w:sz="6" w:space="0" w:color="000000"/>
            </w:tcBorders>
          </w:tcPr>
          <w:p w14:paraId="042141D7" w14:textId="77777777" w:rsidR="009A72C5" w:rsidRPr="008A4B76" w:rsidRDefault="009A72C5" w:rsidP="00DD2EFA">
            <w:pPr>
              <w:ind w:left="57" w:right="57"/>
              <w:jc w:val="center"/>
            </w:pPr>
            <w:r w:rsidRPr="008A4B76">
              <w:lastRenderedPageBreak/>
              <w:t>3.</w:t>
            </w:r>
          </w:p>
        </w:tc>
        <w:tc>
          <w:tcPr>
            <w:tcW w:w="985" w:type="pct"/>
            <w:gridSpan w:val="2"/>
            <w:tcBorders>
              <w:top w:val="outset" w:sz="6" w:space="0" w:color="000000"/>
              <w:left w:val="outset" w:sz="6" w:space="0" w:color="000000"/>
              <w:bottom w:val="outset" w:sz="6" w:space="0" w:color="000000"/>
              <w:right w:val="outset" w:sz="6" w:space="0" w:color="000000"/>
            </w:tcBorders>
          </w:tcPr>
          <w:p w14:paraId="0AE78357" w14:textId="77777777" w:rsidR="009A72C5" w:rsidRPr="008A4B76" w:rsidRDefault="009A72C5" w:rsidP="00DD2EFA">
            <w:pPr>
              <w:ind w:left="57" w:right="57"/>
            </w:pPr>
            <w:r w:rsidRPr="008A4B76">
              <w:t>Administratīvo izmaksu monetārs novērtējums</w:t>
            </w:r>
          </w:p>
        </w:tc>
        <w:tc>
          <w:tcPr>
            <w:tcW w:w="3772" w:type="pct"/>
            <w:tcBorders>
              <w:top w:val="outset" w:sz="6" w:space="0" w:color="000000"/>
              <w:left w:val="outset" w:sz="6" w:space="0" w:color="000000"/>
              <w:bottom w:val="outset" w:sz="6" w:space="0" w:color="000000"/>
              <w:right w:val="outset" w:sz="6" w:space="0" w:color="000000"/>
            </w:tcBorders>
          </w:tcPr>
          <w:p w14:paraId="6EA656DA" w14:textId="77777777" w:rsidR="00AD2DA1" w:rsidRPr="008A4B76" w:rsidRDefault="00AD2DA1" w:rsidP="00DD2EFA">
            <w:pPr>
              <w:shd w:val="clear" w:color="auto" w:fill="FFFFFF"/>
              <w:ind w:left="57" w:right="113"/>
              <w:jc w:val="both"/>
              <w:rPr>
                <w:b/>
              </w:rPr>
            </w:pPr>
            <w:r w:rsidRPr="008A4B76">
              <w:rPr>
                <w:b/>
              </w:rPr>
              <w:t>Administratīvās izmaksas:</w:t>
            </w:r>
          </w:p>
          <w:p w14:paraId="7E5ED683" w14:textId="77777777" w:rsidR="00B124DD" w:rsidRPr="008A4B76" w:rsidRDefault="00B124DD" w:rsidP="00B124DD">
            <w:pPr>
              <w:ind w:left="131" w:right="147"/>
              <w:jc w:val="both"/>
            </w:pPr>
            <w:r w:rsidRPr="008A4B76">
              <w:t xml:space="preserve">- ievietojot informāciju tīmekļa vietnē par piešķirto atbalstu: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proofErr w:type="spellStart"/>
            <w:r w:rsidRPr="008A4B76">
              <w:rPr>
                <w:i/>
                <w:iCs/>
              </w:rPr>
              <w:t>euro</w:t>
            </w:r>
            <w:proofErr w:type="spellEnd"/>
            <w:r w:rsidRPr="008A4B76">
              <w:t xml:space="preserve">; </w:t>
            </w:r>
          </w:p>
          <w:p w14:paraId="17586065" w14:textId="77777777" w:rsidR="00B124DD" w:rsidRPr="008A4B76" w:rsidRDefault="00B124DD" w:rsidP="00B124DD">
            <w:pPr>
              <w:ind w:left="131" w:right="147"/>
              <w:jc w:val="both"/>
            </w:pPr>
            <w:r w:rsidRPr="008A4B76">
              <w:t>- ievietojot informāciju tīmekļa vietnē par 8.2.</w:t>
            </w:r>
            <w:r w:rsidR="009D0471" w:rsidRPr="008A4B76">
              <w:t>1</w:t>
            </w:r>
            <w:r w:rsidRPr="008A4B76">
              <w:t xml:space="preserve">. SAM finansējuma saņēmēja projekta īstenošanu: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proofErr w:type="spellStart"/>
            <w:r w:rsidRPr="008A4B76">
              <w:rPr>
                <w:i/>
                <w:iCs/>
              </w:rPr>
              <w:t>euro</w:t>
            </w:r>
            <w:proofErr w:type="spellEnd"/>
            <w:r w:rsidRPr="008A4B76">
              <w:t>.</w:t>
            </w:r>
          </w:p>
          <w:p w14:paraId="3476BF76" w14:textId="77777777" w:rsidR="00B124DD" w:rsidRPr="008A4B76" w:rsidRDefault="00B124DD" w:rsidP="00B124DD">
            <w:pPr>
              <w:ind w:left="131" w:right="147"/>
              <w:jc w:val="both"/>
            </w:pPr>
            <w:r w:rsidRPr="008A4B76">
              <w:t>Administratīvo izmaksu monetārs novērtējums par ar datu uzkrāšanu/ievadīšanu, informācijas sagatavošanu un informācijas ievietošanu tīmekļa vietnē saistītajiem izdevumiem ir veikts indikatīvi.</w:t>
            </w:r>
          </w:p>
          <w:p w14:paraId="4A9BD142" w14:textId="77777777" w:rsidR="00B124DD" w:rsidRPr="008A4B76" w:rsidRDefault="00B124DD" w:rsidP="00B124DD">
            <w:pPr>
              <w:shd w:val="clear" w:color="auto" w:fill="FFFFFF"/>
              <w:ind w:left="57" w:right="113"/>
              <w:jc w:val="both"/>
            </w:pPr>
            <w:r w:rsidRPr="008A4B76">
              <w:t xml:space="preserve">Aprēķinam izmantots pieņēmums, ka informācijas sniegšanas un datu uzkrāšanas pienākumus veic darbinieki ar vidējo vienas stundas darba samaksu administratīvo un apkalpojošo dienestu darbības sektorā, kas 2017. gada I ceturksnī Latvijā bija 6,12 </w:t>
            </w:r>
            <w:proofErr w:type="spellStart"/>
            <w:r w:rsidRPr="008A4B76">
              <w:rPr>
                <w:i/>
                <w:iCs/>
              </w:rPr>
              <w:t>euro</w:t>
            </w:r>
            <w:proofErr w:type="spellEnd"/>
            <w:r w:rsidRPr="008A4B76">
              <w:t xml:space="preserve"> /stundā.  (</w:t>
            </w:r>
            <w:hyperlink r:id="rId8" w:history="1">
              <w:r w:rsidRPr="008A4B76">
                <w:rPr>
                  <w:rStyle w:val="Hyperlink"/>
                  <w:rFonts w:eastAsiaTheme="majorEastAsia"/>
                </w:rPr>
                <w:t>http://www.csb.gov.lv/statistikas-temas/darba-samaksa-galvenie-raditaji-30270.html</w:t>
              </w:r>
            </w:hyperlink>
            <w:r w:rsidRPr="008A4B76">
              <w:t xml:space="preserve">) un informācijas sniegšanas biežums visā projekta īstenošanas laikā ir 20 reizes (60 </w:t>
            </w:r>
            <w:proofErr w:type="spellStart"/>
            <w:r w:rsidRPr="008A4B76">
              <w:t>mēn</w:t>
            </w:r>
            <w:proofErr w:type="spellEnd"/>
            <w:r w:rsidRPr="008A4B76">
              <w:t xml:space="preserve"> / 3).</w:t>
            </w:r>
          </w:p>
        </w:tc>
      </w:tr>
      <w:tr w:rsidR="009A72C5" w:rsidRPr="008A4B76" w14:paraId="1C154484" w14:textId="77777777" w:rsidTr="001B4247">
        <w:tc>
          <w:tcPr>
            <w:tcW w:w="244" w:type="pct"/>
            <w:gridSpan w:val="2"/>
            <w:tcBorders>
              <w:top w:val="outset" w:sz="6" w:space="0" w:color="000000"/>
              <w:left w:val="outset" w:sz="6" w:space="0" w:color="000000"/>
              <w:bottom w:val="outset" w:sz="6" w:space="0" w:color="000000"/>
              <w:right w:val="outset" w:sz="6" w:space="0" w:color="000000"/>
            </w:tcBorders>
          </w:tcPr>
          <w:p w14:paraId="5D383B95" w14:textId="77777777" w:rsidR="009A72C5" w:rsidRPr="008A4B76" w:rsidRDefault="009A72C5" w:rsidP="00DD2EFA">
            <w:pPr>
              <w:ind w:left="57" w:right="57"/>
              <w:jc w:val="center"/>
            </w:pPr>
            <w:r w:rsidRPr="008A4B76">
              <w:t>4.</w:t>
            </w:r>
          </w:p>
        </w:tc>
        <w:tc>
          <w:tcPr>
            <w:tcW w:w="985" w:type="pct"/>
            <w:gridSpan w:val="2"/>
            <w:tcBorders>
              <w:top w:val="outset" w:sz="6" w:space="0" w:color="000000"/>
              <w:left w:val="outset" w:sz="6" w:space="0" w:color="000000"/>
              <w:bottom w:val="outset" w:sz="6" w:space="0" w:color="000000"/>
              <w:right w:val="outset" w:sz="6" w:space="0" w:color="000000"/>
            </w:tcBorders>
          </w:tcPr>
          <w:p w14:paraId="5152A68F" w14:textId="77777777" w:rsidR="009A72C5" w:rsidRPr="008A4B76" w:rsidRDefault="009A72C5" w:rsidP="00DD2EFA">
            <w:pPr>
              <w:ind w:left="57" w:right="57"/>
            </w:pPr>
            <w:r w:rsidRPr="008A4B76">
              <w:t> Cita informācija</w:t>
            </w:r>
          </w:p>
        </w:tc>
        <w:tc>
          <w:tcPr>
            <w:tcW w:w="3772" w:type="pct"/>
            <w:tcBorders>
              <w:top w:val="outset" w:sz="6" w:space="0" w:color="000000"/>
              <w:left w:val="outset" w:sz="6" w:space="0" w:color="000000"/>
              <w:bottom w:val="outset" w:sz="6" w:space="0" w:color="000000"/>
              <w:right w:val="outset" w:sz="6" w:space="0" w:color="000000"/>
            </w:tcBorders>
          </w:tcPr>
          <w:p w14:paraId="6ACC9736" w14:textId="77777777" w:rsidR="003F7229" w:rsidRPr="008A4B76" w:rsidRDefault="009C19B2" w:rsidP="007D18FC">
            <w:pPr>
              <w:ind w:firstLine="516"/>
              <w:jc w:val="both"/>
              <w:rPr>
                <w:rFonts w:eastAsia="Calibri"/>
                <w:color w:val="000000" w:themeColor="text1"/>
              </w:rPr>
            </w:pPr>
            <w:r w:rsidRPr="008A4B76">
              <w:rPr>
                <w:rFonts w:eastAsia="Calibri"/>
              </w:rPr>
              <w:t>8.</w:t>
            </w:r>
            <w:r w:rsidR="000D42F2" w:rsidRPr="008A4B76">
              <w:rPr>
                <w:rFonts w:eastAsia="Calibri"/>
              </w:rPr>
              <w:t>2</w:t>
            </w:r>
            <w:r w:rsidRPr="008A4B76">
              <w:rPr>
                <w:rFonts w:eastAsia="Calibri"/>
              </w:rPr>
              <w:t>.</w:t>
            </w:r>
            <w:r w:rsidR="000D42F2" w:rsidRPr="008A4B76">
              <w:rPr>
                <w:rFonts w:eastAsia="Calibri"/>
              </w:rPr>
              <w:t>1</w:t>
            </w:r>
            <w:r w:rsidRPr="008A4B76">
              <w:rPr>
                <w:rFonts w:eastAsia="Calibri"/>
                <w:color w:val="FF0000"/>
              </w:rPr>
              <w:t xml:space="preserve">. </w:t>
            </w:r>
            <w:r w:rsidRPr="008A4B76">
              <w:rPr>
                <w:rFonts w:eastAsia="Calibri"/>
                <w:color w:val="000000" w:themeColor="text1"/>
              </w:rPr>
              <w:t xml:space="preserve">SAM īstenošana atstās netiešu ietekmi uz </w:t>
            </w:r>
            <w:r w:rsidRPr="008A4B76">
              <w:rPr>
                <w:rFonts w:eastAsia="Calibri"/>
                <w:b/>
                <w:color w:val="000000" w:themeColor="text1"/>
              </w:rPr>
              <w:t>sociālo vidi</w:t>
            </w:r>
            <w:r w:rsidR="003F7229" w:rsidRPr="008A4B76">
              <w:rPr>
                <w:rFonts w:eastAsia="Calibri"/>
                <w:color w:val="000000" w:themeColor="text1"/>
              </w:rPr>
              <w:t>, jo</w:t>
            </w:r>
            <w:r w:rsidR="001C4B28" w:rsidRPr="008A4B76">
              <w:rPr>
                <w:rFonts w:eastAsia="Calibri"/>
                <w:color w:val="000000" w:themeColor="text1"/>
              </w:rPr>
              <w:t xml:space="preserve"> </w:t>
            </w:r>
            <w:r w:rsidR="00CB21B8" w:rsidRPr="008A4B76">
              <w:rPr>
                <w:rFonts w:eastAsia="Calibri"/>
                <w:color w:val="000000" w:themeColor="text1"/>
              </w:rPr>
              <w:t xml:space="preserve">ārvalstu studējošo skaita palielināšanās </w:t>
            </w:r>
            <w:r w:rsidR="001C4B28" w:rsidRPr="008A4B76">
              <w:rPr>
                <w:rFonts w:eastAsia="Calibri"/>
                <w:color w:val="000000" w:themeColor="text1"/>
              </w:rPr>
              <w:t>veicina</w:t>
            </w:r>
            <w:r w:rsidR="003F7229" w:rsidRPr="008A4B76">
              <w:rPr>
                <w:rFonts w:eastAsia="Calibri"/>
                <w:color w:val="000000" w:themeColor="text1"/>
              </w:rPr>
              <w:t xml:space="preserve"> </w:t>
            </w:r>
            <w:proofErr w:type="spellStart"/>
            <w:r w:rsidR="003F7229" w:rsidRPr="008A4B76">
              <w:rPr>
                <w:rFonts w:eastAsia="Calibri"/>
                <w:color w:val="000000" w:themeColor="text1"/>
              </w:rPr>
              <w:t>starpkultūru</w:t>
            </w:r>
            <w:proofErr w:type="spellEnd"/>
            <w:r w:rsidR="003F7229" w:rsidRPr="008A4B76">
              <w:rPr>
                <w:rFonts w:eastAsia="Calibri"/>
                <w:color w:val="000000" w:themeColor="text1"/>
              </w:rPr>
              <w:t xml:space="preserve"> </w:t>
            </w:r>
            <w:r w:rsidR="001C061F" w:rsidRPr="008A4B76">
              <w:rPr>
                <w:rFonts w:eastAsia="Calibri"/>
                <w:color w:val="000000" w:themeColor="text1"/>
              </w:rPr>
              <w:t>komunikāciju un integrāciju.</w:t>
            </w:r>
            <w:r w:rsidR="00CB21B8" w:rsidRPr="008A4B76">
              <w:rPr>
                <w:rFonts w:eastAsia="Calibri"/>
                <w:color w:val="000000" w:themeColor="text1"/>
              </w:rPr>
              <w:t xml:space="preserve"> </w:t>
            </w:r>
          </w:p>
          <w:p w14:paraId="45D1D599" w14:textId="77777777" w:rsidR="009C19B2" w:rsidRPr="008A4B76" w:rsidRDefault="00607AFA" w:rsidP="009C19B2">
            <w:pPr>
              <w:jc w:val="both"/>
              <w:rPr>
                <w:rFonts w:eastAsia="Calibri"/>
                <w:color w:val="000000" w:themeColor="text1"/>
              </w:rPr>
            </w:pPr>
            <w:r w:rsidRPr="008A4B76">
              <w:rPr>
                <w:rFonts w:eastAsia="Calibri"/>
                <w:color w:val="000000" w:themeColor="text1"/>
              </w:rPr>
              <w:t xml:space="preserve">Augstākās izglītības kvalitātes </w:t>
            </w:r>
            <w:r w:rsidR="009C19B2" w:rsidRPr="008A4B76">
              <w:rPr>
                <w:rFonts w:eastAsia="Calibri"/>
                <w:color w:val="000000" w:themeColor="text1"/>
              </w:rPr>
              <w:t>uzlabošanās dos arī papildus sociālos ieguvumus</w:t>
            </w:r>
            <w:r w:rsidR="00944985" w:rsidRPr="008A4B76">
              <w:rPr>
                <w:rFonts w:eastAsia="Calibri"/>
                <w:color w:val="000000" w:themeColor="text1"/>
              </w:rPr>
              <w:t xml:space="preserve">, jo </w:t>
            </w:r>
            <w:r w:rsidRPr="008A4B76">
              <w:rPr>
                <w:rFonts w:eastAsia="Calibri"/>
                <w:color w:val="000000" w:themeColor="text1"/>
              </w:rPr>
              <w:t>izglītota sabiedrība veicin</w:t>
            </w:r>
            <w:r w:rsidR="0054514A" w:rsidRPr="008A4B76">
              <w:rPr>
                <w:rFonts w:eastAsia="Calibri"/>
                <w:color w:val="000000" w:themeColor="text1"/>
              </w:rPr>
              <w:t>ās</w:t>
            </w:r>
            <w:r w:rsidRPr="008A4B76">
              <w:rPr>
                <w:rFonts w:eastAsia="Calibri"/>
                <w:color w:val="000000" w:themeColor="text1"/>
              </w:rPr>
              <w:t xml:space="preserve"> </w:t>
            </w:r>
            <w:r w:rsidR="009C19B2" w:rsidRPr="008A4B76">
              <w:rPr>
                <w:rFonts w:eastAsia="Calibri"/>
                <w:color w:val="000000" w:themeColor="text1"/>
              </w:rPr>
              <w:t>kultūras līmeņa</w:t>
            </w:r>
            <w:r w:rsidRPr="008A4B76">
              <w:rPr>
                <w:rFonts w:eastAsia="Calibri"/>
                <w:color w:val="000000" w:themeColor="text1"/>
              </w:rPr>
              <w:t xml:space="preserve"> attīstību, sociālo saliedētību un rad</w:t>
            </w:r>
            <w:r w:rsidR="0054514A" w:rsidRPr="008A4B76">
              <w:rPr>
                <w:rFonts w:eastAsia="Calibri"/>
                <w:color w:val="000000" w:themeColor="text1"/>
              </w:rPr>
              <w:t>īs</w:t>
            </w:r>
            <w:r w:rsidR="009C19B2" w:rsidRPr="008A4B76">
              <w:rPr>
                <w:rFonts w:eastAsia="Calibri"/>
                <w:color w:val="000000" w:themeColor="text1"/>
              </w:rPr>
              <w:t xml:space="preserve"> drošāku sabiedrisko vidi. </w:t>
            </w:r>
          </w:p>
          <w:p w14:paraId="1DFC267A" w14:textId="77777777" w:rsidR="009C19B2" w:rsidRPr="008A4B76" w:rsidRDefault="009C19B2" w:rsidP="007D18FC">
            <w:pPr>
              <w:ind w:firstLine="516"/>
              <w:jc w:val="both"/>
              <w:rPr>
                <w:rFonts w:eastAsia="Calibri"/>
                <w:color w:val="000000" w:themeColor="text1"/>
              </w:rPr>
            </w:pPr>
            <w:r w:rsidRPr="008A4B76">
              <w:rPr>
                <w:rFonts w:eastAsia="Calibri"/>
                <w:color w:val="000000" w:themeColor="text1"/>
              </w:rPr>
              <w:t>8.</w:t>
            </w:r>
            <w:r w:rsidR="000D42F2" w:rsidRPr="008A4B76">
              <w:rPr>
                <w:rFonts w:eastAsia="Calibri"/>
                <w:color w:val="000000" w:themeColor="text1"/>
              </w:rPr>
              <w:t>2</w:t>
            </w:r>
            <w:r w:rsidRPr="008A4B76">
              <w:rPr>
                <w:rFonts w:eastAsia="Calibri"/>
                <w:color w:val="000000" w:themeColor="text1"/>
              </w:rPr>
              <w:t>.</w:t>
            </w:r>
            <w:r w:rsidR="000D42F2" w:rsidRPr="008A4B76">
              <w:rPr>
                <w:rFonts w:eastAsia="Calibri"/>
                <w:color w:val="000000" w:themeColor="text1"/>
              </w:rPr>
              <w:t>1</w:t>
            </w:r>
            <w:r w:rsidRPr="008A4B76">
              <w:rPr>
                <w:rFonts w:eastAsia="Calibri"/>
                <w:color w:val="000000" w:themeColor="text1"/>
              </w:rPr>
              <w:t xml:space="preserve">. SAM </w:t>
            </w:r>
            <w:r w:rsidRPr="008A4B76">
              <w:rPr>
                <w:rFonts w:eastAsia="Calibri"/>
                <w:b/>
                <w:color w:val="000000" w:themeColor="text1"/>
              </w:rPr>
              <w:t>nav</w:t>
            </w:r>
            <w:r w:rsidRPr="008A4B76">
              <w:rPr>
                <w:rFonts w:eastAsia="Calibri"/>
                <w:color w:val="000000" w:themeColor="text1"/>
              </w:rPr>
              <w:t xml:space="preserve"> </w:t>
            </w:r>
            <w:r w:rsidRPr="008A4B76">
              <w:rPr>
                <w:rFonts w:eastAsia="Calibri"/>
                <w:b/>
                <w:color w:val="000000" w:themeColor="text1"/>
              </w:rPr>
              <w:t>ietekmes uz vidi</w:t>
            </w:r>
            <w:r w:rsidRPr="008A4B76">
              <w:rPr>
                <w:rFonts w:eastAsia="Calibri"/>
                <w:color w:val="000000" w:themeColor="text1"/>
              </w:rPr>
              <w:t xml:space="preserve">. </w:t>
            </w:r>
          </w:p>
          <w:p w14:paraId="6D5CCC44" w14:textId="77777777" w:rsidR="009A72C5" w:rsidRPr="008A4B76" w:rsidRDefault="009C19B2" w:rsidP="007D18FC">
            <w:pPr>
              <w:ind w:firstLine="516"/>
              <w:jc w:val="both"/>
              <w:rPr>
                <w:rFonts w:eastAsia="Calibri"/>
              </w:rPr>
            </w:pPr>
            <w:r w:rsidRPr="008A4B76">
              <w:rPr>
                <w:rFonts w:eastAsia="Calibri"/>
                <w:color w:val="000000" w:themeColor="text1"/>
              </w:rPr>
              <w:lastRenderedPageBreak/>
              <w:t>8.</w:t>
            </w:r>
            <w:r w:rsidR="000D42F2" w:rsidRPr="008A4B76">
              <w:rPr>
                <w:rFonts w:eastAsia="Calibri"/>
                <w:color w:val="000000" w:themeColor="text1"/>
              </w:rPr>
              <w:t>2</w:t>
            </w:r>
            <w:r w:rsidRPr="008A4B76">
              <w:rPr>
                <w:rFonts w:eastAsia="Calibri"/>
                <w:color w:val="000000" w:themeColor="text1"/>
              </w:rPr>
              <w:t>.</w:t>
            </w:r>
            <w:r w:rsidR="000D42F2" w:rsidRPr="008A4B76">
              <w:rPr>
                <w:rFonts w:eastAsia="Calibri"/>
                <w:color w:val="000000" w:themeColor="text1"/>
              </w:rPr>
              <w:t>1</w:t>
            </w:r>
            <w:r w:rsidRPr="008A4B76">
              <w:rPr>
                <w:rFonts w:eastAsia="Calibri"/>
                <w:color w:val="000000" w:themeColor="text1"/>
              </w:rPr>
              <w:t xml:space="preserve">. SAM ietvaros tiek plānota </w:t>
            </w:r>
            <w:r w:rsidRPr="008A4B76">
              <w:rPr>
                <w:rFonts w:eastAsia="Calibri"/>
                <w:b/>
                <w:color w:val="000000" w:themeColor="text1"/>
              </w:rPr>
              <w:t>netieša pozitīva ietekme</w:t>
            </w:r>
            <w:r w:rsidRPr="008A4B76">
              <w:rPr>
                <w:rFonts w:eastAsia="Calibri"/>
                <w:color w:val="000000" w:themeColor="text1"/>
              </w:rPr>
              <w:t xml:space="preserve"> uz horizontālo principu </w:t>
            </w:r>
            <w:r w:rsidRPr="008A4B76">
              <w:rPr>
                <w:rFonts w:eastAsia="Calibri"/>
                <w:b/>
                <w:color w:val="000000" w:themeColor="text1"/>
              </w:rPr>
              <w:t>„Vienlīdzīgas iespējas”</w:t>
            </w:r>
            <w:r w:rsidRPr="008A4B76">
              <w:rPr>
                <w:rFonts w:eastAsia="Calibri"/>
                <w:color w:val="000000" w:themeColor="text1"/>
              </w:rPr>
              <w:t xml:space="preserve">. </w:t>
            </w:r>
            <w:r w:rsidR="003F7229" w:rsidRPr="008A4B76">
              <w:rPr>
                <w:rFonts w:eastAsia="Calibri"/>
                <w:color w:val="000000" w:themeColor="text1"/>
              </w:rPr>
              <w:t xml:space="preserve">Īstenojot atbalstāmās darbības, tiks ievērots vienlīdzīgu iespēju un pozitīvās diskriminācijas princips, kur iespējams, piesaistot mazāk pārstāvēto dzimumu konkrētā AII. Projekta vadība, apmācību un informēšanas pasākumi u.c. projekta darbības tiks īstenotas pielāgotās telpās personām ar invaliditāti, nodrošinot nepieciešamo aprīkojumu iekļūšanai telpās un pielāgotas informācijas tehnoloģijas, ja tas ir nepieciešams. </w:t>
            </w:r>
          </w:p>
        </w:tc>
      </w:tr>
    </w:tbl>
    <w:p w14:paraId="76F24082" w14:textId="77777777" w:rsidR="009A72C5" w:rsidRPr="008A4B76" w:rsidRDefault="009A72C5" w:rsidP="009A72C5"/>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52"/>
        <w:gridCol w:w="1332"/>
        <w:gridCol w:w="1311"/>
        <w:gridCol w:w="1311"/>
        <w:gridCol w:w="1380"/>
      </w:tblGrid>
      <w:tr w:rsidR="009A72C5" w:rsidRPr="008A4B76" w14:paraId="46C84F76" w14:textId="77777777" w:rsidTr="00DD2EFA">
        <w:trPr>
          <w:trHeight w:val="361"/>
          <w:jc w:val="center"/>
        </w:trPr>
        <w:tc>
          <w:tcPr>
            <w:tcW w:w="8763" w:type="dxa"/>
            <w:gridSpan w:val="6"/>
            <w:vAlign w:val="center"/>
          </w:tcPr>
          <w:p w14:paraId="46A1C325" w14:textId="77777777" w:rsidR="009A72C5" w:rsidRPr="008A4B76" w:rsidRDefault="009A72C5" w:rsidP="00DD2EFA">
            <w:pPr>
              <w:pStyle w:val="naisnod"/>
              <w:spacing w:before="0" w:after="0"/>
              <w:rPr>
                <w:b w:val="0"/>
                <w:i/>
              </w:rPr>
            </w:pPr>
            <w:r w:rsidRPr="008A4B76">
              <w:br w:type="page"/>
              <w:t>III. Tiesību akta projekta ietekme uz valsts budžetu un pašvaldību budžetiem</w:t>
            </w:r>
          </w:p>
        </w:tc>
      </w:tr>
      <w:tr w:rsidR="009A72C5" w:rsidRPr="008A4B76" w14:paraId="32165FF3" w14:textId="77777777" w:rsidTr="00A70AB0">
        <w:trPr>
          <w:jc w:val="center"/>
        </w:trPr>
        <w:tc>
          <w:tcPr>
            <w:tcW w:w="2177" w:type="dxa"/>
            <w:vMerge w:val="restart"/>
            <w:vAlign w:val="center"/>
          </w:tcPr>
          <w:p w14:paraId="0D9D46B9" w14:textId="77777777" w:rsidR="009A72C5" w:rsidRPr="008A4B76" w:rsidRDefault="009A72C5" w:rsidP="00DD2EFA">
            <w:pPr>
              <w:pStyle w:val="naisf"/>
              <w:spacing w:before="0" w:after="0"/>
              <w:jc w:val="center"/>
              <w:rPr>
                <w:b/>
              </w:rPr>
            </w:pPr>
            <w:r w:rsidRPr="008A4B76">
              <w:rPr>
                <w:b/>
              </w:rPr>
              <w:t>Rādītāji</w:t>
            </w:r>
          </w:p>
          <w:p w14:paraId="65AEED6A" w14:textId="77777777" w:rsidR="009A72C5" w:rsidRPr="008A4B76" w:rsidRDefault="009A72C5" w:rsidP="00DD2EFA"/>
          <w:p w14:paraId="02D6DCEB" w14:textId="77777777" w:rsidR="009A72C5" w:rsidRPr="008A4B76" w:rsidRDefault="009A72C5" w:rsidP="00DD2EFA"/>
          <w:p w14:paraId="07E5DBF2" w14:textId="77777777" w:rsidR="009A72C5" w:rsidRPr="008A4B76" w:rsidRDefault="009A72C5" w:rsidP="00DD2EFA"/>
        </w:tc>
        <w:tc>
          <w:tcPr>
            <w:tcW w:w="2584" w:type="dxa"/>
            <w:gridSpan w:val="2"/>
            <w:vMerge w:val="restart"/>
            <w:vAlign w:val="center"/>
          </w:tcPr>
          <w:p w14:paraId="18338BB7" w14:textId="77777777" w:rsidR="009A72C5" w:rsidRPr="008A4B76" w:rsidRDefault="009A72C5" w:rsidP="00336B59">
            <w:pPr>
              <w:pStyle w:val="naisf"/>
              <w:spacing w:before="0" w:after="0"/>
              <w:jc w:val="center"/>
              <w:rPr>
                <w:b/>
              </w:rPr>
            </w:pPr>
            <w:r w:rsidRPr="008A4B76">
              <w:rPr>
                <w:b/>
              </w:rPr>
              <w:t>201</w:t>
            </w:r>
            <w:r w:rsidR="00776F4C" w:rsidRPr="008A4B76">
              <w:rPr>
                <w:b/>
              </w:rPr>
              <w:t>7</w:t>
            </w:r>
            <w:r w:rsidRPr="008A4B76">
              <w:rPr>
                <w:b/>
              </w:rPr>
              <w:t>.gads</w:t>
            </w:r>
          </w:p>
        </w:tc>
        <w:tc>
          <w:tcPr>
            <w:tcW w:w="4002" w:type="dxa"/>
            <w:gridSpan w:val="3"/>
            <w:vAlign w:val="center"/>
          </w:tcPr>
          <w:p w14:paraId="0C83A9D1" w14:textId="77777777" w:rsidR="009A72C5" w:rsidRPr="008A4B76" w:rsidRDefault="009A72C5" w:rsidP="00DD2EFA">
            <w:pPr>
              <w:pStyle w:val="naisf"/>
              <w:spacing w:before="0" w:after="0"/>
              <w:jc w:val="center"/>
              <w:rPr>
                <w:b/>
                <w:i/>
              </w:rPr>
            </w:pPr>
            <w:r w:rsidRPr="008A4B76">
              <w:t>Turpmākie trīs gadi (</w:t>
            </w:r>
            <w:proofErr w:type="spellStart"/>
            <w:r w:rsidRPr="008A4B76">
              <w:rPr>
                <w:i/>
              </w:rPr>
              <w:t>euro</w:t>
            </w:r>
            <w:proofErr w:type="spellEnd"/>
            <w:r w:rsidRPr="008A4B76">
              <w:t>)</w:t>
            </w:r>
          </w:p>
        </w:tc>
      </w:tr>
      <w:tr w:rsidR="009A72C5" w:rsidRPr="008A4B76" w14:paraId="1029F6D3" w14:textId="77777777" w:rsidTr="00A70AB0">
        <w:trPr>
          <w:jc w:val="center"/>
        </w:trPr>
        <w:tc>
          <w:tcPr>
            <w:tcW w:w="2177" w:type="dxa"/>
            <w:vMerge/>
            <w:vAlign w:val="center"/>
          </w:tcPr>
          <w:p w14:paraId="1F6BC522" w14:textId="77777777" w:rsidR="009A72C5" w:rsidRPr="008A4B76" w:rsidRDefault="009A72C5" w:rsidP="00DD2EFA">
            <w:pPr>
              <w:pStyle w:val="naisf"/>
              <w:spacing w:before="0" w:after="0"/>
              <w:jc w:val="center"/>
              <w:rPr>
                <w:b/>
                <w:i/>
              </w:rPr>
            </w:pPr>
          </w:p>
        </w:tc>
        <w:tc>
          <w:tcPr>
            <w:tcW w:w="2584" w:type="dxa"/>
            <w:gridSpan w:val="2"/>
            <w:vMerge/>
            <w:tcBorders>
              <w:bottom w:val="single" w:sz="4" w:space="0" w:color="auto"/>
            </w:tcBorders>
            <w:vAlign w:val="center"/>
          </w:tcPr>
          <w:p w14:paraId="04766F00" w14:textId="77777777" w:rsidR="009A72C5" w:rsidRPr="008A4B76" w:rsidRDefault="009A72C5" w:rsidP="00DD2EFA">
            <w:pPr>
              <w:pStyle w:val="naisf"/>
              <w:spacing w:before="0" w:after="0"/>
              <w:jc w:val="center"/>
              <w:rPr>
                <w:b/>
                <w:i/>
              </w:rPr>
            </w:pPr>
          </w:p>
        </w:tc>
        <w:tc>
          <w:tcPr>
            <w:tcW w:w="1311" w:type="dxa"/>
            <w:tcBorders>
              <w:bottom w:val="single" w:sz="4" w:space="0" w:color="auto"/>
            </w:tcBorders>
            <w:vAlign w:val="center"/>
          </w:tcPr>
          <w:p w14:paraId="4E8D1353" w14:textId="77777777" w:rsidR="009A72C5" w:rsidRPr="008A4B76" w:rsidRDefault="009A72C5" w:rsidP="00336B59">
            <w:pPr>
              <w:pStyle w:val="naisf"/>
              <w:spacing w:before="0" w:after="0"/>
              <w:jc w:val="center"/>
              <w:rPr>
                <w:b/>
                <w:i/>
              </w:rPr>
            </w:pPr>
            <w:r w:rsidRPr="008A4B76">
              <w:rPr>
                <w:b/>
                <w:bCs/>
              </w:rPr>
              <w:t>201</w:t>
            </w:r>
            <w:r w:rsidR="00776F4C" w:rsidRPr="008A4B76">
              <w:rPr>
                <w:b/>
                <w:bCs/>
              </w:rPr>
              <w:t>8</w:t>
            </w:r>
            <w:r w:rsidRPr="008A4B76">
              <w:rPr>
                <w:b/>
                <w:bCs/>
              </w:rPr>
              <w:t>.</w:t>
            </w:r>
            <w:r w:rsidR="004078BF" w:rsidRPr="008A4B76">
              <w:rPr>
                <w:b/>
                <w:bCs/>
              </w:rPr>
              <w:t>g.</w:t>
            </w:r>
          </w:p>
        </w:tc>
        <w:tc>
          <w:tcPr>
            <w:tcW w:w="1311" w:type="dxa"/>
            <w:tcBorders>
              <w:bottom w:val="single" w:sz="4" w:space="0" w:color="auto"/>
            </w:tcBorders>
            <w:vAlign w:val="center"/>
          </w:tcPr>
          <w:p w14:paraId="152B41D1" w14:textId="77777777" w:rsidR="009A72C5" w:rsidRPr="008A4B76" w:rsidRDefault="009A72C5" w:rsidP="00336B59">
            <w:pPr>
              <w:pStyle w:val="naisf"/>
              <w:spacing w:before="0" w:after="0"/>
              <w:jc w:val="center"/>
              <w:rPr>
                <w:b/>
                <w:i/>
              </w:rPr>
            </w:pPr>
            <w:r w:rsidRPr="008A4B76">
              <w:rPr>
                <w:b/>
                <w:bCs/>
              </w:rPr>
              <w:t>201</w:t>
            </w:r>
            <w:r w:rsidR="00776F4C" w:rsidRPr="008A4B76">
              <w:rPr>
                <w:b/>
                <w:bCs/>
              </w:rPr>
              <w:t>9</w:t>
            </w:r>
            <w:r w:rsidRPr="008A4B76">
              <w:rPr>
                <w:b/>
                <w:bCs/>
              </w:rPr>
              <w:t>.</w:t>
            </w:r>
            <w:r w:rsidR="004078BF" w:rsidRPr="008A4B76">
              <w:rPr>
                <w:b/>
                <w:bCs/>
              </w:rPr>
              <w:t>g.</w:t>
            </w:r>
          </w:p>
        </w:tc>
        <w:tc>
          <w:tcPr>
            <w:tcW w:w="1380" w:type="dxa"/>
            <w:vAlign w:val="center"/>
          </w:tcPr>
          <w:p w14:paraId="3788A4E0" w14:textId="77777777" w:rsidR="009A72C5" w:rsidRPr="008A4B76" w:rsidRDefault="00776F4C" w:rsidP="00336B59">
            <w:pPr>
              <w:pStyle w:val="naisf"/>
              <w:spacing w:before="0" w:after="0"/>
              <w:jc w:val="center"/>
              <w:rPr>
                <w:b/>
                <w:i/>
              </w:rPr>
            </w:pPr>
            <w:r w:rsidRPr="008A4B76">
              <w:rPr>
                <w:b/>
                <w:bCs/>
              </w:rPr>
              <w:t>2020</w:t>
            </w:r>
            <w:r w:rsidR="009A72C5" w:rsidRPr="008A4B76">
              <w:rPr>
                <w:b/>
                <w:bCs/>
              </w:rPr>
              <w:t>.</w:t>
            </w:r>
            <w:r w:rsidR="004078BF" w:rsidRPr="008A4B76">
              <w:rPr>
                <w:b/>
                <w:bCs/>
              </w:rPr>
              <w:t>g.</w:t>
            </w:r>
          </w:p>
        </w:tc>
      </w:tr>
      <w:tr w:rsidR="009A72C5" w:rsidRPr="008A4B76" w14:paraId="2511B85E" w14:textId="77777777" w:rsidTr="00FC44D0">
        <w:trPr>
          <w:jc w:val="center"/>
        </w:trPr>
        <w:tc>
          <w:tcPr>
            <w:tcW w:w="2177" w:type="dxa"/>
            <w:vMerge/>
            <w:tcBorders>
              <w:right w:val="single" w:sz="4" w:space="0" w:color="auto"/>
            </w:tcBorders>
            <w:vAlign w:val="center"/>
          </w:tcPr>
          <w:p w14:paraId="34EEC123" w14:textId="77777777" w:rsidR="009A72C5" w:rsidRPr="008A4B76" w:rsidRDefault="009A72C5" w:rsidP="00DD2EFA">
            <w:pPr>
              <w:pStyle w:val="naisf"/>
              <w:spacing w:before="0" w:after="0"/>
              <w:jc w:val="center"/>
              <w:rPr>
                <w:b/>
                <w:i/>
              </w:rPr>
            </w:pPr>
          </w:p>
        </w:tc>
        <w:tc>
          <w:tcPr>
            <w:tcW w:w="1252" w:type="dxa"/>
            <w:tcBorders>
              <w:top w:val="single" w:sz="4" w:space="0" w:color="auto"/>
              <w:left w:val="single" w:sz="4" w:space="0" w:color="auto"/>
              <w:bottom w:val="single" w:sz="4" w:space="0" w:color="auto"/>
              <w:right w:val="single" w:sz="4" w:space="0" w:color="auto"/>
            </w:tcBorders>
            <w:vAlign w:val="center"/>
          </w:tcPr>
          <w:p w14:paraId="4674364E" w14:textId="77777777" w:rsidR="009A72C5" w:rsidRPr="008A4B76" w:rsidRDefault="009A72C5" w:rsidP="00DD2EFA">
            <w:pPr>
              <w:pStyle w:val="naisf"/>
              <w:spacing w:before="0" w:after="0"/>
              <w:ind w:firstLine="0"/>
              <w:rPr>
                <w:b/>
                <w:i/>
              </w:rPr>
            </w:pPr>
            <w:r w:rsidRPr="008A4B76">
              <w:t>saskaņā ar valsts budžetu kārtējam gadam</w:t>
            </w:r>
          </w:p>
        </w:tc>
        <w:tc>
          <w:tcPr>
            <w:tcW w:w="1332" w:type="dxa"/>
            <w:tcBorders>
              <w:top w:val="single" w:sz="4" w:space="0" w:color="auto"/>
              <w:left w:val="single" w:sz="4" w:space="0" w:color="auto"/>
              <w:bottom w:val="single" w:sz="4" w:space="0" w:color="auto"/>
              <w:right w:val="single" w:sz="4" w:space="0" w:color="auto"/>
            </w:tcBorders>
            <w:vAlign w:val="center"/>
          </w:tcPr>
          <w:p w14:paraId="735418F6" w14:textId="77777777" w:rsidR="009A72C5" w:rsidRPr="008A4B76" w:rsidRDefault="009A72C5" w:rsidP="00DD2EFA">
            <w:pPr>
              <w:pStyle w:val="naisf"/>
              <w:spacing w:before="0" w:after="0"/>
              <w:ind w:firstLine="0"/>
              <w:rPr>
                <w:b/>
                <w:i/>
              </w:rPr>
            </w:pPr>
            <w:r w:rsidRPr="008A4B76">
              <w:t>izmaiņas kārtējā gadā, salīdzinot ar valsts budžetu kārtējam gadam</w:t>
            </w:r>
          </w:p>
        </w:tc>
        <w:tc>
          <w:tcPr>
            <w:tcW w:w="1311" w:type="dxa"/>
            <w:tcBorders>
              <w:top w:val="single" w:sz="4" w:space="0" w:color="auto"/>
              <w:left w:val="single" w:sz="4" w:space="0" w:color="auto"/>
              <w:bottom w:val="single" w:sz="4" w:space="0" w:color="auto"/>
              <w:right w:val="single" w:sz="4" w:space="0" w:color="auto"/>
            </w:tcBorders>
            <w:vAlign w:val="center"/>
          </w:tcPr>
          <w:p w14:paraId="7C4E9245" w14:textId="77777777" w:rsidR="009A72C5" w:rsidRPr="008A4B76" w:rsidRDefault="009A72C5" w:rsidP="00DD2EFA">
            <w:pPr>
              <w:pStyle w:val="naisf"/>
              <w:spacing w:before="0" w:after="0"/>
              <w:ind w:firstLine="0"/>
              <w:rPr>
                <w:i/>
              </w:rPr>
            </w:pPr>
            <w:r w:rsidRPr="008A4B76">
              <w:t>iz</w:t>
            </w:r>
            <w:r w:rsidR="004078BF" w:rsidRPr="008A4B76">
              <w:t>maiņas, salīdzinot ar kārtējo (2017.</w:t>
            </w:r>
            <w:r w:rsidRPr="008A4B76">
              <w:t>) gadu</w:t>
            </w:r>
          </w:p>
        </w:tc>
        <w:tc>
          <w:tcPr>
            <w:tcW w:w="1311" w:type="dxa"/>
            <w:tcBorders>
              <w:top w:val="single" w:sz="4" w:space="0" w:color="auto"/>
              <w:left w:val="single" w:sz="4" w:space="0" w:color="auto"/>
              <w:bottom w:val="single" w:sz="4" w:space="0" w:color="auto"/>
            </w:tcBorders>
            <w:vAlign w:val="center"/>
          </w:tcPr>
          <w:p w14:paraId="6D4E5979" w14:textId="77777777" w:rsidR="009A72C5" w:rsidRPr="008A4B76" w:rsidRDefault="009A72C5" w:rsidP="00DD2EFA">
            <w:pPr>
              <w:pStyle w:val="naisf"/>
              <w:spacing w:before="0" w:after="0"/>
              <w:ind w:firstLine="0"/>
              <w:rPr>
                <w:i/>
              </w:rPr>
            </w:pPr>
            <w:r w:rsidRPr="008A4B76">
              <w:t>iz</w:t>
            </w:r>
            <w:r w:rsidR="004078BF" w:rsidRPr="008A4B76">
              <w:t>maiņas, salīdzinot ar kārtējo (2017.</w:t>
            </w:r>
            <w:r w:rsidRPr="008A4B76">
              <w:t>) gadu</w:t>
            </w:r>
          </w:p>
        </w:tc>
        <w:tc>
          <w:tcPr>
            <w:tcW w:w="1380" w:type="dxa"/>
            <w:vAlign w:val="center"/>
          </w:tcPr>
          <w:p w14:paraId="71CB7343" w14:textId="77777777" w:rsidR="009A72C5" w:rsidRPr="008A4B76" w:rsidRDefault="009A72C5" w:rsidP="00DD2EFA">
            <w:pPr>
              <w:pStyle w:val="naisf"/>
              <w:spacing w:before="0" w:after="0"/>
              <w:ind w:firstLine="0"/>
              <w:rPr>
                <w:i/>
              </w:rPr>
            </w:pPr>
            <w:r w:rsidRPr="008A4B76">
              <w:t>iz</w:t>
            </w:r>
            <w:r w:rsidR="004078BF" w:rsidRPr="008A4B76">
              <w:t>maiņas, salīdzinot ar kārtējo (2017.</w:t>
            </w:r>
            <w:r w:rsidRPr="008A4B76">
              <w:t>) gadu</w:t>
            </w:r>
          </w:p>
        </w:tc>
      </w:tr>
      <w:tr w:rsidR="009A72C5" w:rsidRPr="008A4B76" w14:paraId="63120CF3" w14:textId="77777777" w:rsidTr="00FC44D0">
        <w:trPr>
          <w:jc w:val="center"/>
        </w:trPr>
        <w:tc>
          <w:tcPr>
            <w:tcW w:w="2177" w:type="dxa"/>
            <w:vAlign w:val="center"/>
          </w:tcPr>
          <w:p w14:paraId="33DABEB3" w14:textId="77777777" w:rsidR="009A72C5" w:rsidRPr="008A4B76" w:rsidRDefault="009A72C5" w:rsidP="001C62D2">
            <w:pPr>
              <w:pStyle w:val="naisf"/>
              <w:spacing w:before="0" w:after="0"/>
              <w:ind w:firstLine="0"/>
              <w:jc w:val="center"/>
              <w:rPr>
                <w:color w:val="000000"/>
              </w:rPr>
            </w:pPr>
            <w:r w:rsidRPr="008A4B76">
              <w:rPr>
                <w:color w:val="000000"/>
              </w:rPr>
              <w:t>1</w:t>
            </w:r>
          </w:p>
        </w:tc>
        <w:tc>
          <w:tcPr>
            <w:tcW w:w="1252" w:type="dxa"/>
            <w:tcBorders>
              <w:top w:val="single" w:sz="4" w:space="0" w:color="auto"/>
            </w:tcBorders>
            <w:vAlign w:val="center"/>
          </w:tcPr>
          <w:p w14:paraId="69D2969E" w14:textId="77777777" w:rsidR="009A72C5" w:rsidRPr="008A4B76" w:rsidRDefault="009A72C5" w:rsidP="001C62D2">
            <w:pPr>
              <w:pStyle w:val="naisf"/>
              <w:spacing w:before="0" w:after="0"/>
              <w:ind w:firstLine="0"/>
              <w:jc w:val="center"/>
              <w:rPr>
                <w:color w:val="000000"/>
              </w:rPr>
            </w:pPr>
            <w:r w:rsidRPr="008A4B76">
              <w:rPr>
                <w:color w:val="000000"/>
              </w:rPr>
              <w:t>2</w:t>
            </w:r>
          </w:p>
        </w:tc>
        <w:tc>
          <w:tcPr>
            <w:tcW w:w="1332" w:type="dxa"/>
            <w:tcBorders>
              <w:top w:val="single" w:sz="4" w:space="0" w:color="auto"/>
            </w:tcBorders>
            <w:vAlign w:val="center"/>
          </w:tcPr>
          <w:p w14:paraId="4EE91113" w14:textId="77777777" w:rsidR="009A72C5" w:rsidRPr="008A4B76" w:rsidRDefault="009A72C5" w:rsidP="001C62D2">
            <w:pPr>
              <w:pStyle w:val="naisf"/>
              <w:spacing w:before="0" w:after="0"/>
              <w:ind w:firstLine="0"/>
              <w:jc w:val="center"/>
              <w:rPr>
                <w:color w:val="000000"/>
              </w:rPr>
            </w:pPr>
            <w:r w:rsidRPr="008A4B76">
              <w:rPr>
                <w:color w:val="000000"/>
              </w:rPr>
              <w:t>3</w:t>
            </w:r>
          </w:p>
        </w:tc>
        <w:tc>
          <w:tcPr>
            <w:tcW w:w="1311" w:type="dxa"/>
            <w:tcBorders>
              <w:top w:val="single" w:sz="4" w:space="0" w:color="auto"/>
            </w:tcBorders>
            <w:vAlign w:val="center"/>
          </w:tcPr>
          <w:p w14:paraId="5E40F266" w14:textId="77777777" w:rsidR="009A72C5" w:rsidRPr="008A4B76" w:rsidRDefault="009A72C5" w:rsidP="001C62D2">
            <w:pPr>
              <w:pStyle w:val="naisf"/>
              <w:spacing w:before="0" w:after="0"/>
              <w:ind w:firstLine="0"/>
              <w:jc w:val="center"/>
              <w:rPr>
                <w:color w:val="000000"/>
              </w:rPr>
            </w:pPr>
            <w:r w:rsidRPr="008A4B76">
              <w:rPr>
                <w:color w:val="000000"/>
              </w:rPr>
              <w:t>4</w:t>
            </w:r>
          </w:p>
        </w:tc>
        <w:tc>
          <w:tcPr>
            <w:tcW w:w="1311" w:type="dxa"/>
            <w:tcBorders>
              <w:top w:val="single" w:sz="4" w:space="0" w:color="auto"/>
            </w:tcBorders>
            <w:vAlign w:val="center"/>
          </w:tcPr>
          <w:p w14:paraId="7CA00D7D" w14:textId="77777777" w:rsidR="009A72C5" w:rsidRPr="008A4B76" w:rsidRDefault="009A72C5" w:rsidP="001C62D2">
            <w:pPr>
              <w:pStyle w:val="naisf"/>
              <w:spacing w:before="0" w:after="0"/>
              <w:ind w:firstLine="0"/>
              <w:jc w:val="center"/>
              <w:rPr>
                <w:color w:val="000000"/>
              </w:rPr>
            </w:pPr>
            <w:r w:rsidRPr="008A4B76">
              <w:rPr>
                <w:color w:val="000000"/>
              </w:rPr>
              <w:t>5</w:t>
            </w:r>
          </w:p>
        </w:tc>
        <w:tc>
          <w:tcPr>
            <w:tcW w:w="1380" w:type="dxa"/>
            <w:vAlign w:val="center"/>
          </w:tcPr>
          <w:p w14:paraId="23327DD5" w14:textId="77777777" w:rsidR="009A72C5" w:rsidRPr="008A4B76" w:rsidRDefault="009A72C5" w:rsidP="001C62D2">
            <w:pPr>
              <w:pStyle w:val="naisf"/>
              <w:spacing w:before="0" w:after="0"/>
              <w:ind w:firstLine="0"/>
              <w:jc w:val="center"/>
              <w:rPr>
                <w:color w:val="000000"/>
              </w:rPr>
            </w:pPr>
            <w:r w:rsidRPr="008A4B76">
              <w:rPr>
                <w:color w:val="000000"/>
              </w:rPr>
              <w:t>6</w:t>
            </w:r>
          </w:p>
        </w:tc>
      </w:tr>
      <w:tr w:rsidR="005E57D7" w:rsidRPr="008A4B76" w14:paraId="69CA9FFA" w14:textId="77777777" w:rsidTr="00FC44D0">
        <w:trPr>
          <w:trHeight w:val="379"/>
          <w:jc w:val="center"/>
        </w:trPr>
        <w:tc>
          <w:tcPr>
            <w:tcW w:w="2177" w:type="dxa"/>
          </w:tcPr>
          <w:p w14:paraId="4687A570" w14:textId="77777777" w:rsidR="005E57D7" w:rsidRPr="008A4B76" w:rsidRDefault="005E57D7" w:rsidP="005E57D7">
            <w:pPr>
              <w:pStyle w:val="naisf"/>
              <w:spacing w:before="0" w:after="0"/>
              <w:ind w:firstLine="0"/>
              <w:rPr>
                <w:i/>
              </w:rPr>
            </w:pPr>
            <w:r w:rsidRPr="008A4B76">
              <w:t>1.Budžeta ieņēmumi:</w:t>
            </w:r>
          </w:p>
        </w:tc>
        <w:tc>
          <w:tcPr>
            <w:tcW w:w="1252" w:type="dxa"/>
            <w:vAlign w:val="center"/>
          </w:tcPr>
          <w:p w14:paraId="5CE28763" w14:textId="77777777" w:rsidR="005E57D7" w:rsidRPr="008A4B76" w:rsidRDefault="005E57D7" w:rsidP="005E57D7">
            <w:pPr>
              <w:pStyle w:val="naisf"/>
              <w:spacing w:before="0" w:after="0"/>
              <w:ind w:firstLine="0"/>
              <w:jc w:val="center"/>
            </w:pPr>
            <w:r w:rsidRPr="008A4B76">
              <w:t>0</w:t>
            </w:r>
          </w:p>
        </w:tc>
        <w:tc>
          <w:tcPr>
            <w:tcW w:w="1332" w:type="dxa"/>
            <w:vAlign w:val="center"/>
          </w:tcPr>
          <w:p w14:paraId="7970C8AA" w14:textId="77777777" w:rsidR="005E57D7" w:rsidRPr="008A4B76" w:rsidRDefault="005E57D7" w:rsidP="005E57D7">
            <w:pPr>
              <w:pStyle w:val="naisf"/>
              <w:spacing w:before="0" w:after="0"/>
              <w:ind w:firstLine="0"/>
              <w:jc w:val="center"/>
            </w:pPr>
            <w:r w:rsidRPr="008A4B76">
              <w:t>0</w:t>
            </w:r>
          </w:p>
        </w:tc>
        <w:tc>
          <w:tcPr>
            <w:tcW w:w="1311" w:type="dxa"/>
            <w:shd w:val="clear" w:color="auto" w:fill="auto"/>
            <w:vAlign w:val="center"/>
          </w:tcPr>
          <w:p w14:paraId="76CF0A94" w14:textId="77777777" w:rsidR="005E57D7" w:rsidRPr="008A4B76" w:rsidRDefault="00A70AB0" w:rsidP="005E57D7">
            <w:pPr>
              <w:pStyle w:val="naisf"/>
              <w:spacing w:before="0" w:after="0"/>
              <w:ind w:firstLine="0"/>
              <w:jc w:val="center"/>
            </w:pPr>
            <w:r w:rsidRPr="008A4B76">
              <w:t>919 275</w:t>
            </w:r>
          </w:p>
        </w:tc>
        <w:tc>
          <w:tcPr>
            <w:tcW w:w="1311" w:type="dxa"/>
            <w:shd w:val="clear" w:color="auto" w:fill="auto"/>
            <w:vAlign w:val="center"/>
          </w:tcPr>
          <w:p w14:paraId="7FD5D476" w14:textId="77777777" w:rsidR="005E57D7" w:rsidRPr="008A4B76" w:rsidRDefault="00A70AB0" w:rsidP="005E57D7">
            <w:pPr>
              <w:pStyle w:val="naisf"/>
              <w:spacing w:before="0" w:after="0"/>
              <w:ind w:firstLine="0"/>
              <w:jc w:val="center"/>
            </w:pPr>
            <w:r w:rsidRPr="008A4B76">
              <w:t>1 838 550</w:t>
            </w:r>
          </w:p>
        </w:tc>
        <w:tc>
          <w:tcPr>
            <w:tcW w:w="1380" w:type="dxa"/>
            <w:shd w:val="clear" w:color="auto" w:fill="auto"/>
            <w:vAlign w:val="center"/>
          </w:tcPr>
          <w:p w14:paraId="4944A715" w14:textId="77777777" w:rsidR="005E57D7" w:rsidRPr="008A4B76" w:rsidRDefault="00A70AB0" w:rsidP="005E57D7">
            <w:pPr>
              <w:jc w:val="center"/>
            </w:pPr>
            <w:r w:rsidRPr="008A4B76">
              <w:t>1 838 550</w:t>
            </w:r>
          </w:p>
        </w:tc>
      </w:tr>
      <w:tr w:rsidR="002E62FD" w:rsidRPr="008A4B76" w14:paraId="7998A003" w14:textId="77777777" w:rsidTr="008F6D17">
        <w:trPr>
          <w:trHeight w:val="379"/>
          <w:jc w:val="center"/>
        </w:trPr>
        <w:tc>
          <w:tcPr>
            <w:tcW w:w="2177" w:type="dxa"/>
          </w:tcPr>
          <w:p w14:paraId="1D682160" w14:textId="77777777" w:rsidR="002E62FD" w:rsidRPr="008A4B76" w:rsidRDefault="002E62FD" w:rsidP="002E62FD">
            <w:r w:rsidRPr="008A4B76">
              <w:rPr>
                <w:rFonts w:eastAsia="Calibri"/>
              </w:rPr>
              <w:t>1.1. valsts pamatbudžets, tai skaitā ieņēmumi no maksas pakalpojumiem un citi pašu ieņēmumi</w:t>
            </w:r>
          </w:p>
        </w:tc>
        <w:tc>
          <w:tcPr>
            <w:tcW w:w="1252" w:type="dxa"/>
            <w:vAlign w:val="center"/>
          </w:tcPr>
          <w:p w14:paraId="3ED51466" w14:textId="77777777" w:rsidR="002E62FD" w:rsidRPr="008A4B76" w:rsidRDefault="002E62FD" w:rsidP="002E62FD">
            <w:pPr>
              <w:pStyle w:val="naisf"/>
              <w:spacing w:before="0" w:after="0"/>
              <w:ind w:firstLine="0"/>
              <w:jc w:val="center"/>
            </w:pPr>
            <w:r w:rsidRPr="008A4B76">
              <w:rPr>
                <w:rFonts w:eastAsia="Calibri"/>
              </w:rPr>
              <w:t>0</w:t>
            </w:r>
          </w:p>
        </w:tc>
        <w:tc>
          <w:tcPr>
            <w:tcW w:w="1332" w:type="dxa"/>
            <w:vAlign w:val="center"/>
          </w:tcPr>
          <w:p w14:paraId="0F7C738F" w14:textId="77777777" w:rsidR="002E62FD" w:rsidRPr="008A4B76" w:rsidRDefault="002E62FD" w:rsidP="002E62FD">
            <w:pPr>
              <w:pStyle w:val="naisf"/>
              <w:spacing w:before="0" w:after="0"/>
              <w:ind w:firstLine="0"/>
              <w:jc w:val="center"/>
            </w:pPr>
            <w:r w:rsidRPr="008A4B76">
              <w:t>0</w:t>
            </w:r>
          </w:p>
        </w:tc>
        <w:tc>
          <w:tcPr>
            <w:tcW w:w="1311" w:type="dxa"/>
            <w:shd w:val="clear" w:color="auto" w:fill="auto"/>
            <w:vAlign w:val="center"/>
          </w:tcPr>
          <w:p w14:paraId="3469FB02" w14:textId="77777777" w:rsidR="002E62FD" w:rsidRPr="008A4B76" w:rsidRDefault="00A70AB0" w:rsidP="002E62FD">
            <w:pPr>
              <w:pStyle w:val="naisf"/>
              <w:spacing w:before="0" w:after="0"/>
              <w:ind w:firstLine="0"/>
              <w:jc w:val="center"/>
            </w:pPr>
            <w:r w:rsidRPr="008A4B76">
              <w:t>919 275</w:t>
            </w:r>
          </w:p>
        </w:tc>
        <w:tc>
          <w:tcPr>
            <w:tcW w:w="1311" w:type="dxa"/>
            <w:shd w:val="clear" w:color="auto" w:fill="auto"/>
            <w:vAlign w:val="center"/>
          </w:tcPr>
          <w:p w14:paraId="60CF4F32" w14:textId="77777777" w:rsidR="002E62FD" w:rsidRPr="008A4B76" w:rsidRDefault="00A70AB0" w:rsidP="002E62FD">
            <w:pPr>
              <w:pStyle w:val="naisf"/>
              <w:spacing w:before="0" w:after="0"/>
              <w:ind w:firstLine="0"/>
              <w:jc w:val="center"/>
            </w:pPr>
            <w:r w:rsidRPr="008A4B76">
              <w:t>1 838 550</w:t>
            </w:r>
          </w:p>
        </w:tc>
        <w:tc>
          <w:tcPr>
            <w:tcW w:w="1380" w:type="dxa"/>
            <w:shd w:val="clear" w:color="auto" w:fill="auto"/>
            <w:vAlign w:val="center"/>
          </w:tcPr>
          <w:p w14:paraId="0C1E1858" w14:textId="77777777" w:rsidR="002E62FD" w:rsidRPr="008A4B76" w:rsidRDefault="00A70AB0" w:rsidP="002E62FD">
            <w:pPr>
              <w:jc w:val="center"/>
            </w:pPr>
            <w:r w:rsidRPr="008A4B76">
              <w:t>1 838 550</w:t>
            </w:r>
          </w:p>
        </w:tc>
      </w:tr>
      <w:tr w:rsidR="00A70AB0" w:rsidRPr="008A4B76" w14:paraId="1B7CBA8C" w14:textId="77777777" w:rsidTr="007D18FC">
        <w:trPr>
          <w:trHeight w:val="379"/>
          <w:jc w:val="center"/>
        </w:trPr>
        <w:tc>
          <w:tcPr>
            <w:tcW w:w="2229" w:type="dxa"/>
          </w:tcPr>
          <w:p w14:paraId="6F3F8E32" w14:textId="77777777" w:rsidR="00A70AB0" w:rsidRPr="008A4B76" w:rsidRDefault="00A70AB0" w:rsidP="00A70AB0">
            <w:r w:rsidRPr="008A4B76">
              <w:rPr>
                <w:rFonts w:eastAsia="Calibri"/>
              </w:rPr>
              <w:t>1.2. valsts speciālais budžets</w:t>
            </w:r>
          </w:p>
        </w:tc>
        <w:tc>
          <w:tcPr>
            <w:tcW w:w="1273" w:type="dxa"/>
            <w:vAlign w:val="center"/>
          </w:tcPr>
          <w:p w14:paraId="743EFEC9" w14:textId="77777777" w:rsidR="00A70AB0" w:rsidRPr="008A4B76" w:rsidRDefault="00A70AB0" w:rsidP="00A70AB0">
            <w:pPr>
              <w:pStyle w:val="naisf"/>
              <w:spacing w:before="0" w:after="0"/>
              <w:ind w:firstLine="0"/>
              <w:jc w:val="center"/>
            </w:pPr>
            <w:r w:rsidRPr="008A4B76">
              <w:rPr>
                <w:rFonts w:eastAsia="Calibri"/>
              </w:rPr>
              <w:t>0</w:t>
            </w:r>
          </w:p>
        </w:tc>
        <w:tc>
          <w:tcPr>
            <w:tcW w:w="1352" w:type="dxa"/>
            <w:vAlign w:val="center"/>
          </w:tcPr>
          <w:p w14:paraId="2FC15124" w14:textId="77777777" w:rsidR="00A70AB0" w:rsidRPr="008A4B76" w:rsidRDefault="00A70AB0" w:rsidP="00A70AB0">
            <w:pPr>
              <w:pStyle w:val="naisf"/>
              <w:spacing w:before="0" w:after="0"/>
              <w:ind w:firstLine="0"/>
              <w:jc w:val="center"/>
            </w:pPr>
            <w:r w:rsidRPr="008A4B76">
              <w:rPr>
                <w:rFonts w:eastAsia="Calibri"/>
              </w:rPr>
              <w:t>0</w:t>
            </w:r>
          </w:p>
        </w:tc>
        <w:tc>
          <w:tcPr>
            <w:tcW w:w="1276" w:type="dxa"/>
            <w:shd w:val="clear" w:color="auto" w:fill="auto"/>
            <w:vAlign w:val="center"/>
          </w:tcPr>
          <w:p w14:paraId="2652B01D" w14:textId="77777777" w:rsidR="00A70AB0" w:rsidRPr="008A4B76" w:rsidRDefault="00A70AB0" w:rsidP="00A70AB0">
            <w:pPr>
              <w:pStyle w:val="naisf"/>
              <w:spacing w:before="0" w:after="0"/>
              <w:ind w:firstLine="0"/>
              <w:jc w:val="center"/>
            </w:pPr>
            <w:r w:rsidRPr="008A4B76">
              <w:rPr>
                <w:rFonts w:eastAsia="Calibri"/>
              </w:rPr>
              <w:t>0</w:t>
            </w:r>
          </w:p>
        </w:tc>
        <w:tc>
          <w:tcPr>
            <w:tcW w:w="1246" w:type="dxa"/>
            <w:shd w:val="clear" w:color="auto" w:fill="auto"/>
            <w:vAlign w:val="center"/>
          </w:tcPr>
          <w:p w14:paraId="4D3B20CD" w14:textId="77777777" w:rsidR="00A70AB0" w:rsidRPr="008A4B76" w:rsidRDefault="00A70AB0" w:rsidP="00A70AB0">
            <w:pPr>
              <w:pStyle w:val="naisf"/>
              <w:spacing w:before="0" w:after="0"/>
              <w:ind w:firstLine="0"/>
              <w:jc w:val="center"/>
            </w:pPr>
            <w:r w:rsidRPr="008A4B76">
              <w:rPr>
                <w:rFonts w:eastAsia="Calibri"/>
              </w:rPr>
              <w:t>0</w:t>
            </w:r>
          </w:p>
        </w:tc>
        <w:tc>
          <w:tcPr>
            <w:tcW w:w="1387" w:type="dxa"/>
            <w:shd w:val="clear" w:color="auto" w:fill="auto"/>
            <w:vAlign w:val="center"/>
          </w:tcPr>
          <w:p w14:paraId="70663143" w14:textId="77777777" w:rsidR="00A70AB0" w:rsidRPr="008A4B76" w:rsidRDefault="00A70AB0" w:rsidP="00A70AB0">
            <w:pPr>
              <w:pStyle w:val="naisf"/>
              <w:spacing w:before="0" w:after="0"/>
              <w:ind w:firstLine="0"/>
              <w:jc w:val="center"/>
            </w:pPr>
            <w:r w:rsidRPr="008A4B76">
              <w:rPr>
                <w:rFonts w:eastAsia="Calibri"/>
              </w:rPr>
              <w:t>0</w:t>
            </w:r>
          </w:p>
        </w:tc>
      </w:tr>
      <w:tr w:rsidR="00A70AB0" w:rsidRPr="008A4B76" w14:paraId="317F5792" w14:textId="77777777" w:rsidTr="007D18FC">
        <w:trPr>
          <w:trHeight w:val="379"/>
          <w:jc w:val="center"/>
        </w:trPr>
        <w:tc>
          <w:tcPr>
            <w:tcW w:w="2177" w:type="dxa"/>
          </w:tcPr>
          <w:p w14:paraId="1B0D5338" w14:textId="77777777" w:rsidR="00A70AB0" w:rsidRPr="008A4B76" w:rsidRDefault="00A70AB0" w:rsidP="00A70AB0">
            <w:r w:rsidRPr="008A4B76">
              <w:rPr>
                <w:rFonts w:eastAsia="Calibri"/>
              </w:rPr>
              <w:t>1.3. pašvaldību budžets</w:t>
            </w:r>
          </w:p>
        </w:tc>
        <w:tc>
          <w:tcPr>
            <w:tcW w:w="1252" w:type="dxa"/>
            <w:vAlign w:val="center"/>
          </w:tcPr>
          <w:p w14:paraId="693E5452" w14:textId="77777777" w:rsidR="00A70AB0" w:rsidRPr="008A4B76" w:rsidRDefault="00A70AB0" w:rsidP="00A70AB0">
            <w:pPr>
              <w:pStyle w:val="naisf"/>
              <w:spacing w:before="0" w:after="0"/>
              <w:ind w:firstLine="0"/>
              <w:jc w:val="center"/>
            </w:pPr>
            <w:r w:rsidRPr="008A4B76">
              <w:rPr>
                <w:rFonts w:eastAsia="Calibri"/>
              </w:rPr>
              <w:t>0</w:t>
            </w:r>
          </w:p>
        </w:tc>
        <w:tc>
          <w:tcPr>
            <w:tcW w:w="1332" w:type="dxa"/>
            <w:vAlign w:val="center"/>
          </w:tcPr>
          <w:p w14:paraId="1735CAD9"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05B3A061"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571C6FE5" w14:textId="77777777" w:rsidR="00A70AB0" w:rsidRPr="008A4B76" w:rsidRDefault="00A70AB0" w:rsidP="00A70AB0">
            <w:pPr>
              <w:pStyle w:val="naisf"/>
              <w:spacing w:before="0" w:after="0"/>
              <w:ind w:firstLine="0"/>
              <w:jc w:val="center"/>
            </w:pPr>
            <w:r w:rsidRPr="008A4B76">
              <w:rPr>
                <w:rFonts w:eastAsia="Calibri"/>
              </w:rPr>
              <w:t>0</w:t>
            </w:r>
          </w:p>
        </w:tc>
        <w:tc>
          <w:tcPr>
            <w:tcW w:w="1380" w:type="dxa"/>
            <w:shd w:val="clear" w:color="auto" w:fill="auto"/>
            <w:vAlign w:val="center"/>
          </w:tcPr>
          <w:p w14:paraId="78FD890B" w14:textId="77777777" w:rsidR="00A70AB0" w:rsidRPr="008A4B76" w:rsidRDefault="00A70AB0" w:rsidP="00A70AB0">
            <w:pPr>
              <w:pStyle w:val="naisf"/>
              <w:spacing w:before="0" w:after="0"/>
              <w:ind w:firstLine="0"/>
              <w:jc w:val="center"/>
            </w:pPr>
            <w:r w:rsidRPr="008A4B76">
              <w:rPr>
                <w:rFonts w:eastAsia="Calibri"/>
              </w:rPr>
              <w:t>0</w:t>
            </w:r>
          </w:p>
        </w:tc>
      </w:tr>
      <w:tr w:rsidR="00B00B68" w:rsidRPr="008A4B76" w14:paraId="29027BE5" w14:textId="77777777" w:rsidTr="00A70AB0">
        <w:trPr>
          <w:jc w:val="center"/>
        </w:trPr>
        <w:tc>
          <w:tcPr>
            <w:tcW w:w="2177" w:type="dxa"/>
          </w:tcPr>
          <w:p w14:paraId="7D4F3727" w14:textId="77777777" w:rsidR="00B00B68" w:rsidRPr="008A4B76" w:rsidRDefault="00B00B68" w:rsidP="00B00B68">
            <w:r w:rsidRPr="008A4B76">
              <w:t>2. Budžeta izdevumi:</w:t>
            </w:r>
          </w:p>
        </w:tc>
        <w:tc>
          <w:tcPr>
            <w:tcW w:w="1252" w:type="dxa"/>
            <w:vAlign w:val="center"/>
          </w:tcPr>
          <w:p w14:paraId="6303DF6F" w14:textId="77777777" w:rsidR="00B00B68" w:rsidRPr="008A4B76" w:rsidRDefault="00B00B68" w:rsidP="00B00B68">
            <w:pPr>
              <w:pStyle w:val="naisf"/>
              <w:spacing w:before="0" w:after="0"/>
              <w:ind w:firstLine="0"/>
              <w:jc w:val="center"/>
            </w:pPr>
            <w:r w:rsidRPr="008A4B76">
              <w:t>0</w:t>
            </w:r>
          </w:p>
        </w:tc>
        <w:tc>
          <w:tcPr>
            <w:tcW w:w="1332" w:type="dxa"/>
            <w:vAlign w:val="center"/>
          </w:tcPr>
          <w:p w14:paraId="269F805D" w14:textId="77777777" w:rsidR="00B00B68" w:rsidRPr="008A4B76" w:rsidRDefault="00B00B68" w:rsidP="00B00B68">
            <w:pPr>
              <w:pStyle w:val="naisf"/>
              <w:spacing w:before="0" w:after="0"/>
              <w:ind w:firstLine="0"/>
              <w:jc w:val="center"/>
            </w:pPr>
            <w:r w:rsidRPr="008A4B76">
              <w:t>0</w:t>
            </w:r>
          </w:p>
        </w:tc>
        <w:tc>
          <w:tcPr>
            <w:tcW w:w="1311" w:type="dxa"/>
            <w:shd w:val="clear" w:color="auto" w:fill="auto"/>
            <w:vAlign w:val="center"/>
          </w:tcPr>
          <w:p w14:paraId="500C3DDC" w14:textId="77777777" w:rsidR="00B00B68" w:rsidRPr="008A4B76" w:rsidRDefault="00A70AB0" w:rsidP="00B00B68">
            <w:pPr>
              <w:pStyle w:val="naisf"/>
              <w:spacing w:before="0" w:after="0"/>
              <w:ind w:firstLine="0"/>
              <w:jc w:val="center"/>
            </w:pPr>
            <w:r w:rsidRPr="008A4B76">
              <w:t>1 081 500</w:t>
            </w:r>
          </w:p>
        </w:tc>
        <w:tc>
          <w:tcPr>
            <w:tcW w:w="1311" w:type="dxa"/>
            <w:shd w:val="clear" w:color="auto" w:fill="auto"/>
            <w:vAlign w:val="center"/>
          </w:tcPr>
          <w:p w14:paraId="00AE051B" w14:textId="77777777" w:rsidR="00B00B68" w:rsidRPr="008A4B76" w:rsidRDefault="00A70AB0" w:rsidP="00B00B68">
            <w:pPr>
              <w:pStyle w:val="naisf"/>
              <w:spacing w:before="0" w:after="0"/>
              <w:ind w:firstLine="0"/>
              <w:jc w:val="center"/>
            </w:pPr>
            <w:r w:rsidRPr="008A4B76">
              <w:t>2 163 000</w:t>
            </w:r>
          </w:p>
        </w:tc>
        <w:tc>
          <w:tcPr>
            <w:tcW w:w="1380" w:type="dxa"/>
            <w:shd w:val="clear" w:color="auto" w:fill="auto"/>
            <w:vAlign w:val="center"/>
          </w:tcPr>
          <w:p w14:paraId="2F068AAB" w14:textId="77777777" w:rsidR="00B00B68" w:rsidRPr="008A4B76" w:rsidRDefault="00A70AB0" w:rsidP="00B00B68">
            <w:pPr>
              <w:pStyle w:val="naisf"/>
              <w:spacing w:before="0" w:after="0"/>
              <w:ind w:firstLine="0"/>
              <w:jc w:val="center"/>
            </w:pPr>
            <w:r w:rsidRPr="008A4B76">
              <w:t>2 163 000</w:t>
            </w:r>
          </w:p>
        </w:tc>
      </w:tr>
      <w:tr w:rsidR="00A70AB0" w:rsidRPr="008A4B76" w14:paraId="38546AE4" w14:textId="77777777" w:rsidTr="007D18FC">
        <w:trPr>
          <w:jc w:val="center"/>
        </w:trPr>
        <w:tc>
          <w:tcPr>
            <w:tcW w:w="2177" w:type="dxa"/>
          </w:tcPr>
          <w:p w14:paraId="5F57C0E4" w14:textId="77777777" w:rsidR="00A70AB0" w:rsidRPr="008A4B76" w:rsidRDefault="00A70AB0" w:rsidP="00A70AB0">
            <w:r w:rsidRPr="008A4B76">
              <w:rPr>
                <w:rFonts w:eastAsia="Calibri"/>
              </w:rPr>
              <w:t>2.1. valsts pamatbudžets</w:t>
            </w:r>
          </w:p>
        </w:tc>
        <w:tc>
          <w:tcPr>
            <w:tcW w:w="1252" w:type="dxa"/>
            <w:vAlign w:val="center"/>
          </w:tcPr>
          <w:p w14:paraId="448FD1F8" w14:textId="77777777" w:rsidR="00A70AB0" w:rsidRPr="008A4B76" w:rsidRDefault="00A70AB0" w:rsidP="00A70AB0">
            <w:pPr>
              <w:pStyle w:val="naisf"/>
              <w:spacing w:before="0" w:after="0"/>
              <w:ind w:firstLine="0"/>
              <w:jc w:val="center"/>
            </w:pPr>
            <w:r w:rsidRPr="008A4B76">
              <w:rPr>
                <w:rFonts w:eastAsia="Calibri"/>
              </w:rPr>
              <w:t>0</w:t>
            </w:r>
          </w:p>
        </w:tc>
        <w:tc>
          <w:tcPr>
            <w:tcW w:w="1332" w:type="dxa"/>
            <w:vAlign w:val="center"/>
          </w:tcPr>
          <w:p w14:paraId="5C76DEE0" w14:textId="77777777" w:rsidR="00A70AB0" w:rsidRPr="008A4B76" w:rsidRDefault="00A70AB0" w:rsidP="00A70AB0">
            <w:pPr>
              <w:pStyle w:val="naisf"/>
              <w:spacing w:before="0" w:after="0"/>
              <w:ind w:firstLine="0"/>
              <w:jc w:val="center"/>
            </w:pPr>
            <w:r w:rsidRPr="008A4B76">
              <w:t>0</w:t>
            </w:r>
          </w:p>
        </w:tc>
        <w:tc>
          <w:tcPr>
            <w:tcW w:w="1311" w:type="dxa"/>
            <w:shd w:val="clear" w:color="auto" w:fill="auto"/>
            <w:vAlign w:val="center"/>
          </w:tcPr>
          <w:p w14:paraId="575111AA" w14:textId="77777777" w:rsidR="00A70AB0" w:rsidRPr="008A4B76" w:rsidRDefault="00A70AB0" w:rsidP="00A70AB0">
            <w:pPr>
              <w:pStyle w:val="naisf"/>
              <w:spacing w:before="0" w:after="0"/>
              <w:ind w:firstLine="0"/>
              <w:jc w:val="center"/>
            </w:pPr>
            <w:r w:rsidRPr="008A4B76">
              <w:t>1 081 500</w:t>
            </w:r>
          </w:p>
        </w:tc>
        <w:tc>
          <w:tcPr>
            <w:tcW w:w="1311" w:type="dxa"/>
            <w:shd w:val="clear" w:color="auto" w:fill="auto"/>
            <w:vAlign w:val="center"/>
          </w:tcPr>
          <w:p w14:paraId="5C1F7BE0" w14:textId="77777777" w:rsidR="00A70AB0" w:rsidRPr="008A4B76" w:rsidRDefault="00A70AB0" w:rsidP="00A70AB0">
            <w:pPr>
              <w:pStyle w:val="naisf"/>
              <w:spacing w:before="0" w:after="0"/>
              <w:ind w:firstLine="0"/>
              <w:jc w:val="center"/>
            </w:pPr>
            <w:r w:rsidRPr="008A4B76">
              <w:t>2 163 000</w:t>
            </w:r>
          </w:p>
        </w:tc>
        <w:tc>
          <w:tcPr>
            <w:tcW w:w="1380" w:type="dxa"/>
            <w:shd w:val="clear" w:color="auto" w:fill="auto"/>
            <w:vAlign w:val="center"/>
          </w:tcPr>
          <w:p w14:paraId="3EE02767" w14:textId="77777777" w:rsidR="00A70AB0" w:rsidRPr="008A4B76" w:rsidRDefault="00A70AB0" w:rsidP="00A70AB0">
            <w:pPr>
              <w:pStyle w:val="naisf"/>
              <w:spacing w:before="0" w:after="0"/>
              <w:ind w:firstLine="0"/>
              <w:jc w:val="center"/>
            </w:pPr>
            <w:r w:rsidRPr="008A4B76">
              <w:t>2 163 000</w:t>
            </w:r>
          </w:p>
        </w:tc>
      </w:tr>
      <w:tr w:rsidR="00A70AB0" w:rsidRPr="008A4B76" w14:paraId="1516A56F" w14:textId="77777777" w:rsidTr="007D18FC">
        <w:trPr>
          <w:jc w:val="center"/>
        </w:trPr>
        <w:tc>
          <w:tcPr>
            <w:tcW w:w="2177" w:type="dxa"/>
          </w:tcPr>
          <w:p w14:paraId="199589D1" w14:textId="77777777" w:rsidR="00A70AB0" w:rsidRPr="008A4B76" w:rsidRDefault="00A70AB0" w:rsidP="00A70AB0">
            <w:r w:rsidRPr="008A4B76">
              <w:rPr>
                <w:rFonts w:eastAsia="Calibri"/>
              </w:rPr>
              <w:t>2.2. valsts speciālais budžets</w:t>
            </w:r>
          </w:p>
        </w:tc>
        <w:tc>
          <w:tcPr>
            <w:tcW w:w="1252" w:type="dxa"/>
            <w:vAlign w:val="center"/>
          </w:tcPr>
          <w:p w14:paraId="18D4DA5D" w14:textId="77777777" w:rsidR="00A70AB0" w:rsidRPr="008A4B76" w:rsidRDefault="00A70AB0" w:rsidP="00A70AB0">
            <w:pPr>
              <w:pStyle w:val="naisf"/>
              <w:spacing w:before="0" w:after="0"/>
              <w:ind w:firstLine="0"/>
              <w:jc w:val="center"/>
            </w:pPr>
            <w:r w:rsidRPr="008A4B76">
              <w:rPr>
                <w:rFonts w:eastAsia="Calibri"/>
              </w:rPr>
              <w:t>0</w:t>
            </w:r>
          </w:p>
        </w:tc>
        <w:tc>
          <w:tcPr>
            <w:tcW w:w="1332" w:type="dxa"/>
            <w:vAlign w:val="center"/>
          </w:tcPr>
          <w:p w14:paraId="38C9E78B"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34C49D75"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75D962CC" w14:textId="77777777" w:rsidR="00A70AB0" w:rsidRPr="008A4B76" w:rsidRDefault="00A70AB0" w:rsidP="00A70AB0">
            <w:pPr>
              <w:pStyle w:val="naisf"/>
              <w:spacing w:before="0" w:after="0"/>
              <w:ind w:firstLine="0"/>
              <w:jc w:val="center"/>
            </w:pPr>
            <w:r w:rsidRPr="008A4B76">
              <w:rPr>
                <w:rFonts w:eastAsia="Calibri"/>
              </w:rPr>
              <w:t>0</w:t>
            </w:r>
          </w:p>
        </w:tc>
        <w:tc>
          <w:tcPr>
            <w:tcW w:w="1380" w:type="dxa"/>
            <w:shd w:val="clear" w:color="auto" w:fill="auto"/>
            <w:vAlign w:val="center"/>
          </w:tcPr>
          <w:p w14:paraId="2FB02F63" w14:textId="77777777" w:rsidR="00A70AB0" w:rsidRPr="008A4B76" w:rsidRDefault="00A70AB0" w:rsidP="00A70AB0">
            <w:pPr>
              <w:pStyle w:val="naisf"/>
              <w:spacing w:before="0" w:after="0"/>
              <w:ind w:firstLine="0"/>
              <w:jc w:val="center"/>
            </w:pPr>
            <w:r w:rsidRPr="008A4B76">
              <w:rPr>
                <w:rFonts w:eastAsia="Calibri"/>
              </w:rPr>
              <w:t>0</w:t>
            </w:r>
          </w:p>
        </w:tc>
      </w:tr>
      <w:tr w:rsidR="00A70AB0" w:rsidRPr="008A4B76" w14:paraId="0FEAF087" w14:textId="77777777" w:rsidTr="007D18FC">
        <w:trPr>
          <w:jc w:val="center"/>
        </w:trPr>
        <w:tc>
          <w:tcPr>
            <w:tcW w:w="2177" w:type="dxa"/>
          </w:tcPr>
          <w:p w14:paraId="20D55D35" w14:textId="77777777" w:rsidR="00A70AB0" w:rsidRPr="008A4B76" w:rsidRDefault="00A70AB0" w:rsidP="00A70AB0">
            <w:r w:rsidRPr="008A4B76">
              <w:rPr>
                <w:rFonts w:eastAsia="Calibri"/>
              </w:rPr>
              <w:t>2.3. pašvaldību budžets</w:t>
            </w:r>
          </w:p>
        </w:tc>
        <w:tc>
          <w:tcPr>
            <w:tcW w:w="1252" w:type="dxa"/>
            <w:vAlign w:val="center"/>
          </w:tcPr>
          <w:p w14:paraId="3465717A" w14:textId="77777777" w:rsidR="00A70AB0" w:rsidRPr="008A4B76" w:rsidRDefault="00A70AB0" w:rsidP="00A70AB0">
            <w:pPr>
              <w:pStyle w:val="naisf"/>
              <w:spacing w:before="0" w:after="0"/>
              <w:ind w:firstLine="0"/>
              <w:jc w:val="center"/>
            </w:pPr>
            <w:r w:rsidRPr="008A4B76">
              <w:rPr>
                <w:rFonts w:eastAsia="Calibri"/>
              </w:rPr>
              <w:t>0</w:t>
            </w:r>
          </w:p>
        </w:tc>
        <w:tc>
          <w:tcPr>
            <w:tcW w:w="1332" w:type="dxa"/>
            <w:vAlign w:val="center"/>
          </w:tcPr>
          <w:p w14:paraId="32BF2A24"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6AC0723B" w14:textId="77777777" w:rsidR="00A70AB0" w:rsidRPr="008A4B76" w:rsidRDefault="00A70AB0" w:rsidP="00A70AB0">
            <w:pPr>
              <w:pStyle w:val="naisf"/>
              <w:spacing w:before="0" w:after="0"/>
              <w:ind w:firstLine="0"/>
              <w:jc w:val="center"/>
            </w:pPr>
            <w:r w:rsidRPr="008A4B76">
              <w:rPr>
                <w:rFonts w:eastAsia="Calibri"/>
              </w:rPr>
              <w:t>0</w:t>
            </w:r>
          </w:p>
        </w:tc>
        <w:tc>
          <w:tcPr>
            <w:tcW w:w="1311" w:type="dxa"/>
            <w:shd w:val="clear" w:color="auto" w:fill="auto"/>
            <w:vAlign w:val="center"/>
          </w:tcPr>
          <w:p w14:paraId="73EB2263" w14:textId="77777777" w:rsidR="00A70AB0" w:rsidRPr="008A4B76" w:rsidRDefault="00A70AB0" w:rsidP="00A70AB0">
            <w:pPr>
              <w:pStyle w:val="naisf"/>
              <w:spacing w:before="0" w:after="0"/>
              <w:ind w:firstLine="0"/>
              <w:jc w:val="center"/>
            </w:pPr>
            <w:r w:rsidRPr="008A4B76">
              <w:rPr>
                <w:rFonts w:eastAsia="Calibri"/>
              </w:rPr>
              <w:t>0</w:t>
            </w:r>
          </w:p>
        </w:tc>
        <w:tc>
          <w:tcPr>
            <w:tcW w:w="1380" w:type="dxa"/>
            <w:shd w:val="clear" w:color="auto" w:fill="auto"/>
            <w:vAlign w:val="center"/>
          </w:tcPr>
          <w:p w14:paraId="1E9331D1" w14:textId="77777777" w:rsidR="00A70AB0" w:rsidRPr="008A4B76" w:rsidRDefault="00A70AB0" w:rsidP="00A70AB0">
            <w:pPr>
              <w:pStyle w:val="naisf"/>
              <w:spacing w:before="0" w:after="0"/>
              <w:ind w:firstLine="0"/>
              <w:jc w:val="center"/>
            </w:pPr>
            <w:r w:rsidRPr="008A4B76">
              <w:rPr>
                <w:rFonts w:eastAsia="Calibri"/>
              </w:rPr>
              <w:t>0</w:t>
            </w:r>
          </w:p>
        </w:tc>
      </w:tr>
      <w:tr w:rsidR="00A66EFE" w:rsidRPr="008A4B76" w14:paraId="303EC3F2" w14:textId="77777777" w:rsidTr="00A70AB0">
        <w:trPr>
          <w:jc w:val="center"/>
        </w:trPr>
        <w:tc>
          <w:tcPr>
            <w:tcW w:w="2177" w:type="dxa"/>
          </w:tcPr>
          <w:p w14:paraId="431A171A" w14:textId="77777777" w:rsidR="00A66EFE" w:rsidRPr="008A4B76" w:rsidRDefault="00A66EFE" w:rsidP="00A66EFE">
            <w:r w:rsidRPr="008A4B76">
              <w:t>3. Finansiālā ietekme:</w:t>
            </w:r>
          </w:p>
        </w:tc>
        <w:tc>
          <w:tcPr>
            <w:tcW w:w="1252" w:type="dxa"/>
            <w:shd w:val="clear" w:color="auto" w:fill="auto"/>
            <w:vAlign w:val="center"/>
          </w:tcPr>
          <w:p w14:paraId="5AF512CA" w14:textId="77777777" w:rsidR="00A66EFE" w:rsidRPr="008A4B76" w:rsidRDefault="00A66EFE" w:rsidP="00A66EFE">
            <w:pPr>
              <w:pStyle w:val="naisf"/>
              <w:spacing w:before="0" w:after="0"/>
              <w:ind w:firstLine="0"/>
              <w:jc w:val="center"/>
            </w:pPr>
            <w:r w:rsidRPr="008A4B76">
              <w:t>0</w:t>
            </w:r>
          </w:p>
        </w:tc>
        <w:tc>
          <w:tcPr>
            <w:tcW w:w="1332" w:type="dxa"/>
            <w:shd w:val="clear" w:color="auto" w:fill="auto"/>
            <w:vAlign w:val="center"/>
          </w:tcPr>
          <w:p w14:paraId="06DEC121" w14:textId="77777777" w:rsidR="00A66EFE" w:rsidRPr="008A4B76" w:rsidRDefault="00A66EFE" w:rsidP="00A66EFE">
            <w:pPr>
              <w:pStyle w:val="naisf"/>
              <w:spacing w:before="0" w:after="0"/>
              <w:ind w:firstLine="0"/>
              <w:jc w:val="center"/>
            </w:pPr>
            <w:r w:rsidRPr="008A4B76">
              <w:t>0</w:t>
            </w:r>
          </w:p>
        </w:tc>
        <w:tc>
          <w:tcPr>
            <w:tcW w:w="1311" w:type="dxa"/>
            <w:shd w:val="clear" w:color="auto" w:fill="auto"/>
            <w:vAlign w:val="center"/>
          </w:tcPr>
          <w:p w14:paraId="2AA3B820" w14:textId="77777777" w:rsidR="00A66EFE" w:rsidRPr="008A4B76" w:rsidRDefault="00A70AB0" w:rsidP="00A66EFE">
            <w:pPr>
              <w:pStyle w:val="naisf"/>
              <w:spacing w:before="0" w:after="0"/>
              <w:ind w:firstLine="0"/>
              <w:jc w:val="center"/>
            </w:pPr>
            <w:r w:rsidRPr="008A4B76">
              <w:t>-162 225</w:t>
            </w:r>
          </w:p>
        </w:tc>
        <w:tc>
          <w:tcPr>
            <w:tcW w:w="1311" w:type="dxa"/>
            <w:shd w:val="clear" w:color="auto" w:fill="auto"/>
            <w:vAlign w:val="center"/>
          </w:tcPr>
          <w:p w14:paraId="65DB72BF" w14:textId="77777777" w:rsidR="00A66EFE" w:rsidRPr="008A4B76" w:rsidRDefault="00A70AB0" w:rsidP="00A66EFE">
            <w:pPr>
              <w:pStyle w:val="naisf"/>
              <w:spacing w:before="0" w:after="0"/>
              <w:ind w:firstLine="0"/>
              <w:jc w:val="center"/>
            </w:pPr>
            <w:r w:rsidRPr="008A4B76">
              <w:t>-324 450</w:t>
            </w:r>
          </w:p>
        </w:tc>
        <w:tc>
          <w:tcPr>
            <w:tcW w:w="1380" w:type="dxa"/>
            <w:shd w:val="clear" w:color="auto" w:fill="auto"/>
            <w:vAlign w:val="center"/>
          </w:tcPr>
          <w:p w14:paraId="2ECE0266" w14:textId="77777777" w:rsidR="00A66EFE" w:rsidRPr="008A4B76" w:rsidRDefault="00A70AB0" w:rsidP="00A66EFE">
            <w:pPr>
              <w:pStyle w:val="naisf"/>
              <w:spacing w:before="0" w:after="0"/>
              <w:ind w:firstLine="0"/>
              <w:jc w:val="center"/>
            </w:pPr>
            <w:r w:rsidRPr="008A4B76">
              <w:t>-324 450</w:t>
            </w:r>
          </w:p>
        </w:tc>
      </w:tr>
      <w:tr w:rsidR="00FC44D0" w:rsidRPr="008A4B76" w14:paraId="34AB5800" w14:textId="77777777" w:rsidTr="007D18FC">
        <w:trPr>
          <w:jc w:val="center"/>
        </w:trPr>
        <w:tc>
          <w:tcPr>
            <w:tcW w:w="2177" w:type="dxa"/>
          </w:tcPr>
          <w:p w14:paraId="72EFD9ED" w14:textId="77777777" w:rsidR="00FC44D0" w:rsidRPr="008A4B76" w:rsidRDefault="00FC44D0" w:rsidP="00FC44D0">
            <w:r w:rsidRPr="008A4B76">
              <w:rPr>
                <w:rFonts w:eastAsia="Calibri"/>
              </w:rPr>
              <w:t>3.1. valsts pamatbudžets</w:t>
            </w:r>
          </w:p>
        </w:tc>
        <w:tc>
          <w:tcPr>
            <w:tcW w:w="1252" w:type="dxa"/>
            <w:shd w:val="clear" w:color="auto" w:fill="auto"/>
            <w:vAlign w:val="center"/>
          </w:tcPr>
          <w:p w14:paraId="76885015" w14:textId="77777777" w:rsidR="00FC44D0" w:rsidRPr="008A4B76" w:rsidRDefault="00FC44D0" w:rsidP="00FC44D0">
            <w:pPr>
              <w:pStyle w:val="naisf"/>
              <w:spacing w:before="0" w:after="0"/>
              <w:ind w:firstLine="0"/>
              <w:jc w:val="center"/>
            </w:pPr>
            <w:r w:rsidRPr="008A4B76">
              <w:rPr>
                <w:rFonts w:eastAsia="Calibri"/>
              </w:rPr>
              <w:t>0</w:t>
            </w:r>
          </w:p>
        </w:tc>
        <w:tc>
          <w:tcPr>
            <w:tcW w:w="1332" w:type="dxa"/>
            <w:shd w:val="clear" w:color="auto" w:fill="auto"/>
            <w:vAlign w:val="center"/>
          </w:tcPr>
          <w:p w14:paraId="6675208D" w14:textId="77777777" w:rsidR="00FC44D0" w:rsidRPr="008A4B76" w:rsidRDefault="00FC44D0" w:rsidP="00FC44D0">
            <w:pPr>
              <w:pStyle w:val="naisf"/>
              <w:spacing w:before="0" w:after="0"/>
              <w:ind w:firstLine="0"/>
              <w:jc w:val="center"/>
            </w:pPr>
            <w:r w:rsidRPr="008A4B76">
              <w:t>0</w:t>
            </w:r>
          </w:p>
        </w:tc>
        <w:tc>
          <w:tcPr>
            <w:tcW w:w="1311" w:type="dxa"/>
            <w:shd w:val="clear" w:color="auto" w:fill="auto"/>
            <w:vAlign w:val="center"/>
          </w:tcPr>
          <w:p w14:paraId="366EA2DB" w14:textId="77777777" w:rsidR="00FC44D0" w:rsidRPr="008A4B76" w:rsidRDefault="00FC44D0" w:rsidP="00FC44D0">
            <w:pPr>
              <w:pStyle w:val="naisf"/>
              <w:spacing w:before="0" w:after="0"/>
              <w:ind w:firstLine="0"/>
              <w:jc w:val="center"/>
            </w:pPr>
            <w:r w:rsidRPr="008A4B76">
              <w:t>-162 225</w:t>
            </w:r>
          </w:p>
        </w:tc>
        <w:tc>
          <w:tcPr>
            <w:tcW w:w="1311" w:type="dxa"/>
            <w:shd w:val="clear" w:color="auto" w:fill="auto"/>
            <w:vAlign w:val="center"/>
          </w:tcPr>
          <w:p w14:paraId="4D6A7909" w14:textId="77777777" w:rsidR="00FC44D0" w:rsidRPr="008A4B76" w:rsidRDefault="00FC44D0" w:rsidP="00FC44D0">
            <w:pPr>
              <w:pStyle w:val="naisf"/>
              <w:spacing w:before="0" w:after="0"/>
              <w:ind w:firstLine="0"/>
              <w:jc w:val="center"/>
            </w:pPr>
            <w:r w:rsidRPr="008A4B76">
              <w:t>-324 450</w:t>
            </w:r>
          </w:p>
        </w:tc>
        <w:tc>
          <w:tcPr>
            <w:tcW w:w="1380" w:type="dxa"/>
            <w:shd w:val="clear" w:color="auto" w:fill="auto"/>
            <w:vAlign w:val="center"/>
          </w:tcPr>
          <w:p w14:paraId="08B22112" w14:textId="77777777" w:rsidR="00FC44D0" w:rsidRPr="008A4B76" w:rsidRDefault="00FC44D0" w:rsidP="00FC44D0">
            <w:pPr>
              <w:pStyle w:val="naisf"/>
              <w:spacing w:before="0" w:after="0"/>
              <w:ind w:firstLine="0"/>
              <w:jc w:val="center"/>
            </w:pPr>
            <w:r w:rsidRPr="008A4B76">
              <w:t>-324 450</w:t>
            </w:r>
          </w:p>
        </w:tc>
      </w:tr>
      <w:tr w:rsidR="00FC44D0" w:rsidRPr="008A4B76" w14:paraId="1B8D3D0A" w14:textId="77777777" w:rsidTr="007D18FC">
        <w:trPr>
          <w:jc w:val="center"/>
        </w:trPr>
        <w:tc>
          <w:tcPr>
            <w:tcW w:w="2177" w:type="dxa"/>
          </w:tcPr>
          <w:p w14:paraId="2C5BD523" w14:textId="77777777" w:rsidR="00FC44D0" w:rsidRPr="008A4B76" w:rsidRDefault="00FC44D0" w:rsidP="00FC44D0">
            <w:r w:rsidRPr="008A4B76">
              <w:rPr>
                <w:rFonts w:eastAsia="Calibri"/>
              </w:rPr>
              <w:lastRenderedPageBreak/>
              <w:t>3.2. speciālais budžets</w:t>
            </w:r>
          </w:p>
        </w:tc>
        <w:tc>
          <w:tcPr>
            <w:tcW w:w="1252" w:type="dxa"/>
            <w:shd w:val="clear" w:color="auto" w:fill="auto"/>
            <w:vAlign w:val="center"/>
          </w:tcPr>
          <w:p w14:paraId="5A0C7116" w14:textId="77777777" w:rsidR="00FC44D0" w:rsidRPr="008A4B76" w:rsidRDefault="00FC44D0" w:rsidP="00FC44D0">
            <w:pPr>
              <w:pStyle w:val="naisf"/>
              <w:spacing w:before="0" w:after="0"/>
              <w:ind w:firstLine="0"/>
              <w:jc w:val="center"/>
            </w:pPr>
            <w:r w:rsidRPr="008A4B76">
              <w:rPr>
                <w:rFonts w:eastAsia="Calibri"/>
              </w:rPr>
              <w:t>0</w:t>
            </w:r>
          </w:p>
        </w:tc>
        <w:tc>
          <w:tcPr>
            <w:tcW w:w="1332" w:type="dxa"/>
            <w:shd w:val="clear" w:color="auto" w:fill="auto"/>
            <w:vAlign w:val="center"/>
          </w:tcPr>
          <w:p w14:paraId="2A5B3CE0" w14:textId="77777777" w:rsidR="00FC44D0" w:rsidRPr="008A4B76" w:rsidRDefault="00FC44D0" w:rsidP="00FC44D0">
            <w:pPr>
              <w:pStyle w:val="naisf"/>
              <w:spacing w:before="0" w:after="0"/>
              <w:ind w:firstLine="0"/>
              <w:jc w:val="center"/>
            </w:pPr>
            <w:r w:rsidRPr="008A4B76">
              <w:rPr>
                <w:rFonts w:eastAsia="Calibri"/>
              </w:rPr>
              <w:t>0</w:t>
            </w:r>
          </w:p>
        </w:tc>
        <w:tc>
          <w:tcPr>
            <w:tcW w:w="1311" w:type="dxa"/>
            <w:shd w:val="clear" w:color="auto" w:fill="auto"/>
            <w:vAlign w:val="center"/>
          </w:tcPr>
          <w:p w14:paraId="093B15BA" w14:textId="77777777" w:rsidR="00FC44D0" w:rsidRPr="008A4B76" w:rsidRDefault="00FC44D0" w:rsidP="00FC44D0">
            <w:pPr>
              <w:pStyle w:val="naisf"/>
              <w:spacing w:before="0" w:after="0"/>
              <w:ind w:firstLine="0"/>
              <w:jc w:val="center"/>
            </w:pPr>
            <w:r w:rsidRPr="008A4B76">
              <w:rPr>
                <w:rFonts w:eastAsia="Calibri"/>
              </w:rPr>
              <w:t>0</w:t>
            </w:r>
          </w:p>
        </w:tc>
        <w:tc>
          <w:tcPr>
            <w:tcW w:w="1311" w:type="dxa"/>
            <w:shd w:val="clear" w:color="auto" w:fill="auto"/>
            <w:vAlign w:val="center"/>
          </w:tcPr>
          <w:p w14:paraId="3ABD2476" w14:textId="77777777" w:rsidR="00FC44D0" w:rsidRPr="008A4B76" w:rsidRDefault="00FC44D0" w:rsidP="00FC44D0">
            <w:pPr>
              <w:pStyle w:val="naisf"/>
              <w:spacing w:before="0" w:after="0"/>
              <w:ind w:firstLine="0"/>
              <w:jc w:val="center"/>
            </w:pPr>
            <w:r w:rsidRPr="008A4B76">
              <w:rPr>
                <w:rFonts w:eastAsia="Calibri"/>
              </w:rPr>
              <w:t>0</w:t>
            </w:r>
          </w:p>
        </w:tc>
        <w:tc>
          <w:tcPr>
            <w:tcW w:w="1380" w:type="dxa"/>
            <w:shd w:val="clear" w:color="auto" w:fill="auto"/>
            <w:vAlign w:val="center"/>
          </w:tcPr>
          <w:p w14:paraId="052C9CEF" w14:textId="77777777" w:rsidR="00FC44D0" w:rsidRPr="008A4B76" w:rsidRDefault="00FC44D0" w:rsidP="00FC44D0">
            <w:pPr>
              <w:pStyle w:val="naisf"/>
              <w:spacing w:before="0" w:after="0"/>
              <w:ind w:firstLine="0"/>
              <w:jc w:val="center"/>
            </w:pPr>
            <w:r w:rsidRPr="008A4B76">
              <w:rPr>
                <w:rFonts w:eastAsia="Calibri"/>
              </w:rPr>
              <w:t>0</w:t>
            </w:r>
          </w:p>
        </w:tc>
      </w:tr>
      <w:tr w:rsidR="00FC44D0" w:rsidRPr="008A4B76" w14:paraId="08EE5C0F" w14:textId="77777777" w:rsidTr="007D18FC">
        <w:trPr>
          <w:jc w:val="center"/>
        </w:trPr>
        <w:tc>
          <w:tcPr>
            <w:tcW w:w="2177" w:type="dxa"/>
          </w:tcPr>
          <w:p w14:paraId="146B75A9" w14:textId="77777777" w:rsidR="00FC44D0" w:rsidRPr="008A4B76" w:rsidRDefault="00FC44D0" w:rsidP="00FC44D0">
            <w:r w:rsidRPr="008A4B76">
              <w:rPr>
                <w:rFonts w:eastAsia="Calibri"/>
              </w:rPr>
              <w:t>3.3. pašvaldību budžets</w:t>
            </w:r>
          </w:p>
        </w:tc>
        <w:tc>
          <w:tcPr>
            <w:tcW w:w="1252" w:type="dxa"/>
            <w:shd w:val="clear" w:color="auto" w:fill="auto"/>
            <w:vAlign w:val="center"/>
          </w:tcPr>
          <w:p w14:paraId="798DA3BE" w14:textId="77777777" w:rsidR="00FC44D0" w:rsidRPr="008A4B76" w:rsidRDefault="00FC44D0" w:rsidP="00FC44D0">
            <w:pPr>
              <w:pStyle w:val="naisf"/>
              <w:spacing w:before="0" w:after="0"/>
              <w:ind w:firstLine="0"/>
              <w:jc w:val="center"/>
            </w:pPr>
            <w:r w:rsidRPr="008A4B76">
              <w:rPr>
                <w:rFonts w:eastAsia="Calibri"/>
              </w:rPr>
              <w:t>0</w:t>
            </w:r>
          </w:p>
        </w:tc>
        <w:tc>
          <w:tcPr>
            <w:tcW w:w="1332" w:type="dxa"/>
            <w:shd w:val="clear" w:color="auto" w:fill="auto"/>
            <w:vAlign w:val="center"/>
          </w:tcPr>
          <w:p w14:paraId="49CF9793" w14:textId="77777777" w:rsidR="00FC44D0" w:rsidRPr="008A4B76" w:rsidRDefault="00FC44D0" w:rsidP="00FC44D0">
            <w:pPr>
              <w:pStyle w:val="naisf"/>
              <w:spacing w:before="0" w:after="0"/>
              <w:ind w:firstLine="0"/>
              <w:jc w:val="center"/>
            </w:pPr>
            <w:r w:rsidRPr="008A4B76">
              <w:rPr>
                <w:rFonts w:eastAsia="Calibri"/>
              </w:rPr>
              <w:t>0</w:t>
            </w:r>
          </w:p>
        </w:tc>
        <w:tc>
          <w:tcPr>
            <w:tcW w:w="1311" w:type="dxa"/>
            <w:shd w:val="clear" w:color="auto" w:fill="auto"/>
            <w:vAlign w:val="center"/>
          </w:tcPr>
          <w:p w14:paraId="3BF6BD71" w14:textId="77777777" w:rsidR="00FC44D0" w:rsidRPr="008A4B76" w:rsidRDefault="00FC44D0" w:rsidP="00FC44D0">
            <w:pPr>
              <w:pStyle w:val="naisf"/>
              <w:spacing w:before="0" w:after="0"/>
              <w:ind w:firstLine="0"/>
              <w:jc w:val="center"/>
            </w:pPr>
            <w:r w:rsidRPr="008A4B76">
              <w:rPr>
                <w:rFonts w:eastAsia="Calibri"/>
              </w:rPr>
              <w:t>0</w:t>
            </w:r>
          </w:p>
        </w:tc>
        <w:tc>
          <w:tcPr>
            <w:tcW w:w="1311" w:type="dxa"/>
            <w:shd w:val="clear" w:color="auto" w:fill="auto"/>
            <w:vAlign w:val="center"/>
          </w:tcPr>
          <w:p w14:paraId="03CE6621" w14:textId="77777777" w:rsidR="00FC44D0" w:rsidRPr="008A4B76" w:rsidRDefault="00FC44D0" w:rsidP="00FC44D0">
            <w:pPr>
              <w:pStyle w:val="naisf"/>
              <w:spacing w:before="0" w:after="0"/>
              <w:ind w:firstLine="0"/>
              <w:jc w:val="center"/>
            </w:pPr>
            <w:r w:rsidRPr="008A4B76">
              <w:rPr>
                <w:rFonts w:eastAsia="Calibri"/>
              </w:rPr>
              <w:t>0</w:t>
            </w:r>
          </w:p>
        </w:tc>
        <w:tc>
          <w:tcPr>
            <w:tcW w:w="1380" w:type="dxa"/>
            <w:shd w:val="clear" w:color="auto" w:fill="auto"/>
            <w:vAlign w:val="center"/>
          </w:tcPr>
          <w:p w14:paraId="2030BDCE" w14:textId="77777777" w:rsidR="00FC44D0" w:rsidRPr="008A4B76" w:rsidRDefault="00FC44D0" w:rsidP="00FC44D0">
            <w:pPr>
              <w:pStyle w:val="naisf"/>
              <w:spacing w:before="0" w:after="0"/>
              <w:ind w:firstLine="0"/>
              <w:jc w:val="center"/>
            </w:pPr>
            <w:r w:rsidRPr="008A4B76">
              <w:rPr>
                <w:rFonts w:eastAsia="Calibri"/>
              </w:rPr>
              <w:t>0</w:t>
            </w:r>
          </w:p>
        </w:tc>
      </w:tr>
      <w:tr w:rsidR="008F6D17" w:rsidRPr="008A4B76" w14:paraId="338AEA5E" w14:textId="77777777" w:rsidTr="007D18FC">
        <w:trPr>
          <w:trHeight w:val="1380"/>
          <w:jc w:val="center"/>
        </w:trPr>
        <w:tc>
          <w:tcPr>
            <w:tcW w:w="2177" w:type="dxa"/>
          </w:tcPr>
          <w:p w14:paraId="3B4E6538" w14:textId="77777777" w:rsidR="008F6D17" w:rsidRPr="008A4B76" w:rsidRDefault="008F6D17" w:rsidP="008F6D17">
            <w:r w:rsidRPr="008A4B76">
              <w:t>4. Finanšu līdzekļi papildu izdevumu finansēšanai (kompensējošu izdevumu samazinājumu norāda ar "+" zīmi)</w:t>
            </w:r>
          </w:p>
        </w:tc>
        <w:tc>
          <w:tcPr>
            <w:tcW w:w="1252" w:type="dxa"/>
            <w:vAlign w:val="center"/>
          </w:tcPr>
          <w:p w14:paraId="498DF0E8" w14:textId="77777777" w:rsidR="008F6D17" w:rsidRPr="008A4B76" w:rsidRDefault="008F6D17" w:rsidP="008F6D17">
            <w:pPr>
              <w:pStyle w:val="naisf"/>
              <w:spacing w:before="0" w:after="0"/>
              <w:ind w:firstLine="0"/>
              <w:jc w:val="center"/>
            </w:pPr>
            <w:r w:rsidRPr="008A4B76">
              <w:t>0</w:t>
            </w:r>
          </w:p>
        </w:tc>
        <w:tc>
          <w:tcPr>
            <w:tcW w:w="1332" w:type="dxa"/>
            <w:vAlign w:val="center"/>
          </w:tcPr>
          <w:p w14:paraId="655FCCC5" w14:textId="77777777" w:rsidR="008F6D17" w:rsidRPr="008A4B76" w:rsidRDefault="008F6D17" w:rsidP="008F6D17">
            <w:pPr>
              <w:jc w:val="center"/>
            </w:pPr>
            <w:r w:rsidRPr="008A4B76">
              <w:t>0</w:t>
            </w:r>
          </w:p>
        </w:tc>
        <w:tc>
          <w:tcPr>
            <w:tcW w:w="1311" w:type="dxa"/>
            <w:vAlign w:val="center"/>
          </w:tcPr>
          <w:p w14:paraId="273F8F43" w14:textId="77777777" w:rsidR="008F6D17" w:rsidRPr="008A4B76" w:rsidRDefault="008F6D17" w:rsidP="007D18FC">
            <w:pPr>
              <w:jc w:val="center"/>
            </w:pPr>
            <w:r w:rsidRPr="008A4B76">
              <w:t>162 225</w:t>
            </w:r>
          </w:p>
        </w:tc>
        <w:tc>
          <w:tcPr>
            <w:tcW w:w="1311" w:type="dxa"/>
            <w:vAlign w:val="center"/>
          </w:tcPr>
          <w:p w14:paraId="4C67D42E" w14:textId="77777777" w:rsidR="008F6D17" w:rsidRPr="008A4B76" w:rsidRDefault="008F6D17" w:rsidP="008F6D17">
            <w:pPr>
              <w:jc w:val="center"/>
            </w:pPr>
            <w:r w:rsidRPr="008A4B76">
              <w:t>324 450</w:t>
            </w:r>
          </w:p>
        </w:tc>
        <w:tc>
          <w:tcPr>
            <w:tcW w:w="1380" w:type="dxa"/>
            <w:vAlign w:val="center"/>
          </w:tcPr>
          <w:p w14:paraId="4643D68E" w14:textId="77777777" w:rsidR="008F6D17" w:rsidRPr="008A4B76" w:rsidRDefault="008F6D17" w:rsidP="008F6D17">
            <w:pPr>
              <w:jc w:val="center"/>
            </w:pPr>
            <w:r w:rsidRPr="008A4B76">
              <w:t>324 450</w:t>
            </w:r>
          </w:p>
        </w:tc>
      </w:tr>
      <w:tr w:rsidR="00FC44D0" w:rsidRPr="008A4B76" w14:paraId="4CE56E45" w14:textId="77777777" w:rsidTr="007D18FC">
        <w:trPr>
          <w:jc w:val="center"/>
        </w:trPr>
        <w:tc>
          <w:tcPr>
            <w:tcW w:w="2177" w:type="dxa"/>
          </w:tcPr>
          <w:p w14:paraId="734DD763" w14:textId="77777777" w:rsidR="00FC44D0" w:rsidRPr="008A4B76" w:rsidRDefault="00FC44D0" w:rsidP="00FC44D0">
            <w:r w:rsidRPr="008A4B76">
              <w:t>5. Precizēta finansiālā ietekme:</w:t>
            </w:r>
          </w:p>
        </w:tc>
        <w:tc>
          <w:tcPr>
            <w:tcW w:w="1252" w:type="dxa"/>
            <w:vAlign w:val="center"/>
          </w:tcPr>
          <w:p w14:paraId="0C4CD67F" w14:textId="77777777" w:rsidR="00FC44D0" w:rsidRPr="008A4B76" w:rsidRDefault="00FC44D0" w:rsidP="00FC44D0">
            <w:pPr>
              <w:pStyle w:val="naisf"/>
              <w:spacing w:before="0" w:after="0"/>
              <w:jc w:val="left"/>
            </w:pPr>
            <w:r w:rsidRPr="008A4B76">
              <w:t>0</w:t>
            </w:r>
          </w:p>
        </w:tc>
        <w:tc>
          <w:tcPr>
            <w:tcW w:w="1332" w:type="dxa"/>
            <w:vAlign w:val="center"/>
          </w:tcPr>
          <w:p w14:paraId="7ACD7E68" w14:textId="77777777" w:rsidR="00FC44D0" w:rsidRPr="008A4B76" w:rsidRDefault="00FC44D0" w:rsidP="00FC44D0">
            <w:pPr>
              <w:pStyle w:val="naisf"/>
              <w:spacing w:before="0" w:after="0"/>
              <w:jc w:val="left"/>
            </w:pPr>
            <w:r w:rsidRPr="008A4B76">
              <w:t>0</w:t>
            </w:r>
          </w:p>
        </w:tc>
        <w:tc>
          <w:tcPr>
            <w:tcW w:w="1311" w:type="dxa"/>
            <w:vAlign w:val="center"/>
          </w:tcPr>
          <w:p w14:paraId="3877456E" w14:textId="77777777" w:rsidR="00FC44D0" w:rsidRPr="008A4B76" w:rsidRDefault="00FC44D0" w:rsidP="00FC44D0">
            <w:pPr>
              <w:jc w:val="center"/>
            </w:pPr>
            <w:r w:rsidRPr="008A4B76">
              <w:rPr>
                <w:rFonts w:eastAsia="Calibri"/>
              </w:rPr>
              <w:t>0</w:t>
            </w:r>
          </w:p>
        </w:tc>
        <w:tc>
          <w:tcPr>
            <w:tcW w:w="1311" w:type="dxa"/>
            <w:vAlign w:val="center"/>
          </w:tcPr>
          <w:p w14:paraId="52AF6B4B" w14:textId="77777777" w:rsidR="00FC44D0" w:rsidRPr="008A4B76" w:rsidRDefault="00FC44D0" w:rsidP="00FC44D0">
            <w:pPr>
              <w:jc w:val="center"/>
            </w:pPr>
            <w:r w:rsidRPr="008A4B76">
              <w:rPr>
                <w:rFonts w:eastAsia="Calibri"/>
              </w:rPr>
              <w:t>0</w:t>
            </w:r>
          </w:p>
        </w:tc>
        <w:tc>
          <w:tcPr>
            <w:tcW w:w="1380" w:type="dxa"/>
            <w:vAlign w:val="center"/>
          </w:tcPr>
          <w:p w14:paraId="2EB41063" w14:textId="77777777" w:rsidR="00FC44D0" w:rsidRPr="008A4B76" w:rsidRDefault="00FC44D0" w:rsidP="00FC44D0">
            <w:pPr>
              <w:jc w:val="center"/>
            </w:pPr>
            <w:r w:rsidRPr="008A4B76">
              <w:rPr>
                <w:rFonts w:eastAsia="Calibri"/>
              </w:rPr>
              <w:t>0</w:t>
            </w:r>
          </w:p>
        </w:tc>
      </w:tr>
      <w:tr w:rsidR="009A72C5" w:rsidRPr="008A4B76" w14:paraId="0E75E4E5" w14:textId="77777777" w:rsidTr="008A4B76">
        <w:trPr>
          <w:trHeight w:val="132"/>
          <w:jc w:val="center"/>
        </w:trPr>
        <w:tc>
          <w:tcPr>
            <w:tcW w:w="2177" w:type="dxa"/>
            <w:shd w:val="clear" w:color="auto" w:fill="auto"/>
          </w:tcPr>
          <w:p w14:paraId="18C431C6" w14:textId="77777777" w:rsidR="009A72C5" w:rsidRPr="008A4B76" w:rsidRDefault="009A72C5" w:rsidP="00DD2EFA">
            <w:r w:rsidRPr="008A4B76">
              <w:t>6. Detalizēts ieņēmumu un izdevumu aprēķins (ja nepie</w:t>
            </w:r>
            <w:r w:rsidRPr="008A4B76">
              <w:softHyphen/>
              <w:t>ciešams, detalizētu ieņēmumu un izdevumu aprēķinu var pie</w:t>
            </w:r>
            <w:r w:rsidRPr="008A4B76">
              <w:softHyphen/>
              <w:t>vienot anotācijas pielikumā):</w:t>
            </w:r>
          </w:p>
        </w:tc>
        <w:tc>
          <w:tcPr>
            <w:tcW w:w="6586" w:type="dxa"/>
            <w:gridSpan w:val="5"/>
            <w:vMerge w:val="restart"/>
            <w:shd w:val="clear" w:color="auto" w:fill="auto"/>
            <w:vAlign w:val="center"/>
          </w:tcPr>
          <w:p w14:paraId="39B63134" w14:textId="77777777" w:rsidR="00944C1D" w:rsidRPr="008A4B76" w:rsidRDefault="00944C1D" w:rsidP="007D18FC">
            <w:pPr>
              <w:jc w:val="both"/>
              <w:rPr>
                <w:lang w:bidi="lo-LA"/>
              </w:rPr>
            </w:pPr>
            <w:r w:rsidRPr="008A4B76">
              <w:rPr>
                <w:lang w:bidi="lo-LA"/>
              </w:rPr>
              <w:t xml:space="preserve">8.2.1. SAM </w:t>
            </w:r>
            <w:r w:rsidR="00AE22C0" w:rsidRPr="008A4B76">
              <w:rPr>
                <w:lang w:bidi="lo-LA"/>
              </w:rPr>
              <w:t>plānotais kopējais finansējums (kopējās attiecināmās izmaksas) ir</w:t>
            </w:r>
            <w:r w:rsidR="00AE22C0" w:rsidRPr="008A4B76">
              <w:t xml:space="preserve"> </w:t>
            </w:r>
            <w:r w:rsidRPr="008A4B76">
              <w:rPr>
                <w:lang w:bidi="lo-LA"/>
              </w:rPr>
              <w:t>10 </w:t>
            </w:r>
            <w:r w:rsidR="00AE22C0" w:rsidRPr="008A4B76">
              <w:rPr>
                <w:lang w:bidi="lo-LA"/>
              </w:rPr>
              <w:t>815</w:t>
            </w:r>
            <w:r w:rsidRPr="008A4B76">
              <w:rPr>
                <w:lang w:bidi="lo-LA"/>
              </w:rPr>
              <w:t> </w:t>
            </w:r>
            <w:r w:rsidR="00AE22C0" w:rsidRPr="008A4B76">
              <w:rPr>
                <w:lang w:bidi="lo-LA"/>
              </w:rPr>
              <w:t>000</w:t>
            </w:r>
            <w:r w:rsidRPr="008A4B76">
              <w:rPr>
                <w:lang w:bidi="lo-LA"/>
              </w:rPr>
              <w:t xml:space="preserve"> </w:t>
            </w:r>
            <w:proofErr w:type="spellStart"/>
            <w:r w:rsidRPr="008A4B76">
              <w:rPr>
                <w:i/>
                <w:lang w:bidi="lo-LA"/>
              </w:rPr>
              <w:t>euro</w:t>
            </w:r>
            <w:proofErr w:type="spellEnd"/>
            <w:r w:rsidRPr="008A4B76">
              <w:rPr>
                <w:lang w:bidi="lo-LA"/>
              </w:rPr>
              <w:t xml:space="preserve">, tai skaitā ESF finansējums </w:t>
            </w:r>
            <w:r w:rsidR="00AE22C0" w:rsidRPr="008A4B76">
              <w:rPr>
                <w:lang w:bidi="lo-LA"/>
              </w:rPr>
              <w:t>9</w:t>
            </w:r>
            <w:r w:rsidRPr="008A4B76">
              <w:rPr>
                <w:lang w:bidi="lo-LA"/>
              </w:rPr>
              <w:t> </w:t>
            </w:r>
            <w:r w:rsidR="00AE22C0" w:rsidRPr="008A4B76">
              <w:rPr>
                <w:lang w:bidi="lo-LA"/>
              </w:rPr>
              <w:t>192</w:t>
            </w:r>
            <w:r w:rsidRPr="008A4B76">
              <w:rPr>
                <w:lang w:bidi="lo-LA"/>
              </w:rPr>
              <w:t> </w:t>
            </w:r>
            <w:r w:rsidR="00AE22C0" w:rsidRPr="008A4B76">
              <w:rPr>
                <w:lang w:bidi="lo-LA"/>
              </w:rPr>
              <w:t>750</w:t>
            </w:r>
            <w:r w:rsidRPr="008A4B76">
              <w:rPr>
                <w:lang w:bidi="lo-LA"/>
              </w:rPr>
              <w:t xml:space="preserve"> </w:t>
            </w:r>
            <w:proofErr w:type="spellStart"/>
            <w:r w:rsidRPr="008A4B76">
              <w:rPr>
                <w:i/>
                <w:lang w:bidi="lo-LA"/>
              </w:rPr>
              <w:t>euro</w:t>
            </w:r>
            <w:proofErr w:type="spellEnd"/>
            <w:r w:rsidRPr="008A4B76">
              <w:rPr>
                <w:lang w:bidi="lo-LA"/>
              </w:rPr>
              <w:t xml:space="preserve"> un valsts budžeta finansējums 1 </w:t>
            </w:r>
            <w:r w:rsidR="00AE22C0" w:rsidRPr="008A4B76">
              <w:rPr>
                <w:lang w:bidi="lo-LA"/>
              </w:rPr>
              <w:t>622</w:t>
            </w:r>
            <w:r w:rsidRPr="008A4B76">
              <w:rPr>
                <w:lang w:bidi="lo-LA"/>
              </w:rPr>
              <w:t> </w:t>
            </w:r>
            <w:r w:rsidR="00AE22C0" w:rsidRPr="008A4B76">
              <w:rPr>
                <w:lang w:bidi="lo-LA"/>
              </w:rPr>
              <w:t>25</w:t>
            </w:r>
            <w:r w:rsidRPr="008A4B76">
              <w:rPr>
                <w:lang w:bidi="lo-LA"/>
              </w:rPr>
              <w:t xml:space="preserve">0 </w:t>
            </w:r>
            <w:proofErr w:type="spellStart"/>
            <w:r w:rsidRPr="008A4B76">
              <w:rPr>
                <w:i/>
                <w:lang w:bidi="lo-LA"/>
              </w:rPr>
              <w:t>euro</w:t>
            </w:r>
            <w:proofErr w:type="spellEnd"/>
            <w:r w:rsidRPr="008A4B76">
              <w:rPr>
                <w:lang w:bidi="lo-LA"/>
              </w:rPr>
              <w:t xml:space="preserve">. </w:t>
            </w:r>
          </w:p>
          <w:p w14:paraId="1D8A5B2E" w14:textId="77777777" w:rsidR="00944C1D" w:rsidRPr="008A4B76" w:rsidRDefault="00944C1D" w:rsidP="007D18FC">
            <w:pPr>
              <w:jc w:val="both"/>
              <w:rPr>
                <w:lang w:bidi="lo-LA"/>
              </w:rPr>
            </w:pPr>
            <w:r w:rsidRPr="008A4B76">
              <w:rPr>
                <w:lang w:bidi="lo-LA"/>
              </w:rPr>
              <w:t>Budžeta ieņēmumi ir finansējuma ESF daļa 85 procentu apmērā no projekt</w:t>
            </w:r>
            <w:r w:rsidR="00AE22C0" w:rsidRPr="008A4B76">
              <w:rPr>
                <w:lang w:bidi="lo-LA"/>
              </w:rPr>
              <w:t>u</w:t>
            </w:r>
            <w:r w:rsidRPr="008A4B76">
              <w:rPr>
                <w:lang w:bidi="lo-LA"/>
              </w:rPr>
              <w:t xml:space="preserve"> attiecināmām izmaksām. Budž</w:t>
            </w:r>
            <w:r w:rsidR="00286D2F" w:rsidRPr="008A4B76">
              <w:rPr>
                <w:lang w:bidi="lo-LA"/>
              </w:rPr>
              <w:t>eta izdevumi ir kopējie projektu</w:t>
            </w:r>
            <w:r w:rsidRPr="008A4B76">
              <w:rPr>
                <w:lang w:bidi="lo-LA"/>
              </w:rPr>
              <w:t xml:space="preserve"> ieviešanai nepieciešamie publiskā finansējuma (ESF un valsts budžeta) līdzekļi</w:t>
            </w:r>
            <w:r w:rsidR="00286D2F" w:rsidRPr="008A4B76">
              <w:rPr>
                <w:lang w:bidi="lo-LA"/>
              </w:rPr>
              <w:t xml:space="preserve"> 100 procentu apmērā no projektu</w:t>
            </w:r>
            <w:r w:rsidRPr="008A4B76">
              <w:rPr>
                <w:lang w:bidi="lo-LA"/>
              </w:rPr>
              <w:t xml:space="preserve"> attiecināmām izmaksām. </w:t>
            </w:r>
          </w:p>
          <w:p w14:paraId="5FD8AB88" w14:textId="77777777" w:rsidR="00286D2F" w:rsidRPr="008A4B76" w:rsidRDefault="00286D2F" w:rsidP="007D18FC">
            <w:pPr>
              <w:jc w:val="both"/>
              <w:rPr>
                <w:lang w:bidi="lo-LA"/>
              </w:rPr>
            </w:pPr>
            <w:r w:rsidRPr="008A4B76">
              <w:rPr>
                <w:lang w:bidi="lo-LA"/>
              </w:rPr>
              <w:t>8.2.1. SAM īsteno divās projektu iesniegumu atlases kārtās par visu 8.2.1.</w:t>
            </w:r>
            <w:r w:rsidR="002A6154" w:rsidRPr="008A4B76">
              <w:rPr>
                <w:lang w:bidi="lo-LA"/>
              </w:rPr>
              <w:t xml:space="preserve"> </w:t>
            </w:r>
            <w:r w:rsidRPr="008A4B76">
              <w:rPr>
                <w:lang w:bidi="lo-LA"/>
              </w:rPr>
              <w:t>SAM pieejamo finansējumu.</w:t>
            </w:r>
          </w:p>
          <w:p w14:paraId="1639669C" w14:textId="77777777" w:rsidR="00286D2F" w:rsidRPr="008A4B76" w:rsidRDefault="00AE22C0" w:rsidP="00841191">
            <w:pPr>
              <w:jc w:val="both"/>
              <w:rPr>
                <w:lang w:bidi="lo-LA"/>
              </w:rPr>
            </w:pPr>
            <w:r w:rsidRPr="008A4B76">
              <w:rPr>
                <w:lang w:bidi="lo-LA"/>
              </w:rPr>
              <w:t>Projektus plānots indikatīvi ieviest no 201</w:t>
            </w:r>
            <w:r w:rsidR="00286D2F" w:rsidRPr="008A4B76">
              <w:rPr>
                <w:lang w:bidi="lo-LA"/>
              </w:rPr>
              <w:t>8</w:t>
            </w:r>
            <w:r w:rsidRPr="008A4B76">
              <w:rPr>
                <w:lang w:bidi="lo-LA"/>
              </w:rPr>
              <w:t>.gada I</w:t>
            </w:r>
            <w:r w:rsidR="00286D2F" w:rsidRPr="008A4B76">
              <w:rPr>
                <w:lang w:bidi="lo-LA"/>
              </w:rPr>
              <w:t>II</w:t>
            </w:r>
            <w:r w:rsidRPr="008A4B76">
              <w:rPr>
                <w:lang w:bidi="lo-LA"/>
              </w:rPr>
              <w:t xml:space="preserve"> ceturkšņa līdz 202</w:t>
            </w:r>
            <w:r w:rsidR="00286D2F" w:rsidRPr="008A4B76">
              <w:rPr>
                <w:lang w:bidi="lo-LA"/>
              </w:rPr>
              <w:t>3</w:t>
            </w:r>
            <w:r w:rsidRPr="008A4B76">
              <w:rPr>
                <w:lang w:bidi="lo-LA"/>
              </w:rPr>
              <w:t xml:space="preserve">.gada IV ceturksnim (projektu īstenošanas laiks </w:t>
            </w:r>
            <w:r w:rsidR="00286D2F" w:rsidRPr="008A4B76">
              <w:rPr>
                <w:lang w:bidi="lo-LA"/>
              </w:rPr>
              <w:t>indikatīvi 3</w:t>
            </w:r>
            <w:r w:rsidRPr="008A4B76">
              <w:rPr>
                <w:lang w:bidi="lo-LA"/>
              </w:rPr>
              <w:t>–</w:t>
            </w:r>
            <w:r w:rsidR="00286D2F" w:rsidRPr="008A4B76">
              <w:rPr>
                <w:lang w:bidi="lo-LA"/>
              </w:rPr>
              <w:t>5</w:t>
            </w:r>
            <w:r w:rsidRPr="008A4B76">
              <w:rPr>
                <w:lang w:bidi="lo-LA"/>
              </w:rPr>
              <w:t xml:space="preserve"> gadi). </w:t>
            </w:r>
          </w:p>
          <w:p w14:paraId="33223F39" w14:textId="77777777" w:rsidR="004D56D1" w:rsidRPr="008A4B76" w:rsidRDefault="00286D2F" w:rsidP="007D18FC">
            <w:pPr>
              <w:autoSpaceDE w:val="0"/>
              <w:autoSpaceDN w:val="0"/>
              <w:adjustRightInd w:val="0"/>
              <w:jc w:val="both"/>
              <w:rPr>
                <w:lang w:bidi="lo-LA"/>
              </w:rPr>
            </w:pPr>
            <w:r w:rsidRPr="008A4B76">
              <w:rPr>
                <w:b/>
              </w:rPr>
              <w:t>2018. gadā</w:t>
            </w:r>
            <w:r w:rsidRPr="008A4B76">
              <w:t xml:space="preserve"> tiek plānots finansējums </w:t>
            </w:r>
            <w:r w:rsidR="00A50AB7" w:rsidRPr="008A4B76">
              <w:t>1</w:t>
            </w:r>
            <w:r w:rsidRPr="008A4B76">
              <w:t xml:space="preserve">0 procentu apmērā no kopējā plānotā finansējuma, t.i., </w:t>
            </w:r>
            <w:r w:rsidR="00841191" w:rsidRPr="008A4B76">
              <w:rPr>
                <w:color w:val="000000"/>
              </w:rPr>
              <w:t>1</w:t>
            </w:r>
            <w:r w:rsidRPr="008A4B76">
              <w:rPr>
                <w:color w:val="000000"/>
              </w:rPr>
              <w:t> </w:t>
            </w:r>
            <w:r w:rsidR="00841191" w:rsidRPr="008A4B76">
              <w:rPr>
                <w:color w:val="000000"/>
              </w:rPr>
              <w:t>081</w:t>
            </w:r>
            <w:r w:rsidRPr="008A4B76">
              <w:rPr>
                <w:color w:val="000000"/>
              </w:rPr>
              <w:t xml:space="preserve"> 5</w:t>
            </w:r>
            <w:r w:rsidR="00841191" w:rsidRPr="008A4B76">
              <w:rPr>
                <w:color w:val="000000"/>
              </w:rPr>
              <w:t>00</w:t>
            </w:r>
            <w:r w:rsidRPr="008A4B76">
              <w:t xml:space="preserve"> </w:t>
            </w:r>
            <w:proofErr w:type="spellStart"/>
            <w:r w:rsidRPr="008A4B76">
              <w:rPr>
                <w:i/>
              </w:rPr>
              <w:t>euro</w:t>
            </w:r>
            <w:proofErr w:type="spellEnd"/>
            <w:r w:rsidRPr="008A4B76">
              <w:t xml:space="preserve"> gadā</w:t>
            </w:r>
            <w:r w:rsidRPr="008A4B76">
              <w:rPr>
                <w:i/>
              </w:rPr>
              <w:t xml:space="preserve"> </w:t>
            </w:r>
            <w:r w:rsidRPr="008A4B76">
              <w:t xml:space="preserve">(t.sk. </w:t>
            </w:r>
            <w:r w:rsidR="00A50AB7" w:rsidRPr="008A4B76">
              <w:t>ESF</w:t>
            </w:r>
            <w:r w:rsidRPr="008A4B76">
              <w:t xml:space="preserve"> </w:t>
            </w:r>
            <w:r w:rsidR="00841191" w:rsidRPr="008A4B76">
              <w:rPr>
                <w:color w:val="000000"/>
              </w:rPr>
              <w:t>919</w:t>
            </w:r>
            <w:r w:rsidRPr="008A4B76">
              <w:rPr>
                <w:color w:val="000000"/>
              </w:rPr>
              <w:t xml:space="preserve"> </w:t>
            </w:r>
            <w:r w:rsidR="00841191" w:rsidRPr="008A4B76">
              <w:rPr>
                <w:color w:val="000000"/>
              </w:rPr>
              <w:t>275</w:t>
            </w:r>
            <w:r w:rsidRPr="008A4B76">
              <w:t xml:space="preserve"> </w:t>
            </w:r>
            <w:proofErr w:type="spellStart"/>
            <w:r w:rsidRPr="008A4B76">
              <w:rPr>
                <w:i/>
              </w:rPr>
              <w:t>euro</w:t>
            </w:r>
            <w:proofErr w:type="spellEnd"/>
            <w:r w:rsidRPr="008A4B76">
              <w:t xml:space="preserve">, valsts budžets </w:t>
            </w:r>
            <w:r w:rsidR="00841191" w:rsidRPr="008A4B76">
              <w:rPr>
                <w:color w:val="000000"/>
              </w:rPr>
              <w:t>162</w:t>
            </w:r>
            <w:r w:rsidRPr="008A4B76">
              <w:rPr>
                <w:color w:val="000000"/>
              </w:rPr>
              <w:t> </w:t>
            </w:r>
            <w:r w:rsidR="00841191" w:rsidRPr="008A4B76">
              <w:rPr>
                <w:color w:val="000000"/>
              </w:rPr>
              <w:t>225</w:t>
            </w:r>
            <w:r w:rsidRPr="008A4B76">
              <w:rPr>
                <w:color w:val="000000"/>
              </w:rPr>
              <w:t xml:space="preserve"> </w:t>
            </w:r>
            <w:proofErr w:type="spellStart"/>
            <w:r w:rsidRPr="008A4B76">
              <w:rPr>
                <w:i/>
              </w:rPr>
              <w:t>euro</w:t>
            </w:r>
            <w:proofErr w:type="spellEnd"/>
            <w:r w:rsidRPr="008A4B76">
              <w:t xml:space="preserve">), </w:t>
            </w:r>
            <w:r w:rsidRPr="008A4B76">
              <w:rPr>
                <w:b/>
              </w:rPr>
              <w:t>2019. gadā</w:t>
            </w:r>
            <w:r w:rsidRPr="008A4B76">
              <w:t xml:space="preserve"> - 20 procenti, t.i., </w:t>
            </w:r>
            <w:r w:rsidR="00841191" w:rsidRPr="008A4B76">
              <w:rPr>
                <w:color w:val="000000"/>
              </w:rPr>
              <w:t>2</w:t>
            </w:r>
            <w:r w:rsidRPr="008A4B76">
              <w:rPr>
                <w:color w:val="000000"/>
              </w:rPr>
              <w:t> </w:t>
            </w:r>
            <w:r w:rsidR="00841191" w:rsidRPr="008A4B76">
              <w:rPr>
                <w:color w:val="000000"/>
              </w:rPr>
              <w:t>163</w:t>
            </w:r>
            <w:r w:rsidRPr="008A4B76">
              <w:rPr>
                <w:color w:val="000000"/>
              </w:rPr>
              <w:t xml:space="preserve"> </w:t>
            </w:r>
            <w:r w:rsidR="00841191" w:rsidRPr="008A4B76">
              <w:rPr>
                <w:color w:val="000000"/>
              </w:rPr>
              <w:t>000</w:t>
            </w:r>
            <w:r w:rsidRPr="008A4B76">
              <w:t xml:space="preserve"> </w:t>
            </w:r>
            <w:proofErr w:type="spellStart"/>
            <w:r w:rsidRPr="008A4B76">
              <w:rPr>
                <w:i/>
              </w:rPr>
              <w:t>euro</w:t>
            </w:r>
            <w:proofErr w:type="spellEnd"/>
            <w:r w:rsidRPr="008A4B76">
              <w:t xml:space="preserve"> (t.sk. </w:t>
            </w:r>
            <w:r w:rsidR="00A50AB7" w:rsidRPr="008A4B76">
              <w:t>ESF</w:t>
            </w:r>
            <w:r w:rsidRPr="008A4B76">
              <w:t xml:space="preserve"> </w:t>
            </w:r>
            <w:r w:rsidR="00841191" w:rsidRPr="008A4B76">
              <w:rPr>
                <w:color w:val="000000"/>
              </w:rPr>
              <w:t>1</w:t>
            </w:r>
            <w:r w:rsidRPr="008A4B76">
              <w:rPr>
                <w:color w:val="000000"/>
              </w:rPr>
              <w:t> </w:t>
            </w:r>
            <w:r w:rsidR="00841191" w:rsidRPr="008A4B76">
              <w:rPr>
                <w:color w:val="000000"/>
              </w:rPr>
              <w:t>838</w:t>
            </w:r>
            <w:r w:rsidRPr="008A4B76">
              <w:rPr>
                <w:color w:val="000000"/>
              </w:rPr>
              <w:t xml:space="preserve"> </w:t>
            </w:r>
            <w:r w:rsidR="00841191" w:rsidRPr="008A4B76">
              <w:rPr>
                <w:color w:val="000000"/>
              </w:rPr>
              <w:t>550</w:t>
            </w:r>
            <w:r w:rsidRPr="008A4B76">
              <w:t xml:space="preserve"> </w:t>
            </w:r>
            <w:proofErr w:type="spellStart"/>
            <w:r w:rsidRPr="008A4B76">
              <w:rPr>
                <w:i/>
              </w:rPr>
              <w:t>euro</w:t>
            </w:r>
            <w:proofErr w:type="spellEnd"/>
            <w:r w:rsidRPr="008A4B76">
              <w:t xml:space="preserve">, valsts budžets </w:t>
            </w:r>
            <w:r w:rsidR="00841191" w:rsidRPr="008A4B76">
              <w:rPr>
                <w:color w:val="000000"/>
              </w:rPr>
              <w:t>324</w:t>
            </w:r>
            <w:r w:rsidRPr="008A4B76">
              <w:rPr>
                <w:color w:val="000000"/>
              </w:rPr>
              <w:t> </w:t>
            </w:r>
            <w:r w:rsidR="00841191" w:rsidRPr="008A4B76">
              <w:rPr>
                <w:color w:val="000000"/>
              </w:rPr>
              <w:t>450</w:t>
            </w:r>
            <w:r w:rsidRPr="008A4B76">
              <w:rPr>
                <w:color w:val="000000"/>
              </w:rPr>
              <w:t xml:space="preserve"> </w:t>
            </w:r>
            <w:proofErr w:type="spellStart"/>
            <w:r w:rsidRPr="008A4B76">
              <w:rPr>
                <w:i/>
              </w:rPr>
              <w:t>euro</w:t>
            </w:r>
            <w:proofErr w:type="spellEnd"/>
            <w:r w:rsidRPr="008A4B76">
              <w:t xml:space="preserve">), </w:t>
            </w:r>
            <w:r w:rsidRPr="008A4B76">
              <w:rPr>
                <w:b/>
              </w:rPr>
              <w:t>2020. gadā</w:t>
            </w:r>
            <w:r w:rsidRPr="008A4B76">
              <w:t xml:space="preserve"> - </w:t>
            </w:r>
            <w:r w:rsidR="00841191" w:rsidRPr="008A4B76">
              <w:t xml:space="preserve">20 procenti, t.i., </w:t>
            </w:r>
            <w:r w:rsidR="00841191" w:rsidRPr="008A4B76">
              <w:rPr>
                <w:color w:val="000000"/>
              </w:rPr>
              <w:t>2 163 000</w:t>
            </w:r>
            <w:r w:rsidR="00841191" w:rsidRPr="008A4B76">
              <w:t xml:space="preserve"> </w:t>
            </w:r>
            <w:proofErr w:type="spellStart"/>
            <w:r w:rsidR="00841191" w:rsidRPr="008A4B76">
              <w:rPr>
                <w:i/>
              </w:rPr>
              <w:t>euro</w:t>
            </w:r>
            <w:proofErr w:type="spellEnd"/>
            <w:r w:rsidR="00841191" w:rsidRPr="008A4B76">
              <w:t xml:space="preserve"> (t.sk. ESF </w:t>
            </w:r>
            <w:r w:rsidR="00841191" w:rsidRPr="008A4B76">
              <w:rPr>
                <w:color w:val="000000"/>
              </w:rPr>
              <w:t>1 838 550</w:t>
            </w:r>
            <w:r w:rsidR="00841191" w:rsidRPr="008A4B76">
              <w:t xml:space="preserve"> </w:t>
            </w:r>
            <w:proofErr w:type="spellStart"/>
            <w:r w:rsidR="00841191" w:rsidRPr="008A4B76">
              <w:rPr>
                <w:i/>
              </w:rPr>
              <w:t>euro</w:t>
            </w:r>
            <w:proofErr w:type="spellEnd"/>
            <w:r w:rsidR="00841191" w:rsidRPr="008A4B76">
              <w:t xml:space="preserve">, valsts budžets </w:t>
            </w:r>
            <w:r w:rsidR="00841191" w:rsidRPr="008A4B76">
              <w:rPr>
                <w:color w:val="000000"/>
              </w:rPr>
              <w:t xml:space="preserve">324 450 </w:t>
            </w:r>
            <w:proofErr w:type="spellStart"/>
            <w:r w:rsidR="00841191" w:rsidRPr="008A4B76">
              <w:rPr>
                <w:i/>
              </w:rPr>
              <w:t>euro</w:t>
            </w:r>
            <w:proofErr w:type="spellEnd"/>
            <w:r w:rsidR="00841191" w:rsidRPr="008A4B76">
              <w:t>)</w:t>
            </w:r>
            <w:r w:rsidRPr="008A4B76">
              <w:t xml:space="preserve">, </w:t>
            </w:r>
            <w:r w:rsidRPr="008A4B76">
              <w:rPr>
                <w:b/>
              </w:rPr>
              <w:t>2021. gadā</w:t>
            </w:r>
            <w:r w:rsidRPr="008A4B76">
              <w:t xml:space="preserve"> – </w:t>
            </w:r>
            <w:r w:rsidR="00841191" w:rsidRPr="008A4B76">
              <w:t xml:space="preserve">20 procenti, t.i., </w:t>
            </w:r>
            <w:r w:rsidR="00841191" w:rsidRPr="008A4B76">
              <w:rPr>
                <w:color w:val="000000"/>
              </w:rPr>
              <w:t>2 163 000</w:t>
            </w:r>
            <w:r w:rsidR="00841191" w:rsidRPr="008A4B76">
              <w:t xml:space="preserve"> </w:t>
            </w:r>
            <w:proofErr w:type="spellStart"/>
            <w:r w:rsidR="00841191" w:rsidRPr="008A4B76">
              <w:rPr>
                <w:i/>
              </w:rPr>
              <w:t>euro</w:t>
            </w:r>
            <w:proofErr w:type="spellEnd"/>
            <w:r w:rsidR="00841191" w:rsidRPr="008A4B76">
              <w:t xml:space="preserve"> (t.sk. ESF </w:t>
            </w:r>
            <w:r w:rsidR="00841191" w:rsidRPr="008A4B76">
              <w:rPr>
                <w:color w:val="000000"/>
              </w:rPr>
              <w:t>1 838 550</w:t>
            </w:r>
            <w:r w:rsidR="00841191" w:rsidRPr="008A4B76">
              <w:t xml:space="preserve"> </w:t>
            </w:r>
            <w:proofErr w:type="spellStart"/>
            <w:r w:rsidR="00841191" w:rsidRPr="008A4B76">
              <w:rPr>
                <w:i/>
              </w:rPr>
              <w:t>euro</w:t>
            </w:r>
            <w:proofErr w:type="spellEnd"/>
            <w:r w:rsidR="00841191" w:rsidRPr="008A4B76">
              <w:t xml:space="preserve">, valsts budžets </w:t>
            </w:r>
            <w:r w:rsidR="00841191" w:rsidRPr="008A4B76">
              <w:rPr>
                <w:color w:val="000000"/>
              </w:rPr>
              <w:t xml:space="preserve">324 450 </w:t>
            </w:r>
            <w:proofErr w:type="spellStart"/>
            <w:r w:rsidR="00841191" w:rsidRPr="008A4B76">
              <w:rPr>
                <w:i/>
              </w:rPr>
              <w:t>euro</w:t>
            </w:r>
            <w:proofErr w:type="spellEnd"/>
            <w:r w:rsidR="00841191" w:rsidRPr="008A4B76">
              <w:t>)</w:t>
            </w:r>
            <w:r w:rsidRPr="008A4B76">
              <w:t xml:space="preserve">, </w:t>
            </w:r>
            <w:r w:rsidRPr="008A4B76">
              <w:rPr>
                <w:b/>
              </w:rPr>
              <w:t>2022. gadā</w:t>
            </w:r>
            <w:r w:rsidRPr="008A4B76">
              <w:t xml:space="preserve"> – </w:t>
            </w:r>
            <w:r w:rsidR="00841191" w:rsidRPr="008A4B76">
              <w:t xml:space="preserve">20 procenti, t.i., </w:t>
            </w:r>
            <w:r w:rsidR="00841191" w:rsidRPr="008A4B76">
              <w:rPr>
                <w:color w:val="000000"/>
              </w:rPr>
              <w:t>2 163 000</w:t>
            </w:r>
            <w:r w:rsidR="00841191" w:rsidRPr="008A4B76">
              <w:t xml:space="preserve"> </w:t>
            </w:r>
            <w:proofErr w:type="spellStart"/>
            <w:r w:rsidR="00841191" w:rsidRPr="008A4B76">
              <w:rPr>
                <w:i/>
              </w:rPr>
              <w:t>euro</w:t>
            </w:r>
            <w:proofErr w:type="spellEnd"/>
            <w:r w:rsidR="00841191" w:rsidRPr="008A4B76">
              <w:t xml:space="preserve"> (t.sk. ESF </w:t>
            </w:r>
            <w:r w:rsidR="00841191" w:rsidRPr="008A4B76">
              <w:rPr>
                <w:color w:val="000000"/>
              </w:rPr>
              <w:t>1 838 550</w:t>
            </w:r>
            <w:r w:rsidR="00841191" w:rsidRPr="008A4B76">
              <w:t xml:space="preserve"> </w:t>
            </w:r>
            <w:proofErr w:type="spellStart"/>
            <w:r w:rsidR="00841191" w:rsidRPr="008A4B76">
              <w:rPr>
                <w:i/>
              </w:rPr>
              <w:t>euro</w:t>
            </w:r>
            <w:proofErr w:type="spellEnd"/>
            <w:r w:rsidR="00841191" w:rsidRPr="008A4B76">
              <w:t xml:space="preserve">, valsts budžets </w:t>
            </w:r>
            <w:r w:rsidR="00841191" w:rsidRPr="008A4B76">
              <w:rPr>
                <w:color w:val="000000"/>
              </w:rPr>
              <w:t xml:space="preserve">324 450 </w:t>
            </w:r>
            <w:proofErr w:type="spellStart"/>
            <w:r w:rsidR="00841191" w:rsidRPr="008A4B76">
              <w:rPr>
                <w:i/>
              </w:rPr>
              <w:t>euro</w:t>
            </w:r>
            <w:proofErr w:type="spellEnd"/>
            <w:r w:rsidR="00841191" w:rsidRPr="008A4B76">
              <w:t>)</w:t>
            </w:r>
            <w:r w:rsidRPr="008A4B76">
              <w:t xml:space="preserve">, </w:t>
            </w:r>
            <w:r w:rsidRPr="008A4B76">
              <w:rPr>
                <w:b/>
              </w:rPr>
              <w:t>2023. gadā</w:t>
            </w:r>
            <w:r w:rsidRPr="008A4B76">
              <w:t xml:space="preserve"> – 10 procenti, t.i., </w:t>
            </w:r>
            <w:r w:rsidR="00841191" w:rsidRPr="008A4B76">
              <w:rPr>
                <w:color w:val="000000"/>
              </w:rPr>
              <w:t>1 081 500</w:t>
            </w:r>
            <w:r w:rsidR="00841191" w:rsidRPr="008A4B76">
              <w:t xml:space="preserve"> </w:t>
            </w:r>
            <w:proofErr w:type="spellStart"/>
            <w:r w:rsidR="00841191" w:rsidRPr="008A4B76">
              <w:rPr>
                <w:i/>
              </w:rPr>
              <w:t>euro</w:t>
            </w:r>
            <w:proofErr w:type="spellEnd"/>
            <w:r w:rsidR="00841191" w:rsidRPr="008A4B76">
              <w:t xml:space="preserve"> gadā</w:t>
            </w:r>
            <w:r w:rsidR="00841191" w:rsidRPr="008A4B76">
              <w:rPr>
                <w:i/>
              </w:rPr>
              <w:t xml:space="preserve"> </w:t>
            </w:r>
            <w:r w:rsidR="00841191" w:rsidRPr="008A4B76">
              <w:t xml:space="preserve">(t.sk. ESF </w:t>
            </w:r>
            <w:r w:rsidR="00841191" w:rsidRPr="008A4B76">
              <w:rPr>
                <w:color w:val="000000"/>
              </w:rPr>
              <w:t>919 275</w:t>
            </w:r>
            <w:r w:rsidR="00841191" w:rsidRPr="008A4B76">
              <w:t xml:space="preserve"> </w:t>
            </w:r>
            <w:proofErr w:type="spellStart"/>
            <w:r w:rsidR="00841191" w:rsidRPr="008A4B76">
              <w:rPr>
                <w:i/>
              </w:rPr>
              <w:t>euro</w:t>
            </w:r>
            <w:proofErr w:type="spellEnd"/>
            <w:r w:rsidR="00841191" w:rsidRPr="008A4B76">
              <w:t xml:space="preserve">, valsts budžets </w:t>
            </w:r>
            <w:r w:rsidR="00841191" w:rsidRPr="008A4B76">
              <w:rPr>
                <w:color w:val="000000"/>
              </w:rPr>
              <w:t xml:space="preserve">162 225 </w:t>
            </w:r>
            <w:proofErr w:type="spellStart"/>
            <w:r w:rsidR="00841191" w:rsidRPr="008A4B76">
              <w:rPr>
                <w:i/>
              </w:rPr>
              <w:t>euro</w:t>
            </w:r>
            <w:proofErr w:type="spellEnd"/>
            <w:r w:rsidR="00841191" w:rsidRPr="008A4B76">
              <w:t>)</w:t>
            </w:r>
            <w:r w:rsidRPr="008A4B76">
              <w:t>.</w:t>
            </w:r>
          </w:p>
          <w:p w14:paraId="43E02B4C" w14:textId="77777777" w:rsidR="004D56D1" w:rsidRPr="008A4B76" w:rsidRDefault="004D56D1" w:rsidP="00D2363A">
            <w:pPr>
              <w:autoSpaceDE w:val="0"/>
              <w:autoSpaceDN w:val="0"/>
              <w:adjustRightInd w:val="0"/>
              <w:jc w:val="both"/>
              <w:rPr>
                <w:lang w:bidi="lo-LA"/>
              </w:rPr>
            </w:pPr>
            <w:r w:rsidRPr="008A4B76">
              <w:rPr>
                <w:b/>
                <w:lang w:bidi="lo-LA"/>
              </w:rPr>
              <w:t>1.kārtai</w:t>
            </w:r>
            <w:r w:rsidRPr="008A4B76">
              <w:rPr>
                <w:lang w:bidi="lo-LA"/>
              </w:rPr>
              <w:t xml:space="preserve"> </w:t>
            </w:r>
            <w:r w:rsidRPr="008A4B76">
              <w:rPr>
                <w:b/>
                <w:lang w:bidi="lo-LA"/>
              </w:rPr>
              <w:t>2018. gadā</w:t>
            </w:r>
            <w:r w:rsidRPr="008A4B76">
              <w:rPr>
                <w:lang w:bidi="lo-LA"/>
              </w:rPr>
              <w:t xml:space="preserve"> tiek plānots finansējums 10 procentu apmērā no kopējā plānotā finansējuma, t.i., 300 000 </w:t>
            </w:r>
            <w:proofErr w:type="spellStart"/>
            <w:r w:rsidRPr="008A4B76">
              <w:rPr>
                <w:i/>
                <w:lang w:bidi="lo-LA"/>
              </w:rPr>
              <w:t>euro</w:t>
            </w:r>
            <w:proofErr w:type="spellEnd"/>
            <w:r w:rsidRPr="008A4B76">
              <w:rPr>
                <w:lang w:bidi="lo-LA"/>
              </w:rPr>
              <w:t xml:space="preserve"> gadā (t.sk. ESF 255 000 </w:t>
            </w:r>
            <w:proofErr w:type="spellStart"/>
            <w:r w:rsidRPr="008A4B76">
              <w:rPr>
                <w:i/>
                <w:lang w:bidi="lo-LA"/>
              </w:rPr>
              <w:t>euro</w:t>
            </w:r>
            <w:proofErr w:type="spellEnd"/>
            <w:r w:rsidRPr="008A4B76">
              <w:rPr>
                <w:lang w:bidi="lo-LA"/>
              </w:rPr>
              <w:t xml:space="preserve">, valsts budžets 45 000 </w:t>
            </w:r>
            <w:proofErr w:type="spellStart"/>
            <w:r w:rsidRPr="008A4B76">
              <w:rPr>
                <w:i/>
                <w:lang w:bidi="lo-LA"/>
              </w:rPr>
              <w:t>euro</w:t>
            </w:r>
            <w:proofErr w:type="spellEnd"/>
            <w:r w:rsidRPr="008A4B76">
              <w:rPr>
                <w:lang w:bidi="lo-LA"/>
              </w:rPr>
              <w:t xml:space="preserve">), </w:t>
            </w:r>
            <w:r w:rsidRPr="008A4B76">
              <w:rPr>
                <w:b/>
                <w:lang w:bidi="lo-LA"/>
              </w:rPr>
              <w:t>2019. gadā</w:t>
            </w:r>
            <w:r w:rsidRPr="008A4B76">
              <w:rPr>
                <w:lang w:bidi="lo-LA"/>
              </w:rPr>
              <w:t xml:space="preserve"> - 20 procenti, t.i., 600 000 </w:t>
            </w:r>
            <w:proofErr w:type="spellStart"/>
            <w:r w:rsidRPr="008A4B76">
              <w:rPr>
                <w:i/>
                <w:lang w:bidi="lo-LA"/>
              </w:rPr>
              <w:t>euro</w:t>
            </w:r>
            <w:proofErr w:type="spellEnd"/>
            <w:r w:rsidRPr="008A4B76">
              <w:rPr>
                <w:lang w:bidi="lo-LA"/>
              </w:rPr>
              <w:t xml:space="preserve"> (t.sk. ESF 510 000 </w:t>
            </w:r>
            <w:proofErr w:type="spellStart"/>
            <w:r w:rsidRPr="008A4B76">
              <w:rPr>
                <w:i/>
                <w:lang w:bidi="lo-LA"/>
              </w:rPr>
              <w:t>euro</w:t>
            </w:r>
            <w:proofErr w:type="spellEnd"/>
            <w:r w:rsidRPr="008A4B76">
              <w:rPr>
                <w:lang w:bidi="lo-LA"/>
              </w:rPr>
              <w:t xml:space="preserve">, valsts budžets 90 000 </w:t>
            </w:r>
            <w:proofErr w:type="spellStart"/>
            <w:r w:rsidRPr="008A4B76">
              <w:rPr>
                <w:i/>
                <w:lang w:bidi="lo-LA"/>
              </w:rPr>
              <w:t>euro</w:t>
            </w:r>
            <w:proofErr w:type="spellEnd"/>
            <w:r w:rsidRPr="008A4B76">
              <w:rPr>
                <w:lang w:bidi="lo-LA"/>
              </w:rPr>
              <w:t xml:space="preserve">), </w:t>
            </w:r>
            <w:r w:rsidRPr="008A4B76">
              <w:rPr>
                <w:b/>
                <w:lang w:bidi="lo-LA"/>
              </w:rPr>
              <w:t>2020. gadā</w:t>
            </w:r>
            <w:r w:rsidRPr="008A4B76">
              <w:rPr>
                <w:lang w:bidi="lo-LA"/>
              </w:rPr>
              <w:t xml:space="preserve"> - 20 procenti, t.i., 600 000 </w:t>
            </w:r>
            <w:proofErr w:type="spellStart"/>
            <w:r w:rsidRPr="008A4B76">
              <w:rPr>
                <w:i/>
                <w:lang w:bidi="lo-LA"/>
              </w:rPr>
              <w:t>euro</w:t>
            </w:r>
            <w:proofErr w:type="spellEnd"/>
            <w:r w:rsidRPr="008A4B76">
              <w:rPr>
                <w:lang w:bidi="lo-LA"/>
              </w:rPr>
              <w:t xml:space="preserve"> (t.sk. ESF 510 000 </w:t>
            </w:r>
            <w:proofErr w:type="spellStart"/>
            <w:r w:rsidRPr="008A4B76">
              <w:rPr>
                <w:i/>
                <w:lang w:bidi="lo-LA"/>
              </w:rPr>
              <w:t>euro</w:t>
            </w:r>
            <w:proofErr w:type="spellEnd"/>
            <w:r w:rsidRPr="008A4B76">
              <w:rPr>
                <w:lang w:bidi="lo-LA"/>
              </w:rPr>
              <w:t xml:space="preserve">, valsts budžets 90 000 </w:t>
            </w:r>
            <w:proofErr w:type="spellStart"/>
            <w:r w:rsidRPr="008A4B76">
              <w:rPr>
                <w:i/>
                <w:lang w:bidi="lo-LA"/>
              </w:rPr>
              <w:t>euro</w:t>
            </w:r>
            <w:proofErr w:type="spellEnd"/>
            <w:r w:rsidRPr="008A4B76">
              <w:rPr>
                <w:lang w:bidi="lo-LA"/>
              </w:rPr>
              <w:t xml:space="preserve">), </w:t>
            </w:r>
            <w:r w:rsidRPr="008A4B76">
              <w:rPr>
                <w:b/>
                <w:lang w:bidi="lo-LA"/>
              </w:rPr>
              <w:t>2021. gadā</w:t>
            </w:r>
            <w:r w:rsidRPr="008A4B76">
              <w:rPr>
                <w:lang w:bidi="lo-LA"/>
              </w:rPr>
              <w:t xml:space="preserve"> – 20 procenti, t.i., 600 000 </w:t>
            </w:r>
            <w:proofErr w:type="spellStart"/>
            <w:r w:rsidRPr="008A4B76">
              <w:rPr>
                <w:i/>
                <w:lang w:bidi="lo-LA"/>
              </w:rPr>
              <w:t>euro</w:t>
            </w:r>
            <w:proofErr w:type="spellEnd"/>
            <w:r w:rsidRPr="008A4B76">
              <w:rPr>
                <w:lang w:bidi="lo-LA"/>
              </w:rPr>
              <w:t xml:space="preserve"> (t.sk. ESF 510 000 </w:t>
            </w:r>
            <w:proofErr w:type="spellStart"/>
            <w:r w:rsidRPr="008A4B76">
              <w:rPr>
                <w:i/>
                <w:lang w:bidi="lo-LA"/>
              </w:rPr>
              <w:t>euro</w:t>
            </w:r>
            <w:proofErr w:type="spellEnd"/>
            <w:r w:rsidRPr="008A4B76">
              <w:rPr>
                <w:lang w:bidi="lo-LA"/>
              </w:rPr>
              <w:t xml:space="preserve">, valsts budžets 90 000 </w:t>
            </w:r>
            <w:proofErr w:type="spellStart"/>
            <w:r w:rsidRPr="008A4B76">
              <w:rPr>
                <w:i/>
                <w:lang w:bidi="lo-LA"/>
              </w:rPr>
              <w:t>euro</w:t>
            </w:r>
            <w:proofErr w:type="spellEnd"/>
            <w:r w:rsidRPr="008A4B76">
              <w:rPr>
                <w:lang w:bidi="lo-LA"/>
              </w:rPr>
              <w:t xml:space="preserve">), </w:t>
            </w:r>
            <w:r w:rsidRPr="008A4B76">
              <w:rPr>
                <w:b/>
                <w:lang w:bidi="lo-LA"/>
              </w:rPr>
              <w:t>2022. gadā</w:t>
            </w:r>
            <w:r w:rsidRPr="008A4B76">
              <w:rPr>
                <w:lang w:bidi="lo-LA"/>
              </w:rPr>
              <w:t xml:space="preserve"> – 20 procenti, t.i., 600 000 </w:t>
            </w:r>
            <w:proofErr w:type="spellStart"/>
            <w:r w:rsidRPr="008A4B76">
              <w:rPr>
                <w:i/>
                <w:lang w:bidi="lo-LA"/>
              </w:rPr>
              <w:t>euro</w:t>
            </w:r>
            <w:proofErr w:type="spellEnd"/>
            <w:r w:rsidRPr="008A4B76">
              <w:rPr>
                <w:lang w:bidi="lo-LA"/>
              </w:rPr>
              <w:t xml:space="preserve"> (t.sk. ESF 510 000 </w:t>
            </w:r>
            <w:proofErr w:type="spellStart"/>
            <w:r w:rsidRPr="008A4B76">
              <w:rPr>
                <w:i/>
                <w:lang w:bidi="lo-LA"/>
              </w:rPr>
              <w:t>euro</w:t>
            </w:r>
            <w:proofErr w:type="spellEnd"/>
            <w:r w:rsidRPr="008A4B76">
              <w:rPr>
                <w:lang w:bidi="lo-LA"/>
              </w:rPr>
              <w:t xml:space="preserve">, valsts budžets 90 000 </w:t>
            </w:r>
            <w:proofErr w:type="spellStart"/>
            <w:r w:rsidRPr="008A4B76">
              <w:rPr>
                <w:i/>
                <w:lang w:bidi="lo-LA"/>
              </w:rPr>
              <w:t>euro</w:t>
            </w:r>
            <w:proofErr w:type="spellEnd"/>
            <w:r w:rsidRPr="008A4B76">
              <w:rPr>
                <w:lang w:bidi="lo-LA"/>
              </w:rPr>
              <w:t xml:space="preserve">), </w:t>
            </w:r>
            <w:r w:rsidRPr="008A4B76">
              <w:rPr>
                <w:b/>
                <w:lang w:bidi="lo-LA"/>
              </w:rPr>
              <w:t>2023. gadā</w:t>
            </w:r>
            <w:r w:rsidRPr="008A4B76">
              <w:rPr>
                <w:lang w:bidi="lo-LA"/>
              </w:rPr>
              <w:t xml:space="preserve"> – 10 </w:t>
            </w:r>
            <w:r w:rsidRPr="008A4B76">
              <w:rPr>
                <w:lang w:bidi="lo-LA"/>
              </w:rPr>
              <w:lastRenderedPageBreak/>
              <w:t xml:space="preserve">procenti, t.i., 300 000 </w:t>
            </w:r>
            <w:proofErr w:type="spellStart"/>
            <w:r w:rsidRPr="008A4B76">
              <w:rPr>
                <w:i/>
                <w:lang w:bidi="lo-LA"/>
              </w:rPr>
              <w:t>euro</w:t>
            </w:r>
            <w:proofErr w:type="spellEnd"/>
            <w:r w:rsidRPr="008A4B76">
              <w:rPr>
                <w:lang w:bidi="lo-LA"/>
              </w:rPr>
              <w:t xml:space="preserve"> gadā (t.sk. ESF 255 000 </w:t>
            </w:r>
            <w:proofErr w:type="spellStart"/>
            <w:r w:rsidRPr="008A4B76">
              <w:rPr>
                <w:i/>
                <w:lang w:bidi="lo-LA"/>
              </w:rPr>
              <w:t>euro</w:t>
            </w:r>
            <w:proofErr w:type="spellEnd"/>
            <w:r w:rsidRPr="008A4B76">
              <w:rPr>
                <w:lang w:bidi="lo-LA"/>
              </w:rPr>
              <w:t xml:space="preserve">, valsts budžets 45 000 </w:t>
            </w:r>
            <w:proofErr w:type="spellStart"/>
            <w:r w:rsidRPr="008A4B76">
              <w:rPr>
                <w:i/>
                <w:lang w:bidi="lo-LA"/>
              </w:rPr>
              <w:t>euro</w:t>
            </w:r>
            <w:proofErr w:type="spellEnd"/>
            <w:r w:rsidRPr="008A4B76">
              <w:rPr>
                <w:lang w:bidi="lo-LA"/>
              </w:rPr>
              <w:t>).</w:t>
            </w:r>
          </w:p>
          <w:p w14:paraId="09E9E84A" w14:textId="77777777" w:rsidR="001E705F" w:rsidRPr="008A4B76" w:rsidRDefault="004D56D1" w:rsidP="001E705F">
            <w:pPr>
              <w:jc w:val="both"/>
              <w:rPr>
                <w:color w:val="000000" w:themeColor="text1"/>
              </w:rPr>
            </w:pPr>
            <w:r w:rsidRPr="008A4B76">
              <w:rPr>
                <w:b/>
                <w:color w:val="000000" w:themeColor="text1"/>
              </w:rPr>
              <w:t>2. kārtai 2018. gadā</w:t>
            </w:r>
            <w:r w:rsidRPr="008A4B76">
              <w:rPr>
                <w:color w:val="000000" w:themeColor="text1"/>
              </w:rPr>
              <w:t xml:space="preserve"> tiek plānots finansējums 10 procentu apmērā no kopējā plānotā finansējuma, t.i., 781 500 </w:t>
            </w:r>
            <w:proofErr w:type="spellStart"/>
            <w:r w:rsidRPr="008A4B76">
              <w:rPr>
                <w:i/>
                <w:color w:val="000000" w:themeColor="text1"/>
              </w:rPr>
              <w:t>euro</w:t>
            </w:r>
            <w:proofErr w:type="spellEnd"/>
            <w:r w:rsidRPr="008A4B76">
              <w:rPr>
                <w:color w:val="000000" w:themeColor="text1"/>
              </w:rPr>
              <w:t xml:space="preserve"> gadā (t.sk. ESF 664 275 </w:t>
            </w:r>
            <w:proofErr w:type="spellStart"/>
            <w:r w:rsidRPr="008A4B76">
              <w:rPr>
                <w:i/>
                <w:color w:val="000000" w:themeColor="text1"/>
              </w:rPr>
              <w:t>euro</w:t>
            </w:r>
            <w:proofErr w:type="spellEnd"/>
            <w:r w:rsidRPr="008A4B76">
              <w:rPr>
                <w:color w:val="000000" w:themeColor="text1"/>
              </w:rPr>
              <w:t xml:space="preserve">, valsts budžets 117 225 </w:t>
            </w:r>
            <w:proofErr w:type="spellStart"/>
            <w:r w:rsidRPr="008A4B76">
              <w:rPr>
                <w:i/>
                <w:color w:val="000000" w:themeColor="text1"/>
              </w:rPr>
              <w:t>euro</w:t>
            </w:r>
            <w:proofErr w:type="spellEnd"/>
            <w:r w:rsidRPr="008A4B76">
              <w:rPr>
                <w:color w:val="000000" w:themeColor="text1"/>
              </w:rPr>
              <w:t xml:space="preserve">), </w:t>
            </w:r>
            <w:r w:rsidRPr="008A4B76">
              <w:rPr>
                <w:b/>
                <w:color w:val="000000" w:themeColor="text1"/>
              </w:rPr>
              <w:t>2019. gadā</w:t>
            </w:r>
            <w:r w:rsidRPr="008A4B76">
              <w:rPr>
                <w:color w:val="000000" w:themeColor="text1"/>
              </w:rPr>
              <w:t xml:space="preserve"> - 20 procenti, t.i., 1 563 000 </w:t>
            </w:r>
            <w:proofErr w:type="spellStart"/>
            <w:r w:rsidRPr="008A4B76">
              <w:rPr>
                <w:i/>
                <w:color w:val="000000" w:themeColor="text1"/>
              </w:rPr>
              <w:t>euro</w:t>
            </w:r>
            <w:proofErr w:type="spellEnd"/>
            <w:r w:rsidRPr="008A4B76">
              <w:rPr>
                <w:color w:val="000000" w:themeColor="text1"/>
              </w:rPr>
              <w:t xml:space="preserve"> (t.sk. ESF 1 328 550 </w:t>
            </w:r>
            <w:proofErr w:type="spellStart"/>
            <w:r w:rsidRPr="008A4B76">
              <w:rPr>
                <w:i/>
                <w:color w:val="000000" w:themeColor="text1"/>
              </w:rPr>
              <w:t>euro</w:t>
            </w:r>
            <w:proofErr w:type="spellEnd"/>
            <w:r w:rsidRPr="008A4B76">
              <w:rPr>
                <w:color w:val="000000" w:themeColor="text1"/>
              </w:rPr>
              <w:t xml:space="preserve">, valsts budžets 234 450 </w:t>
            </w:r>
            <w:proofErr w:type="spellStart"/>
            <w:r w:rsidRPr="008A4B76">
              <w:rPr>
                <w:i/>
                <w:color w:val="000000" w:themeColor="text1"/>
              </w:rPr>
              <w:t>euro</w:t>
            </w:r>
            <w:proofErr w:type="spellEnd"/>
            <w:r w:rsidRPr="008A4B76">
              <w:rPr>
                <w:color w:val="000000" w:themeColor="text1"/>
              </w:rPr>
              <w:t xml:space="preserve">), </w:t>
            </w:r>
            <w:r w:rsidRPr="008A4B76">
              <w:rPr>
                <w:b/>
                <w:color w:val="000000" w:themeColor="text1"/>
              </w:rPr>
              <w:t>2020. gadā</w:t>
            </w:r>
            <w:r w:rsidRPr="008A4B76">
              <w:rPr>
                <w:color w:val="000000" w:themeColor="text1"/>
              </w:rPr>
              <w:t xml:space="preserve"> - 20 procenti, t.i.,</w:t>
            </w:r>
            <w:r w:rsidRPr="008A4B76">
              <w:t xml:space="preserve"> </w:t>
            </w:r>
            <w:r w:rsidRPr="008A4B76">
              <w:rPr>
                <w:color w:val="000000" w:themeColor="text1"/>
              </w:rPr>
              <w:t xml:space="preserve">1 563 000 </w:t>
            </w:r>
            <w:proofErr w:type="spellStart"/>
            <w:r w:rsidRPr="008A4B76">
              <w:rPr>
                <w:i/>
                <w:color w:val="000000" w:themeColor="text1"/>
              </w:rPr>
              <w:t>euro</w:t>
            </w:r>
            <w:proofErr w:type="spellEnd"/>
            <w:r w:rsidRPr="008A4B76">
              <w:rPr>
                <w:color w:val="000000" w:themeColor="text1"/>
              </w:rPr>
              <w:t xml:space="preserve"> (t.sk. ESF 1 328 550 </w:t>
            </w:r>
            <w:proofErr w:type="spellStart"/>
            <w:r w:rsidRPr="008A4B76">
              <w:rPr>
                <w:i/>
                <w:color w:val="000000" w:themeColor="text1"/>
              </w:rPr>
              <w:t>euro</w:t>
            </w:r>
            <w:proofErr w:type="spellEnd"/>
            <w:r w:rsidRPr="008A4B76">
              <w:rPr>
                <w:color w:val="000000" w:themeColor="text1"/>
              </w:rPr>
              <w:t xml:space="preserve">, valsts budžets 234 450 </w:t>
            </w:r>
            <w:proofErr w:type="spellStart"/>
            <w:r w:rsidRPr="008A4B76">
              <w:rPr>
                <w:i/>
                <w:color w:val="000000" w:themeColor="text1"/>
              </w:rPr>
              <w:t>euro</w:t>
            </w:r>
            <w:proofErr w:type="spellEnd"/>
            <w:r w:rsidRPr="008A4B76">
              <w:rPr>
                <w:color w:val="000000" w:themeColor="text1"/>
              </w:rPr>
              <w:t xml:space="preserve">), </w:t>
            </w:r>
            <w:r w:rsidRPr="008A4B76">
              <w:rPr>
                <w:b/>
                <w:color w:val="000000" w:themeColor="text1"/>
              </w:rPr>
              <w:t>2021. gadā</w:t>
            </w:r>
            <w:r w:rsidRPr="008A4B76">
              <w:rPr>
                <w:color w:val="000000" w:themeColor="text1"/>
              </w:rPr>
              <w:t xml:space="preserve"> – 20 procenti, t.i., 1 563 000 </w:t>
            </w:r>
            <w:proofErr w:type="spellStart"/>
            <w:r w:rsidRPr="008A4B76">
              <w:rPr>
                <w:i/>
                <w:color w:val="000000" w:themeColor="text1"/>
              </w:rPr>
              <w:t>euro</w:t>
            </w:r>
            <w:proofErr w:type="spellEnd"/>
            <w:r w:rsidRPr="008A4B76">
              <w:rPr>
                <w:color w:val="000000" w:themeColor="text1"/>
              </w:rPr>
              <w:t xml:space="preserve"> (t.sk. ESF 1 328 550 </w:t>
            </w:r>
            <w:proofErr w:type="spellStart"/>
            <w:r w:rsidRPr="008A4B76">
              <w:rPr>
                <w:i/>
                <w:color w:val="000000" w:themeColor="text1"/>
              </w:rPr>
              <w:t>euro</w:t>
            </w:r>
            <w:proofErr w:type="spellEnd"/>
            <w:r w:rsidRPr="008A4B76">
              <w:rPr>
                <w:color w:val="000000" w:themeColor="text1"/>
              </w:rPr>
              <w:t xml:space="preserve">, valsts budžets 234 450 </w:t>
            </w:r>
            <w:proofErr w:type="spellStart"/>
            <w:r w:rsidRPr="008A4B76">
              <w:rPr>
                <w:i/>
                <w:color w:val="000000" w:themeColor="text1"/>
              </w:rPr>
              <w:t>euro</w:t>
            </w:r>
            <w:proofErr w:type="spellEnd"/>
            <w:r w:rsidRPr="008A4B76">
              <w:rPr>
                <w:color w:val="000000" w:themeColor="text1"/>
              </w:rPr>
              <w:t xml:space="preserve">), </w:t>
            </w:r>
            <w:r w:rsidRPr="008A4B76">
              <w:rPr>
                <w:b/>
                <w:color w:val="000000" w:themeColor="text1"/>
              </w:rPr>
              <w:t>2022. gadā</w:t>
            </w:r>
            <w:r w:rsidRPr="008A4B76">
              <w:rPr>
                <w:color w:val="000000" w:themeColor="text1"/>
              </w:rPr>
              <w:t xml:space="preserve"> – 20 procenti, t.i., 1 563 000 </w:t>
            </w:r>
            <w:proofErr w:type="spellStart"/>
            <w:r w:rsidRPr="008A4B76">
              <w:rPr>
                <w:i/>
                <w:color w:val="000000" w:themeColor="text1"/>
              </w:rPr>
              <w:t>euro</w:t>
            </w:r>
            <w:proofErr w:type="spellEnd"/>
            <w:r w:rsidRPr="008A4B76">
              <w:rPr>
                <w:color w:val="000000" w:themeColor="text1"/>
              </w:rPr>
              <w:t xml:space="preserve"> (t.sk. ESF 1 328 550 </w:t>
            </w:r>
            <w:proofErr w:type="spellStart"/>
            <w:r w:rsidRPr="008A4B76">
              <w:rPr>
                <w:i/>
                <w:color w:val="000000" w:themeColor="text1"/>
              </w:rPr>
              <w:t>euro</w:t>
            </w:r>
            <w:proofErr w:type="spellEnd"/>
            <w:r w:rsidRPr="008A4B76">
              <w:rPr>
                <w:color w:val="000000" w:themeColor="text1"/>
              </w:rPr>
              <w:t xml:space="preserve">, valsts budžets 234 450 </w:t>
            </w:r>
            <w:proofErr w:type="spellStart"/>
            <w:r w:rsidRPr="008A4B76">
              <w:rPr>
                <w:i/>
                <w:color w:val="000000" w:themeColor="text1"/>
              </w:rPr>
              <w:t>euro</w:t>
            </w:r>
            <w:proofErr w:type="spellEnd"/>
            <w:r w:rsidRPr="008A4B76">
              <w:rPr>
                <w:color w:val="000000" w:themeColor="text1"/>
              </w:rPr>
              <w:t xml:space="preserve">), </w:t>
            </w:r>
            <w:r w:rsidRPr="008A4B76">
              <w:rPr>
                <w:b/>
                <w:color w:val="000000" w:themeColor="text1"/>
              </w:rPr>
              <w:t>2023. gadā</w:t>
            </w:r>
            <w:r w:rsidRPr="008A4B76">
              <w:rPr>
                <w:color w:val="000000" w:themeColor="text1"/>
              </w:rPr>
              <w:t xml:space="preserve"> – 10 procenti, t.i., 781 500 </w:t>
            </w:r>
            <w:proofErr w:type="spellStart"/>
            <w:r w:rsidRPr="008A4B76">
              <w:rPr>
                <w:i/>
                <w:color w:val="000000" w:themeColor="text1"/>
              </w:rPr>
              <w:t>euro</w:t>
            </w:r>
            <w:proofErr w:type="spellEnd"/>
            <w:r w:rsidRPr="008A4B76">
              <w:rPr>
                <w:color w:val="000000" w:themeColor="text1"/>
              </w:rPr>
              <w:t xml:space="preserve"> gadā (t.sk. ESF 664 275 </w:t>
            </w:r>
            <w:proofErr w:type="spellStart"/>
            <w:r w:rsidRPr="008A4B76">
              <w:rPr>
                <w:i/>
                <w:color w:val="000000" w:themeColor="text1"/>
              </w:rPr>
              <w:t>euro</w:t>
            </w:r>
            <w:proofErr w:type="spellEnd"/>
            <w:r w:rsidRPr="008A4B76">
              <w:rPr>
                <w:color w:val="000000" w:themeColor="text1"/>
              </w:rPr>
              <w:t xml:space="preserve">, valsts budžets 117 225 </w:t>
            </w:r>
            <w:proofErr w:type="spellStart"/>
            <w:r w:rsidRPr="008A4B76">
              <w:rPr>
                <w:i/>
                <w:color w:val="000000" w:themeColor="text1"/>
              </w:rPr>
              <w:t>euro</w:t>
            </w:r>
            <w:proofErr w:type="spellEnd"/>
            <w:r w:rsidR="001E705F" w:rsidRPr="008A4B76">
              <w:rPr>
                <w:i/>
                <w:color w:val="000000" w:themeColor="text1"/>
              </w:rPr>
              <w:t xml:space="preserve">). </w:t>
            </w:r>
          </w:p>
          <w:p w14:paraId="6D812503" w14:textId="77777777" w:rsidR="00503AB0" w:rsidRPr="008A4B76" w:rsidRDefault="005E57D7" w:rsidP="001E705F">
            <w:pPr>
              <w:jc w:val="both"/>
            </w:pPr>
            <w:r w:rsidRPr="008A4B76">
              <w:rPr>
                <w:color w:val="000000" w:themeColor="text1"/>
              </w:rPr>
              <w:t xml:space="preserve">Finansējuma sadalījums pa gadiem </w:t>
            </w:r>
            <w:r w:rsidR="00776F4C" w:rsidRPr="008A4B76">
              <w:rPr>
                <w:color w:val="000000" w:themeColor="text1"/>
              </w:rPr>
              <w:t>norādīts indikatīvi un var tikt precizēts</w:t>
            </w:r>
            <w:r w:rsidRPr="008A4B76">
              <w:rPr>
                <w:color w:val="000000" w:themeColor="text1"/>
              </w:rPr>
              <w:t xml:space="preserve">, ņemot vērā faktiski izlietoto finansējumu un atlases </w:t>
            </w:r>
            <w:r w:rsidR="000C1578" w:rsidRPr="008A4B76">
              <w:rPr>
                <w:color w:val="000000" w:themeColor="text1"/>
              </w:rPr>
              <w:t xml:space="preserve">kārtu </w:t>
            </w:r>
            <w:r w:rsidRPr="008A4B76">
              <w:rPr>
                <w:color w:val="000000" w:themeColor="text1"/>
              </w:rPr>
              <w:t xml:space="preserve">ietvaros apstiprināto </w:t>
            </w:r>
            <w:r w:rsidR="00D3763D" w:rsidRPr="008A4B76">
              <w:rPr>
                <w:color w:val="000000" w:themeColor="text1"/>
              </w:rPr>
              <w:t>projektu iesniegumu</w:t>
            </w:r>
            <w:r w:rsidRPr="008A4B76">
              <w:rPr>
                <w:color w:val="000000" w:themeColor="text1"/>
              </w:rPr>
              <w:t xml:space="preserve"> </w:t>
            </w:r>
            <w:r w:rsidRPr="008A4B76">
              <w:t>skaitu.</w:t>
            </w:r>
          </w:p>
        </w:tc>
      </w:tr>
      <w:tr w:rsidR="009A72C5" w:rsidRPr="008A4B76" w14:paraId="6F4F3493" w14:textId="77777777" w:rsidTr="00A70AB0">
        <w:trPr>
          <w:jc w:val="center"/>
        </w:trPr>
        <w:tc>
          <w:tcPr>
            <w:tcW w:w="2177" w:type="dxa"/>
          </w:tcPr>
          <w:p w14:paraId="5BDAE1F5" w14:textId="77777777" w:rsidR="009A72C5" w:rsidRPr="008A4B76" w:rsidRDefault="009A72C5" w:rsidP="00DD2EFA">
            <w:r w:rsidRPr="008A4B76">
              <w:t>6.1. detalizēts ieņēmumu aprēķins</w:t>
            </w:r>
          </w:p>
        </w:tc>
        <w:tc>
          <w:tcPr>
            <w:tcW w:w="6586" w:type="dxa"/>
            <w:gridSpan w:val="5"/>
            <w:vMerge/>
          </w:tcPr>
          <w:p w14:paraId="771B59C1" w14:textId="77777777" w:rsidR="009A72C5" w:rsidRPr="008A4B76" w:rsidRDefault="009A72C5" w:rsidP="00DD2EFA">
            <w:pPr>
              <w:pStyle w:val="naisf"/>
              <w:spacing w:before="0" w:after="0"/>
              <w:ind w:left="57" w:right="113"/>
              <w:rPr>
                <w:i/>
              </w:rPr>
            </w:pPr>
          </w:p>
        </w:tc>
      </w:tr>
      <w:tr w:rsidR="009A72C5" w:rsidRPr="008A4B76" w14:paraId="4D1FD179" w14:textId="77777777" w:rsidTr="00A70AB0">
        <w:trPr>
          <w:trHeight w:val="4812"/>
          <w:jc w:val="center"/>
        </w:trPr>
        <w:tc>
          <w:tcPr>
            <w:tcW w:w="2177" w:type="dxa"/>
          </w:tcPr>
          <w:p w14:paraId="4CA0E828" w14:textId="77777777" w:rsidR="009A72C5" w:rsidRPr="008A4B76" w:rsidRDefault="009A72C5" w:rsidP="004647F1">
            <w:r w:rsidRPr="008A4B76">
              <w:t>6.2. detalizēts izdevumu aprēķins</w:t>
            </w:r>
          </w:p>
        </w:tc>
        <w:tc>
          <w:tcPr>
            <w:tcW w:w="6586" w:type="dxa"/>
            <w:gridSpan w:val="5"/>
            <w:vMerge/>
          </w:tcPr>
          <w:p w14:paraId="53F73101" w14:textId="77777777" w:rsidR="009A72C5" w:rsidRPr="008A4B76" w:rsidRDefault="009A72C5" w:rsidP="00DD2EFA">
            <w:pPr>
              <w:pStyle w:val="naisf"/>
              <w:spacing w:before="0" w:after="0"/>
              <w:ind w:left="57" w:right="113"/>
              <w:rPr>
                <w:i/>
              </w:rPr>
            </w:pPr>
          </w:p>
        </w:tc>
      </w:tr>
      <w:tr w:rsidR="009A72C5" w:rsidRPr="008A4B76" w14:paraId="7DF6B92C" w14:textId="77777777" w:rsidTr="00A70AB0">
        <w:trPr>
          <w:trHeight w:val="556"/>
          <w:jc w:val="center"/>
        </w:trPr>
        <w:tc>
          <w:tcPr>
            <w:tcW w:w="2177" w:type="dxa"/>
          </w:tcPr>
          <w:p w14:paraId="58B3EE31" w14:textId="77777777" w:rsidR="009A72C5" w:rsidRPr="008A4B76" w:rsidRDefault="009A72C5" w:rsidP="00DD2EFA">
            <w:r w:rsidRPr="008A4B76">
              <w:lastRenderedPageBreak/>
              <w:t>7. Cita informācija</w:t>
            </w:r>
          </w:p>
        </w:tc>
        <w:tc>
          <w:tcPr>
            <w:tcW w:w="6586" w:type="dxa"/>
            <w:gridSpan w:val="5"/>
          </w:tcPr>
          <w:p w14:paraId="09C5A279" w14:textId="77777777" w:rsidR="009A72C5" w:rsidRPr="008A4B76" w:rsidRDefault="005E57D7" w:rsidP="00543315">
            <w:pPr>
              <w:jc w:val="both"/>
            </w:pPr>
            <w:r w:rsidRPr="008A4B76">
              <w:rPr>
                <w:color w:val="000000" w:themeColor="text1"/>
              </w:rPr>
              <w:t xml:space="preserve">Nepieciešamais finansējums </w:t>
            </w:r>
            <w:r w:rsidR="00543315" w:rsidRPr="008A4B76">
              <w:rPr>
                <w:color w:val="000000" w:themeColor="text1"/>
              </w:rPr>
              <w:t>8.2.1. SAM</w:t>
            </w:r>
            <w:r w:rsidR="00776F4C" w:rsidRPr="008A4B76">
              <w:rPr>
                <w:color w:val="000000" w:themeColor="text1"/>
              </w:rPr>
              <w:t xml:space="preserve"> īstenošanai pēc projektu iesniegumu apstiprināšanas </w:t>
            </w:r>
            <w:r w:rsidRPr="008A4B76">
              <w:rPr>
                <w:color w:val="000000" w:themeColor="text1"/>
              </w:rPr>
              <w:t xml:space="preserve">tiks pieprasīts normatīvajos </w:t>
            </w:r>
            <w:r w:rsidR="004647F1" w:rsidRPr="008A4B76">
              <w:rPr>
                <w:color w:val="000000" w:themeColor="text1"/>
              </w:rPr>
              <w:t>aktos noteiktajā kārtībā no 74.</w:t>
            </w:r>
            <w:r w:rsidR="00BA0E1E" w:rsidRPr="008A4B76">
              <w:rPr>
                <w:color w:val="000000" w:themeColor="text1"/>
              </w:rPr>
              <w:t xml:space="preserve"> </w:t>
            </w:r>
            <w:r w:rsidRPr="008A4B76">
              <w:rPr>
                <w:color w:val="000000" w:themeColor="text1"/>
              </w:rPr>
              <w:t>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7D2AB62E" w14:textId="77777777" w:rsidR="009A72C5" w:rsidRPr="008A4B76" w:rsidRDefault="009A72C5" w:rsidP="009A72C5"/>
    <w:p w14:paraId="6A9C03CF" w14:textId="77777777" w:rsidR="00DD013B" w:rsidRPr="008A4B76" w:rsidRDefault="00DD013B" w:rsidP="009A72C5"/>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631"/>
      </w:tblGrid>
      <w:tr w:rsidR="009D592B" w:rsidRPr="008A4B76" w14:paraId="225F6F29" w14:textId="77777777" w:rsidTr="009D592B">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4B1B33" w14:textId="77777777" w:rsidR="009D592B" w:rsidRPr="008A4B76" w:rsidRDefault="009D592B">
            <w:pPr>
              <w:spacing w:before="100" w:beforeAutospacing="1" w:after="100" w:afterAutospacing="1" w:line="293" w:lineRule="atLeast"/>
              <w:jc w:val="center"/>
              <w:rPr>
                <w:b/>
                <w:bCs/>
                <w:color w:val="414142"/>
              </w:rPr>
            </w:pPr>
            <w:r w:rsidRPr="008A4B76">
              <w:rPr>
                <w:b/>
                <w:bCs/>
                <w:color w:val="414142"/>
              </w:rPr>
              <w:t>IV. Tiesību akta projekta ietekme uz spēkā esošo tiesību normu sistēmu</w:t>
            </w:r>
          </w:p>
        </w:tc>
      </w:tr>
      <w:tr w:rsidR="00C56635" w:rsidRPr="008A4B76" w14:paraId="03FAFE1D" w14:textId="77777777" w:rsidTr="00C56635">
        <w:trPr>
          <w:jc w:val="center"/>
        </w:trPr>
        <w:tc>
          <w:tcPr>
            <w:tcW w:w="5000" w:type="pct"/>
            <w:tcBorders>
              <w:top w:val="outset" w:sz="6" w:space="0" w:color="414142"/>
              <w:left w:val="outset" w:sz="6" w:space="0" w:color="414142"/>
              <w:bottom w:val="outset" w:sz="6" w:space="0" w:color="414142"/>
              <w:right w:val="outset" w:sz="6" w:space="0" w:color="414142"/>
            </w:tcBorders>
          </w:tcPr>
          <w:p w14:paraId="423846A5" w14:textId="77777777" w:rsidR="00C56635" w:rsidRPr="008A4B76" w:rsidRDefault="00C56635" w:rsidP="00F07B56">
            <w:pPr>
              <w:jc w:val="center"/>
              <w:rPr>
                <w:color w:val="414142"/>
              </w:rPr>
            </w:pPr>
            <w:r w:rsidRPr="008A4B76">
              <w:rPr>
                <w:color w:val="414142"/>
              </w:rPr>
              <w:t>Noteikumu projekts šo jomu neskar.</w:t>
            </w:r>
          </w:p>
        </w:tc>
      </w:tr>
    </w:tbl>
    <w:p w14:paraId="4EF34DAA" w14:textId="77777777" w:rsidR="00DD013B" w:rsidRPr="008A4B76" w:rsidRDefault="00DD013B" w:rsidP="009A72C5"/>
    <w:p w14:paraId="66F75643" w14:textId="77777777" w:rsidR="009A72C5" w:rsidRPr="008A4B76" w:rsidRDefault="009A72C5" w:rsidP="009A72C5"/>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335"/>
        <w:gridCol w:w="400"/>
        <w:gridCol w:w="1986"/>
        <w:gridCol w:w="1085"/>
        <w:gridCol w:w="801"/>
        <w:gridCol w:w="1934"/>
      </w:tblGrid>
      <w:tr w:rsidR="009A72C5" w:rsidRPr="008A4B76" w14:paraId="762F01E5" w14:textId="77777777" w:rsidTr="008A4B76">
        <w:trPr>
          <w:trHeight w:val="421"/>
          <w:jc w:val="center"/>
        </w:trPr>
        <w:tc>
          <w:tcPr>
            <w:tcW w:w="8777" w:type="dxa"/>
            <w:gridSpan w:val="7"/>
            <w:tcBorders>
              <w:top w:val="single" w:sz="4" w:space="0" w:color="auto"/>
              <w:left w:val="single" w:sz="4" w:space="0" w:color="auto"/>
              <w:bottom w:val="single" w:sz="4" w:space="0" w:color="auto"/>
              <w:right w:val="single" w:sz="4" w:space="0" w:color="auto"/>
            </w:tcBorders>
            <w:vAlign w:val="center"/>
          </w:tcPr>
          <w:p w14:paraId="39B52A92" w14:textId="77777777" w:rsidR="009A72C5" w:rsidRPr="008A4B76" w:rsidRDefault="009A72C5" w:rsidP="00DD2EFA">
            <w:pPr>
              <w:rPr>
                <w:b/>
              </w:rPr>
            </w:pPr>
            <w:r w:rsidRPr="008A4B76">
              <w:rPr>
                <w:b/>
              </w:rPr>
              <w:t>V. Tiesību akta projekta atbilstība Latvijas Republikas starptautiskajām saistībām</w:t>
            </w:r>
          </w:p>
        </w:tc>
      </w:tr>
      <w:tr w:rsidR="009A72C5" w:rsidRPr="008A4B76" w14:paraId="408F203D"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0468ACC0" w14:textId="77777777" w:rsidR="009A72C5" w:rsidRPr="008A4B76" w:rsidRDefault="009A72C5" w:rsidP="00DD2EFA">
            <w:r w:rsidRPr="008A4B76">
              <w:t>1.</w:t>
            </w:r>
          </w:p>
        </w:tc>
        <w:tc>
          <w:tcPr>
            <w:tcW w:w="2735" w:type="dxa"/>
            <w:gridSpan w:val="2"/>
            <w:tcBorders>
              <w:top w:val="outset" w:sz="6" w:space="0" w:color="auto"/>
              <w:left w:val="outset" w:sz="6" w:space="0" w:color="auto"/>
              <w:bottom w:val="outset" w:sz="6" w:space="0" w:color="auto"/>
              <w:right w:val="outset" w:sz="6" w:space="0" w:color="auto"/>
            </w:tcBorders>
          </w:tcPr>
          <w:p w14:paraId="3EB7ED49" w14:textId="77777777" w:rsidR="009A72C5" w:rsidRPr="008A4B76" w:rsidRDefault="009A72C5" w:rsidP="00DD2EFA">
            <w:r w:rsidRPr="008A4B76">
              <w:t>Saistības pret Eiropas Savienību</w:t>
            </w:r>
          </w:p>
        </w:tc>
        <w:tc>
          <w:tcPr>
            <w:tcW w:w="5806" w:type="dxa"/>
            <w:gridSpan w:val="4"/>
            <w:tcBorders>
              <w:top w:val="outset" w:sz="6" w:space="0" w:color="auto"/>
              <w:left w:val="outset" w:sz="6" w:space="0" w:color="auto"/>
              <w:bottom w:val="outset" w:sz="6" w:space="0" w:color="auto"/>
              <w:right w:val="outset" w:sz="6" w:space="0" w:color="auto"/>
            </w:tcBorders>
          </w:tcPr>
          <w:p w14:paraId="536E1100" w14:textId="3520BC26" w:rsidR="00764138" w:rsidRPr="008A4B76" w:rsidRDefault="00AA1184" w:rsidP="004E215C">
            <w:pPr>
              <w:ind w:left="113" w:right="113"/>
              <w:jc w:val="both"/>
            </w:pPr>
            <w:r w:rsidRPr="008A4B76">
              <w:rPr>
                <w:color w:val="000000" w:themeColor="text1"/>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w:t>
            </w:r>
            <w:r w:rsidR="004E215C" w:rsidRPr="008A4B76">
              <w:rPr>
                <w:color w:val="000000" w:themeColor="text1"/>
              </w:rPr>
              <w:t>.</w:t>
            </w:r>
          </w:p>
        </w:tc>
      </w:tr>
      <w:tr w:rsidR="009A72C5" w:rsidRPr="008A4B76" w14:paraId="16369764"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DD4ABEF" w14:textId="77777777" w:rsidR="009A72C5" w:rsidRPr="008A4B76" w:rsidRDefault="009A72C5" w:rsidP="00DD2EFA">
            <w:r w:rsidRPr="008A4B76">
              <w:t>2.</w:t>
            </w:r>
          </w:p>
        </w:tc>
        <w:tc>
          <w:tcPr>
            <w:tcW w:w="2735" w:type="dxa"/>
            <w:gridSpan w:val="2"/>
            <w:tcBorders>
              <w:top w:val="outset" w:sz="6" w:space="0" w:color="auto"/>
              <w:left w:val="outset" w:sz="6" w:space="0" w:color="auto"/>
              <w:bottom w:val="outset" w:sz="6" w:space="0" w:color="auto"/>
              <w:right w:val="outset" w:sz="6" w:space="0" w:color="auto"/>
            </w:tcBorders>
          </w:tcPr>
          <w:p w14:paraId="72D4DF9D" w14:textId="77777777" w:rsidR="009A72C5" w:rsidRPr="008A4B76" w:rsidRDefault="009A72C5" w:rsidP="00DD2EFA">
            <w:r w:rsidRPr="008A4B76">
              <w:t>Citas starptautiskās saistības</w:t>
            </w:r>
          </w:p>
        </w:tc>
        <w:tc>
          <w:tcPr>
            <w:tcW w:w="5806" w:type="dxa"/>
            <w:gridSpan w:val="4"/>
            <w:tcBorders>
              <w:top w:val="outset" w:sz="6" w:space="0" w:color="auto"/>
              <w:left w:val="outset" w:sz="6" w:space="0" w:color="auto"/>
              <w:bottom w:val="outset" w:sz="6" w:space="0" w:color="auto"/>
              <w:right w:val="outset" w:sz="6" w:space="0" w:color="auto"/>
            </w:tcBorders>
          </w:tcPr>
          <w:p w14:paraId="6B938A89" w14:textId="77777777" w:rsidR="009A72C5" w:rsidRPr="008A4B76" w:rsidRDefault="009A72C5" w:rsidP="00DD2EFA">
            <w:pPr>
              <w:ind w:left="57" w:right="113"/>
              <w:jc w:val="both"/>
              <w:rPr>
                <w:color w:val="000000" w:themeColor="text1"/>
              </w:rPr>
            </w:pPr>
            <w:r w:rsidRPr="008A4B76">
              <w:rPr>
                <w:color w:val="000000" w:themeColor="text1"/>
              </w:rPr>
              <w:t>Noteikumu projekts šo jomu neskar.</w:t>
            </w:r>
          </w:p>
        </w:tc>
      </w:tr>
      <w:tr w:rsidR="009A72C5" w:rsidRPr="008A4B76" w14:paraId="1DDACB06"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75AA747" w14:textId="77777777" w:rsidR="009A72C5" w:rsidRPr="008A4B76" w:rsidRDefault="009A72C5" w:rsidP="00DD2EFA">
            <w:r w:rsidRPr="008A4B76">
              <w:lastRenderedPageBreak/>
              <w:t>3.</w:t>
            </w:r>
          </w:p>
        </w:tc>
        <w:tc>
          <w:tcPr>
            <w:tcW w:w="2735" w:type="dxa"/>
            <w:gridSpan w:val="2"/>
            <w:tcBorders>
              <w:top w:val="outset" w:sz="6" w:space="0" w:color="auto"/>
              <w:left w:val="outset" w:sz="6" w:space="0" w:color="auto"/>
              <w:bottom w:val="outset" w:sz="6" w:space="0" w:color="auto"/>
              <w:right w:val="outset" w:sz="6" w:space="0" w:color="auto"/>
            </w:tcBorders>
          </w:tcPr>
          <w:p w14:paraId="7BD0215C" w14:textId="77777777" w:rsidR="009A72C5" w:rsidRPr="008A4B76" w:rsidRDefault="009A72C5" w:rsidP="00DD2EFA">
            <w:r w:rsidRPr="008A4B76">
              <w:t>Cita informācija</w:t>
            </w:r>
          </w:p>
        </w:tc>
        <w:tc>
          <w:tcPr>
            <w:tcW w:w="5806" w:type="dxa"/>
            <w:gridSpan w:val="4"/>
            <w:tcBorders>
              <w:top w:val="outset" w:sz="6" w:space="0" w:color="auto"/>
              <w:left w:val="outset" w:sz="6" w:space="0" w:color="auto"/>
              <w:bottom w:val="outset" w:sz="6" w:space="0" w:color="auto"/>
              <w:right w:val="outset" w:sz="6" w:space="0" w:color="auto"/>
            </w:tcBorders>
          </w:tcPr>
          <w:p w14:paraId="7A9CCD11" w14:textId="77777777" w:rsidR="009A72C5" w:rsidRPr="008A4B76" w:rsidRDefault="00AA1184" w:rsidP="00AA1184">
            <w:pPr>
              <w:ind w:left="57" w:right="113"/>
              <w:jc w:val="both"/>
              <w:rPr>
                <w:color w:val="000000" w:themeColor="text1"/>
              </w:rPr>
            </w:pPr>
            <w:r w:rsidRPr="008A4B76">
              <w:rPr>
                <w:color w:val="000000" w:themeColor="text1"/>
              </w:rPr>
              <w:t>Saskaņā ar Darbības programmas „Izaugsme un nodarbinātība” 7.pielikumā „Koordinācija ar Eiropas Savienības stratēģiju Baltijas jūras reģionam minēto, 8.2.1. SAM ietvaros koordinācija ar ES stratēģiju Baltijas jūras reģionam nav paredzēta.</w:t>
            </w:r>
          </w:p>
          <w:p w14:paraId="6C73EEBF" w14:textId="77777777" w:rsidR="00B22679" w:rsidRPr="008A4B76" w:rsidRDefault="00023402" w:rsidP="00B22679">
            <w:pPr>
              <w:ind w:left="57" w:right="113"/>
              <w:jc w:val="both"/>
              <w:rPr>
                <w:color w:val="000000" w:themeColor="text1"/>
              </w:rPr>
            </w:pPr>
            <w:r w:rsidRPr="008A4B76">
              <w:rPr>
                <w:color w:val="000000" w:themeColor="text1"/>
              </w:rPr>
              <w:t xml:space="preserve">Vienlaikus 8.2.1. SAM </w:t>
            </w:r>
            <w:r w:rsidR="004E14F1" w:rsidRPr="008A4B76">
              <w:rPr>
                <w:color w:val="000000" w:themeColor="text1"/>
              </w:rPr>
              <w:t xml:space="preserve">īstenošana </w:t>
            </w:r>
            <w:r w:rsidRPr="008A4B76">
              <w:rPr>
                <w:color w:val="000000" w:themeColor="text1"/>
              </w:rPr>
              <w:t>atbilst  ES stratēģij</w:t>
            </w:r>
            <w:r w:rsidR="00B22679" w:rsidRPr="008A4B76">
              <w:rPr>
                <w:color w:val="000000" w:themeColor="text1"/>
              </w:rPr>
              <w:t>as</w:t>
            </w:r>
            <w:r w:rsidRPr="008A4B76">
              <w:rPr>
                <w:color w:val="000000" w:themeColor="text1"/>
              </w:rPr>
              <w:t xml:space="preserve"> Baltijas jūras reģionam</w:t>
            </w:r>
            <w:r w:rsidR="00B22679" w:rsidRPr="008A4B76">
              <w:rPr>
                <w:color w:val="000000" w:themeColor="text1"/>
              </w:rPr>
              <w:t xml:space="preserve"> (līdz 2020.gadam) izglītības politikas jomas darbības “Starptautiskā ekselence augstākajā izglītībā un zinātnē” </w:t>
            </w:r>
            <w:proofErr w:type="spellStart"/>
            <w:r w:rsidR="00B22679" w:rsidRPr="008A4B76">
              <w:rPr>
                <w:color w:val="000000" w:themeColor="text1"/>
              </w:rPr>
              <w:t>apakšdarbībām</w:t>
            </w:r>
            <w:proofErr w:type="spellEnd"/>
            <w:r w:rsidR="00B22679" w:rsidRPr="008A4B76">
              <w:rPr>
                <w:color w:val="000000" w:themeColor="text1"/>
              </w:rPr>
              <w:t>:</w:t>
            </w:r>
          </w:p>
          <w:p w14:paraId="369B130B" w14:textId="77777777" w:rsidR="00023402" w:rsidRPr="008A4B76" w:rsidRDefault="00B22679" w:rsidP="00B22679">
            <w:pPr>
              <w:pStyle w:val="ListParagraph"/>
              <w:numPr>
                <w:ilvl w:val="0"/>
                <w:numId w:val="24"/>
              </w:numPr>
              <w:ind w:right="113"/>
              <w:rPr>
                <w:color w:val="000000" w:themeColor="text1"/>
              </w:rPr>
            </w:pPr>
            <w:r w:rsidRPr="008A4B76">
              <w:rPr>
                <w:color w:val="000000" w:themeColor="text1"/>
              </w:rPr>
              <w:t>veicināt sadarbību kopējās augstākās izglītības, zinātnes un pētniecības politikas īstenošanai Baltijas jūras reģionā;</w:t>
            </w:r>
          </w:p>
          <w:p w14:paraId="763657FF" w14:textId="77777777" w:rsidR="00B22679" w:rsidRPr="008A4B76" w:rsidRDefault="00B22679" w:rsidP="00B22679">
            <w:pPr>
              <w:pStyle w:val="ListParagraph"/>
              <w:numPr>
                <w:ilvl w:val="0"/>
                <w:numId w:val="24"/>
              </w:numPr>
              <w:ind w:right="113"/>
              <w:rPr>
                <w:color w:val="000000" w:themeColor="text1"/>
              </w:rPr>
            </w:pPr>
            <w:r w:rsidRPr="008A4B76">
              <w:rPr>
                <w:color w:val="000000" w:themeColor="text1"/>
              </w:rPr>
              <w:t>piesaistīt studentus un pētniekus ārpus Baltijas jūras reģiona augstākās izglītības iegūšanai un pētnieciskās darbības veikšanai reģionā.</w:t>
            </w:r>
          </w:p>
        </w:tc>
      </w:tr>
      <w:tr w:rsidR="009A72C5" w:rsidRPr="008A4B76" w14:paraId="3B77CA80"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8777" w:type="dxa"/>
            <w:gridSpan w:val="7"/>
            <w:tcBorders>
              <w:top w:val="outset" w:sz="6" w:space="0" w:color="auto"/>
              <w:left w:val="outset" w:sz="6" w:space="0" w:color="auto"/>
              <w:bottom w:val="outset" w:sz="6" w:space="0" w:color="auto"/>
              <w:right w:val="outset" w:sz="6" w:space="0" w:color="auto"/>
            </w:tcBorders>
            <w:vAlign w:val="center"/>
          </w:tcPr>
          <w:p w14:paraId="6DAB628B" w14:textId="77777777" w:rsidR="009A72C5" w:rsidRPr="008A4B76" w:rsidRDefault="009A72C5" w:rsidP="00DD2EFA">
            <w:pPr>
              <w:rPr>
                <w:b/>
              </w:rPr>
            </w:pPr>
            <w:r w:rsidRPr="008A4B76">
              <w:rPr>
                <w:b/>
              </w:rPr>
              <w:t>1.tabula</w:t>
            </w:r>
          </w:p>
          <w:p w14:paraId="62F065A1" w14:textId="77777777" w:rsidR="009A72C5" w:rsidRPr="008A4B76" w:rsidRDefault="009A72C5" w:rsidP="00DD2EFA">
            <w:r w:rsidRPr="008A4B76">
              <w:rPr>
                <w:b/>
              </w:rPr>
              <w:t>Tiesību akta projekta atbilstība ES tiesību aktiem</w:t>
            </w:r>
          </w:p>
        </w:tc>
      </w:tr>
      <w:tr w:rsidR="00654D82" w:rsidRPr="008A4B76" w14:paraId="0CD6D3A7"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single" w:sz="4" w:space="0" w:color="auto"/>
            </w:tcBorders>
          </w:tcPr>
          <w:p w14:paraId="7DA05162" w14:textId="77777777" w:rsidR="00654D82" w:rsidRPr="008A4B76" w:rsidRDefault="00654D82" w:rsidP="00DD2EFA">
            <w:r w:rsidRPr="008A4B76">
              <w:t>Attiecīgā ES tiesību akta datums, numurs un nosaukums</w:t>
            </w:r>
          </w:p>
        </w:tc>
        <w:tc>
          <w:tcPr>
            <w:tcW w:w="6206" w:type="dxa"/>
            <w:gridSpan w:val="5"/>
            <w:tcBorders>
              <w:top w:val="single" w:sz="4" w:space="0" w:color="auto"/>
              <w:left w:val="single" w:sz="4" w:space="0" w:color="auto"/>
              <w:bottom w:val="single" w:sz="4" w:space="0" w:color="auto"/>
            </w:tcBorders>
          </w:tcPr>
          <w:p w14:paraId="0A5F2859" w14:textId="43DECB0E" w:rsidR="00654D82" w:rsidRPr="008A4B76" w:rsidRDefault="00654D82" w:rsidP="00DD2EFA">
            <w:pPr>
              <w:rPr>
                <w:color w:val="000000" w:themeColor="text1"/>
              </w:rPr>
            </w:pPr>
            <w:r w:rsidRPr="008A4B76">
              <w:rPr>
                <w:color w:val="000000" w:themeColor="text1"/>
              </w:rPr>
              <w:t>Regula Nr.1303/2013</w:t>
            </w:r>
            <w:r w:rsidR="00B4693B" w:rsidRPr="008A4B76">
              <w:rPr>
                <w:color w:val="000000" w:themeColor="text1"/>
              </w:rPr>
              <w:t>.</w:t>
            </w:r>
          </w:p>
          <w:p w14:paraId="7F9B88AA" w14:textId="5520BC57" w:rsidR="00764138" w:rsidRPr="008A4B76" w:rsidRDefault="00764138" w:rsidP="00764138"/>
        </w:tc>
      </w:tr>
      <w:tr w:rsidR="009A72C5" w:rsidRPr="008A4B76" w14:paraId="1523E29F"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vAlign w:val="center"/>
          </w:tcPr>
          <w:p w14:paraId="288264BE" w14:textId="77777777" w:rsidR="009A72C5" w:rsidRPr="008A4B76" w:rsidRDefault="009A72C5" w:rsidP="00DD2EFA">
            <w:r w:rsidRPr="008A4B76">
              <w:t>A</w:t>
            </w:r>
          </w:p>
        </w:tc>
        <w:tc>
          <w:tcPr>
            <w:tcW w:w="2386" w:type="dxa"/>
            <w:gridSpan w:val="2"/>
            <w:tcBorders>
              <w:top w:val="outset" w:sz="6" w:space="0" w:color="auto"/>
              <w:left w:val="outset" w:sz="6" w:space="0" w:color="auto"/>
              <w:bottom w:val="outset" w:sz="6" w:space="0" w:color="auto"/>
              <w:right w:val="outset" w:sz="6" w:space="0" w:color="auto"/>
            </w:tcBorders>
            <w:vAlign w:val="center"/>
          </w:tcPr>
          <w:p w14:paraId="2D5F93E8" w14:textId="77777777" w:rsidR="009A72C5" w:rsidRPr="008A4B76" w:rsidRDefault="009A72C5" w:rsidP="00DD2EFA">
            <w:r w:rsidRPr="008A4B76">
              <w:t>B</w:t>
            </w:r>
          </w:p>
        </w:tc>
        <w:tc>
          <w:tcPr>
            <w:tcW w:w="1886" w:type="dxa"/>
            <w:gridSpan w:val="2"/>
            <w:tcBorders>
              <w:top w:val="outset" w:sz="6" w:space="0" w:color="auto"/>
              <w:left w:val="outset" w:sz="6" w:space="0" w:color="auto"/>
              <w:bottom w:val="outset" w:sz="6" w:space="0" w:color="auto"/>
              <w:right w:val="outset" w:sz="6" w:space="0" w:color="auto"/>
            </w:tcBorders>
            <w:vAlign w:val="center"/>
          </w:tcPr>
          <w:p w14:paraId="46B9FEAD" w14:textId="77777777" w:rsidR="009A72C5" w:rsidRPr="008A4B76" w:rsidRDefault="009A72C5" w:rsidP="00DD2EFA">
            <w:r w:rsidRPr="008A4B76">
              <w:t>C</w:t>
            </w:r>
          </w:p>
        </w:tc>
        <w:tc>
          <w:tcPr>
            <w:tcW w:w="1934" w:type="dxa"/>
            <w:tcBorders>
              <w:top w:val="outset" w:sz="6" w:space="0" w:color="auto"/>
              <w:left w:val="outset" w:sz="6" w:space="0" w:color="auto"/>
              <w:bottom w:val="outset" w:sz="6" w:space="0" w:color="auto"/>
              <w:right w:val="outset" w:sz="6" w:space="0" w:color="auto"/>
            </w:tcBorders>
            <w:vAlign w:val="center"/>
          </w:tcPr>
          <w:p w14:paraId="686C130E" w14:textId="77777777" w:rsidR="009A72C5" w:rsidRPr="008A4B76" w:rsidRDefault="009A72C5" w:rsidP="00DD2EFA">
            <w:r w:rsidRPr="008A4B76">
              <w:t>D</w:t>
            </w:r>
          </w:p>
        </w:tc>
      </w:tr>
      <w:tr w:rsidR="009A72C5" w:rsidRPr="008A4B76" w14:paraId="242CF3EB"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1CB99BC5" w14:textId="77777777" w:rsidR="009A72C5" w:rsidRPr="008A4B76" w:rsidRDefault="009A72C5" w:rsidP="00DD2EFA">
            <w:r w:rsidRPr="008A4B76">
              <w:t>Attiecīgā ES tiesību akta panta numurs (uzskaitot katru tiesību akta vienību – pantu, daļu, punktu, apakšpunktu)</w:t>
            </w:r>
          </w:p>
        </w:tc>
        <w:tc>
          <w:tcPr>
            <w:tcW w:w="2386" w:type="dxa"/>
            <w:gridSpan w:val="2"/>
            <w:tcBorders>
              <w:top w:val="outset" w:sz="6" w:space="0" w:color="auto"/>
              <w:left w:val="outset" w:sz="6" w:space="0" w:color="auto"/>
              <w:bottom w:val="outset" w:sz="6" w:space="0" w:color="auto"/>
              <w:right w:val="outset" w:sz="6" w:space="0" w:color="auto"/>
            </w:tcBorders>
          </w:tcPr>
          <w:p w14:paraId="17999C47" w14:textId="77777777" w:rsidR="009A72C5" w:rsidRPr="008A4B76" w:rsidRDefault="009A72C5" w:rsidP="00DD2EFA">
            <w:r w:rsidRPr="008A4B76">
              <w:t>Projekta vienība, kas pārņem vai ievieš katru šīs tabulas A ailē minēto ES tiesību akta vienību, vai tiesību akts, kur attiecīgā ES tiesību akta vienība pārņemta vai ieviesta</w:t>
            </w:r>
          </w:p>
        </w:tc>
        <w:tc>
          <w:tcPr>
            <w:tcW w:w="1886" w:type="dxa"/>
            <w:gridSpan w:val="2"/>
            <w:tcBorders>
              <w:top w:val="outset" w:sz="6" w:space="0" w:color="auto"/>
              <w:left w:val="outset" w:sz="6" w:space="0" w:color="auto"/>
              <w:bottom w:val="outset" w:sz="6" w:space="0" w:color="auto"/>
              <w:right w:val="outset" w:sz="6" w:space="0" w:color="auto"/>
            </w:tcBorders>
          </w:tcPr>
          <w:p w14:paraId="7B0CFCBF" w14:textId="77777777" w:rsidR="009A72C5" w:rsidRPr="008A4B76" w:rsidRDefault="009A72C5" w:rsidP="00DD2EFA">
            <w:r w:rsidRPr="008A4B76">
              <w:t>Informācija par to, vai šīs tabulas A ailē minētās ES tiesību akta vienības tiek pārņemtas vai ieviestas pilnībā vai daļēji.</w:t>
            </w:r>
          </w:p>
          <w:p w14:paraId="3C492AFD" w14:textId="77777777" w:rsidR="009A72C5" w:rsidRPr="008A4B76" w:rsidRDefault="009A72C5" w:rsidP="00DD2EFA">
            <w:r w:rsidRPr="008A4B76">
              <w:t>Ja attiecīgā ES tiesību akta vienība tiek pārņemta vai ieviesta daļēji, sniedz attiecīgu skaidrojumu, kā arī precīzi norāda, kad un kādā veidā ES tiesību akta vienība tiks pārņemta vai ieviesta pilnībā.</w:t>
            </w:r>
          </w:p>
          <w:p w14:paraId="5E0312A3" w14:textId="77777777" w:rsidR="009A72C5" w:rsidRPr="008A4B76" w:rsidRDefault="009A72C5" w:rsidP="00DD2EFA">
            <w:r w:rsidRPr="008A4B76">
              <w:t>Norāda institūciju, kas ir atbildīga par šo saistību izpildi pilnībā</w:t>
            </w:r>
          </w:p>
        </w:tc>
        <w:tc>
          <w:tcPr>
            <w:tcW w:w="1934" w:type="dxa"/>
            <w:tcBorders>
              <w:top w:val="outset" w:sz="6" w:space="0" w:color="auto"/>
              <w:left w:val="outset" w:sz="6" w:space="0" w:color="auto"/>
              <w:bottom w:val="outset" w:sz="6" w:space="0" w:color="auto"/>
              <w:right w:val="outset" w:sz="6" w:space="0" w:color="auto"/>
            </w:tcBorders>
          </w:tcPr>
          <w:p w14:paraId="36EED22E" w14:textId="77777777" w:rsidR="009A72C5" w:rsidRPr="008A4B76" w:rsidRDefault="009A72C5" w:rsidP="00DD2EFA">
            <w:r w:rsidRPr="008A4B76">
              <w:t>Informācija par to, vai šīs tabulas B ailē minētās projekta vienības paredz stingrākas prasības nekā šīs tabulas A ailē minētās ES tiesību akta vienības.</w:t>
            </w:r>
          </w:p>
          <w:p w14:paraId="0301F5D2" w14:textId="77777777" w:rsidR="009A72C5" w:rsidRPr="008A4B76" w:rsidRDefault="009A72C5" w:rsidP="00DD2EFA">
            <w:r w:rsidRPr="008A4B76">
              <w:t>Ja projekts satur stingrā</w:t>
            </w:r>
            <w:r w:rsidRPr="008A4B76">
              <w:softHyphen/>
              <w:t>kas prasības nekā attie</w:t>
            </w:r>
            <w:r w:rsidRPr="008A4B76">
              <w:softHyphen/>
              <w:t>cīgais ES tiesību akts, norāda pamatojumu un samērīgumu.</w:t>
            </w:r>
          </w:p>
          <w:p w14:paraId="7D403B39" w14:textId="77777777" w:rsidR="009A72C5" w:rsidRPr="008A4B76" w:rsidRDefault="009A72C5" w:rsidP="00DD2EFA">
            <w:r w:rsidRPr="008A4B76">
              <w:t xml:space="preserve">Norāda iespējamās alternatīvas (t.sk. alternatīvas, kas neparedz tiesiskā regulējuma izstrādi) – kādos gadījumos būtu iespējams izvairīties no stingrāku prasību </w:t>
            </w:r>
            <w:r w:rsidRPr="008A4B76">
              <w:lastRenderedPageBreak/>
              <w:t>noteikšanas, nekā paredzēts attiecīgajos ES tiesību aktos</w:t>
            </w:r>
          </w:p>
        </w:tc>
      </w:tr>
      <w:tr w:rsidR="003B3A52" w:rsidRPr="008A4B76" w14:paraId="3AD1D6F1"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6B9652AA" w14:textId="77777777" w:rsidR="003B3A52" w:rsidRPr="008A4B76" w:rsidRDefault="003B3A52" w:rsidP="00DB2C3C">
            <w:pPr>
              <w:spacing w:before="10"/>
              <w:ind w:left="113" w:right="113"/>
              <w:jc w:val="both"/>
            </w:pPr>
            <w:r w:rsidRPr="008A4B76">
              <w:lastRenderedPageBreak/>
              <w:t>Regulas Nr.</w:t>
            </w:r>
            <w:r w:rsidR="00D315A7" w:rsidRPr="008A4B76">
              <w:t xml:space="preserve"> 1303/2013. </w:t>
            </w:r>
            <w:r w:rsidR="00DB2C3C" w:rsidRPr="008A4B76">
              <w:t>XII pielikuma 2.2.apakšpunkts.</w:t>
            </w:r>
          </w:p>
        </w:tc>
        <w:tc>
          <w:tcPr>
            <w:tcW w:w="2386" w:type="dxa"/>
            <w:gridSpan w:val="2"/>
            <w:tcBorders>
              <w:top w:val="outset" w:sz="6" w:space="0" w:color="auto"/>
              <w:left w:val="outset" w:sz="6" w:space="0" w:color="auto"/>
              <w:bottom w:val="outset" w:sz="6" w:space="0" w:color="auto"/>
              <w:right w:val="outset" w:sz="6" w:space="0" w:color="auto"/>
            </w:tcBorders>
          </w:tcPr>
          <w:p w14:paraId="00EE2ADD" w14:textId="10EAB7C3" w:rsidR="003B3A52" w:rsidRPr="008A4B76" w:rsidRDefault="003B3A52" w:rsidP="008C1549">
            <w:pPr>
              <w:spacing w:before="10"/>
              <w:ind w:left="113" w:right="113"/>
              <w:jc w:val="both"/>
            </w:pPr>
            <w:r w:rsidRPr="008A4B76">
              <w:t xml:space="preserve">Noteikumu projekta </w:t>
            </w:r>
            <w:r w:rsidR="008C1549" w:rsidRPr="008A4B76">
              <w:t>43</w:t>
            </w:r>
            <w:r w:rsidR="00DB2C3C" w:rsidRPr="008A4B76">
              <w:t>.</w:t>
            </w:r>
            <w:r w:rsidRPr="008A4B76">
              <w:t>punkts</w:t>
            </w:r>
            <w:r w:rsidR="00DB2C3C" w:rsidRPr="008A4B76">
              <w:t>.</w:t>
            </w:r>
          </w:p>
        </w:tc>
        <w:tc>
          <w:tcPr>
            <w:tcW w:w="1886" w:type="dxa"/>
            <w:gridSpan w:val="2"/>
            <w:tcBorders>
              <w:top w:val="outset" w:sz="6" w:space="0" w:color="auto"/>
              <w:left w:val="outset" w:sz="6" w:space="0" w:color="auto"/>
              <w:bottom w:val="outset" w:sz="6" w:space="0" w:color="auto"/>
              <w:right w:val="outset" w:sz="6" w:space="0" w:color="auto"/>
            </w:tcBorders>
          </w:tcPr>
          <w:p w14:paraId="4BEF115D" w14:textId="77777777" w:rsidR="003B3A52" w:rsidRPr="008A4B76" w:rsidRDefault="00D315A7" w:rsidP="00D315A7">
            <w:pPr>
              <w:spacing w:before="10"/>
              <w:ind w:left="113" w:right="113"/>
              <w:jc w:val="both"/>
            </w:pPr>
            <w:r w:rsidRPr="008A4B76">
              <w:t>Vienība tiek ieviesta pilnībā. Atbildīgā institūcija –finansējuma saņēmējs</w:t>
            </w:r>
            <w:r w:rsidR="00DB2C3C" w:rsidRPr="008A4B76">
              <w:t>.</w:t>
            </w:r>
          </w:p>
        </w:tc>
        <w:tc>
          <w:tcPr>
            <w:tcW w:w="1934" w:type="dxa"/>
            <w:tcBorders>
              <w:top w:val="outset" w:sz="6" w:space="0" w:color="auto"/>
              <w:left w:val="outset" w:sz="6" w:space="0" w:color="auto"/>
              <w:bottom w:val="outset" w:sz="6" w:space="0" w:color="auto"/>
              <w:right w:val="outset" w:sz="6" w:space="0" w:color="auto"/>
            </w:tcBorders>
          </w:tcPr>
          <w:p w14:paraId="2D79F5A7" w14:textId="77777777" w:rsidR="003B3A52" w:rsidRPr="008A4B76" w:rsidRDefault="00DB2C3C" w:rsidP="003B3A52">
            <w:pPr>
              <w:spacing w:before="10"/>
              <w:ind w:left="113" w:right="113"/>
              <w:jc w:val="both"/>
            </w:pPr>
            <w:r w:rsidRPr="008A4B76">
              <w:t>N</w:t>
            </w:r>
            <w:r w:rsidR="003B3A52" w:rsidRPr="008A4B76">
              <w:t>eparedz stingrākas prasības</w:t>
            </w:r>
            <w:r w:rsidRPr="008A4B76">
              <w:t>.</w:t>
            </w:r>
          </w:p>
        </w:tc>
      </w:tr>
      <w:tr w:rsidR="00526EDD" w:rsidRPr="008A4B76" w14:paraId="06293C9F" w14:textId="77777777" w:rsidTr="008A4B7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4D5BFC80" w14:textId="77777777" w:rsidR="00526EDD" w:rsidRPr="008A4B76" w:rsidRDefault="00526EDD" w:rsidP="00526EDD">
            <w:r w:rsidRPr="008A4B76">
              <w:t>Kā ir izmantota ES tiesību aktā paredzētā rīcības brīvība dalīb</w:t>
            </w:r>
            <w:r w:rsidRPr="008A4B76">
              <w:softHyphen/>
              <w:t>valstij pārņemt vai ieviest noteiktas ES tiesību akta normas?</w:t>
            </w:r>
          </w:p>
          <w:p w14:paraId="5CF2AB57" w14:textId="77777777" w:rsidR="00526EDD" w:rsidRPr="008A4B76" w:rsidRDefault="00526EDD" w:rsidP="00526EDD">
            <w:r w:rsidRPr="008A4B76">
              <w:t>Kādēļ?</w:t>
            </w:r>
          </w:p>
        </w:tc>
        <w:tc>
          <w:tcPr>
            <w:tcW w:w="6206" w:type="dxa"/>
            <w:gridSpan w:val="5"/>
            <w:tcBorders>
              <w:top w:val="outset" w:sz="6" w:space="0" w:color="auto"/>
              <w:left w:val="outset" w:sz="6" w:space="0" w:color="auto"/>
              <w:bottom w:val="outset" w:sz="6" w:space="0" w:color="auto"/>
              <w:right w:val="outset" w:sz="6" w:space="0" w:color="auto"/>
            </w:tcBorders>
          </w:tcPr>
          <w:p w14:paraId="64A41793" w14:textId="77777777" w:rsidR="00526EDD" w:rsidRPr="008A4B76" w:rsidRDefault="00526EDD" w:rsidP="00526EDD">
            <w:r w:rsidRPr="008A4B76">
              <w:t>Noteikumu projekts šo jomu neskar.</w:t>
            </w:r>
          </w:p>
        </w:tc>
      </w:tr>
      <w:tr w:rsidR="00526EDD" w:rsidRPr="008A4B76" w14:paraId="572563FA" w14:textId="77777777" w:rsidTr="008A4B7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7707478C" w14:textId="77777777" w:rsidR="00526EDD" w:rsidRPr="008A4B76" w:rsidRDefault="00526EDD" w:rsidP="00526EDD">
            <w:r w:rsidRPr="008A4B76">
              <w:t>Saistības sniegt paziņojumu ES insti</w:t>
            </w:r>
            <w:r w:rsidRPr="008A4B76">
              <w:softHyphen/>
              <w:t>tūcijām un ES dalīb</w:t>
            </w:r>
            <w:r w:rsidRPr="008A4B76">
              <w:softHyphen/>
              <w:t>valstīm atbilstoši normatīvajiem aktiem, kas regulē informācijas sniegšanu par tehnisko noteikumu, valsts atbalsta piešķir</w:t>
            </w:r>
            <w:r w:rsidRPr="008A4B76">
              <w:softHyphen/>
              <w:t>šanas un finanšu noteikumu (attiecībā uz monetāro politiku) projektiem</w:t>
            </w:r>
          </w:p>
        </w:tc>
        <w:tc>
          <w:tcPr>
            <w:tcW w:w="6206" w:type="dxa"/>
            <w:gridSpan w:val="5"/>
            <w:tcBorders>
              <w:top w:val="outset" w:sz="6" w:space="0" w:color="auto"/>
              <w:left w:val="outset" w:sz="6" w:space="0" w:color="auto"/>
              <w:bottom w:val="outset" w:sz="6" w:space="0" w:color="auto"/>
              <w:right w:val="outset" w:sz="6" w:space="0" w:color="auto"/>
            </w:tcBorders>
          </w:tcPr>
          <w:p w14:paraId="6D50B101" w14:textId="77777777" w:rsidR="00526EDD" w:rsidRPr="008A4B76" w:rsidRDefault="00D315A7" w:rsidP="00526EDD">
            <w:pPr>
              <w:ind w:right="85"/>
              <w:jc w:val="both"/>
              <w:rPr>
                <w:iCs/>
              </w:rPr>
            </w:pPr>
            <w:r w:rsidRPr="008A4B76">
              <w:rPr>
                <w:iCs/>
              </w:rPr>
              <w:t>Noteikumu projekts šo jomu neskar.</w:t>
            </w:r>
          </w:p>
          <w:p w14:paraId="4BA369F9" w14:textId="77777777" w:rsidR="00E91778" w:rsidRPr="008A4B76" w:rsidRDefault="00E91778" w:rsidP="00526EDD">
            <w:pPr>
              <w:ind w:right="85"/>
              <w:jc w:val="both"/>
            </w:pPr>
          </w:p>
        </w:tc>
      </w:tr>
      <w:tr w:rsidR="00526EDD" w:rsidRPr="008A4B76" w14:paraId="29C5A00D" w14:textId="77777777" w:rsidTr="008A4B7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50794496" w14:textId="77777777" w:rsidR="00526EDD" w:rsidRPr="008A4B76" w:rsidRDefault="00526EDD" w:rsidP="00526EDD">
            <w:r w:rsidRPr="008A4B76">
              <w:t>Cita informācija</w:t>
            </w:r>
          </w:p>
        </w:tc>
        <w:tc>
          <w:tcPr>
            <w:tcW w:w="6206" w:type="dxa"/>
            <w:gridSpan w:val="5"/>
            <w:tcBorders>
              <w:top w:val="outset" w:sz="6" w:space="0" w:color="auto"/>
              <w:left w:val="outset" w:sz="6" w:space="0" w:color="auto"/>
              <w:bottom w:val="outset" w:sz="6" w:space="0" w:color="auto"/>
              <w:right w:val="outset" w:sz="6" w:space="0" w:color="auto"/>
            </w:tcBorders>
          </w:tcPr>
          <w:p w14:paraId="5749155E" w14:textId="77777777" w:rsidR="00526EDD" w:rsidRPr="008A4B76" w:rsidRDefault="00526EDD" w:rsidP="00526EDD">
            <w:pPr>
              <w:ind w:right="85"/>
              <w:jc w:val="both"/>
            </w:pPr>
            <w:r w:rsidRPr="008A4B76">
              <w:t>Nav</w:t>
            </w:r>
            <w:r w:rsidR="00DB2C3C" w:rsidRPr="008A4B76">
              <w:t>.</w:t>
            </w:r>
          </w:p>
        </w:tc>
      </w:tr>
      <w:tr w:rsidR="00526EDD" w:rsidRPr="008A4B76" w14:paraId="425E916B"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777" w:type="dxa"/>
            <w:gridSpan w:val="7"/>
            <w:tcBorders>
              <w:top w:val="outset" w:sz="6" w:space="0" w:color="auto"/>
              <w:left w:val="outset" w:sz="6" w:space="0" w:color="auto"/>
              <w:bottom w:val="outset" w:sz="6" w:space="0" w:color="auto"/>
              <w:right w:val="outset" w:sz="6" w:space="0" w:color="auto"/>
            </w:tcBorders>
            <w:vAlign w:val="center"/>
          </w:tcPr>
          <w:p w14:paraId="1D99D197" w14:textId="77777777" w:rsidR="00526EDD" w:rsidRPr="008A4B76" w:rsidRDefault="00526EDD" w:rsidP="00526EDD">
            <w:pPr>
              <w:jc w:val="both"/>
              <w:rPr>
                <w:b/>
              </w:rPr>
            </w:pPr>
            <w:r w:rsidRPr="008A4B76">
              <w:rPr>
                <w:b/>
              </w:rPr>
              <w:t>2.tabula</w:t>
            </w:r>
          </w:p>
          <w:p w14:paraId="310A508B" w14:textId="77777777" w:rsidR="00526EDD" w:rsidRPr="008A4B76" w:rsidRDefault="00526EDD" w:rsidP="00526EDD">
            <w:pPr>
              <w:jc w:val="both"/>
              <w:rPr>
                <w:b/>
              </w:rPr>
            </w:pPr>
            <w:r w:rsidRPr="008A4B76">
              <w:rPr>
                <w:b/>
              </w:rPr>
              <w:t>Ar tiesību akta projektu izpildītās vai uzņemtās saistības, kas izriet no starptautiskajiem tiesību aktiem vai starptautiskas institūcijas vai organizācijas dokumentiem.</w:t>
            </w:r>
          </w:p>
          <w:p w14:paraId="73C0B14B" w14:textId="77777777" w:rsidR="00526EDD" w:rsidRPr="008A4B76" w:rsidRDefault="00526EDD" w:rsidP="00526EDD">
            <w:pPr>
              <w:jc w:val="both"/>
              <w:rPr>
                <w:b/>
              </w:rPr>
            </w:pPr>
            <w:r w:rsidRPr="008A4B76">
              <w:rPr>
                <w:b/>
              </w:rPr>
              <w:t>Pasākumi šo saistību izpildei</w:t>
            </w:r>
          </w:p>
        </w:tc>
      </w:tr>
      <w:tr w:rsidR="00526EDD" w:rsidRPr="008A4B76" w14:paraId="31B1EAB4"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vAlign w:val="center"/>
          </w:tcPr>
          <w:p w14:paraId="40FD836C" w14:textId="77777777" w:rsidR="00526EDD" w:rsidRPr="008A4B76" w:rsidRDefault="00526EDD" w:rsidP="00526EDD">
            <w:r w:rsidRPr="008A4B76">
              <w:t>Attiecīgā starptautiskā tiesību akta vai starptautiskas institūcijas vai organizācijas dokumenta (turpmāk – starptautiskais dokuments) datums, numurs un nosaukums</w:t>
            </w:r>
          </w:p>
        </w:tc>
        <w:tc>
          <w:tcPr>
            <w:tcW w:w="6206" w:type="dxa"/>
            <w:gridSpan w:val="5"/>
            <w:tcBorders>
              <w:top w:val="outset" w:sz="6" w:space="0" w:color="auto"/>
              <w:left w:val="outset" w:sz="6" w:space="0" w:color="auto"/>
              <w:bottom w:val="outset" w:sz="6" w:space="0" w:color="auto"/>
              <w:right w:val="outset" w:sz="6" w:space="0" w:color="auto"/>
            </w:tcBorders>
          </w:tcPr>
          <w:p w14:paraId="58A79FFF" w14:textId="77777777" w:rsidR="00526EDD" w:rsidRPr="008A4B76" w:rsidRDefault="00526EDD" w:rsidP="00526EDD">
            <w:r w:rsidRPr="008A4B76">
              <w:t>Noteikumu projekts šo jomu neskar.</w:t>
            </w:r>
          </w:p>
        </w:tc>
      </w:tr>
      <w:tr w:rsidR="00526EDD" w:rsidRPr="008A4B76" w14:paraId="619CD7B0"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vAlign w:val="center"/>
          </w:tcPr>
          <w:p w14:paraId="1185D8E7" w14:textId="77777777" w:rsidR="00526EDD" w:rsidRPr="008A4B76" w:rsidRDefault="00526EDD" w:rsidP="00526EDD">
            <w:r w:rsidRPr="008A4B76">
              <w:t>A</w:t>
            </w:r>
          </w:p>
        </w:tc>
        <w:tc>
          <w:tcPr>
            <w:tcW w:w="3471" w:type="dxa"/>
            <w:gridSpan w:val="3"/>
            <w:tcBorders>
              <w:top w:val="outset" w:sz="6" w:space="0" w:color="auto"/>
              <w:left w:val="outset" w:sz="6" w:space="0" w:color="auto"/>
              <w:bottom w:val="outset" w:sz="6" w:space="0" w:color="auto"/>
              <w:right w:val="outset" w:sz="6" w:space="0" w:color="auto"/>
            </w:tcBorders>
            <w:vAlign w:val="center"/>
          </w:tcPr>
          <w:p w14:paraId="56DEE3C4" w14:textId="77777777" w:rsidR="00526EDD" w:rsidRPr="008A4B76" w:rsidRDefault="00526EDD" w:rsidP="00526EDD">
            <w:r w:rsidRPr="008A4B76">
              <w:t>B</w:t>
            </w:r>
          </w:p>
        </w:tc>
        <w:tc>
          <w:tcPr>
            <w:tcW w:w="2735" w:type="dxa"/>
            <w:gridSpan w:val="2"/>
            <w:tcBorders>
              <w:top w:val="outset" w:sz="6" w:space="0" w:color="auto"/>
              <w:left w:val="outset" w:sz="6" w:space="0" w:color="auto"/>
              <w:bottom w:val="outset" w:sz="6" w:space="0" w:color="auto"/>
              <w:right w:val="outset" w:sz="6" w:space="0" w:color="auto"/>
            </w:tcBorders>
            <w:vAlign w:val="center"/>
          </w:tcPr>
          <w:p w14:paraId="3FD4CBD7" w14:textId="77777777" w:rsidR="00526EDD" w:rsidRPr="008A4B76" w:rsidRDefault="00526EDD" w:rsidP="00526EDD">
            <w:r w:rsidRPr="008A4B76">
              <w:t>C</w:t>
            </w:r>
          </w:p>
        </w:tc>
      </w:tr>
      <w:tr w:rsidR="00526EDD" w:rsidRPr="008A4B76" w14:paraId="4D11343A"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590B59F2" w14:textId="77777777" w:rsidR="00526EDD" w:rsidRPr="008A4B76" w:rsidRDefault="00526EDD" w:rsidP="00526EDD">
            <w:r w:rsidRPr="008A4B76">
              <w:lastRenderedPageBreak/>
              <w:t>Starptautiskās saistības (pēc būtības), kas izriet no norādītā starptautiskā dokumenta.</w:t>
            </w:r>
          </w:p>
          <w:p w14:paraId="23867F0B" w14:textId="77777777" w:rsidR="00526EDD" w:rsidRPr="008A4B76" w:rsidRDefault="00526EDD" w:rsidP="00526EDD">
            <w:r w:rsidRPr="008A4B76">
              <w:t>Konkrēti veicamie pasākumi vai uzdevumi, kas nepieciešami šo starptautisko saistību izpildei</w:t>
            </w:r>
          </w:p>
        </w:tc>
        <w:tc>
          <w:tcPr>
            <w:tcW w:w="3471" w:type="dxa"/>
            <w:gridSpan w:val="3"/>
            <w:tcBorders>
              <w:top w:val="outset" w:sz="6" w:space="0" w:color="auto"/>
              <w:left w:val="outset" w:sz="6" w:space="0" w:color="auto"/>
              <w:bottom w:val="outset" w:sz="6" w:space="0" w:color="auto"/>
              <w:right w:val="outset" w:sz="6" w:space="0" w:color="auto"/>
            </w:tcBorders>
          </w:tcPr>
          <w:p w14:paraId="79C49293" w14:textId="77777777" w:rsidR="00526EDD" w:rsidRPr="008A4B76" w:rsidRDefault="00526EDD" w:rsidP="00526EDD">
            <w:r w:rsidRPr="008A4B7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35" w:type="dxa"/>
            <w:gridSpan w:val="2"/>
            <w:tcBorders>
              <w:top w:val="outset" w:sz="6" w:space="0" w:color="auto"/>
              <w:left w:val="outset" w:sz="6" w:space="0" w:color="auto"/>
              <w:bottom w:val="outset" w:sz="6" w:space="0" w:color="auto"/>
              <w:right w:val="outset" w:sz="6" w:space="0" w:color="auto"/>
            </w:tcBorders>
          </w:tcPr>
          <w:p w14:paraId="0537F97B" w14:textId="77777777" w:rsidR="00526EDD" w:rsidRPr="008A4B76" w:rsidRDefault="00526EDD" w:rsidP="00526EDD">
            <w:r w:rsidRPr="008A4B76">
              <w:t>Informācija par to, vai starptautiskās saistības, kas minētas šīs tabulas A ailē, tiek izpildītas pilnībā vai daļēji.</w:t>
            </w:r>
          </w:p>
          <w:p w14:paraId="4F6AA2B3" w14:textId="77777777" w:rsidR="00526EDD" w:rsidRPr="008A4B76" w:rsidRDefault="00526EDD" w:rsidP="00526EDD">
            <w:r w:rsidRPr="008A4B76">
              <w:t>Ja attiecīgās starptautiskās saistības tiek izpildītas daļēji, sniedz skaidrojumu, kā arī precīzi norāda, kad un kādā veidā starptautiskās saistības tiks izpildītas pilnībā.</w:t>
            </w:r>
          </w:p>
          <w:p w14:paraId="48F07DA6" w14:textId="77777777" w:rsidR="00526EDD" w:rsidRPr="008A4B76" w:rsidRDefault="00526EDD" w:rsidP="00526EDD">
            <w:r w:rsidRPr="008A4B76">
              <w:t>Norāda institūciju, kas ir atbildīga par šo saistību izpildi pilnībā</w:t>
            </w:r>
          </w:p>
        </w:tc>
      </w:tr>
      <w:tr w:rsidR="00526EDD" w:rsidRPr="008A4B76" w14:paraId="46D5B309"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280D76A1" w14:textId="77777777" w:rsidR="00526EDD" w:rsidRPr="008A4B76" w:rsidRDefault="00526EDD" w:rsidP="00526EDD">
            <w:r w:rsidRPr="008A4B76">
              <w:t>Noteikumu projekts šo jomu neskar.</w:t>
            </w:r>
          </w:p>
        </w:tc>
        <w:tc>
          <w:tcPr>
            <w:tcW w:w="3471" w:type="dxa"/>
            <w:gridSpan w:val="3"/>
            <w:tcBorders>
              <w:top w:val="outset" w:sz="6" w:space="0" w:color="auto"/>
              <w:left w:val="outset" w:sz="6" w:space="0" w:color="auto"/>
              <w:bottom w:val="outset" w:sz="6" w:space="0" w:color="auto"/>
              <w:right w:val="outset" w:sz="6" w:space="0" w:color="auto"/>
            </w:tcBorders>
          </w:tcPr>
          <w:p w14:paraId="278CC4FF" w14:textId="77777777" w:rsidR="00526EDD" w:rsidRPr="008A4B76" w:rsidRDefault="00526EDD" w:rsidP="00526EDD">
            <w:r w:rsidRPr="008A4B76">
              <w:t>Noteikumu projekts šo jomu neskar.</w:t>
            </w:r>
          </w:p>
        </w:tc>
        <w:tc>
          <w:tcPr>
            <w:tcW w:w="2735" w:type="dxa"/>
            <w:gridSpan w:val="2"/>
            <w:tcBorders>
              <w:top w:val="outset" w:sz="6" w:space="0" w:color="auto"/>
              <w:left w:val="outset" w:sz="6" w:space="0" w:color="auto"/>
              <w:bottom w:val="outset" w:sz="6" w:space="0" w:color="auto"/>
              <w:right w:val="outset" w:sz="6" w:space="0" w:color="auto"/>
            </w:tcBorders>
          </w:tcPr>
          <w:p w14:paraId="5E6E418D" w14:textId="77777777" w:rsidR="00526EDD" w:rsidRPr="008A4B76" w:rsidRDefault="00526EDD" w:rsidP="00526EDD">
            <w:r w:rsidRPr="008A4B76">
              <w:t>Noteikumu projekts šo jomu neskar.</w:t>
            </w:r>
          </w:p>
        </w:tc>
      </w:tr>
      <w:tr w:rsidR="00526EDD" w:rsidRPr="008A4B76" w14:paraId="4FA67CE8"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0F4240EE" w14:textId="77777777" w:rsidR="00526EDD" w:rsidRPr="008A4B76" w:rsidRDefault="00526EDD" w:rsidP="00526EDD">
            <w:r w:rsidRPr="008A4B76">
              <w:t>Vai starptautiskajā dokumentā paredzētās saistības nav pretrunā ar jau esošajām Latvijas Republikas starptautis</w:t>
            </w:r>
            <w:r w:rsidRPr="008A4B76">
              <w:softHyphen/>
              <w:t>kajām saistībām</w:t>
            </w:r>
          </w:p>
        </w:tc>
        <w:tc>
          <w:tcPr>
            <w:tcW w:w="6206" w:type="dxa"/>
            <w:gridSpan w:val="5"/>
            <w:tcBorders>
              <w:top w:val="outset" w:sz="6" w:space="0" w:color="auto"/>
              <w:left w:val="outset" w:sz="6" w:space="0" w:color="auto"/>
              <w:bottom w:val="outset" w:sz="6" w:space="0" w:color="auto"/>
              <w:right w:val="outset" w:sz="6" w:space="0" w:color="auto"/>
            </w:tcBorders>
          </w:tcPr>
          <w:p w14:paraId="7BC1AA12" w14:textId="77777777" w:rsidR="00526EDD" w:rsidRPr="008A4B76" w:rsidRDefault="00526EDD" w:rsidP="00526EDD">
            <w:r w:rsidRPr="008A4B76">
              <w:t>Noteikumu projekts šo jomu neskar.</w:t>
            </w:r>
          </w:p>
        </w:tc>
      </w:tr>
      <w:tr w:rsidR="00526EDD" w:rsidRPr="008A4B76" w14:paraId="77BA1969" w14:textId="77777777" w:rsidTr="008A4B7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71" w:type="dxa"/>
            <w:gridSpan w:val="2"/>
            <w:tcBorders>
              <w:top w:val="outset" w:sz="6" w:space="0" w:color="auto"/>
              <w:left w:val="outset" w:sz="6" w:space="0" w:color="auto"/>
              <w:bottom w:val="outset" w:sz="6" w:space="0" w:color="auto"/>
              <w:right w:val="outset" w:sz="6" w:space="0" w:color="auto"/>
            </w:tcBorders>
          </w:tcPr>
          <w:p w14:paraId="4112C099" w14:textId="77777777" w:rsidR="00526EDD" w:rsidRPr="008A4B76" w:rsidRDefault="00526EDD" w:rsidP="00526EDD">
            <w:r w:rsidRPr="008A4B76">
              <w:t>Cita informācija</w:t>
            </w:r>
          </w:p>
        </w:tc>
        <w:tc>
          <w:tcPr>
            <w:tcW w:w="6206" w:type="dxa"/>
            <w:gridSpan w:val="5"/>
            <w:tcBorders>
              <w:top w:val="outset" w:sz="6" w:space="0" w:color="auto"/>
              <w:left w:val="outset" w:sz="6" w:space="0" w:color="auto"/>
              <w:bottom w:val="outset" w:sz="6" w:space="0" w:color="auto"/>
              <w:right w:val="outset" w:sz="6" w:space="0" w:color="auto"/>
            </w:tcBorders>
          </w:tcPr>
          <w:p w14:paraId="07739224" w14:textId="77777777" w:rsidR="00526EDD" w:rsidRPr="008A4B76" w:rsidRDefault="00C044BA" w:rsidP="00AA1184">
            <w:r w:rsidRPr="008A4B76">
              <w:t>Nav.</w:t>
            </w:r>
          </w:p>
        </w:tc>
      </w:tr>
    </w:tbl>
    <w:p w14:paraId="396DC309" w14:textId="77777777" w:rsidR="009A72C5" w:rsidRPr="008A4B76"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62"/>
        <w:gridCol w:w="2769"/>
        <w:gridCol w:w="5783"/>
      </w:tblGrid>
      <w:tr w:rsidR="009A72C5" w:rsidRPr="008A4B76" w14:paraId="287A9FA3"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42E00DB5" w14:textId="77777777" w:rsidR="009A72C5" w:rsidRPr="008A4B76" w:rsidRDefault="009A72C5" w:rsidP="00DD2EFA">
            <w:pPr>
              <w:spacing w:before="100" w:beforeAutospacing="1" w:after="100" w:afterAutospacing="1"/>
              <w:jc w:val="center"/>
              <w:rPr>
                <w:b/>
                <w:bCs/>
              </w:rPr>
            </w:pPr>
            <w:r w:rsidRPr="008A4B76">
              <w:rPr>
                <w:b/>
                <w:bCs/>
              </w:rPr>
              <w:t xml:space="preserve">VI. </w:t>
            </w:r>
            <w:r w:rsidRPr="008A4B76">
              <w:rPr>
                <w:b/>
              </w:rPr>
              <w:t>Sabiedrības līdzdalība un komunikācijas aktivitātes</w:t>
            </w:r>
          </w:p>
        </w:tc>
      </w:tr>
      <w:tr w:rsidR="009A72C5" w:rsidRPr="008A4B76" w14:paraId="54D10E72" w14:textId="77777777" w:rsidTr="00A40F6D">
        <w:tc>
          <w:tcPr>
            <w:tcW w:w="662" w:type="dxa"/>
            <w:tcBorders>
              <w:top w:val="outset" w:sz="6" w:space="0" w:color="000000"/>
              <w:left w:val="outset" w:sz="6" w:space="0" w:color="000000"/>
              <w:bottom w:val="outset" w:sz="6" w:space="0" w:color="000000"/>
              <w:right w:val="outset" w:sz="6" w:space="0" w:color="000000"/>
            </w:tcBorders>
          </w:tcPr>
          <w:p w14:paraId="034B039D" w14:textId="77777777" w:rsidR="009A72C5" w:rsidRPr="008A4B76" w:rsidRDefault="009A72C5" w:rsidP="00DD2EFA">
            <w:pPr>
              <w:spacing w:before="100" w:beforeAutospacing="1" w:after="100" w:afterAutospacing="1"/>
              <w:jc w:val="center"/>
            </w:pPr>
            <w:r w:rsidRPr="008A4B76">
              <w:t>1.</w:t>
            </w:r>
          </w:p>
        </w:tc>
        <w:tc>
          <w:tcPr>
            <w:tcW w:w="2769" w:type="dxa"/>
            <w:tcBorders>
              <w:top w:val="outset" w:sz="6" w:space="0" w:color="000000"/>
              <w:left w:val="outset" w:sz="6" w:space="0" w:color="000000"/>
              <w:bottom w:val="outset" w:sz="6" w:space="0" w:color="000000"/>
              <w:right w:val="outset" w:sz="6" w:space="0" w:color="000000"/>
            </w:tcBorders>
          </w:tcPr>
          <w:p w14:paraId="6FD657E1" w14:textId="77777777" w:rsidR="009A72C5" w:rsidRPr="008A4B76" w:rsidRDefault="009A72C5" w:rsidP="00DD2EFA">
            <w:pPr>
              <w:spacing w:before="100" w:beforeAutospacing="1" w:after="100" w:afterAutospacing="1"/>
            </w:pPr>
            <w:r w:rsidRPr="008A4B76">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0CF63546" w14:textId="77777777" w:rsidR="00DB2C3C" w:rsidRPr="008A4B76" w:rsidRDefault="00E6260F" w:rsidP="00DB2C3C">
            <w:pPr>
              <w:shd w:val="clear" w:color="auto" w:fill="FFFFFF"/>
              <w:jc w:val="both"/>
              <w:rPr>
                <w:bCs/>
              </w:rPr>
            </w:pPr>
            <w:r w:rsidRPr="008A4B76">
              <w:rPr>
                <w:bCs/>
              </w:rPr>
              <w:t xml:space="preserve">Partneri un ieinteresētās organizācijas ir </w:t>
            </w:r>
            <w:r w:rsidR="00DB2C3C" w:rsidRPr="008A4B76">
              <w:rPr>
                <w:bCs/>
              </w:rPr>
              <w:t>līdzdarbo</w:t>
            </w:r>
            <w:r w:rsidRPr="008A4B76">
              <w:rPr>
                <w:bCs/>
              </w:rPr>
              <w:t>jušās</w:t>
            </w:r>
            <w:r w:rsidR="00DB2C3C" w:rsidRPr="008A4B76">
              <w:rPr>
                <w:bCs/>
              </w:rPr>
              <w:t xml:space="preserve"> noteikumu projekta izstrādē, sniedzot atzinumu un viedokli par </w:t>
            </w:r>
            <w:r w:rsidR="00DB2C3C" w:rsidRPr="008A4B76">
              <w:t>ES struktūrfondu un Kohēzijas fonda 2014.-2020.gada plānošanas perioda Izglītības, prasmju un mūžizglītības</w:t>
            </w:r>
            <w:r w:rsidR="00DB2C3C" w:rsidRPr="008A4B76">
              <w:rPr>
                <w:b/>
                <w:bCs/>
              </w:rPr>
              <w:t xml:space="preserve"> </w:t>
            </w:r>
            <w:r w:rsidR="00DB2C3C" w:rsidRPr="008A4B76">
              <w:t xml:space="preserve">prioritārā virziena </w:t>
            </w:r>
            <w:r w:rsidR="00DB2C3C" w:rsidRPr="008A4B76">
              <w:rPr>
                <w:bCs/>
              </w:rPr>
              <w:t>apakškomitejā iesniegtajiem projektu iesniegumu vērtēšanas kritērijiem, kritēriju piemērošanas metodiku, kā arī par Valsts sekretāru sanāksmē izsludināto noteikumu projektu.</w:t>
            </w:r>
          </w:p>
          <w:p w14:paraId="5C668370" w14:textId="77777777" w:rsidR="00DB2C3C" w:rsidRPr="008A4B76" w:rsidRDefault="00DB2C3C" w:rsidP="002A4D0D">
            <w:pPr>
              <w:shd w:val="clear" w:color="auto" w:fill="FFFFFF"/>
              <w:ind w:right="74"/>
              <w:jc w:val="both"/>
              <w:rPr>
                <w:bCs/>
              </w:rPr>
            </w:pPr>
          </w:p>
          <w:p w14:paraId="63CD44B0" w14:textId="77777777" w:rsidR="009A72C5" w:rsidRPr="008A4B76" w:rsidRDefault="00C044BA" w:rsidP="00155679">
            <w:pPr>
              <w:tabs>
                <w:tab w:val="num" w:pos="0"/>
              </w:tabs>
              <w:ind w:right="74"/>
              <w:jc w:val="both"/>
            </w:pPr>
            <w:r w:rsidRPr="008A4B76">
              <w:rPr>
                <w:bCs/>
                <w:color w:val="000000" w:themeColor="text1"/>
              </w:rPr>
              <w:t>8.2.1. SAM</w:t>
            </w:r>
            <w:r w:rsidR="007B5016" w:rsidRPr="008A4B76">
              <w:rPr>
                <w:bCs/>
                <w:color w:val="000000" w:themeColor="text1"/>
              </w:rPr>
              <w:t xml:space="preserve"> ietvaros</w:t>
            </w:r>
            <w:r w:rsidR="007B5016" w:rsidRPr="008A4B76">
              <w:rPr>
                <w:color w:val="000000" w:themeColor="text1"/>
              </w:rPr>
              <w:t xml:space="preserve"> ī</w:t>
            </w:r>
            <w:r w:rsidR="009A72C5" w:rsidRPr="008A4B76">
              <w:rPr>
                <w:color w:val="000000" w:themeColor="text1"/>
              </w:rPr>
              <w:t>stenojot projektu</w:t>
            </w:r>
            <w:r w:rsidR="00A40F6D" w:rsidRPr="008A4B76">
              <w:rPr>
                <w:color w:val="000000" w:themeColor="text1"/>
              </w:rPr>
              <w:t>,</w:t>
            </w:r>
            <w:r w:rsidR="007B5016" w:rsidRPr="008A4B76">
              <w:rPr>
                <w:color w:val="000000" w:themeColor="text1"/>
              </w:rPr>
              <w:t xml:space="preserve"> finansējuma saņēmēji</w:t>
            </w:r>
            <w:r w:rsidR="009A72C5" w:rsidRPr="008A4B76">
              <w:rPr>
                <w:color w:val="000000" w:themeColor="text1"/>
              </w:rPr>
              <w:t xml:space="preserve"> nodrošina informā</w:t>
            </w:r>
            <w:r w:rsidR="00A40F6D" w:rsidRPr="008A4B76">
              <w:rPr>
                <w:color w:val="000000" w:themeColor="text1"/>
              </w:rPr>
              <w:t>cijas un publicitātes pasākumus</w:t>
            </w:r>
            <w:r w:rsidR="007B5016" w:rsidRPr="008A4B76">
              <w:rPr>
                <w:color w:val="000000" w:themeColor="text1"/>
              </w:rPr>
              <w:t>,</w:t>
            </w:r>
            <w:r w:rsidR="00061DB4" w:rsidRPr="008A4B76">
              <w:rPr>
                <w:color w:val="000000" w:themeColor="text1"/>
              </w:rPr>
              <w:t xml:space="preserve"> atbilstoši </w:t>
            </w:r>
            <w:r w:rsidR="009A72C5" w:rsidRPr="008A4B76">
              <w:rPr>
                <w:color w:val="000000" w:themeColor="text1"/>
              </w:rPr>
              <w:t xml:space="preserve">normatīvajiem aktiem par kārtību, kādā </w:t>
            </w:r>
            <w:r w:rsidR="00155679" w:rsidRPr="008A4B76">
              <w:rPr>
                <w:color w:val="000000" w:themeColor="text1"/>
              </w:rPr>
              <w:t>ES</w:t>
            </w:r>
            <w:r w:rsidR="009A72C5" w:rsidRPr="008A4B76">
              <w:rPr>
                <w:color w:val="000000" w:themeColor="text1"/>
              </w:rPr>
              <w:t xml:space="preserve"> struktūrfondu un Kohēzi</w:t>
            </w:r>
            <w:r w:rsidR="004647F1" w:rsidRPr="008A4B76">
              <w:rPr>
                <w:color w:val="000000" w:themeColor="text1"/>
              </w:rPr>
              <w:t>jas fonda ieviešanā 2014.–2020.</w:t>
            </w:r>
            <w:r w:rsidR="00BA0E1E" w:rsidRPr="008A4B76">
              <w:rPr>
                <w:color w:val="000000" w:themeColor="text1"/>
              </w:rPr>
              <w:t xml:space="preserve"> </w:t>
            </w:r>
            <w:r w:rsidR="009A72C5" w:rsidRPr="008A4B76">
              <w:rPr>
                <w:color w:val="000000" w:themeColor="text1"/>
              </w:rPr>
              <w:t>gada plānošanas periodā nodrošināma komunikācijas un vizuālās identitātes prasību ievērošana.</w:t>
            </w:r>
          </w:p>
        </w:tc>
      </w:tr>
      <w:tr w:rsidR="00A40F6D" w:rsidRPr="008A4B76" w14:paraId="7CE32BE9" w14:textId="77777777" w:rsidTr="00A40F6D">
        <w:tc>
          <w:tcPr>
            <w:tcW w:w="662" w:type="dxa"/>
            <w:tcBorders>
              <w:top w:val="outset" w:sz="6" w:space="0" w:color="000000"/>
              <w:left w:val="outset" w:sz="6" w:space="0" w:color="000000"/>
              <w:bottom w:val="outset" w:sz="6" w:space="0" w:color="000000"/>
              <w:right w:val="outset" w:sz="6" w:space="0" w:color="000000"/>
            </w:tcBorders>
          </w:tcPr>
          <w:p w14:paraId="73240493" w14:textId="77777777" w:rsidR="00A40F6D" w:rsidRPr="008A4B76" w:rsidRDefault="00A40F6D" w:rsidP="00A40F6D">
            <w:pPr>
              <w:spacing w:before="100" w:beforeAutospacing="1" w:after="100" w:afterAutospacing="1"/>
              <w:jc w:val="center"/>
            </w:pPr>
            <w:r w:rsidRPr="008A4B76">
              <w:t>2.</w:t>
            </w:r>
          </w:p>
        </w:tc>
        <w:tc>
          <w:tcPr>
            <w:tcW w:w="2769" w:type="dxa"/>
            <w:tcBorders>
              <w:top w:val="outset" w:sz="6" w:space="0" w:color="000000"/>
              <w:left w:val="outset" w:sz="6" w:space="0" w:color="000000"/>
              <w:bottom w:val="outset" w:sz="6" w:space="0" w:color="000000"/>
              <w:right w:val="outset" w:sz="6" w:space="0" w:color="000000"/>
            </w:tcBorders>
          </w:tcPr>
          <w:p w14:paraId="47D08173" w14:textId="77777777" w:rsidR="00A40F6D" w:rsidRPr="008A4B76" w:rsidRDefault="00A40F6D" w:rsidP="00A40F6D">
            <w:pPr>
              <w:spacing w:before="100" w:beforeAutospacing="1" w:after="100" w:afterAutospacing="1"/>
            </w:pPr>
            <w:r w:rsidRPr="008A4B76">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2502F0F8" w14:textId="77777777" w:rsidR="00A40F6D" w:rsidRPr="008A4B76" w:rsidRDefault="00A40F6D" w:rsidP="00A72F68">
            <w:pPr>
              <w:spacing w:before="75" w:after="75"/>
              <w:jc w:val="both"/>
            </w:pPr>
            <w:r w:rsidRPr="008A4B76">
              <w:rPr>
                <w:bCs/>
                <w:color w:val="000000" w:themeColor="text1"/>
              </w:rPr>
              <w:t xml:space="preserve">Sabiedrības līdzdalība </w:t>
            </w:r>
            <w:r w:rsidR="00F10D97" w:rsidRPr="008A4B76">
              <w:rPr>
                <w:bCs/>
                <w:color w:val="000000" w:themeColor="text1"/>
              </w:rPr>
              <w:t>noteikumu projekta izstrādē tik</w:t>
            </w:r>
            <w:r w:rsidR="00A72F68" w:rsidRPr="008A4B76">
              <w:rPr>
                <w:bCs/>
                <w:color w:val="000000" w:themeColor="text1"/>
              </w:rPr>
              <w:t>a</w:t>
            </w:r>
            <w:r w:rsidRPr="008A4B76">
              <w:rPr>
                <w:bCs/>
                <w:color w:val="000000" w:themeColor="text1"/>
              </w:rPr>
              <w:t xml:space="preserve"> nodrošināta, ievietojot noteikumu projektu tīmekļa vietnē</w:t>
            </w:r>
            <w:r w:rsidR="004E14F1" w:rsidRPr="008A4B76">
              <w:rPr>
                <w:bCs/>
                <w:color w:val="000000" w:themeColor="text1"/>
              </w:rPr>
              <w:t xml:space="preserve"> </w:t>
            </w:r>
            <w:r w:rsidR="00A72F68" w:rsidRPr="008A4B76">
              <w:t>http://www.izm.gov.lv/lv/es-strukturfondi/2014-2020/normativo-aktu-un-nosacijumu-projekti/2587-</w:t>
            </w:r>
            <w:r w:rsidR="00A72F68" w:rsidRPr="008A4B76">
              <w:lastRenderedPageBreak/>
              <w:t>sam821noteikumi-sabiedriska-apspriesana</w:t>
            </w:r>
            <w:r w:rsidR="004E14F1" w:rsidRPr="008A4B76">
              <w:rPr>
                <w:bCs/>
                <w:color w:val="000000" w:themeColor="text1"/>
              </w:rPr>
              <w:t xml:space="preserve"> un</w:t>
            </w:r>
            <w:r w:rsidRPr="008A4B76">
              <w:rPr>
                <w:bCs/>
                <w:color w:val="000000" w:themeColor="text1"/>
              </w:rPr>
              <w:t xml:space="preserve"> aicinot sabiedrības pārstāvjus rakstiski sniegt viedokli par noteikumu projektu tā izstrādes stadijā – nosūtot elektroniski uz e-pastu: </w:t>
            </w:r>
            <w:hyperlink r:id="rId9" w:history="1">
              <w:r w:rsidR="00A72F68" w:rsidRPr="008A4B76">
                <w:rPr>
                  <w:rStyle w:val="Hyperlink"/>
                </w:rPr>
                <w:t>esf@izm.gov.lv</w:t>
              </w:r>
            </w:hyperlink>
            <w:r w:rsidR="00A72F68" w:rsidRPr="008A4B76">
              <w:rPr>
                <w:color w:val="000000" w:themeColor="text1"/>
              </w:rPr>
              <w:t xml:space="preserve"> vai </w:t>
            </w:r>
            <w:hyperlink r:id="rId10" w:history="1">
              <w:r w:rsidRPr="008A4B76">
                <w:rPr>
                  <w:color w:val="000000" w:themeColor="text1"/>
                </w:rPr>
                <w:t>pasts@izm.gov.lv</w:t>
              </w:r>
            </w:hyperlink>
            <w:r w:rsidRPr="008A4B76">
              <w:rPr>
                <w:bCs/>
                <w:color w:val="000000" w:themeColor="text1"/>
              </w:rPr>
              <w:t>.</w:t>
            </w:r>
          </w:p>
        </w:tc>
      </w:tr>
      <w:tr w:rsidR="00A40F6D" w:rsidRPr="008A4B76" w14:paraId="11DCA639" w14:textId="77777777" w:rsidTr="00A40F6D">
        <w:tc>
          <w:tcPr>
            <w:tcW w:w="662" w:type="dxa"/>
            <w:tcBorders>
              <w:top w:val="outset" w:sz="6" w:space="0" w:color="000000"/>
              <w:left w:val="outset" w:sz="6" w:space="0" w:color="000000"/>
              <w:bottom w:val="outset" w:sz="6" w:space="0" w:color="000000"/>
              <w:right w:val="outset" w:sz="6" w:space="0" w:color="000000"/>
            </w:tcBorders>
          </w:tcPr>
          <w:p w14:paraId="32189756" w14:textId="77777777" w:rsidR="00A40F6D" w:rsidRPr="008A4B76" w:rsidRDefault="00A40F6D" w:rsidP="00A40F6D">
            <w:pPr>
              <w:spacing w:before="100" w:beforeAutospacing="1" w:after="100" w:afterAutospacing="1"/>
              <w:jc w:val="center"/>
            </w:pPr>
            <w:r w:rsidRPr="008A4B76">
              <w:lastRenderedPageBreak/>
              <w:t>3.</w:t>
            </w:r>
          </w:p>
        </w:tc>
        <w:tc>
          <w:tcPr>
            <w:tcW w:w="2769" w:type="dxa"/>
            <w:tcBorders>
              <w:top w:val="outset" w:sz="6" w:space="0" w:color="000000"/>
              <w:left w:val="outset" w:sz="6" w:space="0" w:color="000000"/>
              <w:bottom w:val="outset" w:sz="6" w:space="0" w:color="000000"/>
              <w:right w:val="outset" w:sz="6" w:space="0" w:color="000000"/>
            </w:tcBorders>
          </w:tcPr>
          <w:p w14:paraId="7472844C" w14:textId="77777777" w:rsidR="00A40F6D" w:rsidRPr="008A4B76" w:rsidRDefault="00A40F6D" w:rsidP="00A40F6D">
            <w:pPr>
              <w:spacing w:before="100" w:beforeAutospacing="1" w:after="100" w:afterAutospacing="1"/>
            </w:pPr>
            <w:r w:rsidRPr="008A4B76">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684A5171" w14:textId="77777777" w:rsidR="00A40F6D" w:rsidRPr="008A4B76" w:rsidRDefault="00A40F6D" w:rsidP="00A40F6D">
            <w:pPr>
              <w:ind w:right="73"/>
              <w:jc w:val="both"/>
              <w:rPr>
                <w:bCs/>
              </w:rPr>
            </w:pPr>
            <w:r w:rsidRPr="008A4B76">
              <w:t xml:space="preserve">Noteikumu </w:t>
            </w:r>
            <w:r w:rsidR="00D00915" w:rsidRPr="008A4B76">
              <w:t>projekt</w:t>
            </w:r>
            <w:r w:rsidR="00A72F68" w:rsidRPr="008A4B76">
              <w:t>s</w:t>
            </w:r>
            <w:r w:rsidR="00DB2C3C" w:rsidRPr="008A4B76">
              <w:t xml:space="preserve"> izsludināt</w:t>
            </w:r>
            <w:r w:rsidR="00A72F68" w:rsidRPr="008A4B76">
              <w:t>s</w:t>
            </w:r>
            <w:r w:rsidR="00DB2C3C" w:rsidRPr="008A4B76">
              <w:t xml:space="preserve"> </w:t>
            </w:r>
            <w:r w:rsidR="00DB2C3C" w:rsidRPr="008A4B76">
              <w:rPr>
                <w:bCs/>
              </w:rPr>
              <w:t xml:space="preserve">Valsts sekretāru sanāksmē </w:t>
            </w:r>
            <w:r w:rsidR="00D00915" w:rsidRPr="008A4B76">
              <w:t>2017</w:t>
            </w:r>
            <w:r w:rsidRPr="008A4B76">
              <w:t>.</w:t>
            </w:r>
            <w:r w:rsidR="00BA0E1E" w:rsidRPr="008A4B76">
              <w:t xml:space="preserve"> </w:t>
            </w:r>
            <w:r w:rsidR="00D00915" w:rsidRPr="008A4B76">
              <w:t xml:space="preserve">gada </w:t>
            </w:r>
            <w:r w:rsidR="00DB2C3C" w:rsidRPr="008A4B76">
              <w:t>28.septembrī</w:t>
            </w:r>
            <w:r w:rsidR="00A72F68" w:rsidRPr="008A4B76">
              <w:rPr>
                <w:bCs/>
              </w:rPr>
              <w:t xml:space="preserve"> (VSS-1030).</w:t>
            </w:r>
            <w:r w:rsidRPr="008A4B76">
              <w:rPr>
                <w:bCs/>
              </w:rPr>
              <w:t xml:space="preserve"> </w:t>
            </w:r>
          </w:p>
          <w:p w14:paraId="06234361" w14:textId="77777777" w:rsidR="00A40F6D" w:rsidRPr="008A4B76" w:rsidRDefault="003D6B1F" w:rsidP="003D6B1F">
            <w:pPr>
              <w:ind w:right="73"/>
              <w:jc w:val="both"/>
              <w:rPr>
                <w:b/>
              </w:rPr>
            </w:pPr>
            <w:r w:rsidRPr="008A4B76">
              <w:t xml:space="preserve">Akadēmiskās informācijas centra, Valsts izglītības satura centra, Latvijas Universitāšu asociācijas un nodibinājuma "Iespējamā misija" </w:t>
            </w:r>
            <w:r w:rsidR="00A40F6D" w:rsidRPr="008A4B76">
              <w:t xml:space="preserve">izteiktie iebildumi un priekšlikumi </w:t>
            </w:r>
            <w:r w:rsidRPr="008A4B76">
              <w:t xml:space="preserve">tika izvērtēti  </w:t>
            </w:r>
            <w:r w:rsidR="0089091D" w:rsidRPr="008A4B76">
              <w:t xml:space="preserve">un </w:t>
            </w:r>
            <w:r w:rsidR="00A40F6D" w:rsidRPr="008A4B76">
              <w:t>iestrādāti noteikumu projektā</w:t>
            </w:r>
            <w:r w:rsidR="00D00915" w:rsidRPr="008A4B76">
              <w:t>.</w:t>
            </w:r>
          </w:p>
        </w:tc>
      </w:tr>
      <w:tr w:rsidR="00A40F6D" w:rsidRPr="008A4B76" w14:paraId="5467543E"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8E1A535" w14:textId="77777777" w:rsidR="00A40F6D" w:rsidRPr="008A4B76" w:rsidRDefault="00A40F6D" w:rsidP="00A40F6D">
            <w:pPr>
              <w:spacing w:before="100" w:beforeAutospacing="1" w:after="100" w:afterAutospacing="1"/>
              <w:jc w:val="center"/>
            </w:pPr>
            <w:r w:rsidRPr="008A4B76">
              <w:t>4.</w:t>
            </w:r>
          </w:p>
        </w:tc>
        <w:tc>
          <w:tcPr>
            <w:tcW w:w="2769" w:type="dxa"/>
            <w:tcBorders>
              <w:top w:val="outset" w:sz="6" w:space="0" w:color="000000"/>
              <w:left w:val="outset" w:sz="6" w:space="0" w:color="000000"/>
              <w:bottom w:val="outset" w:sz="6" w:space="0" w:color="000000"/>
              <w:right w:val="outset" w:sz="6" w:space="0" w:color="000000"/>
            </w:tcBorders>
          </w:tcPr>
          <w:p w14:paraId="638BCD8D" w14:textId="77777777" w:rsidR="00A40F6D" w:rsidRPr="008A4B76" w:rsidRDefault="00A40F6D" w:rsidP="00A40F6D">
            <w:pPr>
              <w:spacing w:before="100" w:beforeAutospacing="1" w:after="100" w:afterAutospacing="1"/>
            </w:pPr>
            <w:r w:rsidRPr="008A4B76">
              <w:t>Cita informācija</w:t>
            </w:r>
          </w:p>
        </w:tc>
        <w:tc>
          <w:tcPr>
            <w:tcW w:w="5783" w:type="dxa"/>
            <w:tcBorders>
              <w:top w:val="outset" w:sz="6" w:space="0" w:color="000000"/>
              <w:left w:val="outset" w:sz="6" w:space="0" w:color="000000"/>
              <w:bottom w:val="outset" w:sz="6" w:space="0" w:color="000000"/>
              <w:right w:val="outset" w:sz="6" w:space="0" w:color="000000"/>
            </w:tcBorders>
          </w:tcPr>
          <w:p w14:paraId="05597843" w14:textId="77777777" w:rsidR="00A40F6D" w:rsidRPr="008A4B76" w:rsidRDefault="00A40F6D" w:rsidP="00A40F6D">
            <w:pPr>
              <w:spacing w:before="100" w:beforeAutospacing="1" w:after="100" w:afterAutospacing="1"/>
              <w:rPr>
                <w:iCs/>
              </w:rPr>
            </w:pPr>
            <w:r w:rsidRPr="008A4B76">
              <w:rPr>
                <w:iCs/>
              </w:rPr>
              <w:t>Nav</w:t>
            </w:r>
            <w:r w:rsidR="00D00915" w:rsidRPr="008A4B76">
              <w:rPr>
                <w:iCs/>
              </w:rPr>
              <w:t>.</w:t>
            </w:r>
          </w:p>
        </w:tc>
      </w:tr>
    </w:tbl>
    <w:p w14:paraId="1B17A751" w14:textId="77777777" w:rsidR="009A72C5" w:rsidRPr="008A4B76"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1"/>
        <w:gridCol w:w="3485"/>
        <w:gridCol w:w="5088"/>
      </w:tblGrid>
      <w:tr w:rsidR="009A72C5" w:rsidRPr="008A4B76" w14:paraId="793D9C6C"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757A8B44" w14:textId="77777777" w:rsidR="009A72C5" w:rsidRPr="008A4B76" w:rsidRDefault="009A72C5" w:rsidP="00DD2EFA">
            <w:pPr>
              <w:pStyle w:val="NormalWeb"/>
              <w:jc w:val="both"/>
              <w:rPr>
                <w:b/>
                <w:bCs/>
              </w:rPr>
            </w:pPr>
            <w:r w:rsidRPr="008A4B76">
              <w:rPr>
                <w:b/>
                <w:bCs/>
              </w:rPr>
              <w:t xml:space="preserve">VII. </w:t>
            </w:r>
            <w:r w:rsidRPr="008A4B76">
              <w:rPr>
                <w:b/>
              </w:rPr>
              <w:t>Tiesību akta projekta izpildes nodrošināšana un tās ietekme uz institūcijām</w:t>
            </w:r>
          </w:p>
        </w:tc>
      </w:tr>
      <w:tr w:rsidR="009A72C5" w:rsidRPr="008A4B76" w14:paraId="626762AE"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BA6CAA7" w14:textId="77777777" w:rsidR="009A72C5" w:rsidRPr="008A4B76" w:rsidRDefault="009A72C5" w:rsidP="00DD2EFA">
            <w:pPr>
              <w:spacing w:before="100" w:beforeAutospacing="1" w:after="100" w:afterAutospacing="1"/>
              <w:jc w:val="center"/>
            </w:pPr>
            <w:r w:rsidRPr="008A4B76">
              <w:t>1.</w:t>
            </w:r>
          </w:p>
        </w:tc>
        <w:tc>
          <w:tcPr>
            <w:tcW w:w="1891" w:type="pct"/>
            <w:tcBorders>
              <w:top w:val="outset" w:sz="6" w:space="0" w:color="000000"/>
              <w:left w:val="outset" w:sz="6" w:space="0" w:color="000000"/>
              <w:bottom w:val="outset" w:sz="6" w:space="0" w:color="000000"/>
              <w:right w:val="outset" w:sz="6" w:space="0" w:color="000000"/>
            </w:tcBorders>
          </w:tcPr>
          <w:p w14:paraId="58B94667" w14:textId="77777777" w:rsidR="009A72C5" w:rsidRPr="008A4B76" w:rsidRDefault="009A72C5" w:rsidP="00DD2EFA">
            <w:pPr>
              <w:spacing w:before="100" w:beforeAutospacing="1" w:after="100" w:afterAutospacing="1"/>
            </w:pPr>
            <w:r w:rsidRPr="008A4B76">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56CEC02C" w14:textId="77777777" w:rsidR="008E22D1" w:rsidRPr="008A4B76" w:rsidRDefault="009A72C5" w:rsidP="008E22D1">
            <w:pPr>
              <w:ind w:right="74"/>
              <w:jc w:val="both"/>
              <w:rPr>
                <w:color w:val="000000" w:themeColor="text1"/>
              </w:rPr>
            </w:pPr>
            <w:r w:rsidRPr="008A4B76">
              <w:rPr>
                <w:color w:val="000000" w:themeColor="text1"/>
              </w:rPr>
              <w:t xml:space="preserve">Atbildīgās iestādes funkcijas pilda </w:t>
            </w:r>
            <w:r w:rsidR="00A20BF7" w:rsidRPr="008A4B76">
              <w:rPr>
                <w:color w:val="000000" w:themeColor="text1"/>
              </w:rPr>
              <w:t>IZM</w:t>
            </w:r>
            <w:r w:rsidRPr="008A4B76">
              <w:rPr>
                <w:color w:val="000000" w:themeColor="text1"/>
              </w:rPr>
              <w:t xml:space="preserve">, sadarbības iestādes funkcijas – Centrālā finanšu un līgumu aģentūra. </w:t>
            </w:r>
          </w:p>
          <w:p w14:paraId="54AF4142" w14:textId="77777777" w:rsidR="00D00915" w:rsidRPr="008A4B76" w:rsidRDefault="008E22D1" w:rsidP="007D18FC">
            <w:pPr>
              <w:ind w:right="74"/>
              <w:jc w:val="both"/>
              <w:rPr>
                <w:color w:val="000000" w:themeColor="text1"/>
              </w:rPr>
            </w:pPr>
            <w:r w:rsidRPr="008A4B76">
              <w:rPr>
                <w:color w:val="000000" w:themeColor="text1"/>
              </w:rPr>
              <w:t xml:space="preserve">Finansējuma saņēmēji ir augstākās izglītības institūcijas, tai skaitā koledžas. Sadarbības partneri ir </w:t>
            </w:r>
            <w:r w:rsidRPr="008A4B76">
              <w:rPr>
                <w:bCs/>
                <w:iCs/>
                <w:color w:val="000000" w:themeColor="text1"/>
              </w:rPr>
              <w:t xml:space="preserve">augstākās izglītības institūcijas, tai skaitā koledžas, </w:t>
            </w:r>
            <w:r w:rsidR="00231F4E" w:rsidRPr="008A4B76">
              <w:rPr>
                <w:color w:val="000000" w:themeColor="text1"/>
              </w:rPr>
              <w:t>z</w:t>
            </w:r>
            <w:r w:rsidRPr="008A4B76">
              <w:rPr>
                <w:color w:val="000000" w:themeColor="text1"/>
              </w:rPr>
              <w:t>inātniskās institūcijas. Sadarbības partneris var būt arī ārvalstu augstākās izglītības institūcija.</w:t>
            </w:r>
          </w:p>
        </w:tc>
      </w:tr>
      <w:tr w:rsidR="009A72C5" w:rsidRPr="008A4B76" w14:paraId="5ABED58A" w14:textId="77777777" w:rsidTr="00DD2EFA">
        <w:tc>
          <w:tcPr>
            <w:tcW w:w="348" w:type="pct"/>
            <w:tcBorders>
              <w:top w:val="outset" w:sz="6" w:space="0" w:color="000000"/>
              <w:left w:val="outset" w:sz="6" w:space="0" w:color="000000"/>
              <w:bottom w:val="outset" w:sz="6" w:space="0" w:color="000000"/>
              <w:right w:val="outset" w:sz="6" w:space="0" w:color="000000"/>
            </w:tcBorders>
          </w:tcPr>
          <w:p w14:paraId="3341A805" w14:textId="77777777" w:rsidR="009A72C5" w:rsidRPr="008A4B76" w:rsidRDefault="009A72C5" w:rsidP="00DD2EFA">
            <w:pPr>
              <w:spacing w:before="100" w:beforeAutospacing="1" w:after="100" w:afterAutospacing="1"/>
              <w:jc w:val="center"/>
            </w:pPr>
            <w:r w:rsidRPr="008A4B76">
              <w:t>2.</w:t>
            </w:r>
          </w:p>
        </w:tc>
        <w:tc>
          <w:tcPr>
            <w:tcW w:w="1891" w:type="pct"/>
            <w:tcBorders>
              <w:top w:val="outset" w:sz="6" w:space="0" w:color="000000"/>
              <w:left w:val="outset" w:sz="6" w:space="0" w:color="000000"/>
              <w:bottom w:val="outset" w:sz="6" w:space="0" w:color="000000"/>
              <w:right w:val="outset" w:sz="6" w:space="0" w:color="000000"/>
            </w:tcBorders>
          </w:tcPr>
          <w:p w14:paraId="78D7967D" w14:textId="77777777" w:rsidR="009A72C5" w:rsidRPr="008A4B76" w:rsidRDefault="009A72C5" w:rsidP="00DD2EFA">
            <w:r w:rsidRPr="008A4B76">
              <w:t xml:space="preserve">Projekta izpildes ietekme uz pārvaldes funkcijām un institucionālo struktūru. </w:t>
            </w:r>
          </w:p>
          <w:p w14:paraId="01B52EFA" w14:textId="77777777" w:rsidR="009A72C5" w:rsidRPr="008A4B76" w:rsidRDefault="009A72C5" w:rsidP="00DD2EFA">
            <w:pPr>
              <w:spacing w:before="100" w:beforeAutospacing="1" w:after="100" w:afterAutospacing="1"/>
            </w:pPr>
            <w:r w:rsidRPr="008A4B76">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1ED7E026" w14:textId="77777777" w:rsidR="009A72C5" w:rsidRPr="008A4B76" w:rsidRDefault="009A72C5" w:rsidP="00DD2EFA">
            <w:pPr>
              <w:spacing w:before="100" w:beforeAutospacing="1" w:after="100" w:afterAutospacing="1"/>
              <w:jc w:val="both"/>
              <w:rPr>
                <w:b/>
                <w:color w:val="000000" w:themeColor="text1"/>
              </w:rPr>
            </w:pPr>
            <w:r w:rsidRPr="008A4B76">
              <w:rPr>
                <w:color w:val="000000" w:themeColor="text1"/>
              </w:rPr>
              <w:t>Noteikumu projekts tiks īstenots esošo institūciju un cilvēkresursu ietvaros.</w:t>
            </w:r>
          </w:p>
        </w:tc>
      </w:tr>
      <w:tr w:rsidR="009A72C5" w:rsidRPr="008A4B76" w14:paraId="174E13CE"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61307C4" w14:textId="77777777" w:rsidR="009A72C5" w:rsidRPr="008A4B76" w:rsidRDefault="009A72C5" w:rsidP="00DD2EFA">
            <w:pPr>
              <w:spacing w:before="100" w:beforeAutospacing="1" w:after="100" w:afterAutospacing="1"/>
              <w:jc w:val="center"/>
            </w:pPr>
            <w:r w:rsidRPr="008A4B76">
              <w:t>3.</w:t>
            </w:r>
          </w:p>
        </w:tc>
        <w:tc>
          <w:tcPr>
            <w:tcW w:w="1891" w:type="pct"/>
            <w:tcBorders>
              <w:top w:val="outset" w:sz="6" w:space="0" w:color="000000"/>
              <w:left w:val="outset" w:sz="6" w:space="0" w:color="000000"/>
              <w:bottom w:val="outset" w:sz="6" w:space="0" w:color="000000"/>
              <w:right w:val="outset" w:sz="6" w:space="0" w:color="000000"/>
            </w:tcBorders>
          </w:tcPr>
          <w:p w14:paraId="031DD4FB" w14:textId="77777777" w:rsidR="009A72C5" w:rsidRPr="008A4B76" w:rsidRDefault="009A72C5" w:rsidP="00DD2EFA">
            <w:pPr>
              <w:spacing w:before="100" w:beforeAutospacing="1" w:after="100" w:afterAutospacing="1"/>
            </w:pPr>
            <w:r w:rsidRPr="008A4B76">
              <w:t>Cita informācija</w:t>
            </w:r>
          </w:p>
        </w:tc>
        <w:tc>
          <w:tcPr>
            <w:tcW w:w="2760" w:type="pct"/>
            <w:tcBorders>
              <w:top w:val="outset" w:sz="6" w:space="0" w:color="000000"/>
              <w:left w:val="outset" w:sz="6" w:space="0" w:color="000000"/>
              <w:bottom w:val="outset" w:sz="6" w:space="0" w:color="000000"/>
              <w:right w:val="outset" w:sz="6" w:space="0" w:color="000000"/>
            </w:tcBorders>
          </w:tcPr>
          <w:p w14:paraId="2A804E71" w14:textId="77777777" w:rsidR="009A72C5" w:rsidRPr="008A4B76" w:rsidRDefault="009A72C5" w:rsidP="00DD2EFA">
            <w:pPr>
              <w:spacing w:before="100" w:beforeAutospacing="1" w:after="100" w:afterAutospacing="1"/>
            </w:pPr>
            <w:r w:rsidRPr="008A4B76">
              <w:t>Nav</w:t>
            </w:r>
            <w:r w:rsidR="00DB2C3C" w:rsidRPr="008A4B76">
              <w:t>.</w:t>
            </w:r>
          </w:p>
        </w:tc>
      </w:tr>
    </w:tbl>
    <w:p w14:paraId="295A8CA5" w14:textId="77777777" w:rsidR="009A72C5" w:rsidRPr="008A4B76" w:rsidRDefault="009A72C5" w:rsidP="009A72C5"/>
    <w:p w14:paraId="11D2625F" w14:textId="77777777" w:rsidR="00231F4E" w:rsidRPr="008A4B76" w:rsidRDefault="00231F4E" w:rsidP="009A72C5"/>
    <w:p w14:paraId="4F14947A" w14:textId="77777777" w:rsidR="009A72C5" w:rsidRPr="008A4B76" w:rsidRDefault="009A72C5" w:rsidP="009A72C5">
      <w:pPr>
        <w:jc w:val="both"/>
      </w:pPr>
      <w:r w:rsidRPr="008A4B76">
        <w:t xml:space="preserve">Izglītības un zinātnes ministrs                       </w:t>
      </w:r>
      <w:r w:rsidR="00155679" w:rsidRPr="008A4B76">
        <w:t xml:space="preserve">                               </w:t>
      </w:r>
      <w:r w:rsidRPr="008A4B76">
        <w:tab/>
      </w:r>
      <w:r w:rsidR="00155679" w:rsidRPr="008A4B76">
        <w:t xml:space="preserve">Kārlis </w:t>
      </w:r>
      <w:r w:rsidRPr="008A4B76">
        <w:t>Šadurskis</w:t>
      </w:r>
    </w:p>
    <w:p w14:paraId="6390EE79" w14:textId="77777777" w:rsidR="009A72C5" w:rsidRPr="008A4B76" w:rsidRDefault="009A72C5" w:rsidP="009A72C5">
      <w:pPr>
        <w:pStyle w:val="naiskr"/>
        <w:tabs>
          <w:tab w:val="left" w:pos="6870"/>
        </w:tabs>
        <w:spacing w:before="0" w:after="0"/>
      </w:pPr>
    </w:p>
    <w:p w14:paraId="4A199636" w14:textId="77777777" w:rsidR="009A72C5" w:rsidRPr="008A4B76" w:rsidRDefault="009A72C5" w:rsidP="009A72C5">
      <w:pPr>
        <w:pStyle w:val="naiskr"/>
        <w:tabs>
          <w:tab w:val="left" w:pos="6870"/>
        </w:tabs>
        <w:spacing w:before="0" w:after="0"/>
      </w:pPr>
    </w:p>
    <w:p w14:paraId="52A471EE" w14:textId="77777777" w:rsidR="009A72C5" w:rsidRPr="008A4B76" w:rsidRDefault="003D68B4" w:rsidP="00497ED0">
      <w:pPr>
        <w:contextualSpacing/>
        <w:jc w:val="both"/>
        <w:rPr>
          <w:sz w:val="20"/>
          <w:szCs w:val="20"/>
        </w:rPr>
      </w:pPr>
      <w:r w:rsidRPr="008A4B76">
        <w:rPr>
          <w:rFonts w:eastAsia="PMingLiU"/>
        </w:rPr>
        <w:t xml:space="preserve">Vizē: </w:t>
      </w:r>
      <w:r w:rsidR="00497ED0" w:rsidRPr="008A4B76">
        <w:rPr>
          <w:rFonts w:eastAsia="PMingLiU"/>
        </w:rPr>
        <w:t>Valsts sekretāre</w:t>
      </w:r>
      <w:r w:rsidR="00497ED0" w:rsidRPr="008A4B76">
        <w:rPr>
          <w:rFonts w:eastAsia="PMingLiU"/>
        </w:rPr>
        <w:tab/>
      </w:r>
      <w:r w:rsidR="00497ED0" w:rsidRPr="008A4B76">
        <w:rPr>
          <w:rFonts w:eastAsia="PMingLiU"/>
        </w:rPr>
        <w:tab/>
      </w:r>
      <w:r w:rsidR="00497ED0" w:rsidRPr="008A4B76">
        <w:rPr>
          <w:rFonts w:eastAsia="PMingLiU"/>
        </w:rPr>
        <w:tab/>
      </w:r>
      <w:r w:rsidRPr="008A4B76">
        <w:rPr>
          <w:rFonts w:eastAsia="PMingLiU"/>
        </w:rPr>
        <w:t xml:space="preserve">                                </w:t>
      </w:r>
      <w:r w:rsidRPr="008A4B76">
        <w:rPr>
          <w:rFonts w:eastAsia="PMingLiU"/>
        </w:rPr>
        <w:tab/>
      </w:r>
      <w:r w:rsidRPr="008A4B76">
        <w:rPr>
          <w:rFonts w:eastAsia="PMingLiU"/>
        </w:rPr>
        <w:tab/>
      </w:r>
      <w:r w:rsidR="00497ED0" w:rsidRPr="008A4B76">
        <w:rPr>
          <w:rFonts w:eastAsia="PMingLiU"/>
        </w:rPr>
        <w:t>Līga Lejiņa</w:t>
      </w:r>
    </w:p>
    <w:p w14:paraId="09B388E9" w14:textId="77777777" w:rsidR="009A72C5" w:rsidRPr="008A4B76" w:rsidRDefault="009A72C5" w:rsidP="009A72C5">
      <w:pPr>
        <w:contextualSpacing/>
        <w:jc w:val="both"/>
        <w:rPr>
          <w:sz w:val="20"/>
          <w:szCs w:val="20"/>
        </w:rPr>
      </w:pPr>
    </w:p>
    <w:p w14:paraId="47981721" w14:textId="77777777" w:rsidR="0097057D" w:rsidRPr="008A4B76" w:rsidRDefault="0097057D" w:rsidP="009A72C5">
      <w:pPr>
        <w:contextualSpacing/>
        <w:jc w:val="both"/>
        <w:rPr>
          <w:sz w:val="20"/>
          <w:szCs w:val="20"/>
        </w:rPr>
      </w:pPr>
    </w:p>
    <w:p w14:paraId="30BC2794" w14:textId="77777777" w:rsidR="0097057D" w:rsidRPr="008A4B76" w:rsidRDefault="0097057D" w:rsidP="009A72C5">
      <w:pPr>
        <w:contextualSpacing/>
        <w:jc w:val="both"/>
        <w:rPr>
          <w:sz w:val="20"/>
          <w:szCs w:val="20"/>
        </w:rPr>
      </w:pPr>
    </w:p>
    <w:p w14:paraId="3D472365" w14:textId="20352963" w:rsidR="009A72C5" w:rsidRPr="008A4B76" w:rsidRDefault="009A72C5" w:rsidP="009A72C5">
      <w:pPr>
        <w:pStyle w:val="Header"/>
        <w:tabs>
          <w:tab w:val="left" w:pos="2340"/>
        </w:tabs>
        <w:rPr>
          <w:sz w:val="20"/>
          <w:szCs w:val="20"/>
        </w:rPr>
      </w:pPr>
      <w:r w:rsidRPr="008A4B76">
        <w:rPr>
          <w:sz w:val="20"/>
          <w:szCs w:val="20"/>
        </w:rPr>
        <w:fldChar w:fldCharType="begin"/>
      </w:r>
      <w:r w:rsidRPr="008A4B76">
        <w:rPr>
          <w:sz w:val="20"/>
          <w:szCs w:val="20"/>
        </w:rPr>
        <w:instrText xml:space="preserve"> DATE  \@ "dd.MM.yyyy H:mm"  \* MERGEFORMAT </w:instrText>
      </w:r>
      <w:r w:rsidRPr="008A4B76">
        <w:rPr>
          <w:sz w:val="20"/>
          <w:szCs w:val="20"/>
        </w:rPr>
        <w:fldChar w:fldCharType="separate"/>
      </w:r>
      <w:r w:rsidR="00A5558A">
        <w:rPr>
          <w:noProof/>
          <w:sz w:val="20"/>
          <w:szCs w:val="20"/>
        </w:rPr>
        <w:t>13.12.2017 16:46</w:t>
      </w:r>
      <w:r w:rsidRPr="008A4B76">
        <w:rPr>
          <w:sz w:val="20"/>
          <w:szCs w:val="20"/>
        </w:rPr>
        <w:fldChar w:fldCharType="end"/>
      </w:r>
      <w:bookmarkStart w:id="1" w:name="_GoBack"/>
      <w:bookmarkEnd w:id="1"/>
    </w:p>
    <w:p w14:paraId="6D25B03B" w14:textId="3281891E" w:rsidR="00593077" w:rsidRPr="008A4B76" w:rsidRDefault="002709C2" w:rsidP="00593077">
      <w:pPr>
        <w:spacing w:line="252" w:lineRule="auto"/>
        <w:rPr>
          <w:sz w:val="20"/>
          <w:szCs w:val="20"/>
        </w:rPr>
      </w:pPr>
      <w:r>
        <w:rPr>
          <w:sz w:val="20"/>
          <w:szCs w:val="20"/>
        </w:rPr>
        <w:t>10145</w:t>
      </w:r>
    </w:p>
    <w:p w14:paraId="59E6BFC4" w14:textId="77777777" w:rsidR="009A72C5" w:rsidRPr="008A4B76" w:rsidRDefault="00B31A3B" w:rsidP="009A72C5">
      <w:pPr>
        <w:pStyle w:val="Header"/>
        <w:tabs>
          <w:tab w:val="left" w:pos="2340"/>
        </w:tabs>
        <w:rPr>
          <w:sz w:val="20"/>
          <w:szCs w:val="20"/>
        </w:rPr>
      </w:pPr>
      <w:proofErr w:type="spellStart"/>
      <w:r w:rsidRPr="008A4B76">
        <w:rPr>
          <w:sz w:val="20"/>
          <w:szCs w:val="20"/>
        </w:rPr>
        <w:t>I.Kalva</w:t>
      </w:r>
      <w:proofErr w:type="spellEnd"/>
      <w:r w:rsidR="009A72C5" w:rsidRPr="008A4B76">
        <w:rPr>
          <w:sz w:val="20"/>
          <w:szCs w:val="20"/>
        </w:rPr>
        <w:t xml:space="preserve">, </w:t>
      </w:r>
    </w:p>
    <w:p w14:paraId="0457B79F" w14:textId="77777777" w:rsidR="009A72C5" w:rsidRPr="008A4B76" w:rsidRDefault="009A72C5" w:rsidP="009A72C5">
      <w:pPr>
        <w:jc w:val="both"/>
        <w:rPr>
          <w:sz w:val="20"/>
          <w:szCs w:val="20"/>
        </w:rPr>
      </w:pPr>
      <w:r w:rsidRPr="008A4B76">
        <w:rPr>
          <w:sz w:val="20"/>
          <w:szCs w:val="20"/>
        </w:rPr>
        <w:t>Izglītības un zinātnes ministrijas</w:t>
      </w:r>
    </w:p>
    <w:p w14:paraId="342BF414" w14:textId="77777777" w:rsidR="009A72C5" w:rsidRPr="008A4B76" w:rsidRDefault="009A72C5" w:rsidP="009A72C5">
      <w:pPr>
        <w:jc w:val="both"/>
        <w:rPr>
          <w:sz w:val="20"/>
          <w:szCs w:val="20"/>
        </w:rPr>
      </w:pPr>
      <w:r w:rsidRPr="008A4B76">
        <w:rPr>
          <w:sz w:val="20"/>
          <w:szCs w:val="20"/>
        </w:rPr>
        <w:t>Struktūrfondu departamenta</w:t>
      </w:r>
    </w:p>
    <w:p w14:paraId="153F6847" w14:textId="77777777" w:rsidR="009A72C5" w:rsidRPr="008A4B76" w:rsidRDefault="009A72C5" w:rsidP="009A72C5">
      <w:pPr>
        <w:jc w:val="both"/>
        <w:rPr>
          <w:sz w:val="20"/>
          <w:szCs w:val="20"/>
        </w:rPr>
      </w:pPr>
      <w:r w:rsidRPr="008A4B76">
        <w:rPr>
          <w:sz w:val="20"/>
          <w:szCs w:val="20"/>
        </w:rPr>
        <w:lastRenderedPageBreak/>
        <w:t xml:space="preserve">vecākā </w:t>
      </w:r>
      <w:r w:rsidR="00B31A3B" w:rsidRPr="008A4B76">
        <w:rPr>
          <w:sz w:val="20"/>
          <w:szCs w:val="20"/>
        </w:rPr>
        <w:t>eksperte</w:t>
      </w:r>
      <w:r w:rsidRPr="008A4B76">
        <w:rPr>
          <w:sz w:val="20"/>
          <w:szCs w:val="20"/>
        </w:rPr>
        <w:t xml:space="preserve"> </w:t>
      </w:r>
    </w:p>
    <w:p w14:paraId="3C902A6F" w14:textId="77777777" w:rsidR="009A72C5" w:rsidRPr="008A4B76" w:rsidRDefault="009A72C5" w:rsidP="009A72C5">
      <w:pPr>
        <w:jc w:val="both"/>
        <w:rPr>
          <w:sz w:val="20"/>
          <w:szCs w:val="20"/>
        </w:rPr>
      </w:pPr>
      <w:r w:rsidRPr="008A4B76">
        <w:rPr>
          <w:sz w:val="20"/>
          <w:szCs w:val="20"/>
        </w:rPr>
        <w:t>tālr.: 67047</w:t>
      </w:r>
      <w:r w:rsidR="00B31A3B" w:rsidRPr="008A4B76">
        <w:rPr>
          <w:sz w:val="20"/>
          <w:szCs w:val="20"/>
        </w:rPr>
        <w:t>941</w:t>
      </w:r>
    </w:p>
    <w:p w14:paraId="01B8B879" w14:textId="77777777" w:rsidR="00B31A3B" w:rsidRPr="008A4B76" w:rsidRDefault="009A72C5" w:rsidP="009A72C5">
      <w:pPr>
        <w:tabs>
          <w:tab w:val="left" w:pos="927"/>
        </w:tabs>
        <w:rPr>
          <w:sz w:val="20"/>
          <w:szCs w:val="20"/>
        </w:rPr>
      </w:pPr>
      <w:r w:rsidRPr="008A4B76">
        <w:rPr>
          <w:sz w:val="20"/>
          <w:szCs w:val="20"/>
        </w:rPr>
        <w:t xml:space="preserve">e-pasts: </w:t>
      </w:r>
      <w:hyperlink r:id="rId11" w:history="1">
        <w:r w:rsidR="00B31A3B" w:rsidRPr="008A4B76">
          <w:rPr>
            <w:rStyle w:val="Hyperlink"/>
            <w:sz w:val="20"/>
            <w:szCs w:val="20"/>
          </w:rPr>
          <w:t>Inese.Kalva@izm.gov.lv</w:t>
        </w:r>
      </w:hyperlink>
    </w:p>
    <w:p w14:paraId="2689ACC3" w14:textId="77777777" w:rsidR="009A72C5" w:rsidRPr="008A4B76" w:rsidRDefault="009A72C5" w:rsidP="009A72C5">
      <w:pPr>
        <w:tabs>
          <w:tab w:val="left" w:pos="927"/>
        </w:tabs>
        <w:rPr>
          <w:sz w:val="20"/>
          <w:szCs w:val="20"/>
        </w:rPr>
      </w:pPr>
    </w:p>
    <w:p w14:paraId="0AB56E2A" w14:textId="77777777" w:rsidR="009A72C5" w:rsidRPr="008A4B76" w:rsidRDefault="00B31A3B" w:rsidP="009A72C5">
      <w:pPr>
        <w:pStyle w:val="Header"/>
        <w:tabs>
          <w:tab w:val="left" w:pos="2340"/>
        </w:tabs>
        <w:rPr>
          <w:sz w:val="20"/>
          <w:szCs w:val="20"/>
        </w:rPr>
      </w:pPr>
      <w:proofErr w:type="spellStart"/>
      <w:r w:rsidRPr="008A4B76">
        <w:rPr>
          <w:sz w:val="20"/>
          <w:szCs w:val="20"/>
        </w:rPr>
        <w:t>V.Abizāre</w:t>
      </w:r>
      <w:proofErr w:type="spellEnd"/>
      <w:r w:rsidRPr="008A4B76">
        <w:rPr>
          <w:sz w:val="20"/>
          <w:szCs w:val="20"/>
        </w:rPr>
        <w:t xml:space="preserve"> - </w:t>
      </w:r>
      <w:proofErr w:type="spellStart"/>
      <w:r w:rsidRPr="008A4B76">
        <w:rPr>
          <w:sz w:val="20"/>
          <w:szCs w:val="20"/>
        </w:rPr>
        <w:t>Vagre</w:t>
      </w:r>
      <w:proofErr w:type="spellEnd"/>
      <w:r w:rsidR="009A72C5" w:rsidRPr="008A4B76">
        <w:rPr>
          <w:sz w:val="20"/>
          <w:szCs w:val="20"/>
        </w:rPr>
        <w:t xml:space="preserve">, </w:t>
      </w:r>
    </w:p>
    <w:p w14:paraId="6D500A03" w14:textId="77777777" w:rsidR="009A72C5" w:rsidRPr="008A4B76" w:rsidRDefault="009A72C5" w:rsidP="009A72C5">
      <w:pPr>
        <w:jc w:val="both"/>
        <w:rPr>
          <w:sz w:val="20"/>
          <w:szCs w:val="20"/>
        </w:rPr>
      </w:pPr>
      <w:r w:rsidRPr="008A4B76">
        <w:rPr>
          <w:sz w:val="20"/>
          <w:szCs w:val="20"/>
        </w:rPr>
        <w:t>Izglītības un zinātnes ministrijas</w:t>
      </w:r>
    </w:p>
    <w:p w14:paraId="329CFD3E" w14:textId="77777777" w:rsidR="009A72C5" w:rsidRPr="008A4B76" w:rsidRDefault="009A72C5" w:rsidP="009A72C5">
      <w:pPr>
        <w:jc w:val="both"/>
        <w:rPr>
          <w:sz w:val="20"/>
          <w:szCs w:val="20"/>
        </w:rPr>
      </w:pPr>
      <w:r w:rsidRPr="008A4B76">
        <w:rPr>
          <w:sz w:val="20"/>
          <w:szCs w:val="20"/>
        </w:rPr>
        <w:t>Struktūrfondu departamenta</w:t>
      </w:r>
    </w:p>
    <w:p w14:paraId="4BABF995" w14:textId="77777777" w:rsidR="009A72C5" w:rsidRPr="008A4B76" w:rsidRDefault="009A72C5" w:rsidP="009A72C5">
      <w:pPr>
        <w:jc w:val="both"/>
        <w:rPr>
          <w:sz w:val="20"/>
          <w:szCs w:val="20"/>
        </w:rPr>
      </w:pPr>
      <w:r w:rsidRPr="008A4B76">
        <w:rPr>
          <w:sz w:val="20"/>
          <w:szCs w:val="20"/>
        </w:rPr>
        <w:t xml:space="preserve">vecākā </w:t>
      </w:r>
      <w:r w:rsidR="00B31A3B" w:rsidRPr="008A4B76">
        <w:rPr>
          <w:sz w:val="20"/>
          <w:szCs w:val="20"/>
        </w:rPr>
        <w:t>referente</w:t>
      </w:r>
      <w:r w:rsidRPr="008A4B76">
        <w:rPr>
          <w:sz w:val="20"/>
          <w:szCs w:val="20"/>
        </w:rPr>
        <w:t xml:space="preserve"> </w:t>
      </w:r>
    </w:p>
    <w:p w14:paraId="1F929C9A" w14:textId="77777777" w:rsidR="009A72C5" w:rsidRPr="008A4B76" w:rsidRDefault="009A72C5" w:rsidP="009A72C5">
      <w:pPr>
        <w:jc w:val="both"/>
        <w:rPr>
          <w:sz w:val="20"/>
          <w:szCs w:val="20"/>
        </w:rPr>
      </w:pPr>
      <w:r w:rsidRPr="008A4B76">
        <w:rPr>
          <w:sz w:val="20"/>
          <w:szCs w:val="20"/>
        </w:rPr>
        <w:t>tālr.: 6704786</w:t>
      </w:r>
      <w:r w:rsidR="00B31A3B" w:rsidRPr="008A4B76">
        <w:rPr>
          <w:sz w:val="20"/>
          <w:szCs w:val="20"/>
        </w:rPr>
        <w:t>4</w:t>
      </w:r>
    </w:p>
    <w:p w14:paraId="568E80C2" w14:textId="77777777" w:rsidR="009A72C5" w:rsidRPr="00E638A8" w:rsidRDefault="009A72C5" w:rsidP="009A72C5">
      <w:pPr>
        <w:tabs>
          <w:tab w:val="left" w:pos="927"/>
        </w:tabs>
      </w:pPr>
      <w:r w:rsidRPr="008A4B76">
        <w:rPr>
          <w:sz w:val="20"/>
          <w:szCs w:val="20"/>
        </w:rPr>
        <w:t xml:space="preserve">e-pasts: </w:t>
      </w:r>
      <w:hyperlink r:id="rId12" w:history="1">
        <w:r w:rsidR="00B31A3B" w:rsidRPr="008A4B76">
          <w:rPr>
            <w:rStyle w:val="Hyperlink"/>
            <w:sz w:val="20"/>
            <w:szCs w:val="20"/>
          </w:rPr>
          <w:t>Vesma.Abizare-Vagre@izm.gov.lv</w:t>
        </w:r>
      </w:hyperlink>
    </w:p>
    <w:p w14:paraId="33EE70E3" w14:textId="6E3EB62B" w:rsidR="00B075D9" w:rsidRDefault="00B075D9"/>
    <w:sectPr w:rsidR="00B075D9" w:rsidSect="00DD2EFA">
      <w:headerReference w:type="even" r:id="rId13"/>
      <w:headerReference w:type="default" r:id="rId14"/>
      <w:footerReference w:type="default" r:id="rId15"/>
      <w:footerReference w:type="first" r:id="rId16"/>
      <w:pgSz w:w="11906" w:h="16838"/>
      <w:pgMar w:top="1418" w:right="1416" w:bottom="851" w:left="1843" w:header="709" w:footer="9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A948" w14:textId="77777777" w:rsidR="002E446C" w:rsidRDefault="002E446C" w:rsidP="009A72C5">
      <w:r>
        <w:separator/>
      </w:r>
    </w:p>
  </w:endnote>
  <w:endnote w:type="continuationSeparator" w:id="0">
    <w:p w14:paraId="34284383" w14:textId="77777777" w:rsidR="002E446C" w:rsidRDefault="002E446C" w:rsidP="009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2BA7" w14:textId="721B8CC5" w:rsidR="002E446C" w:rsidRPr="00510A0C" w:rsidRDefault="002E446C" w:rsidP="00DD2EFA">
    <w:pPr>
      <w:jc w:val="both"/>
      <w:rPr>
        <w:sz w:val="20"/>
        <w:szCs w:val="20"/>
      </w:rPr>
    </w:pPr>
    <w:r w:rsidRPr="00510A0C">
      <w:rPr>
        <w:sz w:val="20"/>
        <w:szCs w:val="20"/>
      </w:rPr>
      <w:t>IZMAnot_</w:t>
    </w:r>
    <w:r>
      <w:rPr>
        <w:sz w:val="20"/>
        <w:szCs w:val="20"/>
      </w:rPr>
      <w:t>131217_SAM821</w:t>
    </w:r>
    <w:r w:rsidRPr="00510A0C">
      <w:rPr>
        <w:sz w:val="20"/>
        <w:szCs w:val="20"/>
      </w:rPr>
      <w:t>; Ministru kabineta noteikumu projekta „</w:t>
    </w:r>
    <w:r w:rsidRPr="005651E9">
      <w:rPr>
        <w:sz w:val="20"/>
        <w:szCs w:val="20"/>
      </w:rPr>
      <w:t>Darbības programmas „Izaugsme un nodarbinātība”</w:t>
    </w:r>
    <w:r>
      <w:rPr>
        <w:sz w:val="20"/>
        <w:szCs w:val="20"/>
      </w:rPr>
      <w:t xml:space="preserve"> </w:t>
    </w:r>
    <w:r w:rsidRPr="00B606F8">
      <w:rPr>
        <w:sz w:val="20"/>
        <w:szCs w:val="20"/>
      </w:rPr>
      <w:t xml:space="preserve">8.2.1. specifiskā atbalsta mērķa „Samazināt studiju programmu fragmentāciju un stiprināt resursu koplietošanu” </w:t>
    </w:r>
    <w:r w:rsidRPr="00780384">
      <w:rPr>
        <w:sz w:val="20"/>
        <w:szCs w:val="20"/>
      </w:rPr>
      <w:t xml:space="preserve">pirmās un otrās projektu iesniegumu atlases kārtas </w:t>
    </w:r>
    <w:r w:rsidRPr="00B606F8">
      <w:rPr>
        <w:sz w:val="20"/>
        <w:szCs w:val="20"/>
      </w:rPr>
      <w:t>īstenošanas noteikumi”</w:t>
    </w:r>
    <w:r w:rsidRPr="005651E9">
      <w:rPr>
        <w:sz w:val="20"/>
        <w:szCs w:val="20"/>
      </w:rPr>
      <w:t xml:space="preserve"> sākotnējās</w:t>
    </w:r>
    <w:r w:rsidRPr="00510A0C">
      <w:rPr>
        <w:sz w:val="20"/>
        <w:szCs w:val="20"/>
      </w:rPr>
      <w:t xml:space="preserve"> ietekmes novērtējuma ziņojums (anotācija)</w:t>
    </w:r>
  </w:p>
  <w:p w14:paraId="206C8009" w14:textId="77777777" w:rsidR="002E446C" w:rsidRPr="00B554E7" w:rsidRDefault="002E446C" w:rsidP="00DD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892F" w14:textId="2B579451" w:rsidR="002E446C" w:rsidRPr="00510A0C" w:rsidRDefault="002E446C" w:rsidP="00DD2EFA">
    <w:pPr>
      <w:jc w:val="both"/>
      <w:rPr>
        <w:sz w:val="20"/>
        <w:szCs w:val="20"/>
      </w:rPr>
    </w:pPr>
    <w:r w:rsidRPr="00B606F8">
      <w:rPr>
        <w:sz w:val="20"/>
        <w:szCs w:val="20"/>
      </w:rPr>
      <w:t>IZMAnot_</w:t>
    </w:r>
    <w:r>
      <w:rPr>
        <w:sz w:val="20"/>
        <w:szCs w:val="20"/>
      </w:rPr>
      <w:t>131217_SAM</w:t>
    </w:r>
    <w:r w:rsidRPr="00B606F8">
      <w:rPr>
        <w:sz w:val="20"/>
        <w:szCs w:val="20"/>
      </w:rPr>
      <w:t xml:space="preserve">821; Ministru kabineta noteikumu projekta „Darbības programmas „Izaugsme un nodarbinātība” 8.2.1. specifiskā atbalsta mērķa „Samazināt studiju programmu fragmentāciju un stiprināt resursu koplietošanu” </w:t>
    </w:r>
    <w:r w:rsidRPr="00780384">
      <w:rPr>
        <w:sz w:val="20"/>
        <w:szCs w:val="20"/>
      </w:rPr>
      <w:t xml:space="preserve">pirmās un otrās projektu iesniegumu atlases kārtas </w:t>
    </w:r>
    <w:r w:rsidRPr="00B606F8">
      <w:rPr>
        <w:sz w:val="20"/>
        <w:szCs w:val="20"/>
      </w:rPr>
      <w:t>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8935" w14:textId="77777777" w:rsidR="002E446C" w:rsidRDefault="002E446C" w:rsidP="009A72C5">
      <w:r>
        <w:separator/>
      </w:r>
    </w:p>
  </w:footnote>
  <w:footnote w:type="continuationSeparator" w:id="0">
    <w:p w14:paraId="7A66BD8C" w14:textId="77777777" w:rsidR="002E446C" w:rsidRDefault="002E446C" w:rsidP="009A72C5">
      <w:r>
        <w:continuationSeparator/>
      </w:r>
    </w:p>
  </w:footnote>
  <w:footnote w:id="1">
    <w:p w14:paraId="073181E9" w14:textId="086FAF78" w:rsidR="002E446C" w:rsidRPr="008A4B76" w:rsidRDefault="002E446C" w:rsidP="00577D67">
      <w:pPr>
        <w:pStyle w:val="FootnoteText"/>
        <w:rPr>
          <w:sz w:val="18"/>
          <w:szCs w:val="18"/>
        </w:rPr>
      </w:pPr>
      <w:r>
        <w:rPr>
          <w:rStyle w:val="FootnoteReference"/>
        </w:rPr>
        <w:footnoteRef/>
      </w:r>
      <w:r>
        <w:t xml:space="preserve"> </w:t>
      </w:r>
      <w:r w:rsidRPr="008A4B76">
        <w:rPr>
          <w:sz w:val="18"/>
          <w:szCs w:val="18"/>
        </w:rPr>
        <w:t>(1) Latvijas Nacionālajā attīstības plāna 2014 – 2020 rīcības virzienā "Attīstīta pētniecība, inovācija un augstākā izglītība" viens no veicamajiem uzdevumiem [189] paredz augstākās izglītības eksporta atbalsta pasākumus (izcilu programmu apvienošana un vienoto programmu izveide citās ES valodās vismaz 10 studiju virzienos, programmu starptautiskā publicitāte un ārvalstu studentu atbalsta punktu attīstība, ārvalstu pasniedzēju piesaiste).</w:t>
      </w:r>
    </w:p>
    <w:p w14:paraId="7A7F8073" w14:textId="3551A466" w:rsidR="002E446C" w:rsidRPr="008A4B76" w:rsidRDefault="002E446C" w:rsidP="00577D67">
      <w:pPr>
        <w:pStyle w:val="FootnoteText"/>
        <w:rPr>
          <w:sz w:val="18"/>
          <w:szCs w:val="18"/>
        </w:rPr>
      </w:pPr>
      <w:r w:rsidRPr="008A4B76">
        <w:rPr>
          <w:sz w:val="18"/>
          <w:szCs w:val="18"/>
        </w:rPr>
        <w:t>(2) Augstākās izglītības internacionalizācija ir noteikta ES Padomes ieteikumā par Latvijas 2013. gada valsts reformu programmu un ar ko sniedz Padomes atzinumu par Latvijas konverģences programmu 2012. – 2016.gadam.</w:t>
      </w:r>
    </w:p>
    <w:p w14:paraId="14B28795" w14:textId="111A0F3F" w:rsidR="002E446C" w:rsidRPr="008A4B76" w:rsidRDefault="002E446C" w:rsidP="00577D67">
      <w:pPr>
        <w:pStyle w:val="FootnoteText"/>
        <w:rPr>
          <w:sz w:val="18"/>
          <w:szCs w:val="18"/>
        </w:rPr>
      </w:pPr>
      <w:r w:rsidRPr="008A4B76">
        <w:rPr>
          <w:sz w:val="18"/>
          <w:szCs w:val="18"/>
        </w:rPr>
        <w:t>(3) Izglītības attīstības pamatnostādnēs 2014 – 2020 kā nozares politikas prioritāte ir noteikta starptautiskās konkurētspējas nodrošināšana.</w:t>
      </w:r>
    </w:p>
    <w:p w14:paraId="67868CA8" w14:textId="64D34D0A" w:rsidR="002E446C" w:rsidRPr="008A4B76" w:rsidRDefault="002E446C" w:rsidP="00577D67">
      <w:pPr>
        <w:pStyle w:val="FootnoteText"/>
        <w:rPr>
          <w:sz w:val="18"/>
          <w:szCs w:val="18"/>
        </w:rPr>
      </w:pPr>
      <w:r w:rsidRPr="008A4B76">
        <w:rPr>
          <w:sz w:val="18"/>
          <w:szCs w:val="18"/>
        </w:rPr>
        <w:t xml:space="preserve">(4) Latvijas Viedās specializācijas stratēģija (RIS3) paredz izglītības modernizāciju ar mērķi sekmēt tautsaimniecības transformāciju uz augstāku pievienoto vērtību, sekmējot izaugsmi gan tradicionālajās tautsaimniecības nozarēs, gan nozarēs ar augstu nākotnes izaugsmes potenciālu un nozarēs ar nozīmīgu horizontālu ietekmi. RIS3 mērķu sasniegšanai ir nepieciešams </w:t>
      </w:r>
      <w:proofErr w:type="spellStart"/>
      <w:r w:rsidRPr="008A4B76">
        <w:rPr>
          <w:sz w:val="18"/>
          <w:szCs w:val="18"/>
        </w:rPr>
        <w:t>cilvēkkapitāls</w:t>
      </w:r>
      <w:proofErr w:type="spellEnd"/>
      <w:r w:rsidRPr="008A4B76">
        <w:rPr>
          <w:sz w:val="18"/>
          <w:szCs w:val="18"/>
        </w:rPr>
        <w:t xml:space="preserve">, kas nodrošinās izaugsmi nozarēs, kurās eksistē vai ir iespējams radīt produktus un pakalpojumus ar augstu pievienoto vērtību, nozarēs ar nozīmīgu horizontālo ietekmi un ieguldījumu tautsaimniecības transformācijā, kā arī būs nepieciešams </w:t>
      </w:r>
      <w:proofErr w:type="spellStart"/>
      <w:r w:rsidRPr="008A4B76">
        <w:rPr>
          <w:sz w:val="18"/>
          <w:szCs w:val="18"/>
        </w:rPr>
        <w:t>cilvēkkapitāls</w:t>
      </w:r>
      <w:proofErr w:type="spellEnd"/>
      <w:r w:rsidRPr="008A4B76">
        <w:rPr>
          <w:sz w:val="18"/>
          <w:szCs w:val="18"/>
        </w:rPr>
        <w:t xml:space="preserve">, kas mainīs ražošanas un eksporta struktūras tradicionālajās tautsaimniecības nozarēs. 8.2.1. SAM īstenošana atbilst RIS3 5. un 6.prioritātei (5.prioritāte: Moderna un nākotnes darba tirgus prasībām atbilstoša izglītības sistēma, kas veicina tautsaimniecības transformāciju un VSS prioritāšu īstenošanai nepieciešamo kompetenču, </w:t>
      </w:r>
      <w:proofErr w:type="spellStart"/>
      <w:r w:rsidRPr="008A4B76">
        <w:rPr>
          <w:sz w:val="18"/>
          <w:szCs w:val="18"/>
        </w:rPr>
        <w:t>uzņēmējspējas</w:t>
      </w:r>
      <w:proofErr w:type="spellEnd"/>
      <w:r w:rsidRPr="008A4B76">
        <w:rPr>
          <w:sz w:val="18"/>
          <w:szCs w:val="18"/>
        </w:rPr>
        <w:t xml:space="preserve"> un radošuma attīstību visos izglītības līmeņos; 6.prioritāte: Attīstīta zināšanu bāze un </w:t>
      </w:r>
      <w:proofErr w:type="spellStart"/>
      <w:r w:rsidRPr="008A4B76">
        <w:rPr>
          <w:sz w:val="18"/>
          <w:szCs w:val="18"/>
        </w:rPr>
        <w:t>cilvēkkapitāls</w:t>
      </w:r>
      <w:proofErr w:type="spellEnd"/>
      <w:r w:rsidRPr="008A4B76">
        <w:rPr>
          <w:sz w:val="18"/>
          <w:szCs w:val="18"/>
        </w:rPr>
        <w:t xml:space="preserve"> zināšanu jomās, kurās Latvijai ir salīdzinošās priekšrocības un kas ir nozīmīgas tautsaimniecības transformācijas procesā).</w:t>
      </w:r>
    </w:p>
  </w:footnote>
  <w:footnote w:id="2">
    <w:p w14:paraId="56C9F990" w14:textId="77777777" w:rsidR="002E446C" w:rsidRPr="008A4B76" w:rsidRDefault="002E446C" w:rsidP="00086948">
      <w:pPr>
        <w:pStyle w:val="FootnoteText"/>
      </w:pPr>
      <w:r w:rsidRPr="008A4B76">
        <w:rPr>
          <w:rStyle w:val="FootnoteReference"/>
        </w:rPr>
        <w:footnoteRef/>
      </w:r>
      <w:r w:rsidRPr="008A4B76">
        <w:t xml:space="preserve"> </w:t>
      </w:r>
      <w:r w:rsidRPr="008A4B76">
        <w:rPr>
          <w:sz w:val="18"/>
          <w:szCs w:val="18"/>
        </w:rPr>
        <w:t>http://polsis.mk.gov.lv/view.do?id=4608</w:t>
      </w:r>
    </w:p>
  </w:footnote>
  <w:footnote w:id="3">
    <w:p w14:paraId="4EA5B27B" w14:textId="77777777" w:rsidR="002E446C" w:rsidRPr="008A4B76" w:rsidRDefault="002E446C">
      <w:pPr>
        <w:pStyle w:val="FootnoteText"/>
        <w:rPr>
          <w:sz w:val="18"/>
          <w:szCs w:val="18"/>
        </w:rPr>
      </w:pPr>
      <w:r w:rsidRPr="008A4B76">
        <w:rPr>
          <w:rStyle w:val="FootnoteReference"/>
        </w:rPr>
        <w:footnoteRef/>
      </w:r>
      <w:r w:rsidRPr="008A4B76">
        <w:t xml:space="preserve"> </w:t>
      </w:r>
      <w:r w:rsidRPr="008A4B76">
        <w:rPr>
          <w:sz w:val="18"/>
          <w:szCs w:val="18"/>
        </w:rPr>
        <w:t>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 (pieejams – www.aip.lv/getfile-pdf.php?art=Projekta%20gala%20ZINOJUMS_13_05_2013)</w:t>
      </w:r>
    </w:p>
  </w:footnote>
  <w:footnote w:id="4">
    <w:p w14:paraId="701C418B" w14:textId="5A122E4E" w:rsidR="002E446C" w:rsidRPr="008A4B76" w:rsidRDefault="002E446C">
      <w:pPr>
        <w:pStyle w:val="FootnoteText"/>
        <w:rPr>
          <w:sz w:val="18"/>
          <w:szCs w:val="18"/>
        </w:rPr>
      </w:pPr>
      <w:r w:rsidRPr="008A4B76">
        <w:rPr>
          <w:rStyle w:val="FootnoteReference"/>
        </w:rPr>
        <w:footnoteRef/>
      </w:r>
      <w:r w:rsidRPr="008A4B76">
        <w:t xml:space="preserve"> </w:t>
      </w:r>
      <w:r w:rsidRPr="008A4B76">
        <w:rPr>
          <w:sz w:val="18"/>
          <w:szCs w:val="18"/>
        </w:rPr>
        <w:t xml:space="preserve">Saskaņā ar Eiropas Savienības struktūrfondu un Kohēzijas fonda Ikgadējo izvērtēšanas plānu 2016. gadam tika veikts Latvijas Republikas Finanšu ministrijas (turpmāk – FM) iepirkums “Eiropas Savienības struktūrfondu un Kohēzijas fonda 2014.– 2020. gada plānošanas perioda darbības programmas „Izaugsme un nodarbinātība” 8.2.1. specifiskā atbalsta mērķa “Samazināt studiju programmu fragmentāciju un stiprināt resursu koplietošanu” paplašinātā sākotnējā novērtējuma izstrāde”, kura rezultātā SIA „Jaunrades laboratorija” laika posmā no 2017.gada 2. marta līdz 2017.gada 12.jūlijam veica pētījumu, pamatojoties uz IZM identificētu vajadzību veikt padziļinātu analīzi studiju programmu fragmentācijas novērtēšanai. Pētījuma rezultātā tika  izstrādāts 8.2.1. SAM paplašinātā sākotnējā novērtējuma ziņojums (pieejams: </w:t>
      </w:r>
      <w:hyperlink r:id="rId1" w:history="1">
        <w:r w:rsidRPr="008A4B76">
          <w:rPr>
            <w:rStyle w:val="Hyperlink"/>
            <w:sz w:val="18"/>
            <w:szCs w:val="18"/>
          </w:rPr>
          <w:t>http://www.esfondi.lv/izvertejumi-1</w:t>
        </w:r>
      </w:hyperlink>
      <w:r w:rsidRPr="008A4B76">
        <w:rPr>
          <w:sz w:val="18"/>
          <w:szCs w:val="18"/>
        </w:rPr>
        <w:t xml:space="preserve">). </w:t>
      </w:r>
    </w:p>
  </w:footnote>
  <w:footnote w:id="5">
    <w:p w14:paraId="21F6434C" w14:textId="735F1C13" w:rsidR="002E446C" w:rsidRPr="008A4B76" w:rsidRDefault="002E446C">
      <w:pPr>
        <w:pStyle w:val="FootnoteText"/>
      </w:pPr>
      <w:r w:rsidRPr="008A4B76">
        <w:rPr>
          <w:rStyle w:val="FootnoteReference"/>
        </w:rPr>
        <w:footnoteRef/>
      </w:r>
      <w:r w:rsidRPr="008A4B76">
        <w:t xml:space="preserve"> </w:t>
      </w:r>
      <w:r w:rsidRPr="008A4B76">
        <w:rPr>
          <w:sz w:val="18"/>
          <w:szCs w:val="18"/>
        </w:rPr>
        <w:t>Vairākās augstskolās grūtības vēl arvien sagādā vietējo mācībspēku svešvalodu prasmes, kā arī kā neizmantots resurss ir Latvijas valsts piederīgo, kas studējuši ārvalstīs, kā mācībspēku piesaiste. Internacionalizācijas tempu un kvalitātes kāpināšanai ir nepieciešams augstskolās nodrošināt vietējo mācībspēku profesionālās darbības izvērtēšanu, mērķtiecīgu pilnveidi un motivējošu apmaksas sistēmu, kā  arī mērķtiecīgi plānot mācībspēku mobilitātes pasākumus.</w:t>
      </w:r>
    </w:p>
  </w:footnote>
  <w:footnote w:id="6">
    <w:p w14:paraId="15D598A1" w14:textId="6CC57369" w:rsidR="002E446C" w:rsidRPr="008A4B76" w:rsidRDefault="002E446C">
      <w:pPr>
        <w:pStyle w:val="FootnoteText"/>
      </w:pPr>
      <w:r w:rsidRPr="008A4B76">
        <w:rPr>
          <w:rStyle w:val="FootnoteReference"/>
        </w:rPr>
        <w:footnoteRef/>
      </w:r>
      <w:r w:rsidRPr="008A4B76">
        <w:t xml:space="preserve"> </w:t>
      </w:r>
      <w:r w:rsidRPr="008A4B76">
        <w:rPr>
          <w:sz w:val="18"/>
          <w:szCs w:val="18"/>
        </w:rPr>
        <w:t>Palielinot ārvalstu studējošo skaitu, augstskolās kļūst aktuālāki jautājumi ne tikai par studiju procesa nodrošināšanu, bet arī par sociālā atbalsta un integrācijas pakalpojumiem gan studējošajiem, gan ārvalstu mācībspēkiem. Augstskolām jārēķinās, ka nepieciešams izveidot šo pakalpojumu klāstu vēl pirms ārvalstu studentu piesaistes – gan pilnveidojot informatīvos resursus (piemēram, mājaslapu angļu valodā), gan kopīgi ar partneriem sagatavojot piedāvājumu drošiem un mūsdienīgiem izmitināšanas risinājumiem, veselības apdrošināšanas piedāvājumiem, integrējošām aktivitātēm, u.c..</w:t>
      </w:r>
    </w:p>
  </w:footnote>
  <w:footnote w:id="7">
    <w:p w14:paraId="4E5D7D8D" w14:textId="7EE56499" w:rsidR="002E446C" w:rsidRPr="008A4B76" w:rsidRDefault="002E446C">
      <w:pPr>
        <w:pStyle w:val="FootnoteText"/>
      </w:pPr>
      <w:r w:rsidRPr="008A4B76">
        <w:rPr>
          <w:rStyle w:val="FootnoteReference"/>
        </w:rPr>
        <w:footnoteRef/>
      </w:r>
      <w:r w:rsidRPr="008A4B76">
        <w:t xml:space="preserve"> </w:t>
      </w:r>
      <w:r w:rsidRPr="008A4B76">
        <w:rPr>
          <w:sz w:val="18"/>
          <w:szCs w:val="18"/>
        </w:rPr>
        <w:t xml:space="preserve">Doktorantūras studiju programmas tiek piedāvātas 21 augstskolā (valsts augstskolās – 15 un privātpersonu dibinātajās augstskolās – 6). Analīzes gaitā konstatētas 17 doktorantūras studiju programmu grupas ar identiskiem vai līdzīgiem nosaukumiem un piederību vienai tematiskajai grupai. Gandrīz piektdaļa no valstī esošajām doktorantūras studiju programmām ir līdzīgas vai identiskas nosaukumu un tematiskās grupas līmenī. Lielākais pēc nomināliem kritērijiem līdzīgo doktorantūras studiju programmu skaits ir identificēts izglītības tematiskajās jomās Datorika, </w:t>
      </w:r>
      <w:proofErr w:type="spellStart"/>
      <w:r w:rsidRPr="008A4B76">
        <w:rPr>
          <w:sz w:val="18"/>
          <w:szCs w:val="18"/>
        </w:rPr>
        <w:t>Komerczinības</w:t>
      </w:r>
      <w:proofErr w:type="spellEnd"/>
      <w:r w:rsidRPr="008A4B76">
        <w:rPr>
          <w:sz w:val="18"/>
          <w:szCs w:val="18"/>
        </w:rPr>
        <w:t xml:space="preserve"> un administrēšana, Tiesību zinātne, Pedagogu izglītība un izglītības zinātnes. Tematisko grupu pārklāšanās sniedz konceptuālu pamatu izvērtēt uzskaitītā doktorantūras studiju programmu piedāvājuma unikalitāti arī padziļināti.</w:t>
      </w:r>
    </w:p>
  </w:footnote>
  <w:footnote w:id="8">
    <w:p w14:paraId="07F706D9" w14:textId="589ABEE6" w:rsidR="002E446C" w:rsidRPr="008A4B76" w:rsidRDefault="002E446C">
      <w:pPr>
        <w:pStyle w:val="FootnoteText"/>
        <w:rPr>
          <w:sz w:val="18"/>
          <w:szCs w:val="18"/>
        </w:rPr>
      </w:pPr>
      <w:r w:rsidRPr="008A4B76">
        <w:rPr>
          <w:rStyle w:val="FootnoteReference"/>
        </w:rPr>
        <w:footnoteRef/>
      </w:r>
      <w:r w:rsidRPr="008A4B76">
        <w:t xml:space="preserve"> </w:t>
      </w:r>
      <w:r w:rsidRPr="008A4B76">
        <w:rPr>
          <w:sz w:val="18"/>
          <w:szCs w:val="18"/>
        </w:rPr>
        <w:t>Tas izskaidrojams ar to, ka kopīgas doktorantūras studiju programmas izveides un īstenošanas gaitā augstskolas sastopas ar vairākiem šķēršļiem un apgrūtinājumiem. Potenciālajiem partneriem jāspēj vienoties par visu studijas programmu aspektu integrēšanu un to niansēm, paredzot kopīgus uzņemšanas nosacījumus, kvalitātes nodrošinājuma sistēmu, programmas satura principus, kursu savietojamību, mobilitātes apjomu, norēķinu kārtību, mācībspēku apmaksu, promocijas īstenošanas pieeju un ar diplomu piešķiršanu saistītajiem jautājumiem. Kopīgās doktorantūras studiju programmas licencēšanas un akreditēšanas process ir administratīvi smagnējs un var būt ilgstošs. Tādējādi augstskolas dod priekšroku alternatīvām kopīguma formām – resursu koplietošanai, kopīgām vasaras skolām, doktorantūras skolām, mācībspēku mobilitātei, kopīgām konferencēm.</w:t>
      </w:r>
    </w:p>
  </w:footnote>
  <w:footnote w:id="9">
    <w:p w14:paraId="6CBF01AA" w14:textId="31DE943D" w:rsidR="002E446C" w:rsidRPr="008A4B76" w:rsidRDefault="002E446C">
      <w:pPr>
        <w:pStyle w:val="FootnoteText"/>
        <w:rPr>
          <w:sz w:val="18"/>
          <w:szCs w:val="18"/>
        </w:rPr>
      </w:pPr>
      <w:r w:rsidRPr="008A4B76">
        <w:rPr>
          <w:rStyle w:val="FootnoteReference"/>
        </w:rPr>
        <w:footnoteRef/>
      </w:r>
      <w:r w:rsidRPr="008A4B76">
        <w:t xml:space="preserve"> </w:t>
      </w:r>
      <w:r w:rsidRPr="008A4B76">
        <w:rPr>
          <w:sz w:val="18"/>
          <w:szCs w:val="18"/>
        </w:rPr>
        <w:t xml:space="preserve">Ministru kabineta 2017. gada 28. marta sēdes </w:t>
      </w:r>
      <w:proofErr w:type="spellStart"/>
      <w:r w:rsidRPr="008A4B76">
        <w:rPr>
          <w:sz w:val="18"/>
          <w:szCs w:val="18"/>
        </w:rPr>
        <w:t>protokollēmuma</w:t>
      </w:r>
      <w:proofErr w:type="spellEnd"/>
      <w:r w:rsidRPr="008A4B76">
        <w:rPr>
          <w:sz w:val="18"/>
          <w:szCs w:val="18"/>
        </w:rPr>
        <w:t xml:space="preserve"> “Rīkojuma projekts “Par Rīgas Pedagoģijas un izglītības vadības akadēmijas likvidāciju, pievienojot Latvijas Universitātei”” (prot. Nr. 16 52. §) 3.punkts (</w:t>
      </w:r>
      <w:hyperlink r:id="rId2" w:history="1">
        <w:r w:rsidRPr="008A4B76">
          <w:rPr>
            <w:rStyle w:val="Hyperlink"/>
            <w:sz w:val="18"/>
            <w:szCs w:val="18"/>
          </w:rPr>
          <w:t>http://tap.mk.gov.lv/mk/mksedes/saraksts/protokols/?protokols=2017-03-28</w:t>
        </w:r>
      </w:hyperlink>
      <w:r w:rsidRPr="008A4B76">
        <w:rPr>
          <w:rStyle w:val="Hyperlink"/>
          <w:sz w:val="18"/>
          <w:szCs w:val="18"/>
        </w:rPr>
        <w:t>).</w:t>
      </w:r>
    </w:p>
  </w:footnote>
  <w:footnote w:id="10">
    <w:p w14:paraId="506F5924" w14:textId="5FB2899C" w:rsidR="002E446C" w:rsidRPr="008A4B76" w:rsidRDefault="002E446C">
      <w:pPr>
        <w:pStyle w:val="FootnoteText"/>
        <w:rPr>
          <w:sz w:val="18"/>
          <w:szCs w:val="18"/>
        </w:rPr>
      </w:pPr>
      <w:r w:rsidRPr="008A4B76">
        <w:rPr>
          <w:rStyle w:val="FootnoteReference"/>
        </w:rPr>
        <w:footnoteRef/>
      </w:r>
      <w:r w:rsidRPr="008A4B76">
        <w:t xml:space="preserve"> </w:t>
      </w:r>
      <w:r w:rsidRPr="008A4B76">
        <w:rPr>
          <w:sz w:val="18"/>
          <w:szCs w:val="18"/>
        </w:rPr>
        <w:t>8.2.1.SAM īstenošanas konceptuālie jautājumi attiecībā uz pedagogu izglītības modernizāciju prezentēti darba grupai š.g. 6.septembrī un 13.septembrī publiskajās diskusijās “Skolotāju izglītības modernizācija Viedās specializācijas stratēģijas īstenošanai”.</w:t>
      </w:r>
    </w:p>
  </w:footnote>
  <w:footnote w:id="11">
    <w:p w14:paraId="3B9E2737" w14:textId="77777777" w:rsidR="002E446C" w:rsidRPr="00FF7865" w:rsidRDefault="002E446C" w:rsidP="00A46890">
      <w:pPr>
        <w:pStyle w:val="FootnoteText"/>
      </w:pPr>
      <w:r w:rsidRPr="008A4B76">
        <w:rPr>
          <w:rStyle w:val="FootnoteReference"/>
        </w:rPr>
        <w:footnoteRef/>
      </w:r>
      <w:r w:rsidRPr="008A4B76">
        <w:t xml:space="preserve"> </w:t>
      </w:r>
      <w:r w:rsidRPr="008A4B76">
        <w:rPr>
          <w:sz w:val="18"/>
          <w:szCs w:val="18"/>
        </w:rPr>
        <w:t xml:space="preserve">Pieejama: </w:t>
      </w:r>
      <w:hyperlink r:id="rId3" w:history="1">
        <w:r w:rsidRPr="008A4B76">
          <w:rPr>
            <w:rStyle w:val="Hyperlink"/>
            <w:sz w:val="18"/>
            <w:szCs w:val="18"/>
          </w:rPr>
          <w:t>http://tap.mk.gov.lv/lv/mk/tap/?pid=40409969&amp;mode=mk&amp;date=2017-03-28</w:t>
        </w:r>
      </w:hyperlink>
    </w:p>
  </w:footnote>
  <w:footnote w:id="12">
    <w:p w14:paraId="3D5343DE" w14:textId="557FF5E0" w:rsidR="002E446C" w:rsidRPr="00FF7865" w:rsidRDefault="002E446C" w:rsidP="001D5FC0">
      <w:pPr>
        <w:pStyle w:val="FootnoteText"/>
      </w:pPr>
      <w:r w:rsidRPr="00FF7865">
        <w:rPr>
          <w:rStyle w:val="FootnoteReference"/>
        </w:rPr>
        <w:footnoteRef/>
      </w:r>
      <w:r>
        <w:rPr>
          <w:sz w:val="18"/>
          <w:szCs w:val="18"/>
        </w:rPr>
        <w:t xml:space="preserve"> </w:t>
      </w:r>
      <w:r w:rsidRPr="008A4B76">
        <w:rPr>
          <w:sz w:val="18"/>
          <w:szCs w:val="18"/>
        </w:rPr>
        <w:t>Pieejams: http://izm.gov.lv/lv/sabiedribas-lidzdaliba/sabiedriskajai-apspriesanai-nodotie-normativo-aktu-projekti/2682-informativais-zinojums-priekslikumi-konceptuali-jaunas-kompetences-balstitas-izglitibas-prasibam-atbilstosas-skolotaju-izglitibas-nodrosinasanai-latvija</w:t>
      </w:r>
    </w:p>
  </w:footnote>
  <w:footnote w:id="13">
    <w:p w14:paraId="3E5F8227" w14:textId="77777777" w:rsidR="002E446C" w:rsidRPr="00FF7865" w:rsidRDefault="002E446C" w:rsidP="00A312AF">
      <w:pPr>
        <w:pStyle w:val="FootnoteText"/>
      </w:pPr>
      <w:r w:rsidRPr="00FF7865">
        <w:rPr>
          <w:rStyle w:val="FootnoteReference"/>
        </w:rPr>
        <w:footnoteRef/>
      </w:r>
      <w:r w:rsidRPr="00FF7865">
        <w:t xml:space="preserve"> </w:t>
      </w:r>
      <w:r w:rsidRPr="008A4B76">
        <w:rPr>
          <w:sz w:val="18"/>
          <w:szCs w:val="18"/>
        </w:rPr>
        <w:t>https://likumi.lv/ta/id/275564-nodibinajuma-akademiskas-informacijas-centrs-maksas-pakalpojumu-cenradis</w:t>
      </w:r>
    </w:p>
  </w:footnote>
  <w:footnote w:id="14">
    <w:p w14:paraId="7110D839"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Pieejams: http://izm.gov.lv/lv/sabiedribas-lidzdaliba/sabiedriskajai-apspriesanai-nodotie-normativo-aktu-projekti/2682-informativais-zinojums-priekslikumi-konceptuali-jaunas-kompetences-balstitas-izglitibas-prasibam-atbilstosas-skolotaju-izglitibas-nodrosinasanai-latvija</w:t>
      </w:r>
    </w:p>
  </w:footnote>
  <w:footnote w:id="15">
    <w:p w14:paraId="2E43FC8B"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https://komitejas.esfondi.lv/_layouts/15/WopiFrame.aspx?sourcedoc=/Shared%20Documents/IZM_SN_8311_precizets_12052015.doc&amp;action=default</w:t>
      </w:r>
    </w:p>
  </w:footnote>
  <w:footnote w:id="16">
    <w:p w14:paraId="013C2177" w14:textId="2CF02655" w:rsidR="002E446C" w:rsidRPr="00FF7865" w:rsidRDefault="002E446C">
      <w:pPr>
        <w:pStyle w:val="FootnoteText"/>
      </w:pPr>
      <w:r w:rsidRPr="00FF7865">
        <w:rPr>
          <w:rStyle w:val="FootnoteReference"/>
        </w:rPr>
        <w:footnoteRef/>
      </w:r>
      <w:r>
        <w:rPr>
          <w:sz w:val="18"/>
          <w:szCs w:val="18"/>
        </w:rPr>
        <w:t xml:space="preserve"> </w:t>
      </w:r>
      <w:r w:rsidRPr="008A4B76">
        <w:rPr>
          <w:sz w:val="18"/>
          <w:szCs w:val="18"/>
        </w:rPr>
        <w:t>http://polsis.mk.gov.lv/documents/5246</w:t>
      </w:r>
      <w:r w:rsidRPr="00FF7865">
        <w:t xml:space="preserve"> </w:t>
      </w:r>
    </w:p>
  </w:footnote>
  <w:footnote w:id="17">
    <w:p w14:paraId="7ADC71D9"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https://likumi.lv/ta/id/275560-augstskolu-koledzu-un-studiju-virzienu-akreditacijas-noteikumi</w:t>
      </w:r>
    </w:p>
  </w:footnote>
  <w:footnote w:id="18">
    <w:p w14:paraId="4078C6F6" w14:textId="6120F26B" w:rsidR="007F47D8" w:rsidRDefault="007F47D8">
      <w:pPr>
        <w:pStyle w:val="FootnoteText"/>
      </w:pPr>
      <w:r>
        <w:rPr>
          <w:rStyle w:val="FootnoteReference"/>
        </w:rPr>
        <w:footnoteRef/>
      </w:r>
      <w:r>
        <w:t xml:space="preserve"> </w:t>
      </w:r>
      <w:r w:rsidRPr="007F47D8">
        <w:t>https://likumi.lv/doc.php?id=37967</w:t>
      </w:r>
    </w:p>
  </w:footnote>
  <w:footnote w:id="19">
    <w:p w14:paraId="760884B2" w14:textId="77777777" w:rsidR="002E446C" w:rsidRPr="00FF7865" w:rsidRDefault="002E446C">
      <w:pPr>
        <w:pStyle w:val="FootnoteText"/>
      </w:pPr>
      <w:r w:rsidRPr="00FF7865">
        <w:rPr>
          <w:rStyle w:val="FootnoteReference"/>
        </w:rPr>
        <w:footnoteRef/>
      </w:r>
      <w:r w:rsidRPr="00FF7865">
        <w:t xml:space="preserve"> </w:t>
      </w:r>
      <w:hyperlink r:id="rId4" w:history="1">
        <w:r w:rsidRPr="008A4B76">
          <w:rPr>
            <w:rStyle w:val="Hyperlink"/>
            <w:sz w:val="18"/>
            <w:szCs w:val="18"/>
          </w:rPr>
          <w:t>http://www.eqanie.eu</w:t>
        </w:r>
      </w:hyperlink>
    </w:p>
  </w:footnote>
  <w:footnote w:id="20">
    <w:p w14:paraId="3FD79793" w14:textId="77777777" w:rsidR="002E446C" w:rsidRPr="00FF7865" w:rsidRDefault="002E446C">
      <w:pPr>
        <w:pStyle w:val="FootnoteText"/>
      </w:pPr>
      <w:r w:rsidRPr="00FF7865">
        <w:rPr>
          <w:rStyle w:val="FootnoteReference"/>
        </w:rPr>
        <w:footnoteRef/>
      </w:r>
      <w:r w:rsidRPr="00FF7865">
        <w:t xml:space="preserve"> </w:t>
      </w:r>
      <w:hyperlink r:id="rId5" w:history="1">
        <w:r w:rsidRPr="008A4B76">
          <w:rPr>
            <w:rStyle w:val="Hyperlink"/>
            <w:sz w:val="18"/>
            <w:szCs w:val="18"/>
          </w:rPr>
          <w:t>http://www.enaee.eu/</w:t>
        </w:r>
      </w:hyperlink>
    </w:p>
  </w:footnote>
  <w:footnote w:id="21">
    <w:p w14:paraId="4CDEC66E"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http://www.ceeman.org/accreditation</w:t>
      </w:r>
    </w:p>
  </w:footnote>
  <w:footnote w:id="22">
    <w:p w14:paraId="196F569C" w14:textId="77777777" w:rsidR="002E446C" w:rsidRPr="00FF7865" w:rsidRDefault="002E446C" w:rsidP="00837140">
      <w:pPr>
        <w:pStyle w:val="FootnoteText"/>
      </w:pPr>
      <w:r w:rsidRPr="00FF7865">
        <w:rPr>
          <w:rStyle w:val="FootnoteReference"/>
        </w:rPr>
        <w:footnoteRef/>
      </w:r>
      <w:r w:rsidRPr="00FF7865">
        <w:t xml:space="preserve"> </w:t>
      </w:r>
      <w:r w:rsidRPr="008A4B76">
        <w:rPr>
          <w:sz w:val="18"/>
          <w:szCs w:val="18"/>
        </w:rPr>
        <w:t>https://likumi.lv/ta/id/275560-augstskolu-koledzu-un-studiju-virzienu-akreditacijas-noteikumi</w:t>
      </w:r>
    </w:p>
  </w:footnote>
  <w:footnote w:id="23">
    <w:p w14:paraId="293BF464" w14:textId="672F8A97" w:rsidR="002E446C" w:rsidRDefault="002E446C">
      <w:pPr>
        <w:pStyle w:val="FootnoteText"/>
      </w:pPr>
      <w:r>
        <w:rPr>
          <w:rStyle w:val="FootnoteReference"/>
        </w:rPr>
        <w:footnoteRef/>
      </w:r>
      <w:r>
        <w:t xml:space="preserve"> </w:t>
      </w:r>
      <w:hyperlink r:id="rId6" w:history="1">
        <w:r w:rsidRPr="008A4B76">
          <w:rPr>
            <w:rStyle w:val="Hyperlink"/>
            <w:rFonts w:eastAsiaTheme="majorEastAsia"/>
            <w:sz w:val="18"/>
            <w:szCs w:val="18"/>
          </w:rPr>
          <w:t>http://titania.saeima.lv/LIVS12/saeimalivs12.nsf/0/AB0FFECE373AC32CC22581D3004B77E6?OpenDocument</w:t>
        </w:r>
      </w:hyperlink>
    </w:p>
  </w:footnote>
  <w:footnote w:id="24">
    <w:p w14:paraId="7C1B597F" w14:textId="77777777" w:rsidR="002E446C" w:rsidRDefault="002E446C">
      <w:pPr>
        <w:pStyle w:val="FootnoteText"/>
      </w:pPr>
      <w:r>
        <w:rPr>
          <w:rStyle w:val="FootnoteReference"/>
        </w:rPr>
        <w:footnoteRef/>
      </w:r>
      <w:r>
        <w:t xml:space="preserve"> </w:t>
      </w:r>
      <w:r w:rsidRPr="008A4B76">
        <w:rPr>
          <w:sz w:val="18"/>
          <w:szCs w:val="18"/>
        </w:rPr>
        <w:t>Pārskati par Latvijas augstāko izglītību, pieejami: http://izm.gov.lv/lv/publikacijas-un-statistika/statistika-par-izglitibu/statistika-par-augstako-izglitibu</w:t>
      </w:r>
    </w:p>
  </w:footnote>
  <w:footnote w:id="25">
    <w:p w14:paraId="40454DAE" w14:textId="77777777" w:rsidR="002E446C" w:rsidRPr="00FF7865" w:rsidRDefault="002E446C" w:rsidP="004E1D30">
      <w:pPr>
        <w:pStyle w:val="FootnoteText"/>
      </w:pPr>
      <w:r w:rsidRPr="00FF7865">
        <w:rPr>
          <w:rStyle w:val="FootnoteReference"/>
        </w:rPr>
        <w:footnoteRef/>
      </w:r>
      <w:r w:rsidRPr="00FF7865">
        <w:t xml:space="preserve"> </w:t>
      </w:r>
      <w:r w:rsidRPr="008A4B76">
        <w:rPr>
          <w:sz w:val="18"/>
          <w:szCs w:val="18"/>
        </w:rPr>
        <w:t>http://eur-lex.europa.eu/legal-content/LV/TXT/PDF/?uri=CELEX:52016XC0719(05)&amp;from=EN</w:t>
      </w:r>
    </w:p>
  </w:footnote>
  <w:footnote w:id="26">
    <w:p w14:paraId="3DC1DF75" w14:textId="77777777" w:rsidR="002E446C" w:rsidRDefault="002E446C">
      <w:pPr>
        <w:pStyle w:val="FootnoteText"/>
      </w:pPr>
      <w:r>
        <w:rPr>
          <w:rStyle w:val="FootnoteReference"/>
        </w:rPr>
        <w:footnoteRef/>
      </w:r>
      <w:r>
        <w:t xml:space="preserve"> </w:t>
      </w:r>
      <w:hyperlink r:id="rId7" w:history="1">
        <w:r w:rsidRPr="008A4B76">
          <w:rPr>
            <w:rStyle w:val="Hyperlink"/>
            <w:sz w:val="18"/>
            <w:szCs w:val="18"/>
          </w:rPr>
          <w:t>https://www.topuniversities.com/university-rankings</w:t>
        </w:r>
      </w:hyperlink>
    </w:p>
  </w:footnote>
  <w:footnote w:id="27">
    <w:p w14:paraId="51A65DC6" w14:textId="77777777" w:rsidR="002E446C" w:rsidRDefault="002E446C">
      <w:pPr>
        <w:pStyle w:val="FootnoteText"/>
      </w:pPr>
      <w:r>
        <w:rPr>
          <w:rStyle w:val="FootnoteReference"/>
        </w:rPr>
        <w:footnoteRef/>
      </w:r>
      <w:r>
        <w:t xml:space="preserve"> </w:t>
      </w:r>
      <w:r w:rsidRPr="008A4B76">
        <w:rPr>
          <w:sz w:val="18"/>
          <w:szCs w:val="18"/>
        </w:rPr>
        <w:t>https://www.timeshighereducation.com/world-university-rankings</w:t>
      </w:r>
    </w:p>
  </w:footnote>
  <w:footnote w:id="28">
    <w:p w14:paraId="76685FB3" w14:textId="77777777" w:rsidR="002E446C" w:rsidRDefault="002E446C">
      <w:pPr>
        <w:pStyle w:val="FootnoteText"/>
      </w:pPr>
      <w:r>
        <w:rPr>
          <w:rStyle w:val="FootnoteReference"/>
        </w:rPr>
        <w:footnoteRef/>
      </w:r>
      <w:r>
        <w:t xml:space="preserve"> </w:t>
      </w:r>
      <w:r w:rsidRPr="008A4B76">
        <w:rPr>
          <w:sz w:val="18"/>
          <w:szCs w:val="18"/>
        </w:rPr>
        <w:t>http://www.shanghairanking.com/</w:t>
      </w:r>
    </w:p>
  </w:footnote>
  <w:footnote w:id="29">
    <w:p w14:paraId="480651D7"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http://viaa.gov.lv/lat/ek_izgl_programmas_iniciativas/erasmusplus/eramus_plus_magistr/kopigas_mag_progr/</w:t>
      </w:r>
    </w:p>
  </w:footnote>
  <w:footnote w:id="30">
    <w:p w14:paraId="357E7B46"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Sākotnējā novērtējumā ietverto priekšlikumu analīze ietverta AK materiālu pielikumā, pieejama: https://komitejas.esfondi.lv/Lists/sedes/DispForm.aspx?ID=133&amp;Source=https%3A%2F%2Fkomitejas%2Eesfondi%2Elv%2FSitePages%2FHome%2Easpx&amp;ContentTypeId=0x0100A71173C59228CF43AEDB868762C1146A</w:t>
      </w:r>
    </w:p>
  </w:footnote>
  <w:footnote w:id="31">
    <w:p w14:paraId="504C01EC" w14:textId="25E4AD2E" w:rsidR="002E446C" w:rsidRPr="00FF7865" w:rsidRDefault="002E446C">
      <w:pPr>
        <w:pStyle w:val="FootnoteText"/>
      </w:pPr>
      <w:r w:rsidRPr="00FF7865">
        <w:rPr>
          <w:rStyle w:val="FootnoteReference"/>
        </w:rPr>
        <w:footnoteRef/>
      </w:r>
      <w:hyperlink r:id="rId8" w:history="1">
        <w:r w:rsidRPr="008A4B76">
          <w:rPr>
            <w:rStyle w:val="Hyperlink"/>
            <w:sz w:val="18"/>
            <w:szCs w:val="18"/>
          </w:rPr>
          <w:t>http://ec.europa.eu/programmes/erasmus-plus/sites/erasmusplus/files/files/resources/erasmus-plus-programme-guide_lv.pdf</w:t>
        </w:r>
      </w:hyperlink>
      <w:r w:rsidRPr="008A4B76">
        <w:rPr>
          <w:sz w:val="18"/>
          <w:szCs w:val="18"/>
        </w:rPr>
        <w:t>, sk. 156.-157.lp.</w:t>
      </w:r>
    </w:p>
  </w:footnote>
  <w:footnote w:id="32">
    <w:p w14:paraId="0EF29E3E"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 xml:space="preserve">Plašāka informācija Eiropas Komisijas Izglītības, audiovizuālās jomas un kultūras </w:t>
      </w:r>
      <w:proofErr w:type="spellStart"/>
      <w:r w:rsidRPr="008A4B76">
        <w:rPr>
          <w:sz w:val="18"/>
          <w:szCs w:val="18"/>
        </w:rPr>
        <w:t>izpildaģentūras</w:t>
      </w:r>
      <w:proofErr w:type="spellEnd"/>
      <w:r w:rsidRPr="008A4B76">
        <w:rPr>
          <w:sz w:val="18"/>
          <w:szCs w:val="18"/>
        </w:rPr>
        <w:t xml:space="preserve"> interneta vietnē https://eacea.ec.europa.eu/about-eacea_en</w:t>
      </w:r>
    </w:p>
  </w:footnote>
  <w:footnote w:id="33">
    <w:p w14:paraId="0CAD6C65" w14:textId="77777777" w:rsidR="002E446C" w:rsidRPr="00FF7865" w:rsidRDefault="002E446C">
      <w:pPr>
        <w:pStyle w:val="FootnoteText"/>
      </w:pPr>
      <w:r w:rsidRPr="00FF7865">
        <w:rPr>
          <w:rStyle w:val="FootnoteReference"/>
        </w:rPr>
        <w:footnoteRef/>
      </w:r>
      <w:r w:rsidRPr="008A4B76">
        <w:rPr>
          <w:sz w:val="18"/>
          <w:szCs w:val="18"/>
        </w:rPr>
        <w:t xml:space="preserve"> Pieejami: https://komitejas.esfondi.lv/Lists/dkartiba/DispForm.aspx?ID=292&amp;Source=https%3A%2F%2Fkomitejas%2Eesfondi%2Elv%2FSitePages%2FHome%2Easpx&amp;ContentTypeId=0x0100782499B3A35971418D11E4830B7B3BA3</w:t>
      </w:r>
    </w:p>
  </w:footnote>
  <w:footnote w:id="34">
    <w:p w14:paraId="7424172F" w14:textId="77777777" w:rsidR="002E446C" w:rsidRPr="00FF7865" w:rsidRDefault="002E446C" w:rsidP="000F2F0E">
      <w:pPr>
        <w:pStyle w:val="FootnoteText"/>
      </w:pPr>
      <w:r w:rsidRPr="00FF7865">
        <w:rPr>
          <w:rStyle w:val="FootnoteReference"/>
        </w:rPr>
        <w:footnoteRef/>
      </w:r>
      <w:r w:rsidRPr="00FF7865">
        <w:t xml:space="preserve"> </w:t>
      </w:r>
      <w:hyperlink r:id="rId9" w:history="1">
        <w:r w:rsidRPr="008A4B76">
          <w:rPr>
            <w:rStyle w:val="Hyperlink"/>
            <w:sz w:val="18"/>
            <w:szCs w:val="18"/>
          </w:rPr>
          <w:t>https://www.makroekonomika.lv/pakalpojumu-eksporta-nozime-latvijas-ekonomika</w:t>
        </w:r>
      </w:hyperlink>
    </w:p>
  </w:footnote>
  <w:footnote w:id="35">
    <w:p w14:paraId="279A64A1"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http://www.esfondi.lv/izvertejumi-1</w:t>
      </w:r>
    </w:p>
  </w:footnote>
  <w:footnote w:id="36">
    <w:p w14:paraId="69134662"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http://certusdomnica.lv/agenda/augstakas-izglitibas-eksporta-ekonomiska-nozime-un-ietekme-latvija/</w:t>
      </w:r>
    </w:p>
  </w:footnote>
  <w:footnote w:id="37">
    <w:p w14:paraId="23800BE6"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http://certusdomnica.lv/agenda/augstakas-izglitibas-eksporta-ekonomiska-nozime-un-ietekme-latvija/</w:t>
      </w:r>
    </w:p>
  </w:footnote>
  <w:footnote w:id="38">
    <w:p w14:paraId="0255386C"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Avots: Ieva Kārkliņa “Latvijā studējošo saliedētības veicināšana un ārzemju studentu diskriminēšanas mazināšana” 2014</w:t>
      </w:r>
    </w:p>
  </w:footnote>
  <w:footnote w:id="39">
    <w:p w14:paraId="1A622DC0"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 xml:space="preserve">Pieņēmums daļēji balstīts uz </w:t>
      </w:r>
      <w:proofErr w:type="spellStart"/>
      <w:r w:rsidRPr="008A4B76">
        <w:rPr>
          <w:sz w:val="18"/>
          <w:szCs w:val="18"/>
        </w:rPr>
        <w:t>Financial</w:t>
      </w:r>
      <w:proofErr w:type="spellEnd"/>
      <w:r w:rsidRPr="008A4B76">
        <w:rPr>
          <w:sz w:val="18"/>
          <w:szCs w:val="18"/>
        </w:rPr>
        <w:t xml:space="preserve"> </w:t>
      </w:r>
      <w:proofErr w:type="spellStart"/>
      <w:r w:rsidRPr="008A4B76">
        <w:rPr>
          <w:sz w:val="18"/>
          <w:szCs w:val="18"/>
        </w:rPr>
        <w:t>Times</w:t>
      </w:r>
      <w:proofErr w:type="spellEnd"/>
      <w:r w:rsidRPr="008A4B76">
        <w:rPr>
          <w:sz w:val="18"/>
          <w:szCs w:val="18"/>
        </w:rPr>
        <w:t xml:space="preserve"> secinājumiem par MBA absolventu uzņēmējdarbības rādītājiem (5% gadā pēc absolvēšanas, 24,4% trīs gadus pēc absolvēšanas), samazinot rādītāju ņemot vērā, ka ārvalstu studentu uzņēmējdarbības vēlme Latvijā var būt zemāka nekā vietējo studentu</w:t>
      </w:r>
    </w:p>
  </w:footnote>
  <w:footnote w:id="40">
    <w:p w14:paraId="4381E02A" w14:textId="77777777" w:rsidR="002E446C" w:rsidRPr="00FF7865" w:rsidRDefault="002E446C">
      <w:pPr>
        <w:pStyle w:val="FootnoteText"/>
      </w:pPr>
      <w:r w:rsidRPr="00FF7865">
        <w:rPr>
          <w:rStyle w:val="FootnoteReference"/>
        </w:rPr>
        <w:footnoteRef/>
      </w:r>
      <w:r w:rsidRPr="00FF7865">
        <w:t xml:space="preserve"> </w:t>
      </w:r>
      <w:r w:rsidRPr="008A4B76">
        <w:rPr>
          <w:sz w:val="18"/>
          <w:szCs w:val="18"/>
        </w:rPr>
        <w:t>Ņemot vērā to, ka 8.2.1. SAM  tiek īstenots RIS3 kontekstā, jaunajās studiju programmās piesaistītie studenti pārstāvēs augstas pievienotās vērtības nozares. Ņemot vērā, ka piesaistītie studenti būs no citām valstīm, studentu uzņēmumi, iespējams, nodarbosies ar sadarbību ar šīm valstīm. Izvirzot pieņēmumu par uzņēmumu apgrozījumu, par piemēru tika ņemtas augstas pievienotās vērtības kompānijas, kā piemēram, SIA “</w:t>
      </w:r>
      <w:proofErr w:type="spellStart"/>
      <w:r w:rsidRPr="008A4B76">
        <w:rPr>
          <w:sz w:val="18"/>
          <w:szCs w:val="18"/>
        </w:rPr>
        <w:t>Airdog</w:t>
      </w:r>
      <w:proofErr w:type="spellEnd"/>
      <w:r w:rsidRPr="008A4B76">
        <w:rPr>
          <w:sz w:val="18"/>
          <w:szCs w:val="18"/>
        </w:rPr>
        <w:t>”, kura neatbilst vidējam iekšējam Latvijas tirgum tendētajam uzņēmumam</w:t>
      </w:r>
      <w:r w:rsidRPr="00FF7865">
        <w:t>.</w:t>
      </w:r>
    </w:p>
  </w:footnote>
  <w:footnote w:id="41">
    <w:p w14:paraId="68818BB0" w14:textId="77777777" w:rsidR="002E446C" w:rsidRDefault="002E446C">
      <w:pPr>
        <w:pStyle w:val="FootnoteText"/>
      </w:pPr>
      <w:r w:rsidRPr="00FF7865">
        <w:rPr>
          <w:rStyle w:val="FootnoteReference"/>
        </w:rPr>
        <w:footnoteRef/>
      </w:r>
      <w:r w:rsidRPr="00FF7865">
        <w:t xml:space="preserve"> </w:t>
      </w:r>
      <w:r w:rsidRPr="008A4B76">
        <w:rPr>
          <w:sz w:val="18"/>
          <w:szCs w:val="18"/>
        </w:rPr>
        <w:t xml:space="preserve">Avots: </w:t>
      </w:r>
      <w:proofErr w:type="spellStart"/>
      <w:r w:rsidRPr="008A4B76">
        <w:rPr>
          <w:sz w:val="18"/>
          <w:szCs w:val="18"/>
        </w:rPr>
        <w:t>European</w:t>
      </w:r>
      <w:proofErr w:type="spellEnd"/>
      <w:r w:rsidRPr="008A4B76">
        <w:rPr>
          <w:sz w:val="18"/>
          <w:szCs w:val="18"/>
        </w:rPr>
        <w:t xml:space="preserve"> </w:t>
      </w:r>
      <w:proofErr w:type="spellStart"/>
      <w:r w:rsidRPr="008A4B76">
        <w:rPr>
          <w:sz w:val="18"/>
          <w:szCs w:val="18"/>
        </w:rPr>
        <w:t>Commission</w:t>
      </w:r>
      <w:proofErr w:type="spellEnd"/>
      <w:r w:rsidRPr="008A4B76">
        <w:rPr>
          <w:sz w:val="18"/>
          <w:szCs w:val="18"/>
        </w:rPr>
        <w:t xml:space="preserve">. 2015. </w:t>
      </w:r>
      <w:proofErr w:type="spellStart"/>
      <w:r w:rsidRPr="008A4B76">
        <w:rPr>
          <w:sz w:val="18"/>
          <w:szCs w:val="18"/>
        </w:rPr>
        <w:t>Country</w:t>
      </w:r>
      <w:proofErr w:type="spellEnd"/>
      <w:r w:rsidRPr="008A4B76">
        <w:rPr>
          <w:sz w:val="18"/>
          <w:szCs w:val="18"/>
        </w:rPr>
        <w:t xml:space="preserve"> </w:t>
      </w:r>
      <w:proofErr w:type="spellStart"/>
      <w:r w:rsidRPr="008A4B76">
        <w:rPr>
          <w:sz w:val="18"/>
          <w:szCs w:val="18"/>
        </w:rPr>
        <w:t>Report</w:t>
      </w:r>
      <w:proofErr w:type="spellEnd"/>
      <w:r w:rsidRPr="008A4B76">
        <w:rPr>
          <w:sz w:val="18"/>
          <w:szCs w:val="18"/>
        </w:rPr>
        <w:t xml:space="preserve"> Latvia 2015. http://ec.europa.eu/europe2020/pdf/csr2015/cr2015_latvia_en.pdf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DD01" w14:textId="77777777" w:rsidR="002E446C" w:rsidRDefault="002E446C"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B70D8" w14:textId="77777777" w:rsidR="002E446C" w:rsidRDefault="002E4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3ADD" w14:textId="77777777" w:rsidR="002E446C" w:rsidRDefault="002E446C"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58A">
      <w:rPr>
        <w:rStyle w:val="PageNumber"/>
        <w:noProof/>
      </w:rPr>
      <w:t>32</w:t>
    </w:r>
    <w:r>
      <w:rPr>
        <w:rStyle w:val="PageNumber"/>
      </w:rPr>
      <w:fldChar w:fldCharType="end"/>
    </w:r>
  </w:p>
  <w:p w14:paraId="09C404E2" w14:textId="77777777" w:rsidR="002E446C" w:rsidRDefault="002E4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0.75pt" o:bullet="t">
        <v:imagedata r:id="rId1" o:title="JL_Images-05"/>
      </v:shape>
    </w:pict>
  </w:numPicBullet>
  <w:numPicBullet w:numPicBulletId="1">
    <w:pict>
      <v:shape id="_x0000_i1027" type="#_x0000_t75" style="width:15.75pt;height:23.25pt" o:bullet="t">
        <v:imagedata r:id="rId2" o:title="imageedit_2_5296672355"/>
      </v:shape>
    </w:pict>
  </w:numPicBullet>
  <w:abstractNum w:abstractNumId="0">
    <w:nsid w:val="061A4103"/>
    <w:multiLevelType w:val="hybridMultilevel"/>
    <w:tmpl w:val="0AAEFFD2"/>
    <w:lvl w:ilvl="0" w:tplc="CFBAD34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2F320D9"/>
    <w:multiLevelType w:val="hybridMultilevel"/>
    <w:tmpl w:val="3C666F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B5D05F6"/>
    <w:multiLevelType w:val="hybridMultilevel"/>
    <w:tmpl w:val="DEE6B8F4"/>
    <w:lvl w:ilvl="0" w:tplc="FECEDA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7">
    <w:nsid w:val="263920B5"/>
    <w:multiLevelType w:val="hybridMultilevel"/>
    <w:tmpl w:val="FA70503E"/>
    <w:lvl w:ilvl="0" w:tplc="B53670B2">
      <w:start w:val="1"/>
      <w:numFmt w:val="bullet"/>
      <w:lvlText w:val="-"/>
      <w:lvlJc w:val="left"/>
      <w:pPr>
        <w:tabs>
          <w:tab w:val="num" w:pos="720"/>
        </w:tabs>
        <w:ind w:left="720" w:hanging="360"/>
      </w:pPr>
      <w:rPr>
        <w:rFonts w:ascii="Times New Roman" w:hAnsi="Times New Roman" w:hint="default"/>
      </w:rPr>
    </w:lvl>
    <w:lvl w:ilvl="1" w:tplc="E50EDAAA" w:tentative="1">
      <w:start w:val="1"/>
      <w:numFmt w:val="bullet"/>
      <w:lvlText w:val="-"/>
      <w:lvlJc w:val="left"/>
      <w:pPr>
        <w:tabs>
          <w:tab w:val="num" w:pos="1440"/>
        </w:tabs>
        <w:ind w:left="1440" w:hanging="360"/>
      </w:pPr>
      <w:rPr>
        <w:rFonts w:ascii="Times New Roman" w:hAnsi="Times New Roman" w:hint="default"/>
      </w:rPr>
    </w:lvl>
    <w:lvl w:ilvl="2" w:tplc="28584654" w:tentative="1">
      <w:start w:val="1"/>
      <w:numFmt w:val="bullet"/>
      <w:lvlText w:val="-"/>
      <w:lvlJc w:val="left"/>
      <w:pPr>
        <w:tabs>
          <w:tab w:val="num" w:pos="2160"/>
        </w:tabs>
        <w:ind w:left="2160" w:hanging="360"/>
      </w:pPr>
      <w:rPr>
        <w:rFonts w:ascii="Times New Roman" w:hAnsi="Times New Roman" w:hint="default"/>
      </w:rPr>
    </w:lvl>
    <w:lvl w:ilvl="3" w:tplc="70284B60" w:tentative="1">
      <w:start w:val="1"/>
      <w:numFmt w:val="bullet"/>
      <w:lvlText w:val="-"/>
      <w:lvlJc w:val="left"/>
      <w:pPr>
        <w:tabs>
          <w:tab w:val="num" w:pos="2880"/>
        </w:tabs>
        <w:ind w:left="2880" w:hanging="360"/>
      </w:pPr>
      <w:rPr>
        <w:rFonts w:ascii="Times New Roman" w:hAnsi="Times New Roman" w:hint="default"/>
      </w:rPr>
    </w:lvl>
    <w:lvl w:ilvl="4" w:tplc="328EBBB2" w:tentative="1">
      <w:start w:val="1"/>
      <w:numFmt w:val="bullet"/>
      <w:lvlText w:val="-"/>
      <w:lvlJc w:val="left"/>
      <w:pPr>
        <w:tabs>
          <w:tab w:val="num" w:pos="3600"/>
        </w:tabs>
        <w:ind w:left="3600" w:hanging="360"/>
      </w:pPr>
      <w:rPr>
        <w:rFonts w:ascii="Times New Roman" w:hAnsi="Times New Roman" w:hint="default"/>
      </w:rPr>
    </w:lvl>
    <w:lvl w:ilvl="5" w:tplc="12D27B8A" w:tentative="1">
      <w:start w:val="1"/>
      <w:numFmt w:val="bullet"/>
      <w:lvlText w:val="-"/>
      <w:lvlJc w:val="left"/>
      <w:pPr>
        <w:tabs>
          <w:tab w:val="num" w:pos="4320"/>
        </w:tabs>
        <w:ind w:left="4320" w:hanging="360"/>
      </w:pPr>
      <w:rPr>
        <w:rFonts w:ascii="Times New Roman" w:hAnsi="Times New Roman" w:hint="default"/>
      </w:rPr>
    </w:lvl>
    <w:lvl w:ilvl="6" w:tplc="FBE4E2AE" w:tentative="1">
      <w:start w:val="1"/>
      <w:numFmt w:val="bullet"/>
      <w:lvlText w:val="-"/>
      <w:lvlJc w:val="left"/>
      <w:pPr>
        <w:tabs>
          <w:tab w:val="num" w:pos="5040"/>
        </w:tabs>
        <w:ind w:left="5040" w:hanging="360"/>
      </w:pPr>
      <w:rPr>
        <w:rFonts w:ascii="Times New Roman" w:hAnsi="Times New Roman" w:hint="default"/>
      </w:rPr>
    </w:lvl>
    <w:lvl w:ilvl="7" w:tplc="E53007B6" w:tentative="1">
      <w:start w:val="1"/>
      <w:numFmt w:val="bullet"/>
      <w:lvlText w:val="-"/>
      <w:lvlJc w:val="left"/>
      <w:pPr>
        <w:tabs>
          <w:tab w:val="num" w:pos="5760"/>
        </w:tabs>
        <w:ind w:left="5760" w:hanging="360"/>
      </w:pPr>
      <w:rPr>
        <w:rFonts w:ascii="Times New Roman" w:hAnsi="Times New Roman" w:hint="default"/>
      </w:rPr>
    </w:lvl>
    <w:lvl w:ilvl="8" w:tplc="13F640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D8263A"/>
    <w:multiLevelType w:val="hybridMultilevel"/>
    <w:tmpl w:val="8FB80442"/>
    <w:lvl w:ilvl="0" w:tplc="223A7B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2D7802A4"/>
    <w:multiLevelType w:val="hybridMultilevel"/>
    <w:tmpl w:val="B3D69DE6"/>
    <w:lvl w:ilvl="0" w:tplc="C7CEE794">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136158E"/>
    <w:multiLevelType w:val="hybridMultilevel"/>
    <w:tmpl w:val="99885E4C"/>
    <w:lvl w:ilvl="0" w:tplc="EF3EE506">
      <w:start w:val="1"/>
      <w:numFmt w:val="decimal"/>
      <w:lvlText w:val="%1)"/>
      <w:lvlJc w:val="left"/>
      <w:pPr>
        <w:ind w:left="1296" w:hanging="78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1">
    <w:nsid w:val="325D5AE9"/>
    <w:multiLevelType w:val="hybridMultilevel"/>
    <w:tmpl w:val="C040C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8945C4"/>
    <w:multiLevelType w:val="hybridMultilevel"/>
    <w:tmpl w:val="22F2FDCC"/>
    <w:lvl w:ilvl="0" w:tplc="F88CC5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39774B87"/>
    <w:multiLevelType w:val="hybridMultilevel"/>
    <w:tmpl w:val="46AA4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5">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A5CBD"/>
    <w:multiLevelType w:val="hybridMultilevel"/>
    <w:tmpl w:val="28D01C40"/>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nsid w:val="3FB547AB"/>
    <w:multiLevelType w:val="hybridMultilevel"/>
    <w:tmpl w:val="7466D56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30B32DD"/>
    <w:multiLevelType w:val="hybridMultilevel"/>
    <w:tmpl w:val="FF76F1A2"/>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49508E"/>
    <w:multiLevelType w:val="hybridMultilevel"/>
    <w:tmpl w:val="8F52E6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5F825811"/>
    <w:multiLevelType w:val="hybridMultilevel"/>
    <w:tmpl w:val="3104D114"/>
    <w:lvl w:ilvl="0" w:tplc="CD14FB2A">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nsid w:val="660478B7"/>
    <w:multiLevelType w:val="hybridMultilevel"/>
    <w:tmpl w:val="A38EE90E"/>
    <w:lvl w:ilvl="0" w:tplc="04260005">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nsid w:val="68F24D8A"/>
    <w:multiLevelType w:val="hybridMultilevel"/>
    <w:tmpl w:val="C5DAB34A"/>
    <w:lvl w:ilvl="0" w:tplc="9252EC9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6F167356"/>
    <w:multiLevelType w:val="hybridMultilevel"/>
    <w:tmpl w:val="A89858F4"/>
    <w:lvl w:ilvl="0" w:tplc="B27276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5FE6ED3"/>
    <w:multiLevelType w:val="hybridMultilevel"/>
    <w:tmpl w:val="3F66AB64"/>
    <w:lvl w:ilvl="0" w:tplc="1CC87DCA">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9">
    <w:nsid w:val="77636250"/>
    <w:multiLevelType w:val="hybridMultilevel"/>
    <w:tmpl w:val="E7DA57B4"/>
    <w:lvl w:ilvl="0" w:tplc="04260011">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nsid w:val="7810456B"/>
    <w:multiLevelType w:val="hybridMultilevel"/>
    <w:tmpl w:val="CEDECE66"/>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1">
    <w:nsid w:val="78510B08"/>
    <w:multiLevelType w:val="hybridMultilevel"/>
    <w:tmpl w:val="A43613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9A206004">
      <w:start w:val="1"/>
      <w:numFmt w:val="lowerLetter"/>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8AA512C"/>
    <w:multiLevelType w:val="hybridMultilevel"/>
    <w:tmpl w:val="19702A00"/>
    <w:lvl w:ilvl="0" w:tplc="5ED8148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9311CE3"/>
    <w:multiLevelType w:val="hybridMultilevel"/>
    <w:tmpl w:val="AB661908"/>
    <w:lvl w:ilvl="0" w:tplc="A998D97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68AACE2A">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D5E43E0"/>
    <w:multiLevelType w:val="hybridMultilevel"/>
    <w:tmpl w:val="F3D84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6"/>
  </w:num>
  <w:num w:numId="4">
    <w:abstractNumId w:val="25"/>
  </w:num>
  <w:num w:numId="5">
    <w:abstractNumId w:val="20"/>
  </w:num>
  <w:num w:numId="6">
    <w:abstractNumId w:val="3"/>
  </w:num>
  <w:num w:numId="7">
    <w:abstractNumId w:val="33"/>
  </w:num>
  <w:num w:numId="8">
    <w:abstractNumId w:val="2"/>
  </w:num>
  <w:num w:numId="9">
    <w:abstractNumId w:val="31"/>
  </w:num>
  <w:num w:numId="10">
    <w:abstractNumId w:val="6"/>
  </w:num>
  <w:num w:numId="11">
    <w:abstractNumId w:val="0"/>
  </w:num>
  <w:num w:numId="12">
    <w:abstractNumId w:val="24"/>
  </w:num>
  <w:num w:numId="13">
    <w:abstractNumId w:val="4"/>
  </w:num>
  <w:num w:numId="14">
    <w:abstractNumId w:val="27"/>
  </w:num>
  <w:num w:numId="15">
    <w:abstractNumId w:val="12"/>
  </w:num>
  <w:num w:numId="16">
    <w:abstractNumId w:val="1"/>
  </w:num>
  <w:num w:numId="17">
    <w:abstractNumId w:val="11"/>
  </w:num>
  <w:num w:numId="18">
    <w:abstractNumId w:val="13"/>
  </w:num>
  <w:num w:numId="19">
    <w:abstractNumId w:val="34"/>
  </w:num>
  <w:num w:numId="20">
    <w:abstractNumId w:val="23"/>
  </w:num>
  <w:num w:numId="21">
    <w:abstractNumId w:val="21"/>
  </w:num>
  <w:num w:numId="22">
    <w:abstractNumId w:val="26"/>
  </w:num>
  <w:num w:numId="23">
    <w:abstractNumId w:val="19"/>
  </w:num>
  <w:num w:numId="24">
    <w:abstractNumId w:val="8"/>
  </w:num>
  <w:num w:numId="25">
    <w:abstractNumId w:val="36"/>
  </w:num>
  <w:num w:numId="26">
    <w:abstractNumId w:val="7"/>
  </w:num>
  <w:num w:numId="27">
    <w:abstractNumId w:val="18"/>
  </w:num>
  <w:num w:numId="28">
    <w:abstractNumId w:val="17"/>
  </w:num>
  <w:num w:numId="29">
    <w:abstractNumId w:val="30"/>
  </w:num>
  <w:num w:numId="30">
    <w:abstractNumId w:val="22"/>
  </w:num>
  <w:num w:numId="31">
    <w:abstractNumId w:val="29"/>
  </w:num>
  <w:num w:numId="32">
    <w:abstractNumId w:val="5"/>
  </w:num>
  <w:num w:numId="33">
    <w:abstractNumId w:val="9"/>
  </w:num>
  <w:num w:numId="34">
    <w:abstractNumId w:val="35"/>
  </w:num>
  <w:num w:numId="35">
    <w:abstractNumId w:val="28"/>
  </w:num>
  <w:num w:numId="36">
    <w:abstractNumId w:val="32"/>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113AC"/>
    <w:rsid w:val="00017FA3"/>
    <w:rsid w:val="00020014"/>
    <w:rsid w:val="00022F70"/>
    <w:rsid w:val="00023402"/>
    <w:rsid w:val="00023893"/>
    <w:rsid w:val="00026512"/>
    <w:rsid w:val="000313BC"/>
    <w:rsid w:val="00031F96"/>
    <w:rsid w:val="0003215D"/>
    <w:rsid w:val="00036ADC"/>
    <w:rsid w:val="000376D6"/>
    <w:rsid w:val="00040238"/>
    <w:rsid w:val="000405BA"/>
    <w:rsid w:val="00040671"/>
    <w:rsid w:val="00041498"/>
    <w:rsid w:val="0004413C"/>
    <w:rsid w:val="00047349"/>
    <w:rsid w:val="000506CF"/>
    <w:rsid w:val="0005151A"/>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4236"/>
    <w:rsid w:val="0008501B"/>
    <w:rsid w:val="00086948"/>
    <w:rsid w:val="00086A35"/>
    <w:rsid w:val="00087305"/>
    <w:rsid w:val="00087368"/>
    <w:rsid w:val="00087447"/>
    <w:rsid w:val="000876BA"/>
    <w:rsid w:val="0009266F"/>
    <w:rsid w:val="0009556C"/>
    <w:rsid w:val="000966D7"/>
    <w:rsid w:val="00096D59"/>
    <w:rsid w:val="000A3BE5"/>
    <w:rsid w:val="000A47E4"/>
    <w:rsid w:val="000A5878"/>
    <w:rsid w:val="000B072D"/>
    <w:rsid w:val="000B1528"/>
    <w:rsid w:val="000B1BE6"/>
    <w:rsid w:val="000B3CD0"/>
    <w:rsid w:val="000B4634"/>
    <w:rsid w:val="000B5025"/>
    <w:rsid w:val="000B78D6"/>
    <w:rsid w:val="000C03F7"/>
    <w:rsid w:val="000C1578"/>
    <w:rsid w:val="000C4951"/>
    <w:rsid w:val="000C4ACF"/>
    <w:rsid w:val="000D0503"/>
    <w:rsid w:val="000D1858"/>
    <w:rsid w:val="000D3676"/>
    <w:rsid w:val="000D3CBD"/>
    <w:rsid w:val="000D406D"/>
    <w:rsid w:val="000D42CE"/>
    <w:rsid w:val="000D42F2"/>
    <w:rsid w:val="000D5F17"/>
    <w:rsid w:val="000E08B6"/>
    <w:rsid w:val="000E0C78"/>
    <w:rsid w:val="000E18A3"/>
    <w:rsid w:val="000E1A1B"/>
    <w:rsid w:val="000E1EC6"/>
    <w:rsid w:val="000E278F"/>
    <w:rsid w:val="000E7CB6"/>
    <w:rsid w:val="000F066C"/>
    <w:rsid w:val="000F0B24"/>
    <w:rsid w:val="000F244D"/>
    <w:rsid w:val="000F2F0E"/>
    <w:rsid w:val="000F3AD6"/>
    <w:rsid w:val="000F4569"/>
    <w:rsid w:val="000F480C"/>
    <w:rsid w:val="000F5666"/>
    <w:rsid w:val="001005A5"/>
    <w:rsid w:val="00100AAA"/>
    <w:rsid w:val="00100DAA"/>
    <w:rsid w:val="00103B93"/>
    <w:rsid w:val="001041FB"/>
    <w:rsid w:val="00104C4F"/>
    <w:rsid w:val="0011306F"/>
    <w:rsid w:val="00113ECC"/>
    <w:rsid w:val="00115642"/>
    <w:rsid w:val="001174E6"/>
    <w:rsid w:val="00121797"/>
    <w:rsid w:val="0012277E"/>
    <w:rsid w:val="00126D90"/>
    <w:rsid w:val="00127208"/>
    <w:rsid w:val="001278F2"/>
    <w:rsid w:val="00130C08"/>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8AF"/>
    <w:rsid w:val="00166F78"/>
    <w:rsid w:val="0017162C"/>
    <w:rsid w:val="00176233"/>
    <w:rsid w:val="00177055"/>
    <w:rsid w:val="00181FCD"/>
    <w:rsid w:val="00182865"/>
    <w:rsid w:val="001830BF"/>
    <w:rsid w:val="0018755C"/>
    <w:rsid w:val="00187E50"/>
    <w:rsid w:val="00190C19"/>
    <w:rsid w:val="00192CB5"/>
    <w:rsid w:val="001949FC"/>
    <w:rsid w:val="001962D2"/>
    <w:rsid w:val="00196380"/>
    <w:rsid w:val="00196637"/>
    <w:rsid w:val="0019713D"/>
    <w:rsid w:val="001972CC"/>
    <w:rsid w:val="00197FB3"/>
    <w:rsid w:val="001A4B3E"/>
    <w:rsid w:val="001B26E9"/>
    <w:rsid w:val="001B3E9E"/>
    <w:rsid w:val="001B4247"/>
    <w:rsid w:val="001B4CF9"/>
    <w:rsid w:val="001B6036"/>
    <w:rsid w:val="001B623C"/>
    <w:rsid w:val="001B72AA"/>
    <w:rsid w:val="001C0069"/>
    <w:rsid w:val="001C04B7"/>
    <w:rsid w:val="001C061F"/>
    <w:rsid w:val="001C3739"/>
    <w:rsid w:val="001C39FB"/>
    <w:rsid w:val="001C4B28"/>
    <w:rsid w:val="001C62D2"/>
    <w:rsid w:val="001C66F7"/>
    <w:rsid w:val="001D5A17"/>
    <w:rsid w:val="001D5FC0"/>
    <w:rsid w:val="001D6303"/>
    <w:rsid w:val="001D7512"/>
    <w:rsid w:val="001E3B39"/>
    <w:rsid w:val="001E4226"/>
    <w:rsid w:val="001E4C26"/>
    <w:rsid w:val="001E536C"/>
    <w:rsid w:val="001E5680"/>
    <w:rsid w:val="001E705F"/>
    <w:rsid w:val="001E76FC"/>
    <w:rsid w:val="001E7BA2"/>
    <w:rsid w:val="001F455F"/>
    <w:rsid w:val="001F4E26"/>
    <w:rsid w:val="001F7204"/>
    <w:rsid w:val="001F7B9D"/>
    <w:rsid w:val="00202168"/>
    <w:rsid w:val="00204A24"/>
    <w:rsid w:val="00206A1E"/>
    <w:rsid w:val="00221F2B"/>
    <w:rsid w:val="0022688F"/>
    <w:rsid w:val="00226894"/>
    <w:rsid w:val="002306BD"/>
    <w:rsid w:val="00231DC2"/>
    <w:rsid w:val="00231F4E"/>
    <w:rsid w:val="00232313"/>
    <w:rsid w:val="00234CA7"/>
    <w:rsid w:val="002355E4"/>
    <w:rsid w:val="00236989"/>
    <w:rsid w:val="00240F47"/>
    <w:rsid w:val="002412FD"/>
    <w:rsid w:val="002419F0"/>
    <w:rsid w:val="002500BA"/>
    <w:rsid w:val="00251494"/>
    <w:rsid w:val="00251DD6"/>
    <w:rsid w:val="00253014"/>
    <w:rsid w:val="002570BB"/>
    <w:rsid w:val="002576F8"/>
    <w:rsid w:val="00257B2B"/>
    <w:rsid w:val="002626D1"/>
    <w:rsid w:val="00263844"/>
    <w:rsid w:val="002709C2"/>
    <w:rsid w:val="00273A36"/>
    <w:rsid w:val="00274F3B"/>
    <w:rsid w:val="00274FF0"/>
    <w:rsid w:val="002760B7"/>
    <w:rsid w:val="0027669E"/>
    <w:rsid w:val="002808B1"/>
    <w:rsid w:val="00283DC6"/>
    <w:rsid w:val="00286D2F"/>
    <w:rsid w:val="00287098"/>
    <w:rsid w:val="00291866"/>
    <w:rsid w:val="00292A73"/>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C0EE6"/>
    <w:rsid w:val="002C2E86"/>
    <w:rsid w:val="002C7316"/>
    <w:rsid w:val="002C7EB9"/>
    <w:rsid w:val="002D1437"/>
    <w:rsid w:val="002D2854"/>
    <w:rsid w:val="002D5678"/>
    <w:rsid w:val="002D6316"/>
    <w:rsid w:val="002D70C7"/>
    <w:rsid w:val="002E0045"/>
    <w:rsid w:val="002E0AAA"/>
    <w:rsid w:val="002E2644"/>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5C45"/>
    <w:rsid w:val="00312FFA"/>
    <w:rsid w:val="00316DA5"/>
    <w:rsid w:val="00321787"/>
    <w:rsid w:val="003268BB"/>
    <w:rsid w:val="00326F18"/>
    <w:rsid w:val="00327D07"/>
    <w:rsid w:val="003303DA"/>
    <w:rsid w:val="00333DF0"/>
    <w:rsid w:val="003346B2"/>
    <w:rsid w:val="00335801"/>
    <w:rsid w:val="00336B59"/>
    <w:rsid w:val="00342457"/>
    <w:rsid w:val="00342635"/>
    <w:rsid w:val="00342B5E"/>
    <w:rsid w:val="00342DD0"/>
    <w:rsid w:val="00346FF7"/>
    <w:rsid w:val="00347F57"/>
    <w:rsid w:val="00350D58"/>
    <w:rsid w:val="00351306"/>
    <w:rsid w:val="00352DFA"/>
    <w:rsid w:val="00353055"/>
    <w:rsid w:val="003538CB"/>
    <w:rsid w:val="00354C3E"/>
    <w:rsid w:val="00355258"/>
    <w:rsid w:val="00355DCC"/>
    <w:rsid w:val="00356690"/>
    <w:rsid w:val="00363751"/>
    <w:rsid w:val="0036405D"/>
    <w:rsid w:val="00364BF9"/>
    <w:rsid w:val="00365807"/>
    <w:rsid w:val="00366EA9"/>
    <w:rsid w:val="00371DB6"/>
    <w:rsid w:val="00371DC1"/>
    <w:rsid w:val="00372C9B"/>
    <w:rsid w:val="003760C3"/>
    <w:rsid w:val="0037617D"/>
    <w:rsid w:val="003774F4"/>
    <w:rsid w:val="00380382"/>
    <w:rsid w:val="0038114B"/>
    <w:rsid w:val="003815A5"/>
    <w:rsid w:val="00382D36"/>
    <w:rsid w:val="003855A4"/>
    <w:rsid w:val="00387DE2"/>
    <w:rsid w:val="00391E6C"/>
    <w:rsid w:val="0039245E"/>
    <w:rsid w:val="00392828"/>
    <w:rsid w:val="0039499E"/>
    <w:rsid w:val="00394A9A"/>
    <w:rsid w:val="00395C7D"/>
    <w:rsid w:val="00397073"/>
    <w:rsid w:val="0039764E"/>
    <w:rsid w:val="003A19F7"/>
    <w:rsid w:val="003A26F0"/>
    <w:rsid w:val="003A5A12"/>
    <w:rsid w:val="003A5E94"/>
    <w:rsid w:val="003B023F"/>
    <w:rsid w:val="003B257A"/>
    <w:rsid w:val="003B3537"/>
    <w:rsid w:val="003B3A52"/>
    <w:rsid w:val="003B5235"/>
    <w:rsid w:val="003B524E"/>
    <w:rsid w:val="003B629D"/>
    <w:rsid w:val="003C0AF5"/>
    <w:rsid w:val="003C1833"/>
    <w:rsid w:val="003C2CA2"/>
    <w:rsid w:val="003C5D6F"/>
    <w:rsid w:val="003D1F68"/>
    <w:rsid w:val="003D2347"/>
    <w:rsid w:val="003D356B"/>
    <w:rsid w:val="003D49AB"/>
    <w:rsid w:val="003D4E77"/>
    <w:rsid w:val="003D5E85"/>
    <w:rsid w:val="003D660B"/>
    <w:rsid w:val="003D68B4"/>
    <w:rsid w:val="003D6B1F"/>
    <w:rsid w:val="003E1987"/>
    <w:rsid w:val="003E3EAB"/>
    <w:rsid w:val="003E6F25"/>
    <w:rsid w:val="003F0E1E"/>
    <w:rsid w:val="003F109D"/>
    <w:rsid w:val="003F3244"/>
    <w:rsid w:val="003F5557"/>
    <w:rsid w:val="003F5861"/>
    <w:rsid w:val="003F63AB"/>
    <w:rsid w:val="003F7229"/>
    <w:rsid w:val="00401E7E"/>
    <w:rsid w:val="00402FF0"/>
    <w:rsid w:val="00405746"/>
    <w:rsid w:val="004057BD"/>
    <w:rsid w:val="004078BF"/>
    <w:rsid w:val="00411136"/>
    <w:rsid w:val="004113D8"/>
    <w:rsid w:val="0041556B"/>
    <w:rsid w:val="0041631F"/>
    <w:rsid w:val="00421DCA"/>
    <w:rsid w:val="004262C9"/>
    <w:rsid w:val="00426E32"/>
    <w:rsid w:val="0043430C"/>
    <w:rsid w:val="00434E7F"/>
    <w:rsid w:val="004426EB"/>
    <w:rsid w:val="00442BD4"/>
    <w:rsid w:val="00445C4C"/>
    <w:rsid w:val="004461CB"/>
    <w:rsid w:val="00456192"/>
    <w:rsid w:val="004567F6"/>
    <w:rsid w:val="00460886"/>
    <w:rsid w:val="00462FB9"/>
    <w:rsid w:val="004647F1"/>
    <w:rsid w:val="00465229"/>
    <w:rsid w:val="004664B6"/>
    <w:rsid w:val="00467619"/>
    <w:rsid w:val="00470EA5"/>
    <w:rsid w:val="0047495B"/>
    <w:rsid w:val="00474DE3"/>
    <w:rsid w:val="004771AE"/>
    <w:rsid w:val="00480A6B"/>
    <w:rsid w:val="00482C9E"/>
    <w:rsid w:val="0048336D"/>
    <w:rsid w:val="0048365B"/>
    <w:rsid w:val="00485517"/>
    <w:rsid w:val="00494019"/>
    <w:rsid w:val="00494903"/>
    <w:rsid w:val="00495214"/>
    <w:rsid w:val="00495B7A"/>
    <w:rsid w:val="00496B0B"/>
    <w:rsid w:val="00497ED0"/>
    <w:rsid w:val="004A3E36"/>
    <w:rsid w:val="004A7DE4"/>
    <w:rsid w:val="004B0639"/>
    <w:rsid w:val="004B39F6"/>
    <w:rsid w:val="004B61FF"/>
    <w:rsid w:val="004B7F40"/>
    <w:rsid w:val="004C05E6"/>
    <w:rsid w:val="004C369A"/>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F0E22"/>
    <w:rsid w:val="004F187A"/>
    <w:rsid w:val="004F470A"/>
    <w:rsid w:val="004F4B83"/>
    <w:rsid w:val="004F6944"/>
    <w:rsid w:val="004F6BB7"/>
    <w:rsid w:val="004F72DE"/>
    <w:rsid w:val="005019A4"/>
    <w:rsid w:val="00501B09"/>
    <w:rsid w:val="00503AB0"/>
    <w:rsid w:val="005055C9"/>
    <w:rsid w:val="0050680C"/>
    <w:rsid w:val="00512CE9"/>
    <w:rsid w:val="0051363B"/>
    <w:rsid w:val="00514DE7"/>
    <w:rsid w:val="00515B59"/>
    <w:rsid w:val="00524664"/>
    <w:rsid w:val="00526C0B"/>
    <w:rsid w:val="00526EDD"/>
    <w:rsid w:val="0053128D"/>
    <w:rsid w:val="0053357E"/>
    <w:rsid w:val="00533593"/>
    <w:rsid w:val="00535985"/>
    <w:rsid w:val="00536007"/>
    <w:rsid w:val="0053632E"/>
    <w:rsid w:val="00537697"/>
    <w:rsid w:val="0054260A"/>
    <w:rsid w:val="00543315"/>
    <w:rsid w:val="005437C5"/>
    <w:rsid w:val="00544D0B"/>
    <w:rsid w:val="0054514A"/>
    <w:rsid w:val="00546345"/>
    <w:rsid w:val="00550A00"/>
    <w:rsid w:val="00553977"/>
    <w:rsid w:val="005545A0"/>
    <w:rsid w:val="00555EF1"/>
    <w:rsid w:val="005576B9"/>
    <w:rsid w:val="00557D4B"/>
    <w:rsid w:val="00562307"/>
    <w:rsid w:val="005636A6"/>
    <w:rsid w:val="005637F7"/>
    <w:rsid w:val="005641FD"/>
    <w:rsid w:val="00564C2C"/>
    <w:rsid w:val="005651E9"/>
    <w:rsid w:val="00572B48"/>
    <w:rsid w:val="0057531B"/>
    <w:rsid w:val="0057531E"/>
    <w:rsid w:val="00577D67"/>
    <w:rsid w:val="0058089E"/>
    <w:rsid w:val="00580FAC"/>
    <w:rsid w:val="00580FD9"/>
    <w:rsid w:val="00584DB9"/>
    <w:rsid w:val="00585567"/>
    <w:rsid w:val="0058721B"/>
    <w:rsid w:val="00592DD8"/>
    <w:rsid w:val="00593077"/>
    <w:rsid w:val="0059406A"/>
    <w:rsid w:val="005961EF"/>
    <w:rsid w:val="00596204"/>
    <w:rsid w:val="0059696A"/>
    <w:rsid w:val="005A10F7"/>
    <w:rsid w:val="005A16EB"/>
    <w:rsid w:val="005B0A0B"/>
    <w:rsid w:val="005B19B9"/>
    <w:rsid w:val="005B37D8"/>
    <w:rsid w:val="005B3840"/>
    <w:rsid w:val="005B3FAB"/>
    <w:rsid w:val="005B413B"/>
    <w:rsid w:val="005C2ECF"/>
    <w:rsid w:val="005C4E7D"/>
    <w:rsid w:val="005C7C46"/>
    <w:rsid w:val="005D31B8"/>
    <w:rsid w:val="005D359F"/>
    <w:rsid w:val="005D42AC"/>
    <w:rsid w:val="005D6BB4"/>
    <w:rsid w:val="005D712B"/>
    <w:rsid w:val="005E0302"/>
    <w:rsid w:val="005E0F38"/>
    <w:rsid w:val="005E1C47"/>
    <w:rsid w:val="005E57D7"/>
    <w:rsid w:val="005E6641"/>
    <w:rsid w:val="005E7379"/>
    <w:rsid w:val="005F03C1"/>
    <w:rsid w:val="005F1A67"/>
    <w:rsid w:val="005F7BB4"/>
    <w:rsid w:val="006034D2"/>
    <w:rsid w:val="00604607"/>
    <w:rsid w:val="00607AFA"/>
    <w:rsid w:val="00613066"/>
    <w:rsid w:val="0061331B"/>
    <w:rsid w:val="0061738F"/>
    <w:rsid w:val="00621531"/>
    <w:rsid w:val="0062442C"/>
    <w:rsid w:val="00624576"/>
    <w:rsid w:val="006274AB"/>
    <w:rsid w:val="00627D43"/>
    <w:rsid w:val="00630EEF"/>
    <w:rsid w:val="006318D7"/>
    <w:rsid w:val="00635F23"/>
    <w:rsid w:val="00641898"/>
    <w:rsid w:val="00642697"/>
    <w:rsid w:val="00643668"/>
    <w:rsid w:val="00645A85"/>
    <w:rsid w:val="0064691B"/>
    <w:rsid w:val="0064729B"/>
    <w:rsid w:val="006518A0"/>
    <w:rsid w:val="0065248E"/>
    <w:rsid w:val="006538B7"/>
    <w:rsid w:val="00654D82"/>
    <w:rsid w:val="00656714"/>
    <w:rsid w:val="0065731D"/>
    <w:rsid w:val="00657712"/>
    <w:rsid w:val="006611C5"/>
    <w:rsid w:val="00664A99"/>
    <w:rsid w:val="00665D86"/>
    <w:rsid w:val="00666680"/>
    <w:rsid w:val="00667871"/>
    <w:rsid w:val="006701FE"/>
    <w:rsid w:val="00671FE8"/>
    <w:rsid w:val="006763FE"/>
    <w:rsid w:val="00680356"/>
    <w:rsid w:val="006832A9"/>
    <w:rsid w:val="006835B8"/>
    <w:rsid w:val="00686155"/>
    <w:rsid w:val="00686802"/>
    <w:rsid w:val="00687F58"/>
    <w:rsid w:val="006907B0"/>
    <w:rsid w:val="00691D43"/>
    <w:rsid w:val="006A071E"/>
    <w:rsid w:val="006A2F64"/>
    <w:rsid w:val="006A407C"/>
    <w:rsid w:val="006A621D"/>
    <w:rsid w:val="006A6277"/>
    <w:rsid w:val="006A64B3"/>
    <w:rsid w:val="006B08DA"/>
    <w:rsid w:val="006B2A78"/>
    <w:rsid w:val="006C05CD"/>
    <w:rsid w:val="006C162C"/>
    <w:rsid w:val="006C43F2"/>
    <w:rsid w:val="006D01F6"/>
    <w:rsid w:val="006D30C2"/>
    <w:rsid w:val="006D3C00"/>
    <w:rsid w:val="006D56F4"/>
    <w:rsid w:val="006D77AB"/>
    <w:rsid w:val="006E4C7A"/>
    <w:rsid w:val="006E5ED8"/>
    <w:rsid w:val="006F0401"/>
    <w:rsid w:val="006F0763"/>
    <w:rsid w:val="006F185D"/>
    <w:rsid w:val="006F363D"/>
    <w:rsid w:val="006F505F"/>
    <w:rsid w:val="00701EE6"/>
    <w:rsid w:val="0070203A"/>
    <w:rsid w:val="00703A02"/>
    <w:rsid w:val="007047C5"/>
    <w:rsid w:val="00705B7C"/>
    <w:rsid w:val="007104DC"/>
    <w:rsid w:val="00711DAA"/>
    <w:rsid w:val="00712C5A"/>
    <w:rsid w:val="0071339C"/>
    <w:rsid w:val="0071549D"/>
    <w:rsid w:val="00716244"/>
    <w:rsid w:val="00721BE4"/>
    <w:rsid w:val="00722FDA"/>
    <w:rsid w:val="00726668"/>
    <w:rsid w:val="00731123"/>
    <w:rsid w:val="00731466"/>
    <w:rsid w:val="00733EF7"/>
    <w:rsid w:val="007349DC"/>
    <w:rsid w:val="00734D3F"/>
    <w:rsid w:val="00742290"/>
    <w:rsid w:val="00743676"/>
    <w:rsid w:val="0074472A"/>
    <w:rsid w:val="00746E4E"/>
    <w:rsid w:val="00746F1E"/>
    <w:rsid w:val="007470A9"/>
    <w:rsid w:val="007508C0"/>
    <w:rsid w:val="00753982"/>
    <w:rsid w:val="00757DA9"/>
    <w:rsid w:val="0076050A"/>
    <w:rsid w:val="00760554"/>
    <w:rsid w:val="00763F85"/>
    <w:rsid w:val="00764083"/>
    <w:rsid w:val="00764138"/>
    <w:rsid w:val="00765AA8"/>
    <w:rsid w:val="007660C5"/>
    <w:rsid w:val="00766EF8"/>
    <w:rsid w:val="00771A16"/>
    <w:rsid w:val="00773097"/>
    <w:rsid w:val="007745EF"/>
    <w:rsid w:val="00776F4C"/>
    <w:rsid w:val="0077730B"/>
    <w:rsid w:val="00780384"/>
    <w:rsid w:val="00781D39"/>
    <w:rsid w:val="00782418"/>
    <w:rsid w:val="0078448F"/>
    <w:rsid w:val="00786C4B"/>
    <w:rsid w:val="00787FEA"/>
    <w:rsid w:val="007927D1"/>
    <w:rsid w:val="007964D8"/>
    <w:rsid w:val="007A05DA"/>
    <w:rsid w:val="007A7009"/>
    <w:rsid w:val="007A7F74"/>
    <w:rsid w:val="007B0660"/>
    <w:rsid w:val="007B0CD0"/>
    <w:rsid w:val="007B0DCA"/>
    <w:rsid w:val="007B1450"/>
    <w:rsid w:val="007B386C"/>
    <w:rsid w:val="007B4B7C"/>
    <w:rsid w:val="007B5016"/>
    <w:rsid w:val="007B678F"/>
    <w:rsid w:val="007B6B13"/>
    <w:rsid w:val="007B729F"/>
    <w:rsid w:val="007B7EDC"/>
    <w:rsid w:val="007C072E"/>
    <w:rsid w:val="007C0EA2"/>
    <w:rsid w:val="007C1E94"/>
    <w:rsid w:val="007C3402"/>
    <w:rsid w:val="007C5B02"/>
    <w:rsid w:val="007C5D2E"/>
    <w:rsid w:val="007C6CC1"/>
    <w:rsid w:val="007D00FB"/>
    <w:rsid w:val="007D18FC"/>
    <w:rsid w:val="007D1B9D"/>
    <w:rsid w:val="007D2323"/>
    <w:rsid w:val="007D2C3B"/>
    <w:rsid w:val="007D7934"/>
    <w:rsid w:val="007E05BB"/>
    <w:rsid w:val="007E20B3"/>
    <w:rsid w:val="007E2169"/>
    <w:rsid w:val="007E6C1B"/>
    <w:rsid w:val="007E73A6"/>
    <w:rsid w:val="007F13C1"/>
    <w:rsid w:val="007F1804"/>
    <w:rsid w:val="007F47D8"/>
    <w:rsid w:val="00801618"/>
    <w:rsid w:val="00801B6C"/>
    <w:rsid w:val="00802CB8"/>
    <w:rsid w:val="00804844"/>
    <w:rsid w:val="00805626"/>
    <w:rsid w:val="00805C39"/>
    <w:rsid w:val="00807D35"/>
    <w:rsid w:val="00810701"/>
    <w:rsid w:val="00810BBF"/>
    <w:rsid w:val="0081164C"/>
    <w:rsid w:val="00814A88"/>
    <w:rsid w:val="00815693"/>
    <w:rsid w:val="008173A6"/>
    <w:rsid w:val="00817ADD"/>
    <w:rsid w:val="00824447"/>
    <w:rsid w:val="00825222"/>
    <w:rsid w:val="00825F39"/>
    <w:rsid w:val="00831883"/>
    <w:rsid w:val="008331C8"/>
    <w:rsid w:val="008342F2"/>
    <w:rsid w:val="00835A27"/>
    <w:rsid w:val="00835F70"/>
    <w:rsid w:val="00837140"/>
    <w:rsid w:val="008375E4"/>
    <w:rsid w:val="00841191"/>
    <w:rsid w:val="008443E5"/>
    <w:rsid w:val="008457C0"/>
    <w:rsid w:val="00846244"/>
    <w:rsid w:val="00846258"/>
    <w:rsid w:val="008473CA"/>
    <w:rsid w:val="008524DF"/>
    <w:rsid w:val="0085552D"/>
    <w:rsid w:val="00855F7B"/>
    <w:rsid w:val="00856311"/>
    <w:rsid w:val="008569A9"/>
    <w:rsid w:val="008579B8"/>
    <w:rsid w:val="00860B84"/>
    <w:rsid w:val="00865D15"/>
    <w:rsid w:val="00866B63"/>
    <w:rsid w:val="00872AD1"/>
    <w:rsid w:val="0087438B"/>
    <w:rsid w:val="00874E85"/>
    <w:rsid w:val="00876F00"/>
    <w:rsid w:val="008776BC"/>
    <w:rsid w:val="00880C15"/>
    <w:rsid w:val="00882850"/>
    <w:rsid w:val="00883F5D"/>
    <w:rsid w:val="00884418"/>
    <w:rsid w:val="0088705A"/>
    <w:rsid w:val="0089091D"/>
    <w:rsid w:val="00890F3B"/>
    <w:rsid w:val="00893C39"/>
    <w:rsid w:val="00894EFE"/>
    <w:rsid w:val="0089724E"/>
    <w:rsid w:val="00897269"/>
    <w:rsid w:val="008A051C"/>
    <w:rsid w:val="008A4B76"/>
    <w:rsid w:val="008A4ED2"/>
    <w:rsid w:val="008B148D"/>
    <w:rsid w:val="008B14B0"/>
    <w:rsid w:val="008B249A"/>
    <w:rsid w:val="008B296A"/>
    <w:rsid w:val="008B36C4"/>
    <w:rsid w:val="008B4A17"/>
    <w:rsid w:val="008B5B7D"/>
    <w:rsid w:val="008C1097"/>
    <w:rsid w:val="008C1549"/>
    <w:rsid w:val="008C22FA"/>
    <w:rsid w:val="008C287D"/>
    <w:rsid w:val="008C4B0A"/>
    <w:rsid w:val="008C63A3"/>
    <w:rsid w:val="008D27B9"/>
    <w:rsid w:val="008E22D1"/>
    <w:rsid w:val="008E350A"/>
    <w:rsid w:val="008E469A"/>
    <w:rsid w:val="008E5E46"/>
    <w:rsid w:val="008F2765"/>
    <w:rsid w:val="008F3A87"/>
    <w:rsid w:val="008F3B49"/>
    <w:rsid w:val="008F4AD0"/>
    <w:rsid w:val="008F69EB"/>
    <w:rsid w:val="008F6D17"/>
    <w:rsid w:val="00900135"/>
    <w:rsid w:val="00900EC1"/>
    <w:rsid w:val="009010EB"/>
    <w:rsid w:val="0090644A"/>
    <w:rsid w:val="00906889"/>
    <w:rsid w:val="0090739B"/>
    <w:rsid w:val="00907D30"/>
    <w:rsid w:val="00912FA3"/>
    <w:rsid w:val="00914155"/>
    <w:rsid w:val="009158A8"/>
    <w:rsid w:val="00915E5F"/>
    <w:rsid w:val="00917315"/>
    <w:rsid w:val="00917AF1"/>
    <w:rsid w:val="009214AA"/>
    <w:rsid w:val="009216DB"/>
    <w:rsid w:val="00922205"/>
    <w:rsid w:val="00924C12"/>
    <w:rsid w:val="00924C90"/>
    <w:rsid w:val="00925723"/>
    <w:rsid w:val="00927887"/>
    <w:rsid w:val="00930CAC"/>
    <w:rsid w:val="0093159B"/>
    <w:rsid w:val="00933730"/>
    <w:rsid w:val="00934A42"/>
    <w:rsid w:val="00934F5B"/>
    <w:rsid w:val="009352D2"/>
    <w:rsid w:val="009357C3"/>
    <w:rsid w:val="00936A5D"/>
    <w:rsid w:val="009406CD"/>
    <w:rsid w:val="0094237E"/>
    <w:rsid w:val="0094259F"/>
    <w:rsid w:val="00944985"/>
    <w:rsid w:val="00944C1D"/>
    <w:rsid w:val="009453EF"/>
    <w:rsid w:val="00947312"/>
    <w:rsid w:val="009510CD"/>
    <w:rsid w:val="00951D79"/>
    <w:rsid w:val="00952A54"/>
    <w:rsid w:val="00955CE0"/>
    <w:rsid w:val="00956661"/>
    <w:rsid w:val="00956B56"/>
    <w:rsid w:val="00957BFF"/>
    <w:rsid w:val="009607AC"/>
    <w:rsid w:val="009609B3"/>
    <w:rsid w:val="00961207"/>
    <w:rsid w:val="00962DF8"/>
    <w:rsid w:val="009661B9"/>
    <w:rsid w:val="0096628A"/>
    <w:rsid w:val="00966AA9"/>
    <w:rsid w:val="0097057D"/>
    <w:rsid w:val="00970861"/>
    <w:rsid w:val="009737F7"/>
    <w:rsid w:val="00974135"/>
    <w:rsid w:val="00974188"/>
    <w:rsid w:val="0098394C"/>
    <w:rsid w:val="00983B8A"/>
    <w:rsid w:val="00985099"/>
    <w:rsid w:val="0098629A"/>
    <w:rsid w:val="0098637E"/>
    <w:rsid w:val="00990D54"/>
    <w:rsid w:val="00990E99"/>
    <w:rsid w:val="009922A4"/>
    <w:rsid w:val="00992AC2"/>
    <w:rsid w:val="009954FD"/>
    <w:rsid w:val="00996F16"/>
    <w:rsid w:val="009A1A31"/>
    <w:rsid w:val="009A2488"/>
    <w:rsid w:val="009A5892"/>
    <w:rsid w:val="009A59FF"/>
    <w:rsid w:val="009A6032"/>
    <w:rsid w:val="009A6307"/>
    <w:rsid w:val="009A719C"/>
    <w:rsid w:val="009A72C5"/>
    <w:rsid w:val="009B1426"/>
    <w:rsid w:val="009B28CE"/>
    <w:rsid w:val="009B2AD0"/>
    <w:rsid w:val="009B2E90"/>
    <w:rsid w:val="009B3AA1"/>
    <w:rsid w:val="009B6E4D"/>
    <w:rsid w:val="009C067C"/>
    <w:rsid w:val="009C19B2"/>
    <w:rsid w:val="009C600B"/>
    <w:rsid w:val="009C62E4"/>
    <w:rsid w:val="009C6800"/>
    <w:rsid w:val="009D0471"/>
    <w:rsid w:val="009D0B23"/>
    <w:rsid w:val="009D36E1"/>
    <w:rsid w:val="009D4994"/>
    <w:rsid w:val="009D588F"/>
    <w:rsid w:val="009D592B"/>
    <w:rsid w:val="009D6B83"/>
    <w:rsid w:val="009D7645"/>
    <w:rsid w:val="009E0F8A"/>
    <w:rsid w:val="009E0FC5"/>
    <w:rsid w:val="009E1412"/>
    <w:rsid w:val="009E143E"/>
    <w:rsid w:val="009E49B0"/>
    <w:rsid w:val="009E5158"/>
    <w:rsid w:val="009E52AE"/>
    <w:rsid w:val="009E541C"/>
    <w:rsid w:val="009E69E6"/>
    <w:rsid w:val="009E72E9"/>
    <w:rsid w:val="009F125C"/>
    <w:rsid w:val="009F18E1"/>
    <w:rsid w:val="009F511F"/>
    <w:rsid w:val="009F75C1"/>
    <w:rsid w:val="009F7626"/>
    <w:rsid w:val="00A0030B"/>
    <w:rsid w:val="00A00C62"/>
    <w:rsid w:val="00A050BA"/>
    <w:rsid w:val="00A067D4"/>
    <w:rsid w:val="00A115D7"/>
    <w:rsid w:val="00A11E21"/>
    <w:rsid w:val="00A11E64"/>
    <w:rsid w:val="00A133DC"/>
    <w:rsid w:val="00A134A6"/>
    <w:rsid w:val="00A166A8"/>
    <w:rsid w:val="00A201BC"/>
    <w:rsid w:val="00A20BF7"/>
    <w:rsid w:val="00A20C29"/>
    <w:rsid w:val="00A20F3F"/>
    <w:rsid w:val="00A21213"/>
    <w:rsid w:val="00A227E9"/>
    <w:rsid w:val="00A23713"/>
    <w:rsid w:val="00A23E1C"/>
    <w:rsid w:val="00A27E82"/>
    <w:rsid w:val="00A312AF"/>
    <w:rsid w:val="00A31D1C"/>
    <w:rsid w:val="00A324A2"/>
    <w:rsid w:val="00A32FCA"/>
    <w:rsid w:val="00A334A9"/>
    <w:rsid w:val="00A3505C"/>
    <w:rsid w:val="00A350E7"/>
    <w:rsid w:val="00A3681C"/>
    <w:rsid w:val="00A40F6D"/>
    <w:rsid w:val="00A44BAC"/>
    <w:rsid w:val="00A45CC3"/>
    <w:rsid w:val="00A46890"/>
    <w:rsid w:val="00A46D09"/>
    <w:rsid w:val="00A50AB7"/>
    <w:rsid w:val="00A55415"/>
    <w:rsid w:val="00A5558A"/>
    <w:rsid w:val="00A55773"/>
    <w:rsid w:val="00A57435"/>
    <w:rsid w:val="00A57B6D"/>
    <w:rsid w:val="00A60F2F"/>
    <w:rsid w:val="00A63235"/>
    <w:rsid w:val="00A64937"/>
    <w:rsid w:val="00A65105"/>
    <w:rsid w:val="00A6536B"/>
    <w:rsid w:val="00A662FB"/>
    <w:rsid w:val="00A66650"/>
    <w:rsid w:val="00A66EFE"/>
    <w:rsid w:val="00A67B99"/>
    <w:rsid w:val="00A70AB0"/>
    <w:rsid w:val="00A72F68"/>
    <w:rsid w:val="00A735F8"/>
    <w:rsid w:val="00A91E43"/>
    <w:rsid w:val="00A94611"/>
    <w:rsid w:val="00A95BD5"/>
    <w:rsid w:val="00A96E94"/>
    <w:rsid w:val="00AA1184"/>
    <w:rsid w:val="00AA130A"/>
    <w:rsid w:val="00AA173D"/>
    <w:rsid w:val="00AA366D"/>
    <w:rsid w:val="00AA4605"/>
    <w:rsid w:val="00AA57B9"/>
    <w:rsid w:val="00AA6448"/>
    <w:rsid w:val="00AA692E"/>
    <w:rsid w:val="00AA7D2B"/>
    <w:rsid w:val="00AB086A"/>
    <w:rsid w:val="00AB16CD"/>
    <w:rsid w:val="00AB231C"/>
    <w:rsid w:val="00AB563E"/>
    <w:rsid w:val="00AB724A"/>
    <w:rsid w:val="00AC1E84"/>
    <w:rsid w:val="00AC226D"/>
    <w:rsid w:val="00AC3149"/>
    <w:rsid w:val="00AC3225"/>
    <w:rsid w:val="00AC40C6"/>
    <w:rsid w:val="00AC56C6"/>
    <w:rsid w:val="00AD05FE"/>
    <w:rsid w:val="00AD0E02"/>
    <w:rsid w:val="00AD1E20"/>
    <w:rsid w:val="00AD2DA1"/>
    <w:rsid w:val="00AD4968"/>
    <w:rsid w:val="00AD74FD"/>
    <w:rsid w:val="00AE22C0"/>
    <w:rsid w:val="00AE4540"/>
    <w:rsid w:val="00AF1941"/>
    <w:rsid w:val="00AF49AD"/>
    <w:rsid w:val="00AF49C3"/>
    <w:rsid w:val="00AF520F"/>
    <w:rsid w:val="00B00B68"/>
    <w:rsid w:val="00B01D5B"/>
    <w:rsid w:val="00B02A8F"/>
    <w:rsid w:val="00B039EC"/>
    <w:rsid w:val="00B075D9"/>
    <w:rsid w:val="00B105B5"/>
    <w:rsid w:val="00B11706"/>
    <w:rsid w:val="00B11A62"/>
    <w:rsid w:val="00B124DD"/>
    <w:rsid w:val="00B1388D"/>
    <w:rsid w:val="00B13927"/>
    <w:rsid w:val="00B16945"/>
    <w:rsid w:val="00B1698D"/>
    <w:rsid w:val="00B179C8"/>
    <w:rsid w:val="00B17AEC"/>
    <w:rsid w:val="00B20736"/>
    <w:rsid w:val="00B20F97"/>
    <w:rsid w:val="00B22679"/>
    <w:rsid w:val="00B22F8E"/>
    <w:rsid w:val="00B2403B"/>
    <w:rsid w:val="00B27058"/>
    <w:rsid w:val="00B274BF"/>
    <w:rsid w:val="00B31411"/>
    <w:rsid w:val="00B31A3B"/>
    <w:rsid w:val="00B32FDE"/>
    <w:rsid w:val="00B34BEE"/>
    <w:rsid w:val="00B4455D"/>
    <w:rsid w:val="00B45413"/>
    <w:rsid w:val="00B4693B"/>
    <w:rsid w:val="00B46B01"/>
    <w:rsid w:val="00B50D9D"/>
    <w:rsid w:val="00B51CB4"/>
    <w:rsid w:val="00B53B9E"/>
    <w:rsid w:val="00B606F8"/>
    <w:rsid w:val="00B60A82"/>
    <w:rsid w:val="00B60BAD"/>
    <w:rsid w:val="00B63BF0"/>
    <w:rsid w:val="00B6685D"/>
    <w:rsid w:val="00B66BA8"/>
    <w:rsid w:val="00B67AD6"/>
    <w:rsid w:val="00B701FD"/>
    <w:rsid w:val="00B720A4"/>
    <w:rsid w:val="00B7435E"/>
    <w:rsid w:val="00B758A8"/>
    <w:rsid w:val="00B76148"/>
    <w:rsid w:val="00B7689E"/>
    <w:rsid w:val="00B76A4C"/>
    <w:rsid w:val="00B76B87"/>
    <w:rsid w:val="00B8204F"/>
    <w:rsid w:val="00B8281E"/>
    <w:rsid w:val="00B83AE1"/>
    <w:rsid w:val="00B84684"/>
    <w:rsid w:val="00B848E2"/>
    <w:rsid w:val="00B85047"/>
    <w:rsid w:val="00B86CB0"/>
    <w:rsid w:val="00B86F4E"/>
    <w:rsid w:val="00B964D7"/>
    <w:rsid w:val="00B96792"/>
    <w:rsid w:val="00BA0A3D"/>
    <w:rsid w:val="00BA0E1E"/>
    <w:rsid w:val="00BA2096"/>
    <w:rsid w:val="00BA55B3"/>
    <w:rsid w:val="00BA6AAE"/>
    <w:rsid w:val="00BB1E8E"/>
    <w:rsid w:val="00BB3F85"/>
    <w:rsid w:val="00BB5B1A"/>
    <w:rsid w:val="00BB600E"/>
    <w:rsid w:val="00BB7190"/>
    <w:rsid w:val="00BC16EA"/>
    <w:rsid w:val="00BC2E71"/>
    <w:rsid w:val="00BC3037"/>
    <w:rsid w:val="00BC49A3"/>
    <w:rsid w:val="00BC7474"/>
    <w:rsid w:val="00BC7F8B"/>
    <w:rsid w:val="00BD0D58"/>
    <w:rsid w:val="00BD2A15"/>
    <w:rsid w:val="00BD5377"/>
    <w:rsid w:val="00BD6245"/>
    <w:rsid w:val="00BE0826"/>
    <w:rsid w:val="00BE360D"/>
    <w:rsid w:val="00BE6FB9"/>
    <w:rsid w:val="00BF2C96"/>
    <w:rsid w:val="00BF3ADF"/>
    <w:rsid w:val="00C01326"/>
    <w:rsid w:val="00C044BA"/>
    <w:rsid w:val="00C07733"/>
    <w:rsid w:val="00C078B0"/>
    <w:rsid w:val="00C1026D"/>
    <w:rsid w:val="00C110A2"/>
    <w:rsid w:val="00C1187A"/>
    <w:rsid w:val="00C11926"/>
    <w:rsid w:val="00C11A7B"/>
    <w:rsid w:val="00C12E26"/>
    <w:rsid w:val="00C13875"/>
    <w:rsid w:val="00C14A5D"/>
    <w:rsid w:val="00C16A21"/>
    <w:rsid w:val="00C16C02"/>
    <w:rsid w:val="00C1774E"/>
    <w:rsid w:val="00C212F7"/>
    <w:rsid w:val="00C2155A"/>
    <w:rsid w:val="00C23948"/>
    <w:rsid w:val="00C23D15"/>
    <w:rsid w:val="00C23F6D"/>
    <w:rsid w:val="00C24B07"/>
    <w:rsid w:val="00C26624"/>
    <w:rsid w:val="00C266B3"/>
    <w:rsid w:val="00C26BD1"/>
    <w:rsid w:val="00C304A2"/>
    <w:rsid w:val="00C3051A"/>
    <w:rsid w:val="00C3429D"/>
    <w:rsid w:val="00C348BD"/>
    <w:rsid w:val="00C34FB0"/>
    <w:rsid w:val="00C44AF1"/>
    <w:rsid w:val="00C45C03"/>
    <w:rsid w:val="00C45DA6"/>
    <w:rsid w:val="00C473ED"/>
    <w:rsid w:val="00C52A7E"/>
    <w:rsid w:val="00C55F65"/>
    <w:rsid w:val="00C56635"/>
    <w:rsid w:val="00C5695A"/>
    <w:rsid w:val="00C60678"/>
    <w:rsid w:val="00C61322"/>
    <w:rsid w:val="00C646E8"/>
    <w:rsid w:val="00C64ED7"/>
    <w:rsid w:val="00C66124"/>
    <w:rsid w:val="00C73F6E"/>
    <w:rsid w:val="00C75AFD"/>
    <w:rsid w:val="00C7767B"/>
    <w:rsid w:val="00C80177"/>
    <w:rsid w:val="00C81201"/>
    <w:rsid w:val="00C83970"/>
    <w:rsid w:val="00C84AB3"/>
    <w:rsid w:val="00C876CC"/>
    <w:rsid w:val="00C90299"/>
    <w:rsid w:val="00C903C7"/>
    <w:rsid w:val="00C92809"/>
    <w:rsid w:val="00C932AB"/>
    <w:rsid w:val="00C938A5"/>
    <w:rsid w:val="00C96099"/>
    <w:rsid w:val="00C9798D"/>
    <w:rsid w:val="00CA3B2C"/>
    <w:rsid w:val="00CA5C86"/>
    <w:rsid w:val="00CA6C55"/>
    <w:rsid w:val="00CA7DBC"/>
    <w:rsid w:val="00CB21B8"/>
    <w:rsid w:val="00CB45B4"/>
    <w:rsid w:val="00CB6696"/>
    <w:rsid w:val="00CB7457"/>
    <w:rsid w:val="00CC00E3"/>
    <w:rsid w:val="00CC0E59"/>
    <w:rsid w:val="00CC17C4"/>
    <w:rsid w:val="00CC3C87"/>
    <w:rsid w:val="00CC5699"/>
    <w:rsid w:val="00CC71F7"/>
    <w:rsid w:val="00CC73AF"/>
    <w:rsid w:val="00CD0751"/>
    <w:rsid w:val="00CD333E"/>
    <w:rsid w:val="00CD4A69"/>
    <w:rsid w:val="00CD607F"/>
    <w:rsid w:val="00CE27EA"/>
    <w:rsid w:val="00CE3C79"/>
    <w:rsid w:val="00CE4E41"/>
    <w:rsid w:val="00CE6CBE"/>
    <w:rsid w:val="00CE6F0C"/>
    <w:rsid w:val="00CF42AE"/>
    <w:rsid w:val="00D00915"/>
    <w:rsid w:val="00D00CB0"/>
    <w:rsid w:val="00D02C84"/>
    <w:rsid w:val="00D03185"/>
    <w:rsid w:val="00D03F99"/>
    <w:rsid w:val="00D063A3"/>
    <w:rsid w:val="00D0699B"/>
    <w:rsid w:val="00D06EE5"/>
    <w:rsid w:val="00D073E2"/>
    <w:rsid w:val="00D0759B"/>
    <w:rsid w:val="00D07F10"/>
    <w:rsid w:val="00D10691"/>
    <w:rsid w:val="00D11A9F"/>
    <w:rsid w:val="00D121D2"/>
    <w:rsid w:val="00D12F64"/>
    <w:rsid w:val="00D16979"/>
    <w:rsid w:val="00D172B8"/>
    <w:rsid w:val="00D2303D"/>
    <w:rsid w:val="00D2363A"/>
    <w:rsid w:val="00D236D6"/>
    <w:rsid w:val="00D23703"/>
    <w:rsid w:val="00D2408B"/>
    <w:rsid w:val="00D240D1"/>
    <w:rsid w:val="00D315A7"/>
    <w:rsid w:val="00D31F09"/>
    <w:rsid w:val="00D35164"/>
    <w:rsid w:val="00D3763D"/>
    <w:rsid w:val="00D3764F"/>
    <w:rsid w:val="00D4089A"/>
    <w:rsid w:val="00D413A7"/>
    <w:rsid w:val="00D43211"/>
    <w:rsid w:val="00D44A03"/>
    <w:rsid w:val="00D47BE3"/>
    <w:rsid w:val="00D505E9"/>
    <w:rsid w:val="00D508F8"/>
    <w:rsid w:val="00D51C71"/>
    <w:rsid w:val="00D54C65"/>
    <w:rsid w:val="00D56A31"/>
    <w:rsid w:val="00D57761"/>
    <w:rsid w:val="00D704EC"/>
    <w:rsid w:val="00D7164E"/>
    <w:rsid w:val="00D72762"/>
    <w:rsid w:val="00D77C8B"/>
    <w:rsid w:val="00D80F3D"/>
    <w:rsid w:val="00D8292C"/>
    <w:rsid w:val="00D90D88"/>
    <w:rsid w:val="00D93228"/>
    <w:rsid w:val="00D95CB4"/>
    <w:rsid w:val="00D96B01"/>
    <w:rsid w:val="00D973E2"/>
    <w:rsid w:val="00D97C3A"/>
    <w:rsid w:val="00D97FA5"/>
    <w:rsid w:val="00DA3BBE"/>
    <w:rsid w:val="00DA506E"/>
    <w:rsid w:val="00DA736C"/>
    <w:rsid w:val="00DA7552"/>
    <w:rsid w:val="00DB2C3C"/>
    <w:rsid w:val="00DB3E8C"/>
    <w:rsid w:val="00DB479F"/>
    <w:rsid w:val="00DB7418"/>
    <w:rsid w:val="00DC061B"/>
    <w:rsid w:val="00DC0FF9"/>
    <w:rsid w:val="00DC1482"/>
    <w:rsid w:val="00DC20FA"/>
    <w:rsid w:val="00DC5C41"/>
    <w:rsid w:val="00DC7F82"/>
    <w:rsid w:val="00DD013B"/>
    <w:rsid w:val="00DD1086"/>
    <w:rsid w:val="00DD194D"/>
    <w:rsid w:val="00DD2EFA"/>
    <w:rsid w:val="00DD3F2C"/>
    <w:rsid w:val="00DD6ECF"/>
    <w:rsid w:val="00DE0950"/>
    <w:rsid w:val="00DE2661"/>
    <w:rsid w:val="00DE2D30"/>
    <w:rsid w:val="00DE3035"/>
    <w:rsid w:val="00DE5919"/>
    <w:rsid w:val="00DF26A7"/>
    <w:rsid w:val="00DF4345"/>
    <w:rsid w:val="00DF6528"/>
    <w:rsid w:val="00E00701"/>
    <w:rsid w:val="00E00997"/>
    <w:rsid w:val="00E017FB"/>
    <w:rsid w:val="00E04D12"/>
    <w:rsid w:val="00E062B1"/>
    <w:rsid w:val="00E10074"/>
    <w:rsid w:val="00E102DA"/>
    <w:rsid w:val="00E12D65"/>
    <w:rsid w:val="00E13EED"/>
    <w:rsid w:val="00E13FE4"/>
    <w:rsid w:val="00E15786"/>
    <w:rsid w:val="00E15DD7"/>
    <w:rsid w:val="00E22274"/>
    <w:rsid w:val="00E246E9"/>
    <w:rsid w:val="00E253F8"/>
    <w:rsid w:val="00E32F18"/>
    <w:rsid w:val="00E36598"/>
    <w:rsid w:val="00E36889"/>
    <w:rsid w:val="00E36CE0"/>
    <w:rsid w:val="00E3758B"/>
    <w:rsid w:val="00E428DA"/>
    <w:rsid w:val="00E44654"/>
    <w:rsid w:val="00E45363"/>
    <w:rsid w:val="00E468EE"/>
    <w:rsid w:val="00E47430"/>
    <w:rsid w:val="00E475DA"/>
    <w:rsid w:val="00E47E9D"/>
    <w:rsid w:val="00E51F9C"/>
    <w:rsid w:val="00E521E0"/>
    <w:rsid w:val="00E52C61"/>
    <w:rsid w:val="00E553A4"/>
    <w:rsid w:val="00E56C7D"/>
    <w:rsid w:val="00E60705"/>
    <w:rsid w:val="00E60E73"/>
    <w:rsid w:val="00E6260F"/>
    <w:rsid w:val="00E6500A"/>
    <w:rsid w:val="00E711C7"/>
    <w:rsid w:val="00E718C0"/>
    <w:rsid w:val="00E73ED0"/>
    <w:rsid w:val="00E81F50"/>
    <w:rsid w:val="00E83AFD"/>
    <w:rsid w:val="00E83F56"/>
    <w:rsid w:val="00E83FF0"/>
    <w:rsid w:val="00E859FE"/>
    <w:rsid w:val="00E8605F"/>
    <w:rsid w:val="00E86CAA"/>
    <w:rsid w:val="00E91778"/>
    <w:rsid w:val="00E92135"/>
    <w:rsid w:val="00E92998"/>
    <w:rsid w:val="00E93FC1"/>
    <w:rsid w:val="00E95B84"/>
    <w:rsid w:val="00E97F33"/>
    <w:rsid w:val="00EA0EA9"/>
    <w:rsid w:val="00EA14F4"/>
    <w:rsid w:val="00EA3612"/>
    <w:rsid w:val="00EA7CFC"/>
    <w:rsid w:val="00EB10CE"/>
    <w:rsid w:val="00EB1F46"/>
    <w:rsid w:val="00EB2418"/>
    <w:rsid w:val="00EB3416"/>
    <w:rsid w:val="00EB55E0"/>
    <w:rsid w:val="00EB606C"/>
    <w:rsid w:val="00EB60D7"/>
    <w:rsid w:val="00EB66EE"/>
    <w:rsid w:val="00EB6BDD"/>
    <w:rsid w:val="00EC1EFF"/>
    <w:rsid w:val="00ED00A1"/>
    <w:rsid w:val="00ED394B"/>
    <w:rsid w:val="00ED526A"/>
    <w:rsid w:val="00ED7716"/>
    <w:rsid w:val="00EE1C0A"/>
    <w:rsid w:val="00EE55BE"/>
    <w:rsid w:val="00EF18C0"/>
    <w:rsid w:val="00EF5325"/>
    <w:rsid w:val="00EF7677"/>
    <w:rsid w:val="00F038CC"/>
    <w:rsid w:val="00F044C0"/>
    <w:rsid w:val="00F04F3F"/>
    <w:rsid w:val="00F07B56"/>
    <w:rsid w:val="00F10D97"/>
    <w:rsid w:val="00F1262F"/>
    <w:rsid w:val="00F12BC8"/>
    <w:rsid w:val="00F12F83"/>
    <w:rsid w:val="00F1346E"/>
    <w:rsid w:val="00F13C40"/>
    <w:rsid w:val="00F14744"/>
    <w:rsid w:val="00F14F01"/>
    <w:rsid w:val="00F204BE"/>
    <w:rsid w:val="00F3049C"/>
    <w:rsid w:val="00F32CB1"/>
    <w:rsid w:val="00F32DEB"/>
    <w:rsid w:val="00F36BA9"/>
    <w:rsid w:val="00F418B7"/>
    <w:rsid w:val="00F41EEB"/>
    <w:rsid w:val="00F421BB"/>
    <w:rsid w:val="00F428B9"/>
    <w:rsid w:val="00F44C77"/>
    <w:rsid w:val="00F4575A"/>
    <w:rsid w:val="00F4599C"/>
    <w:rsid w:val="00F46F24"/>
    <w:rsid w:val="00F504F9"/>
    <w:rsid w:val="00F52DF5"/>
    <w:rsid w:val="00F566DE"/>
    <w:rsid w:val="00F61B5A"/>
    <w:rsid w:val="00F6363C"/>
    <w:rsid w:val="00F64AFE"/>
    <w:rsid w:val="00F65C8B"/>
    <w:rsid w:val="00F703E1"/>
    <w:rsid w:val="00F71897"/>
    <w:rsid w:val="00F72516"/>
    <w:rsid w:val="00F72E15"/>
    <w:rsid w:val="00F73F7E"/>
    <w:rsid w:val="00F75197"/>
    <w:rsid w:val="00F76013"/>
    <w:rsid w:val="00F768D1"/>
    <w:rsid w:val="00F76C5F"/>
    <w:rsid w:val="00F76D08"/>
    <w:rsid w:val="00F77337"/>
    <w:rsid w:val="00F81628"/>
    <w:rsid w:val="00F81EA5"/>
    <w:rsid w:val="00F87CE5"/>
    <w:rsid w:val="00F914DC"/>
    <w:rsid w:val="00F93856"/>
    <w:rsid w:val="00F93BA5"/>
    <w:rsid w:val="00F94084"/>
    <w:rsid w:val="00F94854"/>
    <w:rsid w:val="00F95AB7"/>
    <w:rsid w:val="00FA17D9"/>
    <w:rsid w:val="00FA320C"/>
    <w:rsid w:val="00FA3E05"/>
    <w:rsid w:val="00FA495D"/>
    <w:rsid w:val="00FA72CC"/>
    <w:rsid w:val="00FA7ECC"/>
    <w:rsid w:val="00FB2997"/>
    <w:rsid w:val="00FB355E"/>
    <w:rsid w:val="00FB584C"/>
    <w:rsid w:val="00FB6FE1"/>
    <w:rsid w:val="00FC00D2"/>
    <w:rsid w:val="00FC0A70"/>
    <w:rsid w:val="00FC1357"/>
    <w:rsid w:val="00FC2E45"/>
    <w:rsid w:val="00FC2F1F"/>
    <w:rsid w:val="00FC3189"/>
    <w:rsid w:val="00FC4398"/>
    <w:rsid w:val="00FC44D0"/>
    <w:rsid w:val="00FD0B1A"/>
    <w:rsid w:val="00FD0F36"/>
    <w:rsid w:val="00FD156B"/>
    <w:rsid w:val="00FD58D3"/>
    <w:rsid w:val="00FD6BEE"/>
    <w:rsid w:val="00FE0F4D"/>
    <w:rsid w:val="00FE15C0"/>
    <w:rsid w:val="00FE28BD"/>
    <w:rsid w:val="00FE2C48"/>
    <w:rsid w:val="00FE5447"/>
    <w:rsid w:val="00FE6D67"/>
    <w:rsid w:val="00FE792C"/>
    <w:rsid w:val="00FF003E"/>
    <w:rsid w:val="00FF2C2E"/>
    <w:rsid w:val="00FF3600"/>
    <w:rsid w:val="00FF49F6"/>
    <w:rsid w:val="00FF7597"/>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6EEEF"/>
  <w15:docId w15:val="{79E17A98-B111-4B6D-AFF7-B569012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9A72C5"/>
    <w:rPr>
      <w:rFonts w:ascii="Times New Roman" w:hAnsi="Times New Roman"/>
      <w:vertAlign w:val="superscript"/>
    </w:rPr>
  </w:style>
  <w:style w:type="paragraph" w:styleId="ListParagraph">
    <w:name w:val="List Paragraph"/>
    <w:aliases w:val="2,Strip,H&amp;P List Paragraph,Colorful List - Accent 12,Colorful List - Accent 11"/>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Strip Char,H&amp;P List Paragraph Char,Colorful List - Accent 12 Char,Colorful List - Accent 11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0321">
      <w:bodyDiv w:val="1"/>
      <w:marLeft w:val="0"/>
      <w:marRight w:val="0"/>
      <w:marTop w:val="0"/>
      <w:marBottom w:val="0"/>
      <w:divBdr>
        <w:top w:val="none" w:sz="0" w:space="0" w:color="auto"/>
        <w:left w:val="none" w:sz="0" w:space="0" w:color="auto"/>
        <w:bottom w:val="none" w:sz="0" w:space="0" w:color="auto"/>
        <w:right w:val="none" w:sz="0" w:space="0" w:color="auto"/>
      </w:divBdr>
    </w:div>
    <w:div w:id="640842356">
      <w:bodyDiv w:val="1"/>
      <w:marLeft w:val="0"/>
      <w:marRight w:val="0"/>
      <w:marTop w:val="0"/>
      <w:marBottom w:val="0"/>
      <w:divBdr>
        <w:top w:val="none" w:sz="0" w:space="0" w:color="auto"/>
        <w:left w:val="none" w:sz="0" w:space="0" w:color="auto"/>
        <w:bottom w:val="none" w:sz="0" w:space="0" w:color="auto"/>
        <w:right w:val="none" w:sz="0" w:space="0" w:color="auto"/>
      </w:divBdr>
    </w:div>
    <w:div w:id="1025331412">
      <w:bodyDiv w:val="1"/>
      <w:marLeft w:val="0"/>
      <w:marRight w:val="0"/>
      <w:marTop w:val="0"/>
      <w:marBottom w:val="0"/>
      <w:divBdr>
        <w:top w:val="none" w:sz="0" w:space="0" w:color="auto"/>
        <w:left w:val="none" w:sz="0" w:space="0" w:color="auto"/>
        <w:bottom w:val="none" w:sz="0" w:space="0" w:color="auto"/>
        <w:right w:val="none" w:sz="0" w:space="0" w:color="auto"/>
      </w:divBdr>
    </w:div>
    <w:div w:id="1098284840">
      <w:bodyDiv w:val="1"/>
      <w:marLeft w:val="0"/>
      <w:marRight w:val="0"/>
      <w:marTop w:val="0"/>
      <w:marBottom w:val="0"/>
      <w:divBdr>
        <w:top w:val="none" w:sz="0" w:space="0" w:color="auto"/>
        <w:left w:val="none" w:sz="0" w:space="0" w:color="auto"/>
        <w:bottom w:val="none" w:sz="0" w:space="0" w:color="auto"/>
        <w:right w:val="none" w:sz="0" w:space="0" w:color="auto"/>
      </w:divBdr>
    </w:div>
    <w:div w:id="1174802289">
      <w:bodyDiv w:val="1"/>
      <w:marLeft w:val="0"/>
      <w:marRight w:val="0"/>
      <w:marTop w:val="0"/>
      <w:marBottom w:val="0"/>
      <w:divBdr>
        <w:top w:val="none" w:sz="0" w:space="0" w:color="auto"/>
        <w:left w:val="none" w:sz="0" w:space="0" w:color="auto"/>
        <w:bottom w:val="none" w:sz="0" w:space="0" w:color="auto"/>
        <w:right w:val="none" w:sz="0" w:space="0" w:color="auto"/>
      </w:divBdr>
    </w:div>
    <w:div w:id="1244028516">
      <w:bodyDiv w:val="1"/>
      <w:marLeft w:val="0"/>
      <w:marRight w:val="0"/>
      <w:marTop w:val="0"/>
      <w:marBottom w:val="0"/>
      <w:divBdr>
        <w:top w:val="none" w:sz="0" w:space="0" w:color="auto"/>
        <w:left w:val="none" w:sz="0" w:space="0" w:color="auto"/>
        <w:bottom w:val="none" w:sz="0" w:space="0" w:color="auto"/>
        <w:right w:val="none" w:sz="0" w:space="0" w:color="auto"/>
      </w:divBdr>
    </w:div>
    <w:div w:id="1329283359">
      <w:bodyDiv w:val="1"/>
      <w:marLeft w:val="0"/>
      <w:marRight w:val="0"/>
      <w:marTop w:val="0"/>
      <w:marBottom w:val="0"/>
      <w:divBdr>
        <w:top w:val="none" w:sz="0" w:space="0" w:color="auto"/>
        <w:left w:val="none" w:sz="0" w:space="0" w:color="auto"/>
        <w:bottom w:val="none" w:sz="0" w:space="0" w:color="auto"/>
        <w:right w:val="none" w:sz="0" w:space="0" w:color="auto"/>
      </w:divBdr>
    </w:div>
    <w:div w:id="1366829208">
      <w:bodyDiv w:val="1"/>
      <w:marLeft w:val="0"/>
      <w:marRight w:val="0"/>
      <w:marTop w:val="0"/>
      <w:marBottom w:val="0"/>
      <w:divBdr>
        <w:top w:val="none" w:sz="0" w:space="0" w:color="auto"/>
        <w:left w:val="none" w:sz="0" w:space="0" w:color="auto"/>
        <w:bottom w:val="none" w:sz="0" w:space="0" w:color="auto"/>
        <w:right w:val="none" w:sz="0" w:space="0" w:color="auto"/>
      </w:divBdr>
    </w:div>
    <w:div w:id="1367608939">
      <w:bodyDiv w:val="1"/>
      <w:marLeft w:val="0"/>
      <w:marRight w:val="0"/>
      <w:marTop w:val="0"/>
      <w:marBottom w:val="0"/>
      <w:divBdr>
        <w:top w:val="none" w:sz="0" w:space="0" w:color="auto"/>
        <w:left w:val="none" w:sz="0" w:space="0" w:color="auto"/>
        <w:bottom w:val="none" w:sz="0" w:space="0" w:color="auto"/>
        <w:right w:val="none" w:sz="0" w:space="0" w:color="auto"/>
      </w:divBdr>
      <w:divsChild>
        <w:div w:id="1835298367">
          <w:marLeft w:val="274"/>
          <w:marRight w:val="0"/>
          <w:marTop w:val="0"/>
          <w:marBottom w:val="0"/>
          <w:divBdr>
            <w:top w:val="none" w:sz="0" w:space="0" w:color="auto"/>
            <w:left w:val="none" w:sz="0" w:space="0" w:color="auto"/>
            <w:bottom w:val="none" w:sz="0" w:space="0" w:color="auto"/>
            <w:right w:val="none" w:sz="0" w:space="0" w:color="auto"/>
          </w:divBdr>
        </w:div>
        <w:div w:id="1058431557">
          <w:marLeft w:val="274"/>
          <w:marRight w:val="0"/>
          <w:marTop w:val="0"/>
          <w:marBottom w:val="0"/>
          <w:divBdr>
            <w:top w:val="none" w:sz="0" w:space="0" w:color="auto"/>
            <w:left w:val="none" w:sz="0" w:space="0" w:color="auto"/>
            <w:bottom w:val="none" w:sz="0" w:space="0" w:color="auto"/>
            <w:right w:val="none" w:sz="0" w:space="0" w:color="auto"/>
          </w:divBdr>
        </w:div>
        <w:div w:id="1829905953">
          <w:marLeft w:val="274"/>
          <w:marRight w:val="0"/>
          <w:marTop w:val="0"/>
          <w:marBottom w:val="0"/>
          <w:divBdr>
            <w:top w:val="none" w:sz="0" w:space="0" w:color="auto"/>
            <w:left w:val="none" w:sz="0" w:space="0" w:color="auto"/>
            <w:bottom w:val="none" w:sz="0" w:space="0" w:color="auto"/>
            <w:right w:val="none" w:sz="0" w:space="0" w:color="auto"/>
          </w:divBdr>
        </w:div>
      </w:divsChild>
    </w:div>
    <w:div w:id="1910580106">
      <w:bodyDiv w:val="1"/>
      <w:marLeft w:val="0"/>
      <w:marRight w:val="0"/>
      <w:marTop w:val="0"/>
      <w:marBottom w:val="0"/>
      <w:divBdr>
        <w:top w:val="none" w:sz="0" w:space="0" w:color="auto"/>
        <w:left w:val="none" w:sz="0" w:space="0" w:color="auto"/>
        <w:bottom w:val="none" w:sz="0" w:space="0" w:color="auto"/>
        <w:right w:val="none" w:sz="0" w:space="0" w:color="auto"/>
      </w:divBdr>
      <w:divsChild>
        <w:div w:id="1346250592">
          <w:marLeft w:val="274"/>
          <w:marRight w:val="0"/>
          <w:marTop w:val="0"/>
          <w:marBottom w:val="0"/>
          <w:divBdr>
            <w:top w:val="none" w:sz="0" w:space="0" w:color="auto"/>
            <w:left w:val="none" w:sz="0" w:space="0" w:color="auto"/>
            <w:bottom w:val="none" w:sz="0" w:space="0" w:color="auto"/>
            <w:right w:val="none" w:sz="0" w:space="0" w:color="auto"/>
          </w:divBdr>
        </w:div>
        <w:div w:id="1222789951">
          <w:marLeft w:val="274"/>
          <w:marRight w:val="0"/>
          <w:marTop w:val="0"/>
          <w:marBottom w:val="0"/>
          <w:divBdr>
            <w:top w:val="none" w:sz="0" w:space="0" w:color="auto"/>
            <w:left w:val="none" w:sz="0" w:space="0" w:color="auto"/>
            <w:bottom w:val="none" w:sz="0" w:space="0" w:color="auto"/>
            <w:right w:val="none" w:sz="0" w:space="0" w:color="auto"/>
          </w:divBdr>
        </w:div>
        <w:div w:id="3529956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amaksa-galvenie-raditaji-30270.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ma.Abizare-Vagre@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alva@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mailto:esf@iz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programmes/erasmus-plus/sites/erasmusplus/files/files/resources/erasmus-plus-programme-guide_lv.pdf" TargetMode="External"/><Relationship Id="rId3" Type="http://schemas.openxmlformats.org/officeDocument/2006/relationships/hyperlink" Target="http://tap.mk.gov.lv/lv/mk/tap/?pid=40409969&amp;mode=mk&amp;date=2017-03-28" TargetMode="External"/><Relationship Id="rId7" Type="http://schemas.openxmlformats.org/officeDocument/2006/relationships/hyperlink" Target="https://www.topuniversities.com/university-rankings" TargetMode="External"/><Relationship Id="rId2" Type="http://schemas.openxmlformats.org/officeDocument/2006/relationships/hyperlink" Target="http://tap.mk.gov.lv/mk/mksedes/saraksts/protokols/?protokols=2017-03-28" TargetMode="External"/><Relationship Id="rId1" Type="http://schemas.openxmlformats.org/officeDocument/2006/relationships/hyperlink" Target="http://www.esfondi.lv/izvertejumi-1" TargetMode="External"/><Relationship Id="rId6" Type="http://schemas.openxmlformats.org/officeDocument/2006/relationships/hyperlink" Target="http://titania.saeima.lv/LIVS12/saeimalivs12.nsf/0/AB0FFECE373AC32CC22581D3004B77E6?OpenDocument" TargetMode="External"/><Relationship Id="rId5" Type="http://schemas.openxmlformats.org/officeDocument/2006/relationships/hyperlink" Target="http://www.enaee.eu/" TargetMode="External"/><Relationship Id="rId4" Type="http://schemas.openxmlformats.org/officeDocument/2006/relationships/hyperlink" Target="http://www.eqanie.eu" TargetMode="External"/><Relationship Id="rId9" Type="http://schemas.openxmlformats.org/officeDocument/2006/relationships/hyperlink" Target="https://www.makroekonomika.lv/pakalpojumu-eksporta-nozime-latvijas-ekonomik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468E-D7DE-42D4-AAF0-172EB338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48020</Words>
  <Characters>27372</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8.2.1. specifiskā atbalsta mērķa „Samazināt studiju programmu fragmentāciju un stiprināt resursu koplietošanu”</vt:lpstr>
    </vt:vector>
  </TitlesOfParts>
  <Company>Izgl'itibas un zinatnes ministrija</Company>
  <LinksUpToDate>false</LinksUpToDate>
  <CharactersWithSpaces>75242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8.2.1. specifiskā atbalsta mērķa „Samazināt studiju programmu fragmentāciju un stiprināt resursu koplietošanu”</dc:title>
  <dc:subject>Anotācija</dc:subject>
  <dc:creator>Vēsma Abizāre - Vagre</dc:creator>
  <cp:keywords>tel.67047864, vesma.abizare-vagre@izm.gov.lv</cp:keywords>
  <dc:description>Vesma.Abizare-Vage@izm.gov.lv, 67047864</dc:description>
  <cp:lastModifiedBy>Inese Kalva</cp:lastModifiedBy>
  <cp:revision>11</cp:revision>
  <cp:lastPrinted>2017-12-06T13:31:00Z</cp:lastPrinted>
  <dcterms:created xsi:type="dcterms:W3CDTF">2017-12-13T06:57:00Z</dcterms:created>
  <dcterms:modified xsi:type="dcterms:W3CDTF">2017-12-13T14:46:00Z</dcterms:modified>
</cp:coreProperties>
</file>