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84393" w14:textId="77777777" w:rsidR="0046613A" w:rsidRPr="004B5786" w:rsidRDefault="0046613A" w:rsidP="0046613A">
      <w:pPr>
        <w:shd w:val="clear" w:color="auto" w:fill="FFFFFF"/>
        <w:jc w:val="right"/>
        <w:rPr>
          <w:rFonts w:eastAsia="Times New Roman" w:cs="Times New Roman"/>
          <w:szCs w:val="24"/>
          <w:lang w:eastAsia="lv-LV"/>
        </w:rPr>
      </w:pPr>
      <w:r w:rsidRPr="004B5786">
        <w:rPr>
          <w:rFonts w:eastAsia="Times New Roman" w:cs="Times New Roman"/>
          <w:szCs w:val="24"/>
          <w:lang w:eastAsia="lv-LV"/>
        </w:rPr>
        <w:t>Likumprojekts</w:t>
      </w:r>
    </w:p>
    <w:p w14:paraId="3725297B" w14:textId="77777777" w:rsidR="0046613A" w:rsidRPr="004B5786" w:rsidRDefault="0046613A" w:rsidP="0046613A">
      <w:pPr>
        <w:shd w:val="clear" w:color="auto" w:fill="FFFFFF"/>
        <w:jc w:val="center"/>
        <w:rPr>
          <w:rFonts w:eastAsia="Times New Roman" w:cs="Times New Roman"/>
          <w:szCs w:val="24"/>
          <w:lang w:eastAsia="lv-LV"/>
        </w:rPr>
      </w:pPr>
      <w:r w:rsidRPr="004B5786">
        <w:rPr>
          <w:rFonts w:eastAsia="Times New Roman" w:cs="Times New Roman"/>
          <w:b/>
          <w:bCs/>
          <w:szCs w:val="24"/>
          <w:lang w:eastAsia="lv-LV"/>
        </w:rPr>
        <w:t> </w:t>
      </w:r>
    </w:p>
    <w:p w14:paraId="27B52DAD" w14:textId="77777777" w:rsidR="0046613A" w:rsidRPr="004B5786" w:rsidRDefault="0046613A" w:rsidP="0046613A">
      <w:pPr>
        <w:shd w:val="clear" w:color="auto" w:fill="FFFFFF"/>
        <w:jc w:val="center"/>
        <w:rPr>
          <w:rFonts w:eastAsia="Times New Roman" w:cs="Times New Roman"/>
          <w:szCs w:val="24"/>
          <w:lang w:eastAsia="lv-LV"/>
        </w:rPr>
      </w:pPr>
      <w:r w:rsidRPr="004B5786">
        <w:rPr>
          <w:rFonts w:eastAsia="Times New Roman" w:cs="Times New Roman"/>
          <w:b/>
          <w:bCs/>
          <w:szCs w:val="24"/>
          <w:lang w:eastAsia="lv-LV"/>
        </w:rPr>
        <w:t>Grozījumi likumā "Par nodokļu piemērošanu brīvostās un speciālajās ekonomiskajās zonās"</w:t>
      </w:r>
    </w:p>
    <w:p w14:paraId="6CA5FF17" w14:textId="77777777" w:rsidR="0046613A" w:rsidRPr="004B5786" w:rsidRDefault="0046613A" w:rsidP="0046613A">
      <w:pPr>
        <w:shd w:val="clear" w:color="auto" w:fill="FFFFFF"/>
        <w:jc w:val="center"/>
        <w:rPr>
          <w:rFonts w:eastAsia="Times New Roman" w:cs="Times New Roman"/>
          <w:szCs w:val="24"/>
          <w:lang w:eastAsia="lv-LV"/>
        </w:rPr>
      </w:pPr>
      <w:r w:rsidRPr="004B5786">
        <w:rPr>
          <w:rFonts w:eastAsia="Times New Roman" w:cs="Times New Roman"/>
          <w:b/>
          <w:bCs/>
          <w:szCs w:val="24"/>
          <w:lang w:eastAsia="lv-LV"/>
        </w:rPr>
        <w:t> </w:t>
      </w:r>
    </w:p>
    <w:p w14:paraId="37380CDE" w14:textId="77777777" w:rsidR="0046613A" w:rsidRPr="004B5786" w:rsidRDefault="0046613A" w:rsidP="0082321B">
      <w:pPr>
        <w:shd w:val="clear" w:color="auto" w:fill="FFFFFF"/>
        <w:jc w:val="both"/>
        <w:rPr>
          <w:rFonts w:eastAsia="Times New Roman" w:cs="Times New Roman"/>
          <w:szCs w:val="24"/>
          <w:lang w:eastAsia="lv-LV"/>
        </w:rPr>
      </w:pPr>
      <w:r w:rsidRPr="004B5786">
        <w:rPr>
          <w:rFonts w:eastAsia="Times New Roman" w:cs="Times New Roman"/>
          <w:szCs w:val="24"/>
          <w:lang w:eastAsia="lv-LV"/>
        </w:rPr>
        <w:t xml:space="preserve">Izdarīt likumā </w:t>
      </w:r>
      <w:r w:rsidR="00477873" w:rsidRPr="004B5786">
        <w:rPr>
          <w:rFonts w:eastAsia="Times New Roman" w:cs="Times New Roman"/>
          <w:szCs w:val="24"/>
          <w:lang w:eastAsia="lv-LV"/>
        </w:rPr>
        <w:t xml:space="preserve">"Par nodokļu piemērošanu brīvostās un speciālajās ekonomiskajās zonās" </w:t>
      </w:r>
      <w:r w:rsidRPr="004B5786">
        <w:rPr>
          <w:rFonts w:eastAsia="Times New Roman" w:cs="Times New Roman"/>
          <w:szCs w:val="24"/>
          <w:lang w:eastAsia="lv-LV"/>
        </w:rPr>
        <w:t>(Latvijas Republikas Saeimas un Ministru Kabineta Ziņotājs, 2001, 17. nr.; 2003, 13. nr.; 2004, 9. nr.; 2005, 4. nr.; 2007, 3. nr.; Latvijas Vēstnesis, 2011, 80. nr.; 2013, 80., 187. nr.</w:t>
      </w:r>
      <w:r w:rsidR="00371996" w:rsidRPr="004B5786">
        <w:rPr>
          <w:rFonts w:eastAsia="Times New Roman" w:cs="Times New Roman"/>
          <w:szCs w:val="24"/>
          <w:lang w:eastAsia="lv-LV"/>
        </w:rPr>
        <w:t>; 2014, 133.nr.; 2016, 125.nr.</w:t>
      </w:r>
      <w:r w:rsidRPr="004B5786">
        <w:rPr>
          <w:rFonts w:eastAsia="Times New Roman" w:cs="Times New Roman"/>
          <w:szCs w:val="24"/>
          <w:lang w:eastAsia="lv-LV"/>
        </w:rPr>
        <w:t>) šādus grozījumus:</w:t>
      </w:r>
    </w:p>
    <w:p w14:paraId="7C526FB2" w14:textId="77777777" w:rsidR="0046613A" w:rsidRPr="004B5786" w:rsidRDefault="0046613A" w:rsidP="0082321B">
      <w:pPr>
        <w:shd w:val="clear" w:color="auto" w:fill="FFFFFF"/>
        <w:jc w:val="both"/>
        <w:rPr>
          <w:rFonts w:eastAsia="Times New Roman" w:cs="Times New Roman"/>
          <w:szCs w:val="24"/>
          <w:lang w:eastAsia="lv-LV"/>
        </w:rPr>
      </w:pPr>
      <w:r w:rsidRPr="004B5786">
        <w:rPr>
          <w:rFonts w:eastAsia="Times New Roman" w:cs="Times New Roman"/>
          <w:szCs w:val="24"/>
          <w:lang w:eastAsia="lv-LV"/>
        </w:rPr>
        <w:t> </w:t>
      </w:r>
    </w:p>
    <w:p w14:paraId="2CDF825A" w14:textId="02DFACC1" w:rsidR="00955008" w:rsidRPr="004B5786" w:rsidRDefault="00955008" w:rsidP="0082321B">
      <w:pPr>
        <w:shd w:val="clear" w:color="auto" w:fill="FFFFFF"/>
        <w:jc w:val="both"/>
        <w:rPr>
          <w:rFonts w:eastAsia="Times New Roman" w:cs="Times New Roman"/>
          <w:szCs w:val="24"/>
          <w:lang w:eastAsia="lv-LV"/>
        </w:rPr>
      </w:pPr>
      <w:r w:rsidRPr="004B5786">
        <w:rPr>
          <w:rFonts w:eastAsia="Times New Roman" w:cs="Times New Roman"/>
          <w:szCs w:val="24"/>
          <w:lang w:eastAsia="lv-LV"/>
        </w:rPr>
        <w:t>1. Aizstāt 1.panta pirmajā daļā un 7.panta otrajā daļā vārdus “likumā “Par uzņēmumu ienākuma nodokli”” ar vārdiem “Uzņēmumu ienākuma nodokļa likumā”.</w:t>
      </w:r>
    </w:p>
    <w:p w14:paraId="44CBAB4A" w14:textId="77777777" w:rsidR="00955008" w:rsidRPr="004B5786" w:rsidRDefault="00955008" w:rsidP="0082321B">
      <w:pPr>
        <w:shd w:val="clear" w:color="auto" w:fill="FFFFFF"/>
        <w:jc w:val="both"/>
        <w:rPr>
          <w:rFonts w:eastAsia="Times New Roman" w:cs="Times New Roman"/>
          <w:szCs w:val="24"/>
          <w:lang w:eastAsia="lv-LV"/>
        </w:rPr>
      </w:pPr>
    </w:p>
    <w:p w14:paraId="331AFE6D" w14:textId="3D7C4908" w:rsidR="0043102F" w:rsidRPr="004B5786" w:rsidRDefault="00955008" w:rsidP="004B5786">
      <w:pPr>
        <w:shd w:val="clear" w:color="auto" w:fill="FFFFFF"/>
        <w:jc w:val="both"/>
        <w:rPr>
          <w:rFonts w:eastAsia="Times New Roman" w:cs="Times New Roman"/>
          <w:szCs w:val="24"/>
          <w:lang w:eastAsia="lv-LV"/>
        </w:rPr>
      </w:pPr>
      <w:r w:rsidRPr="004B5786">
        <w:rPr>
          <w:rFonts w:eastAsia="Times New Roman" w:cs="Times New Roman"/>
          <w:szCs w:val="24"/>
          <w:lang w:eastAsia="lv-LV"/>
        </w:rPr>
        <w:t>2</w:t>
      </w:r>
      <w:r w:rsidR="0046613A" w:rsidRPr="004B5786">
        <w:rPr>
          <w:rFonts w:eastAsia="Times New Roman" w:cs="Times New Roman"/>
          <w:szCs w:val="24"/>
          <w:lang w:eastAsia="lv-LV"/>
        </w:rPr>
        <w:t>.</w:t>
      </w:r>
      <w:r w:rsidR="0043102F" w:rsidRPr="004B5786">
        <w:rPr>
          <w:rFonts w:eastAsia="Times New Roman" w:cs="Times New Roman"/>
          <w:szCs w:val="24"/>
          <w:lang w:eastAsia="lv-LV"/>
        </w:rPr>
        <w:t xml:space="preserve"> </w:t>
      </w:r>
      <w:r w:rsidR="00D72552" w:rsidRPr="004B5786">
        <w:rPr>
          <w:rFonts w:eastAsia="Times New Roman" w:cs="Times New Roman"/>
          <w:szCs w:val="24"/>
          <w:lang w:eastAsia="lv-LV"/>
        </w:rPr>
        <w:t>5.pant</w:t>
      </w:r>
      <w:r w:rsidR="0043102F" w:rsidRPr="004B5786">
        <w:rPr>
          <w:rFonts w:eastAsia="Times New Roman" w:cs="Times New Roman"/>
          <w:szCs w:val="24"/>
          <w:lang w:eastAsia="lv-LV"/>
        </w:rPr>
        <w:t>ā:</w:t>
      </w:r>
      <w:r w:rsidR="00D72552" w:rsidRPr="004B5786">
        <w:rPr>
          <w:rFonts w:eastAsia="Times New Roman" w:cs="Times New Roman"/>
          <w:szCs w:val="24"/>
          <w:lang w:eastAsia="lv-LV"/>
        </w:rPr>
        <w:t xml:space="preserve"> </w:t>
      </w:r>
    </w:p>
    <w:p w14:paraId="58FBE046" w14:textId="77777777" w:rsidR="0043102F" w:rsidRPr="004B5786" w:rsidRDefault="0043102F" w:rsidP="0082321B">
      <w:pPr>
        <w:shd w:val="clear" w:color="auto" w:fill="FFFFFF"/>
        <w:jc w:val="both"/>
        <w:rPr>
          <w:rFonts w:eastAsia="Times New Roman" w:cs="Times New Roman"/>
          <w:szCs w:val="24"/>
          <w:lang w:eastAsia="lv-LV"/>
        </w:rPr>
      </w:pPr>
    </w:p>
    <w:p w14:paraId="0193F1B6" w14:textId="173D8704" w:rsidR="00D72552" w:rsidRPr="004B5786" w:rsidRDefault="0043102F" w:rsidP="0082321B">
      <w:pPr>
        <w:shd w:val="clear" w:color="auto" w:fill="FFFFFF"/>
        <w:jc w:val="both"/>
        <w:rPr>
          <w:rFonts w:eastAsia="Times New Roman" w:cs="Times New Roman"/>
          <w:szCs w:val="24"/>
          <w:lang w:eastAsia="lv-LV"/>
        </w:rPr>
      </w:pPr>
      <w:r w:rsidRPr="004B5786">
        <w:rPr>
          <w:rFonts w:eastAsia="Times New Roman" w:cs="Times New Roman"/>
          <w:szCs w:val="24"/>
          <w:lang w:eastAsia="lv-LV"/>
        </w:rPr>
        <w:t>izteikt ceturto</w:t>
      </w:r>
      <w:r w:rsidR="00D72552" w:rsidRPr="004B5786">
        <w:rPr>
          <w:rFonts w:eastAsia="Times New Roman" w:cs="Times New Roman"/>
          <w:szCs w:val="24"/>
          <w:lang w:eastAsia="lv-LV"/>
        </w:rPr>
        <w:t xml:space="preserve"> daļu </w:t>
      </w:r>
      <w:r w:rsidR="00FE4C5D" w:rsidRPr="004B5786">
        <w:rPr>
          <w:rFonts w:eastAsia="Times New Roman" w:cs="Times New Roman"/>
          <w:szCs w:val="24"/>
          <w:lang w:eastAsia="lv-LV"/>
        </w:rPr>
        <w:t>šādā</w:t>
      </w:r>
      <w:r w:rsidR="00D72552" w:rsidRPr="004B5786">
        <w:rPr>
          <w:rFonts w:eastAsia="Times New Roman" w:cs="Times New Roman"/>
          <w:szCs w:val="24"/>
          <w:lang w:eastAsia="lv-LV"/>
        </w:rPr>
        <w:t xml:space="preserve"> redakcijā:</w:t>
      </w:r>
    </w:p>
    <w:p w14:paraId="23AC71EA" w14:textId="360B5571" w:rsidR="00D72552" w:rsidRPr="004B5786" w:rsidRDefault="00D72552" w:rsidP="0082321B">
      <w:pPr>
        <w:shd w:val="clear" w:color="auto" w:fill="FFFFFF"/>
        <w:jc w:val="both"/>
        <w:rPr>
          <w:rFonts w:eastAsia="Times New Roman" w:cs="Times New Roman"/>
          <w:szCs w:val="24"/>
          <w:lang w:eastAsia="lv-LV"/>
        </w:rPr>
      </w:pPr>
    </w:p>
    <w:p w14:paraId="299AEA96" w14:textId="09472BCB" w:rsidR="00D72552" w:rsidRPr="004B5786" w:rsidRDefault="0043102F" w:rsidP="0082321B">
      <w:pPr>
        <w:pStyle w:val="tv2132"/>
        <w:spacing w:line="240" w:lineRule="auto"/>
        <w:ind w:firstLine="301"/>
        <w:jc w:val="both"/>
        <w:rPr>
          <w:color w:val="auto"/>
          <w:sz w:val="24"/>
          <w:szCs w:val="24"/>
        </w:rPr>
      </w:pPr>
      <w:r w:rsidRPr="004B5786">
        <w:rPr>
          <w:color w:val="auto"/>
          <w:sz w:val="24"/>
          <w:szCs w:val="24"/>
        </w:rPr>
        <w:t>“</w:t>
      </w:r>
      <w:r w:rsidR="00D72552" w:rsidRPr="004B5786">
        <w:rPr>
          <w:color w:val="auto"/>
          <w:sz w:val="24"/>
          <w:szCs w:val="24"/>
        </w:rPr>
        <w:t>(4) Atļauju piemērot tiešo nodokļu atvieglojumus zonas pārvalde vai brīvostas pārvalde nepiešķir šādām kapitālsabiedrībām:</w:t>
      </w:r>
    </w:p>
    <w:p w14:paraId="372653E6" w14:textId="77777777" w:rsidR="00D72552" w:rsidRPr="004B5786" w:rsidRDefault="00D72552" w:rsidP="0082321B">
      <w:pPr>
        <w:pStyle w:val="tv2132"/>
        <w:spacing w:line="240" w:lineRule="auto"/>
        <w:ind w:firstLine="301"/>
        <w:jc w:val="both"/>
        <w:rPr>
          <w:color w:val="auto"/>
          <w:sz w:val="24"/>
          <w:szCs w:val="24"/>
        </w:rPr>
      </w:pPr>
      <w:r w:rsidRPr="004B5786">
        <w:rPr>
          <w:color w:val="auto"/>
          <w:sz w:val="24"/>
          <w:szCs w:val="24"/>
        </w:rPr>
        <w:t xml:space="preserve">1) Komisijas regulas Nr. </w:t>
      </w:r>
      <w:hyperlink r:id="rId7" w:tgtFrame="_blank" w:history="1">
        <w:r w:rsidRPr="004B5786">
          <w:rPr>
            <w:color w:val="auto"/>
            <w:sz w:val="24"/>
            <w:szCs w:val="24"/>
          </w:rPr>
          <w:t>651/2014</w:t>
        </w:r>
      </w:hyperlink>
      <w:r w:rsidRPr="004B5786">
        <w:rPr>
          <w:color w:val="auto"/>
          <w:sz w:val="24"/>
          <w:szCs w:val="24"/>
        </w:rPr>
        <w:t xml:space="preserve"> 2.panta 45.punktā minētās transporta nozares kapitālsabiedrībām un saistītajai transporta infrastruktūrai, kā noteikts Komisijas regulas Nr. </w:t>
      </w:r>
      <w:hyperlink r:id="rId8" w:tgtFrame="_blank" w:history="1">
        <w:r w:rsidRPr="004B5786">
          <w:rPr>
            <w:color w:val="auto"/>
            <w:sz w:val="24"/>
            <w:szCs w:val="24"/>
          </w:rPr>
          <w:t>651/2014</w:t>
        </w:r>
      </w:hyperlink>
      <w:r w:rsidRPr="004B5786">
        <w:rPr>
          <w:color w:val="auto"/>
          <w:sz w:val="24"/>
          <w:szCs w:val="24"/>
        </w:rPr>
        <w:t xml:space="preserve"> 13.panta "b" apakšpunktā;</w:t>
      </w:r>
    </w:p>
    <w:p w14:paraId="546D60C1" w14:textId="77777777" w:rsidR="00D72552" w:rsidRPr="004B5786" w:rsidRDefault="00D72552" w:rsidP="0082321B">
      <w:pPr>
        <w:pStyle w:val="tv2132"/>
        <w:spacing w:line="240" w:lineRule="auto"/>
        <w:ind w:firstLine="301"/>
        <w:jc w:val="both"/>
        <w:rPr>
          <w:color w:val="auto"/>
          <w:sz w:val="24"/>
          <w:szCs w:val="24"/>
        </w:rPr>
      </w:pPr>
      <w:r w:rsidRPr="004B5786">
        <w:rPr>
          <w:color w:val="auto"/>
          <w:sz w:val="24"/>
          <w:szCs w:val="24"/>
        </w:rPr>
        <w:t xml:space="preserve">2) Komisijas regulas Nr. </w:t>
      </w:r>
      <w:hyperlink r:id="rId9" w:tgtFrame="_blank" w:history="1">
        <w:r w:rsidRPr="004B5786">
          <w:rPr>
            <w:rStyle w:val="Hyperlink"/>
            <w:color w:val="auto"/>
            <w:sz w:val="24"/>
            <w:szCs w:val="24"/>
          </w:rPr>
          <w:t>651/2014</w:t>
        </w:r>
      </w:hyperlink>
      <w:r w:rsidRPr="004B5786">
        <w:rPr>
          <w:color w:val="auto"/>
          <w:sz w:val="24"/>
          <w:szCs w:val="24"/>
        </w:rPr>
        <w:t xml:space="preserve"> 2.panta 43.punktā minētām tērauda nozares kapitālsabiedrībām, kā noteikts Komisijas regulas Nr. </w:t>
      </w:r>
      <w:hyperlink r:id="rId10" w:tgtFrame="_blank" w:history="1">
        <w:r w:rsidRPr="004B5786">
          <w:rPr>
            <w:rStyle w:val="Hyperlink"/>
            <w:color w:val="auto"/>
            <w:sz w:val="24"/>
            <w:szCs w:val="24"/>
          </w:rPr>
          <w:t>651/2014</w:t>
        </w:r>
      </w:hyperlink>
      <w:r w:rsidRPr="004B5786">
        <w:rPr>
          <w:color w:val="auto"/>
          <w:sz w:val="24"/>
          <w:szCs w:val="24"/>
        </w:rPr>
        <w:t xml:space="preserve"> 13.panta "a" apakšpunktā;</w:t>
      </w:r>
    </w:p>
    <w:p w14:paraId="0325A522" w14:textId="77777777" w:rsidR="00D72552" w:rsidRPr="004B5786" w:rsidRDefault="00D72552" w:rsidP="0082321B">
      <w:pPr>
        <w:pStyle w:val="tv2132"/>
        <w:spacing w:line="240" w:lineRule="auto"/>
        <w:ind w:firstLine="301"/>
        <w:jc w:val="both"/>
        <w:rPr>
          <w:color w:val="auto"/>
          <w:sz w:val="24"/>
          <w:szCs w:val="24"/>
        </w:rPr>
      </w:pPr>
      <w:r w:rsidRPr="004B5786">
        <w:rPr>
          <w:color w:val="auto"/>
          <w:sz w:val="24"/>
          <w:szCs w:val="24"/>
        </w:rPr>
        <w:t xml:space="preserve">3) Komisijas regulas Nr. </w:t>
      </w:r>
      <w:hyperlink r:id="rId11" w:tgtFrame="_blank" w:history="1">
        <w:r w:rsidRPr="004B5786">
          <w:rPr>
            <w:color w:val="auto"/>
            <w:sz w:val="24"/>
            <w:szCs w:val="24"/>
          </w:rPr>
          <w:t>651/2014</w:t>
        </w:r>
      </w:hyperlink>
      <w:r w:rsidRPr="004B5786">
        <w:rPr>
          <w:color w:val="auto"/>
          <w:sz w:val="24"/>
          <w:szCs w:val="24"/>
        </w:rPr>
        <w:t xml:space="preserve"> 2.panta 44.punktā minētās sintētisko šķiedru nozares kapitālsabiedrībām,</w:t>
      </w:r>
      <w:r w:rsidRPr="004B5786">
        <w:rPr>
          <w:rFonts w:eastAsiaTheme="minorHAnsi"/>
          <w:color w:val="auto"/>
          <w:sz w:val="24"/>
          <w:szCs w:val="24"/>
          <w:lang w:eastAsia="en-US"/>
        </w:rPr>
        <w:t xml:space="preserve"> </w:t>
      </w:r>
      <w:r w:rsidRPr="004B5786">
        <w:rPr>
          <w:color w:val="auto"/>
          <w:sz w:val="24"/>
          <w:szCs w:val="24"/>
        </w:rPr>
        <w:t xml:space="preserve">kā noteikts Komisijas regulas Nr. </w:t>
      </w:r>
      <w:hyperlink r:id="rId12" w:tgtFrame="_blank" w:history="1">
        <w:r w:rsidRPr="004B5786">
          <w:rPr>
            <w:rStyle w:val="Hyperlink"/>
            <w:color w:val="auto"/>
            <w:sz w:val="24"/>
            <w:szCs w:val="24"/>
          </w:rPr>
          <w:t>651/2014</w:t>
        </w:r>
      </w:hyperlink>
      <w:r w:rsidRPr="004B5786">
        <w:rPr>
          <w:color w:val="auto"/>
          <w:sz w:val="24"/>
          <w:szCs w:val="24"/>
        </w:rPr>
        <w:t xml:space="preserve"> 13.panta "a" apakšpunktā;</w:t>
      </w:r>
    </w:p>
    <w:p w14:paraId="563CB4BC" w14:textId="77777777" w:rsidR="00D72552" w:rsidRPr="004B5786" w:rsidRDefault="00D72552" w:rsidP="0082321B">
      <w:pPr>
        <w:pStyle w:val="tv2132"/>
        <w:spacing w:line="240" w:lineRule="auto"/>
        <w:ind w:firstLine="301"/>
        <w:jc w:val="both"/>
        <w:rPr>
          <w:color w:val="auto"/>
          <w:sz w:val="24"/>
          <w:szCs w:val="24"/>
        </w:rPr>
      </w:pPr>
      <w:r w:rsidRPr="004B5786">
        <w:rPr>
          <w:color w:val="auto"/>
          <w:sz w:val="24"/>
          <w:szCs w:val="24"/>
        </w:rPr>
        <w:t xml:space="preserve">4) Komisijas regulas Nr. </w:t>
      </w:r>
      <w:hyperlink r:id="rId13" w:tgtFrame="_blank" w:history="1">
        <w:r w:rsidRPr="004B5786">
          <w:rPr>
            <w:color w:val="auto"/>
            <w:sz w:val="24"/>
            <w:szCs w:val="24"/>
          </w:rPr>
          <w:t>651/2014</w:t>
        </w:r>
      </w:hyperlink>
      <w:r w:rsidRPr="004B5786">
        <w:rPr>
          <w:color w:val="auto"/>
          <w:sz w:val="24"/>
          <w:szCs w:val="24"/>
        </w:rPr>
        <w:t xml:space="preserve"> 2.panta 8.-11.punktā minētās lauksaimniecības nozares kapitālsabiedrībām, kā noteikts Komisijas regulas Nr. </w:t>
      </w:r>
      <w:hyperlink r:id="rId14" w:tgtFrame="_blank" w:history="1">
        <w:r w:rsidRPr="004B5786">
          <w:rPr>
            <w:rStyle w:val="Hyperlink"/>
            <w:color w:val="auto"/>
            <w:sz w:val="24"/>
            <w:szCs w:val="24"/>
          </w:rPr>
          <w:t>651/2014</w:t>
        </w:r>
      </w:hyperlink>
      <w:r w:rsidRPr="004B5786">
        <w:rPr>
          <w:color w:val="auto"/>
          <w:sz w:val="24"/>
          <w:szCs w:val="24"/>
        </w:rPr>
        <w:t xml:space="preserve"> 1.panta 3.punkta “b” un “c” apakšpunktā;</w:t>
      </w:r>
    </w:p>
    <w:p w14:paraId="71EE70A7" w14:textId="2EC42906" w:rsidR="00D72552" w:rsidRPr="004B5786" w:rsidRDefault="00D72552" w:rsidP="0082321B">
      <w:pPr>
        <w:pStyle w:val="tv2132"/>
        <w:spacing w:line="240" w:lineRule="auto"/>
        <w:ind w:firstLine="301"/>
        <w:jc w:val="both"/>
        <w:rPr>
          <w:color w:val="auto"/>
          <w:sz w:val="24"/>
          <w:szCs w:val="24"/>
        </w:rPr>
      </w:pPr>
      <w:r w:rsidRPr="004B5786">
        <w:rPr>
          <w:color w:val="auto"/>
          <w:sz w:val="24"/>
          <w:szCs w:val="24"/>
        </w:rPr>
        <w:t xml:space="preserve">5) Komisijas regulas Nr. </w:t>
      </w:r>
      <w:hyperlink r:id="rId15" w:tgtFrame="_blank" w:history="1">
        <w:r w:rsidRPr="004B5786">
          <w:rPr>
            <w:color w:val="auto"/>
            <w:sz w:val="24"/>
            <w:szCs w:val="24"/>
          </w:rPr>
          <w:t>651/2014</w:t>
        </w:r>
      </w:hyperlink>
      <w:r w:rsidRPr="004B5786">
        <w:rPr>
          <w:color w:val="auto"/>
          <w:sz w:val="24"/>
          <w:szCs w:val="24"/>
        </w:rPr>
        <w:t xml:space="preserve"> 1.panta 3.punkta "a" apakšpunktā minētās zvejniecības un akvakultūras nozares kapitālsabiedrībām;</w:t>
      </w:r>
    </w:p>
    <w:p w14:paraId="6364BE23" w14:textId="77777777" w:rsidR="00D72552" w:rsidRPr="004B5786" w:rsidRDefault="00D72552" w:rsidP="0082321B">
      <w:pPr>
        <w:pStyle w:val="tv2132"/>
        <w:spacing w:line="240" w:lineRule="auto"/>
        <w:ind w:firstLine="301"/>
        <w:jc w:val="both"/>
        <w:rPr>
          <w:color w:val="auto"/>
          <w:sz w:val="24"/>
          <w:szCs w:val="24"/>
        </w:rPr>
      </w:pPr>
      <w:r w:rsidRPr="004B5786">
        <w:rPr>
          <w:color w:val="auto"/>
          <w:sz w:val="24"/>
          <w:szCs w:val="24"/>
        </w:rPr>
        <w:t xml:space="preserve">6) Komisijas regulas Nr. </w:t>
      </w:r>
      <w:hyperlink r:id="rId16" w:tgtFrame="_blank" w:history="1">
        <w:r w:rsidRPr="004B5786">
          <w:rPr>
            <w:color w:val="auto"/>
            <w:sz w:val="24"/>
            <w:szCs w:val="24"/>
          </w:rPr>
          <w:t>651/2014</w:t>
        </w:r>
      </w:hyperlink>
      <w:r w:rsidRPr="004B5786">
        <w:rPr>
          <w:color w:val="auto"/>
          <w:sz w:val="24"/>
          <w:szCs w:val="24"/>
        </w:rPr>
        <w:t xml:space="preserve"> 2.panta 13.punktā minētās ogļu rūpniecības nozares kapitālsabiedrībām,</w:t>
      </w:r>
      <w:r w:rsidRPr="004B5786">
        <w:rPr>
          <w:rFonts w:eastAsiaTheme="minorHAnsi"/>
          <w:color w:val="auto"/>
          <w:sz w:val="24"/>
          <w:szCs w:val="24"/>
          <w:lang w:eastAsia="en-US"/>
        </w:rPr>
        <w:t xml:space="preserve"> </w:t>
      </w:r>
      <w:r w:rsidRPr="004B5786">
        <w:rPr>
          <w:color w:val="auto"/>
          <w:sz w:val="24"/>
          <w:szCs w:val="24"/>
        </w:rPr>
        <w:t xml:space="preserve">kā noteikts Komisijas regulas Nr. </w:t>
      </w:r>
      <w:hyperlink r:id="rId17" w:tgtFrame="_blank" w:history="1">
        <w:r w:rsidRPr="004B5786">
          <w:rPr>
            <w:rStyle w:val="Hyperlink"/>
            <w:color w:val="auto"/>
            <w:sz w:val="24"/>
            <w:szCs w:val="24"/>
          </w:rPr>
          <w:t>651/2014</w:t>
        </w:r>
      </w:hyperlink>
      <w:r w:rsidRPr="004B5786">
        <w:rPr>
          <w:color w:val="auto"/>
          <w:sz w:val="24"/>
          <w:szCs w:val="24"/>
        </w:rPr>
        <w:t xml:space="preserve"> 13.panta "a" apakšpunktā;</w:t>
      </w:r>
    </w:p>
    <w:p w14:paraId="2ADF2E24" w14:textId="77777777" w:rsidR="00D72552" w:rsidRPr="004B5786" w:rsidRDefault="00D72552" w:rsidP="0082321B">
      <w:pPr>
        <w:pStyle w:val="tv2132"/>
        <w:spacing w:line="240" w:lineRule="auto"/>
        <w:ind w:firstLine="301"/>
        <w:jc w:val="both"/>
        <w:rPr>
          <w:color w:val="auto"/>
          <w:sz w:val="24"/>
          <w:szCs w:val="24"/>
        </w:rPr>
      </w:pPr>
      <w:r w:rsidRPr="004B5786">
        <w:rPr>
          <w:color w:val="auto"/>
          <w:sz w:val="24"/>
          <w:szCs w:val="24"/>
        </w:rPr>
        <w:t xml:space="preserve">7) Komisijas regulas Nr. </w:t>
      </w:r>
      <w:hyperlink r:id="rId18" w:tgtFrame="_blank" w:history="1">
        <w:r w:rsidRPr="004B5786">
          <w:rPr>
            <w:rStyle w:val="Hyperlink"/>
            <w:color w:val="auto"/>
            <w:sz w:val="24"/>
            <w:szCs w:val="24"/>
          </w:rPr>
          <w:t>651/2014</w:t>
        </w:r>
      </w:hyperlink>
      <w:r w:rsidRPr="004B5786">
        <w:rPr>
          <w:color w:val="auto"/>
          <w:sz w:val="24"/>
          <w:szCs w:val="24"/>
        </w:rPr>
        <w:t xml:space="preserve"> 13.panta "a" apakšpunktā un šā likuma </w:t>
      </w:r>
      <w:hyperlink r:id="rId19" w:anchor="piel7" w:tgtFrame="_blank" w:history="1">
        <w:r w:rsidRPr="004B5786">
          <w:rPr>
            <w:color w:val="auto"/>
            <w:sz w:val="24"/>
            <w:szCs w:val="24"/>
          </w:rPr>
          <w:t>7.pielikuma</w:t>
        </w:r>
      </w:hyperlink>
      <w:r w:rsidRPr="004B5786">
        <w:rPr>
          <w:color w:val="auto"/>
          <w:sz w:val="24"/>
          <w:szCs w:val="24"/>
        </w:rPr>
        <w:t xml:space="preserve"> 1.punktā minētās kuģu būves nozares kapitālsabiedrībām;</w:t>
      </w:r>
    </w:p>
    <w:p w14:paraId="4EF9E45B" w14:textId="6F193B78" w:rsidR="00D72552" w:rsidRPr="004B5786" w:rsidRDefault="00D72552" w:rsidP="0082321B">
      <w:pPr>
        <w:pStyle w:val="tv2132"/>
        <w:spacing w:line="240" w:lineRule="auto"/>
        <w:ind w:firstLine="301"/>
        <w:jc w:val="both"/>
        <w:rPr>
          <w:color w:val="auto"/>
          <w:sz w:val="24"/>
          <w:szCs w:val="24"/>
        </w:rPr>
      </w:pPr>
      <w:r w:rsidRPr="004B5786">
        <w:rPr>
          <w:color w:val="auto"/>
          <w:sz w:val="24"/>
          <w:szCs w:val="24"/>
        </w:rPr>
        <w:t xml:space="preserve">8) Komisijas regulas Nr. </w:t>
      </w:r>
      <w:hyperlink r:id="rId20" w:tgtFrame="_blank" w:history="1">
        <w:r w:rsidRPr="004B5786">
          <w:rPr>
            <w:color w:val="auto"/>
            <w:sz w:val="24"/>
            <w:szCs w:val="24"/>
          </w:rPr>
          <w:t>651/2014</w:t>
        </w:r>
      </w:hyperlink>
      <w:r w:rsidRPr="004B5786">
        <w:rPr>
          <w:color w:val="auto"/>
          <w:sz w:val="24"/>
          <w:szCs w:val="24"/>
        </w:rPr>
        <w:t xml:space="preserve"> 13.panta "b" apakšpunktā minētām enerģijas ražošanas un sadales nozares kapitālsabiedrībām un Komisijas regulas Nr. </w:t>
      </w:r>
      <w:hyperlink r:id="rId21" w:tgtFrame="_blank" w:history="1">
        <w:r w:rsidRPr="004B5786">
          <w:rPr>
            <w:color w:val="auto"/>
            <w:sz w:val="24"/>
            <w:szCs w:val="24"/>
          </w:rPr>
          <w:t>651/2014</w:t>
        </w:r>
      </w:hyperlink>
      <w:r w:rsidRPr="004B5786">
        <w:rPr>
          <w:color w:val="auto"/>
          <w:sz w:val="24"/>
          <w:szCs w:val="24"/>
        </w:rPr>
        <w:t xml:space="preserve"> 2.panta 130.punktā minētai </w:t>
      </w:r>
      <w:proofErr w:type="spellStart"/>
      <w:r w:rsidRPr="004B5786">
        <w:rPr>
          <w:color w:val="auto"/>
          <w:sz w:val="24"/>
          <w:szCs w:val="24"/>
        </w:rPr>
        <w:t>energoinfrastruktūrai</w:t>
      </w:r>
      <w:proofErr w:type="spellEnd"/>
      <w:r w:rsidRPr="004B5786">
        <w:rPr>
          <w:color w:val="auto"/>
          <w:sz w:val="24"/>
          <w:szCs w:val="24"/>
        </w:rPr>
        <w:t>.</w:t>
      </w:r>
      <w:r w:rsidR="0043102F" w:rsidRPr="004B5786">
        <w:rPr>
          <w:color w:val="auto"/>
          <w:sz w:val="24"/>
          <w:szCs w:val="24"/>
        </w:rPr>
        <w:t>”</w:t>
      </w:r>
    </w:p>
    <w:p w14:paraId="63BA699F" w14:textId="77777777" w:rsidR="00D72552" w:rsidRPr="004B5786" w:rsidRDefault="00D72552" w:rsidP="0082321B">
      <w:pPr>
        <w:pStyle w:val="tv2132"/>
        <w:spacing w:line="240" w:lineRule="auto"/>
        <w:ind w:firstLine="0"/>
        <w:jc w:val="both"/>
        <w:rPr>
          <w:color w:val="auto"/>
          <w:sz w:val="24"/>
          <w:szCs w:val="24"/>
        </w:rPr>
      </w:pPr>
    </w:p>
    <w:p w14:paraId="677EEC8C" w14:textId="37007892" w:rsidR="00ED1369" w:rsidRPr="004B5786" w:rsidRDefault="00ED1369" w:rsidP="0082321B">
      <w:pPr>
        <w:shd w:val="clear" w:color="auto" w:fill="FFFFFF"/>
        <w:jc w:val="both"/>
        <w:rPr>
          <w:rFonts w:eastAsia="Times New Roman" w:cs="Times New Roman"/>
          <w:szCs w:val="24"/>
          <w:lang w:eastAsia="lv-LV"/>
        </w:rPr>
      </w:pPr>
      <w:r w:rsidRPr="004B5786">
        <w:rPr>
          <w:rFonts w:eastAsia="Times New Roman" w:cs="Times New Roman"/>
          <w:szCs w:val="24"/>
          <w:lang w:eastAsia="lv-LV"/>
        </w:rPr>
        <w:t xml:space="preserve">izteikt </w:t>
      </w:r>
      <w:r w:rsidR="0043102F" w:rsidRPr="004B5786">
        <w:rPr>
          <w:rFonts w:eastAsia="Times New Roman" w:cs="Times New Roman"/>
          <w:szCs w:val="24"/>
          <w:lang w:eastAsia="lv-LV"/>
        </w:rPr>
        <w:t>sestās daļas</w:t>
      </w:r>
      <w:r w:rsidR="00F65A55" w:rsidRPr="004B5786">
        <w:rPr>
          <w:rFonts w:eastAsia="Times New Roman" w:cs="Times New Roman"/>
          <w:szCs w:val="24"/>
          <w:lang w:eastAsia="lv-LV"/>
        </w:rPr>
        <w:t xml:space="preserve"> 2.punktu</w:t>
      </w:r>
      <w:r w:rsidRPr="004B5786">
        <w:rPr>
          <w:rFonts w:eastAsia="Times New Roman" w:cs="Times New Roman"/>
          <w:szCs w:val="24"/>
          <w:lang w:eastAsia="lv-LV"/>
        </w:rPr>
        <w:t xml:space="preserve"> </w:t>
      </w:r>
      <w:r w:rsidR="00FE4C5D" w:rsidRPr="004B5786">
        <w:rPr>
          <w:rFonts w:eastAsia="Times New Roman" w:cs="Times New Roman"/>
          <w:szCs w:val="24"/>
          <w:lang w:eastAsia="lv-LV"/>
        </w:rPr>
        <w:t>šādā</w:t>
      </w:r>
      <w:r w:rsidRPr="004B5786">
        <w:rPr>
          <w:rFonts w:eastAsia="Times New Roman" w:cs="Times New Roman"/>
          <w:szCs w:val="24"/>
          <w:lang w:eastAsia="lv-LV"/>
        </w:rPr>
        <w:t xml:space="preserve"> redakcijā:</w:t>
      </w:r>
    </w:p>
    <w:p w14:paraId="0172EE8E" w14:textId="77777777" w:rsidR="00D72552" w:rsidRPr="004B5786" w:rsidRDefault="00D72552" w:rsidP="0082321B">
      <w:pPr>
        <w:shd w:val="clear" w:color="auto" w:fill="FFFFFF"/>
        <w:jc w:val="both"/>
        <w:rPr>
          <w:rFonts w:eastAsia="Times New Roman" w:cs="Times New Roman"/>
          <w:szCs w:val="24"/>
          <w:lang w:eastAsia="lv-LV"/>
        </w:rPr>
      </w:pPr>
    </w:p>
    <w:p w14:paraId="76D00DEA" w14:textId="02D55377" w:rsidR="00F65A55" w:rsidRPr="004B5786" w:rsidRDefault="0043102F" w:rsidP="0082321B">
      <w:pPr>
        <w:pStyle w:val="tv2132"/>
        <w:spacing w:line="240" w:lineRule="auto"/>
        <w:ind w:firstLine="301"/>
        <w:jc w:val="both"/>
        <w:rPr>
          <w:color w:val="auto"/>
          <w:sz w:val="24"/>
          <w:szCs w:val="24"/>
        </w:rPr>
      </w:pPr>
      <w:r w:rsidRPr="004B5786">
        <w:rPr>
          <w:color w:val="auto"/>
          <w:sz w:val="24"/>
          <w:szCs w:val="24"/>
        </w:rPr>
        <w:t>“</w:t>
      </w:r>
      <w:r w:rsidR="00F65A55" w:rsidRPr="004B5786">
        <w:rPr>
          <w:color w:val="auto"/>
          <w:sz w:val="24"/>
          <w:szCs w:val="24"/>
        </w:rPr>
        <w:t>2) kapitālsabiedrība nav sniegusi apliecinājumu, ka divu gadu laikā pirms pieteikuma iesniegšanas līguma par ieguldījumu veikšanu slēgšanai nav veikusi pārcelšanu uz attiecīgo zonas vai brīvostas teritoriju, kurā tiks veikts sākotnējais ieguldījums, kuram pieprasīts atbalsts, un apņemas to nedarīt divus gadus pēc tam, kad ir pabeigts sākotnējais ieguldījums, ku</w:t>
      </w:r>
      <w:r w:rsidR="00967B31" w:rsidRPr="004B5786">
        <w:rPr>
          <w:color w:val="auto"/>
          <w:sz w:val="24"/>
          <w:szCs w:val="24"/>
        </w:rPr>
        <w:t>ram tiek pieprasīts atbalsts.</w:t>
      </w:r>
      <w:r w:rsidRPr="004B5786">
        <w:rPr>
          <w:color w:val="auto"/>
          <w:sz w:val="24"/>
          <w:szCs w:val="24"/>
        </w:rPr>
        <w:t>”</w:t>
      </w:r>
      <w:r w:rsidR="00AD3C82" w:rsidRPr="004B5786">
        <w:rPr>
          <w:color w:val="auto"/>
          <w:sz w:val="24"/>
          <w:szCs w:val="24"/>
        </w:rPr>
        <w:t>;</w:t>
      </w:r>
    </w:p>
    <w:p w14:paraId="58BE31FA" w14:textId="77777777" w:rsidR="0043102F" w:rsidRPr="004B5786" w:rsidRDefault="0043102F" w:rsidP="0082321B">
      <w:pPr>
        <w:shd w:val="clear" w:color="auto" w:fill="FFFFFF"/>
        <w:jc w:val="both"/>
        <w:rPr>
          <w:rFonts w:eastAsia="Times New Roman" w:cs="Times New Roman"/>
          <w:szCs w:val="24"/>
          <w:lang w:eastAsia="lv-LV"/>
        </w:rPr>
      </w:pPr>
    </w:p>
    <w:p w14:paraId="77C081A9" w14:textId="640A927E" w:rsidR="00955008" w:rsidRPr="004B5786" w:rsidRDefault="004B5786" w:rsidP="0082321B">
      <w:pPr>
        <w:shd w:val="clear" w:color="auto" w:fill="FFFFFF"/>
        <w:jc w:val="both"/>
        <w:rPr>
          <w:rFonts w:eastAsia="Times New Roman" w:cs="Times New Roman"/>
          <w:szCs w:val="24"/>
          <w:lang w:eastAsia="lv-LV"/>
        </w:rPr>
      </w:pPr>
      <w:r w:rsidRPr="004B5786">
        <w:rPr>
          <w:rFonts w:eastAsia="Times New Roman" w:cs="Times New Roman"/>
          <w:szCs w:val="24"/>
          <w:lang w:eastAsia="lv-LV"/>
        </w:rPr>
        <w:lastRenderedPageBreak/>
        <w:t>3</w:t>
      </w:r>
      <w:r w:rsidR="00F65A55" w:rsidRPr="004B5786">
        <w:rPr>
          <w:rFonts w:eastAsia="Times New Roman" w:cs="Times New Roman"/>
          <w:szCs w:val="24"/>
          <w:lang w:eastAsia="lv-LV"/>
        </w:rPr>
        <w:t>.</w:t>
      </w:r>
      <w:r w:rsidR="007757D4" w:rsidRPr="004B5786">
        <w:rPr>
          <w:rFonts w:eastAsia="Times New Roman" w:cs="Times New Roman"/>
          <w:szCs w:val="24"/>
          <w:lang w:eastAsia="lv-LV"/>
        </w:rPr>
        <w:t xml:space="preserve"> </w:t>
      </w:r>
      <w:r w:rsidR="00F65A55" w:rsidRPr="004B5786">
        <w:rPr>
          <w:rFonts w:eastAsia="Times New Roman" w:cs="Times New Roman"/>
          <w:szCs w:val="24"/>
          <w:lang w:eastAsia="lv-LV"/>
        </w:rPr>
        <w:t>8.pant</w:t>
      </w:r>
      <w:r w:rsidR="00955008" w:rsidRPr="004B5786">
        <w:rPr>
          <w:rFonts w:eastAsia="Times New Roman" w:cs="Times New Roman"/>
          <w:szCs w:val="24"/>
          <w:lang w:eastAsia="lv-LV"/>
        </w:rPr>
        <w:t>ā</w:t>
      </w:r>
    </w:p>
    <w:p w14:paraId="682384E7" w14:textId="77777777" w:rsidR="00955008" w:rsidRPr="004B5786" w:rsidRDefault="00955008" w:rsidP="0082321B">
      <w:pPr>
        <w:shd w:val="clear" w:color="auto" w:fill="FFFFFF"/>
        <w:jc w:val="both"/>
        <w:rPr>
          <w:rFonts w:eastAsia="Times New Roman" w:cs="Times New Roman"/>
          <w:szCs w:val="24"/>
          <w:lang w:eastAsia="lv-LV"/>
        </w:rPr>
      </w:pPr>
    </w:p>
    <w:p w14:paraId="54BE389D" w14:textId="22E0FC29" w:rsidR="00F65A55" w:rsidRPr="004B5786" w:rsidRDefault="00955008" w:rsidP="0082321B">
      <w:pPr>
        <w:shd w:val="clear" w:color="auto" w:fill="FFFFFF"/>
        <w:jc w:val="both"/>
        <w:rPr>
          <w:rFonts w:eastAsia="Times New Roman" w:cs="Times New Roman"/>
          <w:szCs w:val="24"/>
          <w:lang w:eastAsia="lv-LV"/>
        </w:rPr>
      </w:pPr>
      <w:r w:rsidRPr="004B5786">
        <w:rPr>
          <w:rFonts w:eastAsia="Times New Roman" w:cs="Times New Roman"/>
          <w:szCs w:val="24"/>
          <w:lang w:eastAsia="lv-LV"/>
        </w:rPr>
        <w:t>izteikt</w:t>
      </w:r>
      <w:r w:rsidR="00F65A55" w:rsidRPr="004B5786">
        <w:rPr>
          <w:rFonts w:eastAsia="Times New Roman" w:cs="Times New Roman"/>
          <w:szCs w:val="24"/>
          <w:lang w:eastAsia="lv-LV"/>
        </w:rPr>
        <w:t xml:space="preserve"> </w:t>
      </w:r>
      <w:r w:rsidR="007757D4" w:rsidRPr="004B5786">
        <w:rPr>
          <w:rFonts w:eastAsia="Times New Roman" w:cs="Times New Roman"/>
          <w:szCs w:val="24"/>
          <w:lang w:eastAsia="lv-LV"/>
        </w:rPr>
        <w:t>piekto</w:t>
      </w:r>
      <w:r w:rsidR="00BE2558" w:rsidRPr="004B5786">
        <w:rPr>
          <w:rFonts w:eastAsia="Times New Roman" w:cs="Times New Roman"/>
          <w:szCs w:val="24"/>
          <w:lang w:eastAsia="lv-LV"/>
        </w:rPr>
        <w:t xml:space="preserve"> daļu</w:t>
      </w:r>
      <w:r w:rsidR="00F65A55" w:rsidRPr="004B5786">
        <w:rPr>
          <w:rFonts w:eastAsia="Times New Roman" w:cs="Times New Roman"/>
          <w:szCs w:val="24"/>
          <w:lang w:eastAsia="lv-LV"/>
        </w:rPr>
        <w:t xml:space="preserve"> </w:t>
      </w:r>
      <w:r w:rsidR="00FE4C5D" w:rsidRPr="004B5786">
        <w:rPr>
          <w:rFonts w:eastAsia="Times New Roman" w:cs="Times New Roman"/>
          <w:szCs w:val="24"/>
          <w:lang w:eastAsia="lv-LV"/>
        </w:rPr>
        <w:t>šādā</w:t>
      </w:r>
      <w:r w:rsidR="00F65A55" w:rsidRPr="004B5786">
        <w:rPr>
          <w:rFonts w:eastAsia="Times New Roman" w:cs="Times New Roman"/>
          <w:szCs w:val="24"/>
          <w:lang w:eastAsia="lv-LV"/>
        </w:rPr>
        <w:t xml:space="preserve"> redakcijā:</w:t>
      </w:r>
    </w:p>
    <w:p w14:paraId="208EB402" w14:textId="77777777" w:rsidR="00F65A55" w:rsidRPr="004B5786" w:rsidRDefault="00F65A55" w:rsidP="0082321B">
      <w:pPr>
        <w:shd w:val="clear" w:color="auto" w:fill="FFFFFF"/>
        <w:jc w:val="both"/>
        <w:rPr>
          <w:rFonts w:eastAsia="Times New Roman" w:cs="Times New Roman"/>
          <w:szCs w:val="24"/>
          <w:lang w:eastAsia="lv-LV"/>
        </w:rPr>
      </w:pPr>
    </w:p>
    <w:p w14:paraId="709FA89D" w14:textId="46926D7A" w:rsidR="00BE2558" w:rsidRPr="004B5786" w:rsidRDefault="007757D4" w:rsidP="0082321B">
      <w:pPr>
        <w:pStyle w:val="tv2132"/>
        <w:spacing w:line="240" w:lineRule="auto"/>
        <w:ind w:firstLine="301"/>
        <w:jc w:val="both"/>
        <w:rPr>
          <w:color w:val="auto"/>
          <w:sz w:val="24"/>
          <w:szCs w:val="24"/>
        </w:rPr>
      </w:pPr>
      <w:r w:rsidRPr="004B5786">
        <w:rPr>
          <w:color w:val="auto"/>
          <w:sz w:val="24"/>
          <w:szCs w:val="24"/>
        </w:rPr>
        <w:t>“</w:t>
      </w:r>
      <w:r w:rsidR="00BE2558" w:rsidRPr="004B5786">
        <w:rPr>
          <w:color w:val="auto"/>
          <w:sz w:val="24"/>
          <w:szCs w:val="24"/>
        </w:rPr>
        <w:t xml:space="preserve">(5) Ja zonas kapitālsabiedrība vai licencēta kapitālsabiedrība, kura ir veikusi ieguldījumus atbilstoši šā likuma </w:t>
      </w:r>
      <w:hyperlink r:id="rId22" w:anchor="p1" w:tgtFrame="_blank" w:history="1">
        <w:r w:rsidR="00BE2558" w:rsidRPr="004B5786">
          <w:rPr>
            <w:color w:val="auto"/>
            <w:sz w:val="24"/>
            <w:szCs w:val="24"/>
          </w:rPr>
          <w:t>1.panta</w:t>
        </w:r>
      </w:hyperlink>
      <w:r w:rsidR="00BE2558" w:rsidRPr="004B5786">
        <w:rPr>
          <w:color w:val="auto"/>
          <w:sz w:val="24"/>
          <w:szCs w:val="24"/>
        </w:rPr>
        <w:t xml:space="preserve"> otrās daļas 12.punktam, tiek likvidēta vai iegādātie aktīvi tiek atsavināti pirms Komisijas regulas Nr. </w:t>
      </w:r>
      <w:hyperlink r:id="rId23" w:tgtFrame="_blank" w:history="1">
        <w:r w:rsidR="00BE2558" w:rsidRPr="004B5786">
          <w:rPr>
            <w:color w:val="auto"/>
            <w:sz w:val="24"/>
            <w:szCs w:val="24"/>
          </w:rPr>
          <w:t>651/2014</w:t>
        </w:r>
      </w:hyperlink>
      <w:r w:rsidR="00BE2558" w:rsidRPr="004B5786">
        <w:rPr>
          <w:color w:val="auto"/>
          <w:sz w:val="24"/>
          <w:szCs w:val="24"/>
        </w:rPr>
        <w:t xml:space="preserve"> 14.panta 5.punktā minētā termiņa beigām, vai divu gadu laikā pēc tam, kad ir pabeigts sākotnējais ieguldījums, kuram pieprasīts atbalsts, veic pārcelšanu, vai ir pārkāpusi Komisijas Regulas Nr. 651/2014 6.panta 2.punkta prasības, tā veic tiešo nodokļu pārrēķinu par taksācijas periodiem, kuros piemēroti tiešo nodokļu atvieglojumi, un iemaksā budžetā visu summu, par kuru šo atvieglojumu piemērošanas rezultātā bija </w:t>
      </w:r>
      <w:r w:rsidR="00967B31" w:rsidRPr="004B5786">
        <w:rPr>
          <w:color w:val="auto"/>
          <w:sz w:val="24"/>
          <w:szCs w:val="24"/>
        </w:rPr>
        <w:t>samazināti maksājamie nodokļi.</w:t>
      </w:r>
      <w:r w:rsidRPr="004B5786">
        <w:rPr>
          <w:color w:val="auto"/>
          <w:sz w:val="24"/>
          <w:szCs w:val="24"/>
        </w:rPr>
        <w:t>"</w:t>
      </w:r>
      <w:r w:rsidR="00A86EDD" w:rsidRPr="004B5786">
        <w:rPr>
          <w:color w:val="auto"/>
          <w:sz w:val="24"/>
          <w:szCs w:val="24"/>
        </w:rPr>
        <w:t>;</w:t>
      </w:r>
    </w:p>
    <w:p w14:paraId="7454965F" w14:textId="6DFC07B1" w:rsidR="00F65A55" w:rsidRPr="004B5786" w:rsidRDefault="00F65A55" w:rsidP="0082321B">
      <w:pPr>
        <w:shd w:val="clear" w:color="auto" w:fill="FFFFFF"/>
        <w:jc w:val="both"/>
        <w:rPr>
          <w:rFonts w:eastAsia="Times New Roman" w:cs="Times New Roman"/>
          <w:szCs w:val="24"/>
          <w:lang w:eastAsia="lv-LV"/>
        </w:rPr>
      </w:pPr>
    </w:p>
    <w:p w14:paraId="78C009EF" w14:textId="024D36BB" w:rsidR="00955008" w:rsidRPr="004B5786" w:rsidRDefault="00453829" w:rsidP="0082321B">
      <w:pPr>
        <w:shd w:val="clear" w:color="auto" w:fill="FFFFFF"/>
        <w:jc w:val="both"/>
        <w:rPr>
          <w:rFonts w:eastAsia="Times New Roman" w:cs="Times New Roman"/>
          <w:szCs w:val="24"/>
          <w:lang w:eastAsia="lv-LV"/>
        </w:rPr>
      </w:pPr>
      <w:r>
        <w:rPr>
          <w:rFonts w:eastAsia="Times New Roman" w:cs="Times New Roman"/>
          <w:szCs w:val="24"/>
          <w:lang w:eastAsia="lv-LV"/>
        </w:rPr>
        <w:t xml:space="preserve">aizstāt </w:t>
      </w:r>
      <w:r w:rsidR="00A86EDD" w:rsidRPr="004B5786">
        <w:rPr>
          <w:rFonts w:eastAsia="Times New Roman" w:cs="Times New Roman"/>
          <w:szCs w:val="24"/>
          <w:lang w:eastAsia="lv-LV"/>
        </w:rPr>
        <w:t>s</w:t>
      </w:r>
      <w:r w:rsidR="00955008" w:rsidRPr="004B5786">
        <w:rPr>
          <w:rFonts w:eastAsia="Times New Roman" w:cs="Times New Roman"/>
          <w:szCs w:val="24"/>
          <w:lang w:eastAsia="lv-LV"/>
        </w:rPr>
        <w:t>estajā daļā vārdus “likuma "</w:t>
      </w:r>
      <w:hyperlink r:id="rId24" w:tgtFrame="_blank" w:history="1">
        <w:r w:rsidR="00955008" w:rsidRPr="004B5786">
          <w:rPr>
            <w:rFonts w:eastAsia="Times New Roman" w:cs="Times New Roman"/>
            <w:szCs w:val="24"/>
            <w:lang w:eastAsia="lv-LV"/>
          </w:rPr>
          <w:t>Par uzņēmumu ienākuma nodokli</w:t>
        </w:r>
      </w:hyperlink>
      <w:r w:rsidR="00955008" w:rsidRPr="004B5786">
        <w:rPr>
          <w:rFonts w:eastAsia="Times New Roman" w:cs="Times New Roman"/>
          <w:szCs w:val="24"/>
          <w:lang w:eastAsia="lv-LV"/>
        </w:rPr>
        <w:t xml:space="preserve">" </w:t>
      </w:r>
      <w:hyperlink r:id="rId25" w:anchor="p1" w:tgtFrame="_blank" w:history="1">
        <w:r w:rsidR="00955008" w:rsidRPr="004B5786">
          <w:rPr>
            <w:rFonts w:eastAsia="Times New Roman" w:cs="Times New Roman"/>
            <w:szCs w:val="24"/>
            <w:lang w:eastAsia="lv-LV"/>
          </w:rPr>
          <w:t>1.panta</w:t>
        </w:r>
      </w:hyperlink>
      <w:r w:rsidR="00955008" w:rsidRPr="004B5786">
        <w:rPr>
          <w:rFonts w:eastAsia="Times New Roman" w:cs="Times New Roman"/>
          <w:szCs w:val="24"/>
          <w:lang w:eastAsia="lv-LV"/>
        </w:rPr>
        <w:t xml:space="preserve"> piecpadsmitajai, sešpadsmitajai vai septiņpadsmitajai daļai” ar vārdiem “</w:t>
      </w:r>
      <w:r w:rsidR="002E2070" w:rsidRPr="004B5786">
        <w:rPr>
          <w:rFonts w:eastAsia="Times New Roman" w:cs="Times New Roman"/>
          <w:szCs w:val="24"/>
          <w:lang w:eastAsia="lv-LV"/>
        </w:rPr>
        <w:t>Uzņēmumu ienākuma nodokļa likuma 1.panta trešajai, piektajai vai deviņpadsmitajai daļai”.</w:t>
      </w:r>
    </w:p>
    <w:p w14:paraId="1310982F" w14:textId="3AABD8F3" w:rsidR="0077101E" w:rsidRPr="004B5786" w:rsidRDefault="0077101E" w:rsidP="007E0A6A">
      <w:pPr>
        <w:shd w:val="clear" w:color="auto" w:fill="FFFFFF"/>
        <w:jc w:val="both"/>
        <w:rPr>
          <w:rFonts w:eastAsia="Times New Roman" w:cs="Times New Roman"/>
          <w:szCs w:val="24"/>
          <w:lang w:eastAsia="lv-LV"/>
        </w:rPr>
      </w:pPr>
    </w:p>
    <w:p w14:paraId="407B83F1" w14:textId="04A2DCC5" w:rsidR="0083078C" w:rsidRPr="004B5786" w:rsidRDefault="004B5786" w:rsidP="0083078C">
      <w:pPr>
        <w:jc w:val="both"/>
        <w:rPr>
          <w:rFonts w:cs="Times New Roman"/>
          <w:color w:val="000000" w:themeColor="text1"/>
          <w:szCs w:val="24"/>
        </w:rPr>
      </w:pPr>
      <w:r w:rsidRPr="004B5786">
        <w:rPr>
          <w:rFonts w:cs="Times New Roman"/>
          <w:szCs w:val="24"/>
        </w:rPr>
        <w:t>4</w:t>
      </w:r>
      <w:r w:rsidR="0083078C" w:rsidRPr="004B5786">
        <w:rPr>
          <w:rFonts w:cs="Times New Roman"/>
          <w:szCs w:val="24"/>
        </w:rPr>
        <w:t xml:space="preserve">. Izteikt </w:t>
      </w:r>
      <w:r w:rsidR="0083078C" w:rsidRPr="004B5786">
        <w:rPr>
          <w:rFonts w:cs="Times New Roman"/>
          <w:color w:val="000000" w:themeColor="text1"/>
          <w:szCs w:val="24"/>
        </w:rPr>
        <w:t>Informatīvo atsauci uz Komisijas regulu šādā redakcijā:</w:t>
      </w:r>
    </w:p>
    <w:p w14:paraId="32DDBEF1" w14:textId="77777777" w:rsidR="0083078C" w:rsidRPr="004B5786" w:rsidRDefault="0083078C" w:rsidP="0083078C">
      <w:pPr>
        <w:jc w:val="both"/>
        <w:rPr>
          <w:rFonts w:cs="Times New Roman"/>
          <w:color w:val="000000" w:themeColor="text1"/>
          <w:szCs w:val="24"/>
        </w:rPr>
      </w:pPr>
    </w:p>
    <w:p w14:paraId="5D819C1A" w14:textId="77777777" w:rsidR="0083078C" w:rsidRPr="004B5786" w:rsidRDefault="0083078C" w:rsidP="0083078C">
      <w:pPr>
        <w:jc w:val="both"/>
        <w:rPr>
          <w:rFonts w:cs="Times New Roman"/>
          <w:szCs w:val="24"/>
        </w:rPr>
      </w:pPr>
      <w:r w:rsidRPr="004B5786">
        <w:rPr>
          <w:rFonts w:cs="Times New Roman"/>
          <w:szCs w:val="24"/>
        </w:rPr>
        <w:t xml:space="preserve">“Atbalstu šā likuma ietvaros sniedz saskaņā ar Komisijas 2014.gada 17.jūnija regulu (ES) Nr. </w:t>
      </w:r>
      <w:hyperlink r:id="rId26" w:tgtFrame="_blank" w:history="1">
        <w:r w:rsidRPr="004B5786">
          <w:rPr>
            <w:rFonts w:cs="Times New Roman"/>
            <w:color w:val="16497B"/>
            <w:szCs w:val="24"/>
          </w:rPr>
          <w:t>651/2014</w:t>
        </w:r>
      </w:hyperlink>
      <w:r w:rsidRPr="004B5786">
        <w:rPr>
          <w:rFonts w:cs="Times New Roman"/>
          <w:szCs w:val="24"/>
        </w:rPr>
        <w:t xml:space="preserve">, ar ko noteiktas atbalsta kategorijas atzīst par saderīgām ar iekšējo tirgu, piemērojot Līguma 107. un 108.pantu (Dokuments attiecas uz EEZ) (publicēta Eiropas Savienības Oficiālajā Vēstnesī L 187, </w:t>
      </w:r>
      <w:hyperlink r:id="rId27" w:anchor="p1.11" w:tgtFrame="_blank" w:history="1">
        <w:r w:rsidRPr="004B5786">
          <w:rPr>
            <w:rFonts w:cs="Times New Roman"/>
            <w:szCs w:val="24"/>
          </w:rPr>
          <w:t>26.06.</w:t>
        </w:r>
      </w:hyperlink>
      <w:hyperlink r:id="rId28" w:anchor="p2006" w:tgtFrame="_blank" w:history="1">
        <w:r w:rsidRPr="004B5786">
          <w:rPr>
            <w:rFonts w:cs="Times New Roman"/>
            <w:szCs w:val="24"/>
          </w:rPr>
          <w:t>2014.</w:t>
        </w:r>
      </w:hyperlink>
      <w:r w:rsidRPr="004B5786">
        <w:rPr>
          <w:rFonts w:cs="Times New Roman"/>
          <w:szCs w:val="24"/>
        </w:rPr>
        <w:t>).</w:t>
      </w:r>
    </w:p>
    <w:p w14:paraId="324331C6" w14:textId="77777777" w:rsidR="0083078C" w:rsidRPr="004B5786" w:rsidRDefault="0083078C" w:rsidP="0082321B">
      <w:pPr>
        <w:jc w:val="both"/>
        <w:rPr>
          <w:rFonts w:cs="Times New Roman"/>
          <w:szCs w:val="24"/>
        </w:rPr>
      </w:pPr>
    </w:p>
    <w:p w14:paraId="331BA6AF" w14:textId="7AFB7A33" w:rsidR="0035646B" w:rsidRPr="004B5786" w:rsidRDefault="004B5786" w:rsidP="0082321B">
      <w:pPr>
        <w:jc w:val="both"/>
        <w:rPr>
          <w:rFonts w:cs="Times New Roman"/>
          <w:szCs w:val="24"/>
        </w:rPr>
      </w:pPr>
      <w:r w:rsidRPr="004B5786">
        <w:rPr>
          <w:rFonts w:cs="Times New Roman"/>
          <w:szCs w:val="24"/>
        </w:rPr>
        <w:t>5</w:t>
      </w:r>
      <w:r w:rsidR="0035646B" w:rsidRPr="004B5786">
        <w:rPr>
          <w:rFonts w:cs="Times New Roman"/>
          <w:szCs w:val="24"/>
        </w:rPr>
        <w:t xml:space="preserve">. </w:t>
      </w:r>
      <w:r w:rsidR="00453829">
        <w:rPr>
          <w:rFonts w:cs="Times New Roman"/>
          <w:szCs w:val="24"/>
        </w:rPr>
        <w:t>I</w:t>
      </w:r>
      <w:r w:rsidR="0035646B" w:rsidRPr="004B5786">
        <w:rPr>
          <w:rFonts w:cs="Times New Roman"/>
          <w:szCs w:val="24"/>
        </w:rPr>
        <w:t>zteikt 8.pielikuma 22.punktu šādā redakcijā:</w:t>
      </w:r>
    </w:p>
    <w:p w14:paraId="250A660F" w14:textId="77777777" w:rsidR="0035646B" w:rsidRPr="004B5786" w:rsidRDefault="0035646B" w:rsidP="0082321B">
      <w:pPr>
        <w:jc w:val="both"/>
        <w:rPr>
          <w:rFonts w:cs="Times New Roman"/>
          <w:szCs w:val="24"/>
        </w:rPr>
      </w:pPr>
    </w:p>
    <w:p w14:paraId="4DF591BE" w14:textId="61BF65B5" w:rsidR="00B87F9D" w:rsidRPr="004B5786" w:rsidRDefault="007757D4" w:rsidP="0082321B">
      <w:pPr>
        <w:jc w:val="both"/>
        <w:rPr>
          <w:rFonts w:cs="Times New Roman"/>
          <w:szCs w:val="24"/>
        </w:rPr>
      </w:pPr>
      <w:r w:rsidRPr="004B5786">
        <w:rPr>
          <w:rFonts w:cs="Times New Roman"/>
          <w:szCs w:val="24"/>
        </w:rPr>
        <w:t>“</w:t>
      </w:r>
      <w:r w:rsidR="0035646B" w:rsidRPr="004B5786">
        <w:rPr>
          <w:rFonts w:cs="Times New Roman"/>
          <w:szCs w:val="24"/>
        </w:rPr>
        <w:t>22. Apliecinājums, ka kapitālsabiedrība pēdējo divu gadu laikā pirms pieteikuma iesniegšanas līguma par ieguldījumu veikšanu slēgšanai nav veikusi pārcelšanu uz attiecīgo zonas vai brīvostas teritoriju, kurā tiks veikts sākotnējais ieguldījums, kuram pieprasīts atbalsts, un apņemas to nedarīt divus gadus pēc tam, kad ir pabeigts sākotnējais ieguldījums, ku</w:t>
      </w:r>
      <w:r w:rsidR="00967B31" w:rsidRPr="004B5786">
        <w:rPr>
          <w:rFonts w:cs="Times New Roman"/>
          <w:szCs w:val="24"/>
        </w:rPr>
        <w:t>ram tiek pieprasīts atbalsts.</w:t>
      </w:r>
      <w:r w:rsidRPr="004B5786">
        <w:rPr>
          <w:rFonts w:cs="Times New Roman"/>
          <w:szCs w:val="24"/>
        </w:rPr>
        <w:t>”</w:t>
      </w:r>
    </w:p>
    <w:p w14:paraId="06ADC6FF" w14:textId="501F9144" w:rsidR="00053BAF" w:rsidRPr="004B5786" w:rsidRDefault="00053BAF" w:rsidP="0082321B">
      <w:pPr>
        <w:jc w:val="both"/>
        <w:rPr>
          <w:rFonts w:cs="Times New Roman"/>
          <w:szCs w:val="24"/>
        </w:rPr>
      </w:pPr>
    </w:p>
    <w:p w14:paraId="6614ABA0" w14:textId="7CAC73A7" w:rsidR="00053BAF" w:rsidRPr="004B5786" w:rsidRDefault="00053BAF" w:rsidP="0082321B">
      <w:pPr>
        <w:jc w:val="both"/>
        <w:rPr>
          <w:rFonts w:cs="Times New Roman"/>
          <w:szCs w:val="24"/>
        </w:rPr>
      </w:pPr>
    </w:p>
    <w:p w14:paraId="2D61911D" w14:textId="77777777" w:rsidR="00C454E2" w:rsidRPr="004B5786" w:rsidRDefault="00C454E2" w:rsidP="003B0CDC">
      <w:pPr>
        <w:rPr>
          <w:rFonts w:eastAsia="Times New Roman" w:cs="Times New Roman"/>
          <w:szCs w:val="24"/>
          <w:lang w:eastAsia="lv-LV"/>
        </w:rPr>
      </w:pPr>
    </w:p>
    <w:p w14:paraId="3B23F8B8" w14:textId="2AC6F2E9" w:rsidR="00B87F9D" w:rsidRPr="004B5786" w:rsidRDefault="00B87F9D" w:rsidP="003B0CDC">
      <w:pPr>
        <w:rPr>
          <w:rFonts w:eastAsia="Times New Roman" w:cs="Times New Roman"/>
          <w:szCs w:val="24"/>
          <w:lang w:eastAsia="lv-LV"/>
        </w:rPr>
      </w:pPr>
      <w:r w:rsidRPr="004B5786">
        <w:rPr>
          <w:rFonts w:eastAsia="Times New Roman" w:cs="Times New Roman"/>
          <w:szCs w:val="24"/>
          <w:lang w:eastAsia="lv-LV"/>
        </w:rPr>
        <w:t>Iesniedzējs: satiksmes ministrs</w:t>
      </w:r>
      <w:r w:rsidRPr="004B5786">
        <w:rPr>
          <w:rFonts w:eastAsia="Times New Roman" w:cs="Times New Roman"/>
          <w:szCs w:val="24"/>
          <w:lang w:eastAsia="lv-LV"/>
        </w:rPr>
        <w:tab/>
      </w:r>
      <w:r w:rsidRPr="004B5786">
        <w:rPr>
          <w:rFonts w:eastAsia="Times New Roman" w:cs="Times New Roman"/>
          <w:szCs w:val="24"/>
          <w:lang w:eastAsia="lv-LV"/>
        </w:rPr>
        <w:tab/>
      </w:r>
      <w:r w:rsidRPr="004B5786">
        <w:rPr>
          <w:rFonts w:eastAsia="Times New Roman" w:cs="Times New Roman"/>
          <w:szCs w:val="24"/>
          <w:lang w:eastAsia="lv-LV"/>
        </w:rPr>
        <w:tab/>
      </w:r>
      <w:r w:rsidRPr="004B5786">
        <w:rPr>
          <w:rFonts w:eastAsia="Times New Roman" w:cs="Times New Roman"/>
          <w:szCs w:val="24"/>
          <w:lang w:eastAsia="lv-LV"/>
        </w:rPr>
        <w:tab/>
      </w:r>
      <w:r w:rsidRPr="004B5786">
        <w:rPr>
          <w:rFonts w:eastAsia="Times New Roman" w:cs="Times New Roman"/>
          <w:szCs w:val="24"/>
          <w:lang w:eastAsia="lv-LV"/>
        </w:rPr>
        <w:tab/>
        <w:t>U. Augulis</w:t>
      </w:r>
    </w:p>
    <w:p w14:paraId="6E096D87" w14:textId="77777777" w:rsidR="00B87F9D" w:rsidRPr="004B5786" w:rsidRDefault="00B87F9D" w:rsidP="00B87F9D">
      <w:pPr>
        <w:tabs>
          <w:tab w:val="left" w:pos="6804"/>
        </w:tabs>
        <w:ind w:firstLine="720"/>
        <w:rPr>
          <w:rFonts w:eastAsia="Times New Roman" w:cs="Times New Roman"/>
          <w:szCs w:val="24"/>
          <w:lang w:eastAsia="lv-LV"/>
        </w:rPr>
      </w:pPr>
    </w:p>
    <w:p w14:paraId="7ABBC734" w14:textId="77777777" w:rsidR="00B87F9D" w:rsidRPr="004B5786" w:rsidRDefault="00B87F9D" w:rsidP="00B87F9D">
      <w:pPr>
        <w:tabs>
          <w:tab w:val="left" w:pos="6804"/>
        </w:tabs>
        <w:ind w:firstLine="720"/>
        <w:rPr>
          <w:rFonts w:eastAsia="Times New Roman" w:cs="Times New Roman"/>
          <w:szCs w:val="24"/>
          <w:lang w:eastAsia="lv-LV"/>
        </w:rPr>
      </w:pPr>
    </w:p>
    <w:p w14:paraId="10D61D24" w14:textId="3E789B83" w:rsidR="00B87F9D" w:rsidRPr="004B5786" w:rsidRDefault="00B87F9D" w:rsidP="003B0CDC">
      <w:pPr>
        <w:rPr>
          <w:rFonts w:eastAsia="Times New Roman" w:cs="Times New Roman"/>
          <w:szCs w:val="24"/>
          <w:lang w:eastAsia="lv-LV"/>
        </w:rPr>
      </w:pPr>
      <w:r w:rsidRPr="004B5786">
        <w:rPr>
          <w:rFonts w:eastAsia="Times New Roman" w:cs="Times New Roman"/>
          <w:szCs w:val="24"/>
          <w:lang w:eastAsia="lv-LV"/>
        </w:rPr>
        <w:t>Vīza: valsts sekretā</w:t>
      </w:r>
      <w:bookmarkStart w:id="0" w:name="_GoBack"/>
      <w:bookmarkEnd w:id="0"/>
      <w:r w:rsidRPr="004B5786">
        <w:rPr>
          <w:rFonts w:eastAsia="Times New Roman" w:cs="Times New Roman"/>
          <w:szCs w:val="24"/>
          <w:lang w:eastAsia="lv-LV"/>
        </w:rPr>
        <w:t>rs</w:t>
      </w:r>
      <w:r w:rsidRPr="004B5786">
        <w:rPr>
          <w:rFonts w:eastAsia="Times New Roman" w:cs="Times New Roman"/>
          <w:szCs w:val="24"/>
          <w:lang w:eastAsia="lv-LV"/>
        </w:rPr>
        <w:tab/>
      </w:r>
      <w:r w:rsidRPr="004B5786">
        <w:rPr>
          <w:rFonts w:eastAsia="Times New Roman" w:cs="Times New Roman"/>
          <w:szCs w:val="24"/>
          <w:lang w:eastAsia="lv-LV"/>
        </w:rPr>
        <w:tab/>
      </w:r>
      <w:r w:rsidRPr="004B5786">
        <w:rPr>
          <w:rFonts w:eastAsia="Times New Roman" w:cs="Times New Roman"/>
          <w:szCs w:val="24"/>
          <w:lang w:eastAsia="lv-LV"/>
        </w:rPr>
        <w:tab/>
      </w:r>
      <w:r w:rsidRPr="004B5786">
        <w:rPr>
          <w:rFonts w:eastAsia="Times New Roman" w:cs="Times New Roman"/>
          <w:szCs w:val="24"/>
          <w:lang w:eastAsia="lv-LV"/>
        </w:rPr>
        <w:tab/>
      </w:r>
      <w:r w:rsidRPr="004B5786">
        <w:rPr>
          <w:rFonts w:eastAsia="Times New Roman" w:cs="Times New Roman"/>
          <w:szCs w:val="24"/>
          <w:lang w:eastAsia="lv-LV"/>
        </w:rPr>
        <w:tab/>
      </w:r>
      <w:r w:rsidRPr="004B5786">
        <w:rPr>
          <w:rFonts w:eastAsia="Times New Roman" w:cs="Times New Roman"/>
          <w:szCs w:val="24"/>
          <w:lang w:eastAsia="lv-LV"/>
        </w:rPr>
        <w:tab/>
      </w:r>
      <w:r w:rsidR="004B5786">
        <w:rPr>
          <w:rFonts w:eastAsia="Times New Roman" w:cs="Times New Roman"/>
          <w:szCs w:val="24"/>
          <w:lang w:eastAsia="lv-LV"/>
        </w:rPr>
        <w:tab/>
      </w:r>
      <w:r w:rsidRPr="004B5786">
        <w:rPr>
          <w:rFonts w:eastAsia="Times New Roman" w:cs="Times New Roman"/>
          <w:szCs w:val="24"/>
          <w:lang w:eastAsia="lv-LV"/>
        </w:rPr>
        <w:t>K. Ozoliņš</w:t>
      </w:r>
    </w:p>
    <w:p w14:paraId="01289C50" w14:textId="77777777" w:rsidR="00B87F9D" w:rsidRPr="003B0CDC" w:rsidRDefault="00B87F9D" w:rsidP="00B87F9D">
      <w:pPr>
        <w:tabs>
          <w:tab w:val="left" w:pos="6804"/>
        </w:tabs>
        <w:ind w:firstLine="720"/>
        <w:rPr>
          <w:rFonts w:eastAsia="Times New Roman" w:cs="Times New Roman"/>
          <w:szCs w:val="24"/>
          <w:lang w:eastAsia="lv-LV"/>
        </w:rPr>
      </w:pPr>
    </w:p>
    <w:p w14:paraId="470F76F3" w14:textId="77777777" w:rsidR="0064125F" w:rsidRPr="003B0CDC" w:rsidRDefault="0064125F" w:rsidP="00B87F9D">
      <w:pPr>
        <w:ind w:firstLine="720"/>
        <w:rPr>
          <w:rFonts w:eastAsia="Times New Roman" w:cs="Times New Roman"/>
          <w:szCs w:val="24"/>
          <w:lang w:eastAsia="lv-LV"/>
        </w:rPr>
      </w:pPr>
    </w:p>
    <w:p w14:paraId="65FEADE8" w14:textId="77777777" w:rsidR="00B87F9D" w:rsidRPr="003B0CDC" w:rsidRDefault="00B87F9D" w:rsidP="00B87F9D">
      <w:pPr>
        <w:ind w:firstLine="720"/>
        <w:rPr>
          <w:rFonts w:eastAsia="Times New Roman" w:cs="Times New Roman"/>
          <w:szCs w:val="24"/>
          <w:lang w:eastAsia="lv-LV"/>
        </w:rPr>
      </w:pPr>
    </w:p>
    <w:p w14:paraId="7662904B" w14:textId="7D7815E8" w:rsidR="00B87F9D" w:rsidRPr="00543B73" w:rsidRDefault="00B87F9D" w:rsidP="00B87F9D">
      <w:pPr>
        <w:rPr>
          <w:rFonts w:eastAsia="Calibri" w:cs="Times New Roman"/>
          <w:sz w:val="20"/>
          <w:szCs w:val="20"/>
        </w:rPr>
      </w:pPr>
      <w:r w:rsidRPr="00543B73">
        <w:rPr>
          <w:rFonts w:eastAsia="Calibri" w:cs="Times New Roman"/>
          <w:sz w:val="20"/>
          <w:szCs w:val="20"/>
        </w:rPr>
        <w:t>Maldups, 67028320</w:t>
      </w:r>
    </w:p>
    <w:p w14:paraId="6DAEB3F2" w14:textId="23783971" w:rsidR="0044768A" w:rsidRPr="00543B73" w:rsidRDefault="00453829" w:rsidP="007E0A6A">
      <w:pPr>
        <w:rPr>
          <w:szCs w:val="24"/>
        </w:rPr>
      </w:pPr>
      <w:hyperlink r:id="rId29" w:history="1">
        <w:r w:rsidR="00B87F9D" w:rsidRPr="003B0CDC">
          <w:rPr>
            <w:rStyle w:val="Hyperlink"/>
            <w:rFonts w:eastAsia="Calibri" w:cs="Times New Roman"/>
            <w:color w:val="auto"/>
            <w:sz w:val="20"/>
            <w:szCs w:val="20"/>
          </w:rPr>
          <w:t>Andris.Maldups@sam.gov.lv</w:t>
        </w:r>
      </w:hyperlink>
      <w:r w:rsidR="00B87F9D" w:rsidRPr="00543B73">
        <w:rPr>
          <w:rFonts w:eastAsia="Calibri" w:cs="Times New Roman"/>
          <w:sz w:val="20"/>
          <w:szCs w:val="20"/>
        </w:rPr>
        <w:t xml:space="preserve"> </w:t>
      </w:r>
    </w:p>
    <w:sectPr w:rsidR="0044768A" w:rsidRPr="00543B73" w:rsidSect="003B0CDC">
      <w:headerReference w:type="default" r:id="rId30"/>
      <w:footerReference w:type="default" r:id="rId31"/>
      <w:footerReference w:type="first" r:id="rId3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FEA0C" w14:textId="77777777" w:rsidR="0043102F" w:rsidRDefault="0043102F" w:rsidP="0043102F">
      <w:r>
        <w:separator/>
      </w:r>
    </w:p>
  </w:endnote>
  <w:endnote w:type="continuationSeparator" w:id="0">
    <w:p w14:paraId="6C069142" w14:textId="77777777" w:rsidR="0043102F" w:rsidRDefault="0043102F" w:rsidP="0043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02A34" w14:textId="12B3CA93" w:rsidR="0043102F" w:rsidRPr="00D528C4" w:rsidRDefault="00D528C4" w:rsidP="00D528C4">
    <w:pPr>
      <w:pStyle w:val="Footer"/>
    </w:pPr>
    <w:r w:rsidRPr="000F3320">
      <w:rPr>
        <w:sz w:val="20"/>
        <w:szCs w:val="20"/>
      </w:rPr>
      <w:t>SMLik_</w:t>
    </w:r>
    <w:r>
      <w:rPr>
        <w:sz w:val="20"/>
        <w:szCs w:val="20"/>
      </w:rPr>
      <w:t>080118</w:t>
    </w:r>
    <w:r w:rsidRPr="000F3320">
      <w:rPr>
        <w:sz w:val="20"/>
        <w:szCs w:val="20"/>
      </w:rPr>
      <w:t>_NodOstas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74136" w14:textId="166F1A09" w:rsidR="0043102F" w:rsidRDefault="0043102F">
    <w:pPr>
      <w:pStyle w:val="Footer"/>
    </w:pPr>
    <w:r w:rsidRPr="000F3320">
      <w:rPr>
        <w:sz w:val="20"/>
        <w:szCs w:val="20"/>
      </w:rPr>
      <w:t>SMLik_</w:t>
    </w:r>
    <w:r w:rsidR="00D528C4">
      <w:rPr>
        <w:sz w:val="20"/>
        <w:szCs w:val="20"/>
      </w:rPr>
      <w:t>080118</w:t>
    </w:r>
    <w:r w:rsidRPr="000F3320">
      <w:rPr>
        <w:sz w:val="20"/>
        <w:szCs w:val="20"/>
      </w:rPr>
      <w:t>_NodOstas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FC4A2" w14:textId="77777777" w:rsidR="0043102F" w:rsidRDefault="0043102F" w:rsidP="0043102F">
      <w:r>
        <w:separator/>
      </w:r>
    </w:p>
  </w:footnote>
  <w:footnote w:type="continuationSeparator" w:id="0">
    <w:p w14:paraId="6E0A4D15" w14:textId="77777777" w:rsidR="0043102F" w:rsidRDefault="0043102F" w:rsidP="00431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002132"/>
      <w:docPartObj>
        <w:docPartGallery w:val="Page Numbers (Top of Page)"/>
        <w:docPartUnique/>
      </w:docPartObj>
    </w:sdtPr>
    <w:sdtEndPr>
      <w:rPr>
        <w:noProof/>
      </w:rPr>
    </w:sdtEndPr>
    <w:sdtContent>
      <w:p w14:paraId="7DCAF6CF" w14:textId="3D91379E" w:rsidR="0043102F" w:rsidRDefault="0043102F">
        <w:pPr>
          <w:pStyle w:val="Header"/>
          <w:jc w:val="center"/>
        </w:pPr>
        <w:r>
          <w:fldChar w:fldCharType="begin"/>
        </w:r>
        <w:r>
          <w:instrText xml:space="preserve"> PAGE   \* MERGEFORMAT </w:instrText>
        </w:r>
        <w:r>
          <w:fldChar w:fldCharType="separate"/>
        </w:r>
        <w:r w:rsidR="00453829">
          <w:rPr>
            <w:noProof/>
          </w:rPr>
          <w:t>2</w:t>
        </w:r>
        <w:r>
          <w:rPr>
            <w:noProof/>
          </w:rPr>
          <w:fldChar w:fldCharType="end"/>
        </w:r>
      </w:p>
    </w:sdtContent>
  </w:sdt>
  <w:p w14:paraId="2405139B" w14:textId="5BCB5AD2" w:rsidR="0043102F" w:rsidRDefault="0043102F" w:rsidP="003B0CDC">
    <w:pPr>
      <w:pStyle w:val="Header"/>
      <w:tabs>
        <w:tab w:val="clear" w:pos="4153"/>
        <w:tab w:val="clear" w:pos="8306"/>
        <w:tab w:val="left" w:pos="217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13A"/>
    <w:rsid w:val="00053BAF"/>
    <w:rsid w:val="001D56B4"/>
    <w:rsid w:val="002010CA"/>
    <w:rsid w:val="002C31E1"/>
    <w:rsid w:val="002E2070"/>
    <w:rsid w:val="00305FDD"/>
    <w:rsid w:val="0035646B"/>
    <w:rsid w:val="00371996"/>
    <w:rsid w:val="00395B80"/>
    <w:rsid w:val="003B0CDC"/>
    <w:rsid w:val="003B5621"/>
    <w:rsid w:val="003E27D5"/>
    <w:rsid w:val="0043102F"/>
    <w:rsid w:val="0044768A"/>
    <w:rsid w:val="00453345"/>
    <w:rsid w:val="00453829"/>
    <w:rsid w:val="0046613A"/>
    <w:rsid w:val="00477873"/>
    <w:rsid w:val="004B5786"/>
    <w:rsid w:val="00534B42"/>
    <w:rsid w:val="00543B73"/>
    <w:rsid w:val="0064125F"/>
    <w:rsid w:val="006F4418"/>
    <w:rsid w:val="0077101E"/>
    <w:rsid w:val="007757D4"/>
    <w:rsid w:val="007A1D3B"/>
    <w:rsid w:val="007E0A6A"/>
    <w:rsid w:val="0082321B"/>
    <w:rsid w:val="0083078C"/>
    <w:rsid w:val="00843E2B"/>
    <w:rsid w:val="00913B0E"/>
    <w:rsid w:val="0094159E"/>
    <w:rsid w:val="00955008"/>
    <w:rsid w:val="00967B31"/>
    <w:rsid w:val="009C778D"/>
    <w:rsid w:val="00A111CA"/>
    <w:rsid w:val="00A86EDD"/>
    <w:rsid w:val="00AB28AB"/>
    <w:rsid w:val="00AD3C82"/>
    <w:rsid w:val="00B4717B"/>
    <w:rsid w:val="00B70ECD"/>
    <w:rsid w:val="00B87F9D"/>
    <w:rsid w:val="00BB58AA"/>
    <w:rsid w:val="00BE2558"/>
    <w:rsid w:val="00C225A5"/>
    <w:rsid w:val="00C454E2"/>
    <w:rsid w:val="00C852B8"/>
    <w:rsid w:val="00D528C4"/>
    <w:rsid w:val="00D57C7D"/>
    <w:rsid w:val="00D72552"/>
    <w:rsid w:val="00DA4D59"/>
    <w:rsid w:val="00ED1369"/>
    <w:rsid w:val="00EF047B"/>
    <w:rsid w:val="00F65A55"/>
    <w:rsid w:val="00F92ECE"/>
    <w:rsid w:val="00F97F0C"/>
    <w:rsid w:val="00FA4129"/>
    <w:rsid w:val="00FA605B"/>
    <w:rsid w:val="00FE4C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174CD6"/>
  <w15:chartTrackingRefBased/>
  <w15:docId w15:val="{BCC62139-429B-4941-A89C-240A937A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13A"/>
    <w:rPr>
      <w:color w:val="0000FF"/>
      <w:u w:val="single"/>
    </w:rPr>
  </w:style>
  <w:style w:type="paragraph" w:styleId="ListParagraph">
    <w:name w:val="List Paragraph"/>
    <w:basedOn w:val="Normal"/>
    <w:uiPriority w:val="34"/>
    <w:qFormat/>
    <w:rsid w:val="00D72552"/>
    <w:pPr>
      <w:ind w:left="720"/>
      <w:contextualSpacing/>
    </w:pPr>
  </w:style>
  <w:style w:type="paragraph" w:customStyle="1" w:styleId="tv2132">
    <w:name w:val="tv2132"/>
    <w:basedOn w:val="Normal"/>
    <w:rsid w:val="00D72552"/>
    <w:pPr>
      <w:spacing w:line="360" w:lineRule="auto"/>
      <w:ind w:firstLine="300"/>
    </w:pPr>
    <w:rPr>
      <w:rFonts w:eastAsia="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D72552"/>
    <w:rPr>
      <w:sz w:val="16"/>
      <w:szCs w:val="16"/>
    </w:rPr>
  </w:style>
  <w:style w:type="paragraph" w:styleId="CommentText">
    <w:name w:val="annotation text"/>
    <w:basedOn w:val="Normal"/>
    <w:link w:val="CommentTextChar"/>
    <w:uiPriority w:val="99"/>
    <w:semiHidden/>
    <w:unhideWhenUsed/>
    <w:rsid w:val="00D72552"/>
    <w:rPr>
      <w:sz w:val="20"/>
      <w:szCs w:val="20"/>
    </w:rPr>
  </w:style>
  <w:style w:type="character" w:customStyle="1" w:styleId="CommentTextChar">
    <w:name w:val="Comment Text Char"/>
    <w:basedOn w:val="DefaultParagraphFont"/>
    <w:link w:val="CommentText"/>
    <w:uiPriority w:val="99"/>
    <w:semiHidden/>
    <w:rsid w:val="00D72552"/>
    <w:rPr>
      <w:sz w:val="20"/>
      <w:szCs w:val="20"/>
    </w:rPr>
  </w:style>
  <w:style w:type="paragraph" w:styleId="BalloonText">
    <w:name w:val="Balloon Text"/>
    <w:basedOn w:val="Normal"/>
    <w:link w:val="BalloonTextChar"/>
    <w:uiPriority w:val="99"/>
    <w:semiHidden/>
    <w:unhideWhenUsed/>
    <w:rsid w:val="00D725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552"/>
    <w:rPr>
      <w:rFonts w:ascii="Segoe UI" w:hAnsi="Segoe UI" w:cs="Segoe UI"/>
      <w:sz w:val="18"/>
      <w:szCs w:val="18"/>
    </w:rPr>
  </w:style>
  <w:style w:type="paragraph" w:styleId="Header">
    <w:name w:val="header"/>
    <w:basedOn w:val="Normal"/>
    <w:link w:val="HeaderChar"/>
    <w:uiPriority w:val="99"/>
    <w:unhideWhenUsed/>
    <w:rsid w:val="0043102F"/>
    <w:pPr>
      <w:tabs>
        <w:tab w:val="center" w:pos="4153"/>
        <w:tab w:val="right" w:pos="8306"/>
      </w:tabs>
    </w:pPr>
  </w:style>
  <w:style w:type="character" w:customStyle="1" w:styleId="HeaderChar">
    <w:name w:val="Header Char"/>
    <w:basedOn w:val="DefaultParagraphFont"/>
    <w:link w:val="Header"/>
    <w:uiPriority w:val="99"/>
    <w:rsid w:val="0043102F"/>
  </w:style>
  <w:style w:type="paragraph" w:styleId="Footer">
    <w:name w:val="footer"/>
    <w:basedOn w:val="Normal"/>
    <w:link w:val="FooterChar"/>
    <w:uiPriority w:val="99"/>
    <w:unhideWhenUsed/>
    <w:rsid w:val="0043102F"/>
    <w:pPr>
      <w:tabs>
        <w:tab w:val="center" w:pos="4153"/>
        <w:tab w:val="right" w:pos="8306"/>
      </w:tabs>
    </w:pPr>
  </w:style>
  <w:style w:type="character" w:customStyle="1" w:styleId="FooterChar">
    <w:name w:val="Footer Char"/>
    <w:basedOn w:val="DefaultParagraphFont"/>
    <w:link w:val="Footer"/>
    <w:uiPriority w:val="99"/>
    <w:rsid w:val="0043102F"/>
  </w:style>
  <w:style w:type="paragraph" w:styleId="CommentSubject">
    <w:name w:val="annotation subject"/>
    <w:basedOn w:val="CommentText"/>
    <w:next w:val="CommentText"/>
    <w:link w:val="CommentSubjectChar"/>
    <w:uiPriority w:val="99"/>
    <w:semiHidden/>
    <w:unhideWhenUsed/>
    <w:rsid w:val="00053BAF"/>
    <w:rPr>
      <w:b/>
      <w:bCs/>
    </w:rPr>
  </w:style>
  <w:style w:type="character" w:customStyle="1" w:styleId="CommentSubjectChar">
    <w:name w:val="Comment Subject Char"/>
    <w:basedOn w:val="CommentTextChar"/>
    <w:link w:val="CommentSubject"/>
    <w:uiPriority w:val="99"/>
    <w:semiHidden/>
    <w:rsid w:val="00053B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3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13" Type="http://schemas.openxmlformats.org/officeDocument/2006/relationships/hyperlink" Target="http://eur-lex.europa.eu/eli/reg/2014/651/oj/?locale=LV" TargetMode="External"/><Relationship Id="rId18" Type="http://schemas.openxmlformats.org/officeDocument/2006/relationships/hyperlink" Target="http://eur-lex.europa.eu/eli/reg/2014/651/oj/?locale=LV" TargetMode="External"/><Relationship Id="rId26" Type="http://schemas.openxmlformats.org/officeDocument/2006/relationships/hyperlink" Target="http://eur-lex.europa.eu/eli/reg/2014/651/oj/?locale=LV" TargetMode="External"/><Relationship Id="rId3" Type="http://schemas.openxmlformats.org/officeDocument/2006/relationships/settings" Target="settings.xml"/><Relationship Id="rId21" Type="http://schemas.openxmlformats.org/officeDocument/2006/relationships/hyperlink" Target="http://eur-lex.europa.eu/eli/reg/2014/651/oj/?locale=LV" TargetMode="External"/><Relationship Id="rId34" Type="http://schemas.openxmlformats.org/officeDocument/2006/relationships/theme" Target="theme/theme1.xml"/><Relationship Id="rId7" Type="http://schemas.openxmlformats.org/officeDocument/2006/relationships/hyperlink" Target="http://eur-lex.europa.eu/eli/reg/2014/651/oj/?locale=LV" TargetMode="External"/><Relationship Id="rId12" Type="http://schemas.openxmlformats.org/officeDocument/2006/relationships/hyperlink" Target="http://eur-lex.europa.eu/eli/reg/2014/651/oj/?locale=LV" TargetMode="External"/><Relationship Id="rId17" Type="http://schemas.openxmlformats.org/officeDocument/2006/relationships/hyperlink" Target="http://eur-lex.europa.eu/eli/reg/2014/651/oj/?locale=LV" TargetMode="External"/><Relationship Id="rId25" Type="http://schemas.openxmlformats.org/officeDocument/2006/relationships/hyperlink" Target="https://likumi.lv/ta/id/34094-par-uznemumu-ienakuma-nodokli"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ur-lex.europa.eu/eli/reg/2014/651/oj/?locale=LV" TargetMode="External"/><Relationship Id="rId20" Type="http://schemas.openxmlformats.org/officeDocument/2006/relationships/hyperlink" Target="http://eur-lex.europa.eu/eli/reg/2014/651/oj/?locale=LV" TargetMode="External"/><Relationship Id="rId29" Type="http://schemas.openxmlformats.org/officeDocument/2006/relationships/hyperlink" Target="mailto:Andris.Maldups@sam.gov.lv"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ur-lex.europa.eu/eli/reg/2014/651/oj/?locale=LV" TargetMode="External"/><Relationship Id="rId24" Type="http://schemas.openxmlformats.org/officeDocument/2006/relationships/hyperlink" Target="https://likumi.lv/ta/id/34094-par-uznemumu-ienakuma-nodokli"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eur-lex.europa.eu/eli/reg/2014/651/oj/?locale=LV" TargetMode="External"/><Relationship Id="rId23" Type="http://schemas.openxmlformats.org/officeDocument/2006/relationships/hyperlink" Target="http://eur-lex.europa.eu/eli/reg/2014/651/oj/?locale=LV" TargetMode="External"/><Relationship Id="rId28" Type="http://schemas.openxmlformats.org/officeDocument/2006/relationships/hyperlink" Target="https://likumi.lv/doc.php?id=33419" TargetMode="External"/><Relationship Id="rId10" Type="http://schemas.openxmlformats.org/officeDocument/2006/relationships/hyperlink" Target="http://eur-lex.europa.eu/eli/reg/2014/651/oj/?locale=LV" TargetMode="External"/><Relationship Id="rId19" Type="http://schemas.openxmlformats.org/officeDocument/2006/relationships/hyperlink" Target="https://likumi.lv/doc.php?id=33419"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ur-lex.europa.eu/eli/reg/2014/651/oj/?locale=LV" TargetMode="External"/><Relationship Id="rId14" Type="http://schemas.openxmlformats.org/officeDocument/2006/relationships/hyperlink" Target="http://eur-lex.europa.eu/eli/reg/2014/651/oj/?locale=LV" TargetMode="External"/><Relationship Id="rId22" Type="http://schemas.openxmlformats.org/officeDocument/2006/relationships/hyperlink" Target="https://likumi.lv/doc.php?id=33419" TargetMode="External"/><Relationship Id="rId27" Type="http://schemas.openxmlformats.org/officeDocument/2006/relationships/hyperlink" Target="https://likumi.lv/doc.php?id=33419"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4B537-B609-4AD1-BE0F-9AAAC2474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2</Pages>
  <Words>4082</Words>
  <Characters>2327</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Grozījumi likumā "Par nodokļu piemērošanu brīvostās un speciālajās ekonomiskajās zonās"</vt:lpstr>
    </vt:vector>
  </TitlesOfParts>
  <Company>Satiksmes ministrija</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nodokļu piemērošanu brīvostās un speciālajās ekonomiskajās zonās"</dc:title>
  <dc:subject>Likumprojekts</dc:subject>
  <dc:creator>Andris.Maldups@sam.gov.lv</dc:creator>
  <cp:keywords/>
  <dc:description>67028320, Andris.Maldups@sam.gov.lv</dc:description>
  <cp:lastModifiedBy>Baiba Jirgena</cp:lastModifiedBy>
  <cp:revision>21</cp:revision>
  <cp:lastPrinted>2018-01-16T07:48:00Z</cp:lastPrinted>
  <dcterms:created xsi:type="dcterms:W3CDTF">2018-01-03T12:56:00Z</dcterms:created>
  <dcterms:modified xsi:type="dcterms:W3CDTF">2018-01-16T16:01:00Z</dcterms:modified>
</cp:coreProperties>
</file>