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AA7647" w:rsidRPr="0055577F" w:rsidP="00C03EB8" w14:paraId="755C2646" w14:textId="77777777">
      <w:pPr>
        <w:pStyle w:val="naisc"/>
        <w:spacing w:before="0" w:beforeAutospacing="0" w:after="0" w:afterAutospacing="0" w:line="240" w:lineRule="auto"/>
        <w:jc w:val="center"/>
        <w:rPr>
          <w:b/>
          <w:bCs/>
          <w:color w:val="000000" w:themeColor="text1"/>
        </w:rPr>
      </w:pPr>
      <w:r w:rsidRPr="0055577F">
        <w:rPr>
          <w:b/>
          <w:bCs/>
          <w:color w:val="000000" w:themeColor="text1"/>
        </w:rPr>
        <w:t>Ministru kabineta noteikumu projekta</w:t>
      </w:r>
    </w:p>
    <w:p w:rsidR="00AE1C2C" w:rsidRPr="0055577F" w:rsidP="00C03EB8" w14:paraId="6B35390C" w14:textId="77777777">
      <w:pPr>
        <w:shd w:val="clear" w:color="auto" w:fill="FFFFFF"/>
        <w:spacing w:before="0" w:after="0" w:line="240" w:lineRule="auto"/>
        <w:jc w:val="center"/>
        <w:rPr>
          <w:b/>
          <w:color w:val="000000" w:themeColor="text1"/>
        </w:rPr>
      </w:pPr>
      <w:r w:rsidRPr="0055577F">
        <w:rPr>
          <w:b/>
          <w:color w:val="000000" w:themeColor="text1"/>
        </w:rPr>
        <w:t>„</w:t>
      </w:r>
      <w:r w:rsidRPr="0055577F" w:rsidR="004B174A">
        <w:rPr>
          <w:b/>
          <w:color w:val="000000" w:themeColor="text1"/>
        </w:rPr>
        <w:t>Siltumnīcefekta gāzu emisiju aprēķina metodika</w:t>
      </w:r>
      <w:r w:rsidRPr="0055577F" w:rsidR="00717641">
        <w:rPr>
          <w:b/>
          <w:color w:val="000000" w:themeColor="text1"/>
        </w:rPr>
        <w:t>”</w:t>
      </w:r>
      <w:r w:rsidRPr="0055577F">
        <w:rPr>
          <w:b/>
          <w:color w:val="000000" w:themeColor="text1"/>
        </w:rPr>
        <w:t xml:space="preserve"> </w:t>
      </w:r>
    </w:p>
    <w:p w:rsidR="00833870" w:rsidRPr="0055577F" w:rsidP="00C03EB8" w14:paraId="73DA77AB" w14:textId="77777777">
      <w:pPr>
        <w:shd w:val="clear" w:color="auto" w:fill="FFFFFF"/>
        <w:spacing w:before="0" w:after="0" w:line="240" w:lineRule="auto"/>
        <w:jc w:val="center"/>
        <w:rPr>
          <w:b/>
          <w:color w:val="000000" w:themeColor="text1"/>
        </w:rPr>
      </w:pPr>
      <w:r w:rsidRPr="0055577F">
        <w:rPr>
          <w:b/>
          <w:bCs/>
          <w:color w:val="000000" w:themeColor="text1"/>
        </w:rPr>
        <w:t>sākotnējās ietekmes novērtējuma ziņojums</w:t>
      </w:r>
      <w:r w:rsidRPr="0055577F">
        <w:rPr>
          <w:b/>
          <w:color w:val="000000" w:themeColor="text1"/>
        </w:rPr>
        <w:t xml:space="preserve"> (</w:t>
      </w:r>
      <w:r w:rsidRPr="0055577F" w:rsidR="0067267D">
        <w:rPr>
          <w:b/>
          <w:color w:val="000000" w:themeColor="text1"/>
        </w:rPr>
        <w:t>anotācija</w:t>
      </w:r>
      <w:r w:rsidRPr="0055577F">
        <w:rPr>
          <w:b/>
          <w:color w:val="000000" w:themeColor="text1"/>
        </w:rPr>
        <w:t>)</w:t>
      </w:r>
    </w:p>
    <w:p w:rsidR="00083FAE" w:rsidRPr="0055577F" w:rsidP="00CF4AC4" w14:paraId="1F2DD422" w14:textId="77777777">
      <w:pPr>
        <w:spacing w:before="120" w:after="0" w:line="240" w:lineRule="auto"/>
        <w:jc w:val="center"/>
        <w:rPr>
          <w:b/>
          <w:color w:val="000000" w:themeColor="text1"/>
          <w:sz w:val="28"/>
          <w:szCs w:val="28"/>
        </w:rPr>
      </w:pPr>
    </w:p>
    <w:tbl>
      <w:tblPr>
        <w:tblpPr w:leftFromText="180" w:rightFromText="180" w:vertAnchor="text" w:horzAnchor="margin" w:tblpXSpec="center" w:tblpY="149"/>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2149"/>
        <w:gridCol w:w="6756"/>
      </w:tblGrid>
      <w:tr w14:paraId="134A3269" w14:textId="77777777" w:rsidTr="004C1936">
        <w:tblPrEx>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455" w:type="dxa"/>
            <w:gridSpan w:val="3"/>
            <w:vAlign w:val="center"/>
          </w:tcPr>
          <w:p w:rsidR="0067267D" w:rsidRPr="0055577F" w14:paraId="3C2FDD51" w14:textId="77777777">
            <w:pPr>
              <w:pStyle w:val="naisnod"/>
              <w:spacing w:before="0" w:after="0"/>
              <w:rPr>
                <w:color w:val="000000" w:themeColor="text1"/>
              </w:rPr>
            </w:pPr>
            <w:r w:rsidRPr="0055577F">
              <w:rPr>
                <w:color w:val="000000" w:themeColor="text1"/>
              </w:rPr>
              <w:t>I.</w:t>
            </w:r>
            <w:r w:rsidRPr="0055577F" w:rsidR="00061915">
              <w:rPr>
                <w:color w:val="000000" w:themeColor="text1"/>
              </w:rPr>
              <w:t> </w:t>
            </w:r>
            <w:r w:rsidRPr="0055577F">
              <w:rPr>
                <w:color w:val="000000" w:themeColor="text1"/>
              </w:rPr>
              <w:t>Tiesību akta projekta izstrādes nepieciešamība</w:t>
            </w:r>
          </w:p>
        </w:tc>
      </w:tr>
      <w:tr w14:paraId="303E1781" w14:textId="77777777" w:rsidTr="00464AFB">
        <w:tblPrEx>
          <w:tblW w:w="9455" w:type="dxa"/>
          <w:tblCellMar>
            <w:left w:w="0" w:type="dxa"/>
            <w:right w:w="0" w:type="dxa"/>
          </w:tblCellMar>
          <w:tblLook w:val="0000"/>
        </w:tblPrEx>
        <w:trPr>
          <w:trHeight w:val="630"/>
        </w:trPr>
        <w:tc>
          <w:tcPr>
            <w:tcW w:w="550" w:type="dxa"/>
          </w:tcPr>
          <w:p w:rsidR="0067267D" w:rsidRPr="0055577F" w14:paraId="207CB2A6" w14:textId="77777777">
            <w:pPr>
              <w:pStyle w:val="naiskr"/>
              <w:spacing w:before="0" w:after="0"/>
              <w:rPr>
                <w:color w:val="000000" w:themeColor="text1"/>
              </w:rPr>
            </w:pPr>
            <w:r w:rsidRPr="0055577F">
              <w:rPr>
                <w:color w:val="000000" w:themeColor="text1"/>
              </w:rPr>
              <w:t>1.</w:t>
            </w:r>
          </w:p>
        </w:tc>
        <w:tc>
          <w:tcPr>
            <w:tcW w:w="2149" w:type="dxa"/>
          </w:tcPr>
          <w:p w:rsidR="0067267D" w:rsidRPr="0055577F" w:rsidP="00464AFB" w14:paraId="6ADE4F3D" w14:textId="77777777">
            <w:pPr>
              <w:pStyle w:val="naiskr"/>
              <w:spacing w:before="0" w:after="0"/>
              <w:ind w:right="142" w:hanging="10"/>
              <w:rPr>
                <w:color w:val="000000" w:themeColor="text1"/>
              </w:rPr>
            </w:pPr>
            <w:r w:rsidRPr="0055577F">
              <w:rPr>
                <w:color w:val="000000" w:themeColor="text1"/>
              </w:rPr>
              <w:t>Pamatojums</w:t>
            </w:r>
          </w:p>
        </w:tc>
        <w:tc>
          <w:tcPr>
            <w:tcW w:w="6756" w:type="dxa"/>
          </w:tcPr>
          <w:p w:rsidR="0067267D" w:rsidRPr="0055577F" w:rsidP="006113FA" w14:paraId="6D92B531" w14:textId="7999DEF5">
            <w:pPr>
              <w:pStyle w:val="naiskr"/>
              <w:ind w:left="141" w:right="236"/>
              <w:rPr>
                <w:color w:val="000000" w:themeColor="text1"/>
              </w:rPr>
            </w:pPr>
            <w:r w:rsidRPr="0055577F">
              <w:rPr>
                <w:color w:val="000000" w:themeColor="text1"/>
              </w:rPr>
              <w:t xml:space="preserve">Ministru kabineta </w:t>
            </w:r>
            <w:r w:rsidRPr="0055577F" w:rsidR="004B174A">
              <w:rPr>
                <w:color w:val="000000" w:themeColor="text1"/>
              </w:rPr>
              <w:t>(turpmāk</w:t>
            </w:r>
            <w:r w:rsidRPr="0055577F" w:rsidR="00C03EB8">
              <w:rPr>
                <w:color w:val="000000" w:themeColor="text1"/>
              </w:rPr>
              <w:t> </w:t>
            </w:r>
            <w:r w:rsidRPr="0055577F" w:rsidR="004B174A">
              <w:rPr>
                <w:color w:val="000000" w:themeColor="text1"/>
              </w:rPr>
              <w:t>–</w:t>
            </w:r>
            <w:r w:rsidRPr="0055577F" w:rsidR="00C03EB8">
              <w:rPr>
                <w:color w:val="000000" w:themeColor="text1"/>
              </w:rPr>
              <w:t> </w:t>
            </w:r>
            <w:r w:rsidRPr="0055577F" w:rsidR="004B174A">
              <w:rPr>
                <w:color w:val="000000" w:themeColor="text1"/>
              </w:rPr>
              <w:t xml:space="preserve">MK) </w:t>
            </w:r>
            <w:r w:rsidRPr="0055577F">
              <w:rPr>
                <w:color w:val="000000" w:themeColor="text1"/>
              </w:rPr>
              <w:t>noteikumu projekts „</w:t>
            </w:r>
            <w:r w:rsidRPr="0055577F" w:rsidR="004B174A">
              <w:rPr>
                <w:color w:val="000000" w:themeColor="text1"/>
              </w:rPr>
              <w:t>Siltumnīcefekta gāzu emisiju aprēķina metodika</w:t>
            </w:r>
            <w:r w:rsidRPr="0055577F" w:rsidR="00CF4AC4">
              <w:rPr>
                <w:color w:val="000000" w:themeColor="text1"/>
              </w:rPr>
              <w:t>”</w:t>
            </w:r>
            <w:r w:rsidRPr="0055577F">
              <w:rPr>
                <w:color w:val="000000" w:themeColor="text1"/>
              </w:rPr>
              <w:t xml:space="preserve"> </w:t>
            </w:r>
            <w:r w:rsidRPr="0055577F" w:rsidR="00C03EB8">
              <w:rPr>
                <w:color w:val="000000" w:themeColor="text1"/>
              </w:rPr>
              <w:t>(turpmāk </w:t>
            </w:r>
            <w:r w:rsidRPr="0055577F" w:rsidR="004B174A">
              <w:rPr>
                <w:color w:val="000000" w:themeColor="text1"/>
              </w:rPr>
              <w:t>–</w:t>
            </w:r>
            <w:r w:rsidRPr="0055577F" w:rsidR="00C03EB8">
              <w:rPr>
                <w:color w:val="000000" w:themeColor="text1"/>
              </w:rPr>
              <w:t> </w:t>
            </w:r>
            <w:r w:rsidRPr="0055577F" w:rsidR="004B174A">
              <w:rPr>
                <w:color w:val="000000" w:themeColor="text1"/>
              </w:rPr>
              <w:t xml:space="preserve">noteikumu projekts) </w:t>
            </w:r>
            <w:r w:rsidRPr="0055577F">
              <w:rPr>
                <w:color w:val="000000" w:themeColor="text1"/>
              </w:rPr>
              <w:t xml:space="preserve">sagatavots </w:t>
            </w:r>
            <w:r w:rsidRPr="0055577F" w:rsidR="006113FA">
              <w:rPr>
                <w:color w:val="000000" w:themeColor="text1"/>
              </w:rPr>
              <w:t xml:space="preserve">pamatojoties uz </w:t>
            </w:r>
            <w:r w:rsidRPr="0055577F">
              <w:rPr>
                <w:color w:val="000000" w:themeColor="text1"/>
              </w:rPr>
              <w:t>likuma „Par piesārņojumu”</w:t>
            </w:r>
            <w:r w:rsidRPr="0055577F" w:rsidR="00AB2A12">
              <w:rPr>
                <w:color w:val="000000" w:themeColor="text1"/>
              </w:rPr>
              <w:t xml:space="preserve"> 53.</w:t>
            </w:r>
            <w:r w:rsidRPr="0055577F" w:rsidR="00FF77D9">
              <w:rPr>
                <w:color w:val="000000" w:themeColor="text1"/>
              </w:rPr>
              <w:t> </w:t>
            </w:r>
            <w:r w:rsidRPr="0055577F" w:rsidR="00AB2A12">
              <w:rPr>
                <w:color w:val="000000" w:themeColor="text1"/>
              </w:rPr>
              <w:t>panta otrā</w:t>
            </w:r>
            <w:r w:rsidRPr="0055577F" w:rsidR="00FF77D9">
              <w:rPr>
                <w:color w:val="000000" w:themeColor="text1"/>
              </w:rPr>
              <w:t>s</w:t>
            </w:r>
            <w:r w:rsidRPr="0055577F" w:rsidR="00AB2A12">
              <w:rPr>
                <w:color w:val="000000" w:themeColor="text1"/>
              </w:rPr>
              <w:t xml:space="preserve"> daļas 2.</w:t>
            </w:r>
            <w:r w:rsidRPr="0055577F" w:rsidR="00FF77D9">
              <w:rPr>
                <w:color w:val="000000" w:themeColor="text1"/>
              </w:rPr>
              <w:t> </w:t>
            </w:r>
            <w:r w:rsidRPr="0055577F" w:rsidR="00AB2A12">
              <w:rPr>
                <w:color w:val="000000" w:themeColor="text1"/>
              </w:rPr>
              <w:t>punktu</w:t>
            </w:r>
            <w:r w:rsidRPr="0055577F" w:rsidR="00FE226F">
              <w:rPr>
                <w:color w:val="000000" w:themeColor="text1"/>
              </w:rPr>
              <w:t>.</w:t>
            </w:r>
          </w:p>
        </w:tc>
      </w:tr>
      <w:tr w14:paraId="730732A3" w14:textId="77777777" w:rsidTr="00464AFB">
        <w:tblPrEx>
          <w:tblW w:w="9455" w:type="dxa"/>
          <w:tblCellMar>
            <w:left w:w="0" w:type="dxa"/>
            <w:right w:w="0" w:type="dxa"/>
          </w:tblCellMar>
          <w:tblLook w:val="0000"/>
        </w:tblPrEx>
        <w:trPr>
          <w:trHeight w:val="472"/>
        </w:trPr>
        <w:tc>
          <w:tcPr>
            <w:tcW w:w="550" w:type="dxa"/>
          </w:tcPr>
          <w:p w:rsidR="0067267D" w:rsidRPr="0055577F" w14:paraId="59188FB2" w14:textId="77777777">
            <w:pPr>
              <w:pStyle w:val="naiskr"/>
              <w:spacing w:before="0" w:after="0"/>
              <w:rPr>
                <w:color w:val="000000" w:themeColor="text1"/>
              </w:rPr>
            </w:pPr>
            <w:r w:rsidRPr="0055577F">
              <w:rPr>
                <w:color w:val="000000" w:themeColor="text1"/>
              </w:rPr>
              <w:t>2.</w:t>
            </w:r>
          </w:p>
        </w:tc>
        <w:tc>
          <w:tcPr>
            <w:tcW w:w="2149" w:type="dxa"/>
          </w:tcPr>
          <w:p w:rsidR="00142068" w:rsidRPr="0055577F" w:rsidP="00464AFB" w14:paraId="1E4D85B8" w14:textId="67AED8C7">
            <w:pPr>
              <w:pStyle w:val="naiskr"/>
              <w:tabs>
                <w:tab w:val="left" w:pos="170"/>
              </w:tabs>
              <w:spacing w:before="0" w:after="0"/>
              <w:ind w:right="142"/>
              <w:rPr>
                <w:color w:val="000000" w:themeColor="text1"/>
              </w:rPr>
            </w:pPr>
            <w:r w:rsidRPr="0055577F">
              <w:rPr>
                <w:color w:val="000000" w:themeColor="text1"/>
              </w:rPr>
              <w:t>Pašreizējā situācija un problēmas, kuru risināšanai tiesību akta projekts izstrādāts, tiesiskā regulējuma mērķis un būtība</w:t>
            </w:r>
          </w:p>
          <w:p w:rsidR="00142068" w:rsidRPr="0055577F" w:rsidP="00142068" w14:paraId="3E299A74" w14:textId="77777777">
            <w:pPr>
              <w:rPr>
                <w:color w:val="000000" w:themeColor="text1"/>
              </w:rPr>
            </w:pPr>
          </w:p>
          <w:p w:rsidR="00142068" w:rsidRPr="0055577F" w:rsidP="00142068" w14:paraId="5DFDFFD6" w14:textId="77777777">
            <w:pPr>
              <w:rPr>
                <w:color w:val="000000" w:themeColor="text1"/>
              </w:rPr>
            </w:pPr>
          </w:p>
          <w:p w:rsidR="00142068" w:rsidRPr="0055577F" w:rsidP="00142068" w14:paraId="39E9A613" w14:textId="77777777">
            <w:pPr>
              <w:rPr>
                <w:color w:val="000000" w:themeColor="text1"/>
              </w:rPr>
            </w:pPr>
          </w:p>
          <w:p w:rsidR="00142068" w:rsidRPr="0055577F" w:rsidP="00142068" w14:paraId="15F9CE52" w14:textId="77777777">
            <w:pPr>
              <w:rPr>
                <w:color w:val="000000" w:themeColor="text1"/>
              </w:rPr>
            </w:pPr>
          </w:p>
          <w:p w:rsidR="00142068" w:rsidRPr="0055577F" w:rsidP="00142068" w14:paraId="08EBE9A3" w14:textId="77777777">
            <w:pPr>
              <w:rPr>
                <w:color w:val="000000" w:themeColor="text1"/>
              </w:rPr>
            </w:pPr>
          </w:p>
          <w:p w:rsidR="00142068" w:rsidRPr="0055577F" w:rsidP="00362EC0" w14:paraId="7ECDDB85" w14:textId="77777777">
            <w:pPr>
              <w:jc w:val="right"/>
              <w:rPr>
                <w:color w:val="000000" w:themeColor="text1"/>
              </w:rPr>
            </w:pPr>
          </w:p>
          <w:p w:rsidR="00142068" w:rsidRPr="0055577F" w:rsidP="00142068" w14:paraId="39BF36B7" w14:textId="3A6B767A">
            <w:pPr>
              <w:rPr>
                <w:color w:val="000000" w:themeColor="text1"/>
              </w:rPr>
            </w:pPr>
          </w:p>
          <w:p w:rsidR="0067267D" w:rsidRPr="0055577F" w:rsidP="00142068" w14:paraId="47ACF538" w14:textId="77777777">
            <w:pPr>
              <w:ind w:firstLine="720"/>
              <w:rPr>
                <w:color w:val="000000" w:themeColor="text1"/>
              </w:rPr>
            </w:pPr>
          </w:p>
        </w:tc>
        <w:tc>
          <w:tcPr>
            <w:tcW w:w="6756" w:type="dxa"/>
          </w:tcPr>
          <w:p w:rsidR="00C04DF1" w:rsidRPr="0055577F" w:rsidP="00AF470F" w14:paraId="1F0FA675" w14:textId="319B6C4C">
            <w:pPr>
              <w:spacing w:before="0" w:after="0" w:line="240" w:lineRule="auto"/>
              <w:ind w:left="141" w:right="236"/>
              <w:outlineLvl w:val="0"/>
              <w:rPr>
                <w:color w:val="000000" w:themeColor="text1"/>
                <w:u w:val="single"/>
              </w:rPr>
            </w:pPr>
            <w:bookmarkStart w:id="0" w:name="n1"/>
            <w:bookmarkStart w:id="1" w:name="p1"/>
            <w:bookmarkStart w:id="2" w:name="p-402003"/>
            <w:bookmarkStart w:id="3" w:name="n2"/>
            <w:bookmarkStart w:id="4" w:name="p2"/>
            <w:bookmarkStart w:id="5" w:name="p-246948"/>
            <w:bookmarkStart w:id="6" w:name="p3"/>
            <w:bookmarkStart w:id="7" w:name="p-246949"/>
            <w:bookmarkStart w:id="8" w:name="p4"/>
            <w:bookmarkStart w:id="9" w:name="p-246950"/>
            <w:bookmarkStart w:id="10" w:name="p5"/>
            <w:bookmarkStart w:id="11" w:name="p-246951"/>
            <w:bookmarkStart w:id="12" w:name="p-246952"/>
            <w:bookmarkStart w:id="13" w:name="p7"/>
            <w:bookmarkStart w:id="14" w:name="p-246953"/>
            <w:bookmarkStart w:id="15" w:name="p8"/>
            <w:bookmarkStart w:id="16" w:name="p-246954"/>
            <w:bookmarkStart w:id="17" w:name="p9"/>
            <w:bookmarkStart w:id="18" w:name="p-246955"/>
            <w:bookmarkStart w:id="19" w:name="p10"/>
            <w:bookmarkStart w:id="20" w:name="p-246956"/>
            <w:bookmarkStart w:id="21" w:name="p11"/>
            <w:bookmarkStart w:id="22" w:name="p-246957"/>
            <w:bookmarkStart w:id="23" w:name="p12"/>
            <w:bookmarkStart w:id="24" w:name="p-246958"/>
            <w:bookmarkStart w:id="25" w:name="p13"/>
            <w:bookmarkStart w:id="26" w:name="p-246959"/>
            <w:bookmarkStart w:id="27" w:name="p14"/>
            <w:bookmarkStart w:id="28" w:name="p-246960"/>
            <w:bookmarkStart w:id="29" w:name="p15"/>
            <w:bookmarkStart w:id="30" w:name="p-246961"/>
            <w:bookmarkStart w:id="31" w:name="p16"/>
            <w:bookmarkStart w:id="32" w:name="p-246962"/>
            <w:bookmarkStart w:id="33" w:name="p17"/>
            <w:bookmarkStart w:id="34" w:name="p-246963"/>
            <w:bookmarkStart w:id="35" w:name="p18"/>
            <w:bookmarkStart w:id="36" w:name="p-246964"/>
            <w:bookmarkStart w:id="37" w:name="p19"/>
            <w:bookmarkStart w:id="38" w:name="p-246965"/>
            <w:bookmarkStart w:id="39" w:name="p20"/>
            <w:bookmarkStart w:id="40" w:name="p-24696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55577F">
              <w:rPr>
                <w:color w:val="000000" w:themeColor="text1"/>
                <w:u w:val="single"/>
              </w:rPr>
              <w:t>Pašreizējā</w:t>
            </w:r>
            <w:r w:rsidRPr="0055577F">
              <w:rPr>
                <w:color w:val="000000" w:themeColor="text1"/>
                <w:u w:val="single"/>
              </w:rPr>
              <w:t xml:space="preserve"> situācija</w:t>
            </w:r>
          </w:p>
          <w:p w:rsidR="00C04DF1" w:rsidRPr="0055577F" w:rsidP="006113FA" w14:paraId="401AC72E" w14:textId="39C18FED">
            <w:pPr>
              <w:spacing w:before="0" w:after="0" w:line="240" w:lineRule="auto"/>
              <w:ind w:left="141" w:right="236"/>
              <w:outlineLvl w:val="0"/>
              <w:rPr>
                <w:color w:val="000000" w:themeColor="text1"/>
                <w:u w:val="single"/>
              </w:rPr>
            </w:pPr>
            <w:r w:rsidRPr="0055577F">
              <w:rPr>
                <w:color w:val="000000" w:themeColor="text1"/>
              </w:rPr>
              <w:t>Lai nodrošinātu klimata mērķu sasniegšanu 2020.</w:t>
            </w:r>
            <w:r w:rsidRPr="0055577F" w:rsidR="00C03EB8">
              <w:rPr>
                <w:color w:val="000000" w:themeColor="text1"/>
              </w:rPr>
              <w:t xml:space="preserve"> gadam un </w:t>
            </w:r>
            <w:r w:rsidRPr="0055577F" w:rsidR="006113FA">
              <w:rPr>
                <w:color w:val="000000" w:themeColor="text1"/>
              </w:rPr>
              <w:t>turpmāk, arvien biežāk Latvijā</w:t>
            </w:r>
            <w:r w:rsidRPr="0055577F">
              <w:rPr>
                <w:color w:val="000000" w:themeColor="text1"/>
              </w:rPr>
              <w:t xml:space="preserve"> </w:t>
            </w:r>
            <w:r w:rsidRPr="0055577F" w:rsidR="00C03EB8">
              <w:rPr>
                <w:color w:val="000000" w:themeColor="text1"/>
              </w:rPr>
              <w:t xml:space="preserve">tiks </w:t>
            </w:r>
            <w:r w:rsidRPr="0055577F">
              <w:rPr>
                <w:color w:val="000000" w:themeColor="text1"/>
              </w:rPr>
              <w:t>īstenot</w:t>
            </w:r>
            <w:r w:rsidRPr="0055577F" w:rsidR="00C03EB8">
              <w:rPr>
                <w:color w:val="000000" w:themeColor="text1"/>
              </w:rPr>
              <w:t>as</w:t>
            </w:r>
            <w:r w:rsidRPr="0055577F">
              <w:rPr>
                <w:color w:val="000000" w:themeColor="text1"/>
              </w:rPr>
              <w:t xml:space="preserve"> aktivitātes dažādās tautsaimniecības nozarēs </w:t>
            </w:r>
            <w:r w:rsidRPr="0055577F" w:rsidR="00FE226F">
              <w:rPr>
                <w:color w:val="000000" w:themeColor="text1"/>
              </w:rPr>
              <w:t>siltumnīcefekta gāzu (turpmāk</w:t>
            </w:r>
            <w:r w:rsidRPr="0055577F" w:rsidR="00C03EB8">
              <w:rPr>
                <w:color w:val="000000" w:themeColor="text1"/>
              </w:rPr>
              <w:t> </w:t>
            </w:r>
            <w:r w:rsidRPr="0055577F" w:rsidR="00FE226F">
              <w:rPr>
                <w:color w:val="000000" w:themeColor="text1"/>
              </w:rPr>
              <w:t>–</w:t>
            </w:r>
            <w:r w:rsidRPr="0055577F" w:rsidR="00C03EB8">
              <w:rPr>
                <w:color w:val="000000" w:themeColor="text1"/>
              </w:rPr>
              <w:t> </w:t>
            </w:r>
            <w:r w:rsidRPr="0055577F">
              <w:rPr>
                <w:color w:val="000000" w:themeColor="text1"/>
              </w:rPr>
              <w:t>SEG</w:t>
            </w:r>
            <w:r w:rsidRPr="0055577F" w:rsidR="00FE226F">
              <w:rPr>
                <w:color w:val="000000" w:themeColor="text1"/>
              </w:rPr>
              <w:t>)</w:t>
            </w:r>
            <w:r w:rsidRPr="0055577F" w:rsidR="006113FA">
              <w:rPr>
                <w:color w:val="000000" w:themeColor="text1"/>
              </w:rPr>
              <w:t xml:space="preserve"> emisiju samazināšanai. Tajā pašā laikā </w:t>
            </w:r>
            <w:r w:rsidRPr="0055577F" w:rsidR="00C03EB8">
              <w:rPr>
                <w:color w:val="000000" w:themeColor="text1"/>
              </w:rPr>
              <w:t xml:space="preserve">Latvijā nav pieejama </w:t>
            </w:r>
            <w:r w:rsidRPr="008218B9" w:rsidR="000D3752">
              <w:rPr>
                <w:color w:val="000000" w:themeColor="text1"/>
              </w:rPr>
              <w:t>vienot</w:t>
            </w:r>
            <w:r w:rsidRPr="008218B9" w:rsidR="00C03EB8">
              <w:rPr>
                <w:color w:val="000000" w:themeColor="text1"/>
              </w:rPr>
              <w:t>a</w:t>
            </w:r>
            <w:r w:rsidRPr="0055577F" w:rsidR="000D3752">
              <w:rPr>
                <w:color w:val="000000" w:themeColor="text1"/>
              </w:rPr>
              <w:t xml:space="preserve"> SEG emisiju aprēķin</w:t>
            </w:r>
            <w:r w:rsidRPr="0055577F" w:rsidR="00C03EB8">
              <w:rPr>
                <w:color w:val="000000" w:themeColor="text1"/>
              </w:rPr>
              <w:t>a metod</w:t>
            </w:r>
            <w:r w:rsidRPr="0055577F">
              <w:rPr>
                <w:color w:val="000000" w:themeColor="text1"/>
              </w:rPr>
              <w:t>ika</w:t>
            </w:r>
            <w:r w:rsidRPr="0055577F" w:rsidR="007A5C45">
              <w:rPr>
                <w:color w:val="000000" w:themeColor="text1"/>
              </w:rPr>
              <w:t xml:space="preserve">, kuru varētu pielietot, lai aprēķinātu SEG emisiju samazinājumu </w:t>
            </w:r>
            <w:r w:rsidRPr="0055577F" w:rsidR="00BF71A2">
              <w:rPr>
                <w:color w:val="000000" w:themeColor="text1"/>
              </w:rPr>
              <w:t xml:space="preserve">vai pieaugumu </w:t>
            </w:r>
            <w:r w:rsidRPr="0055577F" w:rsidR="007A5C45">
              <w:rPr>
                <w:color w:val="000000" w:themeColor="text1"/>
              </w:rPr>
              <w:t xml:space="preserve">no </w:t>
            </w:r>
            <w:r w:rsidRPr="0055577F" w:rsidR="006113FA">
              <w:rPr>
                <w:color w:val="000000" w:themeColor="text1"/>
              </w:rPr>
              <w:t xml:space="preserve">projektu un </w:t>
            </w:r>
            <w:r w:rsidRPr="0055577F">
              <w:rPr>
                <w:color w:val="000000" w:themeColor="text1"/>
              </w:rPr>
              <w:t>pasākumu īstenošanas dažādos tautsaimniecības sektoros</w:t>
            </w:r>
            <w:r w:rsidRPr="0055577F" w:rsidR="007A5C45">
              <w:rPr>
                <w:color w:val="000000" w:themeColor="text1"/>
              </w:rPr>
              <w:t>.</w:t>
            </w:r>
            <w:r w:rsidRPr="0055577F">
              <w:rPr>
                <w:color w:val="000000" w:themeColor="text1"/>
              </w:rPr>
              <w:t xml:space="preserve"> </w:t>
            </w:r>
            <w:r w:rsidRPr="0055577F" w:rsidR="006113FA">
              <w:rPr>
                <w:color w:val="000000" w:themeColor="text1"/>
              </w:rPr>
              <w:t xml:space="preserve">Pagaidām </w:t>
            </w:r>
            <w:r w:rsidRPr="0055577F">
              <w:rPr>
                <w:color w:val="000000" w:themeColor="text1"/>
              </w:rPr>
              <w:t xml:space="preserve">dažādas iestādes (ministrijas, pašvaldības, </w:t>
            </w:r>
            <w:r w:rsidRPr="0055577F" w:rsidR="00FF77D9">
              <w:rPr>
                <w:color w:val="000000" w:themeColor="text1"/>
              </w:rPr>
              <w:t>nevalstiskās organizācijas</w:t>
            </w:r>
            <w:r w:rsidRPr="0055577F">
              <w:rPr>
                <w:color w:val="000000" w:themeColor="text1"/>
              </w:rPr>
              <w:t>)</w:t>
            </w:r>
            <w:r w:rsidRPr="0055577F" w:rsidR="00FF77D9">
              <w:rPr>
                <w:color w:val="000000" w:themeColor="text1"/>
              </w:rPr>
              <w:t>,</w:t>
            </w:r>
            <w:r w:rsidRPr="0055577F">
              <w:rPr>
                <w:color w:val="000000" w:themeColor="text1"/>
              </w:rPr>
              <w:t xml:space="preserve"> atbalstot vai īstenojot konkrētus projektu</w:t>
            </w:r>
            <w:r w:rsidRPr="0055577F" w:rsidR="00BA5AD6">
              <w:rPr>
                <w:color w:val="000000" w:themeColor="text1"/>
              </w:rPr>
              <w:t>s</w:t>
            </w:r>
            <w:r w:rsidRPr="0055577F" w:rsidR="00FF77D9">
              <w:rPr>
                <w:color w:val="000000" w:themeColor="text1"/>
              </w:rPr>
              <w:t>,</w:t>
            </w:r>
            <w:r w:rsidRPr="0055577F">
              <w:rPr>
                <w:color w:val="000000" w:themeColor="text1"/>
              </w:rPr>
              <w:t xml:space="preserve"> izmanto dažādas aprēķinu formulas un pieņēmumus</w:t>
            </w:r>
            <w:r w:rsidRPr="0055577F" w:rsidR="00FF77D9">
              <w:rPr>
                <w:color w:val="000000" w:themeColor="text1"/>
              </w:rPr>
              <w:t xml:space="preserve"> SEG emisiju</w:t>
            </w:r>
            <w:r w:rsidR="00180655">
              <w:rPr>
                <w:color w:val="000000" w:themeColor="text1"/>
              </w:rPr>
              <w:t xml:space="preserve"> </w:t>
            </w:r>
            <w:r w:rsidRPr="0055577F" w:rsidR="00FF77D9">
              <w:rPr>
                <w:color w:val="000000" w:themeColor="text1"/>
              </w:rPr>
              <w:t>aprēķiniem</w:t>
            </w:r>
            <w:r w:rsidRPr="0055577F">
              <w:rPr>
                <w:color w:val="000000" w:themeColor="text1"/>
              </w:rPr>
              <w:t xml:space="preserve">. </w:t>
            </w:r>
            <w:r w:rsidRPr="0055577F" w:rsidR="00FF77D9">
              <w:rPr>
                <w:color w:val="000000" w:themeColor="text1"/>
              </w:rPr>
              <w:t>Dažādu un savstarpēji atšķirīgu aprēķinu metodoloģijas dēļ</w:t>
            </w:r>
            <w:r w:rsidRPr="0055577F">
              <w:rPr>
                <w:color w:val="000000" w:themeColor="text1"/>
              </w:rPr>
              <w:t xml:space="preserve"> nav iespējams savstarpēji salīdzināt rezultātus vai veikt korektu datu apkopojumu.</w:t>
            </w:r>
          </w:p>
          <w:p w:rsidR="00C04DF1" w:rsidRPr="0055577F" w:rsidP="00AF470F" w14:paraId="5E580F05" w14:textId="77777777">
            <w:pPr>
              <w:spacing w:before="0" w:after="0" w:line="240" w:lineRule="auto"/>
              <w:ind w:left="141" w:right="236"/>
              <w:outlineLvl w:val="0"/>
              <w:rPr>
                <w:color w:val="000000" w:themeColor="text1"/>
              </w:rPr>
            </w:pPr>
          </w:p>
          <w:p w:rsidR="000D3752" w:rsidRPr="0055577F" w:rsidP="006113FA" w14:paraId="3B48579A" w14:textId="111863CA">
            <w:pPr>
              <w:spacing w:before="0" w:after="0" w:line="240" w:lineRule="auto"/>
              <w:ind w:left="141" w:right="236"/>
              <w:outlineLvl w:val="0"/>
              <w:rPr>
                <w:color w:val="000000" w:themeColor="text1"/>
                <w:u w:val="single"/>
              </w:rPr>
            </w:pPr>
            <w:r w:rsidRPr="0055577F">
              <w:rPr>
                <w:color w:val="000000" w:themeColor="text1"/>
                <w:u w:val="single"/>
              </w:rPr>
              <w:t>Noteikumu projekta mērķis un būtība</w:t>
            </w:r>
          </w:p>
          <w:p w:rsidR="00AF470F" w:rsidRPr="0055577F" w:rsidP="00AB7977" w14:paraId="6155724E" w14:textId="77AB7591">
            <w:pPr>
              <w:spacing w:before="0" w:after="0" w:line="240" w:lineRule="auto"/>
              <w:ind w:left="141" w:right="236"/>
              <w:outlineLvl w:val="0"/>
              <w:rPr>
                <w:bCs/>
                <w:color w:val="000000" w:themeColor="text1"/>
              </w:rPr>
            </w:pPr>
            <w:r w:rsidRPr="0055577F">
              <w:rPr>
                <w:color w:val="000000" w:themeColor="text1"/>
              </w:rPr>
              <w:t>Noteikumu projekts nosaka metodiku vienotam SEG emisiju</w:t>
            </w:r>
            <w:r w:rsidR="00180655">
              <w:rPr>
                <w:color w:val="000000" w:themeColor="text1"/>
              </w:rPr>
              <w:t xml:space="preserve"> </w:t>
            </w:r>
            <w:r w:rsidRPr="0055577F">
              <w:rPr>
                <w:color w:val="000000" w:themeColor="text1"/>
              </w:rPr>
              <w:t>aprēķinam, lai novērtētu pasākumu un projekt</w:t>
            </w:r>
            <w:r w:rsidRPr="0055577F">
              <w:rPr>
                <w:color w:val="000000" w:themeColor="text1"/>
              </w:rPr>
              <w:t>u ietekmi uz klimata pārmaiņām.</w:t>
            </w:r>
            <w:r w:rsidRPr="0055577F">
              <w:rPr>
                <w:bCs/>
                <w:color w:val="000000" w:themeColor="text1"/>
              </w:rPr>
              <w:t xml:space="preserve"> Metodikā ir ietverta SEG emisiju </w:t>
            </w:r>
            <w:r w:rsidRPr="0055577F" w:rsidR="00BF71A2">
              <w:rPr>
                <w:bCs/>
                <w:color w:val="000000" w:themeColor="text1"/>
              </w:rPr>
              <w:t>izmaiņu</w:t>
            </w:r>
            <w:r w:rsidRPr="0055577F">
              <w:rPr>
                <w:bCs/>
                <w:color w:val="000000" w:themeColor="text1"/>
              </w:rPr>
              <w:t xml:space="preserve"> aprēķina kārtība, emisijas faktori un formulas, kas pielietojamas, lai aprēķinātu dažādu tautsaimniecības nozaru pasākumu un projektu īstenošanas laikā panākto</w:t>
            </w:r>
            <w:r w:rsidRPr="0055577F" w:rsidR="00737FCA">
              <w:rPr>
                <w:bCs/>
                <w:color w:val="000000" w:themeColor="text1"/>
              </w:rPr>
              <w:t xml:space="preserve"> </w:t>
            </w:r>
            <w:r w:rsidRPr="0055577F">
              <w:rPr>
                <w:bCs/>
                <w:color w:val="000000" w:themeColor="text1"/>
              </w:rPr>
              <w:t>vai plānoto SEG emisiju samazinājuma</w:t>
            </w:r>
            <w:r w:rsidRPr="0055577F" w:rsidR="00BF71A2">
              <w:rPr>
                <w:bCs/>
                <w:color w:val="000000" w:themeColor="text1"/>
              </w:rPr>
              <w:t xml:space="preserve"> vai pieauguma</w:t>
            </w:r>
            <w:r w:rsidRPr="0055577F">
              <w:rPr>
                <w:bCs/>
                <w:color w:val="000000" w:themeColor="text1"/>
              </w:rPr>
              <w:t xml:space="preserve"> apjomu. </w:t>
            </w:r>
          </w:p>
          <w:p w:rsidR="00AC5FB9" w:rsidRPr="0055577F" w:rsidP="00AC5FB9" w14:paraId="260EFF7E" w14:textId="7B0A6A0F">
            <w:pPr>
              <w:spacing w:before="0" w:after="0" w:line="240" w:lineRule="auto"/>
              <w:ind w:left="141" w:right="236"/>
              <w:outlineLvl w:val="0"/>
              <w:rPr>
                <w:color w:val="000000" w:themeColor="text1"/>
              </w:rPr>
            </w:pPr>
            <w:r w:rsidRPr="0055577F">
              <w:rPr>
                <w:color w:val="000000" w:themeColor="text1"/>
              </w:rPr>
              <w:t xml:space="preserve">Noteikumu projekta </w:t>
            </w:r>
            <w:r w:rsidRPr="0055577F" w:rsidR="00783E26">
              <w:rPr>
                <w:color w:val="000000" w:themeColor="text1"/>
              </w:rPr>
              <w:t xml:space="preserve">SEG emisiju </w:t>
            </w:r>
            <w:r w:rsidRPr="0055577F">
              <w:rPr>
                <w:color w:val="000000" w:themeColor="text1"/>
              </w:rPr>
              <w:t>aprēķinu metodiku piemēro tādu pasākumu un projektu ietekmes uz klimata pārmaiņām novērtēšanai, kuru ietvaros notiek:</w:t>
            </w:r>
          </w:p>
          <w:p w:rsidR="00AC5FB9" w:rsidRPr="0055577F" w:rsidP="00AC5FB9" w14:paraId="286C407E" w14:textId="05F70133">
            <w:pPr>
              <w:pStyle w:val="ListParagraph"/>
              <w:numPr>
                <w:ilvl w:val="0"/>
                <w:numId w:val="17"/>
              </w:numPr>
              <w:spacing w:before="0" w:after="0" w:line="240" w:lineRule="auto"/>
              <w:ind w:right="236"/>
              <w:outlineLvl w:val="0"/>
              <w:rPr>
                <w:color w:val="000000" w:themeColor="text1"/>
              </w:rPr>
            </w:pPr>
            <w:r w:rsidRPr="0055577F">
              <w:rPr>
                <w:color w:val="000000" w:themeColor="text1"/>
              </w:rPr>
              <w:t>energoefektivitātes uzlabošana</w:t>
            </w:r>
            <w:r w:rsidRPr="0055577F" w:rsidR="00E105BD">
              <w:rPr>
                <w:color w:val="000000" w:themeColor="text1"/>
              </w:rPr>
              <w:t>s pasākumi siltumenerģijas un elektroenerģijas patēriņu ietekmējošām darbībām ēkās vai ēkas daļās, ražošanas tehnoloģiskās iekārtās</w:t>
            </w:r>
            <w:r w:rsidRPr="0055577F" w:rsidR="00982B34">
              <w:rPr>
                <w:color w:val="000000" w:themeColor="text1"/>
              </w:rPr>
              <w:t xml:space="preserve"> (darba mašīnas noteiktu secīgu tehnoloģisko operāciju kopuma veikšanai, lai pārveidotu darba priekšmeta (vielas, materiāla, izstrādājuma) īpašības, tādējādi radot darba priekšmeta vērtības pieaugumu, un būtiskas minēto darba mašīnu palīgierīces un palīgrīki, ar kuriem papildina darba mašīnas tehnoloģisko operāciju kopuma veikšanai. Darba mašīnas ir ietaises (mehānismi vai to komplekss), kuru būtiska sastāvdaļa ir jebkura veida iz</w:t>
            </w:r>
            <w:r w:rsidRPr="0055577F" w:rsidR="000E13A2">
              <w:rPr>
                <w:color w:val="000000" w:themeColor="text1"/>
              </w:rPr>
              <w:t>pildsistēmas un vadības sistēma</w:t>
            </w:r>
            <w:r w:rsidRPr="0055577F" w:rsidR="00982B34">
              <w:rPr>
                <w:color w:val="000000" w:themeColor="text1"/>
              </w:rPr>
              <w:t>)</w:t>
            </w:r>
            <w:r w:rsidRPr="0055577F" w:rsidR="00E105BD">
              <w:rPr>
                <w:color w:val="000000" w:themeColor="text1"/>
              </w:rPr>
              <w:t>, enerģētikas, ūdensapgādes</w:t>
            </w:r>
            <w:r w:rsidR="00180655">
              <w:rPr>
                <w:color w:val="000000" w:themeColor="text1"/>
              </w:rPr>
              <w:t xml:space="preserve">, </w:t>
            </w:r>
            <w:r w:rsidRPr="0055577F" w:rsidR="00E105BD">
              <w:rPr>
                <w:color w:val="000000" w:themeColor="text1"/>
              </w:rPr>
              <w:t>kanalizācijas un sakaru infrastruktūrā</w:t>
            </w:r>
            <w:r w:rsidRPr="0055577F">
              <w:rPr>
                <w:color w:val="000000" w:themeColor="text1"/>
              </w:rPr>
              <w:t>;</w:t>
            </w:r>
          </w:p>
          <w:p w:rsidR="00AC5FB9" w:rsidRPr="0055577F" w:rsidP="00AC5FB9" w14:paraId="5BF2F2B2" w14:textId="42D1FE81">
            <w:pPr>
              <w:pStyle w:val="ListParagraph"/>
              <w:numPr>
                <w:ilvl w:val="0"/>
                <w:numId w:val="17"/>
              </w:numPr>
              <w:spacing w:before="0" w:after="0" w:line="240" w:lineRule="auto"/>
              <w:ind w:right="236"/>
              <w:outlineLvl w:val="0"/>
              <w:rPr>
                <w:color w:val="000000" w:themeColor="text1"/>
              </w:rPr>
            </w:pPr>
            <w:r w:rsidRPr="0055577F">
              <w:rPr>
                <w:color w:val="000000" w:themeColor="text1"/>
              </w:rPr>
              <w:t>atjaunojamo energoresursu</w:t>
            </w:r>
            <w:r w:rsidRPr="0055577F">
              <w:rPr>
                <w:color w:val="000000" w:themeColor="text1"/>
              </w:rPr>
              <w:t xml:space="preserve"> tehnoloģiju</w:t>
            </w:r>
            <w:r w:rsidRPr="0055577F" w:rsidR="00C80CA3">
              <w:rPr>
                <w:color w:val="000000" w:themeColor="text1"/>
              </w:rPr>
              <w:t xml:space="preserve"> (</w:t>
            </w:r>
            <w:r w:rsidRPr="0055577F" w:rsidR="00982B34">
              <w:rPr>
                <w:color w:val="000000" w:themeColor="text1"/>
              </w:rPr>
              <w:t>iekārtas vai iekārtu sistēmas enerģijas ražošanai no a</w:t>
            </w:r>
            <w:r w:rsidRPr="0055577F" w:rsidR="00856C33">
              <w:rPr>
                <w:color w:val="000000" w:themeColor="text1"/>
              </w:rPr>
              <w:t>t</w:t>
            </w:r>
            <w:r w:rsidRPr="0055577F" w:rsidR="00982B34">
              <w:rPr>
                <w:color w:val="000000" w:themeColor="text1"/>
              </w:rPr>
              <w:t xml:space="preserve">jaunojamajiem </w:t>
            </w:r>
            <w:r w:rsidRPr="0055577F" w:rsidR="00982B34">
              <w:rPr>
                <w:color w:val="000000" w:themeColor="text1"/>
              </w:rPr>
              <w:t xml:space="preserve">energoresursiem, </w:t>
            </w:r>
            <w:r w:rsidRPr="0055577F" w:rsidR="00C80CA3">
              <w:rPr>
                <w:color w:val="000000" w:themeColor="text1"/>
              </w:rPr>
              <w:t xml:space="preserve">piemēram, biomasas katli un kamīni, biomasas koģenerācijas stacijas, </w:t>
            </w:r>
            <w:r w:rsidRPr="0055577F" w:rsidR="00A124C1">
              <w:rPr>
                <w:color w:val="000000" w:themeColor="text1"/>
              </w:rPr>
              <w:t>saules</w:t>
            </w:r>
            <w:r w:rsidRPr="0055577F" w:rsidR="00C80CA3">
              <w:rPr>
                <w:color w:val="000000" w:themeColor="text1"/>
              </w:rPr>
              <w:t xml:space="preserve"> kolektori, saules elektrostacijas, vēja elektrostacijas, hidroelektrostacijas, siltuma sūkņi, ģeotermālās stacijas, </w:t>
            </w:r>
            <w:r w:rsidRPr="0055577F" w:rsidR="00856C33">
              <w:rPr>
                <w:color w:val="000000" w:themeColor="text1"/>
              </w:rPr>
              <w:t>viļņu</w:t>
            </w:r>
            <w:r w:rsidRPr="0055577F" w:rsidR="00C80CA3">
              <w:rPr>
                <w:color w:val="000000" w:themeColor="text1"/>
              </w:rPr>
              <w:t xml:space="preserve"> stacijas, paisuma un bēguma stacijas, ūdens straumju stacijas)</w:t>
            </w:r>
            <w:r w:rsidRPr="0055577F">
              <w:rPr>
                <w:color w:val="000000" w:themeColor="text1"/>
              </w:rPr>
              <w:t xml:space="preserve"> ieviešana un fosilo energoresursu tehnoloģiju</w:t>
            </w:r>
            <w:r w:rsidRPr="0055577F" w:rsidR="00C80CA3">
              <w:rPr>
                <w:color w:val="000000" w:themeColor="text1"/>
              </w:rPr>
              <w:t xml:space="preserve"> (</w:t>
            </w:r>
            <w:r w:rsidRPr="0055577F" w:rsidR="00982B34">
              <w:rPr>
                <w:color w:val="000000" w:themeColor="text1"/>
              </w:rPr>
              <w:t xml:space="preserve">iekārtas vai iekārtu sistēmas enerģijas ražošanai no fosilajiem energoresursiem, </w:t>
            </w:r>
            <w:r w:rsidRPr="0055577F" w:rsidR="00C80CA3">
              <w:rPr>
                <w:color w:val="000000" w:themeColor="text1"/>
              </w:rPr>
              <w:t>piemēram, dabasgāzes</w:t>
            </w:r>
            <w:r w:rsidRPr="0055577F" w:rsidR="00A124C1">
              <w:rPr>
                <w:color w:val="000000" w:themeColor="text1"/>
              </w:rPr>
              <w:t xml:space="preserve"> katli, akmeņogļu katli, mazuta katli, dīzeļdegvielas katli, sašķidrinātas naftas gāzes katli, dabasgāzes koģenerācijas stacijas</w:t>
            </w:r>
            <w:r w:rsidRPr="0055577F" w:rsidR="00C80CA3">
              <w:rPr>
                <w:color w:val="000000" w:themeColor="text1"/>
              </w:rPr>
              <w:t>)</w:t>
            </w:r>
            <w:r w:rsidRPr="0055577F">
              <w:rPr>
                <w:color w:val="000000" w:themeColor="text1"/>
              </w:rPr>
              <w:t xml:space="preserve"> modernizācija;</w:t>
            </w:r>
          </w:p>
          <w:p w:rsidR="00CC38A2" w:rsidRPr="0055577F" w:rsidP="00AC5FB9" w14:paraId="49EC5A47" w14:textId="463ED1B2">
            <w:pPr>
              <w:pStyle w:val="ListParagraph"/>
              <w:numPr>
                <w:ilvl w:val="0"/>
                <w:numId w:val="17"/>
              </w:numPr>
              <w:spacing w:before="0" w:after="0" w:line="240" w:lineRule="auto"/>
              <w:ind w:right="236"/>
              <w:outlineLvl w:val="0"/>
              <w:rPr>
                <w:color w:val="000000" w:themeColor="text1"/>
              </w:rPr>
            </w:pPr>
            <w:r w:rsidRPr="0055577F">
              <w:rPr>
                <w:color w:val="000000" w:themeColor="text1"/>
              </w:rPr>
              <w:t>aukstuma iekārtu efektivitātes uzlabošana;</w:t>
            </w:r>
          </w:p>
          <w:p w:rsidR="00AC5FB9" w:rsidP="00AC5FB9" w14:paraId="1255771A" w14:textId="754B9513">
            <w:pPr>
              <w:pStyle w:val="ListParagraph"/>
              <w:numPr>
                <w:ilvl w:val="0"/>
                <w:numId w:val="17"/>
              </w:numPr>
              <w:spacing w:before="0" w:after="0" w:line="240" w:lineRule="auto"/>
              <w:ind w:right="236"/>
              <w:outlineLvl w:val="0"/>
              <w:rPr>
                <w:color w:val="000000" w:themeColor="text1"/>
              </w:rPr>
            </w:pPr>
            <w:r w:rsidRPr="0055577F">
              <w:rPr>
                <w:color w:val="000000" w:themeColor="text1"/>
              </w:rPr>
              <w:t>pasākumu transporta nozarē</w:t>
            </w:r>
            <w:r w:rsidRPr="0055577F" w:rsidR="009C4CA1">
              <w:rPr>
                <w:color w:val="000000" w:themeColor="text1"/>
              </w:rPr>
              <w:t xml:space="preserve"> īstenošana</w:t>
            </w:r>
            <w:r w:rsidRPr="0055577F" w:rsidR="00E105BD">
              <w:rPr>
                <w:color w:val="000000" w:themeColor="text1"/>
              </w:rPr>
              <w:t>, t.sk. transportlīdzekļu nomaiņas un modernizācijas, vieglā autotransporta izmantošanas maiņa</w:t>
            </w:r>
            <w:r w:rsidRPr="0055577F" w:rsidR="00663A4F">
              <w:rPr>
                <w:color w:val="000000" w:themeColor="text1"/>
              </w:rPr>
              <w:t>s</w:t>
            </w:r>
            <w:r w:rsidRPr="0055577F" w:rsidR="00E105BD">
              <w:rPr>
                <w:color w:val="000000" w:themeColor="text1"/>
              </w:rPr>
              <w:t xml:space="preserve"> pret sabiedriskā transporta izmantošanu un ve</w:t>
            </w:r>
            <w:r w:rsidRPr="0055577F" w:rsidR="00663A4F">
              <w:rPr>
                <w:color w:val="000000" w:themeColor="text1"/>
              </w:rPr>
              <w:t>lotransporta izmantošanu</w:t>
            </w:r>
            <w:r w:rsidRPr="0055577F" w:rsidR="00E105BD">
              <w:rPr>
                <w:color w:val="000000" w:themeColor="text1"/>
              </w:rPr>
              <w:t>, veloceliņu</w:t>
            </w:r>
            <w:r w:rsidRPr="0055577F" w:rsidR="00663A4F">
              <w:rPr>
                <w:color w:val="000000" w:themeColor="text1"/>
              </w:rPr>
              <w:t xml:space="preserve"> izbūves un transporta</w:t>
            </w:r>
            <w:r w:rsidRPr="0055577F" w:rsidR="00E105BD">
              <w:rPr>
                <w:color w:val="000000" w:themeColor="text1"/>
              </w:rPr>
              <w:t xml:space="preserve"> loģistikas pasākumiem</w:t>
            </w:r>
            <w:r w:rsidRPr="0055577F">
              <w:rPr>
                <w:color w:val="000000" w:themeColor="text1"/>
              </w:rPr>
              <w:t>;</w:t>
            </w:r>
          </w:p>
          <w:p w:rsidR="008218B9" w:rsidRPr="0055577F" w:rsidP="00AC5FB9" w14:paraId="07839A65" w14:textId="7B789633">
            <w:pPr>
              <w:pStyle w:val="ListParagraph"/>
              <w:numPr>
                <w:ilvl w:val="0"/>
                <w:numId w:val="17"/>
              </w:numPr>
              <w:spacing w:before="0" w:after="0" w:line="240" w:lineRule="auto"/>
              <w:ind w:right="236"/>
              <w:outlineLvl w:val="0"/>
              <w:rPr>
                <w:color w:val="000000" w:themeColor="text1"/>
              </w:rPr>
            </w:pPr>
            <w:r w:rsidRPr="008218B9">
              <w:rPr>
                <w:color w:val="000000" w:themeColor="text1"/>
              </w:rPr>
              <w:t>pasākumu atkritumu apsaimniekošanas nozarē īstenošana, t.sk. pasākumu, kuros plānots no bioloģiski noārdāmiem atkritumiem iegūt biogāzi, ko paredzēts izmantot sadedzināšanā un transportā</w:t>
            </w:r>
          </w:p>
          <w:p w:rsidR="00235000" w:rsidP="008218B9" w14:paraId="406D8633" w14:textId="77777777">
            <w:pPr>
              <w:spacing w:before="0" w:after="0" w:line="240" w:lineRule="auto"/>
              <w:ind w:left="141" w:right="236"/>
              <w:outlineLvl w:val="0"/>
              <w:rPr>
                <w:color w:val="000000" w:themeColor="text1"/>
              </w:rPr>
            </w:pPr>
          </w:p>
          <w:p w:rsidR="008218B9" w:rsidRPr="0010451A" w:rsidP="008218B9" w14:paraId="3782987C" w14:textId="1EDC6D1C">
            <w:pPr>
              <w:spacing w:before="0" w:after="0" w:line="240" w:lineRule="auto"/>
              <w:ind w:left="141" w:right="236"/>
              <w:outlineLvl w:val="0"/>
              <w:rPr>
                <w:color w:val="000000" w:themeColor="text1"/>
              </w:rPr>
            </w:pPr>
            <w:r w:rsidRPr="0010451A">
              <w:t xml:space="preserve">Lauksaimniecības nozares </w:t>
            </w:r>
            <w:r w:rsidRPr="0010451A">
              <w:rPr>
                <w:rFonts w:eastAsiaTheme="minorEastAsia"/>
                <w:color w:val="000000" w:themeColor="text1"/>
              </w:rPr>
              <w:t xml:space="preserve">pasākumu </w:t>
            </w:r>
            <w:r>
              <w:rPr>
                <w:rFonts w:eastAsiaTheme="minorEastAsia"/>
                <w:color w:val="000000" w:themeColor="text1"/>
              </w:rPr>
              <w:t xml:space="preserve">SEG emisiju </w:t>
            </w:r>
            <w:r w:rsidRPr="0010451A">
              <w:rPr>
                <w:rFonts w:eastAsiaTheme="minorEastAsia"/>
                <w:color w:val="000000" w:themeColor="text1"/>
              </w:rPr>
              <w:t>apjoma izmaiņ</w:t>
            </w:r>
            <w:r>
              <w:rPr>
                <w:rFonts w:eastAsiaTheme="minorEastAsia"/>
                <w:color w:val="000000" w:themeColor="text1"/>
              </w:rPr>
              <w:t>u novērtēšanai</w:t>
            </w:r>
            <w:r>
              <w:t xml:space="preserve"> no 201</w:t>
            </w:r>
            <w:r w:rsidR="00235000">
              <w:t>5</w:t>
            </w:r>
            <w:r w:rsidRPr="0010451A">
              <w:t>.</w:t>
            </w:r>
            <w:r w:rsidR="00902018">
              <w:t> </w:t>
            </w:r>
            <w:r w:rsidRPr="0010451A">
              <w:t>gada ir izstrādāta un tiek izma</w:t>
            </w:r>
            <w:r>
              <w:t>ntota</w:t>
            </w:r>
            <w:r w:rsidRPr="0010451A">
              <w:t xml:space="preserve"> detalizēta </w:t>
            </w:r>
            <w:r>
              <w:t xml:space="preserve">aprēķinu metodika, kas izstrādāta </w:t>
            </w:r>
            <w:r w:rsidRPr="0010451A">
              <w:t xml:space="preserve">saskaņā ar </w:t>
            </w:r>
            <w:r w:rsidRPr="0010451A">
              <w:rPr>
                <w:color w:val="000000" w:themeColor="text1"/>
              </w:rPr>
              <w:t>Klimata pārmaiņu starpvaldību padomes (</w:t>
            </w:r>
            <w:r w:rsidRPr="0010451A">
              <w:rPr>
                <w:i/>
                <w:color w:val="000000" w:themeColor="text1"/>
              </w:rPr>
              <w:t>KPSP</w:t>
            </w:r>
            <w:r w:rsidRPr="0010451A">
              <w:rPr>
                <w:color w:val="000000" w:themeColor="text1"/>
              </w:rPr>
              <w:t>) vadlīnijām</w:t>
            </w:r>
            <w:r w:rsidRPr="0010451A">
              <w:t xml:space="preserve">, </w:t>
            </w:r>
            <w:r>
              <w:t xml:space="preserve">lauksaimniecības nozares </w:t>
            </w:r>
            <w:r w:rsidRPr="0010451A">
              <w:t>pasākumus iedalot septiņās apakšgrupās: laukkopības pasākumi, zālāju apsaimniekošanas</w:t>
            </w:r>
            <w:r>
              <w:t xml:space="preserve"> un ganību uzlabošanas pasākumi, organisko un</w:t>
            </w:r>
            <w:r w:rsidRPr="0010451A">
              <w:t xml:space="preserve"> kūdras augšņu apsaimniekošana, degradēto zemju apsaimniekošana, lopkopība, kūtsmēslu apsaimniekošana un </w:t>
            </w:r>
            <w:r w:rsidRPr="00235000">
              <w:t>bioenerģijas ražošana</w:t>
            </w:r>
            <w:r w:rsidR="00461C31">
              <w:t>. Pasākumu ietekmes</w:t>
            </w:r>
            <w:r w:rsidRPr="0010451A">
              <w:t xml:space="preserve"> novērtēšanas atvieglošanai ir sagatavots arī elektronisks aprēķinu rīks, kurš </w:t>
            </w:r>
            <w:r>
              <w:t xml:space="preserve">jebkuram interesentam </w:t>
            </w:r>
            <w:r w:rsidRPr="0010451A">
              <w:t xml:space="preserve">brīvi pieejams Lauku atbalsta dienesta </w:t>
            </w:r>
            <w:r w:rsidR="005C62E6">
              <w:t>tīmekļ</w:t>
            </w:r>
            <w:r w:rsidRPr="0010451A">
              <w:t>vietnē.</w:t>
            </w:r>
            <w:r w:rsidRPr="0010451A">
              <w:rPr>
                <w:color w:val="000000" w:themeColor="text1"/>
              </w:rPr>
              <w:t xml:space="preserve"> </w:t>
            </w:r>
          </w:p>
          <w:p w:rsidR="008218B9" w:rsidP="008218B9" w14:paraId="282097D4" w14:textId="77777777">
            <w:pPr>
              <w:spacing w:before="0" w:after="0" w:line="240" w:lineRule="auto"/>
              <w:ind w:left="141" w:right="236"/>
              <w:outlineLvl w:val="0"/>
              <w:rPr>
                <w:color w:val="000000" w:themeColor="text1"/>
              </w:rPr>
            </w:pPr>
            <w:r w:rsidRPr="0010451A">
              <w:rPr>
                <w:color w:val="000000" w:themeColor="text1"/>
              </w:rPr>
              <w:t xml:space="preserve">Lauksaimniecības nozares pasākumu ietekmes novērtēšanas metodiku un elektronisko aprēķinu rīku sadarbībā ar Latvijas Lauksaimniecības universitāti (institūcija, kuras kompetence lauksaimniecības nozares siltumnīcefekta gāzu emisiju aprēķinos noteikta normatīvajos aktos par siltumnīcefekta gāzu inventarizāciju un prognozēšanu) ir izstrādājusi Zemkopības ministrija. </w:t>
            </w:r>
          </w:p>
          <w:p w:rsidR="00235000" w:rsidP="008569E7" w14:paraId="2447359B" w14:textId="77777777">
            <w:pPr>
              <w:spacing w:before="0" w:after="0" w:line="240" w:lineRule="auto"/>
              <w:ind w:left="141" w:right="236"/>
              <w:outlineLvl w:val="0"/>
              <w:rPr>
                <w:color w:val="000000" w:themeColor="text1"/>
              </w:rPr>
            </w:pPr>
            <w:r w:rsidRPr="0010451A">
              <w:t xml:space="preserve">Zemkopības ministrija, kā par </w:t>
            </w:r>
            <w:r w:rsidR="00461C31">
              <w:t xml:space="preserve">lauksaimniecības </w:t>
            </w:r>
            <w:r w:rsidRPr="0010451A">
              <w:t xml:space="preserve">nozari atbildīgā ministrija, ir atbildīga par lauksaimniecības nozares SEG emisiju samazinājuma pasākumu </w:t>
            </w:r>
            <w:r w:rsidRPr="0010451A">
              <w:rPr>
                <w:color w:val="000000" w:themeColor="text1"/>
              </w:rPr>
              <w:t xml:space="preserve">aprēķinu metodikas un elektroniskā aprēķinu rīka tālāku aktualizāciju atbilstoši izmaiņām starptautiskajās vadlīnijās un Latvijas </w:t>
            </w:r>
            <w:r>
              <w:rPr>
                <w:color w:val="000000" w:themeColor="text1"/>
              </w:rPr>
              <w:t>nacionālajos SEG emisiju inventarizācijas aprēķinos.</w:t>
            </w:r>
            <w:r w:rsidR="00461C31">
              <w:rPr>
                <w:color w:val="000000" w:themeColor="text1"/>
              </w:rPr>
              <w:t xml:space="preserve"> </w:t>
            </w:r>
          </w:p>
          <w:p w:rsidR="00235000" w:rsidP="008569E7" w14:paraId="6A6BED45" w14:textId="77777777">
            <w:pPr>
              <w:spacing w:before="0" w:after="0" w:line="240" w:lineRule="auto"/>
              <w:ind w:left="141" w:right="236"/>
              <w:outlineLvl w:val="0"/>
              <w:rPr>
                <w:color w:val="000000" w:themeColor="text1"/>
              </w:rPr>
            </w:pPr>
          </w:p>
          <w:p w:rsidR="00910F75" w:rsidP="008569E7" w14:paraId="3ADC1B67" w14:textId="5AE0500D">
            <w:pPr>
              <w:spacing w:before="0" w:after="0" w:line="240" w:lineRule="auto"/>
              <w:ind w:left="141" w:right="236"/>
              <w:outlineLvl w:val="0"/>
              <w:rPr>
                <w:color w:val="000000" w:themeColor="text1"/>
              </w:rPr>
            </w:pPr>
            <w:r w:rsidRPr="0055577F">
              <w:rPr>
                <w:rFonts w:eastAsiaTheme="minorEastAsia"/>
                <w:color w:val="000000" w:themeColor="text1"/>
              </w:rPr>
              <w:t>N</w:t>
            </w:r>
            <w:r w:rsidRPr="0055577F">
              <w:rPr>
                <w:color w:val="000000" w:themeColor="text1"/>
              </w:rPr>
              <w:t>oteikumu projektā iekļautā metodika obligāti piemērojama tajos gadījumos, kad to nosaka Latvijas Republikas normatīvie akti</w:t>
            </w:r>
            <w:r w:rsidR="00815F10">
              <w:rPr>
                <w:color w:val="000000" w:themeColor="text1"/>
              </w:rPr>
              <w:t>, t.i. ja</w:t>
            </w:r>
            <w:r w:rsidRPr="0055577F">
              <w:rPr>
                <w:color w:val="000000" w:themeColor="text1"/>
              </w:rPr>
              <w:t xml:space="preserve"> </w:t>
            </w:r>
            <w:r w:rsidR="00815F10">
              <w:rPr>
                <w:color w:val="000000" w:themeColor="text1"/>
              </w:rPr>
              <w:t>ministrijas</w:t>
            </w:r>
            <w:r w:rsidR="008569E7">
              <w:rPr>
                <w:color w:val="000000" w:themeColor="text1"/>
              </w:rPr>
              <w:t>,</w:t>
            </w:r>
            <w:r w:rsidR="00815F10">
              <w:rPr>
                <w:color w:val="000000" w:themeColor="text1"/>
              </w:rPr>
              <w:t xml:space="preserve"> </w:t>
            </w:r>
            <w:r w:rsidRPr="0055577F">
              <w:rPr>
                <w:color w:val="000000" w:themeColor="text1"/>
              </w:rPr>
              <w:t>izstrādājo</w:t>
            </w:r>
            <w:r w:rsidR="00815F10">
              <w:rPr>
                <w:color w:val="000000" w:themeColor="text1"/>
              </w:rPr>
              <w:t>t</w:t>
            </w:r>
            <w:r w:rsidRPr="0055577F">
              <w:rPr>
                <w:color w:val="000000" w:themeColor="text1"/>
              </w:rPr>
              <w:t xml:space="preserve"> tiesību aktu projekt</w:t>
            </w:r>
            <w:r w:rsidR="008569E7">
              <w:rPr>
                <w:color w:val="000000" w:themeColor="text1"/>
              </w:rPr>
              <w:t>u</w:t>
            </w:r>
            <w:r w:rsidRPr="0055577F">
              <w:rPr>
                <w:color w:val="000000" w:themeColor="text1"/>
              </w:rPr>
              <w:t>s</w:t>
            </w:r>
            <w:r w:rsidR="008569E7">
              <w:rPr>
                <w:color w:val="000000" w:themeColor="text1"/>
              </w:rPr>
              <w:t>,</w:t>
            </w:r>
            <w:r w:rsidRPr="0055577F">
              <w:rPr>
                <w:color w:val="000000" w:themeColor="text1"/>
              </w:rPr>
              <w:t xml:space="preserve"> </w:t>
            </w:r>
            <w:r w:rsidR="00815F10">
              <w:rPr>
                <w:color w:val="000000" w:themeColor="text1"/>
              </w:rPr>
              <w:t xml:space="preserve">tajos </w:t>
            </w:r>
            <w:r w:rsidRPr="0055577F">
              <w:rPr>
                <w:color w:val="000000" w:themeColor="text1"/>
              </w:rPr>
              <w:t>ietver</w:t>
            </w:r>
            <w:r w:rsidR="00815F10">
              <w:rPr>
                <w:color w:val="000000" w:themeColor="text1"/>
              </w:rPr>
              <w:t>s</w:t>
            </w:r>
            <w:r w:rsidRPr="0055577F">
              <w:rPr>
                <w:color w:val="000000" w:themeColor="text1"/>
              </w:rPr>
              <w:t xml:space="preserve"> atsauci uz šiem noteikumiem, bet visos citos gadījumos tās </w:t>
            </w:r>
            <w:r w:rsidRPr="0055577F">
              <w:rPr>
                <w:color w:val="000000" w:themeColor="text1"/>
              </w:rPr>
              <w:t>piemērošana ir brīvprātīga.</w:t>
            </w:r>
          </w:p>
          <w:p w:rsidR="00EF3783" w:rsidRPr="0055577F" w:rsidP="00613A68" w14:paraId="6F7C8C99" w14:textId="5698A82C">
            <w:pPr>
              <w:spacing w:before="0" w:after="0" w:line="240" w:lineRule="auto"/>
              <w:ind w:left="141" w:right="236"/>
              <w:outlineLvl w:val="0"/>
              <w:rPr>
                <w:color w:val="000000" w:themeColor="text1"/>
                <w:shd w:val="clear" w:color="auto" w:fill="FFFFFF"/>
              </w:rPr>
            </w:pPr>
            <w:r w:rsidRPr="0055577F">
              <w:rPr>
                <w:color w:val="000000" w:themeColor="text1"/>
              </w:rPr>
              <w:t>Noteikumu projekt</w:t>
            </w:r>
            <w:r w:rsidRPr="0055577F" w:rsidR="00BA5AD6">
              <w:rPr>
                <w:color w:val="000000" w:themeColor="text1"/>
              </w:rPr>
              <w:t>ā</w:t>
            </w:r>
            <w:r w:rsidRPr="0055577F">
              <w:rPr>
                <w:color w:val="000000" w:themeColor="text1"/>
              </w:rPr>
              <w:t xml:space="preserve"> </w:t>
            </w:r>
            <w:r w:rsidRPr="0055577F" w:rsidR="00B051DF">
              <w:rPr>
                <w:color w:val="000000" w:themeColor="text1"/>
              </w:rPr>
              <w:t>ņem</w:t>
            </w:r>
            <w:r w:rsidRPr="0055577F" w:rsidR="00CD5FE3">
              <w:rPr>
                <w:color w:val="000000" w:themeColor="text1"/>
              </w:rPr>
              <w:t>t</w:t>
            </w:r>
            <w:r w:rsidRPr="0055577F" w:rsidR="00BA5AD6">
              <w:rPr>
                <w:color w:val="000000" w:themeColor="text1"/>
              </w:rPr>
              <w:t>as</w:t>
            </w:r>
            <w:r w:rsidRPr="0055577F" w:rsidR="00B051DF">
              <w:rPr>
                <w:color w:val="000000" w:themeColor="text1"/>
              </w:rPr>
              <w:t xml:space="preserve"> vērā</w:t>
            </w:r>
            <w:r w:rsidRPr="0055577F">
              <w:rPr>
                <w:color w:val="000000" w:themeColor="text1"/>
              </w:rPr>
              <w:t xml:space="preserve"> </w:t>
            </w:r>
            <w:r w:rsidRPr="0055577F" w:rsidR="00E72946">
              <w:rPr>
                <w:color w:val="000000" w:themeColor="text1"/>
                <w:shd w:val="clear" w:color="auto" w:fill="FFFFFF"/>
              </w:rPr>
              <w:t>Eiropas Komisijas 2012. gada 21. jūnija Regulas Nr.</w:t>
            </w:r>
            <w:r w:rsidRPr="0055577F" w:rsidR="00E72946">
              <w:rPr>
                <w:rStyle w:val="apple-converted-space"/>
                <w:color w:val="000000" w:themeColor="text1"/>
                <w:shd w:val="clear" w:color="auto" w:fill="FFFFFF"/>
              </w:rPr>
              <w:t> </w:t>
            </w:r>
            <w:r>
              <w:fldChar w:fldCharType="begin"/>
            </w:r>
            <w:r>
              <w:instrText xml:space="preserve"> HYPERLINK "http://eur-lex.europa.eu/eli/reg/2012/601/oj/?locale=LV" \t "_blank" </w:instrText>
            </w:r>
            <w:r>
              <w:fldChar w:fldCharType="separate"/>
            </w:r>
            <w:r w:rsidRPr="0055577F" w:rsidR="00E72946">
              <w:rPr>
                <w:rStyle w:val="Hyperlink"/>
                <w:color w:val="000000" w:themeColor="text1"/>
                <w:u w:val="none"/>
                <w:shd w:val="clear" w:color="auto" w:fill="FFFFFF"/>
              </w:rPr>
              <w:t>601/2012</w:t>
            </w:r>
            <w:r>
              <w:fldChar w:fldCharType="end"/>
            </w:r>
            <w:r w:rsidRPr="0055577F" w:rsidR="00E72946">
              <w:rPr>
                <w:rStyle w:val="apple-converted-space"/>
                <w:color w:val="000000" w:themeColor="text1"/>
                <w:shd w:val="clear" w:color="auto" w:fill="FFFFFF"/>
              </w:rPr>
              <w:t> </w:t>
            </w:r>
            <w:r w:rsidRPr="0055577F" w:rsidR="00E72946">
              <w:rPr>
                <w:color w:val="000000" w:themeColor="text1"/>
                <w:shd w:val="clear" w:color="auto" w:fill="FFFFFF"/>
              </w:rPr>
              <w:t>par siltumnīcefekta gāzu emisiju monitoringu un ziņošanu saskaņā ar Eiropas Parlamenta un Padomes Direktīvu</w:t>
            </w:r>
            <w:r w:rsidRPr="0055577F" w:rsidR="00E72946">
              <w:rPr>
                <w:rStyle w:val="apple-converted-space"/>
                <w:color w:val="000000" w:themeColor="text1"/>
                <w:shd w:val="clear" w:color="auto" w:fill="FFFFFF"/>
              </w:rPr>
              <w:t> </w:t>
            </w:r>
            <w:r>
              <w:fldChar w:fldCharType="begin"/>
            </w:r>
            <w:r>
              <w:instrText xml:space="preserve"> HYPERLINK "http://eur-lex.europa.eu/eli/dir/2003/87/oj/?locale=LV" \t "_blank" </w:instrText>
            </w:r>
            <w:r>
              <w:fldChar w:fldCharType="separate"/>
            </w:r>
            <w:r w:rsidRPr="0055577F" w:rsidR="00E72946">
              <w:rPr>
                <w:rStyle w:val="Hyperlink"/>
                <w:color w:val="000000" w:themeColor="text1"/>
                <w:u w:val="none"/>
                <w:shd w:val="clear" w:color="auto" w:fill="FFFFFF"/>
              </w:rPr>
              <w:t>2003/87/EK</w:t>
            </w:r>
            <w:r>
              <w:fldChar w:fldCharType="end"/>
            </w:r>
            <w:r w:rsidRPr="0055577F" w:rsidR="00815D15">
              <w:rPr>
                <w:rStyle w:val="Hyperlink"/>
                <w:color w:val="000000" w:themeColor="text1"/>
                <w:u w:val="none"/>
                <w:shd w:val="clear" w:color="auto" w:fill="FFFFFF"/>
              </w:rPr>
              <w:t xml:space="preserve"> (turpmāk – Regula Nr.</w:t>
            </w:r>
            <w:r w:rsidR="00422950">
              <w:rPr>
                <w:rStyle w:val="Hyperlink"/>
                <w:color w:val="000000" w:themeColor="text1"/>
                <w:u w:val="none"/>
                <w:shd w:val="clear" w:color="auto" w:fill="FFFFFF"/>
              </w:rPr>
              <w:t> </w:t>
            </w:r>
            <w:r w:rsidRPr="0055577F" w:rsidR="00815D15">
              <w:rPr>
                <w:rStyle w:val="Hyperlink"/>
                <w:color w:val="000000" w:themeColor="text1"/>
                <w:u w:val="none"/>
                <w:shd w:val="clear" w:color="auto" w:fill="FFFFFF"/>
              </w:rPr>
              <w:t>601/2012)</w:t>
            </w:r>
            <w:r w:rsidRPr="0055577F" w:rsidR="00E72946">
              <w:rPr>
                <w:rStyle w:val="apple-converted-space"/>
                <w:color w:val="000000" w:themeColor="text1"/>
                <w:shd w:val="clear" w:color="auto" w:fill="FFFFFF"/>
              </w:rPr>
              <w:t> </w:t>
            </w:r>
            <w:r w:rsidRPr="0055577F" w:rsidR="00E72946">
              <w:rPr>
                <w:color w:val="000000" w:themeColor="text1"/>
                <w:shd w:val="clear" w:color="auto" w:fill="FFFFFF"/>
              </w:rPr>
              <w:t>VI pielikum</w:t>
            </w:r>
            <w:r w:rsidRPr="0055577F" w:rsidR="00BA5AD6">
              <w:rPr>
                <w:color w:val="000000" w:themeColor="text1"/>
                <w:shd w:val="clear" w:color="auto" w:fill="FFFFFF"/>
              </w:rPr>
              <w:t>ā</w:t>
            </w:r>
            <w:r w:rsidRPr="0055577F">
              <w:rPr>
                <w:color w:val="000000" w:themeColor="text1"/>
                <w:shd w:val="clear" w:color="auto" w:fill="FFFFFF"/>
              </w:rPr>
              <w:t xml:space="preserve"> </w:t>
            </w:r>
            <w:r w:rsidRPr="0055577F" w:rsidR="00E72946">
              <w:rPr>
                <w:color w:val="000000" w:themeColor="text1"/>
                <w:shd w:val="clear" w:color="auto" w:fill="FFFFFF"/>
              </w:rPr>
              <w:t>noteikt</w:t>
            </w:r>
            <w:r w:rsidRPr="0055577F" w:rsidR="00BA5AD6">
              <w:rPr>
                <w:color w:val="000000" w:themeColor="text1"/>
                <w:shd w:val="clear" w:color="auto" w:fill="FFFFFF"/>
              </w:rPr>
              <w:t>ā</w:t>
            </w:r>
            <w:r w:rsidRPr="0055577F" w:rsidR="0069073A">
              <w:rPr>
                <w:color w:val="000000" w:themeColor="text1"/>
                <w:shd w:val="clear" w:color="auto" w:fill="FFFFFF"/>
              </w:rPr>
              <w:t>s</w:t>
            </w:r>
            <w:r w:rsidRPr="0055577F" w:rsidR="00E72946">
              <w:rPr>
                <w:color w:val="000000" w:themeColor="text1"/>
                <w:shd w:val="clear" w:color="auto" w:fill="FFFFFF"/>
              </w:rPr>
              <w:t xml:space="preserve"> </w:t>
            </w:r>
            <w:r w:rsidRPr="0055577F" w:rsidR="008909B5">
              <w:rPr>
                <w:color w:val="000000" w:themeColor="text1"/>
                <w:shd w:val="clear" w:color="auto" w:fill="FFFFFF"/>
              </w:rPr>
              <w:t>energoresursu</w:t>
            </w:r>
            <w:r w:rsidRPr="0055577F" w:rsidR="00E72946">
              <w:rPr>
                <w:color w:val="000000" w:themeColor="text1"/>
                <w:shd w:val="clear" w:color="auto" w:fill="FFFFFF"/>
              </w:rPr>
              <w:t xml:space="preserve"> zemākā sadegšanas siltuma un </w:t>
            </w:r>
            <w:r w:rsidRPr="0055577F">
              <w:rPr>
                <w:color w:val="000000" w:themeColor="text1"/>
                <w:shd w:val="clear" w:color="auto" w:fill="FFFFFF"/>
              </w:rPr>
              <w:t xml:space="preserve">oglekļa dioksīda (turpmāk – </w:t>
            </w:r>
            <w:r w:rsidRPr="0055577F" w:rsidR="00E72946">
              <w:rPr>
                <w:color w:val="000000" w:themeColor="text1"/>
                <w:shd w:val="clear" w:color="auto" w:fill="FFFFFF"/>
              </w:rPr>
              <w:t>CO</w:t>
            </w:r>
            <w:r w:rsidRPr="0055577F" w:rsidR="00E72946">
              <w:rPr>
                <w:color w:val="000000" w:themeColor="text1"/>
                <w:shd w:val="clear" w:color="auto" w:fill="FFFFFF"/>
                <w:vertAlign w:val="subscript"/>
              </w:rPr>
              <w:t>2</w:t>
            </w:r>
            <w:r w:rsidRPr="0055577F">
              <w:rPr>
                <w:color w:val="000000" w:themeColor="text1"/>
                <w:shd w:val="clear" w:color="auto" w:fill="FFFFFF"/>
              </w:rPr>
              <w:t xml:space="preserve">) </w:t>
            </w:r>
            <w:r w:rsidRPr="0055577F" w:rsidR="00E72946">
              <w:rPr>
                <w:color w:val="000000" w:themeColor="text1"/>
                <w:shd w:val="clear" w:color="auto" w:fill="FFFFFF"/>
              </w:rPr>
              <w:t xml:space="preserve">emisijas faktoru vērtības. </w:t>
            </w:r>
          </w:p>
          <w:p w:rsidR="00235000" w:rsidP="00235000" w14:paraId="51B1458E" w14:textId="1DDFCC20">
            <w:pPr>
              <w:spacing w:before="0" w:after="0" w:line="240" w:lineRule="auto"/>
              <w:ind w:right="236"/>
              <w:rPr>
                <w:color w:val="000000" w:themeColor="text1"/>
              </w:rPr>
            </w:pPr>
            <w:r w:rsidRPr="0055577F">
              <w:rPr>
                <w:rFonts w:eastAsiaTheme="minorEastAsia"/>
                <w:color w:val="000000" w:themeColor="text1"/>
              </w:rPr>
              <w:t xml:space="preserve"> </w:t>
            </w:r>
          </w:p>
          <w:p w:rsidR="00BA6AB7" w:rsidRPr="0055577F" w:rsidP="009A379A" w14:paraId="41D4966E" w14:textId="42DF3AD1">
            <w:pPr>
              <w:spacing w:before="0" w:after="0" w:line="240" w:lineRule="auto"/>
              <w:ind w:left="142" w:right="236"/>
              <w:rPr>
                <w:color w:val="000000" w:themeColor="text1"/>
              </w:rPr>
            </w:pPr>
            <w:r>
              <w:rPr>
                <w:color w:val="000000" w:themeColor="text1"/>
              </w:rPr>
              <w:t>Š</w:t>
            </w:r>
            <w:r w:rsidRPr="0055577F" w:rsidR="00F26057">
              <w:rPr>
                <w:color w:val="000000" w:themeColor="text1"/>
              </w:rPr>
              <w:t xml:space="preserve">o noteikumu </w:t>
            </w:r>
            <w:r w:rsidRPr="0055577F" w:rsidR="00BD2476">
              <w:rPr>
                <w:color w:val="000000" w:themeColor="text1"/>
              </w:rPr>
              <w:t xml:space="preserve">projekta </w:t>
            </w:r>
            <w:r w:rsidRPr="0055577F" w:rsidR="00F26057">
              <w:rPr>
                <w:color w:val="000000" w:themeColor="text1"/>
              </w:rPr>
              <w:t>1. </w:t>
            </w:r>
            <w:r w:rsidRPr="0055577F">
              <w:rPr>
                <w:color w:val="000000" w:themeColor="text1"/>
              </w:rPr>
              <w:t xml:space="preserve">pielikuma </w:t>
            </w:r>
            <w:r>
              <w:rPr>
                <w:color w:val="000000" w:themeColor="text1"/>
              </w:rPr>
              <w:t>7</w:t>
            </w:r>
            <w:r w:rsidRPr="0055577F">
              <w:rPr>
                <w:color w:val="000000" w:themeColor="text1"/>
              </w:rPr>
              <w:t xml:space="preserve">. un </w:t>
            </w:r>
            <w:r>
              <w:rPr>
                <w:color w:val="000000" w:themeColor="text1"/>
              </w:rPr>
              <w:t>8</w:t>
            </w:r>
            <w:r w:rsidRPr="0055577F">
              <w:rPr>
                <w:color w:val="000000" w:themeColor="text1"/>
              </w:rPr>
              <w:t>.</w:t>
            </w:r>
            <w:r w:rsidRPr="0055577F" w:rsidR="00F26057">
              <w:rPr>
                <w:color w:val="000000" w:themeColor="text1"/>
              </w:rPr>
              <w:t> </w:t>
            </w:r>
            <w:r w:rsidRPr="0055577F">
              <w:rPr>
                <w:color w:val="000000" w:themeColor="text1"/>
              </w:rPr>
              <w:t>punkts ir sagatavots</w:t>
            </w:r>
            <w:r w:rsidR="00902018">
              <w:rPr>
                <w:color w:val="000000" w:themeColor="text1"/>
              </w:rPr>
              <w:t>,</w:t>
            </w:r>
            <w:r w:rsidRPr="0055577F" w:rsidR="00F26057">
              <w:rPr>
                <w:color w:val="000000" w:themeColor="text1"/>
              </w:rPr>
              <w:t xml:space="preserve"> pamatojoties uz </w:t>
            </w:r>
            <w:r w:rsidRPr="0055577F">
              <w:rPr>
                <w:color w:val="000000" w:themeColor="text1"/>
              </w:rPr>
              <w:t>V</w:t>
            </w:r>
            <w:r w:rsidRPr="0055577F" w:rsidR="00F26057">
              <w:rPr>
                <w:color w:val="000000" w:themeColor="text1"/>
              </w:rPr>
              <w:t>. </w:t>
            </w:r>
            <w:r w:rsidRPr="0055577F">
              <w:rPr>
                <w:color w:val="000000" w:themeColor="text1"/>
              </w:rPr>
              <w:t>Dubrovska un A</w:t>
            </w:r>
            <w:r w:rsidRPr="0055577F" w:rsidR="00F26057">
              <w:rPr>
                <w:color w:val="000000" w:themeColor="text1"/>
              </w:rPr>
              <w:t>. </w:t>
            </w:r>
            <w:r w:rsidRPr="0055577F">
              <w:rPr>
                <w:color w:val="000000" w:themeColor="text1"/>
              </w:rPr>
              <w:t>Adamoviča grāmat</w:t>
            </w:r>
            <w:r w:rsidRPr="0055577F" w:rsidR="00F26057">
              <w:rPr>
                <w:color w:val="000000" w:themeColor="text1"/>
              </w:rPr>
              <w:t>u</w:t>
            </w:r>
            <w:r w:rsidRPr="0055577F">
              <w:rPr>
                <w:color w:val="000000" w:themeColor="text1"/>
              </w:rPr>
              <w:t xml:space="preserve"> “Bioenerģētikas horizonti” (Jelgava, 2012.</w:t>
            </w:r>
            <w:r w:rsidR="00902018">
              <w:rPr>
                <w:color w:val="000000" w:themeColor="text1"/>
              </w:rPr>
              <w:t> </w:t>
            </w:r>
            <w:r w:rsidRPr="0055577F">
              <w:rPr>
                <w:color w:val="000000" w:themeColor="text1"/>
              </w:rPr>
              <w:t>gads).</w:t>
            </w:r>
          </w:p>
          <w:p w:rsidR="00A356BD" w:rsidRPr="0055577F" w:rsidP="00613A68" w14:paraId="5A4BC809" w14:textId="324B03D9">
            <w:pPr>
              <w:spacing w:before="0" w:after="0" w:line="240" w:lineRule="auto"/>
              <w:ind w:left="141" w:right="236"/>
              <w:outlineLvl w:val="0"/>
              <w:rPr>
                <w:rFonts w:eastAsiaTheme="minorEastAsia"/>
                <w:color w:val="000000" w:themeColor="text1"/>
              </w:rPr>
            </w:pPr>
            <w:r w:rsidRPr="0055577F">
              <w:rPr>
                <w:rFonts w:eastAsiaTheme="minorEastAsia"/>
                <w:color w:val="000000" w:themeColor="text1"/>
              </w:rPr>
              <w:t xml:space="preserve">Šo noteikumu </w:t>
            </w:r>
            <w:r w:rsidRPr="0055577F" w:rsidR="00BD2476">
              <w:rPr>
                <w:rFonts w:eastAsiaTheme="minorEastAsia"/>
                <w:color w:val="000000" w:themeColor="text1"/>
              </w:rPr>
              <w:t xml:space="preserve">projekta </w:t>
            </w:r>
            <w:r w:rsidRPr="0055577F" w:rsidR="00732C4F">
              <w:rPr>
                <w:rFonts w:eastAsiaTheme="minorEastAsia"/>
                <w:color w:val="000000" w:themeColor="text1"/>
              </w:rPr>
              <w:t>1. </w:t>
            </w:r>
            <w:r w:rsidRPr="0055577F">
              <w:rPr>
                <w:rFonts w:eastAsiaTheme="minorEastAsia"/>
                <w:color w:val="000000" w:themeColor="text1"/>
              </w:rPr>
              <w:t xml:space="preserve">pielikuma </w:t>
            </w:r>
            <w:r w:rsidRPr="0055577F" w:rsidR="00B53010">
              <w:rPr>
                <w:rFonts w:eastAsiaTheme="minorEastAsia"/>
                <w:color w:val="000000" w:themeColor="text1"/>
              </w:rPr>
              <w:t>6</w:t>
            </w:r>
            <w:r w:rsidRPr="0055577F" w:rsidR="00732C4F">
              <w:rPr>
                <w:rFonts w:eastAsiaTheme="minorEastAsia"/>
                <w:color w:val="000000" w:themeColor="text1"/>
              </w:rPr>
              <w:t>. </w:t>
            </w:r>
            <w:r w:rsidRPr="0055577F">
              <w:rPr>
                <w:rFonts w:eastAsiaTheme="minorEastAsia"/>
                <w:color w:val="000000" w:themeColor="text1"/>
              </w:rPr>
              <w:t>punktā CO</w:t>
            </w:r>
            <w:r w:rsidRPr="0055577F">
              <w:rPr>
                <w:rFonts w:eastAsiaTheme="minorEastAsia"/>
                <w:color w:val="000000" w:themeColor="text1"/>
                <w:vertAlign w:val="subscript"/>
              </w:rPr>
              <w:t>2</w:t>
            </w:r>
            <w:r w:rsidRPr="0055577F">
              <w:rPr>
                <w:rFonts w:eastAsiaTheme="minorEastAsia"/>
                <w:color w:val="000000" w:themeColor="text1"/>
              </w:rPr>
              <w:t xml:space="preserve"> emisijas apjom</w:t>
            </w:r>
            <w:r w:rsidRPr="0055577F" w:rsidR="00732C4F">
              <w:rPr>
                <w:rFonts w:eastAsiaTheme="minorEastAsia"/>
                <w:color w:val="000000" w:themeColor="text1"/>
              </w:rPr>
              <w:t>a</w:t>
            </w:r>
            <w:r w:rsidRPr="0055577F">
              <w:rPr>
                <w:rFonts w:eastAsiaTheme="minorEastAsia"/>
                <w:color w:val="000000" w:themeColor="text1"/>
              </w:rPr>
              <w:t xml:space="preserve"> par transporta nozares pasākumiem noteikšanai iz</w:t>
            </w:r>
            <w:r w:rsidRPr="0055577F" w:rsidR="00732C4F">
              <w:rPr>
                <w:rFonts w:eastAsiaTheme="minorEastAsia"/>
                <w:color w:val="000000" w:themeColor="text1"/>
              </w:rPr>
              <w:t>mantota informācija no Eiropas Komisijas 2015. </w:t>
            </w:r>
            <w:r w:rsidRPr="0055577F">
              <w:rPr>
                <w:rFonts w:eastAsiaTheme="minorEastAsia"/>
                <w:color w:val="000000" w:themeColor="text1"/>
              </w:rPr>
              <w:t>gada ziņojum</w:t>
            </w:r>
            <w:r w:rsidRPr="0055577F" w:rsidR="00732C4F">
              <w:rPr>
                <w:rFonts w:eastAsiaTheme="minorEastAsia"/>
                <w:color w:val="000000" w:themeColor="text1"/>
              </w:rPr>
              <w:t>a</w:t>
            </w:r>
            <w:r w:rsidRPr="0055577F">
              <w:rPr>
                <w:rFonts w:eastAsiaTheme="minorEastAsia"/>
                <w:color w:val="000000" w:themeColor="text1"/>
              </w:rPr>
              <w:t xml:space="preserve"> par Alternatīvo degvielu stāvokli Eiropas Savienības transporta sistēmās.</w:t>
            </w:r>
          </w:p>
          <w:p w:rsidR="00BA6AB7" w:rsidRPr="0055577F" w:rsidP="00BA6AB7" w14:paraId="6BDC1AED" w14:textId="6ECB0E44">
            <w:pPr>
              <w:spacing w:before="0" w:after="0" w:line="240" w:lineRule="auto"/>
              <w:ind w:left="141" w:right="236"/>
              <w:outlineLvl w:val="0"/>
              <w:rPr>
                <w:rFonts w:eastAsiaTheme="minorEastAsia"/>
                <w:color w:val="000000" w:themeColor="text1"/>
              </w:rPr>
            </w:pPr>
            <w:r w:rsidRPr="0055577F">
              <w:rPr>
                <w:rFonts w:eastAsiaTheme="minorEastAsia"/>
                <w:color w:val="000000" w:themeColor="text1"/>
              </w:rPr>
              <w:t xml:space="preserve">Šo noteikumu </w:t>
            </w:r>
            <w:r w:rsidRPr="0055577F" w:rsidR="00BD2476">
              <w:rPr>
                <w:rFonts w:eastAsiaTheme="minorEastAsia"/>
                <w:color w:val="000000" w:themeColor="text1"/>
              </w:rPr>
              <w:t xml:space="preserve">projekta </w:t>
            </w:r>
            <w:r w:rsidRPr="0055577F" w:rsidR="00732C4F">
              <w:rPr>
                <w:rFonts w:eastAsiaTheme="minorEastAsia"/>
                <w:color w:val="000000" w:themeColor="text1"/>
              </w:rPr>
              <w:t>1. </w:t>
            </w:r>
            <w:r w:rsidRPr="0055577F">
              <w:rPr>
                <w:rFonts w:eastAsiaTheme="minorEastAsia"/>
                <w:color w:val="000000" w:themeColor="text1"/>
              </w:rPr>
              <w:t xml:space="preserve">pielikuma </w:t>
            </w:r>
            <w:r w:rsidRPr="0055577F" w:rsidR="00732C4F">
              <w:rPr>
                <w:rFonts w:eastAsiaTheme="minorEastAsia"/>
                <w:color w:val="000000" w:themeColor="text1"/>
              </w:rPr>
              <w:t>5</w:t>
            </w:r>
            <w:r w:rsidRPr="0055577F">
              <w:rPr>
                <w:rFonts w:eastAsiaTheme="minorEastAsia"/>
                <w:color w:val="000000" w:themeColor="text1"/>
              </w:rPr>
              <w:t>.</w:t>
            </w:r>
            <w:r w:rsidRPr="0055577F" w:rsidR="00732C4F">
              <w:rPr>
                <w:rFonts w:eastAsiaTheme="minorEastAsia"/>
                <w:color w:val="000000" w:themeColor="text1"/>
              </w:rPr>
              <w:t> </w:t>
            </w:r>
            <w:r w:rsidRPr="0055577F">
              <w:rPr>
                <w:rFonts w:eastAsiaTheme="minorEastAsia"/>
                <w:color w:val="000000" w:themeColor="text1"/>
              </w:rPr>
              <w:t>punktā transportlīdzekļos izmantotā degvielas blīvums noteikts saskaņā ar Starptautiskās Enerģētikas aģentūras Enerģētikas statistikas rokasgrāmatu (blīvumi noteikti standartapstākļos</w:t>
            </w:r>
            <w:r w:rsidRPr="0055577F" w:rsidR="00732C4F">
              <w:rPr>
                <w:rFonts w:eastAsiaTheme="minorEastAsia"/>
                <w:color w:val="000000" w:themeColor="text1"/>
              </w:rPr>
              <w:t> </w:t>
            </w:r>
            <w:r w:rsidRPr="0055577F">
              <w:rPr>
                <w:rFonts w:eastAsiaTheme="minorEastAsia"/>
                <w:color w:val="000000" w:themeColor="text1"/>
              </w:rPr>
              <w:t>–</w:t>
            </w:r>
            <w:r w:rsidRPr="0055577F" w:rsidR="00732C4F">
              <w:rPr>
                <w:rFonts w:eastAsiaTheme="minorEastAsia"/>
                <w:color w:val="000000" w:themeColor="text1"/>
              </w:rPr>
              <w:t> </w:t>
            </w:r>
            <w:r w:rsidRPr="0055577F">
              <w:rPr>
                <w:rFonts w:eastAsiaTheme="minorEastAsia"/>
                <w:color w:val="000000" w:themeColor="text1"/>
              </w:rPr>
              <w:t>temperatūra 0</w:t>
            </w:r>
            <w:r w:rsidRPr="0055577F">
              <w:rPr>
                <w:rFonts w:eastAsiaTheme="minorEastAsia"/>
                <w:color w:val="000000" w:themeColor="text1"/>
                <w:vertAlign w:val="superscript"/>
              </w:rPr>
              <w:t>o</w:t>
            </w:r>
            <w:r w:rsidRPr="0055577F">
              <w:rPr>
                <w:rFonts w:eastAsiaTheme="minorEastAsia"/>
                <w:color w:val="000000" w:themeColor="text1"/>
              </w:rPr>
              <w:t>C un spiediens 1 atm, izņemot saspiestā dabasgāze</w:t>
            </w:r>
            <w:r w:rsidRPr="0055577F" w:rsidR="00732C4F">
              <w:rPr>
                <w:rFonts w:eastAsiaTheme="minorEastAsia"/>
                <w:color w:val="000000" w:themeColor="text1"/>
              </w:rPr>
              <w:t> </w:t>
            </w:r>
            <w:r w:rsidRPr="0055577F">
              <w:rPr>
                <w:rFonts w:eastAsiaTheme="minorEastAsia"/>
                <w:color w:val="000000" w:themeColor="text1"/>
              </w:rPr>
              <w:t>–</w:t>
            </w:r>
            <w:r w:rsidRPr="0055577F" w:rsidR="00732C4F">
              <w:rPr>
                <w:rFonts w:eastAsiaTheme="minorEastAsia"/>
                <w:color w:val="000000" w:themeColor="text1"/>
              </w:rPr>
              <w:t> </w:t>
            </w:r>
            <w:r w:rsidRPr="0055577F">
              <w:rPr>
                <w:rFonts w:eastAsiaTheme="minorEastAsia"/>
                <w:color w:val="000000" w:themeColor="text1"/>
              </w:rPr>
              <w:t>spiediens 220 atm un sašķidrinātā dabasgāze</w:t>
            </w:r>
            <w:r w:rsidRPr="0055577F" w:rsidR="00732C4F">
              <w:rPr>
                <w:rFonts w:eastAsiaTheme="minorEastAsia"/>
                <w:color w:val="000000" w:themeColor="text1"/>
              </w:rPr>
              <w:t> </w:t>
            </w:r>
            <w:r w:rsidRPr="0055577F">
              <w:rPr>
                <w:rFonts w:eastAsiaTheme="minorEastAsia"/>
                <w:color w:val="000000" w:themeColor="text1"/>
              </w:rPr>
              <w:t>–</w:t>
            </w:r>
            <w:r w:rsidRPr="0055577F" w:rsidR="00732C4F">
              <w:rPr>
                <w:rFonts w:eastAsiaTheme="minorEastAsia"/>
                <w:color w:val="000000" w:themeColor="text1"/>
              </w:rPr>
              <w:t> </w:t>
            </w:r>
            <w:r w:rsidRPr="0055577F">
              <w:rPr>
                <w:rFonts w:eastAsiaTheme="minorEastAsia"/>
                <w:color w:val="000000" w:themeColor="text1"/>
              </w:rPr>
              <w:t>temperatūra</w:t>
            </w:r>
            <w:r w:rsidRPr="0055577F" w:rsidR="00732C4F">
              <w:rPr>
                <w:rFonts w:eastAsiaTheme="minorEastAsia"/>
                <w:color w:val="000000" w:themeColor="text1"/>
              </w:rPr>
              <w:t> – 1</w:t>
            </w:r>
            <w:r w:rsidRPr="0055577F">
              <w:rPr>
                <w:rFonts w:eastAsiaTheme="minorEastAsia"/>
                <w:color w:val="000000" w:themeColor="text1"/>
              </w:rPr>
              <w:t>60</w:t>
            </w:r>
            <w:r w:rsidRPr="0055577F">
              <w:rPr>
                <w:rFonts w:eastAsiaTheme="minorEastAsia"/>
                <w:color w:val="000000" w:themeColor="text1"/>
                <w:vertAlign w:val="superscript"/>
              </w:rPr>
              <w:t>o</w:t>
            </w:r>
            <w:r w:rsidRPr="0055577F">
              <w:rPr>
                <w:rFonts w:eastAsiaTheme="minorEastAsia"/>
                <w:color w:val="000000" w:themeColor="text1"/>
              </w:rPr>
              <w:t>C).</w:t>
            </w:r>
          </w:p>
          <w:p w:rsidR="00732C4F" w:rsidRPr="0055577F" w:rsidP="00B051DF" w14:paraId="2EFD6C1A" w14:textId="7EEF3EBC">
            <w:pPr>
              <w:spacing w:before="0" w:after="0" w:line="240" w:lineRule="auto"/>
              <w:ind w:left="141" w:right="236"/>
              <w:outlineLvl w:val="0"/>
              <w:rPr>
                <w:rFonts w:eastAsiaTheme="minorEastAsia"/>
                <w:color w:val="000000" w:themeColor="text1"/>
              </w:rPr>
            </w:pPr>
            <w:r w:rsidRPr="0055577F">
              <w:rPr>
                <w:rFonts w:eastAsiaTheme="minorEastAsia"/>
                <w:color w:val="000000" w:themeColor="text1"/>
              </w:rPr>
              <w:t xml:space="preserve">Šo noteikumu </w:t>
            </w:r>
            <w:r w:rsidRPr="0055577F" w:rsidR="00BD2476">
              <w:rPr>
                <w:rFonts w:eastAsiaTheme="minorEastAsia"/>
                <w:color w:val="000000" w:themeColor="text1"/>
              </w:rPr>
              <w:t xml:space="preserve">projekta </w:t>
            </w:r>
            <w:r w:rsidRPr="0055577F">
              <w:rPr>
                <w:rFonts w:eastAsiaTheme="minorEastAsia"/>
                <w:color w:val="000000" w:themeColor="text1"/>
              </w:rPr>
              <w:t>1. </w:t>
            </w:r>
            <w:r w:rsidRPr="0055577F">
              <w:rPr>
                <w:rFonts w:eastAsiaTheme="minorEastAsia"/>
                <w:color w:val="000000" w:themeColor="text1"/>
              </w:rPr>
              <w:t xml:space="preserve">pielikuma </w:t>
            </w:r>
            <w:r w:rsidRPr="0055577F">
              <w:rPr>
                <w:rFonts w:eastAsiaTheme="minorEastAsia"/>
                <w:color w:val="000000" w:themeColor="text1"/>
              </w:rPr>
              <w:t>6</w:t>
            </w:r>
            <w:r w:rsidRPr="0055577F">
              <w:rPr>
                <w:rFonts w:eastAsiaTheme="minorEastAsia"/>
                <w:color w:val="000000" w:themeColor="text1"/>
              </w:rPr>
              <w:t>.</w:t>
            </w:r>
            <w:r w:rsidRPr="0055577F">
              <w:rPr>
                <w:rFonts w:eastAsiaTheme="minorEastAsia"/>
                <w:color w:val="000000" w:themeColor="text1"/>
              </w:rPr>
              <w:t>4</w:t>
            </w:r>
            <w:r w:rsidRPr="0055577F">
              <w:rPr>
                <w:rFonts w:eastAsiaTheme="minorEastAsia"/>
                <w:color w:val="000000" w:themeColor="text1"/>
              </w:rPr>
              <w:t>. apakšpunkt</w:t>
            </w:r>
            <w:r w:rsidRPr="0055577F" w:rsidR="00BD2476">
              <w:rPr>
                <w:rFonts w:eastAsiaTheme="minorEastAsia"/>
                <w:color w:val="000000" w:themeColor="text1"/>
              </w:rPr>
              <w:t>ā</w:t>
            </w:r>
            <w:r w:rsidRPr="0055577F">
              <w:rPr>
                <w:rFonts w:eastAsiaTheme="minorEastAsia"/>
                <w:color w:val="000000" w:themeColor="text1"/>
              </w:rPr>
              <w:t xml:space="preserve"> norādītā informācija attiecībā uz pasažieru skaitu transportlīdzeklī ir norādīta</w:t>
            </w:r>
            <w:r w:rsidRPr="0055577F" w:rsidR="00BD2476">
              <w:rPr>
                <w:rFonts w:eastAsiaTheme="minorEastAsia"/>
                <w:color w:val="000000" w:themeColor="text1"/>
              </w:rPr>
              <w:t>,</w:t>
            </w:r>
            <w:r w:rsidRPr="0055577F">
              <w:rPr>
                <w:rFonts w:eastAsiaTheme="minorEastAsia"/>
                <w:color w:val="000000" w:themeColor="text1"/>
              </w:rPr>
              <w:t xml:space="preserve"> balstoties uz publiski pieejamo informāciju</w:t>
            </w:r>
            <w:r w:rsidRPr="0055577F" w:rsidR="000E13A2">
              <w:rPr>
                <w:rFonts w:eastAsiaTheme="minorEastAsia"/>
                <w:color w:val="000000" w:themeColor="text1"/>
              </w:rPr>
              <w:t>,</w:t>
            </w:r>
            <w:r w:rsidRPr="0055577F">
              <w:rPr>
                <w:rFonts w:eastAsiaTheme="minorEastAsia"/>
                <w:color w:val="000000" w:themeColor="text1"/>
              </w:rPr>
              <w:t xml:space="preserve"> </w:t>
            </w:r>
            <w:r w:rsidRPr="0055577F" w:rsidR="004E3368">
              <w:rPr>
                <w:rFonts w:eastAsiaTheme="minorEastAsia"/>
                <w:color w:val="000000" w:themeColor="text1"/>
              </w:rPr>
              <w:t xml:space="preserve">piemēram, </w:t>
            </w:r>
            <w:r w:rsidRPr="0055577F">
              <w:rPr>
                <w:bCs/>
                <w:color w:val="000000" w:themeColor="text1"/>
              </w:rPr>
              <w:t>PSIA “Rīgas satiksme” un AS “Pasažieru vilciens”</w:t>
            </w:r>
            <w:r w:rsidRPr="0055577F" w:rsidR="008C385C">
              <w:rPr>
                <w:bCs/>
                <w:color w:val="000000" w:themeColor="text1"/>
              </w:rPr>
              <w:t xml:space="preserve"> tīmekļvietnēs un </w:t>
            </w:r>
            <w:r w:rsidRPr="0055577F">
              <w:rPr>
                <w:bCs/>
                <w:color w:val="000000" w:themeColor="text1"/>
              </w:rPr>
              <w:t xml:space="preserve">citos </w:t>
            </w:r>
            <w:r w:rsidRPr="0055577F" w:rsidR="008C385C">
              <w:rPr>
                <w:bCs/>
                <w:color w:val="000000" w:themeColor="text1"/>
              </w:rPr>
              <w:t xml:space="preserve">sagatavotajos </w:t>
            </w:r>
            <w:r w:rsidRPr="0055577F" w:rsidR="004E3368">
              <w:rPr>
                <w:bCs/>
                <w:color w:val="000000" w:themeColor="text1"/>
              </w:rPr>
              <w:t>dokumentos</w:t>
            </w:r>
            <w:r w:rsidRPr="0055577F">
              <w:rPr>
                <w:rFonts w:eastAsiaTheme="minorEastAsia"/>
                <w:color w:val="000000" w:themeColor="text1"/>
              </w:rPr>
              <w:t>.</w:t>
            </w:r>
            <w:r w:rsidRPr="0055577F" w:rsidR="00575F66">
              <w:rPr>
                <w:rFonts w:eastAsiaTheme="minorEastAsia"/>
                <w:color w:val="000000" w:themeColor="text1"/>
              </w:rPr>
              <w:t xml:space="preserve"> </w:t>
            </w:r>
            <w:r w:rsidRPr="0055577F" w:rsidR="004E3368">
              <w:rPr>
                <w:rFonts w:eastAsiaTheme="minorEastAsia"/>
                <w:color w:val="000000" w:themeColor="text1"/>
              </w:rPr>
              <w:t xml:space="preserve">Diemžēl ierobežota datu apjoma pieejamības dēļ šobrīd nav veikta detalizēta un visaptveroša analīze par visu Latvijā izmantoto </w:t>
            </w:r>
            <w:r w:rsidRPr="0055577F" w:rsidR="00856C33">
              <w:rPr>
                <w:rFonts w:eastAsiaTheme="minorEastAsia"/>
                <w:color w:val="000000" w:themeColor="text1"/>
              </w:rPr>
              <w:t>transportlīdzekļu</w:t>
            </w:r>
            <w:r w:rsidRPr="0055577F" w:rsidR="004E3368">
              <w:rPr>
                <w:rFonts w:eastAsiaTheme="minorEastAsia"/>
                <w:color w:val="000000" w:themeColor="text1"/>
              </w:rPr>
              <w:t xml:space="preserve"> pasažieru ietilpību un to radīto emisiju apjomu uz nobraukto attālumu.</w:t>
            </w:r>
          </w:p>
          <w:p w:rsidR="00640D82" w:rsidRPr="0055577F" w:rsidP="00640D82" w14:paraId="4885285E" w14:textId="3B46B233">
            <w:pPr>
              <w:spacing w:before="0" w:after="0" w:line="240" w:lineRule="auto"/>
              <w:ind w:left="141" w:right="236"/>
              <w:outlineLvl w:val="0"/>
              <w:rPr>
                <w:color w:val="000000" w:themeColor="text1"/>
              </w:rPr>
            </w:pPr>
            <w:r w:rsidRPr="0055577F">
              <w:rPr>
                <w:color w:val="000000" w:themeColor="text1"/>
              </w:rPr>
              <w:t>Lai aprēķinātu transportlīdzekļu vidējo izlīdzināto degvielas patēriņu tiek ņemta vērā transportlīdzekļa tehniskās apskates dokumentācijā norādītais kopējais tehniskās apskates perioda nobraukums, kuru attiecina uz pilnu kalendāra gadu, km/gadā, kā arī transportlīdzekļa īpašnieka/lietotāja vai ražotāja sniegtā informācija par degvielas patēriņu uz k</w:t>
            </w:r>
            <w:r w:rsidRPr="0055577F" w:rsidR="00BD2476">
              <w:rPr>
                <w:color w:val="000000" w:themeColor="text1"/>
              </w:rPr>
              <w:t>ilometru</w:t>
            </w:r>
            <w:r w:rsidRPr="0055577F">
              <w:rPr>
                <w:color w:val="000000" w:themeColor="text1"/>
              </w:rPr>
              <w:t>.</w:t>
            </w:r>
          </w:p>
          <w:p w:rsidR="00FA510D" w:rsidP="00903059" w14:paraId="000A4CA9" w14:textId="5B753CDB">
            <w:pPr>
              <w:spacing w:before="0" w:after="0" w:line="240" w:lineRule="auto"/>
              <w:ind w:left="141" w:right="236"/>
              <w:outlineLvl w:val="0"/>
              <w:rPr>
                <w:color w:val="000000" w:themeColor="text1"/>
              </w:rPr>
            </w:pPr>
            <w:r w:rsidRPr="0055577F">
              <w:rPr>
                <w:color w:val="000000" w:themeColor="text1"/>
              </w:rPr>
              <w:t xml:space="preserve">Lai aprēķinātu </w:t>
            </w:r>
            <w:r w:rsidRPr="0055577F">
              <w:rPr>
                <w:color w:val="000000" w:themeColor="text1"/>
              </w:rPr>
              <w:t>SEG emisiju apjom</w:t>
            </w:r>
            <w:r w:rsidRPr="0055577F">
              <w:rPr>
                <w:color w:val="000000" w:themeColor="text1"/>
              </w:rPr>
              <w:t>u</w:t>
            </w:r>
            <w:r w:rsidRPr="0055577F">
              <w:rPr>
                <w:color w:val="000000" w:themeColor="text1"/>
              </w:rPr>
              <w:t xml:space="preserve"> pirms un pēc pasākuma īstenošanas izmanto </w:t>
            </w:r>
            <w:r w:rsidRPr="0055577F">
              <w:rPr>
                <w:color w:val="000000" w:themeColor="text1"/>
              </w:rPr>
              <w:t xml:space="preserve">atbilstošus </w:t>
            </w:r>
            <w:r w:rsidRPr="0055577F">
              <w:rPr>
                <w:color w:val="000000" w:themeColor="text1"/>
              </w:rPr>
              <w:t>pasākumu raksturojošos datus</w:t>
            </w:r>
            <w:r w:rsidRPr="0055577F">
              <w:rPr>
                <w:color w:val="000000" w:themeColor="text1"/>
              </w:rPr>
              <w:t xml:space="preserve"> (piemēram, esošais patērētais enerģijas apjoms, esošais saražotais enerģijas apjoms, plānotais saražojamais enerģijas apjoms, plānotais saražojamais enerģijas apjoms, piegādātais </w:t>
            </w:r>
            <w:r w:rsidRPr="0055577F" w:rsidR="008E0C36">
              <w:rPr>
                <w:color w:val="000000" w:themeColor="text1"/>
              </w:rPr>
              <w:t>enerģijas</w:t>
            </w:r>
            <w:r w:rsidRPr="0055577F">
              <w:rPr>
                <w:color w:val="000000" w:themeColor="text1"/>
              </w:rPr>
              <w:t xml:space="preserve"> apjoms, sadedzināšanas iekārtas lietderības koeficients, sadedzināšanas iekārtas darbības ilgums, globālās sasilšanas potenciāls, transportlīdzekļa nobraukums, degvielas patēriņš, degvielas blīvums, degvielas zemākais sadegšanas siltums, bioloģiski noārdāmo atkritumu daudzums), kas nepieciešami, lai veiktu šajos noteikumos </w:t>
            </w:r>
            <w:r w:rsidR="00F4773E">
              <w:rPr>
                <w:color w:val="000000" w:themeColor="text1"/>
              </w:rPr>
              <w:t xml:space="preserve">ietvertos </w:t>
            </w:r>
            <w:r w:rsidRPr="0055577F" w:rsidR="00CF1022">
              <w:rPr>
                <w:color w:val="000000" w:themeColor="text1"/>
              </w:rPr>
              <w:t>aprēķinus</w:t>
            </w:r>
            <w:r w:rsidRPr="0055577F">
              <w:rPr>
                <w:color w:val="000000" w:themeColor="text1"/>
              </w:rPr>
              <w:t>.</w:t>
            </w:r>
          </w:p>
          <w:p w:rsidR="00235000" w:rsidRPr="0055577F" w:rsidP="00903059" w14:paraId="269ADA7A" w14:textId="77777777">
            <w:pPr>
              <w:spacing w:before="0" w:after="0" w:line="240" w:lineRule="auto"/>
              <w:ind w:left="141" w:right="236"/>
              <w:outlineLvl w:val="0"/>
              <w:rPr>
                <w:color w:val="000000" w:themeColor="text1"/>
              </w:rPr>
            </w:pPr>
          </w:p>
          <w:p w:rsidR="00D727A7" w:rsidRPr="0055577F" w:rsidP="00732C4F" w14:paraId="3729122F" w14:textId="4CA035D2">
            <w:pPr>
              <w:spacing w:before="0" w:after="0" w:line="240" w:lineRule="auto"/>
              <w:ind w:left="141" w:right="236"/>
              <w:outlineLvl w:val="0"/>
              <w:rPr>
                <w:color w:val="000000" w:themeColor="text1"/>
              </w:rPr>
            </w:pPr>
            <w:r w:rsidRPr="0055577F">
              <w:rPr>
                <w:color w:val="000000" w:themeColor="text1"/>
              </w:rPr>
              <w:t>N</w:t>
            </w:r>
            <w:r w:rsidRPr="0055577F" w:rsidR="004E3368">
              <w:rPr>
                <w:color w:val="000000" w:themeColor="text1"/>
              </w:rPr>
              <w:t>oteikumu projekta</w:t>
            </w:r>
            <w:r w:rsidRPr="0055577F" w:rsidR="00732C4F">
              <w:rPr>
                <w:color w:val="000000" w:themeColor="text1"/>
              </w:rPr>
              <w:t xml:space="preserve"> 1</w:t>
            </w:r>
            <w:r w:rsidR="005C62E6">
              <w:rPr>
                <w:color w:val="000000" w:themeColor="text1"/>
              </w:rPr>
              <w:t>2</w:t>
            </w:r>
            <w:r w:rsidRPr="0055577F" w:rsidR="00732C4F">
              <w:rPr>
                <w:color w:val="000000" w:themeColor="text1"/>
              </w:rPr>
              <w:t xml:space="preserve">.1. apakšpunkts paredz, ka centralizētās </w:t>
            </w:r>
            <w:r w:rsidRPr="0055577F" w:rsidR="00732C4F">
              <w:rPr>
                <w:color w:val="000000" w:themeColor="text1"/>
              </w:rPr>
              <w:t>siltumapgādes sistēmas operators un lokālās siltumapgādes sistēmas operators katru gadu aprēķina CO</w:t>
            </w:r>
            <w:r w:rsidRPr="0055577F" w:rsidR="00732C4F">
              <w:rPr>
                <w:color w:val="000000" w:themeColor="text1"/>
                <w:vertAlign w:val="subscript"/>
              </w:rPr>
              <w:t>2</w:t>
            </w:r>
            <w:r w:rsidRPr="0055577F" w:rsidR="00732C4F">
              <w:rPr>
                <w:color w:val="000000" w:themeColor="text1"/>
              </w:rPr>
              <w:t xml:space="preserve"> emisijas faktoru saražotajai siltumenerģijai</w:t>
            </w:r>
            <w:r w:rsidRPr="0055577F" w:rsidR="00732C4F">
              <w:rPr>
                <w:color w:val="000000" w:themeColor="text1"/>
              </w:rPr>
              <w:t xml:space="preserve"> </w:t>
            </w:r>
            <w:r w:rsidRPr="0055577F" w:rsidR="00732C4F">
              <w:rPr>
                <w:color w:val="000000" w:themeColor="text1"/>
              </w:rPr>
              <w:t>un līdz kārtējā gada 31. janvārim publicē tā vērtību savā tīmekļvietnē vai izsniedz tā vērtību pēc siltumenerģijas lietotāja pieprasījuma. Savukārt</w:t>
            </w:r>
            <w:r w:rsidRPr="0055577F" w:rsidR="004E3368">
              <w:rPr>
                <w:color w:val="000000" w:themeColor="text1"/>
              </w:rPr>
              <w:t xml:space="preserve"> </w:t>
            </w:r>
            <w:r w:rsidRPr="0055577F" w:rsidR="00732C4F">
              <w:rPr>
                <w:color w:val="000000" w:themeColor="text1"/>
              </w:rPr>
              <w:t xml:space="preserve">noteikumu projekta </w:t>
            </w:r>
            <w:r w:rsidRPr="0055577F" w:rsidR="000E13A2">
              <w:rPr>
                <w:color w:val="000000" w:themeColor="text1"/>
              </w:rPr>
              <w:t>1</w:t>
            </w:r>
            <w:r w:rsidR="005C62E6">
              <w:rPr>
                <w:color w:val="000000" w:themeColor="text1"/>
              </w:rPr>
              <w:t>2</w:t>
            </w:r>
            <w:r w:rsidRPr="0055577F" w:rsidR="004E3368">
              <w:rPr>
                <w:color w:val="000000" w:themeColor="text1"/>
              </w:rPr>
              <w:t>.</w:t>
            </w:r>
            <w:r w:rsidRPr="0055577F" w:rsidR="00732C4F">
              <w:rPr>
                <w:color w:val="000000" w:themeColor="text1"/>
              </w:rPr>
              <w:t>2.</w:t>
            </w:r>
            <w:r w:rsidRPr="0055577F" w:rsidR="004E3368">
              <w:rPr>
                <w:color w:val="000000" w:themeColor="text1"/>
              </w:rPr>
              <w:t> </w:t>
            </w:r>
            <w:r w:rsidRPr="0055577F" w:rsidR="00732C4F">
              <w:rPr>
                <w:color w:val="000000" w:themeColor="text1"/>
              </w:rPr>
              <w:t>apakš</w:t>
            </w:r>
            <w:r w:rsidRPr="0055577F" w:rsidR="004E3368">
              <w:rPr>
                <w:color w:val="000000" w:themeColor="text1"/>
              </w:rPr>
              <w:t xml:space="preserve">punkts paredz, ka </w:t>
            </w:r>
            <w:r w:rsidRPr="0055577F" w:rsidR="00C86B67">
              <w:rPr>
                <w:color w:val="000000" w:themeColor="text1"/>
              </w:rPr>
              <w:t xml:space="preserve">Vides aizsardzības un reģionālās attīstības ministrija </w:t>
            </w:r>
            <w:r w:rsidRPr="0055577F" w:rsidR="00B144A0">
              <w:rPr>
                <w:color w:val="000000" w:themeColor="text1"/>
              </w:rPr>
              <w:t xml:space="preserve">aprēķina, </w:t>
            </w:r>
            <w:r w:rsidRPr="0055577F" w:rsidR="00C86B67">
              <w:rPr>
                <w:color w:val="000000" w:themeColor="text1"/>
              </w:rPr>
              <w:t>apstiprina un publicē savā tīmekļvietnē</w:t>
            </w:r>
            <w:r w:rsidRPr="0055577F" w:rsidR="004E3368">
              <w:rPr>
                <w:color w:val="000000" w:themeColor="text1"/>
              </w:rPr>
              <w:t xml:space="preserve"> CO</w:t>
            </w:r>
            <w:r w:rsidRPr="0055577F" w:rsidR="004E3368">
              <w:rPr>
                <w:color w:val="000000" w:themeColor="text1"/>
                <w:vertAlign w:val="subscript"/>
              </w:rPr>
              <w:t>2</w:t>
            </w:r>
            <w:r w:rsidRPr="0055577F" w:rsidR="004E3368">
              <w:rPr>
                <w:color w:val="000000" w:themeColor="text1"/>
              </w:rPr>
              <w:t xml:space="preserve"> emisijas faktoru Latvijā saražotai siltumenerģijai katlumājās un koģenerācijas stacijās</w:t>
            </w:r>
            <w:r w:rsidRPr="0055577F" w:rsidR="00C86B67">
              <w:rPr>
                <w:color w:val="000000" w:themeColor="text1"/>
              </w:rPr>
              <w:t>, kā arī</w:t>
            </w:r>
            <w:r w:rsidRPr="0055577F" w:rsidR="004E3368">
              <w:rPr>
                <w:color w:val="000000" w:themeColor="text1"/>
              </w:rPr>
              <w:t xml:space="preserve"> CO</w:t>
            </w:r>
            <w:r w:rsidRPr="0055577F" w:rsidR="004E3368">
              <w:rPr>
                <w:color w:val="000000" w:themeColor="text1"/>
                <w:vertAlign w:val="subscript"/>
              </w:rPr>
              <w:t>2</w:t>
            </w:r>
            <w:r w:rsidRPr="0055577F" w:rsidR="004E3368">
              <w:rPr>
                <w:color w:val="000000" w:themeColor="text1"/>
              </w:rPr>
              <w:t xml:space="preserve"> emisijas faktoru Latvijā saražotai elektroenerģijai</w:t>
            </w:r>
            <w:r w:rsidRPr="0055577F" w:rsidR="00C86B67">
              <w:rPr>
                <w:color w:val="000000" w:themeColor="text1"/>
              </w:rPr>
              <w:t xml:space="preserve">. Minētie emisijas faktori šobrīd netiek regulāri aprēķināti, bet ir būtiski, lai novērtētu īstenoto projektu ietekmi uz klimata pārmaiņām. </w:t>
            </w:r>
            <w:r w:rsidRPr="0055577F" w:rsidR="00A568D6">
              <w:rPr>
                <w:color w:val="000000" w:themeColor="text1"/>
              </w:rPr>
              <w:t xml:space="preserve">Saskaņā ar </w:t>
            </w:r>
            <w:r w:rsidRPr="0055577F" w:rsidR="0080356F">
              <w:rPr>
                <w:color w:val="000000" w:themeColor="text1"/>
              </w:rPr>
              <w:t>Vides aizsardzības un reģionālās attīstības ministrija</w:t>
            </w:r>
            <w:r w:rsidR="001870DC">
              <w:rPr>
                <w:color w:val="000000" w:themeColor="text1"/>
              </w:rPr>
              <w:t>s</w:t>
            </w:r>
            <w:r w:rsidRPr="0055577F" w:rsidR="0080356F">
              <w:rPr>
                <w:color w:val="000000" w:themeColor="text1"/>
              </w:rPr>
              <w:t xml:space="preserve"> </w:t>
            </w:r>
            <w:r w:rsidRPr="0055577F" w:rsidR="002036C6">
              <w:rPr>
                <w:color w:val="000000" w:themeColor="text1"/>
              </w:rPr>
              <w:t xml:space="preserve"> </w:t>
            </w:r>
            <w:r w:rsidRPr="0055577F" w:rsidR="00A568D6">
              <w:rPr>
                <w:color w:val="000000" w:themeColor="text1"/>
              </w:rPr>
              <w:t>nolikumu</w:t>
            </w:r>
            <w:r w:rsidR="0080356F">
              <w:rPr>
                <w:color w:val="000000" w:themeColor="text1"/>
              </w:rPr>
              <w:t xml:space="preserve"> </w:t>
            </w:r>
            <w:r w:rsidRPr="0055577F" w:rsidR="0080356F">
              <w:rPr>
                <w:color w:val="000000" w:themeColor="text1"/>
              </w:rPr>
              <w:t>Vides aizsardzības un reģionālās attīstības ministrija</w:t>
            </w:r>
            <w:r w:rsidRPr="0055577F" w:rsidR="0080356F">
              <w:rPr>
                <w:color w:val="000000" w:themeColor="text1"/>
              </w:rPr>
              <w:t xml:space="preserve"> </w:t>
            </w:r>
            <w:r w:rsidRPr="0055577F" w:rsidR="00A568D6">
              <w:rPr>
                <w:color w:val="000000" w:themeColor="text1"/>
              </w:rPr>
              <w:t xml:space="preserve"> ir kompetentā iestāde klimata politikas jomā</w:t>
            </w:r>
            <w:r w:rsidRPr="0055577F" w:rsidR="00EE0150">
              <w:rPr>
                <w:color w:val="000000" w:themeColor="text1"/>
              </w:rPr>
              <w:t xml:space="preserve">, t.sk. klimata mērķu sasniegšanas nodrošināšanā. </w:t>
            </w:r>
            <w:r w:rsidRPr="0055577F" w:rsidR="00F840A5">
              <w:rPr>
                <w:color w:val="000000" w:themeColor="text1"/>
              </w:rPr>
              <w:t>Līdz ar to ir b</w:t>
            </w:r>
            <w:r w:rsidRPr="0055577F" w:rsidR="003E550D">
              <w:rPr>
                <w:color w:val="000000" w:themeColor="text1"/>
              </w:rPr>
              <w:t>ūtiski, lai visas iesaistītas puses, kuras īsteno pasākumus ņem vērā ietekmi uz klimata pārmaiņām.</w:t>
            </w:r>
            <w:r w:rsidRPr="0055577F" w:rsidR="00815D15">
              <w:rPr>
                <w:color w:val="000000" w:themeColor="text1"/>
              </w:rPr>
              <w:t xml:space="preserve"> Papildus tam, jau šobrīd </w:t>
            </w:r>
            <w:r w:rsidRPr="0055577F" w:rsidR="0080356F">
              <w:rPr>
                <w:color w:val="000000" w:themeColor="text1"/>
              </w:rPr>
              <w:t>Vides aizsardzības un reģionālās attīstības ministrija</w:t>
            </w:r>
            <w:r w:rsidRPr="0055577F" w:rsidR="0080356F">
              <w:rPr>
                <w:color w:val="000000" w:themeColor="text1"/>
              </w:rPr>
              <w:t xml:space="preserve"> </w:t>
            </w:r>
            <w:r w:rsidRPr="0055577F" w:rsidR="00815D15">
              <w:rPr>
                <w:color w:val="000000" w:themeColor="text1"/>
              </w:rPr>
              <w:t xml:space="preserve"> kompetencē ir </w:t>
            </w:r>
            <w:r w:rsidRPr="0055577F" w:rsidR="00775333">
              <w:rPr>
                <w:rStyle w:val="Hyperlink"/>
                <w:color w:val="000000" w:themeColor="text1"/>
                <w:u w:val="none"/>
                <w:shd w:val="clear" w:color="auto" w:fill="FFFFFF"/>
              </w:rPr>
              <w:t>Regula</w:t>
            </w:r>
            <w:r w:rsidRPr="0055577F">
              <w:rPr>
                <w:rStyle w:val="Hyperlink"/>
                <w:color w:val="000000" w:themeColor="text1"/>
                <w:u w:val="none"/>
                <w:shd w:val="clear" w:color="auto" w:fill="FFFFFF"/>
              </w:rPr>
              <w:t>s</w:t>
            </w:r>
            <w:r w:rsidRPr="0055577F" w:rsidR="00775333">
              <w:rPr>
                <w:rStyle w:val="Hyperlink"/>
                <w:color w:val="000000" w:themeColor="text1"/>
                <w:u w:val="none"/>
                <w:shd w:val="clear" w:color="auto" w:fill="FFFFFF"/>
              </w:rPr>
              <w:t xml:space="preserve"> Nr.</w:t>
            </w:r>
            <w:r w:rsidR="00902018">
              <w:rPr>
                <w:rStyle w:val="Hyperlink"/>
                <w:color w:val="000000" w:themeColor="text1"/>
                <w:u w:val="none"/>
                <w:shd w:val="clear" w:color="auto" w:fill="FFFFFF"/>
              </w:rPr>
              <w:t> </w:t>
            </w:r>
            <w:r w:rsidRPr="0055577F" w:rsidR="00775333">
              <w:rPr>
                <w:rStyle w:val="Hyperlink"/>
                <w:color w:val="000000" w:themeColor="text1"/>
                <w:u w:val="none"/>
                <w:shd w:val="clear" w:color="auto" w:fill="FFFFFF"/>
              </w:rPr>
              <w:t>601/2012</w:t>
            </w:r>
            <w:r w:rsidRPr="0055577F">
              <w:rPr>
                <w:rStyle w:val="Hyperlink"/>
                <w:color w:val="000000" w:themeColor="text1"/>
                <w:u w:val="none"/>
                <w:shd w:val="clear" w:color="auto" w:fill="FFFFFF"/>
              </w:rPr>
              <w:t xml:space="preserve"> īstenošana</w:t>
            </w:r>
            <w:r w:rsidRPr="0055577F" w:rsidR="00815D15">
              <w:rPr>
                <w:color w:val="000000" w:themeColor="text1"/>
              </w:rPr>
              <w:t>, kurā ir noteikti emisijas faktori dažādiem kurināmā veidiem.</w:t>
            </w:r>
          </w:p>
          <w:p w:rsidR="00BB0D77" w:rsidRPr="0055577F" w:rsidP="00732C4F" w14:paraId="4ADE6063" w14:textId="7FB594B3">
            <w:pPr>
              <w:spacing w:before="0" w:after="0" w:line="240" w:lineRule="auto"/>
              <w:ind w:left="141" w:right="236"/>
              <w:outlineLvl w:val="0"/>
              <w:rPr>
                <w:color w:val="000000" w:themeColor="text1"/>
              </w:rPr>
            </w:pPr>
            <w:r w:rsidRPr="0055577F">
              <w:rPr>
                <w:color w:val="000000" w:themeColor="text1"/>
              </w:rPr>
              <w:t>Šo noteikumu III</w:t>
            </w:r>
            <w:r w:rsidR="00910F75">
              <w:rPr>
                <w:color w:val="000000" w:themeColor="text1"/>
              </w:rPr>
              <w:t>.</w:t>
            </w:r>
            <w:r w:rsidRPr="0055577F">
              <w:rPr>
                <w:color w:val="000000" w:themeColor="text1"/>
              </w:rPr>
              <w:t xml:space="preserve"> nodaļas 3</w:t>
            </w:r>
            <w:r w:rsidR="00E63BC1">
              <w:rPr>
                <w:color w:val="000000" w:themeColor="text1"/>
              </w:rPr>
              <w:t>3</w:t>
            </w:r>
            <w:r w:rsidRPr="0055577F">
              <w:rPr>
                <w:color w:val="000000" w:themeColor="text1"/>
              </w:rPr>
              <w:t>.</w:t>
            </w:r>
            <w:r w:rsidRPr="0055577F" w:rsidR="00D134EA">
              <w:rPr>
                <w:color w:val="000000" w:themeColor="text1"/>
              </w:rPr>
              <w:t> </w:t>
            </w:r>
            <w:r w:rsidRPr="0055577F">
              <w:rPr>
                <w:color w:val="000000" w:themeColor="text1"/>
              </w:rPr>
              <w:t xml:space="preserve">punktā minēto pasākumu par koģenerācijas stacijas uzstādīšanu SEG emisiju apjoma izmaiņu aprēķinu veic </w:t>
            </w:r>
            <w:r w:rsidRPr="0055577F" w:rsidR="00D134EA">
              <w:rPr>
                <w:color w:val="000000" w:themeColor="text1"/>
              </w:rPr>
              <w:t>ņemot vērā</w:t>
            </w:r>
            <w:r w:rsidRPr="0055577F">
              <w:rPr>
                <w:color w:val="000000" w:themeColor="text1"/>
              </w:rPr>
              <w:t xml:space="preserve"> šo noteikumu 2</w:t>
            </w:r>
            <w:r w:rsidR="00EB1CB6">
              <w:rPr>
                <w:color w:val="000000" w:themeColor="text1"/>
              </w:rPr>
              <w:t>2</w:t>
            </w:r>
            <w:r w:rsidRPr="0055577F">
              <w:rPr>
                <w:color w:val="000000" w:themeColor="text1"/>
              </w:rPr>
              <w:t>.</w:t>
            </w:r>
            <w:r w:rsidR="0080356F">
              <w:rPr>
                <w:color w:val="000000" w:themeColor="text1"/>
              </w:rPr>
              <w:t> </w:t>
            </w:r>
            <w:r w:rsidRPr="0055577F">
              <w:rPr>
                <w:color w:val="000000" w:themeColor="text1"/>
              </w:rPr>
              <w:t>punktā definēt</w:t>
            </w:r>
            <w:r w:rsidRPr="0055577F" w:rsidR="00D134EA">
              <w:rPr>
                <w:color w:val="000000" w:themeColor="text1"/>
              </w:rPr>
              <w:t>os</w:t>
            </w:r>
            <w:r w:rsidRPr="0055577F">
              <w:rPr>
                <w:color w:val="000000" w:themeColor="text1"/>
              </w:rPr>
              <w:t xml:space="preserve"> gadījum</w:t>
            </w:r>
            <w:r w:rsidRPr="0055577F" w:rsidR="00D134EA">
              <w:rPr>
                <w:color w:val="000000" w:themeColor="text1"/>
              </w:rPr>
              <w:t>us</w:t>
            </w:r>
            <w:r w:rsidRPr="0055577F">
              <w:rPr>
                <w:color w:val="000000" w:themeColor="text1"/>
              </w:rPr>
              <w:t xml:space="preserve">, piemērojot attiecīgo aprēķina formulu un SEG emisiju apjoma aprēķinu veicot atsevišķi par saražotās siltumenerģijas un </w:t>
            </w:r>
            <w:r w:rsidRPr="0055577F" w:rsidR="00D134EA">
              <w:rPr>
                <w:color w:val="000000" w:themeColor="text1"/>
              </w:rPr>
              <w:t xml:space="preserve">saražotās </w:t>
            </w:r>
            <w:r w:rsidRPr="0055577F">
              <w:rPr>
                <w:color w:val="000000" w:themeColor="text1"/>
              </w:rPr>
              <w:t xml:space="preserve">elektroenerģijas daudzumu. Piemēram, ja </w:t>
            </w:r>
            <w:r w:rsidRPr="0055577F" w:rsidR="00D134EA">
              <w:rPr>
                <w:color w:val="000000" w:themeColor="text1"/>
              </w:rPr>
              <w:t xml:space="preserve">esošas fosilos energoresursus izmantojošas stacijas vietā </w:t>
            </w:r>
            <w:r w:rsidRPr="0055577F">
              <w:rPr>
                <w:color w:val="000000" w:themeColor="text1"/>
              </w:rPr>
              <w:t>plānots uzstādīt atjaunojamos energoresursus izmantojošu koģenerācijas staciju, kas saražoto siltumenerģiju plāno piegādāt pašvaldībai siltumapgādes nodrošināšanai un saražoto elektroenerģiju nodot elektrotīklā, tad SEG emisiju apjoma aprē</w:t>
            </w:r>
            <w:r w:rsidRPr="0055577F" w:rsidR="000D79CA">
              <w:rPr>
                <w:color w:val="000000" w:themeColor="text1"/>
              </w:rPr>
              <w:t>ķinu veic</w:t>
            </w:r>
            <w:r w:rsidRPr="0055577F">
              <w:rPr>
                <w:color w:val="000000" w:themeColor="text1"/>
              </w:rPr>
              <w:t xml:space="preserve"> </w:t>
            </w:r>
            <w:r w:rsidRPr="0055577F" w:rsidR="00D134EA">
              <w:rPr>
                <w:color w:val="000000" w:themeColor="text1"/>
              </w:rPr>
              <w:t>atbilstoši</w:t>
            </w:r>
            <w:r w:rsidRPr="0055577F" w:rsidR="000D79CA">
              <w:rPr>
                <w:color w:val="000000" w:themeColor="text1"/>
              </w:rPr>
              <w:t xml:space="preserve"> šo noteikumu 2</w:t>
            </w:r>
            <w:r w:rsidR="00EB1CB6">
              <w:rPr>
                <w:color w:val="000000" w:themeColor="text1"/>
              </w:rPr>
              <w:t>2</w:t>
            </w:r>
            <w:r w:rsidRPr="0055577F" w:rsidR="000D79CA">
              <w:rPr>
                <w:color w:val="000000" w:themeColor="text1"/>
              </w:rPr>
              <w:t>.1. un 2</w:t>
            </w:r>
            <w:r w:rsidR="00EB1CB6">
              <w:rPr>
                <w:color w:val="000000" w:themeColor="text1"/>
              </w:rPr>
              <w:t>2</w:t>
            </w:r>
            <w:r w:rsidRPr="0055577F" w:rsidR="000D79CA">
              <w:rPr>
                <w:color w:val="000000" w:themeColor="text1"/>
              </w:rPr>
              <w:t>.7.</w:t>
            </w:r>
            <w:r w:rsidR="00902018">
              <w:rPr>
                <w:color w:val="000000" w:themeColor="text1"/>
              </w:rPr>
              <w:t> </w:t>
            </w:r>
            <w:r w:rsidRPr="0055577F" w:rsidR="00D134EA">
              <w:rPr>
                <w:color w:val="000000" w:themeColor="text1"/>
              </w:rPr>
              <w:t>apakš</w:t>
            </w:r>
            <w:r w:rsidRPr="0055577F" w:rsidR="000D79CA">
              <w:rPr>
                <w:color w:val="000000" w:themeColor="text1"/>
              </w:rPr>
              <w:t>punkt</w:t>
            </w:r>
            <w:r w:rsidRPr="0055577F" w:rsidR="00D134EA">
              <w:rPr>
                <w:color w:val="000000" w:themeColor="text1"/>
              </w:rPr>
              <w:t>am,</w:t>
            </w:r>
            <w:r w:rsidRPr="0055577F" w:rsidR="000D79CA">
              <w:rPr>
                <w:color w:val="000000" w:themeColor="text1"/>
              </w:rPr>
              <w:t xml:space="preserve"> izmantojot šo noteikumu 2</w:t>
            </w:r>
            <w:r w:rsidR="00EB1CB6">
              <w:rPr>
                <w:color w:val="000000" w:themeColor="text1"/>
              </w:rPr>
              <w:t>3</w:t>
            </w:r>
            <w:r w:rsidRPr="0055577F" w:rsidR="000D79CA">
              <w:rPr>
                <w:color w:val="000000" w:themeColor="text1"/>
              </w:rPr>
              <w:t>.</w:t>
            </w:r>
            <w:r w:rsidRPr="0055577F" w:rsidR="007F6E8A">
              <w:rPr>
                <w:color w:val="000000" w:themeColor="text1"/>
              </w:rPr>
              <w:t>, 2</w:t>
            </w:r>
            <w:r w:rsidR="00EB1CB6">
              <w:rPr>
                <w:color w:val="000000" w:themeColor="text1"/>
              </w:rPr>
              <w:t>5</w:t>
            </w:r>
            <w:r w:rsidRPr="0055577F" w:rsidR="007F6E8A">
              <w:rPr>
                <w:color w:val="000000" w:themeColor="text1"/>
              </w:rPr>
              <w:t>.</w:t>
            </w:r>
            <w:r w:rsidRPr="0055577F" w:rsidR="000D79CA">
              <w:rPr>
                <w:color w:val="000000" w:themeColor="text1"/>
              </w:rPr>
              <w:t xml:space="preserve"> un 3</w:t>
            </w:r>
            <w:r w:rsidR="00EB1CB6">
              <w:rPr>
                <w:color w:val="000000" w:themeColor="text1"/>
              </w:rPr>
              <w:t>2</w:t>
            </w:r>
            <w:r w:rsidRPr="0055577F" w:rsidR="000D79CA">
              <w:rPr>
                <w:color w:val="000000" w:themeColor="text1"/>
              </w:rPr>
              <w:t>.</w:t>
            </w:r>
            <w:r w:rsidR="00902018">
              <w:rPr>
                <w:color w:val="000000" w:themeColor="text1"/>
              </w:rPr>
              <w:t> </w:t>
            </w:r>
            <w:r w:rsidRPr="0055577F" w:rsidR="000D79CA">
              <w:rPr>
                <w:color w:val="000000" w:themeColor="text1"/>
              </w:rPr>
              <w:t>punktā minētās formulas par saražoto siltumenerģijas apjomu un 3</w:t>
            </w:r>
            <w:r w:rsidR="00EB1CB6">
              <w:rPr>
                <w:color w:val="000000" w:themeColor="text1"/>
              </w:rPr>
              <w:t>1</w:t>
            </w:r>
            <w:r w:rsidRPr="0055577F" w:rsidR="000D79CA">
              <w:rPr>
                <w:color w:val="000000" w:themeColor="text1"/>
              </w:rPr>
              <w:t>.</w:t>
            </w:r>
            <w:r w:rsidR="00902018">
              <w:rPr>
                <w:color w:val="000000" w:themeColor="text1"/>
              </w:rPr>
              <w:t> </w:t>
            </w:r>
            <w:r w:rsidRPr="0055577F" w:rsidR="000D79CA">
              <w:rPr>
                <w:color w:val="000000" w:themeColor="text1"/>
              </w:rPr>
              <w:t>punktā minēto formulu par saražoto elektroenerģijas apjomu.</w:t>
            </w:r>
          </w:p>
          <w:p w:rsidR="00102767" w:rsidRPr="0055577F" w:rsidP="002B5A83" w14:paraId="51BB4FBD" w14:textId="1EC0861F">
            <w:pPr>
              <w:ind w:left="141" w:right="236"/>
              <w:rPr>
                <w:rFonts w:eastAsiaTheme="minorEastAsia"/>
                <w:color w:val="000000" w:themeColor="text1"/>
              </w:rPr>
            </w:pPr>
            <w:r w:rsidRPr="0055577F">
              <w:rPr>
                <w:rFonts w:eastAsiaTheme="minorEastAsia"/>
                <w:color w:val="000000" w:themeColor="text1"/>
              </w:rPr>
              <w:t>Noteikumu projekta 2.</w:t>
            </w:r>
            <w:r w:rsidRPr="0055577F" w:rsidR="002B5A83">
              <w:rPr>
                <w:rFonts w:eastAsiaTheme="minorEastAsia"/>
                <w:color w:val="000000" w:themeColor="text1"/>
              </w:rPr>
              <w:t> </w:t>
            </w:r>
            <w:r w:rsidRPr="0055577F">
              <w:rPr>
                <w:rFonts w:eastAsiaTheme="minorEastAsia"/>
                <w:color w:val="000000" w:themeColor="text1"/>
              </w:rPr>
              <w:t xml:space="preserve">pielikuma </w:t>
            </w:r>
            <w:r w:rsidRPr="0055577F" w:rsidR="00362C4C">
              <w:rPr>
                <w:rFonts w:eastAsiaTheme="minorEastAsia"/>
                <w:color w:val="000000" w:themeColor="text1"/>
              </w:rPr>
              <w:t>3.</w:t>
            </w:r>
            <w:r w:rsidRPr="0055577F" w:rsidR="002B5A83">
              <w:rPr>
                <w:rFonts w:eastAsiaTheme="minorEastAsia"/>
                <w:color w:val="000000" w:themeColor="text1"/>
              </w:rPr>
              <w:t> </w:t>
            </w:r>
            <w:r w:rsidRPr="0055577F" w:rsidR="00362C4C">
              <w:rPr>
                <w:rFonts w:eastAsiaTheme="minorEastAsia"/>
                <w:color w:val="000000" w:themeColor="text1"/>
              </w:rPr>
              <w:t>punktā norādītā informācija par kurināmās koksnes mitruma un kurināmā darba masas zemāko sadegšanas siltuma vērtībām sagatavota</w:t>
            </w:r>
            <w:r w:rsidR="00902018">
              <w:rPr>
                <w:rFonts w:eastAsiaTheme="minorEastAsia"/>
                <w:color w:val="000000" w:themeColor="text1"/>
              </w:rPr>
              <w:t>,</w:t>
            </w:r>
            <w:r w:rsidRPr="0055577F" w:rsidR="00362C4C">
              <w:rPr>
                <w:rFonts w:eastAsiaTheme="minorEastAsia"/>
                <w:color w:val="000000" w:themeColor="text1"/>
              </w:rPr>
              <w:t xml:space="preserve"> pamatojoties uz J.</w:t>
            </w:r>
            <w:r w:rsidR="00902018">
              <w:rPr>
                <w:rFonts w:eastAsiaTheme="minorEastAsia"/>
                <w:color w:val="000000" w:themeColor="text1"/>
              </w:rPr>
              <w:t> </w:t>
            </w:r>
            <w:r w:rsidRPr="0055577F" w:rsidR="00362C4C">
              <w:rPr>
                <w:rFonts w:eastAsiaTheme="minorEastAsia"/>
                <w:color w:val="000000" w:themeColor="text1"/>
              </w:rPr>
              <w:t>Kalnača, D.</w:t>
            </w:r>
            <w:r w:rsidR="00902018">
              <w:rPr>
                <w:rFonts w:eastAsiaTheme="minorEastAsia"/>
                <w:color w:val="000000" w:themeColor="text1"/>
              </w:rPr>
              <w:t> </w:t>
            </w:r>
            <w:r w:rsidRPr="0055577F" w:rsidR="00362C4C">
              <w:rPr>
                <w:rFonts w:eastAsiaTheme="minorEastAsia"/>
                <w:color w:val="000000" w:themeColor="text1"/>
              </w:rPr>
              <w:t>Āriņas, A.</w:t>
            </w:r>
            <w:r w:rsidR="00902018">
              <w:rPr>
                <w:rFonts w:eastAsiaTheme="minorEastAsia"/>
                <w:color w:val="000000" w:themeColor="text1"/>
              </w:rPr>
              <w:t> </w:t>
            </w:r>
            <w:r w:rsidRPr="0055577F" w:rsidR="00362C4C">
              <w:rPr>
                <w:rFonts w:eastAsiaTheme="minorEastAsia"/>
                <w:color w:val="000000" w:themeColor="text1"/>
              </w:rPr>
              <w:t>Murašova, A.</w:t>
            </w:r>
            <w:r w:rsidR="00902018">
              <w:rPr>
                <w:rFonts w:eastAsiaTheme="minorEastAsia"/>
                <w:color w:val="000000" w:themeColor="text1"/>
              </w:rPr>
              <w:t> </w:t>
            </w:r>
            <w:r w:rsidRPr="0055577F" w:rsidR="00362C4C">
              <w:rPr>
                <w:rFonts w:eastAsiaTheme="minorEastAsia"/>
                <w:color w:val="000000" w:themeColor="text1"/>
              </w:rPr>
              <w:t>Kalnača, D.</w:t>
            </w:r>
            <w:r w:rsidR="00902018">
              <w:rPr>
                <w:rFonts w:eastAsiaTheme="minorEastAsia"/>
                <w:color w:val="000000" w:themeColor="text1"/>
              </w:rPr>
              <w:t> </w:t>
            </w:r>
            <w:r w:rsidRPr="0055577F" w:rsidR="00362C4C">
              <w:rPr>
                <w:rFonts w:eastAsiaTheme="minorEastAsia"/>
                <w:color w:val="000000" w:themeColor="text1"/>
              </w:rPr>
              <w:t>Grigales veikto pētījumu “Oglekļa noteikšana un oglekļa dioksīda emisiju faktoru aprēķināšana Latvijā biežāk izmantotajiem kurināmā veidiem” (Rīga, 2017.</w:t>
            </w:r>
            <w:r w:rsidR="00902018">
              <w:rPr>
                <w:rFonts w:eastAsiaTheme="minorEastAsia"/>
                <w:color w:val="000000" w:themeColor="text1"/>
              </w:rPr>
              <w:t> </w:t>
            </w:r>
            <w:r w:rsidRPr="0055577F" w:rsidR="00362C4C">
              <w:rPr>
                <w:rFonts w:eastAsiaTheme="minorEastAsia"/>
                <w:color w:val="000000" w:themeColor="text1"/>
              </w:rPr>
              <w:t xml:space="preserve">gads). </w:t>
            </w:r>
            <w:r w:rsidRPr="0055577F" w:rsidR="000A34F7">
              <w:rPr>
                <w:rFonts w:eastAsiaTheme="minorEastAsia"/>
                <w:color w:val="000000" w:themeColor="text1"/>
              </w:rPr>
              <w:t>Noteikumu projekta 2.</w:t>
            </w:r>
            <w:r w:rsidRPr="0055577F" w:rsidR="002B5A83">
              <w:rPr>
                <w:rFonts w:eastAsiaTheme="minorEastAsia"/>
                <w:color w:val="000000" w:themeColor="text1"/>
              </w:rPr>
              <w:t> </w:t>
            </w:r>
            <w:r w:rsidRPr="0055577F" w:rsidR="000A34F7">
              <w:rPr>
                <w:rFonts w:eastAsiaTheme="minorEastAsia"/>
                <w:color w:val="000000" w:themeColor="text1"/>
              </w:rPr>
              <w:t>pielikuma 4. un 5.</w:t>
            </w:r>
            <w:r w:rsidR="00902018">
              <w:rPr>
                <w:rFonts w:eastAsiaTheme="minorEastAsia"/>
                <w:color w:val="000000" w:themeColor="text1"/>
              </w:rPr>
              <w:t> </w:t>
            </w:r>
            <w:r w:rsidRPr="0055577F" w:rsidR="000A34F7">
              <w:rPr>
                <w:rFonts w:eastAsiaTheme="minorEastAsia"/>
                <w:color w:val="000000" w:themeColor="text1"/>
              </w:rPr>
              <w:t>punkts sagatavots</w:t>
            </w:r>
            <w:r w:rsidR="00902018">
              <w:rPr>
                <w:rFonts w:eastAsiaTheme="minorEastAsia"/>
                <w:color w:val="000000" w:themeColor="text1"/>
              </w:rPr>
              <w:t>,</w:t>
            </w:r>
            <w:r w:rsidRPr="0055577F" w:rsidR="000A34F7">
              <w:rPr>
                <w:rFonts w:eastAsiaTheme="minorEastAsia"/>
                <w:color w:val="000000" w:themeColor="text1"/>
              </w:rPr>
              <w:t xml:space="preserve"> izmantojot D.</w:t>
            </w:r>
            <w:r w:rsidR="00902018">
              <w:rPr>
                <w:rFonts w:eastAsiaTheme="minorEastAsia"/>
                <w:color w:val="000000" w:themeColor="text1"/>
              </w:rPr>
              <w:t> </w:t>
            </w:r>
            <w:r w:rsidRPr="0055577F" w:rsidR="000A34F7">
              <w:rPr>
                <w:rFonts w:eastAsiaTheme="minorEastAsia"/>
                <w:color w:val="000000" w:themeColor="text1"/>
              </w:rPr>
              <w:t>Blumbergas redakcijā iz</w:t>
            </w:r>
            <w:r w:rsidR="00910F75">
              <w:rPr>
                <w:rFonts w:eastAsiaTheme="minorEastAsia"/>
                <w:color w:val="000000" w:themeColor="text1"/>
              </w:rPr>
              <w:t>strādātās</w:t>
            </w:r>
            <w:r w:rsidRPr="0055577F" w:rsidR="000A34F7">
              <w:rPr>
                <w:rFonts w:eastAsiaTheme="minorEastAsia"/>
                <w:color w:val="000000" w:themeColor="text1"/>
              </w:rPr>
              <w:t xml:space="preserve"> grāmatas “Bioenerģijas tehnoloģijas” (Rīga, 2011. gads) ietverto informāciju.</w:t>
            </w:r>
          </w:p>
          <w:p w:rsidR="009F4F08" w:rsidRPr="0055577F" w:rsidP="00102767" w14:paraId="1F2F4217" w14:textId="1CA52282">
            <w:pPr>
              <w:ind w:right="236"/>
              <w:rPr>
                <w:color w:val="000000" w:themeColor="text1"/>
              </w:rPr>
            </w:pPr>
          </w:p>
        </w:tc>
      </w:tr>
      <w:tr w14:paraId="3210720C" w14:textId="77777777" w:rsidTr="00464AFB">
        <w:tblPrEx>
          <w:tblW w:w="9455" w:type="dxa"/>
          <w:tblCellMar>
            <w:left w:w="0" w:type="dxa"/>
            <w:right w:w="0" w:type="dxa"/>
          </w:tblCellMar>
          <w:tblLook w:val="0000"/>
        </w:tblPrEx>
        <w:trPr>
          <w:trHeight w:val="476"/>
        </w:trPr>
        <w:tc>
          <w:tcPr>
            <w:tcW w:w="550" w:type="dxa"/>
          </w:tcPr>
          <w:p w:rsidR="0067267D" w:rsidRPr="0055577F" w14:paraId="762E7F96" w14:textId="55CD1C1E">
            <w:pPr>
              <w:pStyle w:val="naiskr"/>
              <w:spacing w:before="0" w:after="0"/>
              <w:rPr>
                <w:color w:val="000000" w:themeColor="text1"/>
              </w:rPr>
            </w:pPr>
            <w:r w:rsidRPr="0055577F">
              <w:rPr>
                <w:color w:val="000000" w:themeColor="text1"/>
              </w:rPr>
              <w:t>3</w:t>
            </w:r>
            <w:r w:rsidRPr="0055577F">
              <w:rPr>
                <w:color w:val="000000" w:themeColor="text1"/>
              </w:rPr>
              <w:t>.</w:t>
            </w:r>
          </w:p>
        </w:tc>
        <w:tc>
          <w:tcPr>
            <w:tcW w:w="2149" w:type="dxa"/>
          </w:tcPr>
          <w:p w:rsidR="0067267D" w:rsidRPr="0055577F" w:rsidP="00464AFB" w14:paraId="70E19EBE" w14:textId="77777777">
            <w:pPr>
              <w:pStyle w:val="naiskr"/>
              <w:spacing w:before="0" w:after="0"/>
              <w:ind w:right="142"/>
              <w:rPr>
                <w:color w:val="000000" w:themeColor="text1"/>
              </w:rPr>
            </w:pPr>
            <w:r w:rsidRPr="0055577F">
              <w:rPr>
                <w:color w:val="000000" w:themeColor="text1"/>
              </w:rPr>
              <w:t>Projekta izstrādē iesaistītās institūcijas</w:t>
            </w:r>
          </w:p>
        </w:tc>
        <w:tc>
          <w:tcPr>
            <w:tcW w:w="6756" w:type="dxa"/>
          </w:tcPr>
          <w:p w:rsidR="009377FA" w:rsidRPr="0055577F" w:rsidP="00CF4AC4" w14:paraId="1A93C59A" w14:textId="77777777">
            <w:pPr>
              <w:pStyle w:val="naiskr"/>
              <w:spacing w:before="0" w:after="0"/>
              <w:ind w:left="141" w:right="236"/>
              <w:rPr>
                <w:color w:val="000000" w:themeColor="text1"/>
              </w:rPr>
            </w:pPr>
            <w:r w:rsidRPr="0055577F">
              <w:rPr>
                <w:color w:val="000000" w:themeColor="text1"/>
              </w:rPr>
              <w:t>Vides aizsardzības un re</w:t>
            </w:r>
            <w:r w:rsidRPr="0055577F" w:rsidR="00CF4AC4">
              <w:rPr>
                <w:color w:val="000000" w:themeColor="text1"/>
              </w:rPr>
              <w:t>ģionālās attīstības ministrija</w:t>
            </w:r>
            <w:r w:rsidRPr="0055577F" w:rsidR="005970BB">
              <w:rPr>
                <w:color w:val="000000" w:themeColor="text1"/>
              </w:rPr>
              <w:t>.</w:t>
            </w:r>
          </w:p>
        </w:tc>
      </w:tr>
      <w:tr w14:paraId="519FAB11" w14:textId="77777777" w:rsidTr="00464AFB">
        <w:tblPrEx>
          <w:tblW w:w="9455" w:type="dxa"/>
          <w:tblCellMar>
            <w:left w:w="0" w:type="dxa"/>
            <w:right w:w="0" w:type="dxa"/>
          </w:tblCellMar>
          <w:tblLook w:val="0000"/>
        </w:tblPrEx>
        <w:tc>
          <w:tcPr>
            <w:tcW w:w="550" w:type="dxa"/>
          </w:tcPr>
          <w:p w:rsidR="0067267D" w:rsidRPr="0055577F" w14:paraId="3BF40CAD" w14:textId="77777777">
            <w:pPr>
              <w:pStyle w:val="naiskr"/>
              <w:spacing w:before="0" w:after="0"/>
              <w:rPr>
                <w:color w:val="000000" w:themeColor="text1"/>
              </w:rPr>
            </w:pPr>
            <w:r w:rsidRPr="0055577F">
              <w:rPr>
                <w:color w:val="000000" w:themeColor="text1"/>
              </w:rPr>
              <w:t>4</w:t>
            </w:r>
            <w:r w:rsidRPr="0055577F">
              <w:rPr>
                <w:color w:val="000000" w:themeColor="text1"/>
              </w:rPr>
              <w:t>.</w:t>
            </w:r>
          </w:p>
        </w:tc>
        <w:tc>
          <w:tcPr>
            <w:tcW w:w="2149" w:type="dxa"/>
          </w:tcPr>
          <w:p w:rsidR="0067267D" w:rsidRPr="0055577F" w:rsidP="00464AFB" w14:paraId="1C972C48" w14:textId="77777777">
            <w:pPr>
              <w:pStyle w:val="naiskr"/>
              <w:spacing w:before="0" w:after="0"/>
              <w:ind w:right="142"/>
              <w:rPr>
                <w:color w:val="000000" w:themeColor="text1"/>
              </w:rPr>
            </w:pPr>
            <w:r w:rsidRPr="0055577F">
              <w:rPr>
                <w:color w:val="000000" w:themeColor="text1"/>
              </w:rPr>
              <w:t>Cita informācija</w:t>
            </w:r>
          </w:p>
        </w:tc>
        <w:tc>
          <w:tcPr>
            <w:tcW w:w="6756" w:type="dxa"/>
          </w:tcPr>
          <w:p w:rsidR="0067267D" w:rsidRPr="0055577F" w:rsidP="00464AFB" w14:paraId="6E8A7B0E" w14:textId="77777777">
            <w:pPr>
              <w:pStyle w:val="naiskr"/>
              <w:spacing w:before="0" w:after="0"/>
              <w:ind w:left="141" w:right="236"/>
              <w:rPr>
                <w:color w:val="000000" w:themeColor="text1"/>
              </w:rPr>
            </w:pPr>
            <w:r w:rsidRPr="0055577F">
              <w:rPr>
                <w:color w:val="000000" w:themeColor="text1"/>
              </w:rPr>
              <w:t>Nav</w:t>
            </w:r>
          </w:p>
        </w:tc>
      </w:tr>
    </w:tbl>
    <w:p w:rsidR="009D76FC" w:rsidRPr="0055577F" w14:paraId="62CFD9F3" w14:textId="77777777">
      <w:pPr>
        <w:rPr>
          <w:color w:val="000000" w:themeColor="text1"/>
        </w:rPr>
      </w:pPr>
    </w:p>
    <w:tbl>
      <w:tblPr>
        <w:tblpPr w:leftFromText="180" w:rightFromText="180" w:vertAnchor="text" w:horzAnchor="margin" w:tblpXSpec="center" w:tblpY="14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3283"/>
        <w:gridCol w:w="5670"/>
      </w:tblGrid>
      <w:tr w14:paraId="37C82FDC" w14:textId="77777777" w:rsidTr="00464AFB">
        <w:tblPrEx>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503" w:type="dxa"/>
            <w:gridSpan w:val="3"/>
            <w:vAlign w:val="center"/>
          </w:tcPr>
          <w:p w:rsidR="0067267D" w:rsidRPr="0055577F" w14:paraId="451AFF7D" w14:textId="77777777">
            <w:pPr>
              <w:pStyle w:val="naisnod"/>
              <w:spacing w:before="0" w:after="0"/>
              <w:rPr>
                <w:color w:val="000000" w:themeColor="text1"/>
              </w:rPr>
            </w:pPr>
            <w:r w:rsidRPr="0055577F">
              <w:rPr>
                <w:color w:val="000000" w:themeColor="text1"/>
              </w:rPr>
              <w:t>II.</w:t>
            </w:r>
            <w:r w:rsidRPr="0055577F" w:rsidR="00061915">
              <w:rPr>
                <w:color w:val="000000" w:themeColor="text1"/>
              </w:rPr>
              <w:t> </w:t>
            </w:r>
            <w:r w:rsidRPr="0055577F" w:rsidR="00133143">
              <w:rPr>
                <w:color w:val="000000" w:themeColor="text1"/>
              </w:rPr>
              <w:t>Tiesību akta projekta ietekme uz sabiedrību, tautsaimniecības attīstību un administratīvo slogu</w:t>
            </w:r>
          </w:p>
        </w:tc>
      </w:tr>
      <w:tr w14:paraId="7B0DC19E" w14:textId="77777777" w:rsidTr="00464AFB">
        <w:tblPrEx>
          <w:tblW w:w="9503" w:type="dxa"/>
          <w:tblCellMar>
            <w:left w:w="0" w:type="dxa"/>
            <w:right w:w="0" w:type="dxa"/>
          </w:tblCellMar>
          <w:tblLook w:val="0000"/>
        </w:tblPrEx>
        <w:trPr>
          <w:trHeight w:val="467"/>
        </w:trPr>
        <w:tc>
          <w:tcPr>
            <w:tcW w:w="550" w:type="dxa"/>
          </w:tcPr>
          <w:p w:rsidR="0067267D" w:rsidRPr="0055577F" w14:paraId="15E0CF69" w14:textId="77777777">
            <w:pPr>
              <w:pStyle w:val="naiskr"/>
              <w:spacing w:before="0" w:after="0"/>
              <w:rPr>
                <w:color w:val="000000" w:themeColor="text1"/>
              </w:rPr>
            </w:pPr>
            <w:r w:rsidRPr="0055577F">
              <w:rPr>
                <w:color w:val="000000" w:themeColor="text1"/>
              </w:rPr>
              <w:t>1.</w:t>
            </w:r>
          </w:p>
        </w:tc>
        <w:tc>
          <w:tcPr>
            <w:tcW w:w="3283" w:type="dxa"/>
          </w:tcPr>
          <w:p w:rsidR="0067267D" w:rsidRPr="0055577F" w:rsidP="00EF593A" w14:paraId="6C81A35E" w14:textId="77777777">
            <w:pPr>
              <w:pStyle w:val="naiskr"/>
              <w:spacing w:before="0" w:after="0"/>
              <w:ind w:right="142"/>
              <w:rPr>
                <w:color w:val="000000" w:themeColor="text1"/>
              </w:rPr>
            </w:pPr>
            <w:r w:rsidRPr="0055577F">
              <w:rPr>
                <w:color w:val="000000" w:themeColor="text1"/>
              </w:rPr>
              <w:t>Sabiedrības mērķgrupas, kuras tiesiskais regulējums ietekmē vai varētu ietekmēt</w:t>
            </w:r>
          </w:p>
        </w:tc>
        <w:tc>
          <w:tcPr>
            <w:tcW w:w="5670" w:type="dxa"/>
          </w:tcPr>
          <w:p w:rsidR="00FC10F2" w:rsidRPr="0055577F" w:rsidP="00FC10F2" w14:paraId="3EBD7053" w14:textId="7A7B3FE1">
            <w:pPr>
              <w:spacing w:before="0" w:after="0"/>
              <w:ind w:left="131" w:right="294"/>
              <w:rPr>
                <w:color w:val="000000" w:themeColor="text1"/>
              </w:rPr>
            </w:pPr>
            <w:r w:rsidRPr="0055577F">
              <w:rPr>
                <w:color w:val="000000" w:themeColor="text1"/>
              </w:rPr>
              <w:t xml:space="preserve">Noteikumu projektā ietvertais tiesiskais regulējums attieksies uz Latvijas </w:t>
            </w:r>
            <w:r w:rsidRPr="0055577F" w:rsidR="0037791F">
              <w:rPr>
                <w:color w:val="000000" w:themeColor="text1"/>
              </w:rPr>
              <w:t xml:space="preserve">valsts pārvaldes iestāžu </w:t>
            </w:r>
            <w:r w:rsidRPr="0055577F" w:rsidR="00575432">
              <w:rPr>
                <w:color w:val="000000" w:themeColor="text1"/>
              </w:rPr>
              <w:t xml:space="preserve">sagatavotajos un attiecīgo institūciju apstiprinātajos </w:t>
            </w:r>
            <w:r w:rsidRPr="0055577F">
              <w:rPr>
                <w:color w:val="000000" w:themeColor="text1"/>
              </w:rPr>
              <w:t>tiesību aktos noteiktajiem gadījumiem</w:t>
            </w:r>
            <w:r w:rsidRPr="0055577F" w:rsidR="0037791F">
              <w:rPr>
                <w:color w:val="000000" w:themeColor="text1"/>
              </w:rPr>
              <w:t xml:space="preserve"> enerģētikas, transporta</w:t>
            </w:r>
            <w:r w:rsidR="00EB1CB6">
              <w:rPr>
                <w:color w:val="000000" w:themeColor="text1"/>
              </w:rPr>
              <w:t xml:space="preserve"> </w:t>
            </w:r>
            <w:r w:rsidRPr="0055577F" w:rsidR="0037791F">
              <w:rPr>
                <w:color w:val="000000" w:themeColor="text1"/>
              </w:rPr>
              <w:t>un atkritumu apsaimniekošanas nozarēs</w:t>
            </w:r>
            <w:r w:rsidRPr="0055577F">
              <w:rPr>
                <w:color w:val="000000" w:themeColor="text1"/>
              </w:rPr>
              <w:t>, kad fiziska vai juridiska persona īsteno pasākumus, kam nepieciešams aprēķināt SEG emisiju samazinājumu (īstenojamo pasākumu panāktā vai plānotā SEG emisiju samazinājuma aprēķins).</w:t>
            </w:r>
            <w:r w:rsidRPr="0055577F" w:rsidR="000C1CE7">
              <w:rPr>
                <w:color w:val="000000" w:themeColor="text1"/>
              </w:rPr>
              <w:t xml:space="preserve"> Piemēram, šādas metodikas piemērošana būtu nepieciešama ES fondu un citu finanšu instrumentu ietvaros, kad finansējums tiek piešķirts projektu konkursu ietvaros un atbalstāmās darbības ietekmē klimata </w:t>
            </w:r>
            <w:r w:rsidRPr="0055577F" w:rsidR="000E13A2">
              <w:rPr>
                <w:color w:val="000000" w:themeColor="text1"/>
              </w:rPr>
              <w:t>pārmaiņas</w:t>
            </w:r>
            <w:r w:rsidRPr="0055577F" w:rsidR="000C1CE7">
              <w:rPr>
                <w:color w:val="000000" w:themeColor="text1"/>
              </w:rPr>
              <w:t>.</w:t>
            </w:r>
          </w:p>
          <w:p w:rsidR="003724E7" w:rsidRPr="0055577F" w:rsidP="00FC10F2" w14:paraId="44653E24" w14:textId="5B3A035E">
            <w:pPr>
              <w:spacing w:before="0" w:after="0"/>
              <w:ind w:left="131" w:right="294"/>
              <w:rPr>
                <w:color w:val="000000" w:themeColor="text1"/>
              </w:rPr>
            </w:pPr>
            <w:r w:rsidRPr="0055577F">
              <w:rPr>
                <w:color w:val="000000" w:themeColor="text1"/>
              </w:rPr>
              <w:t>Minēto metodiku drīkstēs piemērot ikviena fiziska vai juridiska persona</w:t>
            </w:r>
            <w:r w:rsidRPr="0055577F" w:rsidR="007E28E0">
              <w:rPr>
                <w:color w:val="000000" w:themeColor="text1"/>
              </w:rPr>
              <w:t xml:space="preserve"> SEG emisiju apjoma samazinājuma aprēķinam</w:t>
            </w:r>
            <w:r w:rsidRPr="0055577F">
              <w:rPr>
                <w:color w:val="000000" w:themeColor="text1"/>
              </w:rPr>
              <w:t>.</w:t>
            </w:r>
          </w:p>
        </w:tc>
      </w:tr>
      <w:tr w14:paraId="7D76F715" w14:textId="77777777" w:rsidTr="00464AFB">
        <w:tblPrEx>
          <w:tblW w:w="9503" w:type="dxa"/>
          <w:tblCellMar>
            <w:left w:w="0" w:type="dxa"/>
            <w:right w:w="0" w:type="dxa"/>
          </w:tblCellMar>
          <w:tblLook w:val="0000"/>
        </w:tblPrEx>
        <w:trPr>
          <w:trHeight w:val="523"/>
        </w:trPr>
        <w:tc>
          <w:tcPr>
            <w:tcW w:w="550" w:type="dxa"/>
          </w:tcPr>
          <w:p w:rsidR="00165C1E" w:rsidRPr="0055577F" w:rsidP="00165C1E" w14:paraId="59C9C2BB" w14:textId="77777777">
            <w:pPr>
              <w:pStyle w:val="naiskr"/>
              <w:spacing w:before="0" w:after="0"/>
              <w:rPr>
                <w:color w:val="000000" w:themeColor="text1"/>
              </w:rPr>
            </w:pPr>
            <w:r w:rsidRPr="0055577F">
              <w:rPr>
                <w:color w:val="000000" w:themeColor="text1"/>
              </w:rPr>
              <w:t>2.</w:t>
            </w:r>
          </w:p>
        </w:tc>
        <w:tc>
          <w:tcPr>
            <w:tcW w:w="3283" w:type="dxa"/>
          </w:tcPr>
          <w:p w:rsidR="00165C1E" w:rsidRPr="0055577F" w:rsidP="00EF593A" w14:paraId="2C407559" w14:textId="77777777">
            <w:pPr>
              <w:pStyle w:val="naiskr"/>
              <w:spacing w:before="0" w:after="0"/>
              <w:ind w:right="142"/>
              <w:rPr>
                <w:color w:val="000000" w:themeColor="text1"/>
              </w:rPr>
            </w:pPr>
            <w:r w:rsidRPr="0055577F">
              <w:rPr>
                <w:color w:val="000000" w:themeColor="text1"/>
              </w:rPr>
              <w:t>Tiesiskā regulējuma ietekme uz tautsaimniecību un administratīvo slogu</w:t>
            </w:r>
          </w:p>
        </w:tc>
        <w:tc>
          <w:tcPr>
            <w:tcW w:w="5670" w:type="dxa"/>
          </w:tcPr>
          <w:p w:rsidR="00B051DF" w:rsidRPr="0055577F" w:rsidP="00B051DF" w14:paraId="1214A6D9" w14:textId="048616E7">
            <w:pPr>
              <w:spacing w:before="0" w:after="0"/>
              <w:ind w:left="131" w:right="294"/>
              <w:rPr>
                <w:color w:val="000000" w:themeColor="text1"/>
              </w:rPr>
            </w:pPr>
            <w:r w:rsidRPr="0055577F">
              <w:rPr>
                <w:color w:val="000000" w:themeColor="text1"/>
              </w:rPr>
              <w:t xml:space="preserve">Noteikumu projekts tiešā veidā neietekmē administratīvo slogu. </w:t>
            </w:r>
          </w:p>
          <w:p w:rsidR="00165C1E" w:rsidRPr="0055577F" w:rsidP="00B051DF" w14:paraId="74946F19" w14:textId="766A10ED">
            <w:pPr>
              <w:spacing w:before="0" w:after="0"/>
              <w:ind w:left="131" w:right="294"/>
              <w:rPr>
                <w:color w:val="000000" w:themeColor="text1"/>
              </w:rPr>
            </w:pPr>
            <w:r w:rsidRPr="0055577F">
              <w:rPr>
                <w:color w:val="000000" w:themeColor="text1"/>
              </w:rPr>
              <w:t xml:space="preserve">Metodika ir paredzēta, lai pilnveidotu esošo situāciju, t.i. lai visos nepieciešamajos gadījumos tiktu izmantota vienota SEG </w:t>
            </w:r>
            <w:r w:rsidR="0044134C">
              <w:rPr>
                <w:color w:val="000000" w:themeColor="text1"/>
              </w:rPr>
              <w:t xml:space="preserve">emisiju aprēķina </w:t>
            </w:r>
            <w:r w:rsidRPr="0055577F">
              <w:rPr>
                <w:color w:val="000000" w:themeColor="text1"/>
              </w:rPr>
              <w:t xml:space="preserve">metodika. Vienotas SEG </w:t>
            </w:r>
            <w:r w:rsidR="0044134C">
              <w:rPr>
                <w:color w:val="000000" w:themeColor="text1"/>
              </w:rPr>
              <w:t xml:space="preserve">emisiju aprēķina </w:t>
            </w:r>
            <w:r w:rsidRPr="0055577F">
              <w:rPr>
                <w:color w:val="000000" w:themeColor="text1"/>
              </w:rPr>
              <w:t>metodikas ieviešana veicinās sabiedrības informētību par dažādu pasākumu ietekmi uz klimatu, kā arī Latvijai noteikto mērķu sasniegšanu.</w:t>
            </w:r>
          </w:p>
        </w:tc>
      </w:tr>
      <w:tr w14:paraId="44BAA264" w14:textId="77777777" w:rsidTr="00464AFB">
        <w:tblPrEx>
          <w:tblW w:w="9503" w:type="dxa"/>
          <w:tblCellMar>
            <w:left w:w="0" w:type="dxa"/>
            <w:right w:w="0" w:type="dxa"/>
          </w:tblCellMar>
          <w:tblLook w:val="0000"/>
        </w:tblPrEx>
        <w:trPr>
          <w:trHeight w:val="357"/>
        </w:trPr>
        <w:tc>
          <w:tcPr>
            <w:tcW w:w="550" w:type="dxa"/>
          </w:tcPr>
          <w:p w:rsidR="00165C1E" w:rsidRPr="0055577F" w:rsidP="00165C1E" w14:paraId="57F1DB23" w14:textId="77777777">
            <w:pPr>
              <w:pStyle w:val="naiskr"/>
              <w:spacing w:before="0" w:after="0"/>
              <w:rPr>
                <w:color w:val="000000" w:themeColor="text1"/>
              </w:rPr>
            </w:pPr>
            <w:r w:rsidRPr="0055577F">
              <w:rPr>
                <w:color w:val="000000" w:themeColor="text1"/>
              </w:rPr>
              <w:t>3</w:t>
            </w:r>
            <w:r w:rsidRPr="0055577F">
              <w:rPr>
                <w:color w:val="000000" w:themeColor="text1"/>
              </w:rPr>
              <w:t>.</w:t>
            </w:r>
          </w:p>
        </w:tc>
        <w:tc>
          <w:tcPr>
            <w:tcW w:w="3283" w:type="dxa"/>
          </w:tcPr>
          <w:p w:rsidR="00165C1E" w:rsidRPr="0055577F" w:rsidP="00EF593A" w14:paraId="7470A6F4" w14:textId="77777777">
            <w:pPr>
              <w:pStyle w:val="naiskr"/>
              <w:spacing w:before="0" w:after="0"/>
              <w:ind w:right="142"/>
              <w:rPr>
                <w:color w:val="000000" w:themeColor="text1"/>
              </w:rPr>
            </w:pPr>
            <w:r w:rsidRPr="0055577F">
              <w:rPr>
                <w:color w:val="000000" w:themeColor="text1"/>
              </w:rPr>
              <w:t>Administratīvo izmaksu monetārs novērtējums</w:t>
            </w:r>
          </w:p>
        </w:tc>
        <w:tc>
          <w:tcPr>
            <w:tcW w:w="5670" w:type="dxa"/>
          </w:tcPr>
          <w:p w:rsidR="00165C1E" w:rsidRPr="0055577F" w:rsidP="008B7820" w14:paraId="20C1C54B" w14:textId="77777777">
            <w:pPr>
              <w:spacing w:before="0" w:after="0"/>
              <w:ind w:left="131" w:right="294"/>
              <w:rPr>
                <w:color w:val="000000" w:themeColor="text1"/>
              </w:rPr>
            </w:pPr>
            <w:r w:rsidRPr="0055577F">
              <w:rPr>
                <w:color w:val="000000" w:themeColor="text1"/>
              </w:rPr>
              <w:t>Projekts šo jomu neskar.</w:t>
            </w:r>
          </w:p>
        </w:tc>
      </w:tr>
      <w:tr w14:paraId="7C58729D" w14:textId="77777777" w:rsidTr="00464AFB">
        <w:tblPrEx>
          <w:tblW w:w="9503" w:type="dxa"/>
          <w:tblCellMar>
            <w:left w:w="0" w:type="dxa"/>
            <w:right w:w="0" w:type="dxa"/>
          </w:tblCellMar>
          <w:tblLook w:val="0000"/>
        </w:tblPrEx>
        <w:tc>
          <w:tcPr>
            <w:tcW w:w="550" w:type="dxa"/>
          </w:tcPr>
          <w:p w:rsidR="0067267D" w:rsidRPr="0055577F" w14:paraId="46F4AF7E" w14:textId="77777777">
            <w:pPr>
              <w:pStyle w:val="naiskr"/>
              <w:spacing w:before="0" w:after="0"/>
              <w:rPr>
                <w:color w:val="000000" w:themeColor="text1"/>
              </w:rPr>
            </w:pPr>
            <w:r w:rsidRPr="0055577F">
              <w:rPr>
                <w:color w:val="000000" w:themeColor="text1"/>
              </w:rPr>
              <w:t>4</w:t>
            </w:r>
            <w:r w:rsidRPr="0055577F">
              <w:rPr>
                <w:color w:val="000000" w:themeColor="text1"/>
              </w:rPr>
              <w:t>.</w:t>
            </w:r>
          </w:p>
        </w:tc>
        <w:tc>
          <w:tcPr>
            <w:tcW w:w="3283" w:type="dxa"/>
          </w:tcPr>
          <w:p w:rsidR="0067267D" w:rsidRPr="0055577F" w:rsidP="008B7820" w14:paraId="33FD5475" w14:textId="77777777">
            <w:pPr>
              <w:spacing w:before="0" w:after="0"/>
              <w:ind w:left="131" w:right="294"/>
              <w:rPr>
                <w:color w:val="000000" w:themeColor="text1"/>
              </w:rPr>
            </w:pPr>
            <w:r w:rsidRPr="0055577F">
              <w:rPr>
                <w:color w:val="000000" w:themeColor="text1"/>
              </w:rPr>
              <w:t>Cita informācija</w:t>
            </w:r>
          </w:p>
        </w:tc>
        <w:tc>
          <w:tcPr>
            <w:tcW w:w="5670" w:type="dxa"/>
          </w:tcPr>
          <w:p w:rsidR="0067267D" w:rsidRPr="0055577F" w:rsidP="00662EFD" w14:paraId="189DE49F" w14:textId="77777777">
            <w:pPr>
              <w:spacing w:before="0" w:after="0"/>
              <w:ind w:left="131" w:right="294"/>
              <w:rPr>
                <w:color w:val="000000" w:themeColor="text1"/>
              </w:rPr>
            </w:pPr>
            <w:r w:rsidRPr="0055577F">
              <w:rPr>
                <w:color w:val="000000" w:themeColor="text1"/>
              </w:rPr>
              <w:t>Nav</w:t>
            </w:r>
          </w:p>
        </w:tc>
      </w:tr>
    </w:tbl>
    <w:p w:rsidR="00B90844" w:rsidRPr="0055577F" w:rsidP="00B90844" w14:paraId="36F6C0B7" w14:textId="77777777">
      <w:pPr>
        <w:spacing w:after="0" w:line="240" w:lineRule="auto"/>
        <w:rPr>
          <w:color w:val="000000" w:themeColor="text1"/>
          <w:sz w:val="28"/>
          <w:szCs w:val="28"/>
        </w:rPr>
      </w:pPr>
    </w:p>
    <w:tbl>
      <w:tblPr>
        <w:tblW w:w="9321" w:type="dxa"/>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
      <w:tblGrid>
        <w:gridCol w:w="9321"/>
      </w:tblGrid>
      <w:tr w14:paraId="64CBBF30" w14:textId="77777777" w:rsidTr="0052765C">
        <w:tblPrEx>
          <w:tblW w:w="9321" w:type="dxa"/>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Ex>
        <w:trPr>
          <w:trHeight w:val="288"/>
          <w:jc w:val="center"/>
        </w:trPr>
        <w:tc>
          <w:tcPr>
            <w:tcW w:w="9321" w:type="dxa"/>
            <w:tcBorders>
              <w:top w:val="outset" w:sz="6" w:space="0" w:color="414142"/>
              <w:left w:val="outset" w:sz="6" w:space="0" w:color="414142"/>
              <w:bottom w:val="outset" w:sz="6" w:space="0" w:color="414142"/>
              <w:right w:val="outset" w:sz="6" w:space="0" w:color="414142"/>
            </w:tcBorders>
            <w:vAlign w:val="center"/>
            <w:hideMark/>
          </w:tcPr>
          <w:p w:rsidR="009D76FC" w:rsidRPr="0055577F" w:rsidP="0052765C" w14:paraId="28BFE548" w14:textId="77777777">
            <w:pPr>
              <w:spacing w:before="100" w:beforeAutospacing="1" w:after="100" w:afterAutospacing="1" w:line="293" w:lineRule="atLeast"/>
              <w:jc w:val="center"/>
              <w:rPr>
                <w:b/>
                <w:bCs/>
                <w:color w:val="000000" w:themeColor="text1"/>
              </w:rPr>
            </w:pPr>
            <w:r w:rsidRPr="0055577F">
              <w:rPr>
                <w:b/>
                <w:bCs/>
                <w:color w:val="000000" w:themeColor="text1"/>
              </w:rPr>
              <w:t>III. Tiesību akta projekta ietekme uz valsts budžetu un pašvaldību budžetiem</w:t>
            </w:r>
          </w:p>
        </w:tc>
      </w:tr>
      <w:tr w14:paraId="0155ADE9" w14:textId="77777777" w:rsidTr="0052765C">
        <w:tblPrEx>
          <w:tblW w:w="9321" w:type="dxa"/>
          <w:jc w:val="center"/>
          <w:tblLayout w:type="fixed"/>
          <w:tblCellMar>
            <w:top w:w="24" w:type="dxa"/>
            <w:left w:w="24" w:type="dxa"/>
            <w:bottom w:w="24" w:type="dxa"/>
            <w:right w:w="24" w:type="dxa"/>
          </w:tblCellMar>
          <w:tblLook w:val="04A0"/>
        </w:tblPrEx>
        <w:trPr>
          <w:trHeight w:val="288"/>
          <w:jc w:val="center"/>
        </w:trPr>
        <w:tc>
          <w:tcPr>
            <w:tcW w:w="9321" w:type="dxa"/>
            <w:tcBorders>
              <w:top w:val="outset" w:sz="6" w:space="0" w:color="414142"/>
              <w:left w:val="outset" w:sz="6" w:space="0" w:color="414142"/>
              <w:bottom w:val="outset" w:sz="6" w:space="0" w:color="414142"/>
              <w:right w:val="outset" w:sz="6" w:space="0" w:color="414142"/>
            </w:tcBorders>
            <w:vAlign w:val="center"/>
          </w:tcPr>
          <w:p w:rsidR="009D76FC" w:rsidRPr="0055577F" w:rsidP="0052765C" w14:paraId="777291F0" w14:textId="77777777">
            <w:pPr>
              <w:spacing w:before="100" w:beforeAutospacing="1" w:after="100" w:afterAutospacing="1" w:line="293" w:lineRule="atLeast"/>
              <w:jc w:val="center"/>
              <w:rPr>
                <w:bCs/>
                <w:color w:val="000000" w:themeColor="text1"/>
              </w:rPr>
            </w:pPr>
            <w:r w:rsidRPr="0055577F">
              <w:rPr>
                <w:bCs/>
                <w:color w:val="000000" w:themeColor="text1"/>
              </w:rPr>
              <w:t xml:space="preserve">Projekts šo jomu </w:t>
            </w:r>
            <w:r w:rsidRPr="0055577F">
              <w:rPr>
                <w:color w:val="000000" w:themeColor="text1"/>
              </w:rPr>
              <w:t>neskar.</w:t>
            </w:r>
          </w:p>
        </w:tc>
      </w:tr>
    </w:tbl>
    <w:p w:rsidR="009D76FC" w:rsidRPr="0055577F" w:rsidP="00B90844" w14:paraId="04698259" w14:textId="77777777">
      <w:pPr>
        <w:spacing w:after="0" w:line="240" w:lineRule="auto"/>
        <w:rPr>
          <w:color w:val="000000" w:themeColor="text1"/>
          <w:sz w:val="28"/>
          <w:szCs w:val="28"/>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2788"/>
        <w:gridCol w:w="6568"/>
      </w:tblGrid>
      <w:tr w14:paraId="182829AB" w14:textId="77777777" w:rsidTr="0052765C">
        <w:tblPrEx>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262"/>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9D76FC" w:rsidRPr="0055577F" w:rsidP="0052765C" w14:paraId="378C305D" w14:textId="77777777">
            <w:pPr>
              <w:spacing w:after="0" w:line="240" w:lineRule="auto"/>
              <w:jc w:val="center"/>
              <w:rPr>
                <w:b/>
                <w:bCs/>
                <w:color w:val="000000" w:themeColor="text1"/>
              </w:rPr>
            </w:pPr>
            <w:r w:rsidRPr="0055577F">
              <w:rPr>
                <w:b/>
                <w:bCs/>
                <w:color w:val="000000" w:themeColor="text1"/>
              </w:rPr>
              <w:t>IV. Tiesību akta projekta ietekme uz spēkā esošo tiesību normu sistēmu</w:t>
            </w:r>
          </w:p>
        </w:tc>
      </w:tr>
      <w:tr w14:paraId="7C5CA088" w14:textId="77777777" w:rsidTr="0052765C">
        <w:tblPrEx>
          <w:tblW w:w="5123" w:type="pct"/>
          <w:tblInd w:w="-112" w:type="dxa"/>
          <w:tblCellMar>
            <w:top w:w="30" w:type="dxa"/>
            <w:left w:w="30" w:type="dxa"/>
            <w:bottom w:w="30" w:type="dxa"/>
            <w:right w:w="30" w:type="dxa"/>
          </w:tblCellMar>
          <w:tblLook w:val="04A0"/>
        </w:tblPrEx>
        <w:tc>
          <w:tcPr>
            <w:tcW w:w="1490" w:type="pct"/>
            <w:tcBorders>
              <w:top w:val="outset" w:sz="6" w:space="0" w:color="414142"/>
              <w:left w:val="outset" w:sz="6" w:space="0" w:color="414142"/>
              <w:bottom w:val="outset" w:sz="6" w:space="0" w:color="414142"/>
              <w:right w:val="outset" w:sz="6" w:space="0" w:color="414142"/>
            </w:tcBorders>
            <w:hideMark/>
          </w:tcPr>
          <w:p w:rsidR="009D76FC" w:rsidRPr="0055577F" w:rsidP="0052765C" w14:paraId="57D33C58" w14:textId="77777777">
            <w:pPr>
              <w:spacing w:after="0" w:line="240" w:lineRule="auto"/>
              <w:rPr>
                <w:color w:val="000000" w:themeColor="text1"/>
              </w:rPr>
            </w:pPr>
            <w:r w:rsidRPr="0055577F">
              <w:rPr>
                <w:color w:val="000000" w:themeColor="text1"/>
              </w:rPr>
              <w:t>Nepieciešamie saistītie tiesību aktu projekti</w:t>
            </w:r>
          </w:p>
        </w:tc>
        <w:tc>
          <w:tcPr>
            <w:tcW w:w="3510" w:type="pct"/>
            <w:tcBorders>
              <w:top w:val="outset" w:sz="6" w:space="0" w:color="414142"/>
              <w:left w:val="outset" w:sz="6" w:space="0" w:color="414142"/>
              <w:bottom w:val="outset" w:sz="6" w:space="0" w:color="414142"/>
              <w:right w:val="outset" w:sz="6" w:space="0" w:color="414142"/>
            </w:tcBorders>
            <w:hideMark/>
          </w:tcPr>
          <w:p w:rsidR="009D76FC" w:rsidRPr="0055577F" w:rsidP="0052765C" w14:paraId="5DBED0C9" w14:textId="77777777">
            <w:pPr>
              <w:spacing w:after="0" w:line="240" w:lineRule="auto"/>
              <w:ind w:left="156" w:right="140"/>
              <w:rPr>
                <w:iCs/>
                <w:color w:val="000000" w:themeColor="text1"/>
              </w:rPr>
            </w:pPr>
            <w:r w:rsidRPr="0055577F">
              <w:rPr>
                <w:bCs/>
                <w:color w:val="000000" w:themeColor="text1"/>
              </w:rPr>
              <w:t>Nepieciešams veikt grozījumus Ministru kabineta 2013. gada 25. jūnija noteikumos Nr. 348 “Ēkas energoefektivitātes aprēķina metodika”, saskaņojot noteikumu projektā un minētajā normatīvajā aktā atsauces uz aprēķinu formulām un emisiju faktoriem.</w:t>
            </w:r>
          </w:p>
        </w:tc>
      </w:tr>
      <w:tr w14:paraId="3E7487B7" w14:textId="77777777" w:rsidTr="0052765C">
        <w:tblPrEx>
          <w:tblW w:w="5123" w:type="pct"/>
          <w:tblInd w:w="-112" w:type="dxa"/>
          <w:tblCellMar>
            <w:top w:w="30" w:type="dxa"/>
            <w:left w:w="30" w:type="dxa"/>
            <w:bottom w:w="30" w:type="dxa"/>
            <w:right w:w="30" w:type="dxa"/>
          </w:tblCellMar>
          <w:tblLook w:val="04A0"/>
        </w:tblPrEx>
        <w:tc>
          <w:tcPr>
            <w:tcW w:w="1490" w:type="pct"/>
            <w:tcBorders>
              <w:top w:val="outset" w:sz="6" w:space="0" w:color="414142"/>
              <w:left w:val="outset" w:sz="6" w:space="0" w:color="414142"/>
              <w:bottom w:val="outset" w:sz="6" w:space="0" w:color="414142"/>
              <w:right w:val="outset" w:sz="6" w:space="0" w:color="414142"/>
            </w:tcBorders>
            <w:hideMark/>
          </w:tcPr>
          <w:p w:rsidR="009D76FC" w:rsidRPr="0055577F" w:rsidP="0052765C" w14:paraId="088788BB" w14:textId="77777777">
            <w:pPr>
              <w:spacing w:after="0" w:line="240" w:lineRule="auto"/>
              <w:rPr>
                <w:color w:val="000000" w:themeColor="text1"/>
              </w:rPr>
            </w:pPr>
            <w:r w:rsidRPr="0055577F">
              <w:rPr>
                <w:color w:val="000000" w:themeColor="text1"/>
              </w:rPr>
              <w:t>Atbildīgā institūcija</w:t>
            </w:r>
          </w:p>
        </w:tc>
        <w:tc>
          <w:tcPr>
            <w:tcW w:w="3510" w:type="pct"/>
            <w:tcBorders>
              <w:top w:val="outset" w:sz="6" w:space="0" w:color="414142"/>
              <w:left w:val="outset" w:sz="6" w:space="0" w:color="414142"/>
              <w:bottom w:val="outset" w:sz="6" w:space="0" w:color="414142"/>
              <w:right w:val="outset" w:sz="6" w:space="0" w:color="414142"/>
            </w:tcBorders>
            <w:hideMark/>
          </w:tcPr>
          <w:p w:rsidR="009D76FC" w:rsidRPr="0055577F" w:rsidP="0052765C" w14:paraId="52952335" w14:textId="77777777">
            <w:pPr>
              <w:spacing w:after="0" w:line="240" w:lineRule="auto"/>
              <w:ind w:left="156"/>
              <w:rPr>
                <w:color w:val="000000" w:themeColor="text1"/>
              </w:rPr>
            </w:pPr>
            <w:r w:rsidRPr="0055577F">
              <w:rPr>
                <w:color w:val="000000" w:themeColor="text1"/>
              </w:rPr>
              <w:t>Ekonomikas ministrija.</w:t>
            </w:r>
          </w:p>
        </w:tc>
      </w:tr>
      <w:tr w14:paraId="653A0546" w14:textId="77777777" w:rsidTr="0052765C">
        <w:tblPrEx>
          <w:tblW w:w="5123" w:type="pct"/>
          <w:tblInd w:w="-112" w:type="dxa"/>
          <w:tblCellMar>
            <w:top w:w="30" w:type="dxa"/>
            <w:left w:w="30" w:type="dxa"/>
            <w:bottom w:w="30" w:type="dxa"/>
            <w:right w:w="30" w:type="dxa"/>
          </w:tblCellMar>
          <w:tblLook w:val="04A0"/>
        </w:tblPrEx>
        <w:trPr>
          <w:trHeight w:val="35"/>
        </w:trPr>
        <w:tc>
          <w:tcPr>
            <w:tcW w:w="1490" w:type="pct"/>
            <w:tcBorders>
              <w:top w:val="outset" w:sz="6" w:space="0" w:color="414142"/>
              <w:left w:val="outset" w:sz="6" w:space="0" w:color="414142"/>
              <w:bottom w:val="outset" w:sz="6" w:space="0" w:color="414142"/>
              <w:right w:val="outset" w:sz="6" w:space="0" w:color="414142"/>
            </w:tcBorders>
            <w:hideMark/>
          </w:tcPr>
          <w:p w:rsidR="009D76FC" w:rsidRPr="0055577F" w:rsidP="0052765C" w14:paraId="17873AB2" w14:textId="77777777">
            <w:pPr>
              <w:spacing w:after="0" w:line="240" w:lineRule="auto"/>
              <w:rPr>
                <w:color w:val="000000" w:themeColor="text1"/>
              </w:rPr>
            </w:pPr>
            <w:r w:rsidRPr="0055577F">
              <w:rPr>
                <w:color w:val="000000" w:themeColor="text1"/>
              </w:rPr>
              <w:t>Cita informācija</w:t>
            </w:r>
          </w:p>
        </w:tc>
        <w:tc>
          <w:tcPr>
            <w:tcW w:w="3510" w:type="pct"/>
            <w:tcBorders>
              <w:top w:val="outset" w:sz="6" w:space="0" w:color="414142"/>
              <w:left w:val="outset" w:sz="6" w:space="0" w:color="414142"/>
              <w:bottom w:val="outset" w:sz="6" w:space="0" w:color="414142"/>
              <w:right w:val="outset" w:sz="6" w:space="0" w:color="414142"/>
            </w:tcBorders>
            <w:hideMark/>
          </w:tcPr>
          <w:p w:rsidR="009D76FC" w:rsidRPr="0055577F" w:rsidP="0052765C" w14:paraId="39E36F85" w14:textId="77777777">
            <w:pPr>
              <w:spacing w:after="0" w:line="240" w:lineRule="auto"/>
              <w:ind w:left="156"/>
              <w:rPr>
                <w:color w:val="000000" w:themeColor="text1"/>
              </w:rPr>
            </w:pPr>
            <w:r w:rsidRPr="0055577F">
              <w:rPr>
                <w:color w:val="000000" w:themeColor="text1"/>
              </w:rPr>
              <w:t>Nav</w:t>
            </w:r>
          </w:p>
        </w:tc>
      </w:tr>
    </w:tbl>
    <w:p w:rsidR="009D76FC" w:rsidRPr="0055577F" w:rsidP="00B90844" w14:paraId="5EBA363F" w14:textId="77777777">
      <w:pPr>
        <w:spacing w:after="0" w:line="240" w:lineRule="auto"/>
        <w:rPr>
          <w:color w:val="000000" w:themeColor="text1"/>
          <w:sz w:val="28"/>
          <w:szCs w:val="28"/>
        </w:rPr>
      </w:pPr>
    </w:p>
    <w:tbl>
      <w:tblPr>
        <w:tblW w:w="9323"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
        <w:gridCol w:w="2268"/>
        <w:gridCol w:w="6520"/>
      </w:tblGrid>
      <w:tr w14:paraId="06E0465C" w14:textId="77777777" w:rsidTr="000E13A2">
        <w:tblPrEx>
          <w:tblW w:w="9323"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323" w:type="dxa"/>
            <w:gridSpan w:val="3"/>
            <w:tcBorders>
              <w:top w:val="single" w:sz="4" w:space="0" w:color="000000"/>
              <w:left w:val="single" w:sz="4" w:space="0" w:color="000000"/>
              <w:bottom w:val="single" w:sz="4" w:space="0" w:color="000000"/>
              <w:right w:val="single" w:sz="4" w:space="0" w:color="000000"/>
            </w:tcBorders>
            <w:hideMark/>
          </w:tcPr>
          <w:p w:rsidR="00B90844" w:rsidRPr="0055577F" w14:paraId="334C081E" w14:textId="5BCAC934">
            <w:pPr>
              <w:spacing w:after="0" w:line="240" w:lineRule="auto"/>
              <w:jc w:val="center"/>
              <w:rPr>
                <w:b/>
                <w:color w:val="000000" w:themeColor="text1"/>
              </w:rPr>
            </w:pPr>
            <w:r>
              <w:rPr>
                <w:b/>
                <w:color w:val="000000" w:themeColor="text1"/>
              </w:rPr>
              <w:t>V. </w:t>
            </w:r>
            <w:bookmarkStart w:id="41" w:name="_GoBack"/>
            <w:bookmarkEnd w:id="41"/>
            <w:r w:rsidRPr="0055577F">
              <w:rPr>
                <w:b/>
                <w:color w:val="000000" w:themeColor="text1"/>
              </w:rPr>
              <w:t>Tiesību akta projekta atbilstība Latvijas Republikas starptautiskajām saistībām</w:t>
            </w:r>
          </w:p>
        </w:tc>
      </w:tr>
      <w:tr w14:paraId="1DEE49F6" w14:textId="77777777" w:rsidTr="000E13A2">
        <w:tblPrEx>
          <w:tblW w:w="9323" w:type="dxa"/>
          <w:tblInd w:w="-1" w:type="dxa"/>
          <w:tblLook w:val="04A0"/>
        </w:tblPrEx>
        <w:trPr>
          <w:trHeight w:val="299"/>
        </w:trPr>
        <w:tc>
          <w:tcPr>
            <w:tcW w:w="535" w:type="dxa"/>
            <w:tcBorders>
              <w:top w:val="single" w:sz="4" w:space="0" w:color="000000"/>
              <w:left w:val="single" w:sz="4" w:space="0" w:color="000000"/>
              <w:bottom w:val="single" w:sz="4" w:space="0" w:color="000000"/>
              <w:right w:val="single" w:sz="4" w:space="0" w:color="000000"/>
            </w:tcBorders>
            <w:hideMark/>
          </w:tcPr>
          <w:p w:rsidR="00B90844" w:rsidRPr="0055577F" w14:paraId="64F7FAA1" w14:textId="77777777">
            <w:pPr>
              <w:spacing w:after="0" w:line="240" w:lineRule="auto"/>
              <w:jc w:val="center"/>
              <w:rPr>
                <w:color w:val="000000" w:themeColor="text1"/>
              </w:rPr>
            </w:pPr>
            <w:r w:rsidRPr="0055577F">
              <w:rPr>
                <w:color w:val="000000" w:themeColor="text1"/>
              </w:rPr>
              <w:t xml:space="preserve">1. </w:t>
            </w:r>
          </w:p>
        </w:tc>
        <w:tc>
          <w:tcPr>
            <w:tcW w:w="2268" w:type="dxa"/>
            <w:tcBorders>
              <w:top w:val="single" w:sz="4" w:space="0" w:color="000000"/>
              <w:left w:val="single" w:sz="4" w:space="0" w:color="000000"/>
              <w:bottom w:val="single" w:sz="4" w:space="0" w:color="000000"/>
              <w:right w:val="single" w:sz="4" w:space="0" w:color="000000"/>
            </w:tcBorders>
            <w:hideMark/>
          </w:tcPr>
          <w:p w:rsidR="00B90844" w:rsidRPr="0055577F" w14:paraId="1856F012" w14:textId="77777777">
            <w:pPr>
              <w:spacing w:after="0" w:line="240" w:lineRule="auto"/>
              <w:rPr>
                <w:color w:val="000000" w:themeColor="text1"/>
              </w:rPr>
            </w:pPr>
            <w:r w:rsidRPr="0055577F">
              <w:rPr>
                <w:color w:val="000000" w:themeColor="text1"/>
              </w:rPr>
              <w:t>Saistības pret Eiropas Savienību</w:t>
            </w:r>
          </w:p>
        </w:tc>
        <w:tc>
          <w:tcPr>
            <w:tcW w:w="6520" w:type="dxa"/>
            <w:tcBorders>
              <w:top w:val="single" w:sz="4" w:space="0" w:color="000000"/>
              <w:left w:val="single" w:sz="4" w:space="0" w:color="000000"/>
              <w:bottom w:val="single" w:sz="4" w:space="0" w:color="000000"/>
              <w:right w:val="single" w:sz="4" w:space="0" w:color="000000"/>
            </w:tcBorders>
            <w:hideMark/>
          </w:tcPr>
          <w:p w:rsidR="009D76FC" w:rsidRPr="0055577F" w:rsidP="009D76FC" w14:paraId="78CDE005" w14:textId="4701C24C">
            <w:pPr>
              <w:spacing w:before="0" w:after="0" w:line="240" w:lineRule="auto"/>
              <w:rPr>
                <w:color w:val="000000" w:themeColor="text1"/>
              </w:rPr>
            </w:pPr>
            <w:r>
              <w:rPr>
                <w:color w:val="000000" w:themeColor="text1"/>
              </w:rPr>
              <w:t>N</w:t>
            </w:r>
            <w:r w:rsidRPr="0055577F">
              <w:rPr>
                <w:color w:val="000000" w:themeColor="text1"/>
              </w:rPr>
              <w:t>oteikumu projekts ietver atsauces uz šād</w:t>
            </w:r>
            <w:r>
              <w:rPr>
                <w:color w:val="000000" w:themeColor="text1"/>
              </w:rPr>
              <w:t>iem Eiropas Savienības tiesību aktiem</w:t>
            </w:r>
            <w:r w:rsidRPr="0055577F">
              <w:rPr>
                <w:color w:val="000000" w:themeColor="text1"/>
              </w:rPr>
              <w:t>:</w:t>
            </w:r>
          </w:p>
          <w:p w:rsidR="009D76FC" w:rsidP="009D76FC" w14:paraId="6F06112E" w14:textId="2987AAB6">
            <w:pPr>
              <w:pStyle w:val="ListParagraph"/>
              <w:numPr>
                <w:ilvl w:val="0"/>
                <w:numId w:val="21"/>
              </w:numPr>
              <w:spacing w:before="0" w:after="0" w:line="240" w:lineRule="auto"/>
              <w:ind w:left="312" w:hanging="357"/>
              <w:rPr>
                <w:color w:val="000000" w:themeColor="text1"/>
              </w:rPr>
            </w:pPr>
            <w:r w:rsidRPr="0055577F">
              <w:rPr>
                <w:color w:val="000000" w:themeColor="text1"/>
              </w:rPr>
              <w:t>Regul</w:t>
            </w:r>
            <w:r w:rsidR="0080356F">
              <w:rPr>
                <w:color w:val="000000" w:themeColor="text1"/>
              </w:rPr>
              <w:t>u</w:t>
            </w:r>
            <w:r w:rsidRPr="0055577F">
              <w:rPr>
                <w:color w:val="000000" w:themeColor="text1"/>
              </w:rPr>
              <w:t xml:space="preserve"> </w:t>
            </w:r>
            <w:r w:rsidR="0080356F">
              <w:rPr>
                <w:color w:val="000000" w:themeColor="text1"/>
              </w:rPr>
              <w:t>Nr. </w:t>
            </w:r>
            <w:r w:rsidRPr="0055577F">
              <w:rPr>
                <w:color w:val="000000" w:themeColor="text1"/>
              </w:rPr>
              <w:t>601/2012;</w:t>
            </w:r>
          </w:p>
          <w:p w:rsidR="00EB1CB6" w:rsidRPr="0055577F" w:rsidP="009D76FC" w14:paraId="656FD291" w14:textId="49FAD060">
            <w:pPr>
              <w:pStyle w:val="ListParagraph"/>
              <w:numPr>
                <w:ilvl w:val="0"/>
                <w:numId w:val="21"/>
              </w:numPr>
              <w:spacing w:before="0" w:after="0" w:line="240" w:lineRule="auto"/>
              <w:ind w:left="312" w:hanging="357"/>
              <w:rPr>
                <w:color w:val="000000" w:themeColor="text1"/>
              </w:rPr>
            </w:pPr>
            <w:r>
              <w:rPr>
                <w:color w:val="000000" w:themeColor="text1"/>
              </w:rPr>
              <w:t>Eiropas Parlamenta un Padomes 2013.</w:t>
            </w:r>
            <w:r w:rsidR="00422950">
              <w:rPr>
                <w:color w:val="000000" w:themeColor="text1"/>
              </w:rPr>
              <w:t> </w:t>
            </w:r>
            <w:r>
              <w:rPr>
                <w:color w:val="000000" w:themeColor="text1"/>
              </w:rPr>
              <w:t>gada 21.</w:t>
            </w:r>
            <w:r w:rsidR="00422950">
              <w:rPr>
                <w:color w:val="000000" w:themeColor="text1"/>
              </w:rPr>
              <w:t> </w:t>
            </w:r>
            <w:r>
              <w:rPr>
                <w:color w:val="000000" w:themeColor="text1"/>
              </w:rPr>
              <w:t>maija Regul</w:t>
            </w:r>
            <w:r w:rsidR="00422950">
              <w:rPr>
                <w:color w:val="000000" w:themeColor="text1"/>
              </w:rPr>
              <w:t>u</w:t>
            </w:r>
            <w:r>
              <w:rPr>
                <w:color w:val="000000" w:themeColor="text1"/>
              </w:rPr>
              <w:t xml:space="preserve"> Nr.</w:t>
            </w:r>
            <w:r w:rsidR="00422950">
              <w:rPr>
                <w:color w:val="000000" w:themeColor="text1"/>
              </w:rPr>
              <w:t> </w:t>
            </w:r>
            <w:r>
              <w:rPr>
                <w:color w:val="000000" w:themeColor="text1"/>
              </w:rPr>
              <w:t>525/2013 par mehānismu siltumnīcefekta gāzu emisiju pārraudzībai un ziņošanai un citas informācijas ziņošanai valstu un Savienības līmenī saistībā ar klimata pārmaiņām un par Lēmuma Nr.</w:t>
            </w:r>
            <w:r w:rsidR="00422950">
              <w:rPr>
                <w:color w:val="000000" w:themeColor="text1"/>
              </w:rPr>
              <w:t> </w:t>
            </w:r>
            <w:r>
              <w:rPr>
                <w:color w:val="000000" w:themeColor="text1"/>
              </w:rPr>
              <w:t xml:space="preserve">280/2004/EK atcelšanu (turpmāk – Regula </w:t>
            </w:r>
            <w:r w:rsidR="00422950">
              <w:rPr>
                <w:color w:val="000000" w:themeColor="text1"/>
              </w:rPr>
              <w:t>Nr. </w:t>
            </w:r>
            <w:r>
              <w:rPr>
                <w:color w:val="000000" w:themeColor="text1"/>
              </w:rPr>
              <w:t>525/2013);</w:t>
            </w:r>
          </w:p>
          <w:p w:rsidR="00B90844" w:rsidRPr="0055577F" w:rsidP="009D76FC" w14:paraId="16B44CAD" w14:textId="3618C838">
            <w:pPr>
              <w:pStyle w:val="ListParagraph"/>
              <w:numPr>
                <w:ilvl w:val="0"/>
                <w:numId w:val="21"/>
              </w:numPr>
              <w:spacing w:before="0" w:after="0" w:line="240" w:lineRule="auto"/>
              <w:ind w:left="312" w:hanging="357"/>
              <w:rPr>
                <w:color w:val="000000" w:themeColor="text1"/>
              </w:rPr>
            </w:pPr>
            <w:r w:rsidRPr="0055577F">
              <w:rPr>
                <w:color w:val="000000" w:themeColor="text1"/>
                <w:shd w:val="clear" w:color="auto" w:fill="FFFFFF"/>
              </w:rPr>
              <w:t>Eiropas Parlamenta un Padomes 2014. gada 16. aprīļa Regul</w:t>
            </w:r>
            <w:r w:rsidR="00422950">
              <w:rPr>
                <w:color w:val="000000" w:themeColor="text1"/>
                <w:shd w:val="clear" w:color="auto" w:fill="FFFFFF"/>
              </w:rPr>
              <w:t>u</w:t>
            </w:r>
            <w:r w:rsidRPr="0055577F">
              <w:rPr>
                <w:color w:val="000000" w:themeColor="text1"/>
                <w:shd w:val="clear" w:color="auto" w:fill="FFFFFF"/>
              </w:rPr>
              <w:t xml:space="preserve"> Nr.</w:t>
            </w:r>
            <w:r w:rsidRPr="0055577F">
              <w:rPr>
                <w:rStyle w:val="apple-converted-space"/>
                <w:color w:val="000000" w:themeColor="text1"/>
                <w:shd w:val="clear" w:color="auto" w:fill="FFFFFF"/>
              </w:rPr>
              <w:t> </w:t>
            </w:r>
            <w:r>
              <w:fldChar w:fldCharType="begin"/>
            </w:r>
            <w:r>
              <w:instrText xml:space="preserve"> HYPERLINK "http://eur-lex.europa.eu/eli/reg/2012/601/oj/?locale=LV" \t "_blank" </w:instrText>
            </w:r>
            <w:r>
              <w:fldChar w:fldCharType="separate"/>
            </w:r>
            <w:r w:rsidRPr="0055577F">
              <w:rPr>
                <w:rStyle w:val="Hyperlink"/>
                <w:color w:val="000000" w:themeColor="text1"/>
                <w:u w:val="none"/>
                <w:shd w:val="clear" w:color="auto" w:fill="FFFFFF"/>
              </w:rPr>
              <w:t>517/2014</w:t>
            </w:r>
            <w:r>
              <w:fldChar w:fldCharType="end"/>
            </w:r>
            <w:r w:rsidRPr="0055577F">
              <w:rPr>
                <w:rStyle w:val="apple-converted-space"/>
                <w:color w:val="000000" w:themeColor="text1"/>
                <w:shd w:val="clear" w:color="auto" w:fill="FFFFFF"/>
              </w:rPr>
              <w:t> </w:t>
            </w:r>
            <w:r w:rsidRPr="0055577F">
              <w:rPr>
                <w:color w:val="000000" w:themeColor="text1"/>
                <w:shd w:val="clear" w:color="auto" w:fill="FFFFFF"/>
              </w:rPr>
              <w:t>par fluorētām siltumnīcefekta gāzēm un ar ko atceļ Regulu (EK) Nr.</w:t>
            </w:r>
            <w:r w:rsidR="00422950">
              <w:rPr>
                <w:color w:val="000000" w:themeColor="text1"/>
                <w:shd w:val="clear" w:color="auto" w:fill="FFFFFF"/>
              </w:rPr>
              <w:t> </w:t>
            </w:r>
            <w:r w:rsidRPr="0055577F">
              <w:rPr>
                <w:color w:val="000000" w:themeColor="text1"/>
                <w:shd w:val="clear" w:color="auto" w:fill="FFFFFF"/>
              </w:rPr>
              <w:t xml:space="preserve">842/2006 (turpmāk – </w:t>
            </w:r>
            <w:r w:rsidRPr="0055577F" w:rsidR="00AC448D">
              <w:rPr>
                <w:color w:val="000000" w:themeColor="text1"/>
                <w:shd w:val="clear" w:color="auto" w:fill="FFFFFF"/>
              </w:rPr>
              <w:t>Regula</w:t>
            </w:r>
            <w:r w:rsidRPr="0055577F">
              <w:rPr>
                <w:color w:val="000000" w:themeColor="text1"/>
                <w:shd w:val="clear" w:color="auto" w:fill="FFFFFF"/>
              </w:rPr>
              <w:t xml:space="preserve"> </w:t>
            </w:r>
            <w:r w:rsidR="00422950">
              <w:rPr>
                <w:color w:val="000000" w:themeColor="text1"/>
                <w:shd w:val="clear" w:color="auto" w:fill="FFFFFF"/>
              </w:rPr>
              <w:t>Nr. </w:t>
            </w:r>
            <w:r>
              <w:fldChar w:fldCharType="begin"/>
            </w:r>
            <w:r>
              <w:instrText xml:space="preserve"> HYPERLINK "http://eur-lex.europa.eu/eli/reg/2012/601/oj/?locale=LV" \t "_blank" </w:instrText>
            </w:r>
            <w:r>
              <w:fldChar w:fldCharType="separate"/>
            </w:r>
            <w:r w:rsidRPr="0055577F">
              <w:rPr>
                <w:rStyle w:val="Hyperlink"/>
                <w:color w:val="000000" w:themeColor="text1"/>
                <w:u w:val="none"/>
                <w:shd w:val="clear" w:color="auto" w:fill="FFFFFF"/>
              </w:rPr>
              <w:t>517/2014</w:t>
            </w:r>
            <w:r>
              <w:fldChar w:fldCharType="end"/>
            </w:r>
            <w:r w:rsidRPr="0055577F">
              <w:rPr>
                <w:rStyle w:val="Hyperlink"/>
                <w:color w:val="000000" w:themeColor="text1"/>
                <w:u w:val="none"/>
                <w:shd w:val="clear" w:color="auto" w:fill="FFFFFF"/>
              </w:rPr>
              <w:t>).</w:t>
            </w:r>
          </w:p>
        </w:tc>
      </w:tr>
      <w:tr w14:paraId="1C52109F" w14:textId="77777777" w:rsidTr="000E13A2">
        <w:tblPrEx>
          <w:tblW w:w="9323" w:type="dxa"/>
          <w:tblInd w:w="-1" w:type="dxa"/>
          <w:tblLook w:val="04A0"/>
        </w:tblPrEx>
        <w:trPr>
          <w:trHeight w:val="299"/>
        </w:trPr>
        <w:tc>
          <w:tcPr>
            <w:tcW w:w="535" w:type="dxa"/>
            <w:tcBorders>
              <w:top w:val="single" w:sz="4" w:space="0" w:color="000000"/>
              <w:left w:val="single" w:sz="4" w:space="0" w:color="000000"/>
              <w:bottom w:val="single" w:sz="4" w:space="0" w:color="000000"/>
              <w:right w:val="single" w:sz="4" w:space="0" w:color="000000"/>
            </w:tcBorders>
            <w:hideMark/>
          </w:tcPr>
          <w:p w:rsidR="00B90844" w:rsidRPr="0055577F" w14:paraId="59983649" w14:textId="56CE1223">
            <w:pPr>
              <w:spacing w:after="0" w:line="240" w:lineRule="auto"/>
              <w:jc w:val="center"/>
              <w:rPr>
                <w:color w:val="000000" w:themeColor="text1"/>
              </w:rPr>
            </w:pPr>
            <w:r w:rsidRPr="0055577F">
              <w:rPr>
                <w:color w:val="000000" w:themeColor="text1"/>
              </w:rPr>
              <w:t>2.</w:t>
            </w:r>
          </w:p>
        </w:tc>
        <w:tc>
          <w:tcPr>
            <w:tcW w:w="2268" w:type="dxa"/>
            <w:tcBorders>
              <w:top w:val="single" w:sz="4" w:space="0" w:color="000000"/>
              <w:left w:val="single" w:sz="4" w:space="0" w:color="000000"/>
              <w:bottom w:val="single" w:sz="4" w:space="0" w:color="000000"/>
              <w:right w:val="single" w:sz="4" w:space="0" w:color="000000"/>
            </w:tcBorders>
            <w:hideMark/>
          </w:tcPr>
          <w:p w:rsidR="00B90844" w:rsidRPr="0055577F" w14:paraId="3F677925" w14:textId="77777777">
            <w:pPr>
              <w:spacing w:after="0" w:line="240" w:lineRule="auto"/>
              <w:rPr>
                <w:color w:val="000000" w:themeColor="text1"/>
              </w:rPr>
            </w:pPr>
            <w:r w:rsidRPr="0055577F">
              <w:rPr>
                <w:color w:val="000000" w:themeColor="text1"/>
              </w:rPr>
              <w:t>Citas starptautiskās saistības</w:t>
            </w:r>
          </w:p>
        </w:tc>
        <w:tc>
          <w:tcPr>
            <w:tcW w:w="6520" w:type="dxa"/>
            <w:tcBorders>
              <w:top w:val="single" w:sz="4" w:space="0" w:color="000000"/>
              <w:left w:val="single" w:sz="4" w:space="0" w:color="000000"/>
              <w:bottom w:val="single" w:sz="4" w:space="0" w:color="000000"/>
              <w:right w:val="single" w:sz="4" w:space="0" w:color="000000"/>
            </w:tcBorders>
            <w:hideMark/>
          </w:tcPr>
          <w:p w:rsidR="00B90844" w:rsidRPr="0055577F" w14:paraId="7F9F461F" w14:textId="77777777">
            <w:pPr>
              <w:spacing w:after="0" w:line="240" w:lineRule="auto"/>
              <w:rPr>
                <w:color w:val="000000" w:themeColor="text1"/>
              </w:rPr>
            </w:pPr>
            <w:r w:rsidRPr="0055577F">
              <w:rPr>
                <w:color w:val="000000" w:themeColor="text1"/>
              </w:rPr>
              <w:t>Projekts šo jomu neskar.</w:t>
            </w:r>
          </w:p>
        </w:tc>
      </w:tr>
      <w:tr w14:paraId="1EF76C09" w14:textId="77777777" w:rsidTr="000E13A2">
        <w:tblPrEx>
          <w:tblW w:w="9323" w:type="dxa"/>
          <w:tblInd w:w="-1" w:type="dxa"/>
          <w:tblLook w:val="04A0"/>
        </w:tblPrEx>
        <w:trPr>
          <w:trHeight w:val="53"/>
        </w:trPr>
        <w:tc>
          <w:tcPr>
            <w:tcW w:w="535" w:type="dxa"/>
            <w:tcBorders>
              <w:top w:val="single" w:sz="4" w:space="0" w:color="000000"/>
              <w:left w:val="single" w:sz="4" w:space="0" w:color="000000"/>
              <w:bottom w:val="single" w:sz="4" w:space="0" w:color="000000"/>
              <w:right w:val="single" w:sz="4" w:space="0" w:color="000000"/>
            </w:tcBorders>
            <w:hideMark/>
          </w:tcPr>
          <w:p w:rsidR="00B90844" w:rsidRPr="0055577F" w14:paraId="135452E5" w14:textId="77777777">
            <w:pPr>
              <w:spacing w:after="0" w:line="240" w:lineRule="auto"/>
              <w:jc w:val="center"/>
              <w:rPr>
                <w:color w:val="000000" w:themeColor="text1"/>
              </w:rPr>
            </w:pPr>
            <w:r w:rsidRPr="0055577F">
              <w:rPr>
                <w:color w:val="000000" w:themeColor="text1"/>
              </w:rPr>
              <w:t>3.</w:t>
            </w:r>
          </w:p>
        </w:tc>
        <w:tc>
          <w:tcPr>
            <w:tcW w:w="2268" w:type="dxa"/>
            <w:tcBorders>
              <w:top w:val="single" w:sz="4" w:space="0" w:color="000000"/>
              <w:left w:val="single" w:sz="4" w:space="0" w:color="000000"/>
              <w:bottom w:val="single" w:sz="4" w:space="0" w:color="000000"/>
              <w:right w:val="single" w:sz="4" w:space="0" w:color="000000"/>
            </w:tcBorders>
            <w:hideMark/>
          </w:tcPr>
          <w:p w:rsidR="00B90844" w:rsidRPr="0055577F" w14:paraId="24FCD856" w14:textId="77777777">
            <w:pPr>
              <w:spacing w:after="0" w:line="240" w:lineRule="auto"/>
              <w:rPr>
                <w:color w:val="000000" w:themeColor="text1"/>
              </w:rPr>
            </w:pPr>
            <w:r w:rsidRPr="0055577F">
              <w:rPr>
                <w:color w:val="000000" w:themeColor="text1"/>
              </w:rPr>
              <w:t>Cita informācija</w:t>
            </w:r>
          </w:p>
        </w:tc>
        <w:tc>
          <w:tcPr>
            <w:tcW w:w="6520" w:type="dxa"/>
            <w:tcBorders>
              <w:top w:val="single" w:sz="4" w:space="0" w:color="000000"/>
              <w:left w:val="single" w:sz="4" w:space="0" w:color="000000"/>
              <w:bottom w:val="single" w:sz="4" w:space="0" w:color="000000"/>
              <w:right w:val="single" w:sz="4" w:space="0" w:color="000000"/>
            </w:tcBorders>
            <w:hideMark/>
          </w:tcPr>
          <w:p w:rsidR="00B91DD2" w:rsidRPr="0055577F" w:rsidP="009D76FC" w14:paraId="1304171D" w14:textId="56D95B7D">
            <w:pPr>
              <w:rPr>
                <w:color w:val="000000" w:themeColor="text1"/>
              </w:rPr>
            </w:pPr>
            <w:r w:rsidRPr="0055577F">
              <w:rPr>
                <w:color w:val="000000" w:themeColor="text1"/>
              </w:rPr>
              <w:t>Nav</w:t>
            </w:r>
          </w:p>
        </w:tc>
      </w:tr>
    </w:tbl>
    <w:p w:rsidR="00B90844" w:rsidRPr="0055577F" w:rsidP="00B90844" w14:paraId="14F8471A" w14:textId="4B28B999">
      <w:pPr>
        <w:spacing w:after="0" w:line="240" w:lineRule="auto"/>
        <w:rPr>
          <w:color w:val="000000" w:themeColor="text1"/>
          <w:sz w:val="28"/>
          <w:szCs w:val="28"/>
          <w:lang w:eastAsia="en-US"/>
        </w:rPr>
      </w:pPr>
    </w:p>
    <w:tbl>
      <w:tblPr>
        <w:tblW w:w="50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2"/>
        <w:gridCol w:w="2471"/>
        <w:gridCol w:w="2058"/>
        <w:gridCol w:w="2354"/>
      </w:tblGrid>
      <w:tr w14:paraId="58B9FADE" w14:textId="77777777" w:rsidTr="00B90844">
        <w:tblPrEx>
          <w:tblW w:w="50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000" w:type="pct"/>
            <w:gridSpan w:val="4"/>
            <w:tcBorders>
              <w:top w:val="single" w:sz="4" w:space="0" w:color="000000"/>
              <w:left w:val="single" w:sz="4" w:space="0" w:color="000000"/>
              <w:bottom w:val="single" w:sz="4" w:space="0" w:color="000000"/>
              <w:right w:val="single" w:sz="4" w:space="0" w:color="000000"/>
            </w:tcBorders>
            <w:hideMark/>
          </w:tcPr>
          <w:p w:rsidR="00B90844" w:rsidRPr="0055577F" w14:paraId="13CC5BE8" w14:textId="77777777">
            <w:pPr>
              <w:spacing w:after="0" w:line="240" w:lineRule="auto"/>
              <w:jc w:val="center"/>
              <w:rPr>
                <w:b/>
                <w:color w:val="000000" w:themeColor="text1"/>
              </w:rPr>
            </w:pPr>
            <w:r w:rsidRPr="0055577F">
              <w:rPr>
                <w:b/>
                <w:color w:val="000000" w:themeColor="text1"/>
              </w:rPr>
              <w:t>1.tabula</w:t>
            </w:r>
          </w:p>
          <w:p w:rsidR="00B90844" w:rsidRPr="0055577F" w14:paraId="21EE943F" w14:textId="77777777">
            <w:pPr>
              <w:spacing w:after="0" w:line="240" w:lineRule="auto"/>
              <w:jc w:val="center"/>
              <w:rPr>
                <w:color w:val="000000" w:themeColor="text1"/>
              </w:rPr>
            </w:pPr>
            <w:r w:rsidRPr="0055577F">
              <w:rPr>
                <w:b/>
                <w:color w:val="000000" w:themeColor="text1"/>
              </w:rPr>
              <w:t>Tiesību akta projekta atbilstība ES tiesību aktiem</w:t>
            </w:r>
          </w:p>
        </w:tc>
      </w:tr>
      <w:tr w14:paraId="5E9FCF80" w14:textId="77777777" w:rsidTr="00B90844">
        <w:tblPrEx>
          <w:tblW w:w="5058" w:type="pct"/>
          <w:tblLook w:val="04A0"/>
        </w:tblPrEx>
        <w:tc>
          <w:tcPr>
            <w:tcW w:w="1337" w:type="pct"/>
            <w:tcBorders>
              <w:top w:val="single" w:sz="4" w:space="0" w:color="000000"/>
              <w:left w:val="single" w:sz="4" w:space="0" w:color="000000"/>
              <w:bottom w:val="single" w:sz="4" w:space="0" w:color="000000"/>
              <w:right w:val="single" w:sz="4" w:space="0" w:color="000000"/>
            </w:tcBorders>
            <w:hideMark/>
          </w:tcPr>
          <w:p w:rsidR="00B90844" w:rsidRPr="0055577F" w14:paraId="71DA0983" w14:textId="77777777">
            <w:pPr>
              <w:spacing w:after="0" w:line="240" w:lineRule="auto"/>
              <w:rPr>
                <w:color w:val="000000" w:themeColor="text1"/>
                <w:lang w:eastAsia="en-US"/>
              </w:rPr>
            </w:pPr>
            <w:r w:rsidRPr="0055577F">
              <w:rPr>
                <w:color w:val="000000" w:themeColor="text1"/>
              </w:rPr>
              <w:t>Attiecīgā ES tiesību akta datums, numurs un nosaukums</w:t>
            </w:r>
          </w:p>
        </w:tc>
        <w:tc>
          <w:tcPr>
            <w:tcW w:w="3663" w:type="pct"/>
            <w:gridSpan w:val="3"/>
            <w:tcBorders>
              <w:top w:val="single" w:sz="4" w:space="0" w:color="000000"/>
              <w:left w:val="single" w:sz="4" w:space="0" w:color="000000"/>
              <w:bottom w:val="single" w:sz="4" w:space="0" w:color="000000"/>
              <w:right w:val="single" w:sz="4" w:space="0" w:color="000000"/>
            </w:tcBorders>
            <w:hideMark/>
          </w:tcPr>
          <w:p w:rsidR="00AC448D" w:rsidRPr="00EB1CB6" w:rsidP="006637F3" w14:paraId="709F6AE1" w14:textId="52D1DA4F">
            <w:pPr>
              <w:pStyle w:val="ListParagraph"/>
              <w:numPr>
                <w:ilvl w:val="0"/>
                <w:numId w:val="21"/>
              </w:numPr>
              <w:spacing w:before="0" w:after="0" w:line="240" w:lineRule="auto"/>
              <w:ind w:left="312" w:hanging="357"/>
              <w:rPr>
                <w:bCs/>
                <w:color w:val="000000" w:themeColor="text1"/>
              </w:rPr>
            </w:pPr>
            <w:r w:rsidRPr="0055577F">
              <w:rPr>
                <w:color w:val="000000" w:themeColor="text1"/>
              </w:rPr>
              <w:t xml:space="preserve">Regula </w:t>
            </w:r>
            <w:r w:rsidR="00422950">
              <w:rPr>
                <w:color w:val="000000" w:themeColor="text1"/>
              </w:rPr>
              <w:t>Nr. </w:t>
            </w:r>
            <w:r w:rsidRPr="0055577F">
              <w:rPr>
                <w:color w:val="000000" w:themeColor="text1"/>
              </w:rPr>
              <w:t>601/2012</w:t>
            </w:r>
            <w:r w:rsidRPr="0055577F">
              <w:rPr>
                <w:color w:val="000000" w:themeColor="text1"/>
              </w:rPr>
              <w:t>;</w:t>
            </w:r>
          </w:p>
          <w:p w:rsidR="00EB1CB6" w:rsidRPr="00EB1CB6" w:rsidP="00EB1CB6" w14:paraId="79257A7A" w14:textId="57B0E54F">
            <w:pPr>
              <w:pStyle w:val="ListParagraph"/>
              <w:numPr>
                <w:ilvl w:val="0"/>
                <w:numId w:val="21"/>
              </w:numPr>
              <w:spacing w:before="0" w:after="0" w:line="240" w:lineRule="auto"/>
              <w:ind w:left="312" w:hanging="357"/>
              <w:rPr>
                <w:color w:val="000000" w:themeColor="text1"/>
              </w:rPr>
            </w:pPr>
            <w:r w:rsidRPr="0055577F">
              <w:rPr>
                <w:color w:val="000000" w:themeColor="text1"/>
              </w:rPr>
              <w:t xml:space="preserve">Regula </w:t>
            </w:r>
            <w:r w:rsidR="00422950">
              <w:rPr>
                <w:color w:val="000000" w:themeColor="text1"/>
              </w:rPr>
              <w:t>Nr. </w:t>
            </w:r>
            <w:r w:rsidRPr="0055577F">
              <w:rPr>
                <w:color w:val="000000" w:themeColor="text1"/>
              </w:rPr>
              <w:t>525/2013;</w:t>
            </w:r>
          </w:p>
          <w:p w:rsidR="00B90844" w:rsidRPr="0055577F" w:rsidP="006637F3" w14:paraId="54ABD1E3" w14:textId="3859F505">
            <w:pPr>
              <w:pStyle w:val="ListParagraph"/>
              <w:numPr>
                <w:ilvl w:val="0"/>
                <w:numId w:val="21"/>
              </w:numPr>
              <w:spacing w:before="0" w:after="0" w:line="240" w:lineRule="auto"/>
              <w:ind w:left="312" w:hanging="357"/>
              <w:rPr>
                <w:bCs/>
                <w:color w:val="000000" w:themeColor="text1"/>
              </w:rPr>
            </w:pPr>
            <w:r w:rsidRPr="0055577F">
              <w:rPr>
                <w:color w:val="000000" w:themeColor="text1"/>
              </w:rPr>
              <w:t xml:space="preserve">Regula </w:t>
            </w:r>
            <w:r w:rsidR="00422950">
              <w:rPr>
                <w:color w:val="000000" w:themeColor="text1"/>
              </w:rPr>
              <w:t>Nr. </w:t>
            </w:r>
            <w:r w:rsidRPr="0055577F">
              <w:rPr>
                <w:color w:val="000000" w:themeColor="text1"/>
              </w:rPr>
              <w:t>517/2014.</w:t>
            </w:r>
          </w:p>
        </w:tc>
      </w:tr>
      <w:tr w14:paraId="23FB170E" w14:textId="77777777" w:rsidTr="006637F3">
        <w:tblPrEx>
          <w:tblW w:w="5058" w:type="pct"/>
          <w:tblLook w:val="04A0"/>
        </w:tblPrEx>
        <w:tc>
          <w:tcPr>
            <w:tcW w:w="1337" w:type="pct"/>
            <w:tcBorders>
              <w:top w:val="single" w:sz="4" w:space="0" w:color="000000"/>
              <w:left w:val="single" w:sz="4" w:space="0" w:color="000000"/>
              <w:bottom w:val="single" w:sz="4" w:space="0" w:color="000000"/>
              <w:right w:val="single" w:sz="4" w:space="0" w:color="000000"/>
            </w:tcBorders>
            <w:hideMark/>
          </w:tcPr>
          <w:p w:rsidR="00B90844" w:rsidRPr="0055577F" w14:paraId="33E839C4" w14:textId="2ED42137">
            <w:pPr>
              <w:spacing w:before="100" w:beforeAutospacing="1" w:after="100" w:afterAutospacing="1" w:line="360" w:lineRule="auto"/>
              <w:ind w:firstLine="300"/>
              <w:jc w:val="center"/>
              <w:rPr>
                <w:color w:val="000000" w:themeColor="text1"/>
              </w:rPr>
            </w:pPr>
            <w:r w:rsidRPr="0055577F">
              <w:rPr>
                <w:color w:val="000000" w:themeColor="text1"/>
              </w:rPr>
              <w:t>A</w:t>
            </w:r>
          </w:p>
        </w:tc>
        <w:tc>
          <w:tcPr>
            <w:tcW w:w="1315" w:type="pct"/>
            <w:tcBorders>
              <w:top w:val="single" w:sz="4" w:space="0" w:color="000000"/>
              <w:left w:val="single" w:sz="4" w:space="0" w:color="000000"/>
              <w:bottom w:val="single" w:sz="4" w:space="0" w:color="000000"/>
              <w:right w:val="single" w:sz="4" w:space="0" w:color="000000"/>
            </w:tcBorders>
            <w:hideMark/>
          </w:tcPr>
          <w:p w:rsidR="00B90844" w:rsidRPr="0055577F" w14:paraId="6EFCECFE" w14:textId="77777777">
            <w:pPr>
              <w:spacing w:before="100" w:beforeAutospacing="1" w:after="100" w:afterAutospacing="1" w:line="360" w:lineRule="auto"/>
              <w:ind w:firstLine="300"/>
              <w:jc w:val="center"/>
              <w:rPr>
                <w:color w:val="000000" w:themeColor="text1"/>
              </w:rPr>
            </w:pPr>
            <w:r w:rsidRPr="0055577F">
              <w:rPr>
                <w:color w:val="000000" w:themeColor="text1"/>
              </w:rPr>
              <w:t>B</w:t>
            </w:r>
          </w:p>
        </w:tc>
        <w:tc>
          <w:tcPr>
            <w:tcW w:w="1095" w:type="pct"/>
            <w:tcBorders>
              <w:top w:val="single" w:sz="4" w:space="0" w:color="000000"/>
              <w:left w:val="single" w:sz="4" w:space="0" w:color="000000"/>
              <w:bottom w:val="single" w:sz="4" w:space="0" w:color="000000"/>
              <w:right w:val="single" w:sz="4" w:space="0" w:color="000000"/>
            </w:tcBorders>
            <w:hideMark/>
          </w:tcPr>
          <w:p w:rsidR="00B90844" w:rsidRPr="0055577F" w14:paraId="781CAF7A" w14:textId="77777777">
            <w:pPr>
              <w:spacing w:before="100" w:beforeAutospacing="1" w:after="100" w:afterAutospacing="1" w:line="360" w:lineRule="auto"/>
              <w:ind w:firstLine="300"/>
              <w:jc w:val="center"/>
              <w:rPr>
                <w:color w:val="000000" w:themeColor="text1"/>
              </w:rPr>
            </w:pPr>
            <w:r w:rsidRPr="0055577F">
              <w:rPr>
                <w:color w:val="000000" w:themeColor="text1"/>
              </w:rPr>
              <w:t>C</w:t>
            </w:r>
          </w:p>
        </w:tc>
        <w:tc>
          <w:tcPr>
            <w:tcW w:w="1253" w:type="pct"/>
            <w:tcBorders>
              <w:top w:val="single" w:sz="4" w:space="0" w:color="000000"/>
              <w:left w:val="single" w:sz="4" w:space="0" w:color="000000"/>
              <w:bottom w:val="single" w:sz="4" w:space="0" w:color="000000"/>
              <w:right w:val="single" w:sz="4" w:space="0" w:color="000000"/>
            </w:tcBorders>
            <w:hideMark/>
          </w:tcPr>
          <w:p w:rsidR="00B90844" w:rsidRPr="0055577F" w14:paraId="7F84C80A" w14:textId="77777777">
            <w:pPr>
              <w:spacing w:before="100" w:beforeAutospacing="1" w:after="100" w:afterAutospacing="1" w:line="360" w:lineRule="auto"/>
              <w:ind w:firstLine="300"/>
              <w:jc w:val="center"/>
              <w:rPr>
                <w:color w:val="000000" w:themeColor="text1"/>
              </w:rPr>
            </w:pPr>
            <w:r w:rsidRPr="0055577F">
              <w:rPr>
                <w:color w:val="000000" w:themeColor="text1"/>
              </w:rPr>
              <w:t>D</w:t>
            </w:r>
          </w:p>
        </w:tc>
      </w:tr>
      <w:tr w14:paraId="26FD6485" w14:textId="77777777" w:rsidTr="006637F3">
        <w:tblPrEx>
          <w:tblW w:w="5058" w:type="pct"/>
          <w:tblLook w:val="04A0"/>
        </w:tblPrEx>
        <w:tc>
          <w:tcPr>
            <w:tcW w:w="1337" w:type="pct"/>
            <w:tcBorders>
              <w:top w:val="single" w:sz="4" w:space="0" w:color="000000"/>
              <w:left w:val="single" w:sz="4" w:space="0" w:color="000000"/>
              <w:bottom w:val="single" w:sz="4" w:space="0" w:color="000000"/>
              <w:right w:val="single" w:sz="4" w:space="0" w:color="000000"/>
            </w:tcBorders>
          </w:tcPr>
          <w:p w:rsidR="00B90844" w:rsidRPr="0055577F" w14:paraId="243BA3F6" w14:textId="5E61E817">
            <w:pPr>
              <w:spacing w:after="0" w:line="240" w:lineRule="auto"/>
              <w:rPr>
                <w:color w:val="000000" w:themeColor="text1"/>
              </w:rPr>
            </w:pPr>
            <w:r w:rsidRPr="0055577F">
              <w:rPr>
                <w:color w:val="000000" w:themeColor="text1"/>
              </w:rPr>
              <w:t xml:space="preserve">Regulas </w:t>
            </w:r>
            <w:r w:rsidR="00422950">
              <w:rPr>
                <w:color w:val="000000" w:themeColor="text1"/>
              </w:rPr>
              <w:t>Nr. </w:t>
            </w:r>
            <w:r w:rsidRPr="0055577F">
              <w:rPr>
                <w:color w:val="000000" w:themeColor="text1"/>
              </w:rPr>
              <w:t xml:space="preserve">601/2012 </w:t>
            </w:r>
            <w:r w:rsidRPr="0055577F" w:rsidR="00BE1B98">
              <w:rPr>
                <w:color w:val="000000" w:themeColor="text1"/>
              </w:rPr>
              <w:t>VI pielikums</w:t>
            </w:r>
          </w:p>
        </w:tc>
        <w:tc>
          <w:tcPr>
            <w:tcW w:w="1315" w:type="pct"/>
            <w:tcBorders>
              <w:top w:val="single" w:sz="4" w:space="0" w:color="000000"/>
              <w:left w:val="single" w:sz="4" w:space="0" w:color="000000"/>
              <w:bottom w:val="single" w:sz="4" w:space="0" w:color="000000"/>
              <w:right w:val="single" w:sz="4" w:space="0" w:color="000000"/>
            </w:tcBorders>
          </w:tcPr>
          <w:p w:rsidR="00B90844" w:rsidRPr="0055577F" w:rsidP="006637F3" w14:paraId="1F0DC872" w14:textId="6FC5E1E9">
            <w:pPr>
              <w:spacing w:after="0" w:line="240" w:lineRule="auto"/>
              <w:rPr>
                <w:color w:val="000000" w:themeColor="text1"/>
              </w:rPr>
            </w:pPr>
            <w:r w:rsidRPr="0055577F">
              <w:rPr>
                <w:color w:val="000000" w:themeColor="text1"/>
              </w:rPr>
              <w:t>N</w:t>
            </w:r>
            <w:r w:rsidRPr="0055577F" w:rsidR="00ED2580">
              <w:rPr>
                <w:color w:val="000000" w:themeColor="text1"/>
              </w:rPr>
              <w:t xml:space="preserve">oteikumu projekta </w:t>
            </w:r>
            <w:r w:rsidRPr="0055577F" w:rsidR="00AC448D">
              <w:rPr>
                <w:color w:val="000000" w:themeColor="text1"/>
              </w:rPr>
              <w:t xml:space="preserve">1. </w:t>
            </w:r>
            <w:r w:rsidRPr="0055577F" w:rsidR="00ED2580">
              <w:rPr>
                <w:color w:val="000000" w:themeColor="text1"/>
              </w:rPr>
              <w:t>pielikuma 1</w:t>
            </w:r>
            <w:r w:rsidRPr="0055577F" w:rsidR="00A57DE3">
              <w:rPr>
                <w:color w:val="000000" w:themeColor="text1"/>
              </w:rPr>
              <w:t>.</w:t>
            </w:r>
            <w:r w:rsidRPr="0055577F" w:rsidR="00ED2580">
              <w:rPr>
                <w:color w:val="000000" w:themeColor="text1"/>
              </w:rPr>
              <w:t xml:space="preserve"> un </w:t>
            </w:r>
            <w:r w:rsidRPr="0055577F" w:rsidR="006637F3">
              <w:rPr>
                <w:color w:val="000000" w:themeColor="text1"/>
              </w:rPr>
              <w:t>5</w:t>
            </w:r>
            <w:r w:rsidRPr="0055577F" w:rsidR="00ED2580">
              <w:rPr>
                <w:color w:val="000000" w:themeColor="text1"/>
              </w:rPr>
              <w:t>.</w:t>
            </w:r>
            <w:r w:rsidR="00422950">
              <w:rPr>
                <w:color w:val="000000" w:themeColor="text1"/>
              </w:rPr>
              <w:t> </w:t>
            </w:r>
            <w:r w:rsidRPr="0055577F" w:rsidR="00ED2580">
              <w:rPr>
                <w:color w:val="000000" w:themeColor="text1"/>
              </w:rPr>
              <w:t>punkts</w:t>
            </w:r>
          </w:p>
        </w:tc>
        <w:tc>
          <w:tcPr>
            <w:tcW w:w="1095" w:type="pct"/>
            <w:tcBorders>
              <w:top w:val="single" w:sz="4" w:space="0" w:color="000000"/>
              <w:left w:val="single" w:sz="4" w:space="0" w:color="000000"/>
              <w:bottom w:val="single" w:sz="4" w:space="0" w:color="000000"/>
              <w:right w:val="single" w:sz="4" w:space="0" w:color="000000"/>
            </w:tcBorders>
          </w:tcPr>
          <w:p w:rsidR="00B90844" w:rsidRPr="0055577F" w14:paraId="6ECF7A1A" w14:textId="35FCA97B">
            <w:pPr>
              <w:spacing w:after="0" w:line="240" w:lineRule="auto"/>
              <w:rPr>
                <w:color w:val="000000" w:themeColor="text1"/>
              </w:rPr>
            </w:pPr>
            <w:r w:rsidRPr="0055577F">
              <w:rPr>
                <w:color w:val="000000" w:themeColor="text1"/>
              </w:rPr>
              <w:t>Pārņemts pilnībā</w:t>
            </w:r>
          </w:p>
        </w:tc>
        <w:tc>
          <w:tcPr>
            <w:tcW w:w="1253" w:type="pct"/>
            <w:tcBorders>
              <w:top w:val="single" w:sz="4" w:space="0" w:color="000000"/>
              <w:left w:val="single" w:sz="4" w:space="0" w:color="000000"/>
              <w:bottom w:val="single" w:sz="4" w:space="0" w:color="000000"/>
              <w:right w:val="single" w:sz="4" w:space="0" w:color="000000"/>
            </w:tcBorders>
          </w:tcPr>
          <w:p w:rsidR="00B90844" w:rsidRPr="00E63BC1" w:rsidP="00611CAE" w14:paraId="288C3C98" w14:textId="77E7AA73">
            <w:pPr>
              <w:spacing w:after="0" w:line="240" w:lineRule="auto"/>
              <w:rPr>
                <w:color w:val="000000" w:themeColor="text1"/>
              </w:rPr>
            </w:pPr>
            <w:r w:rsidRPr="00E63BC1">
              <w:rPr>
                <w:color w:val="000000" w:themeColor="text1"/>
              </w:rPr>
              <w:t>Nacionālais tiesību akts neparedz stingrākas prasības.</w:t>
            </w:r>
          </w:p>
        </w:tc>
      </w:tr>
      <w:tr w14:paraId="6E36010C" w14:textId="77777777" w:rsidTr="006637F3">
        <w:tblPrEx>
          <w:tblW w:w="5058" w:type="pct"/>
          <w:tblLook w:val="04A0"/>
        </w:tblPrEx>
        <w:tc>
          <w:tcPr>
            <w:tcW w:w="1337" w:type="pct"/>
            <w:tcBorders>
              <w:top w:val="single" w:sz="4" w:space="0" w:color="000000"/>
              <w:left w:val="single" w:sz="4" w:space="0" w:color="000000"/>
              <w:bottom w:val="single" w:sz="4" w:space="0" w:color="000000"/>
              <w:right w:val="single" w:sz="4" w:space="0" w:color="000000"/>
            </w:tcBorders>
          </w:tcPr>
          <w:p w:rsidR="00EB1CB6" w:rsidRPr="0055577F" w14:paraId="279C5E34" w14:textId="6D11922B">
            <w:pPr>
              <w:spacing w:after="0" w:line="240" w:lineRule="auto"/>
              <w:rPr>
                <w:color w:val="000000" w:themeColor="text1"/>
              </w:rPr>
            </w:pPr>
            <w:r w:rsidRPr="0055577F">
              <w:rPr>
                <w:color w:val="000000" w:themeColor="text1"/>
              </w:rPr>
              <w:t xml:space="preserve">Regula </w:t>
            </w:r>
            <w:r w:rsidR="00422950">
              <w:rPr>
                <w:color w:val="000000" w:themeColor="text1"/>
              </w:rPr>
              <w:t>Nr. </w:t>
            </w:r>
            <w:r w:rsidRPr="0055577F">
              <w:rPr>
                <w:color w:val="000000" w:themeColor="text1"/>
              </w:rPr>
              <w:t>525/2013</w:t>
            </w:r>
          </w:p>
        </w:tc>
        <w:tc>
          <w:tcPr>
            <w:tcW w:w="1315" w:type="pct"/>
            <w:tcBorders>
              <w:top w:val="single" w:sz="4" w:space="0" w:color="000000"/>
              <w:left w:val="single" w:sz="4" w:space="0" w:color="000000"/>
              <w:bottom w:val="single" w:sz="4" w:space="0" w:color="000000"/>
              <w:right w:val="single" w:sz="4" w:space="0" w:color="000000"/>
            </w:tcBorders>
          </w:tcPr>
          <w:p w:rsidR="00EB1CB6" w:rsidRPr="0055577F" w:rsidP="006637F3" w14:paraId="34D6AA23" w14:textId="1578921F">
            <w:pPr>
              <w:spacing w:after="0" w:line="240" w:lineRule="auto"/>
              <w:rPr>
                <w:color w:val="000000" w:themeColor="text1"/>
              </w:rPr>
            </w:pPr>
            <w:r w:rsidRPr="0055577F">
              <w:rPr>
                <w:color w:val="000000" w:themeColor="text1"/>
              </w:rPr>
              <w:t>N</w:t>
            </w:r>
            <w:r>
              <w:rPr>
                <w:color w:val="000000" w:themeColor="text1"/>
              </w:rPr>
              <w:t>oteikumu projekta 11</w:t>
            </w:r>
            <w:r w:rsidRPr="0055577F">
              <w:rPr>
                <w:color w:val="000000" w:themeColor="text1"/>
              </w:rPr>
              <w:t>.</w:t>
            </w:r>
            <w:r w:rsidR="00422950">
              <w:rPr>
                <w:color w:val="000000" w:themeColor="text1"/>
              </w:rPr>
              <w:t> </w:t>
            </w:r>
            <w:r w:rsidRPr="0055577F">
              <w:rPr>
                <w:color w:val="000000" w:themeColor="text1"/>
              </w:rPr>
              <w:t>punkts</w:t>
            </w:r>
          </w:p>
        </w:tc>
        <w:tc>
          <w:tcPr>
            <w:tcW w:w="1095" w:type="pct"/>
            <w:tcBorders>
              <w:top w:val="single" w:sz="4" w:space="0" w:color="000000"/>
              <w:left w:val="single" w:sz="4" w:space="0" w:color="000000"/>
              <w:bottom w:val="single" w:sz="4" w:space="0" w:color="000000"/>
              <w:right w:val="single" w:sz="4" w:space="0" w:color="000000"/>
            </w:tcBorders>
          </w:tcPr>
          <w:p w:rsidR="00EB1CB6" w:rsidRPr="0055577F" w14:paraId="2A49D1DD" w14:textId="0FBB86AA">
            <w:pPr>
              <w:spacing w:after="0" w:line="240" w:lineRule="auto"/>
              <w:rPr>
                <w:color w:val="000000" w:themeColor="text1"/>
              </w:rPr>
            </w:pPr>
            <w:r w:rsidRPr="0055577F">
              <w:rPr>
                <w:color w:val="000000" w:themeColor="text1"/>
              </w:rPr>
              <w:t>Pārņemts pilnībā</w:t>
            </w:r>
          </w:p>
        </w:tc>
        <w:tc>
          <w:tcPr>
            <w:tcW w:w="1253" w:type="pct"/>
            <w:tcBorders>
              <w:top w:val="single" w:sz="4" w:space="0" w:color="000000"/>
              <w:left w:val="single" w:sz="4" w:space="0" w:color="000000"/>
              <w:bottom w:val="single" w:sz="4" w:space="0" w:color="000000"/>
              <w:right w:val="single" w:sz="4" w:space="0" w:color="000000"/>
            </w:tcBorders>
          </w:tcPr>
          <w:p w:rsidR="00EB1CB6" w:rsidRPr="00E63BC1" w:rsidP="00611CAE" w14:paraId="6D04DA42" w14:textId="6C01D5C9">
            <w:pPr>
              <w:spacing w:after="0" w:line="240" w:lineRule="auto"/>
              <w:rPr>
                <w:color w:val="000000" w:themeColor="text1"/>
              </w:rPr>
            </w:pPr>
            <w:r w:rsidRPr="00E63BC1">
              <w:rPr>
                <w:color w:val="000000" w:themeColor="text1"/>
              </w:rPr>
              <w:t>Nacionālais tiesību akts neparedz stingrākas prasības.</w:t>
            </w:r>
          </w:p>
        </w:tc>
      </w:tr>
      <w:tr w14:paraId="3CBB2BE5" w14:textId="77777777" w:rsidTr="006637F3">
        <w:tblPrEx>
          <w:tblW w:w="5058" w:type="pct"/>
          <w:tblLook w:val="04A0"/>
        </w:tblPrEx>
        <w:tc>
          <w:tcPr>
            <w:tcW w:w="1337" w:type="pct"/>
            <w:tcBorders>
              <w:top w:val="single" w:sz="4" w:space="0" w:color="000000"/>
              <w:left w:val="single" w:sz="4" w:space="0" w:color="000000"/>
              <w:bottom w:val="single" w:sz="4" w:space="0" w:color="000000"/>
              <w:right w:val="single" w:sz="4" w:space="0" w:color="000000"/>
            </w:tcBorders>
          </w:tcPr>
          <w:p w:rsidR="00AC448D" w:rsidRPr="0055577F" w14:paraId="737C10B7" w14:textId="56217754">
            <w:pPr>
              <w:spacing w:after="0" w:line="240" w:lineRule="auto"/>
              <w:rPr>
                <w:color w:val="000000" w:themeColor="text1"/>
              </w:rPr>
            </w:pPr>
            <w:r w:rsidRPr="0055577F">
              <w:rPr>
                <w:color w:val="000000" w:themeColor="text1"/>
              </w:rPr>
              <w:t xml:space="preserve">Regula </w:t>
            </w:r>
            <w:r w:rsidR="00422950">
              <w:rPr>
                <w:color w:val="000000" w:themeColor="text1"/>
              </w:rPr>
              <w:t>Nr. </w:t>
            </w:r>
            <w:r w:rsidRPr="0055577F">
              <w:rPr>
                <w:color w:val="000000" w:themeColor="text1"/>
              </w:rPr>
              <w:t>517/2014 I pielikums</w:t>
            </w:r>
          </w:p>
        </w:tc>
        <w:tc>
          <w:tcPr>
            <w:tcW w:w="1315" w:type="pct"/>
            <w:tcBorders>
              <w:top w:val="single" w:sz="4" w:space="0" w:color="000000"/>
              <w:left w:val="single" w:sz="4" w:space="0" w:color="000000"/>
              <w:bottom w:val="single" w:sz="4" w:space="0" w:color="000000"/>
              <w:right w:val="single" w:sz="4" w:space="0" w:color="000000"/>
            </w:tcBorders>
          </w:tcPr>
          <w:p w:rsidR="00AC448D" w:rsidRPr="0055577F" w:rsidP="006637F3" w14:paraId="799A24B4" w14:textId="4D8A6715">
            <w:pPr>
              <w:spacing w:after="0" w:line="240" w:lineRule="auto"/>
              <w:rPr>
                <w:color w:val="000000" w:themeColor="text1"/>
              </w:rPr>
            </w:pPr>
            <w:r w:rsidRPr="0055577F">
              <w:rPr>
                <w:color w:val="000000" w:themeColor="text1"/>
              </w:rPr>
              <w:t>N</w:t>
            </w:r>
            <w:r w:rsidR="00E63BC1">
              <w:rPr>
                <w:color w:val="000000" w:themeColor="text1"/>
              </w:rPr>
              <w:t>oteikumu projekta 1. pielikuma 9</w:t>
            </w:r>
            <w:r w:rsidRPr="0055577F">
              <w:rPr>
                <w:color w:val="000000" w:themeColor="text1"/>
              </w:rPr>
              <w:t>.</w:t>
            </w:r>
            <w:r w:rsidR="00422950">
              <w:rPr>
                <w:color w:val="000000" w:themeColor="text1"/>
              </w:rPr>
              <w:t> </w:t>
            </w:r>
            <w:r w:rsidRPr="0055577F">
              <w:rPr>
                <w:color w:val="000000" w:themeColor="text1"/>
              </w:rPr>
              <w:t>punkts</w:t>
            </w:r>
          </w:p>
        </w:tc>
        <w:tc>
          <w:tcPr>
            <w:tcW w:w="1095" w:type="pct"/>
            <w:tcBorders>
              <w:top w:val="single" w:sz="4" w:space="0" w:color="000000"/>
              <w:left w:val="single" w:sz="4" w:space="0" w:color="000000"/>
              <w:bottom w:val="single" w:sz="4" w:space="0" w:color="000000"/>
              <w:right w:val="single" w:sz="4" w:space="0" w:color="000000"/>
            </w:tcBorders>
          </w:tcPr>
          <w:p w:rsidR="00AC448D" w:rsidRPr="0055577F" w14:paraId="297F00B5" w14:textId="2BF86EC3">
            <w:pPr>
              <w:spacing w:after="0" w:line="240" w:lineRule="auto"/>
              <w:rPr>
                <w:color w:val="000000" w:themeColor="text1"/>
              </w:rPr>
            </w:pPr>
            <w:r w:rsidRPr="0055577F">
              <w:rPr>
                <w:color w:val="000000" w:themeColor="text1"/>
              </w:rPr>
              <w:t>Pārņemts pilnībā</w:t>
            </w:r>
          </w:p>
        </w:tc>
        <w:tc>
          <w:tcPr>
            <w:tcW w:w="1253" w:type="pct"/>
            <w:tcBorders>
              <w:top w:val="single" w:sz="4" w:space="0" w:color="000000"/>
              <w:left w:val="single" w:sz="4" w:space="0" w:color="000000"/>
              <w:bottom w:val="single" w:sz="4" w:space="0" w:color="000000"/>
              <w:right w:val="single" w:sz="4" w:space="0" w:color="000000"/>
            </w:tcBorders>
          </w:tcPr>
          <w:p w:rsidR="00AC448D" w:rsidRPr="00E63BC1" w:rsidP="00611CAE" w14:paraId="084AE837" w14:textId="58256BEF">
            <w:pPr>
              <w:spacing w:after="0" w:line="240" w:lineRule="auto"/>
              <w:rPr>
                <w:color w:val="000000" w:themeColor="text1"/>
              </w:rPr>
            </w:pPr>
            <w:r w:rsidRPr="00E63BC1">
              <w:rPr>
                <w:color w:val="000000" w:themeColor="text1"/>
              </w:rPr>
              <w:t>Nacionālais tiesību akts neparedz stingrākas prasības.</w:t>
            </w:r>
          </w:p>
        </w:tc>
      </w:tr>
      <w:tr w14:paraId="2949ADE8" w14:textId="77777777" w:rsidTr="00B90844">
        <w:tblPrEx>
          <w:tblW w:w="5058" w:type="pct"/>
          <w:tblLook w:val="04A0"/>
        </w:tblPrEx>
        <w:tc>
          <w:tcPr>
            <w:tcW w:w="1337" w:type="pct"/>
            <w:tcBorders>
              <w:top w:val="single" w:sz="4" w:space="0" w:color="000000"/>
              <w:left w:val="single" w:sz="4" w:space="0" w:color="000000"/>
              <w:bottom w:val="single" w:sz="4" w:space="0" w:color="000000"/>
              <w:right w:val="single" w:sz="4" w:space="0" w:color="000000"/>
            </w:tcBorders>
            <w:hideMark/>
          </w:tcPr>
          <w:p w:rsidR="00B90844" w:rsidRPr="0055577F" w14:paraId="30BC4D1B" w14:textId="77777777">
            <w:pPr>
              <w:spacing w:after="0" w:line="240" w:lineRule="auto"/>
              <w:rPr>
                <w:color w:val="000000" w:themeColor="text1"/>
              </w:rPr>
            </w:pPr>
            <w:r w:rsidRPr="0055577F">
              <w:rPr>
                <w:color w:val="000000" w:themeColor="text1"/>
              </w:rPr>
              <w:t>Kā ir izmantota ES tiesību aktā paredzētā rīcības brīvība dalībvalstij pārņemt vai ieviest noteiktas ES tiesību akta normas?</w:t>
            </w:r>
            <w:r w:rsidRPr="0055577F">
              <w:rPr>
                <w:color w:val="000000" w:themeColor="text1"/>
              </w:rPr>
              <w:br/>
              <w:t>Kādēļ?</w:t>
            </w:r>
          </w:p>
        </w:tc>
        <w:tc>
          <w:tcPr>
            <w:tcW w:w="3663" w:type="pct"/>
            <w:gridSpan w:val="3"/>
            <w:tcBorders>
              <w:top w:val="single" w:sz="4" w:space="0" w:color="000000"/>
              <w:left w:val="single" w:sz="4" w:space="0" w:color="000000"/>
              <w:bottom w:val="single" w:sz="4" w:space="0" w:color="000000"/>
              <w:right w:val="single" w:sz="4" w:space="0" w:color="000000"/>
            </w:tcBorders>
            <w:hideMark/>
          </w:tcPr>
          <w:p w:rsidR="00B90844" w:rsidRPr="0055577F" w14:paraId="42E6BF67" w14:textId="77777777">
            <w:pPr>
              <w:spacing w:after="0" w:line="240" w:lineRule="auto"/>
              <w:rPr>
                <w:color w:val="000000" w:themeColor="text1"/>
              </w:rPr>
            </w:pPr>
            <w:r w:rsidRPr="0055577F">
              <w:rPr>
                <w:color w:val="000000" w:themeColor="text1"/>
              </w:rPr>
              <w:t>Projekts šo jomu neskar.</w:t>
            </w:r>
          </w:p>
        </w:tc>
      </w:tr>
      <w:tr w14:paraId="0E260D5A" w14:textId="77777777" w:rsidTr="00B90844">
        <w:tblPrEx>
          <w:tblW w:w="5058" w:type="pct"/>
          <w:tblLook w:val="04A0"/>
        </w:tblPrEx>
        <w:tc>
          <w:tcPr>
            <w:tcW w:w="1337" w:type="pct"/>
            <w:tcBorders>
              <w:top w:val="single" w:sz="4" w:space="0" w:color="000000"/>
              <w:left w:val="single" w:sz="4" w:space="0" w:color="000000"/>
              <w:bottom w:val="single" w:sz="4" w:space="0" w:color="000000"/>
              <w:right w:val="single" w:sz="4" w:space="0" w:color="000000"/>
            </w:tcBorders>
            <w:hideMark/>
          </w:tcPr>
          <w:p w:rsidR="00B90844" w:rsidRPr="0055577F" w14:paraId="0AA16ECF" w14:textId="77777777">
            <w:pPr>
              <w:spacing w:after="0" w:line="240" w:lineRule="auto"/>
              <w:rPr>
                <w:color w:val="000000" w:themeColor="text1"/>
              </w:rPr>
            </w:pPr>
            <w:r w:rsidRPr="0055577F">
              <w:rPr>
                <w:color w:val="000000" w:themeColor="text1"/>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63" w:type="pct"/>
            <w:gridSpan w:val="3"/>
            <w:tcBorders>
              <w:top w:val="single" w:sz="4" w:space="0" w:color="000000"/>
              <w:left w:val="single" w:sz="4" w:space="0" w:color="000000"/>
              <w:bottom w:val="single" w:sz="4" w:space="0" w:color="000000"/>
              <w:right w:val="single" w:sz="4" w:space="0" w:color="000000"/>
            </w:tcBorders>
            <w:hideMark/>
          </w:tcPr>
          <w:p w:rsidR="00B90844" w:rsidRPr="0055577F" w14:paraId="6E24A049" w14:textId="1073EAF1">
            <w:pPr>
              <w:rPr>
                <w:color w:val="000000" w:themeColor="text1"/>
              </w:rPr>
            </w:pPr>
            <w:r w:rsidRPr="0055577F">
              <w:rPr>
                <w:color w:val="000000" w:themeColor="text1"/>
              </w:rPr>
              <w:t>Projekts šo jomu neskar.</w:t>
            </w:r>
          </w:p>
        </w:tc>
      </w:tr>
      <w:tr w14:paraId="1699D1E0" w14:textId="77777777" w:rsidTr="00B90844">
        <w:tblPrEx>
          <w:tblW w:w="5058" w:type="pct"/>
          <w:tblLook w:val="04A0"/>
        </w:tblPrEx>
        <w:tc>
          <w:tcPr>
            <w:tcW w:w="1337" w:type="pct"/>
            <w:tcBorders>
              <w:top w:val="single" w:sz="4" w:space="0" w:color="000000"/>
              <w:left w:val="single" w:sz="4" w:space="0" w:color="000000"/>
              <w:bottom w:val="single" w:sz="4" w:space="0" w:color="000000"/>
              <w:right w:val="single" w:sz="4" w:space="0" w:color="000000"/>
            </w:tcBorders>
            <w:hideMark/>
          </w:tcPr>
          <w:p w:rsidR="00B90844" w:rsidRPr="0055577F" w14:paraId="64DB00D9" w14:textId="77777777">
            <w:pPr>
              <w:spacing w:after="0" w:line="240" w:lineRule="auto"/>
              <w:rPr>
                <w:color w:val="000000" w:themeColor="text1"/>
                <w:lang w:eastAsia="en-US"/>
              </w:rPr>
            </w:pPr>
            <w:r w:rsidRPr="0055577F">
              <w:rPr>
                <w:color w:val="000000" w:themeColor="text1"/>
              </w:rPr>
              <w:t>Cita informācija</w:t>
            </w:r>
          </w:p>
        </w:tc>
        <w:tc>
          <w:tcPr>
            <w:tcW w:w="3663" w:type="pct"/>
            <w:gridSpan w:val="3"/>
            <w:tcBorders>
              <w:top w:val="single" w:sz="4" w:space="0" w:color="000000"/>
              <w:left w:val="single" w:sz="4" w:space="0" w:color="000000"/>
              <w:bottom w:val="single" w:sz="4" w:space="0" w:color="000000"/>
              <w:right w:val="single" w:sz="4" w:space="0" w:color="000000"/>
            </w:tcBorders>
            <w:hideMark/>
          </w:tcPr>
          <w:p w:rsidR="00B90844" w:rsidRPr="0055577F" w:rsidP="00EB1CB6" w14:paraId="40BC65CA" w14:textId="0BF62107">
            <w:pPr>
              <w:spacing w:before="0" w:after="0" w:line="240" w:lineRule="auto"/>
              <w:rPr>
                <w:bCs/>
                <w:iCs/>
                <w:color w:val="000000" w:themeColor="text1"/>
              </w:rPr>
            </w:pPr>
            <w:r w:rsidRPr="0055577F">
              <w:rPr>
                <w:color w:val="000000" w:themeColor="text1"/>
              </w:rPr>
              <w:t xml:space="preserve">Ar noteikumu projektu netiek </w:t>
            </w:r>
            <w:r w:rsidRPr="0055577F" w:rsidR="009D76FC">
              <w:rPr>
                <w:color w:val="000000" w:themeColor="text1"/>
              </w:rPr>
              <w:t xml:space="preserve">īstenotas </w:t>
            </w:r>
            <w:r w:rsidRPr="0055577F">
              <w:rPr>
                <w:color w:val="000000" w:themeColor="text1"/>
              </w:rPr>
              <w:t xml:space="preserve">Regulas </w:t>
            </w:r>
            <w:r w:rsidR="00422950">
              <w:rPr>
                <w:color w:val="000000" w:themeColor="text1"/>
              </w:rPr>
              <w:t>Nr. </w:t>
            </w:r>
            <w:r w:rsidRPr="0055577F">
              <w:rPr>
                <w:color w:val="000000" w:themeColor="text1"/>
              </w:rPr>
              <w:t>601/2012</w:t>
            </w:r>
            <w:r w:rsidR="00EB1CB6">
              <w:rPr>
                <w:color w:val="000000" w:themeColor="text1"/>
              </w:rPr>
              <w:t xml:space="preserve">, </w:t>
            </w:r>
            <w:r w:rsidRPr="0055577F" w:rsidR="00EB1CB6">
              <w:rPr>
                <w:color w:val="000000" w:themeColor="text1"/>
              </w:rPr>
              <w:t xml:space="preserve">Regulas </w:t>
            </w:r>
            <w:r w:rsidR="00422950">
              <w:rPr>
                <w:color w:val="000000" w:themeColor="text1"/>
              </w:rPr>
              <w:t>Nr. </w:t>
            </w:r>
            <w:r w:rsidRPr="0055577F" w:rsidR="00EB1CB6">
              <w:rPr>
                <w:color w:val="000000" w:themeColor="text1"/>
              </w:rPr>
              <w:t>525/2013</w:t>
            </w:r>
            <w:r w:rsidRPr="0055577F">
              <w:rPr>
                <w:color w:val="000000" w:themeColor="text1"/>
              </w:rPr>
              <w:t xml:space="preserve"> un Regula</w:t>
            </w:r>
            <w:r w:rsidR="00EB1CB6">
              <w:rPr>
                <w:color w:val="000000" w:themeColor="text1"/>
              </w:rPr>
              <w:t>s</w:t>
            </w:r>
            <w:r w:rsidRPr="0055577F">
              <w:rPr>
                <w:color w:val="000000" w:themeColor="text1"/>
              </w:rPr>
              <w:t xml:space="preserve"> </w:t>
            </w:r>
            <w:r w:rsidR="00422950">
              <w:rPr>
                <w:color w:val="000000" w:themeColor="text1"/>
              </w:rPr>
              <w:t>Nr. </w:t>
            </w:r>
            <w:r w:rsidRPr="0055577F">
              <w:rPr>
                <w:color w:val="000000" w:themeColor="text1"/>
              </w:rPr>
              <w:t xml:space="preserve">517/2014 prasības, bet tās tiek izmantotas kā atsauces avots, lai pamatotu </w:t>
            </w:r>
            <w:r w:rsidRPr="0055577F" w:rsidR="00CC3567">
              <w:rPr>
                <w:color w:val="000000" w:themeColor="text1"/>
              </w:rPr>
              <w:t xml:space="preserve">noteikumu projekta </w:t>
            </w:r>
            <w:r w:rsidRPr="0055577F">
              <w:rPr>
                <w:color w:val="000000" w:themeColor="text1"/>
              </w:rPr>
              <w:t>norm</w:t>
            </w:r>
            <w:r w:rsidRPr="0055577F" w:rsidR="000450A6">
              <w:rPr>
                <w:color w:val="000000" w:themeColor="text1"/>
              </w:rPr>
              <w:t>as</w:t>
            </w:r>
            <w:r w:rsidRPr="0055577F">
              <w:rPr>
                <w:color w:val="000000" w:themeColor="text1"/>
              </w:rPr>
              <w:t>.</w:t>
            </w:r>
          </w:p>
        </w:tc>
      </w:tr>
    </w:tbl>
    <w:p w:rsidR="00B90844" w:rsidRPr="0055577F" w:rsidP="00B90844" w14:paraId="26152989" w14:textId="77777777">
      <w:pPr>
        <w:spacing w:after="0" w:line="240" w:lineRule="auto"/>
        <w:rPr>
          <w:color w:val="000000" w:themeColor="text1"/>
          <w:sz w:val="28"/>
          <w:szCs w:val="28"/>
          <w:lang w:eastAsia="en-US"/>
        </w:rPr>
      </w:pPr>
    </w:p>
    <w:tbl>
      <w:tblPr>
        <w:tblW w:w="5122"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354"/>
      </w:tblGrid>
      <w:tr w14:paraId="0564B92E" w14:textId="77777777" w:rsidTr="00A57DE3">
        <w:tblPrEx>
          <w:tblW w:w="5122"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5000" w:type="pct"/>
            <w:tcBorders>
              <w:top w:val="outset" w:sz="6" w:space="0" w:color="414142"/>
              <w:left w:val="outset" w:sz="6" w:space="0" w:color="414142"/>
              <w:bottom w:val="outset" w:sz="6" w:space="0" w:color="414142"/>
              <w:right w:val="outset" w:sz="6" w:space="0" w:color="414142"/>
            </w:tcBorders>
            <w:vAlign w:val="center"/>
            <w:hideMark/>
          </w:tcPr>
          <w:p w:rsidR="00B90844" w:rsidRPr="0055577F" w14:paraId="14E7383A" w14:textId="51A176D5">
            <w:pPr>
              <w:spacing w:after="0" w:line="240" w:lineRule="auto"/>
              <w:ind w:firstLine="300"/>
              <w:jc w:val="center"/>
              <w:rPr>
                <w:b/>
                <w:bCs/>
                <w:color w:val="000000" w:themeColor="text1"/>
              </w:rPr>
            </w:pPr>
            <w:r w:rsidRPr="0055577F">
              <w:rPr>
                <w:b/>
                <w:bCs/>
                <w:color w:val="000000" w:themeColor="text1"/>
              </w:rPr>
              <w:t>2.</w:t>
            </w:r>
            <w:r w:rsidR="00422950">
              <w:rPr>
                <w:b/>
                <w:bCs/>
                <w:color w:val="000000" w:themeColor="text1"/>
              </w:rPr>
              <w:t> </w:t>
            </w:r>
            <w:r w:rsidRPr="0055577F">
              <w:rPr>
                <w:b/>
                <w:bCs/>
                <w:color w:val="000000" w:themeColor="text1"/>
              </w:rPr>
              <w:t>tabula</w:t>
            </w:r>
            <w:r w:rsidRPr="0055577F">
              <w:rPr>
                <w:b/>
                <w:bCs/>
                <w:color w:val="000000" w:themeColor="text1"/>
              </w:rPr>
              <w:br/>
              <w:t>Ar tiesību akta projektu izpildītās vai uzņemtās saistības, kas izriet no starptautiskajiem tiesību aktiem vai starptautiskas institūcijas vai organizācijas dokumentiem.</w:t>
            </w:r>
            <w:r w:rsidRPr="0055577F">
              <w:rPr>
                <w:b/>
                <w:bCs/>
                <w:color w:val="000000" w:themeColor="text1"/>
              </w:rPr>
              <w:br/>
              <w:t>Pasākumi šo saistību izpildei</w:t>
            </w:r>
          </w:p>
        </w:tc>
      </w:tr>
      <w:tr w14:paraId="773355B6" w14:textId="77777777" w:rsidTr="00A57DE3">
        <w:tblPrEx>
          <w:tblW w:w="5122" w:type="pct"/>
          <w:tblInd w:w="-112" w:type="dxa"/>
          <w:tblCellMar>
            <w:top w:w="30" w:type="dxa"/>
            <w:left w:w="30" w:type="dxa"/>
            <w:bottom w:w="30" w:type="dxa"/>
            <w:right w:w="30" w:type="dxa"/>
          </w:tblCellMar>
          <w:tblLook w:val="04A0"/>
        </w:tblPrEx>
        <w:tc>
          <w:tcPr>
            <w:tcW w:w="5000" w:type="pct"/>
            <w:tcBorders>
              <w:top w:val="outset" w:sz="6" w:space="0" w:color="414142"/>
              <w:left w:val="outset" w:sz="6" w:space="0" w:color="414142"/>
              <w:bottom w:val="outset" w:sz="6" w:space="0" w:color="414142"/>
              <w:right w:val="outset" w:sz="6" w:space="0" w:color="414142"/>
            </w:tcBorders>
            <w:vAlign w:val="center"/>
            <w:hideMark/>
          </w:tcPr>
          <w:p w:rsidR="00B90844" w:rsidRPr="00422950" w14:paraId="0420BE5B" w14:textId="77777777">
            <w:pPr>
              <w:spacing w:after="0" w:line="240" w:lineRule="auto"/>
              <w:jc w:val="center"/>
              <w:rPr>
                <w:color w:val="000000" w:themeColor="text1"/>
              </w:rPr>
            </w:pPr>
            <w:r w:rsidRPr="00422950">
              <w:rPr>
                <w:color w:val="000000" w:themeColor="text1"/>
              </w:rPr>
              <w:t>Projekts šo jomu neskar.</w:t>
            </w:r>
          </w:p>
        </w:tc>
      </w:tr>
    </w:tbl>
    <w:p w:rsidR="00BA5AD6" w:rsidRPr="0055577F" w:rsidP="00F52237" w14:paraId="4AB02C81" w14:textId="77777777">
      <w:pPr>
        <w:rPr>
          <w:i/>
          <w:color w:val="000000" w:themeColor="text1"/>
        </w:rPr>
      </w:pPr>
    </w:p>
    <w:tbl>
      <w:tblPr>
        <w:tblpPr w:leftFromText="180" w:rightFromText="180" w:vertAnchor="text" w:horzAnchor="margin" w:tblpXSpec="center" w:tblpY="14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3283"/>
        <w:gridCol w:w="5670"/>
      </w:tblGrid>
      <w:tr w14:paraId="5FDFA568" w14:textId="77777777" w:rsidTr="0052765C">
        <w:tblPrEx>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503" w:type="dxa"/>
            <w:gridSpan w:val="3"/>
            <w:vAlign w:val="center"/>
          </w:tcPr>
          <w:p w:rsidR="00047FEB" w:rsidRPr="0055577F" w:rsidP="00047FEB" w14:paraId="5F7D2ACB" w14:textId="48D7A155">
            <w:pPr>
              <w:pStyle w:val="naisnod"/>
              <w:spacing w:before="0" w:after="0"/>
              <w:rPr>
                <w:color w:val="000000" w:themeColor="text1"/>
              </w:rPr>
            </w:pPr>
            <w:r w:rsidRPr="0055577F">
              <w:rPr>
                <w:color w:val="000000" w:themeColor="text1"/>
              </w:rPr>
              <w:t>VI.</w:t>
            </w:r>
            <w:r w:rsidRPr="0055577F" w:rsidR="00061915">
              <w:rPr>
                <w:color w:val="000000" w:themeColor="text1"/>
              </w:rPr>
              <w:t> </w:t>
            </w:r>
            <w:r w:rsidRPr="0055577F">
              <w:rPr>
                <w:color w:val="000000" w:themeColor="text1"/>
              </w:rPr>
              <w:t>Sabiedrības līdzdalība un komunikācijas aktivitātes</w:t>
            </w:r>
          </w:p>
        </w:tc>
      </w:tr>
      <w:tr w14:paraId="13CEA7A3" w14:textId="77777777" w:rsidTr="0052765C">
        <w:tblPrEx>
          <w:tblW w:w="9503" w:type="dxa"/>
          <w:tblCellMar>
            <w:left w:w="0" w:type="dxa"/>
            <w:right w:w="0" w:type="dxa"/>
          </w:tblCellMar>
          <w:tblLook w:val="0000"/>
        </w:tblPrEx>
        <w:trPr>
          <w:trHeight w:val="467"/>
        </w:trPr>
        <w:tc>
          <w:tcPr>
            <w:tcW w:w="550" w:type="dxa"/>
          </w:tcPr>
          <w:p w:rsidR="00047FEB" w:rsidRPr="0055577F" w:rsidP="0052765C" w14:paraId="21D963B2" w14:textId="77777777">
            <w:pPr>
              <w:pStyle w:val="naiskr"/>
              <w:spacing w:before="0" w:after="0"/>
              <w:rPr>
                <w:color w:val="000000" w:themeColor="text1"/>
              </w:rPr>
            </w:pPr>
            <w:r w:rsidRPr="0055577F">
              <w:rPr>
                <w:color w:val="000000" w:themeColor="text1"/>
              </w:rPr>
              <w:t>1.</w:t>
            </w:r>
          </w:p>
        </w:tc>
        <w:tc>
          <w:tcPr>
            <w:tcW w:w="3283" w:type="dxa"/>
          </w:tcPr>
          <w:p w:rsidR="00047FEB" w:rsidRPr="0055577F" w:rsidP="00EF593A" w14:paraId="2BD26022" w14:textId="77777777">
            <w:pPr>
              <w:pStyle w:val="naiskr"/>
              <w:spacing w:before="0" w:after="0"/>
              <w:ind w:right="142"/>
              <w:rPr>
                <w:color w:val="000000" w:themeColor="text1"/>
              </w:rPr>
            </w:pPr>
            <w:r w:rsidRPr="0055577F">
              <w:rPr>
                <w:color w:val="000000" w:themeColor="text1"/>
              </w:rPr>
              <w:t>Plānotās sabiedrības līdzdalības un komunikācijas aktivitātes saistībā ar projektu</w:t>
            </w:r>
          </w:p>
        </w:tc>
        <w:tc>
          <w:tcPr>
            <w:tcW w:w="5670" w:type="dxa"/>
          </w:tcPr>
          <w:p w:rsidR="00061915" w:rsidRPr="0055577F" w:rsidP="004D3210" w14:paraId="40BEC23B" w14:textId="3A5899ED">
            <w:pPr>
              <w:pStyle w:val="naiskr"/>
              <w:spacing w:before="60" w:after="60"/>
              <w:ind w:left="141" w:right="284"/>
              <w:rPr>
                <w:color w:val="000000" w:themeColor="text1"/>
              </w:rPr>
            </w:pPr>
            <w:r w:rsidRPr="0055577F">
              <w:rPr>
                <w:color w:val="000000" w:themeColor="text1"/>
              </w:rPr>
              <w:t>Saskaņā ar Ministru kabineta 2009. gada 25. augusta noteikumu Nr. 970 „Sabiedrības līdzdalības kārtība attīstības plānošanas procesā” 7.4.</w:t>
            </w:r>
            <w:r w:rsidRPr="0055577F">
              <w:rPr>
                <w:color w:val="000000" w:themeColor="text1"/>
                <w:vertAlign w:val="superscript"/>
              </w:rPr>
              <w:t>1 </w:t>
            </w:r>
            <w:r w:rsidRPr="0055577F">
              <w:rPr>
                <w:color w:val="000000" w:themeColor="text1"/>
              </w:rPr>
              <w:t xml:space="preserve">apakšpunktu sabiedrības pārstāvji ir aicināti līdzdarboties, rakstiski sniedzot viedokli par </w:t>
            </w:r>
            <w:r w:rsidRPr="0055577F" w:rsidR="00944CF2">
              <w:rPr>
                <w:color w:val="000000" w:themeColor="text1"/>
              </w:rPr>
              <w:t xml:space="preserve">noteikumu projektu </w:t>
            </w:r>
            <w:r w:rsidRPr="0055577F">
              <w:rPr>
                <w:color w:val="000000" w:themeColor="text1"/>
              </w:rPr>
              <w:t xml:space="preserve">tā izstrādes stadijā. Sabiedrības pārstāvji ir informēti par iespēju līdzdarboties, publicējot paziņojumu par līdzdalības procesu </w:t>
            </w:r>
            <w:r w:rsidRPr="0055577F" w:rsidR="00422950">
              <w:rPr>
                <w:color w:val="000000" w:themeColor="text1"/>
              </w:rPr>
              <w:t>Vides aizsardzības un reģionālās attīstības ministrija</w:t>
            </w:r>
            <w:r w:rsidR="00422950">
              <w:rPr>
                <w:color w:val="000000" w:themeColor="text1"/>
              </w:rPr>
              <w:t>s</w:t>
            </w:r>
            <w:r w:rsidRPr="0055577F" w:rsidR="00422950">
              <w:rPr>
                <w:color w:val="000000" w:themeColor="text1"/>
              </w:rPr>
              <w:t xml:space="preserve"> </w:t>
            </w:r>
            <w:r w:rsidRPr="0055577F">
              <w:rPr>
                <w:color w:val="000000" w:themeColor="text1"/>
              </w:rPr>
              <w:t xml:space="preserve"> tīmekļvietnē.</w:t>
            </w:r>
          </w:p>
          <w:p w:rsidR="008D5477" w:rsidRPr="0055577F" w:rsidP="00FA71CB" w14:paraId="712E2F04" w14:textId="6FFB3A8F">
            <w:pPr>
              <w:spacing w:before="0" w:after="0"/>
              <w:ind w:left="141" w:right="284"/>
              <w:rPr>
                <w:color w:val="000000" w:themeColor="text1"/>
              </w:rPr>
            </w:pPr>
          </w:p>
        </w:tc>
      </w:tr>
      <w:tr w14:paraId="60743DDF" w14:textId="77777777" w:rsidTr="0052765C">
        <w:tblPrEx>
          <w:tblW w:w="9503" w:type="dxa"/>
          <w:tblCellMar>
            <w:left w:w="0" w:type="dxa"/>
            <w:right w:w="0" w:type="dxa"/>
          </w:tblCellMar>
          <w:tblLook w:val="0000"/>
        </w:tblPrEx>
        <w:trPr>
          <w:trHeight w:val="523"/>
        </w:trPr>
        <w:tc>
          <w:tcPr>
            <w:tcW w:w="550" w:type="dxa"/>
          </w:tcPr>
          <w:p w:rsidR="00047FEB" w:rsidRPr="0055577F" w:rsidP="0052765C" w14:paraId="7A01E35D" w14:textId="77777777">
            <w:pPr>
              <w:pStyle w:val="naiskr"/>
              <w:spacing w:before="0" w:after="0"/>
              <w:rPr>
                <w:color w:val="000000" w:themeColor="text1"/>
              </w:rPr>
            </w:pPr>
            <w:r w:rsidRPr="0055577F">
              <w:rPr>
                <w:color w:val="000000" w:themeColor="text1"/>
              </w:rPr>
              <w:t>2.</w:t>
            </w:r>
          </w:p>
        </w:tc>
        <w:tc>
          <w:tcPr>
            <w:tcW w:w="3283" w:type="dxa"/>
          </w:tcPr>
          <w:p w:rsidR="00047FEB" w:rsidRPr="0055577F" w:rsidP="00EF593A" w14:paraId="357C6E1B" w14:textId="77777777">
            <w:pPr>
              <w:pStyle w:val="naiskr"/>
              <w:spacing w:before="0" w:after="0"/>
              <w:ind w:right="142"/>
              <w:rPr>
                <w:color w:val="000000" w:themeColor="text1"/>
              </w:rPr>
            </w:pPr>
            <w:r w:rsidRPr="0055577F">
              <w:rPr>
                <w:color w:val="000000" w:themeColor="text1"/>
              </w:rPr>
              <w:t>Sabiedrības līdzdalība projekta izstrādē</w:t>
            </w:r>
          </w:p>
        </w:tc>
        <w:tc>
          <w:tcPr>
            <w:tcW w:w="5670" w:type="dxa"/>
          </w:tcPr>
          <w:p w:rsidR="00422950" w:rsidRPr="0055577F" w:rsidP="00422950" w14:paraId="580673AA" w14:textId="339A4DA4">
            <w:pPr>
              <w:spacing w:before="0" w:after="0"/>
              <w:ind w:left="141" w:right="284"/>
              <w:rPr>
                <w:color w:val="000000" w:themeColor="text1"/>
              </w:rPr>
            </w:pPr>
            <w:r w:rsidRPr="0055577F">
              <w:rPr>
                <w:color w:val="000000" w:themeColor="text1"/>
              </w:rPr>
              <w:t>Noteikumu projekts tika publicēts Vides aizsardzības un reģionālās attīstības ministrija</w:t>
            </w:r>
            <w:r>
              <w:rPr>
                <w:color w:val="000000" w:themeColor="text1"/>
              </w:rPr>
              <w:t>s</w:t>
            </w:r>
            <w:r w:rsidRPr="0055577F">
              <w:rPr>
                <w:color w:val="000000" w:themeColor="text1"/>
              </w:rPr>
              <w:t xml:space="preserve"> </w:t>
            </w:r>
            <w:r w:rsidRPr="0055577F">
              <w:rPr>
                <w:color w:val="000000" w:themeColor="text1"/>
              </w:rPr>
              <w:t>tīmekļvietnē 2017. gada 19. aprīlī.</w:t>
            </w:r>
          </w:p>
          <w:p w:rsidR="008D5477" w:rsidRPr="0055577F" w:rsidP="002036C6" w14:paraId="0198DD73" w14:textId="72B35966">
            <w:pPr>
              <w:spacing w:before="0" w:after="0"/>
              <w:ind w:left="141" w:right="284"/>
              <w:rPr>
                <w:color w:val="000000" w:themeColor="text1"/>
              </w:rPr>
            </w:pPr>
            <w:r w:rsidRPr="0055577F">
              <w:rPr>
                <w:color w:val="000000" w:themeColor="text1"/>
              </w:rPr>
              <w:t>Noteikumu projekts tika izsūtīts nozares ekspertiem un asociācijām 2017.</w:t>
            </w:r>
            <w:r>
              <w:rPr>
                <w:color w:val="000000" w:themeColor="text1"/>
              </w:rPr>
              <w:t> </w:t>
            </w:r>
            <w:r w:rsidRPr="0055577F">
              <w:rPr>
                <w:color w:val="000000" w:themeColor="text1"/>
              </w:rPr>
              <w:t>gada 12.</w:t>
            </w:r>
            <w:r>
              <w:rPr>
                <w:color w:val="000000" w:themeColor="text1"/>
              </w:rPr>
              <w:t> </w:t>
            </w:r>
            <w:r w:rsidRPr="0055577F">
              <w:rPr>
                <w:color w:val="000000" w:themeColor="text1"/>
              </w:rPr>
              <w:t>septembrī.</w:t>
            </w:r>
            <w:r w:rsidRPr="0055577F">
              <w:rPr>
                <w:color w:val="000000" w:themeColor="text1"/>
              </w:rPr>
              <w:t xml:space="preserve">. </w:t>
            </w:r>
          </w:p>
        </w:tc>
      </w:tr>
      <w:tr w14:paraId="3BACC4B6" w14:textId="77777777" w:rsidTr="0052765C">
        <w:tblPrEx>
          <w:tblW w:w="9503" w:type="dxa"/>
          <w:tblCellMar>
            <w:left w:w="0" w:type="dxa"/>
            <w:right w:w="0" w:type="dxa"/>
          </w:tblCellMar>
          <w:tblLook w:val="0000"/>
        </w:tblPrEx>
        <w:tc>
          <w:tcPr>
            <w:tcW w:w="550" w:type="dxa"/>
          </w:tcPr>
          <w:p w:rsidR="00047FEB" w:rsidRPr="0055577F" w:rsidP="0052765C" w14:paraId="66767D96" w14:textId="77777777">
            <w:pPr>
              <w:pStyle w:val="naiskr"/>
              <w:spacing w:before="0" w:after="0"/>
              <w:rPr>
                <w:color w:val="000000" w:themeColor="text1"/>
              </w:rPr>
            </w:pPr>
            <w:r w:rsidRPr="0055577F">
              <w:rPr>
                <w:color w:val="000000" w:themeColor="text1"/>
              </w:rPr>
              <w:t>3.</w:t>
            </w:r>
          </w:p>
        </w:tc>
        <w:tc>
          <w:tcPr>
            <w:tcW w:w="3283" w:type="dxa"/>
          </w:tcPr>
          <w:p w:rsidR="00047FEB" w:rsidRPr="0055577F" w:rsidP="0052765C" w14:paraId="6ABCC62C" w14:textId="77777777">
            <w:pPr>
              <w:pStyle w:val="naiskr"/>
              <w:spacing w:before="0" w:after="0"/>
              <w:rPr>
                <w:color w:val="000000" w:themeColor="text1"/>
              </w:rPr>
            </w:pPr>
            <w:r w:rsidRPr="0055577F">
              <w:rPr>
                <w:color w:val="000000" w:themeColor="text1"/>
              </w:rPr>
              <w:t>Sabiedrības līdzdalības rezultāti</w:t>
            </w:r>
          </w:p>
        </w:tc>
        <w:tc>
          <w:tcPr>
            <w:tcW w:w="5670" w:type="dxa"/>
          </w:tcPr>
          <w:p w:rsidR="00047FEB" w:rsidRPr="0055577F" w:rsidP="008D5477" w14:paraId="27B4AC2B" w14:textId="77D71020">
            <w:pPr>
              <w:spacing w:before="0" w:after="0"/>
              <w:ind w:left="141" w:right="284"/>
              <w:rPr>
                <w:color w:val="000000" w:themeColor="text1"/>
              </w:rPr>
            </w:pPr>
            <w:r w:rsidRPr="0055577F">
              <w:rPr>
                <w:color w:val="000000" w:themeColor="text1"/>
              </w:rPr>
              <w:t>Koment</w:t>
            </w:r>
            <w:r w:rsidRPr="0055577F" w:rsidR="00CD5FE3">
              <w:rPr>
                <w:color w:val="000000" w:themeColor="text1"/>
              </w:rPr>
              <w:t>āri vai priekšlikumi no sabiedrī</w:t>
            </w:r>
            <w:r w:rsidRPr="0055577F">
              <w:rPr>
                <w:color w:val="000000" w:themeColor="text1"/>
              </w:rPr>
              <w:t xml:space="preserve">bas </w:t>
            </w:r>
            <w:r w:rsidRPr="0055577F" w:rsidR="008D5477">
              <w:rPr>
                <w:color w:val="000000" w:themeColor="text1"/>
              </w:rPr>
              <w:t xml:space="preserve">pēc noteikumu projekta publicēšanas </w:t>
            </w:r>
            <w:r w:rsidRPr="0055577F" w:rsidR="00422950">
              <w:rPr>
                <w:color w:val="000000" w:themeColor="text1"/>
              </w:rPr>
              <w:t>Vides aizsardzības un reģionālās attīstības ministrija</w:t>
            </w:r>
            <w:r w:rsidR="00422950">
              <w:rPr>
                <w:color w:val="000000" w:themeColor="text1"/>
              </w:rPr>
              <w:t>s</w:t>
            </w:r>
            <w:r w:rsidR="001870DC">
              <w:rPr>
                <w:color w:val="000000" w:themeColor="text1"/>
              </w:rPr>
              <w:t xml:space="preserve"> </w:t>
            </w:r>
            <w:r w:rsidRPr="0055577F" w:rsidR="008D5477">
              <w:rPr>
                <w:color w:val="000000" w:themeColor="text1"/>
              </w:rPr>
              <w:t>tīmekļvietnē nav saņemti</w:t>
            </w:r>
            <w:r w:rsidRPr="0055577F">
              <w:rPr>
                <w:color w:val="000000" w:themeColor="text1"/>
              </w:rPr>
              <w:t>.</w:t>
            </w:r>
          </w:p>
          <w:p w:rsidR="008D5477" w:rsidRPr="0055577F" w:rsidP="005F4FA2" w14:paraId="670B684A" w14:textId="3D321E67">
            <w:pPr>
              <w:spacing w:before="0" w:after="0"/>
              <w:ind w:left="141" w:right="284"/>
              <w:rPr>
                <w:color w:val="000000" w:themeColor="text1"/>
              </w:rPr>
            </w:pPr>
            <w:r w:rsidRPr="0055577F">
              <w:rPr>
                <w:color w:val="000000" w:themeColor="text1"/>
              </w:rPr>
              <w:t xml:space="preserve">Pēc noteikumu projekta </w:t>
            </w:r>
            <w:r w:rsidRPr="0055577F" w:rsidR="00295C9F">
              <w:rPr>
                <w:color w:val="000000" w:themeColor="text1"/>
              </w:rPr>
              <w:t>no</w:t>
            </w:r>
            <w:r w:rsidRPr="0055577F">
              <w:rPr>
                <w:color w:val="000000" w:themeColor="text1"/>
              </w:rPr>
              <w:t xml:space="preserve">sūtīšanas nozaru ekspertiem un asociācijām saņemti priekšlikumi no </w:t>
            </w:r>
            <w:r w:rsidR="00422950">
              <w:rPr>
                <w:color w:val="000000" w:themeColor="text1"/>
              </w:rPr>
              <w:t>valsts sabiedrības ar ierobežotu atbildību “</w:t>
            </w:r>
            <w:r w:rsidRPr="0055577F">
              <w:rPr>
                <w:color w:val="000000" w:themeColor="text1"/>
              </w:rPr>
              <w:t>Latvijas Vides, ģeoloģijas un meteoroloģijas centr</w:t>
            </w:r>
            <w:r w:rsidR="00422950">
              <w:rPr>
                <w:color w:val="000000" w:themeColor="text1"/>
              </w:rPr>
              <w:t>s”</w:t>
            </w:r>
            <w:r w:rsidRPr="0055577F">
              <w:rPr>
                <w:color w:val="000000" w:themeColor="text1"/>
              </w:rPr>
              <w:t xml:space="preserve">, Latvijas Lauksaimniecības universitātes, Latvijas Biodegvielu un bioenerģijas asociācijas un Ceļu satiksmes drošības direkcijas. Saņemtie </w:t>
            </w:r>
            <w:r w:rsidRPr="0055577F" w:rsidR="00F77DAA">
              <w:rPr>
                <w:color w:val="000000" w:themeColor="text1"/>
              </w:rPr>
              <w:t xml:space="preserve">precizējumi </w:t>
            </w:r>
            <w:r w:rsidRPr="0055577F">
              <w:rPr>
                <w:color w:val="000000" w:themeColor="text1"/>
              </w:rPr>
              <w:t xml:space="preserve">un priekšlikumi ir </w:t>
            </w:r>
            <w:r w:rsidRPr="0055577F" w:rsidR="005F4FA2">
              <w:rPr>
                <w:color w:val="000000" w:themeColor="text1"/>
              </w:rPr>
              <w:t>izvērtēti un ņemti vērā sagatavotajā</w:t>
            </w:r>
            <w:r w:rsidRPr="0055577F">
              <w:rPr>
                <w:color w:val="000000" w:themeColor="text1"/>
              </w:rPr>
              <w:t xml:space="preserve"> noteikumu projektā</w:t>
            </w:r>
            <w:r w:rsidRPr="0055577F" w:rsidR="005F4FA2">
              <w:rPr>
                <w:color w:val="000000" w:themeColor="text1"/>
              </w:rPr>
              <w:t xml:space="preserve">, ciktāl tie nebija pretrunā </w:t>
            </w:r>
            <w:r w:rsidRPr="0055577F" w:rsidR="00865CD8">
              <w:rPr>
                <w:color w:val="000000" w:themeColor="text1"/>
              </w:rPr>
              <w:t>noteikumu</w:t>
            </w:r>
            <w:r w:rsidRPr="0055577F" w:rsidR="005F4FA2">
              <w:rPr>
                <w:color w:val="000000" w:themeColor="text1"/>
              </w:rPr>
              <w:t xml:space="preserve"> </w:t>
            </w:r>
            <w:r w:rsidRPr="0055577F" w:rsidR="00865CD8">
              <w:rPr>
                <w:color w:val="000000" w:themeColor="text1"/>
              </w:rPr>
              <w:t>projekta</w:t>
            </w:r>
            <w:r w:rsidRPr="0055577F" w:rsidR="005F4FA2">
              <w:rPr>
                <w:color w:val="000000" w:themeColor="text1"/>
              </w:rPr>
              <w:t xml:space="preserve"> būtībai</w:t>
            </w:r>
            <w:r w:rsidRPr="0055577F">
              <w:rPr>
                <w:color w:val="000000" w:themeColor="text1"/>
              </w:rPr>
              <w:t>.</w:t>
            </w:r>
          </w:p>
        </w:tc>
      </w:tr>
      <w:tr w14:paraId="46D307A5" w14:textId="77777777" w:rsidTr="0052765C">
        <w:tblPrEx>
          <w:tblW w:w="9503" w:type="dxa"/>
          <w:tblCellMar>
            <w:left w:w="0" w:type="dxa"/>
            <w:right w:w="0" w:type="dxa"/>
          </w:tblCellMar>
          <w:tblLook w:val="0000"/>
        </w:tblPrEx>
        <w:tc>
          <w:tcPr>
            <w:tcW w:w="550" w:type="dxa"/>
          </w:tcPr>
          <w:p w:rsidR="00047FEB" w:rsidRPr="0055577F" w:rsidP="0052765C" w14:paraId="6E034E2F" w14:textId="77777777">
            <w:pPr>
              <w:pStyle w:val="naiskr"/>
              <w:spacing w:before="0" w:after="0"/>
              <w:rPr>
                <w:color w:val="000000" w:themeColor="text1"/>
              </w:rPr>
            </w:pPr>
            <w:r w:rsidRPr="0055577F">
              <w:rPr>
                <w:color w:val="000000" w:themeColor="text1"/>
              </w:rPr>
              <w:t>4.</w:t>
            </w:r>
          </w:p>
        </w:tc>
        <w:tc>
          <w:tcPr>
            <w:tcW w:w="3283" w:type="dxa"/>
          </w:tcPr>
          <w:p w:rsidR="00047FEB" w:rsidRPr="0055577F" w:rsidP="0052765C" w14:paraId="0FDB59A3" w14:textId="77777777">
            <w:pPr>
              <w:pStyle w:val="naiskr"/>
              <w:spacing w:before="0" w:after="0"/>
              <w:rPr>
                <w:color w:val="000000" w:themeColor="text1"/>
              </w:rPr>
            </w:pPr>
            <w:r w:rsidRPr="0055577F">
              <w:rPr>
                <w:color w:val="000000" w:themeColor="text1"/>
              </w:rPr>
              <w:t>Cita informācija</w:t>
            </w:r>
          </w:p>
        </w:tc>
        <w:tc>
          <w:tcPr>
            <w:tcW w:w="5670" w:type="dxa"/>
          </w:tcPr>
          <w:p w:rsidR="00047FEB" w:rsidRPr="0055577F" w:rsidP="008B7820" w14:paraId="6D0A7FBB" w14:textId="77777777">
            <w:pPr>
              <w:spacing w:before="0" w:after="0"/>
              <w:ind w:left="131" w:right="294"/>
              <w:rPr>
                <w:color w:val="000000" w:themeColor="text1"/>
              </w:rPr>
            </w:pPr>
            <w:r w:rsidRPr="0055577F">
              <w:rPr>
                <w:color w:val="000000" w:themeColor="text1"/>
              </w:rPr>
              <w:t>Nav</w:t>
            </w:r>
          </w:p>
        </w:tc>
      </w:tr>
    </w:tbl>
    <w:p w:rsidR="00047FEB" w:rsidRPr="0055577F" w:rsidP="00F52237" w14:paraId="28D90F32" w14:textId="77777777">
      <w:pPr>
        <w:rPr>
          <w:i/>
          <w:color w:val="000000" w:themeColor="text1"/>
        </w:rPr>
      </w:pPr>
    </w:p>
    <w:tbl>
      <w:tblPr>
        <w:tblpPr w:leftFromText="180" w:rightFromText="180" w:vertAnchor="text" w:horzAnchor="margin" w:tblpXSpec="center" w:tblpY="14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75"/>
        <w:gridCol w:w="3358"/>
        <w:gridCol w:w="5670"/>
      </w:tblGrid>
      <w:tr w14:paraId="7A0956A5" w14:textId="77777777" w:rsidTr="0052765C">
        <w:tblPrEx>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503" w:type="dxa"/>
            <w:gridSpan w:val="3"/>
            <w:vAlign w:val="center"/>
          </w:tcPr>
          <w:p w:rsidR="00092C9C" w:rsidRPr="0055577F" w14:paraId="2A28CB3B" w14:textId="77777777">
            <w:pPr>
              <w:pStyle w:val="naisnod"/>
              <w:spacing w:before="0" w:after="0"/>
              <w:rPr>
                <w:color w:val="000000" w:themeColor="text1"/>
              </w:rPr>
            </w:pPr>
            <w:r w:rsidRPr="0055577F">
              <w:rPr>
                <w:color w:val="000000" w:themeColor="text1"/>
              </w:rPr>
              <w:t>VII.</w:t>
            </w:r>
            <w:r w:rsidRPr="0055577F" w:rsidR="006E28FC">
              <w:rPr>
                <w:color w:val="000000" w:themeColor="text1"/>
              </w:rPr>
              <w:t> </w:t>
            </w:r>
            <w:r w:rsidRPr="0055577F">
              <w:rPr>
                <w:color w:val="000000" w:themeColor="text1"/>
              </w:rPr>
              <w:t xml:space="preserve">Tiesību akta projekta </w:t>
            </w:r>
            <w:r w:rsidRPr="0055577F" w:rsidR="00ED05BA">
              <w:rPr>
                <w:color w:val="000000" w:themeColor="text1"/>
              </w:rPr>
              <w:t>izpildes nodrošināšana un tās ietekme uz institūcijām</w:t>
            </w:r>
          </w:p>
        </w:tc>
      </w:tr>
      <w:tr w14:paraId="6F1569CC" w14:textId="77777777" w:rsidTr="00A06049">
        <w:tblPrEx>
          <w:tblW w:w="9503" w:type="dxa"/>
          <w:tblCellMar>
            <w:left w:w="0" w:type="dxa"/>
            <w:right w:w="0" w:type="dxa"/>
          </w:tblCellMar>
          <w:tblLook w:val="0000"/>
        </w:tblPrEx>
        <w:tc>
          <w:tcPr>
            <w:tcW w:w="475" w:type="dxa"/>
            <w:vAlign w:val="center"/>
          </w:tcPr>
          <w:p w:rsidR="00092C9C" w:rsidRPr="0055577F" w14:paraId="534DEB55" w14:textId="77777777">
            <w:pPr>
              <w:pStyle w:val="naisnod"/>
              <w:spacing w:before="0" w:after="0"/>
              <w:rPr>
                <w:b w:val="0"/>
                <w:color w:val="000000" w:themeColor="text1"/>
              </w:rPr>
            </w:pPr>
            <w:r w:rsidRPr="0055577F">
              <w:rPr>
                <w:b w:val="0"/>
                <w:color w:val="000000" w:themeColor="text1"/>
              </w:rPr>
              <w:t>1.</w:t>
            </w:r>
          </w:p>
        </w:tc>
        <w:tc>
          <w:tcPr>
            <w:tcW w:w="3358" w:type="dxa"/>
            <w:tcBorders>
              <w:top w:val="outset" w:sz="6" w:space="0" w:color="414142"/>
              <w:left w:val="outset" w:sz="6" w:space="0" w:color="414142"/>
              <w:bottom w:val="outset" w:sz="6" w:space="0" w:color="414142"/>
              <w:right w:val="outset" w:sz="6" w:space="0" w:color="414142"/>
            </w:tcBorders>
          </w:tcPr>
          <w:p w:rsidR="006E28FC" w:rsidRPr="0055577F" w:rsidP="00A06049" w14:paraId="6F49EB3A" w14:textId="77777777">
            <w:pPr>
              <w:pStyle w:val="naiskr"/>
              <w:spacing w:before="0" w:after="0"/>
              <w:ind w:right="142"/>
              <w:rPr>
                <w:color w:val="000000" w:themeColor="text1"/>
              </w:rPr>
            </w:pPr>
            <w:r w:rsidRPr="0055577F">
              <w:rPr>
                <w:color w:val="000000" w:themeColor="text1"/>
              </w:rPr>
              <w:t>Projekta izpildē iesaistītās institūcijas</w:t>
            </w:r>
          </w:p>
        </w:tc>
        <w:tc>
          <w:tcPr>
            <w:tcW w:w="5670" w:type="dxa"/>
            <w:tcBorders>
              <w:top w:val="outset" w:sz="6" w:space="0" w:color="414142"/>
              <w:left w:val="outset" w:sz="6" w:space="0" w:color="414142"/>
              <w:bottom w:val="outset" w:sz="6" w:space="0" w:color="414142"/>
              <w:right w:val="outset" w:sz="6" w:space="0" w:color="414142"/>
            </w:tcBorders>
          </w:tcPr>
          <w:p w:rsidR="00564940" w:rsidRPr="0055577F" w:rsidP="00CC3567" w14:paraId="01D1F7A0" w14:textId="42104972">
            <w:pPr>
              <w:spacing w:before="0" w:after="0"/>
              <w:ind w:left="141" w:right="284"/>
              <w:rPr>
                <w:color w:val="000000" w:themeColor="text1"/>
              </w:rPr>
            </w:pPr>
            <w:r w:rsidRPr="0055577F">
              <w:rPr>
                <w:color w:val="000000" w:themeColor="text1"/>
              </w:rPr>
              <w:t>Vides aizsardzības un reģionālās attīstības ministrija</w:t>
            </w:r>
          </w:p>
        </w:tc>
      </w:tr>
      <w:tr w14:paraId="54FC95FE" w14:textId="77777777" w:rsidTr="00A06049">
        <w:tblPrEx>
          <w:tblW w:w="9503" w:type="dxa"/>
          <w:tblCellMar>
            <w:left w:w="0" w:type="dxa"/>
            <w:right w:w="0" w:type="dxa"/>
          </w:tblCellMar>
          <w:tblLook w:val="0000"/>
        </w:tblPrEx>
        <w:tc>
          <w:tcPr>
            <w:tcW w:w="475" w:type="dxa"/>
            <w:vAlign w:val="center"/>
          </w:tcPr>
          <w:p w:rsidR="00743C2C" w:rsidRPr="0055577F" w14:paraId="2388AB8D" w14:textId="77777777">
            <w:pPr>
              <w:pStyle w:val="naisnod"/>
              <w:spacing w:before="0" w:after="0"/>
              <w:rPr>
                <w:b w:val="0"/>
                <w:color w:val="000000" w:themeColor="text1"/>
              </w:rPr>
            </w:pPr>
            <w:r w:rsidRPr="0055577F">
              <w:rPr>
                <w:b w:val="0"/>
                <w:color w:val="000000" w:themeColor="text1"/>
              </w:rPr>
              <w:t>2.</w:t>
            </w:r>
          </w:p>
        </w:tc>
        <w:tc>
          <w:tcPr>
            <w:tcW w:w="3358" w:type="dxa"/>
            <w:tcBorders>
              <w:top w:val="outset" w:sz="6" w:space="0" w:color="414142"/>
              <w:left w:val="outset" w:sz="6" w:space="0" w:color="414142"/>
              <w:bottom w:val="outset" w:sz="6" w:space="0" w:color="414142"/>
              <w:right w:val="outset" w:sz="6" w:space="0" w:color="414142"/>
            </w:tcBorders>
          </w:tcPr>
          <w:p w:rsidR="00743C2C" w:rsidRPr="0055577F" w:rsidP="00A06049" w14:paraId="4D2A151E" w14:textId="77777777">
            <w:pPr>
              <w:pStyle w:val="naiskr"/>
              <w:spacing w:before="0" w:after="0"/>
              <w:ind w:right="142"/>
              <w:rPr>
                <w:color w:val="000000" w:themeColor="text1"/>
              </w:rPr>
            </w:pPr>
            <w:r w:rsidRPr="0055577F">
              <w:rPr>
                <w:color w:val="000000" w:themeColor="text1"/>
              </w:rPr>
              <w:t>Projekta izpildes ietekme uz pārvaldes funkcijām un institucionālo struktūru.</w:t>
            </w:r>
          </w:p>
          <w:p w:rsidR="00A06049" w:rsidRPr="0055577F" w:rsidP="00A06049" w14:paraId="6278F205" w14:textId="77777777">
            <w:pPr>
              <w:pStyle w:val="naiskr"/>
              <w:spacing w:before="0" w:after="0"/>
              <w:rPr>
                <w:color w:val="000000" w:themeColor="text1"/>
              </w:rPr>
            </w:pPr>
          </w:p>
          <w:p w:rsidR="00743C2C" w:rsidRPr="0055577F" w:rsidP="00A06049" w14:paraId="54E986A7" w14:textId="77777777">
            <w:pPr>
              <w:pStyle w:val="naiskr"/>
              <w:spacing w:before="0" w:after="0"/>
              <w:ind w:right="142"/>
              <w:rPr>
                <w:color w:val="000000" w:themeColor="text1"/>
              </w:rPr>
            </w:pPr>
            <w:r w:rsidRPr="0055577F">
              <w:rPr>
                <w:color w:val="000000" w:themeColor="text1"/>
              </w:rPr>
              <w:t>Jaunu institūciju izveide, esošu institūciju likvidācija vai reorganizācija, to ietekme uz institūcijas cilvēkresursiem</w:t>
            </w:r>
          </w:p>
          <w:p w:rsidR="00743C2C" w:rsidRPr="0055577F" w:rsidP="0052765C" w14:paraId="1DDF9088" w14:textId="77777777">
            <w:pPr>
              <w:spacing w:after="0" w:line="240" w:lineRule="auto"/>
              <w:rPr>
                <w:color w:val="000000" w:themeColor="text1"/>
              </w:rPr>
            </w:pPr>
          </w:p>
        </w:tc>
        <w:tc>
          <w:tcPr>
            <w:tcW w:w="5670" w:type="dxa"/>
            <w:tcBorders>
              <w:top w:val="outset" w:sz="6" w:space="0" w:color="414142"/>
              <w:left w:val="outset" w:sz="6" w:space="0" w:color="414142"/>
              <w:bottom w:val="outset" w:sz="6" w:space="0" w:color="414142"/>
              <w:right w:val="outset" w:sz="6" w:space="0" w:color="414142"/>
            </w:tcBorders>
          </w:tcPr>
          <w:p w:rsidR="00743C2C" w:rsidRPr="0055577F" w:rsidP="00CC3567" w14:paraId="24B87F69" w14:textId="07F5C7E9">
            <w:pPr>
              <w:spacing w:before="0" w:after="0"/>
              <w:ind w:left="141" w:right="284"/>
              <w:rPr>
                <w:color w:val="000000" w:themeColor="text1"/>
              </w:rPr>
            </w:pPr>
            <w:r w:rsidRPr="0055577F">
              <w:rPr>
                <w:color w:val="000000" w:themeColor="text1"/>
              </w:rPr>
              <w:t>Jaunas valsts institūcijas netiks radītas, kā arī netiks paplašinātas esošo institūciju funkcijas.</w:t>
            </w:r>
          </w:p>
        </w:tc>
      </w:tr>
      <w:tr w14:paraId="573196DA" w14:textId="77777777" w:rsidTr="00A06049">
        <w:tblPrEx>
          <w:tblW w:w="9503" w:type="dxa"/>
          <w:tblCellMar>
            <w:left w:w="0" w:type="dxa"/>
            <w:right w:w="0" w:type="dxa"/>
          </w:tblCellMar>
          <w:tblLook w:val="0000"/>
        </w:tblPrEx>
        <w:trPr>
          <w:trHeight w:val="312"/>
        </w:trPr>
        <w:tc>
          <w:tcPr>
            <w:tcW w:w="475" w:type="dxa"/>
            <w:vAlign w:val="center"/>
          </w:tcPr>
          <w:p w:rsidR="00743C2C" w:rsidRPr="0055577F" w:rsidP="00A06049" w14:paraId="7913099C" w14:textId="77777777">
            <w:pPr>
              <w:pStyle w:val="naiskr"/>
              <w:spacing w:before="0" w:after="0"/>
              <w:rPr>
                <w:color w:val="000000" w:themeColor="text1"/>
              </w:rPr>
            </w:pPr>
            <w:r w:rsidRPr="0055577F">
              <w:rPr>
                <w:color w:val="000000" w:themeColor="text1"/>
              </w:rPr>
              <w:t>3.</w:t>
            </w:r>
          </w:p>
        </w:tc>
        <w:tc>
          <w:tcPr>
            <w:tcW w:w="3358" w:type="dxa"/>
            <w:tcBorders>
              <w:top w:val="outset" w:sz="6" w:space="0" w:color="414142"/>
              <w:left w:val="outset" w:sz="6" w:space="0" w:color="414142"/>
              <w:bottom w:val="outset" w:sz="6" w:space="0" w:color="414142"/>
              <w:right w:val="outset" w:sz="6" w:space="0" w:color="414142"/>
            </w:tcBorders>
          </w:tcPr>
          <w:p w:rsidR="00743C2C" w:rsidRPr="0055577F" w:rsidP="00A06049" w14:paraId="6A64ABCB" w14:textId="77777777">
            <w:pPr>
              <w:pStyle w:val="naiskr"/>
              <w:spacing w:before="0" w:after="0"/>
              <w:rPr>
                <w:color w:val="000000" w:themeColor="text1"/>
              </w:rPr>
            </w:pPr>
            <w:r w:rsidRPr="0055577F">
              <w:rPr>
                <w:color w:val="000000" w:themeColor="text1"/>
              </w:rPr>
              <w:t>Cita informācija</w:t>
            </w:r>
          </w:p>
        </w:tc>
        <w:tc>
          <w:tcPr>
            <w:tcW w:w="5670" w:type="dxa"/>
            <w:tcBorders>
              <w:top w:val="outset" w:sz="6" w:space="0" w:color="414142"/>
              <w:left w:val="outset" w:sz="6" w:space="0" w:color="414142"/>
              <w:bottom w:val="outset" w:sz="6" w:space="0" w:color="414142"/>
              <w:right w:val="outset" w:sz="6" w:space="0" w:color="414142"/>
            </w:tcBorders>
          </w:tcPr>
          <w:p w:rsidR="00743C2C" w:rsidRPr="0055577F" w:rsidP="00064625" w14:paraId="331F69FB" w14:textId="77777777">
            <w:pPr>
              <w:spacing w:before="0" w:after="0"/>
              <w:ind w:left="131" w:right="294"/>
              <w:rPr>
                <w:color w:val="000000" w:themeColor="text1"/>
              </w:rPr>
            </w:pPr>
            <w:r w:rsidRPr="0055577F">
              <w:rPr>
                <w:color w:val="000000" w:themeColor="text1"/>
              </w:rPr>
              <w:t>Nav</w:t>
            </w:r>
          </w:p>
        </w:tc>
      </w:tr>
    </w:tbl>
    <w:p w:rsidR="001F04F1" w:rsidRPr="0055577F" w:rsidP="001F04F1" w14:paraId="3977F121" w14:textId="77777777">
      <w:pPr>
        <w:spacing w:before="0" w:after="0" w:line="240" w:lineRule="auto"/>
        <w:rPr>
          <w:color w:val="000000" w:themeColor="text1"/>
        </w:rPr>
      </w:pPr>
    </w:p>
    <w:p w:rsidR="006109D3" w:rsidRPr="0055577F" w:rsidP="001F04F1" w14:paraId="700E08CB" w14:textId="77777777">
      <w:pPr>
        <w:spacing w:before="0" w:after="0" w:line="240" w:lineRule="auto"/>
        <w:rPr>
          <w:color w:val="000000" w:themeColor="text1"/>
        </w:rPr>
      </w:pPr>
    </w:p>
    <w:p w:rsidR="00E44FDF" w:rsidRPr="0055577F" w:rsidP="001F04F1" w14:paraId="1361C605" w14:textId="77777777">
      <w:pPr>
        <w:spacing w:before="0" w:after="0" w:line="240" w:lineRule="auto"/>
        <w:rPr>
          <w:color w:val="000000" w:themeColor="text1"/>
        </w:rPr>
      </w:pPr>
      <w:r w:rsidRPr="0055577F">
        <w:rPr>
          <w:color w:val="000000" w:themeColor="text1"/>
        </w:rPr>
        <w:t>Vides aizsardzības un</w:t>
      </w:r>
    </w:p>
    <w:p w:rsidR="00E07B96" w:rsidRPr="0055577F" w:rsidP="001F04F1" w14:paraId="28F65A2D" w14:textId="77777777">
      <w:pPr>
        <w:spacing w:before="0" w:after="0" w:line="240" w:lineRule="auto"/>
        <w:rPr>
          <w:color w:val="000000" w:themeColor="text1"/>
        </w:rPr>
      </w:pPr>
      <w:r w:rsidRPr="0055577F">
        <w:rPr>
          <w:color w:val="000000" w:themeColor="text1"/>
        </w:rPr>
        <w:t>reģionālās attīstības ministrs</w:t>
      </w:r>
      <w:r w:rsidRPr="0055577F">
        <w:rPr>
          <w:color w:val="000000" w:themeColor="text1"/>
        </w:rPr>
        <w:tab/>
      </w:r>
      <w:r w:rsidRPr="0055577F">
        <w:rPr>
          <w:color w:val="000000" w:themeColor="text1"/>
        </w:rPr>
        <w:tab/>
      </w:r>
      <w:r w:rsidRPr="0055577F">
        <w:rPr>
          <w:color w:val="000000" w:themeColor="text1"/>
        </w:rPr>
        <w:tab/>
      </w:r>
      <w:r w:rsidRPr="0055577F">
        <w:rPr>
          <w:color w:val="000000" w:themeColor="text1"/>
        </w:rPr>
        <w:tab/>
      </w:r>
      <w:r w:rsidRPr="0055577F" w:rsidR="00061915">
        <w:rPr>
          <w:color w:val="000000" w:themeColor="text1"/>
        </w:rPr>
        <w:t xml:space="preserve">               Kaspars </w:t>
      </w:r>
      <w:r w:rsidRPr="0055577F">
        <w:rPr>
          <w:color w:val="000000" w:themeColor="text1"/>
        </w:rPr>
        <w:t>Gerhards</w:t>
      </w:r>
    </w:p>
    <w:p w:rsidR="00987723" w:rsidRPr="0055577F" w:rsidP="001F04F1" w14:paraId="0DEE3835" w14:textId="77777777">
      <w:pPr>
        <w:spacing w:before="0" w:after="0" w:line="240" w:lineRule="auto"/>
        <w:rPr>
          <w:color w:val="000000" w:themeColor="text1"/>
        </w:rPr>
      </w:pPr>
    </w:p>
    <w:p w:rsidR="00783E26" w:rsidRPr="0055577F" w:rsidP="00783E26" w14:paraId="1A7EF6CE" w14:textId="77777777">
      <w:pPr>
        <w:spacing w:before="0" w:after="0" w:line="240" w:lineRule="auto"/>
        <w:rPr>
          <w:color w:val="000000" w:themeColor="text1"/>
        </w:rPr>
      </w:pPr>
      <w:r w:rsidRPr="0055577F">
        <w:rPr>
          <w:color w:val="000000" w:themeColor="text1"/>
        </w:rPr>
        <w:t xml:space="preserve">Vides aizsardzības un reģionālās attīstības </w:t>
      </w:r>
    </w:p>
    <w:p w:rsidR="00783E26" w:rsidRPr="0055577F" w:rsidP="00783E26" w14:paraId="13CEFDE0" w14:textId="77777777">
      <w:pPr>
        <w:spacing w:before="0" w:after="0" w:line="240" w:lineRule="auto"/>
        <w:rPr>
          <w:color w:val="000000" w:themeColor="text1"/>
          <w:sz w:val="28"/>
          <w:lang w:val="nl-NL"/>
        </w:rPr>
      </w:pPr>
      <w:r w:rsidRPr="0055577F">
        <w:rPr>
          <w:color w:val="000000" w:themeColor="text1"/>
        </w:rPr>
        <w:t>m</w:t>
      </w:r>
      <w:r w:rsidRPr="0055577F">
        <w:rPr>
          <w:color w:val="000000" w:themeColor="text1"/>
        </w:rPr>
        <w:t>inistrijas</w:t>
      </w:r>
      <w:r w:rsidRPr="0055577F" w:rsidR="00061915">
        <w:rPr>
          <w:color w:val="000000" w:themeColor="text1"/>
        </w:rPr>
        <w:t xml:space="preserve"> </w:t>
      </w:r>
      <w:r w:rsidRPr="0055577F" w:rsidR="00ED05BA">
        <w:rPr>
          <w:color w:val="000000" w:themeColor="text1"/>
        </w:rPr>
        <w:t>valsts sekretārs</w:t>
      </w:r>
      <w:r w:rsidRPr="0055577F" w:rsidR="00ED05BA">
        <w:rPr>
          <w:color w:val="000000" w:themeColor="text1"/>
          <w:lang w:val="nl-NL"/>
        </w:rPr>
        <w:tab/>
      </w:r>
      <w:r w:rsidRPr="0055577F" w:rsidR="00ED05BA">
        <w:rPr>
          <w:color w:val="000000" w:themeColor="text1"/>
          <w:sz w:val="28"/>
          <w:lang w:val="nl-NL"/>
        </w:rPr>
        <w:tab/>
      </w:r>
      <w:r w:rsidRPr="0055577F" w:rsidR="00ED05BA">
        <w:rPr>
          <w:color w:val="000000" w:themeColor="text1"/>
          <w:sz w:val="28"/>
          <w:lang w:val="nl-NL"/>
        </w:rPr>
        <w:tab/>
      </w:r>
      <w:r w:rsidRPr="0055577F" w:rsidR="00ED05BA">
        <w:rPr>
          <w:color w:val="000000" w:themeColor="text1"/>
          <w:sz w:val="28"/>
          <w:lang w:val="nl-NL"/>
        </w:rPr>
        <w:tab/>
      </w:r>
      <w:r w:rsidRPr="0055577F" w:rsidR="00ED05BA">
        <w:rPr>
          <w:color w:val="000000" w:themeColor="text1"/>
          <w:sz w:val="28"/>
          <w:lang w:val="nl-NL"/>
        </w:rPr>
        <w:tab/>
      </w:r>
      <w:r w:rsidRPr="0055577F">
        <w:rPr>
          <w:color w:val="000000" w:themeColor="text1"/>
        </w:rPr>
        <w:t xml:space="preserve">     </w:t>
      </w:r>
      <w:r w:rsidRPr="0055577F">
        <w:rPr>
          <w:color w:val="000000" w:themeColor="text1"/>
        </w:rPr>
        <w:t>R</w:t>
      </w:r>
      <w:r w:rsidRPr="0055577F">
        <w:rPr>
          <w:color w:val="000000" w:themeColor="text1"/>
        </w:rPr>
        <w:t xml:space="preserve">inalds </w:t>
      </w:r>
      <w:r w:rsidRPr="0055577F" w:rsidR="00ED05BA">
        <w:rPr>
          <w:color w:val="000000" w:themeColor="text1"/>
        </w:rPr>
        <w:t>Muciņš</w:t>
      </w:r>
    </w:p>
    <w:p w:rsidR="001F04F1" w:rsidRPr="0055577F" w:rsidP="001F04F1" w14:paraId="06EE4755" w14:textId="77777777">
      <w:pPr>
        <w:spacing w:before="0" w:after="0" w:line="240" w:lineRule="auto"/>
        <w:rPr>
          <w:color w:val="000000" w:themeColor="text1"/>
        </w:rPr>
      </w:pPr>
    </w:p>
    <w:p w:rsidR="00127D7D" w:rsidP="001F04F1" w14:paraId="3ADF11AE" w14:textId="77777777">
      <w:pPr>
        <w:spacing w:before="0" w:after="0" w:line="240" w:lineRule="auto"/>
        <w:rPr>
          <w:color w:val="000000" w:themeColor="text1"/>
          <w:sz w:val="20"/>
        </w:rPr>
      </w:pPr>
    </w:p>
    <w:p w:rsidR="00127D7D" w:rsidP="001F04F1" w14:paraId="1AB604FF" w14:textId="77777777">
      <w:pPr>
        <w:spacing w:before="0" w:after="0" w:line="240" w:lineRule="auto"/>
        <w:rPr>
          <w:color w:val="000000" w:themeColor="text1"/>
          <w:sz w:val="20"/>
        </w:rPr>
      </w:pPr>
    </w:p>
    <w:p w:rsidR="00783E26" w:rsidRPr="0055577F" w:rsidP="001F04F1" w14:paraId="70AEF5DF" w14:textId="77777777">
      <w:pPr>
        <w:spacing w:before="0" w:after="0" w:line="240" w:lineRule="auto"/>
        <w:rPr>
          <w:color w:val="000000" w:themeColor="text1"/>
          <w:sz w:val="20"/>
        </w:rPr>
      </w:pPr>
      <w:r w:rsidRPr="0055577F">
        <w:rPr>
          <w:color w:val="000000" w:themeColor="text1"/>
          <w:sz w:val="20"/>
        </w:rPr>
        <w:t>Galindoma</w:t>
      </w:r>
      <w:r w:rsidRPr="0055577F">
        <w:rPr>
          <w:color w:val="000000" w:themeColor="text1"/>
          <w:sz w:val="20"/>
        </w:rPr>
        <w:t xml:space="preserve"> </w:t>
      </w:r>
      <w:r w:rsidRPr="0055577F">
        <w:rPr>
          <w:color w:val="000000" w:themeColor="text1"/>
          <w:sz w:val="20"/>
        </w:rPr>
        <w:t>67026497</w:t>
      </w:r>
    </w:p>
    <w:p w:rsidR="0067267D" w:rsidRPr="0055577F" w:rsidP="001F04F1" w14:paraId="031B5D02" w14:textId="77777777">
      <w:pPr>
        <w:spacing w:before="0" w:after="0" w:line="240" w:lineRule="auto"/>
        <w:rPr>
          <w:color w:val="000000" w:themeColor="text1"/>
          <w:sz w:val="20"/>
        </w:rPr>
      </w:pPr>
      <w:r w:rsidRPr="0055577F">
        <w:rPr>
          <w:color w:val="000000" w:themeColor="text1"/>
          <w:sz w:val="20"/>
        </w:rPr>
        <w:t>zane.galindoma</w:t>
      </w:r>
      <w:r w:rsidRPr="0055577F" w:rsidR="00684628">
        <w:rPr>
          <w:color w:val="000000" w:themeColor="text1"/>
          <w:sz w:val="20"/>
        </w:rPr>
        <w:t>@</w:t>
      </w:r>
      <w:r w:rsidRPr="0055577F" w:rsidR="000C090C">
        <w:rPr>
          <w:color w:val="000000" w:themeColor="text1"/>
          <w:sz w:val="20"/>
        </w:rPr>
        <w:t>varam</w:t>
      </w:r>
      <w:r w:rsidRPr="0055577F" w:rsidR="00684628">
        <w:rPr>
          <w:color w:val="000000" w:themeColor="text1"/>
          <w:sz w:val="20"/>
        </w:rPr>
        <w:t>.gov.lv</w:t>
      </w:r>
    </w:p>
    <w:sectPr w:rsidSect="00DC1B7A">
      <w:headerReference w:type="even" r:id="rId6"/>
      <w:headerReference w:type="default" r:id="rId7"/>
      <w:footerReference w:type="default" r:id="rId8"/>
      <w:footerReference w:type="first" r:id="rId9"/>
      <w:pgSz w:w="11906" w:h="16838" w:code="9"/>
      <w:pgMar w:top="1418" w:right="1134"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765C" w:rsidRPr="009074FA" w:rsidP="00F57264" w14:paraId="25263BB1" w14:textId="46C531E1">
    <w:pPr>
      <w:pStyle w:val="Footer"/>
      <w:spacing w:before="120" w:after="0" w:line="240" w:lineRule="auto"/>
      <w:rPr>
        <w:sz w:val="20"/>
        <w:szCs w:val="20"/>
      </w:rPr>
    </w:pPr>
    <w:r>
      <w:fldChar w:fldCharType="begin"/>
    </w:r>
    <w:r>
      <w:instrText xml:space="preserve"> FILENAME   \* MERGEFORMAT </w:instrText>
    </w:r>
    <w:r>
      <w:fldChar w:fldCharType="separate"/>
    </w:r>
    <w:r w:rsidRPr="001870DC">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765C" w:rsidRPr="00DC1B7A" w:rsidP="00DC1B7A" w14:paraId="36D5108C" w14:textId="17DF46D2">
    <w:pPr>
      <w:pStyle w:val="Footer"/>
    </w:pPr>
    <w:r>
      <w:fldChar w:fldCharType="begin"/>
    </w:r>
    <w:r>
      <w:instrText xml:space="preserve"> FILENAME   \* MERGEFORMAT </w:instrText>
    </w:r>
    <w:r>
      <w:fldChar w:fldCharType="separate"/>
    </w:r>
    <w:r w:rsidRPr="005D51AF">
      <w:rPr>
        <w:noProof/>
        <w:sz w:val="20"/>
      </w:rPr>
      <w:fldChar w:fldCharType="end"/>
    </w:r>
    <w:r>
      <w:rPr>
        <w:sz w:val="20"/>
      </w:rPr>
      <w:t>;</w:t>
    </w:r>
    <w:r w:rsidRPr="00912990">
      <w:rPr>
        <w:sz w:val="20"/>
      </w:rPr>
      <w:t xml:space="preserve"> </w:t>
    </w:r>
    <w:r>
      <w:rPr>
        <w:sz w:val="20"/>
      </w:rPr>
      <w:t>Ministru kabineta noteikumu projekta “</w:t>
    </w:r>
    <w:r w:rsidRPr="00407336">
      <w:rPr>
        <w:sz w:val="20"/>
        <w:szCs w:val="20"/>
      </w:rPr>
      <w:t>Siltumnīcefekta gāzu emisiju aprēķina metodika</w:t>
    </w:r>
    <w:r>
      <w:rPr>
        <w:sz w:val="20"/>
      </w:rPr>
      <w:t xml:space="preserve">” </w:t>
    </w:r>
    <w:r w:rsidRPr="009074FA">
      <w:rPr>
        <w:sz w:val="20"/>
        <w:szCs w:val="20"/>
      </w:rPr>
      <w:t>sākotnējās ietekmes novērtējuma ziņojums (anotācija)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765C" w14:paraId="59924FF7"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2765C" w14:paraId="5D129AE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765C" w14:paraId="4706EE6B"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rsidR="0052765C" w14:paraId="6FF55A6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AC57A2"/>
    <w:multiLevelType w:val="hybridMultilevel"/>
    <w:tmpl w:val="5768BF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3B31CAF"/>
    <w:multiLevelType w:val="hybridMultilevel"/>
    <w:tmpl w:val="47EECD26"/>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2" w15:restartNumberingAfterBreak="1">
    <w:nsid w:val="065A47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A371CCD"/>
    <w:multiLevelType w:val="hybridMultilevel"/>
    <w:tmpl w:val="1988F2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1">
    <w:nsid w:val="14C453C1"/>
    <w:multiLevelType w:val="hybridMultilevel"/>
    <w:tmpl w:val="D4A0AB6C"/>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5" w15:restartNumberingAfterBreak="1">
    <w:nsid w:val="1E3C1E93"/>
    <w:multiLevelType w:val="hybridMultilevel"/>
    <w:tmpl w:val="3C0876E2"/>
    <w:lvl w:ilvl="0">
      <w:start w:val="1"/>
      <w:numFmt w:val="bullet"/>
      <w:lvlText w:val=""/>
      <w:lvlJc w:val="left"/>
      <w:pPr>
        <w:ind w:left="720" w:hanging="360"/>
      </w:pPr>
      <w:rPr>
        <w:rFonts w:ascii="Wingdings" w:hAnsi="Wingding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228D2637"/>
    <w:multiLevelType w:val="hybridMultilevel"/>
    <w:tmpl w:val="9FDC29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1">
    <w:nsid w:val="26500B7A"/>
    <w:multiLevelType w:val="hybridMultilevel"/>
    <w:tmpl w:val="0E6ED640"/>
    <w:lvl w:ilvl="0">
      <w:start w:val="1"/>
      <w:numFmt w:val="bullet"/>
      <w:lvlText w:val=""/>
      <w:lvlJc w:val="left"/>
      <w:pPr>
        <w:ind w:left="777" w:hanging="360"/>
      </w:pPr>
      <w:rPr>
        <w:rFonts w:ascii="Symbol" w:hAnsi="Symbol" w:hint="default"/>
      </w:rPr>
    </w:lvl>
    <w:lvl w:ilvl="1" w:tentative="1">
      <w:start w:val="1"/>
      <w:numFmt w:val="bullet"/>
      <w:lvlText w:val="o"/>
      <w:lvlJc w:val="left"/>
      <w:pPr>
        <w:ind w:left="1497" w:hanging="360"/>
      </w:pPr>
      <w:rPr>
        <w:rFonts w:ascii="Courier New" w:hAnsi="Courier New" w:cs="Courier New" w:hint="default"/>
      </w:rPr>
    </w:lvl>
    <w:lvl w:ilvl="2" w:tentative="1">
      <w:start w:val="1"/>
      <w:numFmt w:val="bullet"/>
      <w:lvlText w:val=""/>
      <w:lvlJc w:val="left"/>
      <w:pPr>
        <w:ind w:left="2217" w:hanging="360"/>
      </w:pPr>
      <w:rPr>
        <w:rFonts w:ascii="Wingdings" w:hAnsi="Wingdings" w:hint="default"/>
      </w:rPr>
    </w:lvl>
    <w:lvl w:ilvl="3" w:tentative="1">
      <w:start w:val="1"/>
      <w:numFmt w:val="bullet"/>
      <w:lvlText w:val=""/>
      <w:lvlJc w:val="left"/>
      <w:pPr>
        <w:ind w:left="2937" w:hanging="360"/>
      </w:pPr>
      <w:rPr>
        <w:rFonts w:ascii="Symbol" w:hAnsi="Symbol" w:hint="default"/>
      </w:rPr>
    </w:lvl>
    <w:lvl w:ilvl="4" w:tentative="1">
      <w:start w:val="1"/>
      <w:numFmt w:val="bullet"/>
      <w:lvlText w:val="o"/>
      <w:lvlJc w:val="left"/>
      <w:pPr>
        <w:ind w:left="3657" w:hanging="360"/>
      </w:pPr>
      <w:rPr>
        <w:rFonts w:ascii="Courier New" w:hAnsi="Courier New" w:cs="Courier New" w:hint="default"/>
      </w:rPr>
    </w:lvl>
    <w:lvl w:ilvl="5" w:tentative="1">
      <w:start w:val="1"/>
      <w:numFmt w:val="bullet"/>
      <w:lvlText w:val=""/>
      <w:lvlJc w:val="left"/>
      <w:pPr>
        <w:ind w:left="4377" w:hanging="360"/>
      </w:pPr>
      <w:rPr>
        <w:rFonts w:ascii="Wingdings" w:hAnsi="Wingdings" w:hint="default"/>
      </w:rPr>
    </w:lvl>
    <w:lvl w:ilvl="6" w:tentative="1">
      <w:start w:val="1"/>
      <w:numFmt w:val="bullet"/>
      <w:lvlText w:val=""/>
      <w:lvlJc w:val="left"/>
      <w:pPr>
        <w:ind w:left="5097" w:hanging="360"/>
      </w:pPr>
      <w:rPr>
        <w:rFonts w:ascii="Symbol" w:hAnsi="Symbol" w:hint="default"/>
      </w:rPr>
    </w:lvl>
    <w:lvl w:ilvl="7" w:tentative="1">
      <w:start w:val="1"/>
      <w:numFmt w:val="bullet"/>
      <w:lvlText w:val="o"/>
      <w:lvlJc w:val="left"/>
      <w:pPr>
        <w:ind w:left="5817" w:hanging="360"/>
      </w:pPr>
      <w:rPr>
        <w:rFonts w:ascii="Courier New" w:hAnsi="Courier New" w:cs="Courier New" w:hint="default"/>
      </w:rPr>
    </w:lvl>
    <w:lvl w:ilvl="8" w:tentative="1">
      <w:start w:val="1"/>
      <w:numFmt w:val="bullet"/>
      <w:lvlText w:val=""/>
      <w:lvlJc w:val="left"/>
      <w:pPr>
        <w:ind w:left="6537" w:hanging="360"/>
      </w:pPr>
      <w:rPr>
        <w:rFonts w:ascii="Wingdings" w:hAnsi="Wingdings" w:hint="default"/>
      </w:rPr>
    </w:lvl>
  </w:abstractNum>
  <w:abstractNum w:abstractNumId="8" w15:restartNumberingAfterBreak="1">
    <w:nsid w:val="27EA7A4D"/>
    <w:multiLevelType w:val="hybridMultilevel"/>
    <w:tmpl w:val="91945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29BA01A1"/>
    <w:multiLevelType w:val="hybridMultilevel"/>
    <w:tmpl w:val="3182C668"/>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0" w15:restartNumberingAfterBreak="1">
    <w:nsid w:val="2AF660C6"/>
    <w:multiLevelType w:val="hybridMultilevel"/>
    <w:tmpl w:val="54607130"/>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11" w15:restartNumberingAfterBreak="1">
    <w:nsid w:val="3D522715"/>
    <w:multiLevelType w:val="hybridMultilevel"/>
    <w:tmpl w:val="A0D0F5FC"/>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12" w15:restartNumberingAfterBreak="1">
    <w:nsid w:val="40A4107D"/>
    <w:multiLevelType w:val="hybridMultilevel"/>
    <w:tmpl w:val="5E3A4A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1">
    <w:nsid w:val="47096148"/>
    <w:multiLevelType w:val="hybridMultilevel"/>
    <w:tmpl w:val="8286C21A"/>
    <w:lvl w:ilvl="0">
      <w:start w:val="1"/>
      <w:numFmt w:val="decimal"/>
      <w:lvlText w:val="%1)"/>
      <w:lvlJc w:val="left"/>
      <w:pPr>
        <w:ind w:left="497" w:hanging="435"/>
      </w:pPr>
      <w:rPr>
        <w:rFonts w:hint="default"/>
      </w:rPr>
    </w:lvl>
    <w:lvl w:ilvl="1" w:tentative="1">
      <w:start w:val="1"/>
      <w:numFmt w:val="lowerLetter"/>
      <w:lvlText w:val="%2."/>
      <w:lvlJc w:val="left"/>
      <w:pPr>
        <w:ind w:left="1142" w:hanging="360"/>
      </w:pPr>
    </w:lvl>
    <w:lvl w:ilvl="2" w:tentative="1">
      <w:start w:val="1"/>
      <w:numFmt w:val="lowerRoman"/>
      <w:lvlText w:val="%3."/>
      <w:lvlJc w:val="right"/>
      <w:pPr>
        <w:ind w:left="1862" w:hanging="180"/>
      </w:pPr>
    </w:lvl>
    <w:lvl w:ilvl="3" w:tentative="1">
      <w:start w:val="1"/>
      <w:numFmt w:val="decimal"/>
      <w:lvlText w:val="%4."/>
      <w:lvlJc w:val="left"/>
      <w:pPr>
        <w:ind w:left="2582" w:hanging="360"/>
      </w:pPr>
    </w:lvl>
    <w:lvl w:ilvl="4" w:tentative="1">
      <w:start w:val="1"/>
      <w:numFmt w:val="lowerLetter"/>
      <w:lvlText w:val="%5."/>
      <w:lvlJc w:val="left"/>
      <w:pPr>
        <w:ind w:left="3302" w:hanging="360"/>
      </w:pPr>
    </w:lvl>
    <w:lvl w:ilvl="5" w:tentative="1">
      <w:start w:val="1"/>
      <w:numFmt w:val="lowerRoman"/>
      <w:lvlText w:val="%6."/>
      <w:lvlJc w:val="right"/>
      <w:pPr>
        <w:ind w:left="4022" w:hanging="180"/>
      </w:pPr>
    </w:lvl>
    <w:lvl w:ilvl="6" w:tentative="1">
      <w:start w:val="1"/>
      <w:numFmt w:val="decimal"/>
      <w:lvlText w:val="%7."/>
      <w:lvlJc w:val="left"/>
      <w:pPr>
        <w:ind w:left="4742" w:hanging="360"/>
      </w:pPr>
    </w:lvl>
    <w:lvl w:ilvl="7" w:tentative="1">
      <w:start w:val="1"/>
      <w:numFmt w:val="lowerLetter"/>
      <w:lvlText w:val="%8."/>
      <w:lvlJc w:val="left"/>
      <w:pPr>
        <w:ind w:left="5462" w:hanging="360"/>
      </w:pPr>
    </w:lvl>
    <w:lvl w:ilvl="8" w:tentative="1">
      <w:start w:val="1"/>
      <w:numFmt w:val="lowerRoman"/>
      <w:lvlText w:val="%9."/>
      <w:lvlJc w:val="right"/>
      <w:pPr>
        <w:ind w:left="6182" w:hanging="180"/>
      </w:pPr>
    </w:lvl>
  </w:abstractNum>
  <w:abstractNum w:abstractNumId="14" w15:restartNumberingAfterBreak="1">
    <w:nsid w:val="48924FFE"/>
    <w:multiLevelType w:val="multilevel"/>
    <w:tmpl w:val="31A25E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1">
    <w:nsid w:val="50017C37"/>
    <w:multiLevelType w:val="hybridMultilevel"/>
    <w:tmpl w:val="51B628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1">
    <w:nsid w:val="577A2ACF"/>
    <w:multiLevelType w:val="hybridMultilevel"/>
    <w:tmpl w:val="ADFE75F8"/>
    <w:lvl w:ilvl="0">
      <w:start w:val="1"/>
      <w:numFmt w:val="decimal"/>
      <w:lvlText w:val="%1."/>
      <w:lvlJc w:val="left"/>
      <w:pPr>
        <w:ind w:left="480" w:hanging="360"/>
      </w:pPr>
      <w:rPr>
        <w:rFonts w:hint="default"/>
      </w:rPr>
    </w:lvl>
    <w:lvl w:ilvl="1" w:tentative="1">
      <w:start w:val="1"/>
      <w:numFmt w:val="lowerLetter"/>
      <w:lvlText w:val="%2."/>
      <w:lvlJc w:val="left"/>
      <w:pPr>
        <w:ind w:left="1200" w:hanging="360"/>
      </w:pPr>
    </w:lvl>
    <w:lvl w:ilvl="2" w:tentative="1">
      <w:start w:val="1"/>
      <w:numFmt w:val="lowerRoman"/>
      <w:lvlText w:val="%3."/>
      <w:lvlJc w:val="right"/>
      <w:pPr>
        <w:ind w:left="1920" w:hanging="180"/>
      </w:pPr>
    </w:lvl>
    <w:lvl w:ilvl="3" w:tentative="1">
      <w:start w:val="1"/>
      <w:numFmt w:val="decimal"/>
      <w:lvlText w:val="%4."/>
      <w:lvlJc w:val="left"/>
      <w:pPr>
        <w:ind w:left="2640" w:hanging="360"/>
      </w:pPr>
    </w:lvl>
    <w:lvl w:ilvl="4" w:tentative="1">
      <w:start w:val="1"/>
      <w:numFmt w:val="lowerLetter"/>
      <w:lvlText w:val="%5."/>
      <w:lvlJc w:val="left"/>
      <w:pPr>
        <w:ind w:left="3360" w:hanging="360"/>
      </w:pPr>
    </w:lvl>
    <w:lvl w:ilvl="5" w:tentative="1">
      <w:start w:val="1"/>
      <w:numFmt w:val="lowerRoman"/>
      <w:lvlText w:val="%6."/>
      <w:lvlJc w:val="right"/>
      <w:pPr>
        <w:ind w:left="4080" w:hanging="180"/>
      </w:pPr>
    </w:lvl>
    <w:lvl w:ilvl="6" w:tentative="1">
      <w:start w:val="1"/>
      <w:numFmt w:val="decimal"/>
      <w:lvlText w:val="%7."/>
      <w:lvlJc w:val="left"/>
      <w:pPr>
        <w:ind w:left="4800" w:hanging="360"/>
      </w:pPr>
    </w:lvl>
    <w:lvl w:ilvl="7" w:tentative="1">
      <w:start w:val="1"/>
      <w:numFmt w:val="lowerLetter"/>
      <w:lvlText w:val="%8."/>
      <w:lvlJc w:val="left"/>
      <w:pPr>
        <w:ind w:left="5520" w:hanging="360"/>
      </w:pPr>
    </w:lvl>
    <w:lvl w:ilvl="8" w:tentative="1">
      <w:start w:val="1"/>
      <w:numFmt w:val="lowerRoman"/>
      <w:lvlText w:val="%9."/>
      <w:lvlJc w:val="right"/>
      <w:pPr>
        <w:ind w:left="6240" w:hanging="180"/>
      </w:pPr>
    </w:lvl>
  </w:abstractNum>
  <w:abstractNum w:abstractNumId="17" w15:restartNumberingAfterBreak="1">
    <w:nsid w:val="668B32B3"/>
    <w:multiLevelType w:val="multilevel"/>
    <w:tmpl w:val="035E8D8A"/>
    <w:lvl w:ilvl="0">
      <w:start w:val="39"/>
      <w:numFmt w:val="decimal"/>
      <w:lvlText w:val="%1."/>
      <w:lvlJc w:val="left"/>
      <w:pPr>
        <w:ind w:left="927" w:hanging="360"/>
      </w:pPr>
      <w:rPr>
        <w:rFonts w:ascii="Times New Roman" w:hAnsi="Times New Roman" w:eastAsiaTheme="minorEastAsia" w:cs="Times New Roman" w:hint="default"/>
        <w:noProof w:val="0"/>
        <w:color w:val="auto"/>
        <w:sz w:val="28"/>
        <w:szCs w:val="28"/>
      </w:rPr>
    </w:lvl>
    <w:lvl w:ilvl="1">
      <w:start w:val="1"/>
      <w:numFmt w:val="decimal"/>
      <w:lvlText w:val="%1.%2."/>
      <w:lvlJc w:val="left"/>
      <w:pPr>
        <w:ind w:left="999"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1">
    <w:nsid w:val="6AE22F1C"/>
    <w:multiLevelType w:val="hybridMultilevel"/>
    <w:tmpl w:val="C6DCA2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1">
    <w:nsid w:val="73A66C35"/>
    <w:multiLevelType w:val="hybridMultilevel"/>
    <w:tmpl w:val="5A04A5D8"/>
    <w:lvl w:ilvl="0">
      <w:start w:val="1"/>
      <w:numFmt w:val="decimal"/>
      <w:lvlText w:val="%1."/>
      <w:lvlJc w:val="left"/>
      <w:pPr>
        <w:ind w:left="720" w:hanging="360"/>
      </w:pPr>
      <w:rPr>
        <w:rFonts w:hint="default"/>
      </w:rPr>
    </w:lvl>
    <w:lvl w:ilvl="1">
      <w:start w:val="1"/>
      <w:numFmt w:val="bullet"/>
      <w:lvlText w:val=""/>
      <w:lvlJc w:val="left"/>
      <w:pPr>
        <w:ind w:left="786"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8"/>
  </w:num>
  <w:num w:numId="3">
    <w:abstractNumId w:val="18"/>
  </w:num>
  <w:num w:numId="4">
    <w:abstractNumId w:val="19"/>
  </w:num>
  <w:num w:numId="5">
    <w:abstractNumId w:val="6"/>
  </w:num>
  <w:num w:numId="6">
    <w:abstractNumId w:val="9"/>
  </w:num>
  <w:num w:numId="7">
    <w:abstractNumId w:val="15"/>
  </w:num>
  <w:num w:numId="8">
    <w:abstractNumId w:val="16"/>
  </w:num>
  <w:num w:numId="9">
    <w:abstractNumId w:val="14"/>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5"/>
  </w:num>
  <w:num w:numId="15">
    <w:abstractNumId w:val="7"/>
  </w:num>
  <w:num w:numId="16">
    <w:abstractNumId w:val="3"/>
  </w:num>
  <w:num w:numId="17">
    <w:abstractNumId w:val="10"/>
  </w:num>
  <w:num w:numId="18">
    <w:abstractNumId w:val="11"/>
  </w:num>
  <w:num w:numId="19">
    <w:abstractNumId w:val="4"/>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957"/>
    <w:rsid w:val="000004F6"/>
    <w:rsid w:val="00004A0E"/>
    <w:rsid w:val="0000611F"/>
    <w:rsid w:val="0001096A"/>
    <w:rsid w:val="000127A8"/>
    <w:rsid w:val="00012B0B"/>
    <w:rsid w:val="000151B9"/>
    <w:rsid w:val="0001541C"/>
    <w:rsid w:val="0002370F"/>
    <w:rsid w:val="000261AD"/>
    <w:rsid w:val="00027828"/>
    <w:rsid w:val="0003140B"/>
    <w:rsid w:val="00033D30"/>
    <w:rsid w:val="000348F5"/>
    <w:rsid w:val="00035AD3"/>
    <w:rsid w:val="00043A8C"/>
    <w:rsid w:val="00044807"/>
    <w:rsid w:val="000450A6"/>
    <w:rsid w:val="00046902"/>
    <w:rsid w:val="00047FEB"/>
    <w:rsid w:val="0005271E"/>
    <w:rsid w:val="0005413D"/>
    <w:rsid w:val="00054902"/>
    <w:rsid w:val="00061915"/>
    <w:rsid w:val="0006230E"/>
    <w:rsid w:val="000644E3"/>
    <w:rsid w:val="00064625"/>
    <w:rsid w:val="00065E5A"/>
    <w:rsid w:val="0007183A"/>
    <w:rsid w:val="00072A69"/>
    <w:rsid w:val="00075283"/>
    <w:rsid w:val="00081872"/>
    <w:rsid w:val="00082034"/>
    <w:rsid w:val="00082449"/>
    <w:rsid w:val="00083FAE"/>
    <w:rsid w:val="00091A63"/>
    <w:rsid w:val="00092C9C"/>
    <w:rsid w:val="000A2504"/>
    <w:rsid w:val="000A34F7"/>
    <w:rsid w:val="000B0177"/>
    <w:rsid w:val="000B1FDA"/>
    <w:rsid w:val="000B2C35"/>
    <w:rsid w:val="000B36A5"/>
    <w:rsid w:val="000B706A"/>
    <w:rsid w:val="000B7CD3"/>
    <w:rsid w:val="000C04FD"/>
    <w:rsid w:val="000C090C"/>
    <w:rsid w:val="000C1CE7"/>
    <w:rsid w:val="000C2B47"/>
    <w:rsid w:val="000C2B6A"/>
    <w:rsid w:val="000C376F"/>
    <w:rsid w:val="000C5619"/>
    <w:rsid w:val="000D035C"/>
    <w:rsid w:val="000D10DB"/>
    <w:rsid w:val="000D1694"/>
    <w:rsid w:val="000D2564"/>
    <w:rsid w:val="000D3752"/>
    <w:rsid w:val="000D398E"/>
    <w:rsid w:val="000D5A63"/>
    <w:rsid w:val="000D6348"/>
    <w:rsid w:val="000D68A9"/>
    <w:rsid w:val="000D79CA"/>
    <w:rsid w:val="000E13A2"/>
    <w:rsid w:val="000E3C41"/>
    <w:rsid w:val="000E5384"/>
    <w:rsid w:val="000F2298"/>
    <w:rsid w:val="000F5F82"/>
    <w:rsid w:val="00102767"/>
    <w:rsid w:val="00103F0E"/>
    <w:rsid w:val="0010451A"/>
    <w:rsid w:val="001068BC"/>
    <w:rsid w:val="0011091B"/>
    <w:rsid w:val="0011217D"/>
    <w:rsid w:val="001125FB"/>
    <w:rsid w:val="00112A1F"/>
    <w:rsid w:val="00116C9D"/>
    <w:rsid w:val="00116E10"/>
    <w:rsid w:val="00121D42"/>
    <w:rsid w:val="00122AA6"/>
    <w:rsid w:val="00122D5F"/>
    <w:rsid w:val="00123448"/>
    <w:rsid w:val="00126760"/>
    <w:rsid w:val="00126773"/>
    <w:rsid w:val="00127D7D"/>
    <w:rsid w:val="00130369"/>
    <w:rsid w:val="00131A38"/>
    <w:rsid w:val="00131C8D"/>
    <w:rsid w:val="00132D3D"/>
    <w:rsid w:val="00133143"/>
    <w:rsid w:val="00133E75"/>
    <w:rsid w:val="001356E1"/>
    <w:rsid w:val="001356F8"/>
    <w:rsid w:val="00142068"/>
    <w:rsid w:val="00142B54"/>
    <w:rsid w:val="001447B7"/>
    <w:rsid w:val="001519DF"/>
    <w:rsid w:val="00153FD6"/>
    <w:rsid w:val="00157855"/>
    <w:rsid w:val="0016359A"/>
    <w:rsid w:val="00164497"/>
    <w:rsid w:val="00165C1E"/>
    <w:rsid w:val="0017058A"/>
    <w:rsid w:val="001717D5"/>
    <w:rsid w:val="00173D89"/>
    <w:rsid w:val="001753CD"/>
    <w:rsid w:val="00176C5A"/>
    <w:rsid w:val="00180655"/>
    <w:rsid w:val="0018156E"/>
    <w:rsid w:val="00181719"/>
    <w:rsid w:val="00182E92"/>
    <w:rsid w:val="00186315"/>
    <w:rsid w:val="0018706D"/>
    <w:rsid w:val="001870DC"/>
    <w:rsid w:val="001913C5"/>
    <w:rsid w:val="0019205C"/>
    <w:rsid w:val="00192115"/>
    <w:rsid w:val="0019221C"/>
    <w:rsid w:val="001924CD"/>
    <w:rsid w:val="00195507"/>
    <w:rsid w:val="00195612"/>
    <w:rsid w:val="001978FB"/>
    <w:rsid w:val="001A0013"/>
    <w:rsid w:val="001A0AFE"/>
    <w:rsid w:val="001A2B66"/>
    <w:rsid w:val="001A2C70"/>
    <w:rsid w:val="001A51E2"/>
    <w:rsid w:val="001B2E1C"/>
    <w:rsid w:val="001B3098"/>
    <w:rsid w:val="001B698D"/>
    <w:rsid w:val="001B6E9F"/>
    <w:rsid w:val="001C1210"/>
    <w:rsid w:val="001C164C"/>
    <w:rsid w:val="001C569A"/>
    <w:rsid w:val="001D7439"/>
    <w:rsid w:val="001E47A5"/>
    <w:rsid w:val="001E54A3"/>
    <w:rsid w:val="001E5E7D"/>
    <w:rsid w:val="001F04F1"/>
    <w:rsid w:val="001F253E"/>
    <w:rsid w:val="001F5411"/>
    <w:rsid w:val="001F5E83"/>
    <w:rsid w:val="00201E3C"/>
    <w:rsid w:val="00202A18"/>
    <w:rsid w:val="002031D8"/>
    <w:rsid w:val="002036C6"/>
    <w:rsid w:val="00204617"/>
    <w:rsid w:val="002052A1"/>
    <w:rsid w:val="00205B39"/>
    <w:rsid w:val="0020608E"/>
    <w:rsid w:val="00206DA3"/>
    <w:rsid w:val="00211F2C"/>
    <w:rsid w:val="00214028"/>
    <w:rsid w:val="002150B9"/>
    <w:rsid w:val="00215CFD"/>
    <w:rsid w:val="00220564"/>
    <w:rsid w:val="002209C1"/>
    <w:rsid w:val="002213BC"/>
    <w:rsid w:val="00222D76"/>
    <w:rsid w:val="00222F71"/>
    <w:rsid w:val="0023098B"/>
    <w:rsid w:val="002324D9"/>
    <w:rsid w:val="002324F8"/>
    <w:rsid w:val="002325C9"/>
    <w:rsid w:val="00234F66"/>
    <w:rsid w:val="00235000"/>
    <w:rsid w:val="002367A9"/>
    <w:rsid w:val="00237992"/>
    <w:rsid w:val="00237D7D"/>
    <w:rsid w:val="00241AFD"/>
    <w:rsid w:val="00241DB5"/>
    <w:rsid w:val="0024474E"/>
    <w:rsid w:val="00251DE1"/>
    <w:rsid w:val="002525AB"/>
    <w:rsid w:val="0025282F"/>
    <w:rsid w:val="00253EF0"/>
    <w:rsid w:val="00257CD4"/>
    <w:rsid w:val="0026058E"/>
    <w:rsid w:val="00261395"/>
    <w:rsid w:val="00263E5A"/>
    <w:rsid w:val="00265A10"/>
    <w:rsid w:val="00266257"/>
    <w:rsid w:val="002722E1"/>
    <w:rsid w:val="0027415E"/>
    <w:rsid w:val="002760F3"/>
    <w:rsid w:val="00277D2F"/>
    <w:rsid w:val="00281EC0"/>
    <w:rsid w:val="002829A1"/>
    <w:rsid w:val="00282DF9"/>
    <w:rsid w:val="00287313"/>
    <w:rsid w:val="00290D53"/>
    <w:rsid w:val="0029432A"/>
    <w:rsid w:val="00294E85"/>
    <w:rsid w:val="00295C9F"/>
    <w:rsid w:val="00297AFB"/>
    <w:rsid w:val="002A2E1E"/>
    <w:rsid w:val="002A3CDD"/>
    <w:rsid w:val="002A45C4"/>
    <w:rsid w:val="002A511C"/>
    <w:rsid w:val="002A5ACA"/>
    <w:rsid w:val="002A6FEC"/>
    <w:rsid w:val="002A70E4"/>
    <w:rsid w:val="002A78A4"/>
    <w:rsid w:val="002B35B0"/>
    <w:rsid w:val="002B5A83"/>
    <w:rsid w:val="002B6E3A"/>
    <w:rsid w:val="002C310E"/>
    <w:rsid w:val="002D16ED"/>
    <w:rsid w:val="002D1FF0"/>
    <w:rsid w:val="002D69EB"/>
    <w:rsid w:val="002D6A62"/>
    <w:rsid w:val="002D75FE"/>
    <w:rsid w:val="002E224F"/>
    <w:rsid w:val="002F0B4F"/>
    <w:rsid w:val="002F5FDD"/>
    <w:rsid w:val="002F7AA4"/>
    <w:rsid w:val="00300BBE"/>
    <w:rsid w:val="0030286C"/>
    <w:rsid w:val="00307FE8"/>
    <w:rsid w:val="00317465"/>
    <w:rsid w:val="00322274"/>
    <w:rsid w:val="0032592A"/>
    <w:rsid w:val="00330AEB"/>
    <w:rsid w:val="00333094"/>
    <w:rsid w:val="00335863"/>
    <w:rsid w:val="00336D2A"/>
    <w:rsid w:val="00345703"/>
    <w:rsid w:val="00347AEC"/>
    <w:rsid w:val="00347B3D"/>
    <w:rsid w:val="003502E8"/>
    <w:rsid w:val="003508B0"/>
    <w:rsid w:val="0035256B"/>
    <w:rsid w:val="0035413A"/>
    <w:rsid w:val="0035522B"/>
    <w:rsid w:val="0035573F"/>
    <w:rsid w:val="00355EF4"/>
    <w:rsid w:val="00357105"/>
    <w:rsid w:val="00360922"/>
    <w:rsid w:val="0036259C"/>
    <w:rsid w:val="00362C4C"/>
    <w:rsid w:val="00362EC0"/>
    <w:rsid w:val="00366E43"/>
    <w:rsid w:val="00367851"/>
    <w:rsid w:val="00370F57"/>
    <w:rsid w:val="003715EA"/>
    <w:rsid w:val="003724E7"/>
    <w:rsid w:val="00373157"/>
    <w:rsid w:val="00376D63"/>
    <w:rsid w:val="0037791F"/>
    <w:rsid w:val="00377CDB"/>
    <w:rsid w:val="00377F39"/>
    <w:rsid w:val="00380B37"/>
    <w:rsid w:val="00381AFB"/>
    <w:rsid w:val="00384BF5"/>
    <w:rsid w:val="00387A7C"/>
    <w:rsid w:val="00387F4A"/>
    <w:rsid w:val="00392931"/>
    <w:rsid w:val="00392CA7"/>
    <w:rsid w:val="003938D7"/>
    <w:rsid w:val="00396D39"/>
    <w:rsid w:val="003A4448"/>
    <w:rsid w:val="003A53B3"/>
    <w:rsid w:val="003A635F"/>
    <w:rsid w:val="003A75AA"/>
    <w:rsid w:val="003C1FA5"/>
    <w:rsid w:val="003C7A40"/>
    <w:rsid w:val="003D040F"/>
    <w:rsid w:val="003D0682"/>
    <w:rsid w:val="003D14E8"/>
    <w:rsid w:val="003D1FB1"/>
    <w:rsid w:val="003D26C7"/>
    <w:rsid w:val="003D5BB0"/>
    <w:rsid w:val="003D7374"/>
    <w:rsid w:val="003E0326"/>
    <w:rsid w:val="003E2717"/>
    <w:rsid w:val="003E47C5"/>
    <w:rsid w:val="003E550D"/>
    <w:rsid w:val="003F0062"/>
    <w:rsid w:val="003F02C6"/>
    <w:rsid w:val="003F2231"/>
    <w:rsid w:val="003F356E"/>
    <w:rsid w:val="003F404D"/>
    <w:rsid w:val="003F5E23"/>
    <w:rsid w:val="003F6AB7"/>
    <w:rsid w:val="00402890"/>
    <w:rsid w:val="0040555E"/>
    <w:rsid w:val="00406F9F"/>
    <w:rsid w:val="00407336"/>
    <w:rsid w:val="00411A01"/>
    <w:rsid w:val="004129E7"/>
    <w:rsid w:val="004134F0"/>
    <w:rsid w:val="00413D39"/>
    <w:rsid w:val="0041625C"/>
    <w:rsid w:val="004225A4"/>
    <w:rsid w:val="00422950"/>
    <w:rsid w:val="00423F24"/>
    <w:rsid w:val="00424745"/>
    <w:rsid w:val="00426371"/>
    <w:rsid w:val="00430E31"/>
    <w:rsid w:val="00431613"/>
    <w:rsid w:val="00431A67"/>
    <w:rsid w:val="004350F7"/>
    <w:rsid w:val="004405F0"/>
    <w:rsid w:val="0044134C"/>
    <w:rsid w:val="0044304F"/>
    <w:rsid w:val="00444ED6"/>
    <w:rsid w:val="00446FBF"/>
    <w:rsid w:val="00450192"/>
    <w:rsid w:val="00452672"/>
    <w:rsid w:val="00455302"/>
    <w:rsid w:val="004555C1"/>
    <w:rsid w:val="004559B8"/>
    <w:rsid w:val="004567EC"/>
    <w:rsid w:val="00456C58"/>
    <w:rsid w:val="00460C2E"/>
    <w:rsid w:val="00461C31"/>
    <w:rsid w:val="0046368D"/>
    <w:rsid w:val="00464AFB"/>
    <w:rsid w:val="00470506"/>
    <w:rsid w:val="0047334C"/>
    <w:rsid w:val="004736DB"/>
    <w:rsid w:val="00474217"/>
    <w:rsid w:val="00474647"/>
    <w:rsid w:val="004811E7"/>
    <w:rsid w:val="004845E7"/>
    <w:rsid w:val="004845FB"/>
    <w:rsid w:val="00487A74"/>
    <w:rsid w:val="00490B81"/>
    <w:rsid w:val="004919FA"/>
    <w:rsid w:val="00492D45"/>
    <w:rsid w:val="004949A2"/>
    <w:rsid w:val="00494B9F"/>
    <w:rsid w:val="00495396"/>
    <w:rsid w:val="004A1E4D"/>
    <w:rsid w:val="004A5228"/>
    <w:rsid w:val="004A6F7E"/>
    <w:rsid w:val="004A70F5"/>
    <w:rsid w:val="004B07A5"/>
    <w:rsid w:val="004B174A"/>
    <w:rsid w:val="004B4B1C"/>
    <w:rsid w:val="004B5698"/>
    <w:rsid w:val="004B6BE3"/>
    <w:rsid w:val="004B7BE4"/>
    <w:rsid w:val="004C02AA"/>
    <w:rsid w:val="004C1936"/>
    <w:rsid w:val="004C232A"/>
    <w:rsid w:val="004C23F1"/>
    <w:rsid w:val="004C4BAD"/>
    <w:rsid w:val="004C7271"/>
    <w:rsid w:val="004D25AC"/>
    <w:rsid w:val="004D3210"/>
    <w:rsid w:val="004D5C94"/>
    <w:rsid w:val="004D753C"/>
    <w:rsid w:val="004D7AA9"/>
    <w:rsid w:val="004E01E0"/>
    <w:rsid w:val="004E3368"/>
    <w:rsid w:val="004E5B71"/>
    <w:rsid w:val="004E6701"/>
    <w:rsid w:val="004E6ADD"/>
    <w:rsid w:val="004E7D3E"/>
    <w:rsid w:val="004F19B9"/>
    <w:rsid w:val="004F77F8"/>
    <w:rsid w:val="005004BE"/>
    <w:rsid w:val="005004DF"/>
    <w:rsid w:val="00500F36"/>
    <w:rsid w:val="0050722B"/>
    <w:rsid w:val="00507254"/>
    <w:rsid w:val="00507811"/>
    <w:rsid w:val="00514A39"/>
    <w:rsid w:val="0051508B"/>
    <w:rsid w:val="00515482"/>
    <w:rsid w:val="0051568B"/>
    <w:rsid w:val="00516A78"/>
    <w:rsid w:val="00516D80"/>
    <w:rsid w:val="00516E98"/>
    <w:rsid w:val="0052074C"/>
    <w:rsid w:val="0052154B"/>
    <w:rsid w:val="00521F0A"/>
    <w:rsid w:val="0052511B"/>
    <w:rsid w:val="00525A44"/>
    <w:rsid w:val="0052765C"/>
    <w:rsid w:val="00542BFA"/>
    <w:rsid w:val="00547C3E"/>
    <w:rsid w:val="00550EA0"/>
    <w:rsid w:val="0055577F"/>
    <w:rsid w:val="00557039"/>
    <w:rsid w:val="00557BE0"/>
    <w:rsid w:val="00562AF8"/>
    <w:rsid w:val="00562CD5"/>
    <w:rsid w:val="00564940"/>
    <w:rsid w:val="00564DF9"/>
    <w:rsid w:val="00567B56"/>
    <w:rsid w:val="005718A3"/>
    <w:rsid w:val="00571F68"/>
    <w:rsid w:val="00572A3C"/>
    <w:rsid w:val="0057388B"/>
    <w:rsid w:val="00575432"/>
    <w:rsid w:val="00575F66"/>
    <w:rsid w:val="0058211E"/>
    <w:rsid w:val="00582BD5"/>
    <w:rsid w:val="00582F5B"/>
    <w:rsid w:val="0058311A"/>
    <w:rsid w:val="0058311F"/>
    <w:rsid w:val="00583688"/>
    <w:rsid w:val="00586C4C"/>
    <w:rsid w:val="005872D1"/>
    <w:rsid w:val="00590004"/>
    <w:rsid w:val="00592F70"/>
    <w:rsid w:val="005930E0"/>
    <w:rsid w:val="005946C9"/>
    <w:rsid w:val="00594B39"/>
    <w:rsid w:val="0059500F"/>
    <w:rsid w:val="00596B61"/>
    <w:rsid w:val="005970BB"/>
    <w:rsid w:val="005A1E05"/>
    <w:rsid w:val="005A786E"/>
    <w:rsid w:val="005B37DB"/>
    <w:rsid w:val="005B489D"/>
    <w:rsid w:val="005B4B9E"/>
    <w:rsid w:val="005C1D30"/>
    <w:rsid w:val="005C4B6F"/>
    <w:rsid w:val="005C62E6"/>
    <w:rsid w:val="005C6AB4"/>
    <w:rsid w:val="005D0EE0"/>
    <w:rsid w:val="005D51AF"/>
    <w:rsid w:val="005E3C20"/>
    <w:rsid w:val="005E4BBB"/>
    <w:rsid w:val="005E5FE6"/>
    <w:rsid w:val="005E7C7B"/>
    <w:rsid w:val="005F03A4"/>
    <w:rsid w:val="005F2E40"/>
    <w:rsid w:val="005F4FA2"/>
    <w:rsid w:val="005F7092"/>
    <w:rsid w:val="00603D73"/>
    <w:rsid w:val="00604189"/>
    <w:rsid w:val="00606578"/>
    <w:rsid w:val="00607958"/>
    <w:rsid w:val="006109D3"/>
    <w:rsid w:val="006113FA"/>
    <w:rsid w:val="00611CAE"/>
    <w:rsid w:val="00612915"/>
    <w:rsid w:val="00613000"/>
    <w:rsid w:val="00613A68"/>
    <w:rsid w:val="00614877"/>
    <w:rsid w:val="0063101B"/>
    <w:rsid w:val="006324A8"/>
    <w:rsid w:val="00632597"/>
    <w:rsid w:val="00632658"/>
    <w:rsid w:val="00635502"/>
    <w:rsid w:val="0063645F"/>
    <w:rsid w:val="00640D82"/>
    <w:rsid w:val="00644FC9"/>
    <w:rsid w:val="00646094"/>
    <w:rsid w:val="006460B1"/>
    <w:rsid w:val="0065427D"/>
    <w:rsid w:val="006605F5"/>
    <w:rsid w:val="006607F7"/>
    <w:rsid w:val="006628E0"/>
    <w:rsid w:val="00662C8A"/>
    <w:rsid w:val="00662EFD"/>
    <w:rsid w:val="006637F3"/>
    <w:rsid w:val="00663A4F"/>
    <w:rsid w:val="00665A16"/>
    <w:rsid w:val="00667F12"/>
    <w:rsid w:val="006711C2"/>
    <w:rsid w:val="0067267D"/>
    <w:rsid w:val="00674C23"/>
    <w:rsid w:val="006809F8"/>
    <w:rsid w:val="00681E02"/>
    <w:rsid w:val="0068200A"/>
    <w:rsid w:val="00684628"/>
    <w:rsid w:val="00686794"/>
    <w:rsid w:val="0069073A"/>
    <w:rsid w:val="00697BF1"/>
    <w:rsid w:val="006A0424"/>
    <w:rsid w:val="006A3953"/>
    <w:rsid w:val="006A7928"/>
    <w:rsid w:val="006B259E"/>
    <w:rsid w:val="006B2F58"/>
    <w:rsid w:val="006B4EA5"/>
    <w:rsid w:val="006C07FF"/>
    <w:rsid w:val="006C33E3"/>
    <w:rsid w:val="006D21A4"/>
    <w:rsid w:val="006D361C"/>
    <w:rsid w:val="006D3809"/>
    <w:rsid w:val="006D42EE"/>
    <w:rsid w:val="006E28FC"/>
    <w:rsid w:val="006E2963"/>
    <w:rsid w:val="006E3EAF"/>
    <w:rsid w:val="006F059F"/>
    <w:rsid w:val="006F163F"/>
    <w:rsid w:val="006F634F"/>
    <w:rsid w:val="006F66CB"/>
    <w:rsid w:val="00700651"/>
    <w:rsid w:val="00702E0A"/>
    <w:rsid w:val="00703629"/>
    <w:rsid w:val="00703930"/>
    <w:rsid w:val="007043A4"/>
    <w:rsid w:val="00704497"/>
    <w:rsid w:val="00704C59"/>
    <w:rsid w:val="0071169D"/>
    <w:rsid w:val="007116EA"/>
    <w:rsid w:val="00716977"/>
    <w:rsid w:val="00717641"/>
    <w:rsid w:val="00722077"/>
    <w:rsid w:val="00723D11"/>
    <w:rsid w:val="0072730A"/>
    <w:rsid w:val="00732C4F"/>
    <w:rsid w:val="00737FCA"/>
    <w:rsid w:val="007437A3"/>
    <w:rsid w:val="00743C2C"/>
    <w:rsid w:val="00744957"/>
    <w:rsid w:val="00744A0A"/>
    <w:rsid w:val="00745387"/>
    <w:rsid w:val="007460E0"/>
    <w:rsid w:val="00746434"/>
    <w:rsid w:val="00754F0E"/>
    <w:rsid w:val="00755F0A"/>
    <w:rsid w:val="00755F60"/>
    <w:rsid w:val="0076096E"/>
    <w:rsid w:val="00762C4E"/>
    <w:rsid w:val="00762CE3"/>
    <w:rsid w:val="007645BA"/>
    <w:rsid w:val="0076598A"/>
    <w:rsid w:val="0076633D"/>
    <w:rsid w:val="00775333"/>
    <w:rsid w:val="00775738"/>
    <w:rsid w:val="007762C3"/>
    <w:rsid w:val="007815B0"/>
    <w:rsid w:val="00782533"/>
    <w:rsid w:val="00782783"/>
    <w:rsid w:val="00783E26"/>
    <w:rsid w:val="00784429"/>
    <w:rsid w:val="00785C41"/>
    <w:rsid w:val="00792C5D"/>
    <w:rsid w:val="007A4262"/>
    <w:rsid w:val="007A5C45"/>
    <w:rsid w:val="007A65DC"/>
    <w:rsid w:val="007A69DD"/>
    <w:rsid w:val="007B00FC"/>
    <w:rsid w:val="007B1217"/>
    <w:rsid w:val="007B25A8"/>
    <w:rsid w:val="007B2A2C"/>
    <w:rsid w:val="007B682D"/>
    <w:rsid w:val="007B6B3B"/>
    <w:rsid w:val="007C20AB"/>
    <w:rsid w:val="007C24BE"/>
    <w:rsid w:val="007C2A29"/>
    <w:rsid w:val="007C354B"/>
    <w:rsid w:val="007C354F"/>
    <w:rsid w:val="007C5078"/>
    <w:rsid w:val="007D21E8"/>
    <w:rsid w:val="007D408F"/>
    <w:rsid w:val="007D656E"/>
    <w:rsid w:val="007E28E0"/>
    <w:rsid w:val="007E6D61"/>
    <w:rsid w:val="007E7039"/>
    <w:rsid w:val="007F286B"/>
    <w:rsid w:val="007F426A"/>
    <w:rsid w:val="007F4273"/>
    <w:rsid w:val="007F44E6"/>
    <w:rsid w:val="007F485E"/>
    <w:rsid w:val="007F5E6E"/>
    <w:rsid w:val="007F603F"/>
    <w:rsid w:val="007F6E8A"/>
    <w:rsid w:val="00801765"/>
    <w:rsid w:val="0080356F"/>
    <w:rsid w:val="00803E09"/>
    <w:rsid w:val="00804DAB"/>
    <w:rsid w:val="008109FF"/>
    <w:rsid w:val="008121C7"/>
    <w:rsid w:val="00815D15"/>
    <w:rsid w:val="00815F10"/>
    <w:rsid w:val="008218B9"/>
    <w:rsid w:val="008256B6"/>
    <w:rsid w:val="00826E46"/>
    <w:rsid w:val="00833870"/>
    <w:rsid w:val="00836CA6"/>
    <w:rsid w:val="008438D0"/>
    <w:rsid w:val="00843D16"/>
    <w:rsid w:val="0084657E"/>
    <w:rsid w:val="00851F5E"/>
    <w:rsid w:val="008525EE"/>
    <w:rsid w:val="0085358E"/>
    <w:rsid w:val="008561FF"/>
    <w:rsid w:val="008569E7"/>
    <w:rsid w:val="00856C33"/>
    <w:rsid w:val="00860B29"/>
    <w:rsid w:val="00861F90"/>
    <w:rsid w:val="00862C83"/>
    <w:rsid w:val="00863D1F"/>
    <w:rsid w:val="00865050"/>
    <w:rsid w:val="00865CD8"/>
    <w:rsid w:val="00865EB5"/>
    <w:rsid w:val="008673BF"/>
    <w:rsid w:val="0087268E"/>
    <w:rsid w:val="00874848"/>
    <w:rsid w:val="008827CE"/>
    <w:rsid w:val="00885532"/>
    <w:rsid w:val="008909B5"/>
    <w:rsid w:val="00891842"/>
    <w:rsid w:val="008949AB"/>
    <w:rsid w:val="00894E8F"/>
    <w:rsid w:val="008952F4"/>
    <w:rsid w:val="00896995"/>
    <w:rsid w:val="008A01C2"/>
    <w:rsid w:val="008A4C45"/>
    <w:rsid w:val="008A5863"/>
    <w:rsid w:val="008A58FC"/>
    <w:rsid w:val="008B47F3"/>
    <w:rsid w:val="008B541D"/>
    <w:rsid w:val="008B6732"/>
    <w:rsid w:val="008B6A28"/>
    <w:rsid w:val="008B7079"/>
    <w:rsid w:val="008B7820"/>
    <w:rsid w:val="008B7CF9"/>
    <w:rsid w:val="008C0C88"/>
    <w:rsid w:val="008C1BF8"/>
    <w:rsid w:val="008C2049"/>
    <w:rsid w:val="008C385C"/>
    <w:rsid w:val="008C5A28"/>
    <w:rsid w:val="008C6433"/>
    <w:rsid w:val="008D0668"/>
    <w:rsid w:val="008D439A"/>
    <w:rsid w:val="008D5477"/>
    <w:rsid w:val="008D6266"/>
    <w:rsid w:val="008D772F"/>
    <w:rsid w:val="008E0C36"/>
    <w:rsid w:val="008E3C5A"/>
    <w:rsid w:val="008E6656"/>
    <w:rsid w:val="008E7A56"/>
    <w:rsid w:val="008F07EA"/>
    <w:rsid w:val="008F09C0"/>
    <w:rsid w:val="008F782F"/>
    <w:rsid w:val="0090173F"/>
    <w:rsid w:val="00902018"/>
    <w:rsid w:val="00903059"/>
    <w:rsid w:val="009043BC"/>
    <w:rsid w:val="009074FA"/>
    <w:rsid w:val="00907F97"/>
    <w:rsid w:val="00910F75"/>
    <w:rsid w:val="00912990"/>
    <w:rsid w:val="00913047"/>
    <w:rsid w:val="00927D2D"/>
    <w:rsid w:val="00936DC8"/>
    <w:rsid w:val="009377FA"/>
    <w:rsid w:val="009418B8"/>
    <w:rsid w:val="00941CCE"/>
    <w:rsid w:val="00942AAC"/>
    <w:rsid w:val="0094397D"/>
    <w:rsid w:val="00944CF2"/>
    <w:rsid w:val="00946C4B"/>
    <w:rsid w:val="00950A6C"/>
    <w:rsid w:val="00953006"/>
    <w:rsid w:val="0095368C"/>
    <w:rsid w:val="00953FA8"/>
    <w:rsid w:val="0095419B"/>
    <w:rsid w:val="00961D0C"/>
    <w:rsid w:val="00966273"/>
    <w:rsid w:val="009664B1"/>
    <w:rsid w:val="00966672"/>
    <w:rsid w:val="00972B7A"/>
    <w:rsid w:val="00975802"/>
    <w:rsid w:val="0098080E"/>
    <w:rsid w:val="00982B34"/>
    <w:rsid w:val="00985CA9"/>
    <w:rsid w:val="009870F6"/>
    <w:rsid w:val="00987723"/>
    <w:rsid w:val="009908E2"/>
    <w:rsid w:val="0099129E"/>
    <w:rsid w:val="00991350"/>
    <w:rsid w:val="00994006"/>
    <w:rsid w:val="00996FD8"/>
    <w:rsid w:val="009A1269"/>
    <w:rsid w:val="009A137D"/>
    <w:rsid w:val="009A1A7B"/>
    <w:rsid w:val="009A2BAA"/>
    <w:rsid w:val="009A3314"/>
    <w:rsid w:val="009A379A"/>
    <w:rsid w:val="009A39FE"/>
    <w:rsid w:val="009A3ACD"/>
    <w:rsid w:val="009A4B84"/>
    <w:rsid w:val="009A6B33"/>
    <w:rsid w:val="009B0273"/>
    <w:rsid w:val="009B06DE"/>
    <w:rsid w:val="009B390D"/>
    <w:rsid w:val="009B4377"/>
    <w:rsid w:val="009B6BA7"/>
    <w:rsid w:val="009B6C2D"/>
    <w:rsid w:val="009B7D7D"/>
    <w:rsid w:val="009C4CA1"/>
    <w:rsid w:val="009C4D03"/>
    <w:rsid w:val="009C5B01"/>
    <w:rsid w:val="009C65DF"/>
    <w:rsid w:val="009D02FF"/>
    <w:rsid w:val="009D2733"/>
    <w:rsid w:val="009D76FC"/>
    <w:rsid w:val="009E1F37"/>
    <w:rsid w:val="009E2BE9"/>
    <w:rsid w:val="009E3574"/>
    <w:rsid w:val="009E40C7"/>
    <w:rsid w:val="009E54F5"/>
    <w:rsid w:val="009E6F5F"/>
    <w:rsid w:val="009E76D2"/>
    <w:rsid w:val="009F149F"/>
    <w:rsid w:val="009F2938"/>
    <w:rsid w:val="009F4F08"/>
    <w:rsid w:val="00A007E7"/>
    <w:rsid w:val="00A00FEB"/>
    <w:rsid w:val="00A02B3E"/>
    <w:rsid w:val="00A04FD8"/>
    <w:rsid w:val="00A05E01"/>
    <w:rsid w:val="00A06049"/>
    <w:rsid w:val="00A10777"/>
    <w:rsid w:val="00A124C1"/>
    <w:rsid w:val="00A14D60"/>
    <w:rsid w:val="00A1640E"/>
    <w:rsid w:val="00A22D2A"/>
    <w:rsid w:val="00A24337"/>
    <w:rsid w:val="00A2455B"/>
    <w:rsid w:val="00A25E00"/>
    <w:rsid w:val="00A27197"/>
    <w:rsid w:val="00A30796"/>
    <w:rsid w:val="00A32F7B"/>
    <w:rsid w:val="00A35125"/>
    <w:rsid w:val="00A356BD"/>
    <w:rsid w:val="00A359D3"/>
    <w:rsid w:val="00A36E52"/>
    <w:rsid w:val="00A371B4"/>
    <w:rsid w:val="00A430E3"/>
    <w:rsid w:val="00A50F90"/>
    <w:rsid w:val="00A54C94"/>
    <w:rsid w:val="00A5509C"/>
    <w:rsid w:val="00A568D6"/>
    <w:rsid w:val="00A57DE3"/>
    <w:rsid w:val="00A619C6"/>
    <w:rsid w:val="00A61F8F"/>
    <w:rsid w:val="00A632D4"/>
    <w:rsid w:val="00A65B65"/>
    <w:rsid w:val="00A733B7"/>
    <w:rsid w:val="00A776BD"/>
    <w:rsid w:val="00A80A07"/>
    <w:rsid w:val="00A82FAC"/>
    <w:rsid w:val="00A84491"/>
    <w:rsid w:val="00A84815"/>
    <w:rsid w:val="00A86B65"/>
    <w:rsid w:val="00AA083D"/>
    <w:rsid w:val="00AA7647"/>
    <w:rsid w:val="00AB0375"/>
    <w:rsid w:val="00AB14E9"/>
    <w:rsid w:val="00AB1C8C"/>
    <w:rsid w:val="00AB2A12"/>
    <w:rsid w:val="00AB33CA"/>
    <w:rsid w:val="00AB715A"/>
    <w:rsid w:val="00AB773F"/>
    <w:rsid w:val="00AB7977"/>
    <w:rsid w:val="00AC0661"/>
    <w:rsid w:val="00AC0EC6"/>
    <w:rsid w:val="00AC1C25"/>
    <w:rsid w:val="00AC448D"/>
    <w:rsid w:val="00AC5FB9"/>
    <w:rsid w:val="00AC644E"/>
    <w:rsid w:val="00AD15EA"/>
    <w:rsid w:val="00AD1DDC"/>
    <w:rsid w:val="00AD495D"/>
    <w:rsid w:val="00AD4FAA"/>
    <w:rsid w:val="00AE0D94"/>
    <w:rsid w:val="00AE112C"/>
    <w:rsid w:val="00AE198F"/>
    <w:rsid w:val="00AE1C2C"/>
    <w:rsid w:val="00AE4FEF"/>
    <w:rsid w:val="00AE5E25"/>
    <w:rsid w:val="00AF470F"/>
    <w:rsid w:val="00AF4F6B"/>
    <w:rsid w:val="00AF70DB"/>
    <w:rsid w:val="00B01323"/>
    <w:rsid w:val="00B051DF"/>
    <w:rsid w:val="00B0555B"/>
    <w:rsid w:val="00B06B16"/>
    <w:rsid w:val="00B105E4"/>
    <w:rsid w:val="00B12C71"/>
    <w:rsid w:val="00B144A0"/>
    <w:rsid w:val="00B2558B"/>
    <w:rsid w:val="00B25969"/>
    <w:rsid w:val="00B311B8"/>
    <w:rsid w:val="00B31CB5"/>
    <w:rsid w:val="00B323A0"/>
    <w:rsid w:val="00B326D8"/>
    <w:rsid w:val="00B33847"/>
    <w:rsid w:val="00B35023"/>
    <w:rsid w:val="00B401DB"/>
    <w:rsid w:val="00B46245"/>
    <w:rsid w:val="00B47FC4"/>
    <w:rsid w:val="00B50790"/>
    <w:rsid w:val="00B53010"/>
    <w:rsid w:val="00B53803"/>
    <w:rsid w:val="00B5462D"/>
    <w:rsid w:val="00B56767"/>
    <w:rsid w:val="00B579B4"/>
    <w:rsid w:val="00B6221B"/>
    <w:rsid w:val="00B650D4"/>
    <w:rsid w:val="00B66320"/>
    <w:rsid w:val="00B67FC7"/>
    <w:rsid w:val="00B71D62"/>
    <w:rsid w:val="00B739D5"/>
    <w:rsid w:val="00B81385"/>
    <w:rsid w:val="00B81643"/>
    <w:rsid w:val="00B84C97"/>
    <w:rsid w:val="00B8509A"/>
    <w:rsid w:val="00B85782"/>
    <w:rsid w:val="00B85DB7"/>
    <w:rsid w:val="00B8664C"/>
    <w:rsid w:val="00B87B94"/>
    <w:rsid w:val="00B90844"/>
    <w:rsid w:val="00B91DD2"/>
    <w:rsid w:val="00B93C26"/>
    <w:rsid w:val="00B93FE1"/>
    <w:rsid w:val="00B9419D"/>
    <w:rsid w:val="00B94737"/>
    <w:rsid w:val="00B94A1E"/>
    <w:rsid w:val="00BA1834"/>
    <w:rsid w:val="00BA4C04"/>
    <w:rsid w:val="00BA5AD6"/>
    <w:rsid w:val="00BA686B"/>
    <w:rsid w:val="00BA6AB7"/>
    <w:rsid w:val="00BB0349"/>
    <w:rsid w:val="00BB0D77"/>
    <w:rsid w:val="00BB6E2A"/>
    <w:rsid w:val="00BB73D3"/>
    <w:rsid w:val="00BB7CF9"/>
    <w:rsid w:val="00BC6EC8"/>
    <w:rsid w:val="00BD0796"/>
    <w:rsid w:val="00BD2242"/>
    <w:rsid w:val="00BD2476"/>
    <w:rsid w:val="00BD3F9A"/>
    <w:rsid w:val="00BD44CA"/>
    <w:rsid w:val="00BD6F3B"/>
    <w:rsid w:val="00BE1B98"/>
    <w:rsid w:val="00BE60CA"/>
    <w:rsid w:val="00BF1865"/>
    <w:rsid w:val="00BF3452"/>
    <w:rsid w:val="00BF406C"/>
    <w:rsid w:val="00BF6013"/>
    <w:rsid w:val="00BF71A2"/>
    <w:rsid w:val="00C0275B"/>
    <w:rsid w:val="00C03EB8"/>
    <w:rsid w:val="00C04DF1"/>
    <w:rsid w:val="00C06369"/>
    <w:rsid w:val="00C069A2"/>
    <w:rsid w:val="00C0700C"/>
    <w:rsid w:val="00C07C36"/>
    <w:rsid w:val="00C11CB3"/>
    <w:rsid w:val="00C1672C"/>
    <w:rsid w:val="00C16B67"/>
    <w:rsid w:val="00C16DFC"/>
    <w:rsid w:val="00C1713A"/>
    <w:rsid w:val="00C17382"/>
    <w:rsid w:val="00C20491"/>
    <w:rsid w:val="00C2270F"/>
    <w:rsid w:val="00C22861"/>
    <w:rsid w:val="00C2366E"/>
    <w:rsid w:val="00C2581D"/>
    <w:rsid w:val="00C27360"/>
    <w:rsid w:val="00C27FEC"/>
    <w:rsid w:val="00C36C6E"/>
    <w:rsid w:val="00C449AC"/>
    <w:rsid w:val="00C465A5"/>
    <w:rsid w:val="00C47F4E"/>
    <w:rsid w:val="00C543E8"/>
    <w:rsid w:val="00C575EE"/>
    <w:rsid w:val="00C6115A"/>
    <w:rsid w:val="00C63B54"/>
    <w:rsid w:val="00C6555E"/>
    <w:rsid w:val="00C7071B"/>
    <w:rsid w:val="00C76A3C"/>
    <w:rsid w:val="00C80CA3"/>
    <w:rsid w:val="00C82555"/>
    <w:rsid w:val="00C85020"/>
    <w:rsid w:val="00C86496"/>
    <w:rsid w:val="00C86A0A"/>
    <w:rsid w:val="00C86B67"/>
    <w:rsid w:val="00C87808"/>
    <w:rsid w:val="00C92BF3"/>
    <w:rsid w:val="00C93184"/>
    <w:rsid w:val="00C94741"/>
    <w:rsid w:val="00C94ABF"/>
    <w:rsid w:val="00C958EA"/>
    <w:rsid w:val="00C961A7"/>
    <w:rsid w:val="00C96744"/>
    <w:rsid w:val="00C972A2"/>
    <w:rsid w:val="00C97E37"/>
    <w:rsid w:val="00CA0152"/>
    <w:rsid w:val="00CA1C32"/>
    <w:rsid w:val="00CA2546"/>
    <w:rsid w:val="00CA429A"/>
    <w:rsid w:val="00CB1734"/>
    <w:rsid w:val="00CB6B29"/>
    <w:rsid w:val="00CB6FE4"/>
    <w:rsid w:val="00CC1B47"/>
    <w:rsid w:val="00CC2114"/>
    <w:rsid w:val="00CC2D33"/>
    <w:rsid w:val="00CC3567"/>
    <w:rsid w:val="00CC38A2"/>
    <w:rsid w:val="00CC395A"/>
    <w:rsid w:val="00CC5F74"/>
    <w:rsid w:val="00CC605D"/>
    <w:rsid w:val="00CD2CC9"/>
    <w:rsid w:val="00CD498A"/>
    <w:rsid w:val="00CD4DA9"/>
    <w:rsid w:val="00CD5371"/>
    <w:rsid w:val="00CD5F7A"/>
    <w:rsid w:val="00CD5FE3"/>
    <w:rsid w:val="00CE1C0A"/>
    <w:rsid w:val="00CE30FC"/>
    <w:rsid w:val="00CE3374"/>
    <w:rsid w:val="00CE4F3F"/>
    <w:rsid w:val="00CE5752"/>
    <w:rsid w:val="00CE706A"/>
    <w:rsid w:val="00CF1022"/>
    <w:rsid w:val="00CF129C"/>
    <w:rsid w:val="00CF4AC4"/>
    <w:rsid w:val="00D0010C"/>
    <w:rsid w:val="00D009E8"/>
    <w:rsid w:val="00D076EE"/>
    <w:rsid w:val="00D11526"/>
    <w:rsid w:val="00D12D69"/>
    <w:rsid w:val="00D134EA"/>
    <w:rsid w:val="00D13AD8"/>
    <w:rsid w:val="00D15557"/>
    <w:rsid w:val="00D16F87"/>
    <w:rsid w:val="00D2709E"/>
    <w:rsid w:val="00D300EF"/>
    <w:rsid w:val="00D30F65"/>
    <w:rsid w:val="00D31601"/>
    <w:rsid w:val="00D31C8A"/>
    <w:rsid w:val="00D34451"/>
    <w:rsid w:val="00D42FE7"/>
    <w:rsid w:val="00D4402B"/>
    <w:rsid w:val="00D4626D"/>
    <w:rsid w:val="00D47E05"/>
    <w:rsid w:val="00D47ED7"/>
    <w:rsid w:val="00D51A87"/>
    <w:rsid w:val="00D53A85"/>
    <w:rsid w:val="00D54F8E"/>
    <w:rsid w:val="00D55037"/>
    <w:rsid w:val="00D55DDF"/>
    <w:rsid w:val="00D57DB4"/>
    <w:rsid w:val="00D613C8"/>
    <w:rsid w:val="00D6321D"/>
    <w:rsid w:val="00D6467C"/>
    <w:rsid w:val="00D6774B"/>
    <w:rsid w:val="00D70DA9"/>
    <w:rsid w:val="00D727A7"/>
    <w:rsid w:val="00D746B1"/>
    <w:rsid w:val="00D768FC"/>
    <w:rsid w:val="00D7722E"/>
    <w:rsid w:val="00D77A1D"/>
    <w:rsid w:val="00D80A90"/>
    <w:rsid w:val="00D8244E"/>
    <w:rsid w:val="00D830C0"/>
    <w:rsid w:val="00D83109"/>
    <w:rsid w:val="00D831FC"/>
    <w:rsid w:val="00D90AAF"/>
    <w:rsid w:val="00D93FA3"/>
    <w:rsid w:val="00DA35EB"/>
    <w:rsid w:val="00DA6544"/>
    <w:rsid w:val="00DA76A8"/>
    <w:rsid w:val="00DA7813"/>
    <w:rsid w:val="00DB007D"/>
    <w:rsid w:val="00DB0711"/>
    <w:rsid w:val="00DB1173"/>
    <w:rsid w:val="00DB1656"/>
    <w:rsid w:val="00DB39AD"/>
    <w:rsid w:val="00DB75CF"/>
    <w:rsid w:val="00DC1B7A"/>
    <w:rsid w:val="00DC2BD1"/>
    <w:rsid w:val="00DC2D33"/>
    <w:rsid w:val="00DC54C3"/>
    <w:rsid w:val="00DC7F47"/>
    <w:rsid w:val="00DD2AC2"/>
    <w:rsid w:val="00DE00CC"/>
    <w:rsid w:val="00DE0FAA"/>
    <w:rsid w:val="00DE285A"/>
    <w:rsid w:val="00DE3870"/>
    <w:rsid w:val="00DE3C77"/>
    <w:rsid w:val="00DE75E1"/>
    <w:rsid w:val="00DF0134"/>
    <w:rsid w:val="00DF1D25"/>
    <w:rsid w:val="00DF32FD"/>
    <w:rsid w:val="00DF6B42"/>
    <w:rsid w:val="00E07B96"/>
    <w:rsid w:val="00E105BD"/>
    <w:rsid w:val="00E13C8B"/>
    <w:rsid w:val="00E140AE"/>
    <w:rsid w:val="00E17740"/>
    <w:rsid w:val="00E2183A"/>
    <w:rsid w:val="00E26991"/>
    <w:rsid w:val="00E27B6A"/>
    <w:rsid w:val="00E30E0B"/>
    <w:rsid w:val="00E322EE"/>
    <w:rsid w:val="00E32CBC"/>
    <w:rsid w:val="00E34249"/>
    <w:rsid w:val="00E4163B"/>
    <w:rsid w:val="00E41DFF"/>
    <w:rsid w:val="00E44048"/>
    <w:rsid w:val="00E44FDF"/>
    <w:rsid w:val="00E45335"/>
    <w:rsid w:val="00E50F29"/>
    <w:rsid w:val="00E512F1"/>
    <w:rsid w:val="00E51A6D"/>
    <w:rsid w:val="00E51D7E"/>
    <w:rsid w:val="00E521F9"/>
    <w:rsid w:val="00E52646"/>
    <w:rsid w:val="00E56B5D"/>
    <w:rsid w:val="00E63BC1"/>
    <w:rsid w:val="00E6406B"/>
    <w:rsid w:val="00E652D6"/>
    <w:rsid w:val="00E65730"/>
    <w:rsid w:val="00E66E9A"/>
    <w:rsid w:val="00E72946"/>
    <w:rsid w:val="00E736C9"/>
    <w:rsid w:val="00E73B86"/>
    <w:rsid w:val="00E743AA"/>
    <w:rsid w:val="00E77BA8"/>
    <w:rsid w:val="00E81DC8"/>
    <w:rsid w:val="00E8447B"/>
    <w:rsid w:val="00E851A6"/>
    <w:rsid w:val="00E85A31"/>
    <w:rsid w:val="00EA0724"/>
    <w:rsid w:val="00EA0C55"/>
    <w:rsid w:val="00EA4624"/>
    <w:rsid w:val="00EB0A78"/>
    <w:rsid w:val="00EB1CB6"/>
    <w:rsid w:val="00EB278C"/>
    <w:rsid w:val="00EB4676"/>
    <w:rsid w:val="00EB4FD7"/>
    <w:rsid w:val="00EC002A"/>
    <w:rsid w:val="00EC1BF8"/>
    <w:rsid w:val="00EC31E6"/>
    <w:rsid w:val="00EC4E76"/>
    <w:rsid w:val="00EC5784"/>
    <w:rsid w:val="00ED05BA"/>
    <w:rsid w:val="00ED0A9A"/>
    <w:rsid w:val="00ED2580"/>
    <w:rsid w:val="00ED676A"/>
    <w:rsid w:val="00ED7EF8"/>
    <w:rsid w:val="00EE0150"/>
    <w:rsid w:val="00EE0FB9"/>
    <w:rsid w:val="00EE2191"/>
    <w:rsid w:val="00EE31DB"/>
    <w:rsid w:val="00EE7693"/>
    <w:rsid w:val="00EE7891"/>
    <w:rsid w:val="00EE7B5D"/>
    <w:rsid w:val="00EF3783"/>
    <w:rsid w:val="00EF593A"/>
    <w:rsid w:val="00EF5E7C"/>
    <w:rsid w:val="00EF706F"/>
    <w:rsid w:val="00EF70FA"/>
    <w:rsid w:val="00EF7CCA"/>
    <w:rsid w:val="00F0245F"/>
    <w:rsid w:val="00F04F30"/>
    <w:rsid w:val="00F053B9"/>
    <w:rsid w:val="00F1091D"/>
    <w:rsid w:val="00F14007"/>
    <w:rsid w:val="00F16C79"/>
    <w:rsid w:val="00F20E3A"/>
    <w:rsid w:val="00F214A0"/>
    <w:rsid w:val="00F233BE"/>
    <w:rsid w:val="00F23B6F"/>
    <w:rsid w:val="00F26036"/>
    <w:rsid w:val="00F26057"/>
    <w:rsid w:val="00F275A5"/>
    <w:rsid w:val="00F37255"/>
    <w:rsid w:val="00F419E6"/>
    <w:rsid w:val="00F42BE5"/>
    <w:rsid w:val="00F42C2A"/>
    <w:rsid w:val="00F44038"/>
    <w:rsid w:val="00F45380"/>
    <w:rsid w:val="00F45493"/>
    <w:rsid w:val="00F4773E"/>
    <w:rsid w:val="00F52237"/>
    <w:rsid w:val="00F52763"/>
    <w:rsid w:val="00F5562B"/>
    <w:rsid w:val="00F57165"/>
    <w:rsid w:val="00F57264"/>
    <w:rsid w:val="00F62014"/>
    <w:rsid w:val="00F62220"/>
    <w:rsid w:val="00F63959"/>
    <w:rsid w:val="00F63E3E"/>
    <w:rsid w:val="00F7046E"/>
    <w:rsid w:val="00F707C1"/>
    <w:rsid w:val="00F72C0D"/>
    <w:rsid w:val="00F740A5"/>
    <w:rsid w:val="00F77824"/>
    <w:rsid w:val="00F77DAA"/>
    <w:rsid w:val="00F80CA4"/>
    <w:rsid w:val="00F81921"/>
    <w:rsid w:val="00F840A5"/>
    <w:rsid w:val="00F84598"/>
    <w:rsid w:val="00F8635A"/>
    <w:rsid w:val="00F86F67"/>
    <w:rsid w:val="00F871D9"/>
    <w:rsid w:val="00F8744D"/>
    <w:rsid w:val="00F87999"/>
    <w:rsid w:val="00F93B9E"/>
    <w:rsid w:val="00F93E78"/>
    <w:rsid w:val="00F95925"/>
    <w:rsid w:val="00FA510D"/>
    <w:rsid w:val="00FA71CB"/>
    <w:rsid w:val="00FA7341"/>
    <w:rsid w:val="00FA746D"/>
    <w:rsid w:val="00FB03A4"/>
    <w:rsid w:val="00FB4E30"/>
    <w:rsid w:val="00FC0200"/>
    <w:rsid w:val="00FC10F2"/>
    <w:rsid w:val="00FC1F78"/>
    <w:rsid w:val="00FC37A2"/>
    <w:rsid w:val="00FC38B0"/>
    <w:rsid w:val="00FC674B"/>
    <w:rsid w:val="00FC7005"/>
    <w:rsid w:val="00FD4E01"/>
    <w:rsid w:val="00FD505E"/>
    <w:rsid w:val="00FD6438"/>
    <w:rsid w:val="00FD69D3"/>
    <w:rsid w:val="00FD77B5"/>
    <w:rsid w:val="00FE226F"/>
    <w:rsid w:val="00FF0BDF"/>
    <w:rsid w:val="00FF1D7F"/>
    <w:rsid w:val="00FF2A40"/>
    <w:rsid w:val="00FF53DF"/>
    <w:rsid w:val="00FF55BD"/>
    <w:rsid w:val="00FF77D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B12CEB9D-768E-442D-AE18-FDA1823E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pPr>
        <w:spacing w:before="150" w:after="75" w:line="270" w:lineRule="atLeast"/>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1B9"/>
    <w:rPr>
      <w:sz w:val="24"/>
      <w:szCs w:val="24"/>
    </w:rPr>
  </w:style>
  <w:style w:type="paragraph" w:styleId="Heading1">
    <w:name w:val="heading 1"/>
    <w:basedOn w:val="Normal"/>
    <w:link w:val="Heading1Char"/>
    <w:uiPriority w:val="9"/>
    <w:qFormat/>
    <w:rsid w:val="000A250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0151B9"/>
    <w:pPr>
      <w:spacing w:before="100" w:beforeAutospacing="1" w:after="100" w:afterAutospacing="1"/>
    </w:pPr>
  </w:style>
  <w:style w:type="paragraph" w:customStyle="1" w:styleId="CharCharRakstzRakstzCharChar">
    <w:name w:val="Char Char Rakstz. Rakstz. Char Char"/>
    <w:basedOn w:val="Normal"/>
    <w:autoRedefine/>
    <w:rsid w:val="000151B9"/>
    <w:pPr>
      <w:spacing w:before="40"/>
    </w:pPr>
    <w:rPr>
      <w:lang w:val="pl-PL" w:eastAsia="pl-PL"/>
    </w:rPr>
  </w:style>
  <w:style w:type="paragraph" w:customStyle="1" w:styleId="naisnod">
    <w:name w:val="naisnod"/>
    <w:basedOn w:val="Normal"/>
    <w:rsid w:val="000151B9"/>
    <w:pPr>
      <w:spacing w:after="150"/>
      <w:jc w:val="center"/>
    </w:pPr>
    <w:rPr>
      <w:b/>
      <w:bCs/>
    </w:rPr>
  </w:style>
  <w:style w:type="paragraph" w:customStyle="1" w:styleId="naiskr">
    <w:name w:val="naiskr"/>
    <w:basedOn w:val="Normal"/>
    <w:uiPriority w:val="99"/>
    <w:rsid w:val="000151B9"/>
    <w:pPr>
      <w:spacing w:before="75"/>
    </w:pPr>
  </w:style>
  <w:style w:type="paragraph" w:styleId="FootnoteText">
    <w:name w:val="footnote text"/>
    <w:basedOn w:val="Normal"/>
    <w:semiHidden/>
    <w:rsid w:val="000151B9"/>
    <w:rPr>
      <w:sz w:val="20"/>
      <w:szCs w:val="20"/>
    </w:rPr>
  </w:style>
  <w:style w:type="paragraph" w:styleId="BodyText">
    <w:name w:val="Body Text"/>
    <w:basedOn w:val="Normal"/>
    <w:rsid w:val="000151B9"/>
    <w:pPr>
      <w:jc w:val="right"/>
    </w:pPr>
    <w:rPr>
      <w:b/>
      <w:sz w:val="28"/>
      <w:szCs w:val="20"/>
      <w:lang w:eastAsia="en-US"/>
    </w:rPr>
  </w:style>
  <w:style w:type="character" w:styleId="Emphasis">
    <w:name w:val="Emphasis"/>
    <w:uiPriority w:val="20"/>
    <w:qFormat/>
    <w:rsid w:val="000151B9"/>
    <w:rPr>
      <w:i/>
      <w:iCs/>
    </w:rPr>
  </w:style>
  <w:style w:type="paragraph" w:customStyle="1" w:styleId="naisf">
    <w:name w:val="naisf"/>
    <w:basedOn w:val="Normal"/>
    <w:rsid w:val="000151B9"/>
    <w:pPr>
      <w:spacing w:before="75"/>
      <w:ind w:firstLine="375"/>
    </w:pPr>
  </w:style>
  <w:style w:type="table" w:styleId="TableGrid">
    <w:name w:val="Table Grid"/>
    <w:basedOn w:val="TableNormal"/>
    <w:rsid w:val="00015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151B9"/>
    <w:rPr>
      <w:b/>
      <w:bCs/>
    </w:rPr>
  </w:style>
  <w:style w:type="paragraph" w:styleId="BodyTextIndent">
    <w:name w:val="Body Text Indent"/>
    <w:basedOn w:val="Normal"/>
    <w:rsid w:val="000151B9"/>
    <w:pPr>
      <w:spacing w:after="120"/>
      <w:ind w:left="283"/>
    </w:pPr>
  </w:style>
  <w:style w:type="paragraph" w:styleId="Header">
    <w:name w:val="header"/>
    <w:basedOn w:val="Normal"/>
    <w:rsid w:val="000151B9"/>
    <w:pPr>
      <w:tabs>
        <w:tab w:val="center" w:pos="4153"/>
        <w:tab w:val="right" w:pos="8306"/>
      </w:tabs>
    </w:pPr>
  </w:style>
  <w:style w:type="paragraph" w:styleId="Footer">
    <w:name w:val="footer"/>
    <w:basedOn w:val="Normal"/>
    <w:link w:val="FooterChar"/>
    <w:uiPriority w:val="99"/>
    <w:rsid w:val="000151B9"/>
    <w:pPr>
      <w:tabs>
        <w:tab w:val="center" w:pos="4153"/>
        <w:tab w:val="right" w:pos="8306"/>
      </w:tabs>
    </w:pPr>
  </w:style>
  <w:style w:type="character" w:styleId="PageNumber">
    <w:name w:val="page number"/>
    <w:basedOn w:val="DefaultParagraphFont"/>
    <w:rsid w:val="000151B9"/>
  </w:style>
  <w:style w:type="paragraph" w:styleId="CommentText">
    <w:name w:val="annotation text"/>
    <w:basedOn w:val="Normal"/>
    <w:link w:val="CommentTextChar"/>
    <w:uiPriority w:val="99"/>
    <w:rsid w:val="000151B9"/>
    <w:rPr>
      <w:sz w:val="20"/>
      <w:szCs w:val="20"/>
    </w:rPr>
  </w:style>
  <w:style w:type="character" w:styleId="CommentReference">
    <w:name w:val="annotation reference"/>
    <w:uiPriority w:val="99"/>
    <w:semiHidden/>
    <w:rsid w:val="000151B9"/>
    <w:rPr>
      <w:sz w:val="16"/>
      <w:szCs w:val="16"/>
    </w:rPr>
  </w:style>
  <w:style w:type="paragraph" w:styleId="BalloonText">
    <w:name w:val="Balloon Text"/>
    <w:basedOn w:val="Normal"/>
    <w:semiHidden/>
    <w:rsid w:val="000151B9"/>
    <w:rPr>
      <w:rFonts w:ascii="Tahoma" w:hAnsi="Tahoma" w:cs="Tahoma"/>
      <w:sz w:val="16"/>
      <w:szCs w:val="16"/>
    </w:rPr>
  </w:style>
  <w:style w:type="paragraph" w:styleId="CommentSubject">
    <w:name w:val="annotation subject"/>
    <w:basedOn w:val="CommentText"/>
    <w:next w:val="CommentText"/>
    <w:semiHidden/>
    <w:rsid w:val="000151B9"/>
    <w:rPr>
      <w:b/>
      <w:bCs/>
    </w:rPr>
  </w:style>
  <w:style w:type="paragraph" w:styleId="NormalWeb">
    <w:name w:val="Normal (Web)"/>
    <w:basedOn w:val="Normal"/>
    <w:link w:val="NormalWebChar"/>
    <w:uiPriority w:val="99"/>
    <w:rsid w:val="00456C58"/>
    <w:pPr>
      <w:spacing w:before="100" w:beforeAutospacing="1" w:after="100" w:afterAutospacing="1"/>
    </w:pPr>
  </w:style>
  <w:style w:type="character" w:styleId="Hyperlink">
    <w:name w:val="Hyperlink"/>
    <w:uiPriority w:val="99"/>
    <w:unhideWhenUsed/>
    <w:rsid w:val="00D30F65"/>
    <w:rPr>
      <w:color w:val="0000FF"/>
      <w:u w:val="single"/>
    </w:rPr>
  </w:style>
  <w:style w:type="paragraph" w:customStyle="1" w:styleId="MKH">
    <w:name w:val="MKH"/>
    <w:basedOn w:val="Normal"/>
    <w:rsid w:val="00317465"/>
    <w:pPr>
      <w:ind w:firstLine="720"/>
      <w:jc w:val="center"/>
    </w:pPr>
    <w:rPr>
      <w:b/>
      <w:sz w:val="28"/>
      <w:szCs w:val="28"/>
    </w:rPr>
  </w:style>
  <w:style w:type="character" w:customStyle="1" w:styleId="CommentTextChar">
    <w:name w:val="Comment Text Char"/>
    <w:link w:val="CommentText"/>
    <w:uiPriority w:val="99"/>
    <w:locked/>
    <w:rsid w:val="007D21E8"/>
  </w:style>
  <w:style w:type="character" w:customStyle="1" w:styleId="Heading1Char">
    <w:name w:val="Heading 1 Char"/>
    <w:link w:val="Heading1"/>
    <w:uiPriority w:val="9"/>
    <w:rsid w:val="000A2504"/>
    <w:rPr>
      <w:b/>
      <w:bCs/>
      <w:kern w:val="36"/>
      <w:sz w:val="48"/>
      <w:szCs w:val="48"/>
    </w:rPr>
  </w:style>
  <w:style w:type="paragraph" w:styleId="NoSpacing">
    <w:name w:val="No Spacing"/>
    <w:uiPriority w:val="1"/>
    <w:qFormat/>
    <w:rsid w:val="00043A8C"/>
    <w:rPr>
      <w:rFonts w:ascii="Calibri" w:eastAsia="Calibri" w:hAnsi="Calibri"/>
      <w:sz w:val="22"/>
      <w:szCs w:val="22"/>
      <w:lang w:eastAsia="en-US"/>
    </w:rPr>
  </w:style>
  <w:style w:type="paragraph" w:customStyle="1" w:styleId="Paraststmeklis1">
    <w:name w:val="Parasts (tīmeklis)1"/>
    <w:basedOn w:val="Normal"/>
    <w:uiPriority w:val="99"/>
    <w:rsid w:val="00F740A5"/>
    <w:pPr>
      <w:spacing w:before="100" w:beforeAutospacing="1" w:after="100" w:afterAutospacing="1"/>
    </w:pPr>
  </w:style>
  <w:style w:type="paragraph" w:styleId="ListParagraph">
    <w:name w:val="List Paragraph"/>
    <w:basedOn w:val="Normal"/>
    <w:uiPriority w:val="34"/>
    <w:qFormat/>
    <w:rsid w:val="000D68A9"/>
    <w:pPr>
      <w:ind w:left="720"/>
      <w:contextualSpacing/>
    </w:pPr>
  </w:style>
  <w:style w:type="character" w:customStyle="1" w:styleId="NormalWebChar">
    <w:name w:val="Normal (Web) Char"/>
    <w:basedOn w:val="DefaultParagraphFont"/>
    <w:link w:val="NormalWeb"/>
    <w:uiPriority w:val="99"/>
    <w:locked/>
    <w:rsid w:val="000C2B6A"/>
    <w:rPr>
      <w:sz w:val="24"/>
      <w:szCs w:val="24"/>
    </w:rPr>
  </w:style>
  <w:style w:type="character" w:customStyle="1" w:styleId="apple-converted-space">
    <w:name w:val="apple-converted-space"/>
    <w:basedOn w:val="DefaultParagraphFont"/>
    <w:rsid w:val="0026058E"/>
  </w:style>
  <w:style w:type="paragraph" w:customStyle="1" w:styleId="labojumupamats">
    <w:name w:val="labojumu_pamats"/>
    <w:basedOn w:val="Normal"/>
    <w:rsid w:val="0026058E"/>
    <w:pPr>
      <w:spacing w:before="100" w:beforeAutospacing="1" w:after="100" w:afterAutospacing="1"/>
    </w:pPr>
  </w:style>
  <w:style w:type="character" w:customStyle="1" w:styleId="labojumupamats1">
    <w:name w:val="labojumu_pamats1"/>
    <w:basedOn w:val="DefaultParagraphFont"/>
    <w:rsid w:val="0026058E"/>
  </w:style>
  <w:style w:type="paragraph" w:customStyle="1" w:styleId="tv213">
    <w:name w:val="tv213"/>
    <w:basedOn w:val="Normal"/>
    <w:rsid w:val="0026058E"/>
    <w:pPr>
      <w:spacing w:before="100" w:beforeAutospacing="1" w:after="100" w:afterAutospacing="1"/>
    </w:pPr>
  </w:style>
  <w:style w:type="paragraph" w:customStyle="1" w:styleId="Nodaa">
    <w:name w:val="Nodaļa"/>
    <w:basedOn w:val="Normal"/>
    <w:rsid w:val="00234F66"/>
    <w:pPr>
      <w:keepNext/>
      <w:spacing w:before="0" w:after="0" w:line="240" w:lineRule="auto"/>
      <w:jc w:val="center"/>
    </w:pPr>
    <w:rPr>
      <w:b/>
      <w:sz w:val="28"/>
      <w:szCs w:val="28"/>
    </w:rPr>
  </w:style>
  <w:style w:type="paragraph" w:customStyle="1" w:styleId="tv2131">
    <w:name w:val="tv2131"/>
    <w:basedOn w:val="Normal"/>
    <w:rsid w:val="00234F66"/>
    <w:pPr>
      <w:spacing w:before="0" w:after="0" w:line="360" w:lineRule="auto"/>
      <w:ind w:firstLine="300"/>
      <w:jc w:val="left"/>
    </w:pPr>
    <w:rPr>
      <w:color w:val="414142"/>
      <w:sz w:val="20"/>
      <w:szCs w:val="20"/>
    </w:rPr>
  </w:style>
  <w:style w:type="character" w:customStyle="1" w:styleId="FooterChar">
    <w:name w:val="Footer Char"/>
    <w:basedOn w:val="DefaultParagraphFont"/>
    <w:link w:val="Footer"/>
    <w:uiPriority w:val="99"/>
    <w:rsid w:val="00716977"/>
    <w:rPr>
      <w:sz w:val="24"/>
      <w:szCs w:val="24"/>
    </w:rPr>
  </w:style>
  <w:style w:type="paragraph" w:styleId="Revision">
    <w:name w:val="Revision"/>
    <w:hidden/>
    <w:uiPriority w:val="99"/>
    <w:semiHidden/>
    <w:rsid w:val="00743C2C"/>
    <w:pPr>
      <w:spacing w:before="0" w:after="0" w:line="240" w:lineRule="auto"/>
      <w:jc w:val="left"/>
    </w:pPr>
    <w:rPr>
      <w:sz w:val="24"/>
      <w:szCs w:val="24"/>
    </w:rPr>
  </w:style>
  <w:style w:type="paragraph" w:customStyle="1" w:styleId="Default">
    <w:name w:val="Default"/>
    <w:rsid w:val="00362C4C"/>
    <w:pPr>
      <w:autoSpaceDE w:val="0"/>
      <w:autoSpaceDN w:val="0"/>
      <w:adjustRightInd w:val="0"/>
      <w:spacing w:before="0" w:after="0" w:line="240" w:lineRule="auto"/>
      <w:jc w:val="lef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7BF99-0829-4598-B83E-257BDE0F01E1}">
  <ds:schemaRefs>
    <ds:schemaRef ds:uri="http://schemas.openxmlformats.org/officeDocument/2006/bibliography"/>
  </ds:schemaRefs>
</ds:datastoreItem>
</file>

<file path=customXml/itemProps2.xml><?xml version="1.0" encoding="utf-8"?>
<ds:datastoreItem xmlns:ds="http://schemas.openxmlformats.org/officeDocument/2006/customXml" ds:itemID="{96470AAA-0CE4-4DC3-B7EF-6FD907151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2693</Words>
  <Characters>15356</Characters>
  <Application>Microsoft Office Word</Application>
  <DocSecurity>0</DocSecurity>
  <Lines>127</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Siltumnīcefekta gāzu emisiju aprēķina metodika</vt:lpstr>
      <vt:lpstr>Koplietošanas meliorācijas sistēmas, pašvaldības nozīmes koplietošanas meliorācijas sistēmas, kā pašvaldības meliorācijas sistēmas un pašvaldības nozīmes koplietošanas meliorācijas sistēmas būvniecības, ekspluatācijas un uzturēšanas izmaksu aprēķināšanas,</vt:lpstr>
    </vt:vector>
  </TitlesOfParts>
  <Company>zm</Company>
  <LinksUpToDate>false</LinksUpToDate>
  <CharactersWithSpaces>18013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Siltumnīcefekta gāzu emisiju aprēķina metodika</dc:title>
  <dc:subject>anotācija</dc:subject>
  <dc:creator>Zane.Galindoma@varam.gov.lv</dc:creator>
  <cp:keywords>anotācija</cp:keywords>
  <dc:description>zane.galindoma@varam.gov.lv, 67027538</dc:description>
  <cp:lastModifiedBy>Marta Ošleja</cp:lastModifiedBy>
  <cp:revision>4</cp:revision>
  <cp:lastPrinted>2017-11-06T14:27:00Z</cp:lastPrinted>
  <dcterms:created xsi:type="dcterms:W3CDTF">2017-12-11T17:46:00Z</dcterms:created>
  <dcterms:modified xsi:type="dcterms:W3CDTF">2017-12-16T16:31:00Z</dcterms:modified>
</cp:coreProperties>
</file>