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77A0F" w:rsidRPr="001A6BC6" w:rsidP="00E36C3D" w14:paraId="583B078D" w14:textId="77777777">
      <w:pPr>
        <w:spacing w:after="360"/>
        <w:jc w:val="center"/>
        <w:rPr>
          <w:b/>
        </w:rPr>
      </w:pPr>
      <w:r>
        <w:rPr>
          <w:b/>
          <w:bCs/>
          <w:lang w:eastAsia="en-US"/>
        </w:rPr>
        <w:t>Likumprojekta</w:t>
      </w:r>
      <w:r w:rsidR="00DE613F">
        <w:rPr>
          <w:b/>
        </w:rPr>
        <w:t xml:space="preserve"> “</w:t>
      </w:r>
      <w:r w:rsidRPr="00C9553A" w:rsidR="00C9553A">
        <w:rPr>
          <w:b/>
        </w:rPr>
        <w:t>Valsts informācijas un komunikācijas tehno</w:t>
      </w:r>
      <w:r w:rsidR="00C9553A">
        <w:rPr>
          <w:b/>
        </w:rPr>
        <w:t>loģiju pārvaldības likums</w:t>
      </w:r>
      <w:r w:rsidRPr="001A6BC6">
        <w:rPr>
          <w:b/>
          <w:bCs/>
        </w:rPr>
        <w:t>”</w:t>
      </w:r>
      <w:r w:rsidRPr="001A6BC6">
        <w:rPr>
          <w:b/>
        </w:rPr>
        <w:t xml:space="preserve"> </w:t>
      </w:r>
      <w:r w:rsidRPr="001A6BC6">
        <w:rPr>
          <w:b/>
          <w:bCs/>
          <w:lang w:eastAsia="en-US"/>
        </w:rPr>
        <w:t>sākotnējās ietekmes novērtējuma ziņojums (anotācija)</w:t>
      </w:r>
    </w:p>
    <w:tbl>
      <w:tblPr>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2098"/>
        <w:gridCol w:w="6634"/>
      </w:tblGrid>
      <w:tr w14:paraId="583B078F" w14:textId="2DB95E4B" w:rsidTr="000823EA">
        <w:tblPrEx>
          <w:tblW w:w="9186" w:type="dxa"/>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84"/>
        </w:trPr>
        <w:tc>
          <w:tcPr>
            <w:tcW w:w="9185" w:type="dxa"/>
            <w:gridSpan w:val="3"/>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85230" w:rsidRPr="008D55BF" w:rsidP="00D85230" w14:paraId="583B078E" w14:textId="77777777">
            <w:pPr>
              <w:jc w:val="center"/>
              <w:rPr>
                <w:b/>
                <w:bCs/>
              </w:rPr>
            </w:pPr>
            <w:r w:rsidRPr="008D55BF">
              <w:rPr>
                <w:b/>
                <w:bCs/>
              </w:rPr>
              <w:t>I. Tiesību akta projekta izstrādes nepieciešamība</w:t>
            </w:r>
          </w:p>
        </w:tc>
      </w:tr>
      <w:tr w14:paraId="583B0793" w14:textId="644BBECA"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70596E" w14:paraId="583B0790" w14:textId="77777777">
            <w:pPr>
              <w:jc w:val="right"/>
            </w:pPr>
            <w:r w:rsidRPr="008D55BF">
              <w:t>1.</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D9025C" w14:paraId="583B0791" w14:textId="77777777">
            <w:r w:rsidRPr="008D55BF">
              <w:t>Pamatojums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684CEA" w:rsidRPr="003D6225" w:rsidP="00237843" w14:paraId="583B0792" w14:textId="77777777">
            <w:pPr>
              <w:pStyle w:val="BodyText"/>
              <w:ind w:firstLine="170"/>
              <w:outlineLvl w:val="0"/>
              <w:rPr>
                <w:sz w:val="24"/>
                <w:szCs w:val="24"/>
                <w:lang w:val="lv-LV"/>
              </w:rPr>
            </w:pPr>
            <w:r w:rsidRPr="00D62669">
              <w:rPr>
                <w:sz w:val="24"/>
                <w:szCs w:val="24"/>
                <w:lang w:val="lv-LV"/>
              </w:rPr>
              <w:t>Ministru kabineta 2013.</w:t>
            </w:r>
            <w:r w:rsidR="001617A8">
              <w:rPr>
                <w:sz w:val="24"/>
                <w:szCs w:val="24"/>
                <w:lang w:val="lv-LV"/>
              </w:rPr>
              <w:t> </w:t>
            </w:r>
            <w:r w:rsidRPr="00D62669">
              <w:rPr>
                <w:sz w:val="24"/>
                <w:szCs w:val="24"/>
                <w:lang w:val="lv-LV"/>
              </w:rPr>
              <w:t>gada 19.</w:t>
            </w:r>
            <w:r w:rsidR="001617A8">
              <w:rPr>
                <w:sz w:val="24"/>
                <w:szCs w:val="24"/>
                <w:lang w:val="lv-LV"/>
              </w:rPr>
              <w:t> </w:t>
            </w:r>
            <w:r w:rsidRPr="00D62669">
              <w:rPr>
                <w:sz w:val="24"/>
                <w:szCs w:val="24"/>
                <w:lang w:val="lv-LV"/>
              </w:rPr>
              <w:t>februāra rīkojuma Nr.</w:t>
            </w:r>
            <w:r w:rsidR="001617A8">
              <w:rPr>
                <w:sz w:val="24"/>
                <w:szCs w:val="24"/>
                <w:lang w:val="lv-LV"/>
              </w:rPr>
              <w:t> </w:t>
            </w:r>
            <w:r w:rsidRPr="00D62669">
              <w:rPr>
                <w:sz w:val="24"/>
                <w:szCs w:val="24"/>
                <w:lang w:val="lv-LV"/>
              </w:rPr>
              <w:t>57 „Par koncepciju „Valsts informācijas un komunikācijas tehnoloģiju pārvaldības organizatoriskais modelis””</w:t>
            </w:r>
            <w:r w:rsidR="00AC3482">
              <w:rPr>
                <w:sz w:val="24"/>
                <w:szCs w:val="24"/>
                <w:lang w:val="lv-LV"/>
              </w:rPr>
              <w:t xml:space="preserve"> 4.</w:t>
            </w:r>
            <w:r w:rsidR="001617A8">
              <w:rPr>
                <w:sz w:val="24"/>
                <w:szCs w:val="24"/>
                <w:lang w:val="lv-LV"/>
              </w:rPr>
              <w:t> </w:t>
            </w:r>
            <w:r w:rsidR="00AC3482">
              <w:rPr>
                <w:sz w:val="24"/>
                <w:szCs w:val="24"/>
                <w:lang w:val="lv-LV"/>
              </w:rPr>
              <w:t>punkt</w:t>
            </w:r>
            <w:r w:rsidR="007E5BFD">
              <w:rPr>
                <w:sz w:val="24"/>
                <w:szCs w:val="24"/>
                <w:lang w:val="lv-LV"/>
              </w:rPr>
              <w:t>s</w:t>
            </w:r>
            <w:r>
              <w:rPr>
                <w:rStyle w:val="FootnoteReference"/>
                <w:sz w:val="24"/>
                <w:szCs w:val="24"/>
                <w:lang w:val="lv-LV"/>
              </w:rPr>
              <w:footnoteReference w:id="3"/>
            </w:r>
            <w:r w:rsidR="007E5BFD">
              <w:rPr>
                <w:sz w:val="24"/>
                <w:szCs w:val="24"/>
                <w:lang w:val="lv-LV"/>
              </w:rPr>
              <w:t xml:space="preserve">, </w:t>
            </w:r>
            <w:r w:rsidR="00237843">
              <w:rPr>
                <w:sz w:val="24"/>
                <w:szCs w:val="24"/>
                <w:lang w:val="lv-LV"/>
              </w:rPr>
              <w:t xml:space="preserve">kas </w:t>
            </w:r>
            <w:r w:rsidR="007E5BFD">
              <w:rPr>
                <w:sz w:val="24"/>
                <w:szCs w:val="24"/>
                <w:lang w:val="lv-LV"/>
              </w:rPr>
              <w:t xml:space="preserve">uzdod </w:t>
            </w:r>
            <w:r w:rsidR="00D750CC">
              <w:rPr>
                <w:sz w:val="24"/>
                <w:szCs w:val="24"/>
                <w:lang w:val="lv-LV"/>
              </w:rPr>
              <w:t xml:space="preserve">Vides aizsardzības un reģionālās attīstības ministrijai (turpmāk – </w:t>
            </w:r>
            <w:r>
              <w:rPr>
                <w:sz w:val="24"/>
                <w:szCs w:val="24"/>
                <w:lang w:val="lv-LV"/>
              </w:rPr>
              <w:t>VARAM</w:t>
            </w:r>
            <w:r w:rsidR="00D750CC">
              <w:rPr>
                <w:sz w:val="24"/>
                <w:szCs w:val="24"/>
                <w:lang w:val="lv-LV"/>
              </w:rPr>
              <w:t>)</w:t>
            </w:r>
            <w:r>
              <w:rPr>
                <w:sz w:val="24"/>
                <w:szCs w:val="24"/>
                <w:lang w:val="lv-LV"/>
              </w:rPr>
              <w:t xml:space="preserve"> </w:t>
            </w:r>
            <w:r w:rsidR="005E23A7">
              <w:rPr>
                <w:sz w:val="24"/>
                <w:szCs w:val="24"/>
                <w:lang w:val="lv-LV"/>
              </w:rPr>
              <w:t>līdz 2017.</w:t>
            </w:r>
            <w:r w:rsidR="001617A8">
              <w:rPr>
                <w:sz w:val="24"/>
                <w:szCs w:val="24"/>
                <w:lang w:val="lv-LV"/>
              </w:rPr>
              <w:t> </w:t>
            </w:r>
            <w:r w:rsidRPr="00684CEA">
              <w:rPr>
                <w:sz w:val="24"/>
                <w:szCs w:val="24"/>
                <w:lang w:val="lv-LV"/>
              </w:rPr>
              <w:t>gada 30.</w:t>
            </w:r>
            <w:r w:rsidR="001617A8">
              <w:rPr>
                <w:sz w:val="24"/>
                <w:szCs w:val="24"/>
                <w:lang w:val="lv-LV"/>
              </w:rPr>
              <w:t> </w:t>
            </w:r>
            <w:r w:rsidRPr="00684CEA">
              <w:rPr>
                <w:sz w:val="24"/>
                <w:szCs w:val="24"/>
                <w:lang w:val="lv-LV"/>
              </w:rPr>
              <w:t xml:space="preserve">jūnijam izstrādāt un iesniegt </w:t>
            </w:r>
            <w:r w:rsidRPr="00B5271A" w:rsidR="00B5271A">
              <w:rPr>
                <w:sz w:val="24"/>
                <w:szCs w:val="24"/>
                <w:lang w:val="lv-LV"/>
              </w:rPr>
              <w:t xml:space="preserve">noteiktā kārtībā </w:t>
            </w:r>
            <w:r w:rsidRPr="00684CEA">
              <w:rPr>
                <w:sz w:val="24"/>
                <w:szCs w:val="24"/>
                <w:lang w:val="lv-LV"/>
              </w:rPr>
              <w:t xml:space="preserve">Ministru kabinetā </w:t>
            </w:r>
            <w:r w:rsidR="00E36EE6">
              <w:rPr>
                <w:sz w:val="24"/>
                <w:szCs w:val="24"/>
                <w:lang w:val="lv-LV"/>
              </w:rPr>
              <w:t xml:space="preserve">(turpmāk – MK) </w:t>
            </w:r>
            <w:r w:rsidRPr="00684CEA">
              <w:rPr>
                <w:sz w:val="24"/>
                <w:szCs w:val="24"/>
                <w:lang w:val="lv-LV"/>
              </w:rPr>
              <w:t>valsts informācijas un komunikācijas tehnoloģiju pārvaldības likumprojektu</w:t>
            </w:r>
            <w:r w:rsidR="00371B56">
              <w:rPr>
                <w:sz w:val="24"/>
                <w:szCs w:val="24"/>
                <w:lang w:val="lv-LV"/>
              </w:rPr>
              <w:t xml:space="preserve"> (turpmāk – likumprojekts)</w:t>
            </w:r>
            <w:r>
              <w:rPr>
                <w:sz w:val="24"/>
                <w:szCs w:val="24"/>
                <w:lang w:val="lv-LV"/>
              </w:rPr>
              <w:t>.</w:t>
            </w:r>
          </w:p>
        </w:tc>
      </w:tr>
      <w:tr w14:paraId="583B07A1" w14:textId="16AE3CFB"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70596E" w14:paraId="583B0794" w14:textId="77777777">
            <w:pPr>
              <w:jc w:val="right"/>
            </w:pPr>
            <w:r>
              <w:t>2.</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D85230" w:rsidRPr="008D55BF" w:rsidP="00D9025C" w14:paraId="583B0795" w14:textId="77777777">
            <w:r>
              <w:t>Pašreizējā situācija un problēmas, kuru risināšanai tiesību akta projekts izstrādāts, tiesiskā regulējuma mērķis</w:t>
            </w:r>
            <w:r w:rsidR="009F5056">
              <w:t xml:space="preserve"> </w:t>
            </w:r>
            <w:r>
              <w:t>un būtība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B851F3" w:rsidP="00D84AA0" w14:paraId="583B0796" w14:textId="77777777">
            <w:pPr>
              <w:ind w:firstLine="170"/>
              <w:jc w:val="both"/>
            </w:pPr>
            <w:r>
              <w:t>Mūsdienās pasau</w:t>
            </w:r>
            <w:r w:rsidR="00981102">
              <w:t xml:space="preserve">lē un Latvijā arvien populārāki </w:t>
            </w:r>
            <w:r>
              <w:t xml:space="preserve">kļūst </w:t>
            </w:r>
            <w:r w:rsidR="000823EA">
              <w:t xml:space="preserve">tādi </w:t>
            </w:r>
            <w:r>
              <w:t>pakalpojumi, kuru sniedzēji piedāvā koplietot, atkalizmantot vai attālināti izmantot informācijas un komunikācijas tehnoloģijas (turpmāk – IKT).</w:t>
            </w:r>
            <w:r w:rsidR="00D84AA0">
              <w:t xml:space="preserve"> </w:t>
            </w:r>
            <w:r w:rsidR="00D3137A">
              <w:t xml:space="preserve">Tiem, </w:t>
            </w:r>
            <w:r w:rsidR="00BE3DF4">
              <w:t>kuri</w:t>
            </w:r>
            <w:r w:rsidR="00D3137A">
              <w:t xml:space="preserve"> izmanto šos pakalpojumus, rodas iespēja ietaupīt </w:t>
            </w:r>
            <w:r w:rsidR="00D84AA0">
              <w:t>savus resursus</w:t>
            </w:r>
            <w:r w:rsidR="00D3137A">
              <w:t xml:space="preserve">, kas </w:t>
            </w:r>
            <w:r w:rsidR="00D84AA0">
              <w:t xml:space="preserve">nepieciešami </w:t>
            </w:r>
            <w:r w:rsidR="00D3137A">
              <w:t>IKT lī</w:t>
            </w:r>
            <w:r w:rsidR="00D84AA0">
              <w:t xml:space="preserve">dzekļu un </w:t>
            </w:r>
            <w:r w:rsidR="00F74855">
              <w:t xml:space="preserve">IKT </w:t>
            </w:r>
            <w:r w:rsidR="00D84AA0">
              <w:t>kompetences uzturēšanai</w:t>
            </w:r>
            <w:r w:rsidR="00D3137A">
              <w:t>.</w:t>
            </w:r>
          </w:p>
          <w:p w:rsidR="009A3B32" w:rsidP="006E6DA3" w14:paraId="583B0797" w14:textId="77777777">
            <w:pPr>
              <w:ind w:firstLine="170"/>
              <w:jc w:val="both"/>
            </w:pPr>
            <w:r>
              <w:t xml:space="preserve">VARAM </w:t>
            </w:r>
            <w:r w:rsidR="006710D6">
              <w:t>uzskata</w:t>
            </w:r>
            <w:r>
              <w:t>, ka</w:t>
            </w:r>
            <w:r w:rsidR="00005C44">
              <w:t xml:space="preserve"> </w:t>
            </w:r>
            <w:r w:rsidR="009D19B2">
              <w:t xml:space="preserve">tāda </w:t>
            </w:r>
            <w:r w:rsidR="00C80C19">
              <w:t>IKT pārvaldība</w:t>
            </w:r>
            <w:r w:rsidR="00B851F3">
              <w:t xml:space="preserve">, kas balstās uz </w:t>
            </w:r>
            <w:r w:rsidR="00005C44">
              <w:t>minēto</w:t>
            </w:r>
            <w:r w:rsidR="00F445DA">
              <w:t xml:space="preserve"> pakalpojumu principiem, dod iespēju</w:t>
            </w:r>
            <w:r w:rsidR="00B851F3">
              <w:t xml:space="preserve"> konsolidēt </w:t>
            </w:r>
            <w:r w:rsidR="006B1AB6">
              <w:t xml:space="preserve">valsts pārvaldē esošos </w:t>
            </w:r>
            <w:r w:rsidR="00B851F3">
              <w:t xml:space="preserve">IKT līdzekļus un </w:t>
            </w:r>
            <w:r w:rsidR="007D529D">
              <w:t xml:space="preserve">IKT </w:t>
            </w:r>
            <w:r w:rsidR="00B851F3">
              <w:t xml:space="preserve">kompetenci, kā arī ietaupīt finanšu un cilvēkresursus, kas </w:t>
            </w:r>
            <w:r w:rsidR="00D84AA0">
              <w:t xml:space="preserve">saistīti ar </w:t>
            </w:r>
            <w:r w:rsidR="00B851F3">
              <w:t xml:space="preserve">IKT </w:t>
            </w:r>
            <w:r w:rsidR="00D84AA0">
              <w:t>nodrošināšanu</w:t>
            </w:r>
            <w:r w:rsidR="006E6DA3">
              <w:t xml:space="preserve"> un lietošanu</w:t>
            </w:r>
            <w:r w:rsidR="00C42E39">
              <w:t>.</w:t>
            </w:r>
            <w:r w:rsidR="006E6DA3">
              <w:t xml:space="preserve"> </w:t>
            </w:r>
            <w:r w:rsidR="00BE3DF4">
              <w:t>Šāda</w:t>
            </w:r>
            <w:r w:rsidR="00D95FB3">
              <w:t xml:space="preserve"> IKT pārvaldības modeļa ieviešana valsts pārvaldē </w:t>
            </w:r>
            <w:r w:rsidR="00A14287">
              <w:t>novēr</w:t>
            </w:r>
            <w:r w:rsidR="006E6DA3">
              <w:t>sīs</w:t>
            </w:r>
            <w:r w:rsidR="00A14287">
              <w:t xml:space="preserve"> IKT sadrumstalotību</w:t>
            </w:r>
            <w:r w:rsidR="006E4A07">
              <w:t xml:space="preserve"> pa atsevišķām institūcijām</w:t>
            </w:r>
            <w:r w:rsidR="00A14287">
              <w:t xml:space="preserve">, koncentrējot </w:t>
            </w:r>
            <w:r w:rsidR="00961A39">
              <w:t>IKT līdzekļu</w:t>
            </w:r>
            <w:r w:rsidR="0051152B">
              <w:t>s</w:t>
            </w:r>
            <w:r w:rsidR="00961A39">
              <w:t xml:space="preserve"> un </w:t>
            </w:r>
            <w:r w:rsidR="007D529D">
              <w:t xml:space="preserve">IKT </w:t>
            </w:r>
            <w:r w:rsidR="00A14287">
              <w:t xml:space="preserve">kompetenci institūcijās, </w:t>
            </w:r>
            <w:r w:rsidR="00D84AA0">
              <w:t>k</w:t>
            </w:r>
            <w:r w:rsidR="00B03CF3">
              <w:t>uru darbība</w:t>
            </w:r>
            <w:r w:rsidR="0036024D">
              <w:t xml:space="preserve"> pamatā ir </w:t>
            </w:r>
            <w:r w:rsidR="00B03CF3">
              <w:t>saistīta ar IKT pārvaldību</w:t>
            </w:r>
            <w:r w:rsidR="00AC3482">
              <w:t xml:space="preserve">, tai skaitā IKT </w:t>
            </w:r>
            <w:r w:rsidR="00B03CF3">
              <w:t xml:space="preserve">atbalsta sniegšanu </w:t>
            </w:r>
            <w:r w:rsidR="00A14287">
              <w:t>citām institūcijām</w:t>
            </w:r>
            <w:r w:rsidR="005B6E8E">
              <w:t xml:space="preserve">. </w:t>
            </w:r>
            <w:r w:rsidR="00D95FB3">
              <w:t xml:space="preserve">Savukārt </w:t>
            </w:r>
            <w:r w:rsidR="005B6E8E">
              <w:t>institūcijām</w:t>
            </w:r>
            <w:r w:rsidR="003B29D2">
              <w:t xml:space="preserve">, </w:t>
            </w:r>
            <w:r w:rsidR="00AC3482">
              <w:t>kas</w:t>
            </w:r>
            <w:r w:rsidR="005C55F4">
              <w:t xml:space="preserve"> </w:t>
            </w:r>
            <w:r w:rsidR="003B29D2">
              <w:t xml:space="preserve">saņem </w:t>
            </w:r>
            <w:r w:rsidR="005B6E8E">
              <w:t>IKT atbalstu</w:t>
            </w:r>
            <w:r w:rsidR="009F7E92">
              <w:t xml:space="preserve">, </w:t>
            </w:r>
            <w:r w:rsidR="005B6E8E">
              <w:t>rodas iespēja</w:t>
            </w:r>
            <w:r w:rsidR="00A14287">
              <w:t xml:space="preserve"> </w:t>
            </w:r>
            <w:r w:rsidR="006E4A07">
              <w:t xml:space="preserve">stiprināt </w:t>
            </w:r>
            <w:r w:rsidR="009C6305">
              <w:t xml:space="preserve">savu </w:t>
            </w:r>
            <w:r w:rsidR="006E4A07">
              <w:t>kompetenci un kapacitāti</w:t>
            </w:r>
            <w:r w:rsidR="00AC3482">
              <w:t xml:space="preserve">, lai īstenotu ar </w:t>
            </w:r>
            <w:r w:rsidR="00A14287">
              <w:t>valsts pārvald</w:t>
            </w:r>
            <w:r w:rsidR="00AC3482">
              <w:t>i saistīto darbību</w:t>
            </w:r>
            <w:r w:rsidR="00A14287">
              <w:t>.</w:t>
            </w:r>
          </w:p>
          <w:p w:rsidR="009F40A8" w:rsidP="005D7D7F" w14:paraId="583B0798" w14:textId="77777777">
            <w:pPr>
              <w:ind w:firstLine="170"/>
              <w:jc w:val="both"/>
            </w:pPr>
            <w:r>
              <w:t xml:space="preserve">VARAM norāda, ka </w:t>
            </w:r>
            <w:r w:rsidR="00005C44">
              <w:t xml:space="preserve">tāda </w:t>
            </w:r>
            <w:r w:rsidR="00BF0C06">
              <w:t>IKT pārvaldība</w:t>
            </w:r>
            <w:r>
              <w:t>, kas ļauj racionāli un efektīvi izmantot IKT</w:t>
            </w:r>
            <w:r w:rsidR="00457C88">
              <w:t xml:space="preserve"> visā valsts pārvaldē</w:t>
            </w:r>
            <w:r>
              <w:t xml:space="preserve">, ir </w:t>
            </w:r>
            <w:r w:rsidR="00BF0C06">
              <w:t>jā</w:t>
            </w:r>
            <w:r w:rsidR="00D4435B">
              <w:t>īsteno</w:t>
            </w:r>
            <w:r w:rsidR="00BF0C06">
              <w:t xml:space="preserve"> atbilstoši </w:t>
            </w:r>
            <w:r w:rsidR="00D4435B">
              <w:t xml:space="preserve">vienotai </w:t>
            </w:r>
            <w:r w:rsidR="00457C88">
              <w:t>valsts politika</w:t>
            </w:r>
            <w:r w:rsidR="00D67B4F">
              <w:t>i</w:t>
            </w:r>
            <w:r w:rsidR="00457C88">
              <w:t xml:space="preserve"> IKT pārvaldības jomā</w:t>
            </w:r>
            <w:r w:rsidR="00693821">
              <w:t xml:space="preserve"> (turpmāk – IKT politika)</w:t>
            </w:r>
            <w:r w:rsidR="00457C88">
              <w:t xml:space="preserve">, </w:t>
            </w:r>
            <w:r w:rsidR="00D4435B">
              <w:t xml:space="preserve">nodrošinot ar IKT palīdzību </w:t>
            </w:r>
            <w:r w:rsidRPr="00457C88" w:rsidR="00457C88">
              <w:t>efektīvu, caurskatāmu, ērtu</w:t>
            </w:r>
            <w:r w:rsidR="003D12F7">
              <w:t>,</w:t>
            </w:r>
            <w:r w:rsidRPr="00457C88" w:rsidR="00457C88">
              <w:t xml:space="preserve"> pieejamu valsts pārvaldi, kvalitatīvu pakalpojumu</w:t>
            </w:r>
            <w:r w:rsidR="003D12F7">
              <w:t xml:space="preserve"> un</w:t>
            </w:r>
            <w:r w:rsidRPr="00457C88" w:rsidR="00457C88">
              <w:t xml:space="preserve"> informācijas pieejamību</w:t>
            </w:r>
            <w:r w:rsidR="003D12F7">
              <w:t xml:space="preserve"> un</w:t>
            </w:r>
            <w:r w:rsidR="00005C44">
              <w:t xml:space="preserve"> </w:t>
            </w:r>
            <w:r w:rsidRPr="00457C88" w:rsidR="00457C88">
              <w:t>sabiedrības iesaistīšanu valsts pārvaldē</w:t>
            </w:r>
            <w:r>
              <w:t>. Turklāt</w:t>
            </w:r>
            <w:r w:rsidR="008F566F">
              <w:t>,</w:t>
            </w:r>
            <w:r>
              <w:t xml:space="preserve"> </w:t>
            </w:r>
            <w:r w:rsidRPr="008F566F" w:rsidR="008F566F">
              <w:t>nosak</w:t>
            </w:r>
            <w:r w:rsidR="008F566F">
              <w:t>ot</w:t>
            </w:r>
            <w:r w:rsidRPr="008F566F" w:rsidR="008F566F">
              <w:t>, īsteno</w:t>
            </w:r>
            <w:r w:rsidR="008F566F">
              <w:t>jot</w:t>
            </w:r>
            <w:r w:rsidRPr="008F566F" w:rsidR="008F566F">
              <w:t xml:space="preserve"> un aktualizē</w:t>
            </w:r>
            <w:r w:rsidR="008F566F">
              <w:t>jot</w:t>
            </w:r>
            <w:r w:rsidRPr="008F566F" w:rsidR="008F566F">
              <w:t xml:space="preserve"> </w:t>
            </w:r>
            <w:r w:rsidR="008F566F">
              <w:t xml:space="preserve">IKT </w:t>
            </w:r>
            <w:r w:rsidRPr="008F566F" w:rsidR="008F566F">
              <w:t xml:space="preserve">politiku, </w:t>
            </w:r>
            <w:r w:rsidR="009A4A4F">
              <w:t xml:space="preserve">ir </w:t>
            </w:r>
            <w:r w:rsidR="008F566F">
              <w:t>jā</w:t>
            </w:r>
            <w:r w:rsidRPr="008F566F" w:rsidR="008F566F">
              <w:t xml:space="preserve">izvērtē </w:t>
            </w:r>
            <w:r w:rsidR="008F566F">
              <w:t xml:space="preserve">IKT </w:t>
            </w:r>
            <w:r w:rsidRPr="008F566F" w:rsidR="008F566F">
              <w:t>izm</w:t>
            </w:r>
            <w:r w:rsidR="008F566F">
              <w:t>antošanas iespējas un lietderība, proti,</w:t>
            </w:r>
            <w:r w:rsidRPr="008F566F" w:rsidR="008F566F">
              <w:t xml:space="preserve"> </w:t>
            </w:r>
            <w:r>
              <w:t>IKT izmantošan</w:t>
            </w:r>
            <w:r w:rsidR="008F566F">
              <w:t>ai</w:t>
            </w:r>
            <w:r w:rsidR="009E714D">
              <w:t xml:space="preserve"> </w:t>
            </w:r>
            <w:r w:rsidR="00B25075">
              <w:t xml:space="preserve">valsts pārvaldē </w:t>
            </w:r>
            <w:r w:rsidR="008F566F">
              <w:t>ir jā</w:t>
            </w:r>
            <w:r w:rsidR="009E714D">
              <w:t>r</w:t>
            </w:r>
            <w:r w:rsidR="00F67922">
              <w:t>ada ieguvum</w:t>
            </w:r>
            <w:r w:rsidR="008F566F">
              <w:t>i</w:t>
            </w:r>
            <w:r w:rsidR="00F67922">
              <w:t xml:space="preserve"> vai </w:t>
            </w:r>
            <w:r w:rsidR="008F566F">
              <w:t>jā</w:t>
            </w:r>
            <w:r w:rsidR="003215F5">
              <w:t xml:space="preserve">dod </w:t>
            </w:r>
            <w:r w:rsidR="00F67922">
              <w:t>labum</w:t>
            </w:r>
            <w:r w:rsidR="008F566F">
              <w:t xml:space="preserve">i </w:t>
            </w:r>
            <w:r w:rsidR="00F67922">
              <w:t>sabiedrībai un valsts pārvaldei</w:t>
            </w:r>
            <w:r w:rsidR="009E714D">
              <w:t xml:space="preserve"> (piemēram, </w:t>
            </w:r>
            <w:r w:rsidRPr="003215F5" w:rsidR="000C5B12">
              <w:t>administratīv</w:t>
            </w:r>
            <w:r w:rsidR="000C5B12">
              <w:t xml:space="preserve">ā </w:t>
            </w:r>
            <w:r w:rsidRPr="003215F5" w:rsidR="000C5B12">
              <w:t>slog</w:t>
            </w:r>
            <w:r w:rsidR="000C5B12">
              <w:t>a</w:t>
            </w:r>
            <w:r w:rsidRPr="003215F5" w:rsidR="000C5B12">
              <w:t xml:space="preserve"> </w:t>
            </w:r>
            <w:r w:rsidRPr="003215F5" w:rsidR="003215F5">
              <w:t>mazin</w:t>
            </w:r>
            <w:r w:rsidR="000C5B12">
              <w:t>āšana</w:t>
            </w:r>
            <w:r w:rsidRPr="003215F5" w:rsidR="003215F5">
              <w:t xml:space="preserve">, </w:t>
            </w:r>
            <w:r w:rsidR="000C5B12">
              <w:t xml:space="preserve">darbības </w:t>
            </w:r>
            <w:r w:rsidRPr="003215F5" w:rsidR="000C5B12">
              <w:t>kvalitāt</w:t>
            </w:r>
            <w:r w:rsidR="000C5B12">
              <w:t>es</w:t>
            </w:r>
            <w:r w:rsidRPr="003215F5" w:rsidR="000C5B12">
              <w:t xml:space="preserve"> uzlabo</w:t>
            </w:r>
            <w:r w:rsidR="000C5B12">
              <w:t>šana</w:t>
            </w:r>
            <w:r w:rsidR="009A4A4F">
              <w:t>,</w:t>
            </w:r>
            <w:r w:rsidR="000C5B12">
              <w:t xml:space="preserve"> izmaksu ietaupīšana</w:t>
            </w:r>
            <w:r w:rsidRPr="003215F5" w:rsidR="003215F5">
              <w:t xml:space="preserve"> vai sociālekonomisk</w:t>
            </w:r>
            <w:r w:rsidR="000C5B12">
              <w:t>o</w:t>
            </w:r>
            <w:r w:rsidR="009E1DE5">
              <w:t xml:space="preserve"> ieguvum</w:t>
            </w:r>
            <w:r w:rsidR="000C5B12">
              <w:t>u radīšana</w:t>
            </w:r>
            <w:r w:rsidR="009E714D">
              <w:t>)</w:t>
            </w:r>
            <w:r w:rsidR="002026FC">
              <w:t xml:space="preserve">, </w:t>
            </w:r>
            <w:r w:rsidR="000C5B12">
              <w:t>savukārt</w:t>
            </w:r>
            <w:r w:rsidR="009E714D">
              <w:t xml:space="preserve"> </w:t>
            </w:r>
            <w:r w:rsidR="00981102">
              <w:t>IKT izmantošan</w:t>
            </w:r>
            <w:r w:rsidR="00005C44">
              <w:t xml:space="preserve">as </w:t>
            </w:r>
            <w:r>
              <w:t>izdevumi</w:t>
            </w:r>
            <w:r w:rsidR="000C5B12">
              <w:t>em</w:t>
            </w:r>
            <w:r w:rsidR="00C70EAA">
              <w:t xml:space="preserve"> </w:t>
            </w:r>
            <w:r w:rsidR="009A4A4F">
              <w:t xml:space="preserve">ir </w:t>
            </w:r>
            <w:r w:rsidR="000C5B12">
              <w:t>jābūt</w:t>
            </w:r>
            <w:r w:rsidR="00F67922">
              <w:t xml:space="preserve"> samērojami</w:t>
            </w:r>
            <w:r w:rsidR="000C5B12">
              <w:t>em</w:t>
            </w:r>
            <w:r w:rsidR="00F67922">
              <w:t xml:space="preserve"> ar </w:t>
            </w:r>
            <w:r w:rsidR="004E6358">
              <w:t>šiem</w:t>
            </w:r>
            <w:r w:rsidR="00AC03A8">
              <w:t xml:space="preserve"> ieguvumiem vai </w:t>
            </w:r>
            <w:r w:rsidR="000E5684">
              <w:t>labumiem.</w:t>
            </w:r>
          </w:p>
          <w:p w:rsidR="00BA30FF" w:rsidP="00BA30FF" w14:paraId="583B0799" w14:textId="77777777">
            <w:pPr>
              <w:ind w:firstLine="170"/>
              <w:jc w:val="both"/>
            </w:pPr>
            <w:r>
              <w:t>Institūcijām</w:t>
            </w:r>
            <w:r w:rsidR="00BC2342">
              <w:t>, savstarpēji sadarbojoties,</w:t>
            </w:r>
            <w:r w:rsidR="00FC6F94">
              <w:t xml:space="preserve"> </w:t>
            </w:r>
            <w:r w:rsidR="000F1767">
              <w:t>ir jā</w:t>
            </w:r>
            <w:r w:rsidR="00FC6F94">
              <w:t xml:space="preserve">plāno un </w:t>
            </w:r>
            <w:r w:rsidR="000F1767">
              <w:t>jāveic sava</w:t>
            </w:r>
            <w:r w:rsidR="00FC6F94">
              <w:t xml:space="preserve"> dar</w:t>
            </w:r>
            <w:r w:rsidR="000F1767">
              <w:t>bība</w:t>
            </w:r>
            <w:r w:rsidR="00FC6F94">
              <w:t xml:space="preserve"> IKT pārvaldības jomā</w:t>
            </w:r>
            <w:r w:rsidR="009A0104">
              <w:t>, tai skaitā jāorganizē un jāīsteno IKT pasākumi</w:t>
            </w:r>
            <w:r w:rsidR="00981102">
              <w:t xml:space="preserve"> (ieskaitot iniciatīvas</w:t>
            </w:r>
            <w:r w:rsidR="00CB5681">
              <w:t xml:space="preserve">, </w:t>
            </w:r>
            <w:r w:rsidR="00981102">
              <w:t>projektus</w:t>
            </w:r>
            <w:r w:rsidR="00CB5681">
              <w:t xml:space="preserve"> un citas aktivitātes</w:t>
            </w:r>
            <w:r w:rsidR="009A0104">
              <w:t xml:space="preserve">, </w:t>
            </w:r>
            <w:r w:rsidR="00CB5681">
              <w:t>kas vērstas</w:t>
            </w:r>
            <w:r w:rsidRPr="009A0104" w:rsidR="009A0104">
              <w:t xml:space="preserve"> uz </w:t>
            </w:r>
            <w:r w:rsidR="009A0104">
              <w:t xml:space="preserve">IKT </w:t>
            </w:r>
            <w:r w:rsidRPr="009A0104" w:rsidR="009A0104">
              <w:t>nodrošināšanu un lietošanu</w:t>
            </w:r>
            <w:r w:rsidR="009A0104">
              <w:t xml:space="preserve">), ievērojot IKT </w:t>
            </w:r>
            <w:r w:rsidR="009A0104">
              <w:t>politiku</w:t>
            </w:r>
            <w:r w:rsidR="00005C44">
              <w:t xml:space="preserve">, turklāt šī </w:t>
            </w:r>
            <w:r w:rsidR="00CC56C2">
              <w:t>darbība ir</w:t>
            </w:r>
            <w:r w:rsidR="00BC2342">
              <w:t xml:space="preserve"> </w:t>
            </w:r>
            <w:r w:rsidR="00CC56C2">
              <w:t>jākoordinē</w:t>
            </w:r>
            <w:r w:rsidR="00BC2342">
              <w:t xml:space="preserve"> dažādos līmeņos, proti, visā valsts pārvaldē, atsevišķās valsts pārvaldes nozarēs, kā arī pašvaldībās un citās institūcijās</w:t>
            </w:r>
            <w:r w:rsidR="00B817FE">
              <w:t xml:space="preserve">, </w:t>
            </w:r>
            <w:r w:rsidR="000D1367">
              <w:t>saskaņo</w:t>
            </w:r>
            <w:r w:rsidR="00BC2342">
              <w:t>jot</w:t>
            </w:r>
            <w:r w:rsidR="000D1367">
              <w:t xml:space="preserve"> </w:t>
            </w:r>
            <w:r w:rsidR="00A54AC8">
              <w:t xml:space="preserve">starp institūcijām </w:t>
            </w:r>
            <w:r w:rsidR="000D1367">
              <w:t xml:space="preserve">tādus </w:t>
            </w:r>
            <w:r w:rsidR="0042437C">
              <w:t xml:space="preserve">IKT </w:t>
            </w:r>
            <w:r w:rsidR="009A0104">
              <w:t>pasākumus, kur</w:t>
            </w:r>
            <w:r w:rsidR="00CB5681">
              <w:t>i</w:t>
            </w:r>
            <w:r w:rsidR="005656D9">
              <w:t xml:space="preserve"> </w:t>
            </w:r>
            <w:r w:rsidR="000D1367">
              <w:t xml:space="preserve">rada būtisku </w:t>
            </w:r>
            <w:r w:rsidR="00A54AC8">
              <w:t xml:space="preserve">savstarpējo </w:t>
            </w:r>
            <w:r w:rsidR="000D1367">
              <w:t>ietekmi uz IKT izmantošanu.</w:t>
            </w:r>
          </w:p>
          <w:p w:rsidR="00871585" w:rsidP="00BA30FF" w14:paraId="583B079A" w14:textId="77777777">
            <w:pPr>
              <w:ind w:firstLine="170"/>
              <w:jc w:val="both"/>
            </w:pPr>
            <w:r>
              <w:t>Savukārt, lai noteiktu</w:t>
            </w:r>
            <w:r w:rsidR="00DE4C6D">
              <w:t xml:space="preserve">, </w:t>
            </w:r>
            <w:r>
              <w:t>īstenotu</w:t>
            </w:r>
            <w:r w:rsidR="00DE4C6D">
              <w:t xml:space="preserve"> un aktualizētu IKT politiku</w:t>
            </w:r>
            <w:r>
              <w:t xml:space="preserve">, </w:t>
            </w:r>
            <w:r w:rsidR="00D8306F">
              <w:t>visā valsts pārvaldē</w:t>
            </w:r>
            <w:r w:rsidR="00207509">
              <w:t xml:space="preserve"> (ieskaitot</w:t>
            </w:r>
            <w:r w:rsidR="00D8306F">
              <w:t xml:space="preserve"> pašvaldīb</w:t>
            </w:r>
            <w:r w:rsidR="00207509">
              <w:t>a</w:t>
            </w:r>
            <w:r w:rsidR="00D8306F">
              <w:t>s</w:t>
            </w:r>
            <w:r w:rsidR="00207509">
              <w:t>)</w:t>
            </w:r>
            <w:r w:rsidR="00D8306F">
              <w:t xml:space="preserve"> ir jāpārrauga situācija, kas saistīta ar IKT izmantošanu</w:t>
            </w:r>
            <w:r w:rsidR="00BA04F4">
              <w:t xml:space="preserve">, </w:t>
            </w:r>
            <w:r w:rsidR="00207509">
              <w:t>kā arī jā</w:t>
            </w:r>
            <w:r w:rsidR="00AC2175">
              <w:t>nodrošin</w:t>
            </w:r>
            <w:r w:rsidR="00207509">
              <w:t>a</w:t>
            </w:r>
            <w:r w:rsidR="00AC2175">
              <w:t xml:space="preserve"> </w:t>
            </w:r>
            <w:r w:rsidR="00207509">
              <w:t xml:space="preserve">tādas informācijas </w:t>
            </w:r>
            <w:r w:rsidRPr="00207509" w:rsidR="00207509">
              <w:t>veidošan</w:t>
            </w:r>
            <w:r w:rsidR="00207509">
              <w:t>a</w:t>
            </w:r>
            <w:r w:rsidRPr="00207509" w:rsidR="00207509">
              <w:t>, uzturēšan</w:t>
            </w:r>
            <w:r w:rsidR="00207509">
              <w:t>a</w:t>
            </w:r>
            <w:r w:rsidRPr="00207509" w:rsidR="00207509">
              <w:t xml:space="preserve"> un lietošan</w:t>
            </w:r>
            <w:r w:rsidR="00207509">
              <w:t>a</w:t>
            </w:r>
            <w:r w:rsidRPr="00207509" w:rsidR="00207509">
              <w:t xml:space="preserve">, </w:t>
            </w:r>
            <w:r w:rsidR="00207509">
              <w:t>kas</w:t>
            </w:r>
            <w:r w:rsidRPr="00207509" w:rsidR="00207509">
              <w:t xml:space="preserve"> nepieciešama, lai īstenotu </w:t>
            </w:r>
            <w:r w:rsidR="00207509">
              <w:t xml:space="preserve">IKT </w:t>
            </w:r>
            <w:r w:rsidRPr="00207509" w:rsidR="00207509">
              <w:t xml:space="preserve">pārvaldību, tai skaitā </w:t>
            </w:r>
            <w:r w:rsidR="00207509">
              <w:t xml:space="preserve">IKT </w:t>
            </w:r>
            <w:r w:rsidRPr="00207509" w:rsidR="00207509">
              <w:t>pasākumus</w:t>
            </w:r>
            <w:r w:rsidR="00AC2175">
              <w:t>.</w:t>
            </w:r>
          </w:p>
          <w:p w:rsidR="00BA30FF" w:rsidP="0006696D" w14:paraId="583B079B" w14:textId="77777777">
            <w:pPr>
              <w:ind w:firstLine="170"/>
              <w:jc w:val="both"/>
            </w:pPr>
            <w:r>
              <w:t>IKT pārvaldība</w:t>
            </w:r>
            <w:r w:rsidR="0081589C">
              <w:t>, tai skaitā IKT pasākumi,</w:t>
            </w:r>
            <w:r w:rsidR="00160762">
              <w:t xml:space="preserve"> ir jāfinansē</w:t>
            </w:r>
            <w:r w:rsidR="00910D38">
              <w:t xml:space="preserve">, īstenojot </w:t>
            </w:r>
            <w:r w:rsidR="00A21866">
              <w:t>IKT politiku</w:t>
            </w:r>
            <w:r w:rsidR="004E6358">
              <w:t xml:space="preserve">, </w:t>
            </w:r>
            <w:r w:rsidR="009601C8">
              <w:t>savukārt</w:t>
            </w:r>
            <w:r w:rsidR="0013132C">
              <w:t xml:space="preserve"> IKT pārvaldības finansēšana ir jā</w:t>
            </w:r>
            <w:r w:rsidR="009601C8">
              <w:t xml:space="preserve">nodrošina, </w:t>
            </w:r>
            <w:r w:rsidR="00A21866">
              <w:t>izmanto</w:t>
            </w:r>
            <w:r w:rsidR="009601C8">
              <w:t>jot</w:t>
            </w:r>
            <w:r w:rsidR="00A21866">
              <w:t xml:space="preserve"> </w:t>
            </w:r>
            <w:r w:rsidR="00E82141">
              <w:t>šim nolūkam</w:t>
            </w:r>
            <w:r w:rsidR="009601C8">
              <w:t xml:space="preserve"> </w:t>
            </w:r>
            <w:r w:rsidR="00175396">
              <w:t>paredzēt</w:t>
            </w:r>
            <w:r w:rsidR="009601C8">
              <w:t>os</w:t>
            </w:r>
            <w:r w:rsidR="00175396">
              <w:t xml:space="preserve"> </w:t>
            </w:r>
            <w:r w:rsidRPr="00A21866" w:rsidR="00A21866">
              <w:t>valsts</w:t>
            </w:r>
            <w:r w:rsidR="0013132C">
              <w:t xml:space="preserve"> vai p</w:t>
            </w:r>
            <w:r w:rsidR="009601C8">
              <w:t>ašvaldību budžeta līdzekļus</w:t>
            </w:r>
            <w:r w:rsidR="0013132C">
              <w:t xml:space="preserve">, </w:t>
            </w:r>
            <w:r w:rsidR="009601C8">
              <w:t>ārvalstu finanšu palīdzību</w:t>
            </w:r>
            <w:r w:rsidRPr="00A21866" w:rsidR="00A21866">
              <w:t xml:space="preserve"> </w:t>
            </w:r>
            <w:r w:rsidR="00E82141">
              <w:t xml:space="preserve">vai </w:t>
            </w:r>
            <w:r w:rsidRPr="00A21866" w:rsidR="00A21866">
              <w:t>cit</w:t>
            </w:r>
            <w:r w:rsidR="009601C8">
              <w:t xml:space="preserve">us finansēšanas avotus, </w:t>
            </w:r>
            <w:r w:rsidR="00E82141">
              <w:t xml:space="preserve">kā arī </w:t>
            </w:r>
            <w:r w:rsidR="00160762">
              <w:t>saskaņo</w:t>
            </w:r>
            <w:r w:rsidR="00CC56C2">
              <w:t>jo</w:t>
            </w:r>
            <w:r w:rsidR="00160762">
              <w:t xml:space="preserve">t </w:t>
            </w:r>
            <w:r w:rsidR="00890480">
              <w:t xml:space="preserve">budžeta </w:t>
            </w:r>
            <w:r>
              <w:t>pieprasījumu</w:t>
            </w:r>
            <w:r w:rsidR="00160762">
              <w:t>s</w:t>
            </w:r>
            <w:r w:rsidR="00B804BF">
              <w:t xml:space="preserve"> </w:t>
            </w:r>
            <w:r w:rsidR="009601C8">
              <w:t xml:space="preserve">par līdzekļu piešķiršanu </w:t>
            </w:r>
            <w:r w:rsidR="0013132C">
              <w:t xml:space="preserve">vai </w:t>
            </w:r>
            <w:r w:rsidR="00B804BF">
              <w:t xml:space="preserve">pārdalot piešķirtos </w:t>
            </w:r>
            <w:r w:rsidR="00BE68FA">
              <w:t>budžeta</w:t>
            </w:r>
            <w:r w:rsidR="00B804BF">
              <w:t xml:space="preserve"> līdzekļus</w:t>
            </w:r>
            <w:r w:rsidR="009601C8">
              <w:t xml:space="preserve"> starp institūcijām</w:t>
            </w:r>
            <w:r w:rsidR="00544985">
              <w:t xml:space="preserve">, </w:t>
            </w:r>
            <w:r w:rsidR="009601C8">
              <w:t xml:space="preserve">kurās </w:t>
            </w:r>
            <w:r w:rsidR="00544985">
              <w:t xml:space="preserve">IKT </w:t>
            </w:r>
            <w:r w:rsidRPr="00544985" w:rsidR="00544985">
              <w:t>pārvaldība</w:t>
            </w:r>
            <w:r w:rsidR="00E82141">
              <w:t>s īstenošana</w:t>
            </w:r>
            <w:r w:rsidR="009601C8">
              <w:t xml:space="preserve"> rada būtisku savstarpējo </w:t>
            </w:r>
            <w:r w:rsidRPr="00544985" w:rsidR="00544985">
              <w:t>ietekm</w:t>
            </w:r>
            <w:r w:rsidR="00E82141">
              <w:t>i</w:t>
            </w:r>
            <w:r w:rsidRPr="00544985" w:rsidR="00544985">
              <w:t xml:space="preserve"> </w:t>
            </w:r>
            <w:r w:rsidR="009601C8">
              <w:t xml:space="preserve">uz </w:t>
            </w:r>
            <w:r w:rsidR="00544985">
              <w:t xml:space="preserve">IKT </w:t>
            </w:r>
            <w:r w:rsidR="009601C8">
              <w:t>izmantošanu</w:t>
            </w:r>
            <w:r>
              <w:t>.</w:t>
            </w:r>
          </w:p>
          <w:p w:rsidR="00306E50" w:rsidP="00306E50" w14:paraId="583B079C" w14:textId="77777777">
            <w:pPr>
              <w:ind w:firstLine="170"/>
              <w:jc w:val="both"/>
            </w:pPr>
            <w:r>
              <w:t xml:space="preserve">VARAM norāda, ka </w:t>
            </w:r>
            <w:r w:rsidR="000C0006">
              <w:t>IKT pārvaldībā</w:t>
            </w:r>
            <w:r w:rsidR="00D8306F">
              <w:t xml:space="preserve"> </w:t>
            </w:r>
            <w:r w:rsidR="000C0006">
              <w:t>ie</w:t>
            </w:r>
            <w:r w:rsidR="00D8306F">
              <w:t>saistīt</w:t>
            </w:r>
            <w:r w:rsidR="000C0006">
              <w:t>o</w:t>
            </w:r>
            <w:r w:rsidR="00D8306F">
              <w:t xml:space="preserve"> institūciju lomas un atbildība </w:t>
            </w:r>
            <w:r>
              <w:t xml:space="preserve">atšķiras atkarībā no </w:t>
            </w:r>
            <w:r w:rsidR="00353583">
              <w:t>darbības specifikas</w:t>
            </w:r>
            <w:r>
              <w:t>. Proti, veicot IKT pārziņa darbību, institūcija</w:t>
            </w:r>
            <w:r w:rsidR="007D529D">
              <w:t>s</w:t>
            </w:r>
            <w:r>
              <w:t xml:space="preserve"> </w:t>
            </w:r>
            <w:r w:rsidR="00D8306F">
              <w:t>atbild par</w:t>
            </w:r>
            <w:r>
              <w:t xml:space="preserve"> IKT</w:t>
            </w:r>
            <w:r w:rsidR="00D8306F">
              <w:t xml:space="preserve"> līdzekļiem</w:t>
            </w:r>
            <w:r w:rsidR="00BE3264">
              <w:t xml:space="preserve">, kā arī IKT atbalstu </w:t>
            </w:r>
            <w:r>
              <w:t xml:space="preserve">citām institūcijām, </w:t>
            </w:r>
            <w:r w:rsidR="00C7131F">
              <w:t>kurām nav lietderīgi uzturēt IKT</w:t>
            </w:r>
            <w:r w:rsidR="00BF7055">
              <w:t>, bet kuras izmanto IKT, lai īstenotu savu darbību,</w:t>
            </w:r>
            <w:r w:rsidR="00C7131F">
              <w:t xml:space="preserve"> </w:t>
            </w:r>
            <w:r>
              <w:t xml:space="preserve">savukārt, veicot informācijas pārziņa darbību, institūcijas </w:t>
            </w:r>
            <w:r w:rsidR="00BE3264">
              <w:t xml:space="preserve">atbild par </w:t>
            </w:r>
            <w:r>
              <w:t>informācij</w:t>
            </w:r>
            <w:r w:rsidR="00BE3264">
              <w:t xml:space="preserve">u, kuras aprite tiek nodrošināta ar </w:t>
            </w:r>
            <w:r w:rsidR="00730012">
              <w:t>IKT palīdzību</w:t>
            </w:r>
            <w:r>
              <w:t xml:space="preserve">. Ņemot to vērā, </w:t>
            </w:r>
            <w:r w:rsidR="00F0696B">
              <w:t xml:space="preserve">institūciju </w:t>
            </w:r>
            <w:r w:rsidR="00DA7683">
              <w:t xml:space="preserve">atbildība </w:t>
            </w:r>
            <w:r w:rsidR="00BE3264">
              <w:t>IKT pārvaldības jomā</w:t>
            </w:r>
            <w:r w:rsidR="00F0696B">
              <w:t xml:space="preserve"> savstarpēji ir</w:t>
            </w:r>
            <w:r w:rsidR="00BE3264">
              <w:t xml:space="preserve"> </w:t>
            </w:r>
            <w:r w:rsidR="00946F77">
              <w:t>jāsadala</w:t>
            </w:r>
            <w:r w:rsidR="00C7131F">
              <w:t xml:space="preserve"> atbilstoši </w:t>
            </w:r>
            <w:r w:rsidR="00F0696B">
              <w:t>institūciju</w:t>
            </w:r>
            <w:r w:rsidR="00C7131F">
              <w:t xml:space="preserve"> darbības specifikai</w:t>
            </w:r>
            <w:r w:rsidR="00F0696B">
              <w:t>,</w:t>
            </w:r>
            <w:r w:rsidR="00C7131F">
              <w:t xml:space="preserve"> </w:t>
            </w:r>
            <w:r w:rsidR="00F0696B">
              <w:t xml:space="preserve">taču </w:t>
            </w:r>
            <w:r>
              <w:t xml:space="preserve">jāparedz </w:t>
            </w:r>
            <w:r w:rsidR="00C7131F">
              <w:t xml:space="preserve">arī </w:t>
            </w:r>
            <w:r>
              <w:t xml:space="preserve">iespēja </w:t>
            </w:r>
            <w:r w:rsidR="00F0696B">
              <w:t>uzturēt vienā institūcijā</w:t>
            </w:r>
            <w:r w:rsidR="00F41915">
              <w:t xml:space="preserve"> </w:t>
            </w:r>
            <w:r w:rsidR="00BC6372">
              <w:t xml:space="preserve">gan IKT pārziņa, gan informācijas pārziņa </w:t>
            </w:r>
            <w:r>
              <w:t>kompetenci</w:t>
            </w:r>
            <w:r w:rsidR="00C76C6C">
              <w:t>, ja tas ir</w:t>
            </w:r>
            <w:r w:rsidR="00572F21">
              <w:t xml:space="preserve"> </w:t>
            </w:r>
            <w:r w:rsidR="00C76C6C">
              <w:t>lietderīgi.</w:t>
            </w:r>
          </w:p>
          <w:p w:rsidR="00B91578" w:rsidP="000D122A" w14:paraId="583B079D" w14:textId="77777777">
            <w:pPr>
              <w:ind w:firstLine="170"/>
              <w:jc w:val="both"/>
            </w:pPr>
            <w:r>
              <w:t xml:space="preserve">Ievērojot iepriekšminēto, </w:t>
            </w:r>
            <w:r w:rsidR="00730012">
              <w:t xml:space="preserve">valsts pārvaldē ir jābūt </w:t>
            </w:r>
            <w:r w:rsidR="007E2E77">
              <w:t xml:space="preserve">normatīvajam </w:t>
            </w:r>
            <w:r w:rsidR="00730012">
              <w:t xml:space="preserve">regulējumam, kas </w:t>
            </w:r>
            <w:r w:rsidR="00F346D0">
              <w:t>nosak</w:t>
            </w:r>
            <w:r w:rsidR="00436ED1">
              <w:t xml:space="preserve">a </w:t>
            </w:r>
            <w:r w:rsidR="000B738F">
              <w:t>institūcij</w:t>
            </w:r>
            <w:r w:rsidR="007E2E77">
              <w:t>u</w:t>
            </w:r>
            <w:r w:rsidR="00F346D0">
              <w:t xml:space="preserve"> lomas </w:t>
            </w:r>
            <w:r w:rsidR="007871F5">
              <w:t>IKT pārvaldības jomā</w:t>
            </w:r>
            <w:r w:rsidR="00611D58">
              <w:t>, ļaujot sadalīt</w:t>
            </w:r>
            <w:r w:rsidR="007871F5">
              <w:t xml:space="preserve"> </w:t>
            </w:r>
            <w:r w:rsidR="007E2E77">
              <w:t xml:space="preserve">ar to saistīto atbildību </w:t>
            </w:r>
            <w:r w:rsidR="00611D58">
              <w:t>starp dažādām institūcijām atbilstoši to darbības specifikai, un r</w:t>
            </w:r>
            <w:r w:rsidR="00F346D0">
              <w:t>egulē vienotu kārtību, kādā institūcijas īsteno, koordinē un finansē IKT pārvaldību</w:t>
            </w:r>
            <w:r w:rsidR="00405405">
              <w:t xml:space="preserve">, </w:t>
            </w:r>
            <w:r w:rsidR="00F346D0">
              <w:t>nodrošina un lieto IKT</w:t>
            </w:r>
            <w:r w:rsidR="00405405">
              <w:t xml:space="preserve">, kā arī </w:t>
            </w:r>
            <w:r w:rsidR="00F346D0">
              <w:t>nodrošina informācijas apriti</w:t>
            </w:r>
            <w:r w:rsidR="003C7B0A">
              <w:t xml:space="preserve"> ar </w:t>
            </w:r>
            <w:r w:rsidR="00F346D0">
              <w:t>IKT</w:t>
            </w:r>
            <w:r w:rsidR="003C7B0A">
              <w:t xml:space="preserve"> palīdzību</w:t>
            </w:r>
            <w:r w:rsidR="00F346D0">
              <w:t>.</w:t>
            </w:r>
            <w:r w:rsidR="00A6778C">
              <w:t xml:space="preserve"> Šis regulējums ir ietverts likumprojektā</w:t>
            </w:r>
            <w:r w:rsidR="004363C9">
              <w:t>.</w:t>
            </w:r>
          </w:p>
          <w:p w:rsidR="00F95F23" w:rsidP="002534E7" w14:paraId="583B079E" w14:textId="77777777">
            <w:pPr>
              <w:ind w:firstLine="170"/>
              <w:jc w:val="both"/>
            </w:pPr>
            <w:r>
              <w:t>VARAM norāda, ka p</w:t>
            </w:r>
            <w:r w:rsidR="00693C5A">
              <w:t xml:space="preserve">ašlaik spēkā ir Valsts informācijas sistēmu likums (turpmāk – </w:t>
            </w:r>
            <w:r w:rsidR="0024104D">
              <w:t>VIS </w:t>
            </w:r>
            <w:r w:rsidR="00693C5A">
              <w:t xml:space="preserve">likums), kas </w:t>
            </w:r>
            <w:r>
              <w:t xml:space="preserve">attiecas uz </w:t>
            </w:r>
            <w:r w:rsidR="00693C5A">
              <w:t>IKT pā</w:t>
            </w:r>
            <w:r w:rsidR="002534E7">
              <w:t>rvaldīb</w:t>
            </w:r>
            <w:r>
              <w:t xml:space="preserve">u </w:t>
            </w:r>
            <w:r w:rsidR="002534E7">
              <w:t xml:space="preserve">valsts pārvaldē. </w:t>
            </w:r>
            <w:r w:rsidR="00DF7D2E">
              <w:t xml:space="preserve">Taču </w:t>
            </w:r>
            <w:r w:rsidR="00630AD3">
              <w:t xml:space="preserve">atbilstoši </w:t>
            </w:r>
            <w:r w:rsidR="0024104D">
              <w:t>VIS </w:t>
            </w:r>
            <w:r w:rsidR="00693C5A">
              <w:t>likum</w:t>
            </w:r>
            <w:r w:rsidR="00630AD3">
              <w:t>am</w:t>
            </w:r>
            <w:r w:rsidR="00405405">
              <w:t xml:space="preserve"> </w:t>
            </w:r>
            <w:r w:rsidR="00693C5A">
              <w:t>katr</w:t>
            </w:r>
            <w:r w:rsidR="00405405">
              <w:t>ā</w:t>
            </w:r>
            <w:r w:rsidR="009C125A">
              <w:t xml:space="preserve"> institūcij</w:t>
            </w:r>
            <w:r w:rsidR="00405405">
              <w:t>ā</w:t>
            </w:r>
            <w:r w:rsidR="00693C5A">
              <w:t xml:space="preserve"> ir jāuztur </w:t>
            </w:r>
            <w:r w:rsidR="00405405">
              <w:t>gan IKT pārziņa, gan informācijas pārziņa kompetence, kas</w:t>
            </w:r>
            <w:r w:rsidR="005C022F">
              <w:t xml:space="preserve"> rada situāciju, </w:t>
            </w:r>
            <w:r w:rsidR="00DC0C10">
              <w:t>kurā</w:t>
            </w:r>
            <w:r w:rsidR="005C022F">
              <w:t xml:space="preserve"> </w:t>
            </w:r>
            <w:r>
              <w:t>vienai institūcijai</w:t>
            </w:r>
            <w:r w:rsidR="005C022F">
              <w:t xml:space="preserve"> ir jārisina visi ar IKT pārvaldību saistītie uzdevumi neatkarīgi no darbības specifikas</w:t>
            </w:r>
            <w:r w:rsidR="00022B8C">
              <w:t>.</w:t>
            </w:r>
            <w:r w:rsidR="00FD4D8E">
              <w:t xml:space="preserve"> </w:t>
            </w:r>
            <w:r w:rsidR="00CE2B54">
              <w:t>Savukārt</w:t>
            </w:r>
            <w:r w:rsidR="00C04CFF">
              <w:t xml:space="preserve"> likumprojekt</w:t>
            </w:r>
            <w:r w:rsidR="00B42A1D">
              <w:t>ā ietvertais</w:t>
            </w:r>
            <w:r w:rsidR="00C04CFF">
              <w:t xml:space="preserve"> </w:t>
            </w:r>
            <w:r w:rsidR="00B42A1D">
              <w:t>regulējums nošķir</w:t>
            </w:r>
            <w:r w:rsidR="00DF5626">
              <w:t xml:space="preserve"> atbildību par IKT nodrošināšanu </w:t>
            </w:r>
            <w:r w:rsidR="004363C9">
              <w:t>un</w:t>
            </w:r>
            <w:r w:rsidR="00BB483C">
              <w:t xml:space="preserve"> </w:t>
            </w:r>
            <w:r w:rsidR="00DF5626">
              <w:t>informācijas aprit</w:t>
            </w:r>
            <w:r w:rsidR="000823EA">
              <w:t xml:space="preserve">i, </w:t>
            </w:r>
            <w:r w:rsidR="004363C9">
              <w:t>k</w:t>
            </w:r>
            <w:r w:rsidR="00B42A1D">
              <w:t xml:space="preserve">uru </w:t>
            </w:r>
            <w:r w:rsidR="004363C9">
              <w:t xml:space="preserve">nodrošina ar </w:t>
            </w:r>
            <w:r w:rsidR="00DF5626">
              <w:t>IKT</w:t>
            </w:r>
            <w:r w:rsidR="004363C9">
              <w:t xml:space="preserve"> palīdzību</w:t>
            </w:r>
            <w:r w:rsidR="00370183">
              <w:t xml:space="preserve">, </w:t>
            </w:r>
            <w:r w:rsidR="00B42A1D">
              <w:t xml:space="preserve">kas ļauj </w:t>
            </w:r>
            <w:r w:rsidR="00DF5626">
              <w:t>sadal</w:t>
            </w:r>
            <w:r w:rsidR="00B42A1D">
              <w:t>ī</w:t>
            </w:r>
            <w:r w:rsidR="00DF5626">
              <w:t xml:space="preserve">t IKT pārziņa un informācijas pārziņa </w:t>
            </w:r>
            <w:r w:rsidR="00BF051D">
              <w:t>kompetenci</w:t>
            </w:r>
            <w:r w:rsidR="00DF5626">
              <w:t xml:space="preserve"> starp dažādām institūcijām atbilstoši to </w:t>
            </w:r>
            <w:r w:rsidR="00BF051D">
              <w:t>darbības specifikai</w:t>
            </w:r>
            <w:r w:rsidR="00370183">
              <w:t xml:space="preserve"> (šajā </w:t>
            </w:r>
            <w:r w:rsidR="00DC0C10">
              <w:t>situācij</w:t>
            </w:r>
            <w:r w:rsidR="00370183">
              <w:t xml:space="preserve">ā </w:t>
            </w:r>
            <w:r w:rsidR="00C7131F">
              <w:t xml:space="preserve">visus </w:t>
            </w:r>
            <w:r w:rsidR="00120D59">
              <w:t xml:space="preserve">IKT </w:t>
            </w:r>
            <w:r w:rsidR="00A36C9E">
              <w:t>nodrošināšanas</w:t>
            </w:r>
            <w:r w:rsidR="00120D59">
              <w:t xml:space="preserve"> uzdevumus risina </w:t>
            </w:r>
            <w:r w:rsidR="0001414A">
              <w:t>IKT pārziņi</w:t>
            </w:r>
            <w:r w:rsidR="00120D59">
              <w:t xml:space="preserve">, </w:t>
            </w:r>
            <w:r w:rsidR="00BF051D">
              <w:t xml:space="preserve">bet </w:t>
            </w:r>
            <w:r w:rsidR="00120D59">
              <w:t xml:space="preserve">informācijas pārziņi izmanto IKT pārziņu </w:t>
            </w:r>
            <w:r w:rsidR="00BF051D">
              <w:t xml:space="preserve">sniegto IKT </w:t>
            </w:r>
            <w:r w:rsidR="00120D59">
              <w:t xml:space="preserve">atbalstu, lai </w:t>
            </w:r>
            <w:r>
              <w:t>īstenotu savu darbību ar IKT palīdzību</w:t>
            </w:r>
            <w:r w:rsidR="00370183">
              <w:t>)</w:t>
            </w:r>
            <w:r>
              <w:t>.</w:t>
            </w:r>
          </w:p>
          <w:p w:rsidR="00630AD3" w:rsidP="002534E7" w14:paraId="583B079F" w14:textId="77777777">
            <w:pPr>
              <w:ind w:firstLine="170"/>
              <w:jc w:val="both"/>
            </w:pPr>
            <w:r>
              <w:t>Turklāt VIS </w:t>
            </w:r>
            <w:r w:rsidRPr="00693C5A">
              <w:t xml:space="preserve">likums </w:t>
            </w:r>
            <w:r>
              <w:t xml:space="preserve">regulē </w:t>
            </w:r>
            <w:r w:rsidRPr="00693C5A">
              <w:t>IKT pārvaldību</w:t>
            </w:r>
            <w:r w:rsidR="001B7574">
              <w:t xml:space="preserve">, kas attiecas </w:t>
            </w:r>
            <w:r w:rsidR="00C17D92">
              <w:t xml:space="preserve">tikai uz </w:t>
            </w:r>
            <w:r w:rsidRPr="00693C5A">
              <w:t>valsts informācijas sistēmām</w:t>
            </w:r>
            <w:r w:rsidR="00BF051D">
              <w:t xml:space="preserve"> (turpmāk – VIS), </w:t>
            </w:r>
            <w:r w:rsidR="008D2A67">
              <w:t xml:space="preserve">kā arī paredz, ka tikai </w:t>
            </w:r>
            <w:r w:rsidR="00A6778C">
              <w:t>viena institūcija (</w:t>
            </w:r>
            <w:r w:rsidR="008D2A67">
              <w:t>VARAM</w:t>
            </w:r>
            <w:r w:rsidR="00A6778C">
              <w:t>)</w:t>
            </w:r>
            <w:r w:rsidR="008D2A67">
              <w:t xml:space="preserve"> </w:t>
            </w:r>
            <w:r w:rsidR="0094665B">
              <w:t xml:space="preserve">koordinē </w:t>
            </w:r>
            <w:r w:rsidR="008D2A67">
              <w:t>citu institūciju darbīb</w:t>
            </w:r>
            <w:r w:rsidR="005D0685">
              <w:t>u</w:t>
            </w:r>
            <w:r w:rsidR="0094665B">
              <w:t xml:space="preserve"> </w:t>
            </w:r>
            <w:r w:rsidR="008D2A67">
              <w:t xml:space="preserve">IKT pārvaldības jomā, </w:t>
            </w:r>
            <w:r w:rsidR="004363C9">
              <w:t>savukārt</w:t>
            </w:r>
            <w:r w:rsidR="0094665B">
              <w:t xml:space="preserve"> </w:t>
            </w:r>
            <w:r>
              <w:t xml:space="preserve">likumprojekts </w:t>
            </w:r>
            <w:r w:rsidR="00BF051D">
              <w:t>aptver visus valsts pārvaldē izmantojamos IKT rīkus un risinājumus</w:t>
            </w:r>
            <w:r w:rsidR="0094665B">
              <w:t>, kā arī iesaista IKT pārvaldības koordinēšanā visas ministrijas un pašvaldības</w:t>
            </w:r>
            <w:r w:rsidR="00C17D92">
              <w:t>.</w:t>
            </w:r>
          </w:p>
          <w:p w:rsidR="00693C5A" w:rsidRPr="00F92426" w:rsidP="00D51156" w14:paraId="583B07A0" w14:textId="1E2AA91F">
            <w:pPr>
              <w:ind w:firstLine="170"/>
              <w:jc w:val="both"/>
            </w:pPr>
            <w:r>
              <w:t>Ievērojot iepriekšminēto</w:t>
            </w:r>
            <w:r w:rsidR="0020412B">
              <w:t xml:space="preserve">, </w:t>
            </w:r>
            <w:r w:rsidR="0024104D">
              <w:t>VIS </w:t>
            </w:r>
            <w:r w:rsidR="00A6778C">
              <w:t xml:space="preserve">likumu paredzēts atzīt </w:t>
            </w:r>
            <w:r w:rsidR="007D3F44">
              <w:t>par spēku zaudējušu</w:t>
            </w:r>
            <w:r w:rsidR="00A6778C">
              <w:t>, kad stāsies spēkā likumprojektā ietvertais</w:t>
            </w:r>
            <w:r w:rsidR="00CB68E8">
              <w:t xml:space="preserve"> regulējum</w:t>
            </w:r>
            <w:r w:rsidR="00A6778C">
              <w:t>s</w:t>
            </w:r>
            <w:r w:rsidR="00D51156">
              <w:t xml:space="preserve">, taču, </w:t>
            </w:r>
            <w:r w:rsidR="004F0891">
              <w:t xml:space="preserve">izstrādājot </w:t>
            </w:r>
            <w:r w:rsidR="00A6778C">
              <w:t xml:space="preserve">šo </w:t>
            </w:r>
            <w:r w:rsidR="004F0891">
              <w:t>regulējumu, ir jā</w:t>
            </w:r>
            <w:r w:rsidR="006F4E86">
              <w:t xml:space="preserve">ievēro tādi </w:t>
            </w:r>
            <w:r w:rsidRPr="00781561" w:rsidR="006F4E86">
              <w:t>IKT pārvaldības</w:t>
            </w:r>
            <w:r w:rsidR="006F4E86">
              <w:t xml:space="preserve"> </w:t>
            </w:r>
            <w:r w:rsidRPr="00781561" w:rsidR="006F4E86">
              <w:t>princip</w:t>
            </w:r>
            <w:r w:rsidR="006F4E86">
              <w:t xml:space="preserve">i, uz kuriem balstās VIS likums, bet kuri </w:t>
            </w:r>
            <w:r w:rsidR="00FF2DFE">
              <w:t>nav pretrunā</w:t>
            </w:r>
            <w:r w:rsidR="004F0891">
              <w:t xml:space="preserve"> likumprojekta mērķi</w:t>
            </w:r>
            <w:r w:rsidR="00FF2DFE">
              <w:t>m un būtībai</w:t>
            </w:r>
            <w:r>
              <w:rPr>
                <w:rStyle w:val="FootnoteReference"/>
              </w:rPr>
              <w:footnoteReference w:id="4"/>
            </w:r>
            <w:r w:rsidR="004F0891">
              <w:t>.</w:t>
            </w:r>
          </w:p>
        </w:tc>
      </w:tr>
      <w:tr w14:paraId="583B07A5" w14:textId="65A6D21E"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9343BC" w:rsidP="0070596E" w14:paraId="583B07A2" w14:textId="77777777">
            <w:pPr>
              <w:jc w:val="right"/>
            </w:pPr>
            <w:r>
              <w:t>3.</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9343BC" w:rsidP="00D9025C" w14:paraId="583B07A3" w14:textId="77777777">
            <w:r w:rsidRPr="009343BC">
              <w:t>Projekta izstrādē iesaistītās institūcijas</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9343BC" w:rsidRPr="00DB0BF5" w:rsidP="00684CEA" w14:paraId="583B07A4" w14:textId="77777777">
            <w:pPr>
              <w:ind w:firstLine="170"/>
              <w:jc w:val="both"/>
            </w:pPr>
            <w:r>
              <w:t>VARAM</w:t>
            </w:r>
          </w:p>
        </w:tc>
      </w:tr>
      <w:tr w14:paraId="583B07A9" w14:textId="0CD1155E" w:rsidTr="000823EA">
        <w:tblPrEx>
          <w:tblW w:w="9186" w:type="dxa"/>
          <w:tblInd w:w="57" w:type="dxa"/>
          <w:tblLayout w:type="fixed"/>
          <w:tblCellMar>
            <w:top w:w="30" w:type="dxa"/>
            <w:left w:w="30" w:type="dxa"/>
            <w:bottom w:w="30" w:type="dxa"/>
            <w:right w:w="30" w:type="dxa"/>
          </w:tblCellMar>
          <w:tblLook w:val="00A0"/>
        </w:tblPrEx>
        <w:trPr>
          <w:trHeight w:val="284"/>
        </w:trPr>
        <w:tc>
          <w:tcPr>
            <w:tcW w:w="454" w:type="dxa"/>
            <w:tcBorders>
              <w:top w:val="outset" w:sz="6" w:space="0" w:color="000000"/>
              <w:bottom w:val="outset" w:sz="6" w:space="0" w:color="000000"/>
              <w:right w:val="outset" w:sz="6" w:space="0" w:color="000000"/>
            </w:tcBorders>
            <w:tcMar>
              <w:top w:w="57" w:type="dxa"/>
              <w:left w:w="113" w:type="dxa"/>
              <w:bottom w:w="57" w:type="dxa"/>
              <w:right w:w="113" w:type="dxa"/>
            </w:tcMar>
          </w:tcPr>
          <w:p w:rsidR="009343BC" w:rsidP="0070596E" w14:paraId="583B07A6" w14:textId="77777777">
            <w:pPr>
              <w:widowControl w:val="0"/>
              <w:jc w:val="right"/>
            </w:pPr>
            <w:r>
              <w:t>4.</w:t>
            </w:r>
          </w:p>
        </w:tc>
        <w:tc>
          <w:tcPr>
            <w:tcW w:w="2098" w:type="dxa"/>
            <w:tcBorders>
              <w:top w:val="outset" w:sz="6" w:space="0" w:color="000000"/>
              <w:left w:val="outset" w:sz="6" w:space="0" w:color="000000"/>
              <w:bottom w:val="outset" w:sz="6" w:space="0" w:color="000000"/>
              <w:right w:val="outset" w:sz="6" w:space="0" w:color="000000"/>
            </w:tcBorders>
            <w:tcMar>
              <w:top w:w="57" w:type="dxa"/>
              <w:left w:w="113" w:type="dxa"/>
              <w:bottom w:w="57" w:type="dxa"/>
              <w:right w:w="113" w:type="dxa"/>
            </w:tcMar>
          </w:tcPr>
          <w:p w:rsidR="009343BC" w:rsidRPr="009343BC" w:rsidP="00E91491" w14:paraId="583B07A7" w14:textId="77777777">
            <w:pPr>
              <w:widowControl w:val="0"/>
            </w:pPr>
            <w:r w:rsidRPr="009343BC">
              <w:t>Cita informācija</w:t>
            </w:r>
          </w:p>
        </w:tc>
        <w:tc>
          <w:tcPr>
            <w:tcW w:w="6634" w:type="dxa"/>
            <w:tcBorders>
              <w:top w:val="outset" w:sz="6" w:space="0" w:color="000000"/>
              <w:left w:val="outset" w:sz="6" w:space="0" w:color="000000"/>
              <w:bottom w:val="outset" w:sz="6" w:space="0" w:color="000000"/>
            </w:tcBorders>
            <w:tcMar>
              <w:top w:w="57" w:type="dxa"/>
              <w:left w:w="113" w:type="dxa"/>
              <w:bottom w:w="57" w:type="dxa"/>
              <w:right w:w="113" w:type="dxa"/>
            </w:tcMar>
          </w:tcPr>
          <w:p w:rsidR="000F6C33" w:rsidRPr="00AA7DDE" w:rsidP="00C85D25" w14:paraId="583B07A8" w14:textId="77777777">
            <w:pPr>
              <w:widowControl w:val="0"/>
              <w:ind w:firstLine="170"/>
              <w:jc w:val="both"/>
            </w:pPr>
            <w:r>
              <w:t>Likumprojektā ietvertais regulējums stāsies spēkā 2019.</w:t>
            </w:r>
            <w:r w:rsidR="001617A8">
              <w:t> </w:t>
            </w:r>
            <w:r>
              <w:t>gada 1.</w:t>
            </w:r>
            <w:r w:rsidR="001617A8">
              <w:t> </w:t>
            </w:r>
            <w:r>
              <w:t xml:space="preserve">oktobrī, kad </w:t>
            </w:r>
            <w:r w:rsidR="00E303B1">
              <w:t xml:space="preserve">paredzēts </w:t>
            </w:r>
            <w:r>
              <w:t xml:space="preserve">nodot lietošanā </w:t>
            </w:r>
            <w:r w:rsidRPr="00831CB4">
              <w:rPr>
                <w:iCs/>
                <w:lang w:eastAsia="en-US"/>
              </w:rPr>
              <w:t>Valsts informācijas resursu, sistēmu un s</w:t>
            </w:r>
            <w:r>
              <w:rPr>
                <w:iCs/>
                <w:lang w:eastAsia="en-US"/>
              </w:rPr>
              <w:t>adarbspējas in</w:t>
            </w:r>
            <w:r w:rsidR="00D01FC1">
              <w:rPr>
                <w:iCs/>
                <w:lang w:eastAsia="en-US"/>
              </w:rPr>
              <w:t>formācijas sistēm</w:t>
            </w:r>
            <w:r w:rsidR="00E303B1">
              <w:rPr>
                <w:iCs/>
                <w:lang w:eastAsia="en-US"/>
              </w:rPr>
              <w:t>u</w:t>
            </w:r>
            <w:r w:rsidRPr="00831CB4">
              <w:rPr>
                <w:iCs/>
                <w:lang w:eastAsia="en-US"/>
              </w:rPr>
              <w:t xml:space="preserve"> (</w:t>
            </w:r>
            <w:r>
              <w:rPr>
                <w:iCs/>
                <w:lang w:eastAsia="en-US"/>
              </w:rPr>
              <w:t xml:space="preserve">turpmāk – </w:t>
            </w:r>
            <w:r w:rsidRPr="00831CB4">
              <w:rPr>
                <w:iCs/>
                <w:lang w:eastAsia="en-US"/>
              </w:rPr>
              <w:t>VIRSIS)</w:t>
            </w:r>
            <w:r>
              <w:rPr>
                <w:iCs/>
              </w:rPr>
              <w:t xml:space="preserve">, </w:t>
            </w:r>
            <w:r w:rsidR="00E303B1">
              <w:rPr>
                <w:iCs/>
              </w:rPr>
              <w:t xml:space="preserve">kas pašlaik tiek izstrādāta, </w:t>
            </w:r>
            <w:r>
              <w:rPr>
                <w:iCs/>
              </w:rPr>
              <w:t>īstenojot projektu „Vienotā datu telpa”</w:t>
            </w:r>
            <w:r>
              <w:rPr>
                <w:rStyle w:val="FootnoteReference"/>
                <w:iCs/>
              </w:rPr>
              <w:footnoteReference w:id="5"/>
            </w:r>
            <w:r w:rsidR="00FB1FBA">
              <w:rPr>
                <w:iCs/>
              </w:rPr>
              <w:t xml:space="preserve">, kura </w:t>
            </w:r>
            <w:r w:rsidRPr="000106C4" w:rsidR="00B3727E">
              <w:t xml:space="preserve">mērķis ir </w:t>
            </w:r>
            <w:r w:rsidR="00FB1FBA">
              <w:t>uzlabot informācijas apmaiņu</w:t>
            </w:r>
            <w:r w:rsidRPr="000106C4" w:rsidR="00B3727E">
              <w:t xml:space="preserve"> un sadarbspēj</w:t>
            </w:r>
            <w:r w:rsidR="00FB1FBA">
              <w:t xml:space="preserve">u </w:t>
            </w:r>
            <w:r w:rsidRPr="000106C4" w:rsidR="00B3727E">
              <w:t xml:space="preserve">valsts pārvaldē, </w:t>
            </w:r>
            <w:r w:rsidR="00AC4853">
              <w:t>nodrošinot IKT pārvaldību</w:t>
            </w:r>
            <w:r>
              <w:t>.</w:t>
            </w:r>
          </w:p>
        </w:tc>
      </w:tr>
    </w:tbl>
    <w:p w:rsidR="00D85230" w:rsidP="00CA2FD1" w14:paraId="583B07AA" w14:textId="77777777">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892"/>
        <w:gridCol w:w="5840"/>
      </w:tblGrid>
      <w:tr w14:paraId="583B07AC" w14:textId="74997345" w:rsidTr="00C84CD2">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186" w:type="dxa"/>
            <w:gridSpan w:val="3"/>
            <w:tcMar>
              <w:top w:w="57" w:type="dxa"/>
              <w:left w:w="113" w:type="dxa"/>
              <w:bottom w:w="57" w:type="dxa"/>
              <w:right w:w="113" w:type="dxa"/>
            </w:tcMar>
          </w:tcPr>
          <w:p w:rsidR="009343BC" w:rsidRPr="00EF1D76" w:rsidP="009343BC" w14:paraId="583B07AB" w14:textId="3DE81607">
            <w:pPr>
              <w:keepNext/>
              <w:jc w:val="center"/>
              <w:rPr>
                <w:b/>
                <w:bCs/>
              </w:rPr>
            </w:pPr>
            <w:r>
              <w:rPr>
                <w:b/>
                <w:bCs/>
              </w:rPr>
              <w:t>II. </w:t>
            </w:r>
            <w:r w:rsidRPr="00EF56C7" w:rsidR="00EF56C7">
              <w:rPr>
                <w:b/>
                <w:bCs/>
              </w:rPr>
              <w:t>Tiesību akta projekta ietekme uz sabiedrību, tautsaimniecības attīstību un administratīvo slogu</w:t>
            </w:r>
          </w:p>
        </w:tc>
      </w:tr>
      <w:tr w14:paraId="583B07B4" w14:textId="0BA1DD0B" w:rsidTr="002E3E30">
        <w:tblPrEx>
          <w:tblW w:w="0" w:type="auto"/>
          <w:tblInd w:w="57" w:type="dxa"/>
          <w:tblLayout w:type="fixed"/>
          <w:tblLook w:val="01E0"/>
        </w:tblPrEx>
        <w:tc>
          <w:tcPr>
            <w:tcW w:w="454" w:type="dxa"/>
            <w:tcMar>
              <w:top w:w="57" w:type="dxa"/>
              <w:left w:w="113" w:type="dxa"/>
              <w:bottom w:w="57" w:type="dxa"/>
              <w:right w:w="113" w:type="dxa"/>
            </w:tcMar>
          </w:tcPr>
          <w:p w:rsidR="009343BC" w:rsidRPr="00EF1D76" w:rsidP="0074321E" w14:paraId="583B07AD" w14:textId="77777777">
            <w:pPr>
              <w:jc w:val="right"/>
              <w:outlineLvl w:val="0"/>
            </w:pPr>
            <w:r w:rsidRPr="00EF1D76">
              <w:t>1.</w:t>
            </w:r>
          </w:p>
        </w:tc>
        <w:tc>
          <w:tcPr>
            <w:tcW w:w="2892" w:type="dxa"/>
            <w:tcMar>
              <w:top w:w="57" w:type="dxa"/>
              <w:left w:w="113" w:type="dxa"/>
              <w:bottom w:w="57" w:type="dxa"/>
              <w:right w:w="113" w:type="dxa"/>
            </w:tcMar>
          </w:tcPr>
          <w:p w:rsidR="009343BC" w:rsidRPr="00EF1D76" w:rsidP="009343BC" w14:paraId="583B07AE" w14:textId="77777777">
            <w:pPr>
              <w:outlineLvl w:val="0"/>
            </w:pPr>
            <w:r w:rsidRPr="00BA34AD">
              <w:t>Sabiedrības mērķgrupas, kuras tiesiskais regulējums ietekmē vai varētu ietekmēt</w:t>
            </w:r>
          </w:p>
        </w:tc>
        <w:tc>
          <w:tcPr>
            <w:tcW w:w="5840" w:type="dxa"/>
            <w:shd w:val="clear" w:color="auto" w:fill="auto"/>
            <w:tcMar>
              <w:top w:w="57" w:type="dxa"/>
              <w:left w:w="113" w:type="dxa"/>
              <w:bottom w:w="57" w:type="dxa"/>
              <w:right w:w="113" w:type="dxa"/>
            </w:tcMar>
          </w:tcPr>
          <w:p w:rsidR="002B6FAA" w:rsidP="002B6FAA" w14:paraId="583B07AF" w14:textId="77777777">
            <w:pPr>
              <w:ind w:firstLine="170"/>
              <w:jc w:val="both"/>
            </w:pPr>
            <w:r>
              <w:t>Regulējums attiecas uz</w:t>
            </w:r>
            <w:r>
              <w:t>:</w:t>
            </w:r>
          </w:p>
          <w:p w:rsidR="00352205" w:rsidP="002B6FAA" w14:paraId="583B07B0" w14:textId="2610BE8C">
            <w:pPr>
              <w:ind w:firstLine="170"/>
              <w:jc w:val="both"/>
            </w:pPr>
            <w:r>
              <w:t>1)</w:t>
            </w:r>
            <w:r w:rsidR="00FF2DFE">
              <w:t> </w:t>
            </w:r>
            <w:r w:rsidRPr="008473BF" w:rsidR="008473BF">
              <w:t xml:space="preserve">institūcijām, </w:t>
            </w:r>
            <w:r w:rsidR="00CA78B4">
              <w:t>kas</w:t>
            </w:r>
            <w:r w:rsidRPr="008473BF" w:rsidR="008473BF">
              <w:t xml:space="preserve"> īsteno savu darbību, izmantojot </w:t>
            </w:r>
            <w:r w:rsidR="00CA78B4">
              <w:t>IKT</w:t>
            </w:r>
            <w:r w:rsidRPr="008473BF" w:rsidR="008473BF">
              <w:t>, ciktāl citu likumu speciālajās tiesību normās nav noteikts citādi</w:t>
            </w:r>
            <w:r>
              <w:t>;</w:t>
            </w:r>
          </w:p>
          <w:p w:rsidR="00AA63D1" w:rsidP="002B6FAA" w14:paraId="583B07B1" w14:textId="6B6ABEE6">
            <w:pPr>
              <w:ind w:firstLine="170"/>
              <w:jc w:val="both"/>
            </w:pPr>
            <w:r>
              <w:t>2)</w:t>
            </w:r>
            <w:r w:rsidR="00FF2DFE">
              <w:t> </w:t>
            </w:r>
            <w:r w:rsidRPr="004D7BB3" w:rsidR="004D7BB3">
              <w:t>privātpersonām, kuras pilda pārvaldes uzdevumus, ciktāl šo personu darbība ir saistīta ar attiecīgo uzdevumu izpildi</w:t>
            </w:r>
            <w:r w:rsidR="00352205">
              <w:t>.</w:t>
            </w:r>
          </w:p>
          <w:p w:rsidR="006869F9" w:rsidP="006869F9" w14:paraId="583B07B2" w14:textId="77777777">
            <w:pPr>
              <w:ind w:firstLine="170"/>
              <w:jc w:val="both"/>
            </w:pPr>
            <w:r w:rsidRPr="00005BE6">
              <w:t>Regulējuma izpratnē institūcija ir publiska persona vai tās iestāde, kā arī privātpersona</w:t>
            </w:r>
            <w:r>
              <w:rPr>
                <w:rStyle w:val="FootnoteReference"/>
              </w:rPr>
              <w:footnoteReference w:id="6"/>
            </w:r>
            <w:r w:rsidRPr="00005BE6">
              <w:t xml:space="preserve">, </w:t>
            </w:r>
            <w:r w:rsidR="00F657FC">
              <w:t>kura</w:t>
            </w:r>
            <w:r w:rsidR="00AC4853">
              <w:t xml:space="preserve"> </w:t>
            </w:r>
            <w:r w:rsidRPr="00005BE6">
              <w:t xml:space="preserve">pilda </w:t>
            </w:r>
            <w:r w:rsidRPr="003632E0" w:rsidR="003632E0">
              <w:t xml:space="preserve">tai noteiktos, deleģētos vai ar pilnvarojumu nodotos </w:t>
            </w:r>
            <w:r w:rsidR="003632E0">
              <w:t xml:space="preserve">uzdevumus saistībā ar </w:t>
            </w:r>
            <w:r w:rsidR="00B42A1D">
              <w:t>valsts p</w:t>
            </w:r>
            <w:r w:rsidR="003632E0">
              <w:t>ārvaldes īstenošanu (jeb pārvaldes uzdevumus)</w:t>
            </w:r>
            <w:r>
              <w:t>,</w:t>
            </w:r>
          </w:p>
          <w:p w:rsidR="00005BE6" w:rsidRPr="00EF1D76" w:rsidP="00B17867" w14:paraId="583B07B3" w14:textId="77777777">
            <w:pPr>
              <w:ind w:firstLine="170"/>
              <w:jc w:val="both"/>
            </w:pPr>
            <w:r>
              <w:t xml:space="preserve">Regulējuma izpratnē par privātpersonu ir uzskatāma arī kapitālsabiedrība, </w:t>
            </w:r>
            <w:r w:rsidRPr="006869F9">
              <w:t>kuru ir dibinājusi vai kurā līdzdalību ir ieguvusi publiska persona, tai skaitā valsts vai atvasināta publiska persona</w:t>
            </w:r>
            <w:r>
              <w:rPr>
                <w:rStyle w:val="FootnoteReference"/>
              </w:rPr>
              <w:footnoteReference w:id="7"/>
            </w:r>
            <w:r w:rsidR="00B17867">
              <w:t>.</w:t>
            </w:r>
          </w:p>
        </w:tc>
      </w:tr>
      <w:tr w14:paraId="583B07B8" w14:textId="4812FDD1" w:rsidTr="0002558A">
        <w:tblPrEx>
          <w:tblW w:w="0" w:type="auto"/>
          <w:tblInd w:w="57" w:type="dxa"/>
          <w:tblLayout w:type="fixed"/>
          <w:tblLook w:val="01E0"/>
        </w:tblPrEx>
        <w:trPr>
          <w:cantSplit/>
        </w:trPr>
        <w:tc>
          <w:tcPr>
            <w:tcW w:w="454" w:type="dxa"/>
            <w:tcMar>
              <w:top w:w="57" w:type="dxa"/>
              <w:left w:w="113" w:type="dxa"/>
              <w:bottom w:w="57" w:type="dxa"/>
              <w:right w:w="113" w:type="dxa"/>
            </w:tcMar>
          </w:tcPr>
          <w:p w:rsidR="00BA34AD" w:rsidRPr="00EF1D76" w:rsidP="0074321E" w14:paraId="583B07B5" w14:textId="77777777">
            <w:pPr>
              <w:jc w:val="right"/>
              <w:outlineLvl w:val="0"/>
            </w:pPr>
            <w:r>
              <w:t>2.</w:t>
            </w:r>
          </w:p>
        </w:tc>
        <w:tc>
          <w:tcPr>
            <w:tcW w:w="2892" w:type="dxa"/>
            <w:tcMar>
              <w:top w:w="57" w:type="dxa"/>
              <w:left w:w="113" w:type="dxa"/>
              <w:bottom w:w="57" w:type="dxa"/>
              <w:right w:w="113" w:type="dxa"/>
            </w:tcMar>
          </w:tcPr>
          <w:p w:rsidR="00BA34AD" w:rsidRPr="00EF1D76" w:rsidP="009343BC" w14:paraId="583B07B6" w14:textId="77777777">
            <w:pPr>
              <w:outlineLvl w:val="0"/>
            </w:pPr>
            <w:r w:rsidRPr="00BA34AD">
              <w:t>Tiesiskā regulējuma ietekme uz tautsaimniecību un administratīvo slogu</w:t>
            </w:r>
          </w:p>
        </w:tc>
        <w:tc>
          <w:tcPr>
            <w:tcW w:w="5840" w:type="dxa"/>
            <w:tcMar>
              <w:top w:w="57" w:type="dxa"/>
              <w:left w:w="113" w:type="dxa"/>
              <w:bottom w:w="57" w:type="dxa"/>
              <w:right w:w="113" w:type="dxa"/>
            </w:tcMar>
          </w:tcPr>
          <w:p w:rsidR="00BA34AD" w:rsidRPr="00EF1D76" w:rsidP="00666116" w14:paraId="583B07B7" w14:textId="77777777">
            <w:pPr>
              <w:pStyle w:val="naiskr"/>
              <w:spacing w:before="0" w:after="0"/>
              <w:ind w:firstLine="170"/>
              <w:jc w:val="both"/>
            </w:pPr>
            <w:r w:rsidRPr="00BD3271">
              <w:t>Likumprojekts šo jomu neskar</w:t>
            </w:r>
          </w:p>
        </w:tc>
      </w:tr>
      <w:tr w14:paraId="583B07BC" w14:textId="2F00DAE5" w:rsidTr="0055034F">
        <w:tblPrEx>
          <w:tblW w:w="0" w:type="auto"/>
          <w:tblInd w:w="57" w:type="dxa"/>
          <w:tblLayout w:type="fixed"/>
          <w:tblLook w:val="01E0"/>
        </w:tblPrEx>
        <w:trPr>
          <w:cantSplit/>
        </w:trPr>
        <w:tc>
          <w:tcPr>
            <w:tcW w:w="454" w:type="dxa"/>
            <w:tcMar>
              <w:top w:w="57" w:type="dxa"/>
              <w:left w:w="113" w:type="dxa"/>
              <w:bottom w:w="57" w:type="dxa"/>
              <w:right w:w="113" w:type="dxa"/>
            </w:tcMar>
          </w:tcPr>
          <w:p w:rsidR="00BA34AD" w:rsidP="0074321E" w14:paraId="583B07B9" w14:textId="77777777">
            <w:pPr>
              <w:jc w:val="right"/>
              <w:outlineLvl w:val="0"/>
            </w:pPr>
            <w:r>
              <w:t>3.</w:t>
            </w:r>
          </w:p>
        </w:tc>
        <w:tc>
          <w:tcPr>
            <w:tcW w:w="2892" w:type="dxa"/>
            <w:tcMar>
              <w:top w:w="57" w:type="dxa"/>
              <w:left w:w="113" w:type="dxa"/>
              <w:bottom w:w="57" w:type="dxa"/>
              <w:right w:w="113" w:type="dxa"/>
            </w:tcMar>
          </w:tcPr>
          <w:p w:rsidR="00BA34AD" w:rsidRPr="00BA34AD" w:rsidP="009343BC" w14:paraId="583B07BA" w14:textId="77777777">
            <w:pPr>
              <w:outlineLvl w:val="0"/>
            </w:pPr>
            <w:r w:rsidRPr="003E19DE">
              <w:t>Administratīvo izmaksu monetārais novērtējums</w:t>
            </w:r>
          </w:p>
        </w:tc>
        <w:tc>
          <w:tcPr>
            <w:tcW w:w="5840" w:type="dxa"/>
            <w:tcMar>
              <w:top w:w="57" w:type="dxa"/>
              <w:left w:w="113" w:type="dxa"/>
              <w:bottom w:w="57" w:type="dxa"/>
              <w:right w:w="113" w:type="dxa"/>
            </w:tcMar>
          </w:tcPr>
          <w:p w:rsidR="007B5F16" w:rsidP="00971A5F" w14:paraId="583B07BB" w14:textId="77777777">
            <w:pPr>
              <w:pStyle w:val="naiskr"/>
              <w:spacing w:before="0" w:after="0"/>
              <w:ind w:firstLine="170"/>
              <w:jc w:val="both"/>
            </w:pPr>
            <w:r w:rsidRPr="00BD3271">
              <w:t>Likumprojekts šo jomu neskar</w:t>
            </w:r>
          </w:p>
        </w:tc>
      </w:tr>
      <w:tr w14:paraId="583B07C5" w14:textId="5011A1CA" w:rsidTr="002E3E30">
        <w:tblPrEx>
          <w:tblW w:w="0" w:type="auto"/>
          <w:tblInd w:w="57" w:type="dxa"/>
          <w:tblLayout w:type="fixed"/>
          <w:tblLook w:val="01E0"/>
        </w:tblPrEx>
        <w:tc>
          <w:tcPr>
            <w:tcW w:w="454" w:type="dxa"/>
            <w:tcMar>
              <w:top w:w="57" w:type="dxa"/>
              <w:left w:w="113" w:type="dxa"/>
              <w:bottom w:w="57" w:type="dxa"/>
              <w:right w:w="113" w:type="dxa"/>
            </w:tcMar>
          </w:tcPr>
          <w:p w:rsidR="003E19DE" w:rsidP="0074321E" w14:paraId="583B07BD" w14:textId="77777777">
            <w:pPr>
              <w:jc w:val="right"/>
              <w:outlineLvl w:val="0"/>
            </w:pPr>
            <w:r>
              <w:t>4.</w:t>
            </w:r>
          </w:p>
        </w:tc>
        <w:tc>
          <w:tcPr>
            <w:tcW w:w="2892" w:type="dxa"/>
            <w:tcMar>
              <w:top w:w="57" w:type="dxa"/>
              <w:left w:w="113" w:type="dxa"/>
              <w:bottom w:w="57" w:type="dxa"/>
              <w:right w:w="113" w:type="dxa"/>
            </w:tcMar>
          </w:tcPr>
          <w:p w:rsidR="003E19DE" w:rsidRPr="003E19DE" w:rsidP="009343BC" w14:paraId="583B07BE" w14:textId="77777777">
            <w:pPr>
              <w:outlineLvl w:val="0"/>
            </w:pPr>
            <w:r>
              <w:t>Cita informācija</w:t>
            </w:r>
          </w:p>
        </w:tc>
        <w:tc>
          <w:tcPr>
            <w:tcW w:w="5840" w:type="dxa"/>
            <w:tcMar>
              <w:top w:w="57" w:type="dxa"/>
              <w:left w:w="113" w:type="dxa"/>
              <w:bottom w:w="57" w:type="dxa"/>
              <w:right w:w="113" w:type="dxa"/>
            </w:tcMar>
          </w:tcPr>
          <w:p w:rsidR="0027648B" w:rsidP="00AE03CB" w14:paraId="583B07BF" w14:textId="77777777">
            <w:pPr>
              <w:pStyle w:val="naiskr"/>
              <w:spacing w:before="0" w:after="0"/>
              <w:ind w:firstLine="170"/>
              <w:jc w:val="both"/>
            </w:pPr>
            <w:r>
              <w:t>Regulējums paredz</w:t>
            </w:r>
            <w:r w:rsidR="006A31A4">
              <w:t xml:space="preserve">, </w:t>
            </w:r>
            <w:r w:rsidR="00273867">
              <w:t xml:space="preserve">ka, </w:t>
            </w:r>
            <w:r w:rsidR="004855F7">
              <w:t xml:space="preserve">sadarbojoties </w:t>
            </w:r>
            <w:r w:rsidR="006A31A4">
              <w:t>ar privātpersonām</w:t>
            </w:r>
            <w:r w:rsidRPr="00025733" w:rsidR="00025733">
              <w:t xml:space="preserve">, kuru darbība nav saistīta ar </w:t>
            </w:r>
            <w:r w:rsidR="00406A8B">
              <w:t>pārvaldes uzdevumu izpildi</w:t>
            </w:r>
            <w:r w:rsidR="006A31A4">
              <w:t>, institūcijas</w:t>
            </w:r>
            <w:r w:rsidR="00273867">
              <w:t xml:space="preserve"> </w:t>
            </w:r>
            <w:r w:rsidR="00024C9B">
              <w:t>var</w:t>
            </w:r>
            <w:r w:rsidR="00743508">
              <w:t xml:space="preserve"> (</w:t>
            </w:r>
            <w:r w:rsidR="00273867">
              <w:t>j</w:t>
            </w:r>
            <w:r w:rsidRPr="00025733" w:rsidR="00273867">
              <w:t>a tas ir iespējams un lietderīgi</w:t>
            </w:r>
            <w:r w:rsidR="00743508">
              <w:t>)</w:t>
            </w:r>
            <w:r>
              <w:t>:</w:t>
            </w:r>
          </w:p>
          <w:p w:rsidR="003E19DE" w:rsidP="00AE03CB" w14:paraId="583B07C0" w14:textId="016A704B">
            <w:pPr>
              <w:pStyle w:val="naiskr"/>
              <w:spacing w:before="0" w:after="0"/>
              <w:ind w:firstLine="170"/>
              <w:jc w:val="both"/>
            </w:pPr>
            <w:r>
              <w:t>1</w:t>
            </w:r>
            <w:r w:rsidR="00FF2DFE">
              <w:t>) </w:t>
            </w:r>
            <w:r w:rsidRPr="00047898" w:rsidR="00047898">
              <w:t>piesaist</w:t>
            </w:r>
            <w:r w:rsidR="00024C9B">
              <w:t>īt</w:t>
            </w:r>
            <w:r w:rsidRPr="00047898" w:rsidR="00047898">
              <w:t xml:space="preserve"> </w:t>
            </w:r>
            <w:r w:rsidR="009B18D0">
              <w:t xml:space="preserve">attiecīgo </w:t>
            </w:r>
            <w:r w:rsidRPr="00047898" w:rsidR="009B18D0">
              <w:t>personu finanšu līdzekļus</w:t>
            </w:r>
            <w:r w:rsidR="009B18D0">
              <w:t xml:space="preserve"> </w:t>
            </w:r>
            <w:r w:rsidR="00E93E2B">
              <w:t>IKT</w:t>
            </w:r>
            <w:r w:rsidRPr="00047898" w:rsidR="00E93E2B">
              <w:t xml:space="preserve"> pārvaldības finansēšanai </w:t>
            </w:r>
            <w:r w:rsidR="00352B28">
              <w:t>(</w:t>
            </w:r>
            <w:r w:rsidRPr="00047898" w:rsidR="00047898">
              <w:t>atbi</w:t>
            </w:r>
            <w:r w:rsidR="002E3E30">
              <w:t xml:space="preserve">lstoši normatīvajiem aktiem par </w:t>
            </w:r>
            <w:r w:rsidRPr="00047898" w:rsidR="00047898">
              <w:t>publisko un privāto partnerību</w:t>
            </w:r>
            <w:r>
              <w:rPr>
                <w:rStyle w:val="FootnoteReference"/>
              </w:rPr>
              <w:footnoteReference w:id="8"/>
            </w:r>
            <w:r w:rsidR="00352B28">
              <w:t>)</w:t>
            </w:r>
            <w:r w:rsidR="00025733">
              <w:t>;</w:t>
            </w:r>
          </w:p>
          <w:p w:rsidR="00D65F41" w:rsidP="00E42E3B" w14:paraId="583B07C1" w14:textId="6B62A358">
            <w:pPr>
              <w:pStyle w:val="naiskr"/>
              <w:spacing w:before="0" w:after="0"/>
              <w:ind w:firstLine="170"/>
              <w:jc w:val="both"/>
            </w:pPr>
            <w:r>
              <w:t>2</w:t>
            </w:r>
            <w:r w:rsidR="00FF2DFE">
              <w:t>) </w:t>
            </w:r>
            <w:r w:rsidR="00743508">
              <w:t>iesaistīt</w:t>
            </w:r>
            <w:r w:rsidRPr="00C84CD2" w:rsidR="00C84CD2">
              <w:t xml:space="preserve"> </w:t>
            </w:r>
            <w:r w:rsidR="009B18D0">
              <w:t xml:space="preserve">attiecīgās </w:t>
            </w:r>
            <w:r w:rsidRPr="00C84CD2" w:rsidR="009B18D0">
              <w:t>personas</w:t>
            </w:r>
            <w:r w:rsidR="009B18D0">
              <w:t xml:space="preserve"> tādu </w:t>
            </w:r>
            <w:r w:rsidR="00C84CD2">
              <w:t>IKT</w:t>
            </w:r>
            <w:r w:rsidRPr="00C84CD2" w:rsidR="00C84CD2">
              <w:t xml:space="preserve"> nodrošināšanā</w:t>
            </w:r>
            <w:r w:rsidR="009B18D0">
              <w:t xml:space="preserve">, kas nepieciešamas </w:t>
            </w:r>
            <w:r w:rsidR="00E42E3B">
              <w:t xml:space="preserve">institūcijām </w:t>
            </w:r>
            <w:r w:rsidR="00743508">
              <w:t>(</w:t>
            </w:r>
            <w:r w:rsidRPr="00C84CD2" w:rsidR="00C84CD2">
              <w:t>atbilstoši normatīvajiem aktiem par</w:t>
            </w:r>
            <w:r w:rsidR="00FF2E1C">
              <w:t xml:space="preserve"> </w:t>
            </w:r>
            <w:r w:rsidRPr="00C84CD2" w:rsidR="00C84CD2">
              <w:t>publiskajiem iepirkumiem vai publisko un privāto partnerību</w:t>
            </w:r>
            <w:r>
              <w:rPr>
                <w:rStyle w:val="FootnoteReference"/>
              </w:rPr>
              <w:footnoteReference w:id="9"/>
            </w:r>
            <w:r w:rsidR="00743508">
              <w:t>)</w:t>
            </w:r>
            <w:r w:rsidR="008B1BC9">
              <w:t>;</w:t>
            </w:r>
          </w:p>
          <w:p w:rsidR="001E6590" w:rsidP="006547E0" w14:paraId="583B07C2" w14:textId="4221465B">
            <w:pPr>
              <w:pStyle w:val="naiskr"/>
              <w:spacing w:before="0" w:after="0"/>
              <w:ind w:firstLine="170"/>
              <w:jc w:val="both"/>
            </w:pPr>
            <w:r>
              <w:t>3) </w:t>
            </w:r>
            <w:r w:rsidR="00E42E3B">
              <w:t>nodrošināt</w:t>
            </w:r>
            <w:r w:rsidRPr="00C84CD2" w:rsidR="00C84CD2">
              <w:t xml:space="preserve"> </w:t>
            </w:r>
            <w:r w:rsidRPr="00C84CD2" w:rsidR="009B18D0">
              <w:t>attiecīgajām personām</w:t>
            </w:r>
            <w:r w:rsidR="009B18D0">
              <w:t xml:space="preserve"> iespēju lietot IKT, kas ir institūciju pārziņā </w:t>
            </w:r>
            <w:r w:rsidR="00775EF1">
              <w:t>(</w:t>
            </w:r>
            <w:r w:rsidRPr="00C84CD2" w:rsidR="00C84CD2">
              <w:t>atbilstoši normatīvajiem aktiem par pakalpojumu sniegšanu valsts pārvaldē</w:t>
            </w:r>
            <w:r>
              <w:rPr>
                <w:rStyle w:val="FootnoteReference"/>
              </w:rPr>
              <w:footnoteReference w:id="10"/>
            </w:r>
            <w:r w:rsidR="00775EF1">
              <w:t>)</w:t>
            </w:r>
            <w:r>
              <w:t>;</w:t>
            </w:r>
          </w:p>
          <w:p w:rsidR="00025733" w:rsidP="00CD1417" w14:paraId="583B07C3" w14:textId="1194D8EB">
            <w:pPr>
              <w:pStyle w:val="naiskr"/>
              <w:spacing w:before="0" w:after="0"/>
              <w:ind w:firstLine="170"/>
              <w:jc w:val="both"/>
            </w:pPr>
            <w:r>
              <w:t>4</w:t>
            </w:r>
            <w:r w:rsidR="00FF2DFE">
              <w:t>) </w:t>
            </w:r>
            <w:r w:rsidR="00183E4D">
              <w:t xml:space="preserve">iesaistīt </w:t>
            </w:r>
            <w:r w:rsidR="00CB2206">
              <w:t xml:space="preserve">attiecīgās </w:t>
            </w:r>
            <w:r w:rsidRPr="00C84CD2" w:rsidR="00CB2206">
              <w:t>personas</w:t>
            </w:r>
            <w:r w:rsidR="00CB2206">
              <w:t xml:space="preserve"> tādas </w:t>
            </w:r>
            <w:r w:rsidRPr="000A1A90">
              <w:t>informācijas aprites nodrošināšanā</w:t>
            </w:r>
            <w:r w:rsidR="00CB2206">
              <w:t xml:space="preserve">, </w:t>
            </w:r>
            <w:r w:rsidR="00DC4068">
              <w:t>k</w:t>
            </w:r>
            <w:r w:rsidR="00A2181B">
              <w:t>ur</w:t>
            </w:r>
            <w:r w:rsidR="00DC4068">
              <w:t xml:space="preserve">a </w:t>
            </w:r>
            <w:r w:rsidR="00A2181B">
              <w:t xml:space="preserve">ir </w:t>
            </w:r>
            <w:r w:rsidR="00DC4068">
              <w:t xml:space="preserve">nepieciešama </w:t>
            </w:r>
            <w:r w:rsidR="00CB2206">
              <w:t xml:space="preserve">institūcijām, </w:t>
            </w:r>
            <w:r w:rsidR="00A2181B">
              <w:t>kā arī</w:t>
            </w:r>
            <w:r w:rsidR="00DC4068">
              <w:t xml:space="preserve"> </w:t>
            </w:r>
            <w:r w:rsidR="006019BD">
              <w:t xml:space="preserve">institūciju rīcībā esošās </w:t>
            </w:r>
            <w:r w:rsidR="00CB2206">
              <w:t>informācijas sniegšanā</w:t>
            </w:r>
            <w:r w:rsidR="00A2181B">
              <w:t xml:space="preserve"> ar IKT palīdzību </w:t>
            </w:r>
            <w:r w:rsidR="00CB2206">
              <w:t>(</w:t>
            </w:r>
            <w:r>
              <w:t xml:space="preserve">atbilstoši normatīvajiem aktiem </w:t>
            </w:r>
            <w:r w:rsidRPr="000A1A90">
              <w:t>par valsts pārvaldes pakalpojumu elektronizāciju un sniegšanu</w:t>
            </w:r>
            <w:r>
              <w:rPr>
                <w:rStyle w:val="FootnoteReference"/>
              </w:rPr>
              <w:footnoteReference w:id="11"/>
            </w:r>
            <w:r w:rsidR="00892A96">
              <w:t>)</w:t>
            </w:r>
            <w:r w:rsidR="00CD1417">
              <w:t>;</w:t>
            </w:r>
          </w:p>
          <w:p w:rsidR="00CD1417" w:rsidP="00A2181B" w14:paraId="583B07C4" w14:textId="16526A45">
            <w:pPr>
              <w:pStyle w:val="naiskr"/>
              <w:spacing w:before="0" w:after="0"/>
              <w:ind w:firstLine="170"/>
              <w:jc w:val="both"/>
            </w:pPr>
            <w:r>
              <w:t>5</w:t>
            </w:r>
            <w:r>
              <w:t>)</w:t>
            </w:r>
            <w:r w:rsidR="00FF2DFE">
              <w:t> </w:t>
            </w:r>
            <w:r w:rsidR="00892A96">
              <w:t>nodrošināt</w:t>
            </w:r>
            <w:r w:rsidRPr="00C84CD2" w:rsidR="00892A96">
              <w:t xml:space="preserve"> </w:t>
            </w:r>
            <w:r w:rsidRPr="00C84CD2" w:rsidR="00DC4068">
              <w:t>attiecīgajām personām</w:t>
            </w:r>
            <w:r w:rsidR="00DC4068">
              <w:t xml:space="preserve"> iespēju lietot tādu informāciju, </w:t>
            </w:r>
            <w:r w:rsidR="00DC63F7">
              <w:t>kas paredzēta atkalizmantošanai</w:t>
            </w:r>
            <w:r w:rsidR="005F0F1B">
              <w:t xml:space="preserve">, saņemot šo informāciju no </w:t>
            </w:r>
            <w:r w:rsidR="00DC63F7">
              <w:t>institūcij</w:t>
            </w:r>
            <w:r w:rsidR="005F0F1B">
              <w:t>ām</w:t>
            </w:r>
            <w:r w:rsidR="009838E2">
              <w:t xml:space="preserve"> </w:t>
            </w:r>
            <w:r w:rsidR="00A2181B">
              <w:t>ar IKT palīdzību</w:t>
            </w:r>
            <w:r w:rsidR="00DC4068">
              <w:t xml:space="preserve"> </w:t>
            </w:r>
            <w:r w:rsidR="00DC63F7">
              <w:t>(</w:t>
            </w:r>
            <w:r w:rsidRPr="002E3E30">
              <w:t>atbilstoši normatīvajiem aktiem par informācijas atklātību</w:t>
            </w:r>
            <w:r>
              <w:rPr>
                <w:rStyle w:val="FootnoteReference"/>
              </w:rPr>
              <w:footnoteReference w:id="12"/>
            </w:r>
            <w:r w:rsidR="00892A96">
              <w:t>).</w:t>
            </w:r>
          </w:p>
        </w:tc>
      </w:tr>
    </w:tbl>
    <w:p w:rsidR="00316618" w:rsidP="00CA2FD1" w14:paraId="583B07C6" w14:textId="77777777">
      <w:pPr>
        <w:spacing w:after="120"/>
        <w:rPr>
          <w:iCs/>
          <w:lang w:eastAsia="en-US"/>
        </w:rPr>
      </w:pPr>
    </w:p>
    <w:tbl>
      <w:tblPr>
        <w:tblStyle w:val="TableGrid"/>
        <w:tblW w:w="0" w:type="auto"/>
        <w:tblInd w:w="57" w:type="dxa"/>
        <w:tblLook w:val="04A0"/>
      </w:tblPr>
      <w:tblGrid>
        <w:gridCol w:w="1531"/>
        <w:gridCol w:w="1531"/>
        <w:gridCol w:w="1531"/>
        <w:gridCol w:w="1531"/>
        <w:gridCol w:w="1531"/>
        <w:gridCol w:w="1531"/>
      </w:tblGrid>
      <w:tr w14:paraId="583B07C8" w14:textId="51A0516D" w:rsidTr="00E21294">
        <w:tblPrEx>
          <w:tblW w:w="0" w:type="auto"/>
          <w:tblInd w:w="57" w:type="dxa"/>
          <w:tblLook w:val="04A0"/>
        </w:tblPrEx>
        <w:trPr>
          <w:trHeight w:val="227"/>
        </w:trPr>
        <w:tc>
          <w:tcPr>
            <w:tcW w:w="9186" w:type="dxa"/>
            <w:gridSpan w:val="6"/>
            <w:tcMar>
              <w:top w:w="57" w:type="dxa"/>
              <w:left w:w="113" w:type="dxa"/>
              <w:bottom w:w="57" w:type="dxa"/>
              <w:right w:w="113" w:type="dxa"/>
            </w:tcMar>
          </w:tcPr>
          <w:p w:rsidR="00397AD8" w:rsidRPr="00BA65F4" w:rsidP="00222118" w14:paraId="583B07C7" w14:textId="0E60B5EA">
            <w:pPr>
              <w:pStyle w:val="naisf"/>
              <w:keepNext/>
              <w:spacing w:before="0" w:after="0"/>
              <w:ind w:firstLine="0"/>
              <w:jc w:val="center"/>
              <w:rPr>
                <w:b/>
                <w:bCs/>
                <w:i/>
                <w:iCs/>
              </w:rPr>
            </w:pPr>
            <w:r>
              <w:rPr>
                <w:b/>
                <w:bCs/>
                <w:iCs/>
              </w:rPr>
              <w:br w:type="page"/>
              <w:t>III. </w:t>
            </w:r>
            <w:r w:rsidRPr="00BA65F4">
              <w:rPr>
                <w:b/>
                <w:bCs/>
                <w:iCs/>
              </w:rPr>
              <w:t>Tiesību akta projekta ietekme uz valsts budžetu un pašvaldību budžetiem</w:t>
            </w:r>
          </w:p>
        </w:tc>
      </w:tr>
      <w:tr w14:paraId="583B07CC" w14:textId="2F2F9A64" w:rsidTr="00E21294">
        <w:tblPrEx>
          <w:tblW w:w="0" w:type="auto"/>
          <w:tblInd w:w="57" w:type="dxa"/>
          <w:tblLook w:val="04A0"/>
        </w:tblPrEx>
        <w:tc>
          <w:tcPr>
            <w:tcW w:w="1531" w:type="dxa"/>
            <w:vMerge w:val="restart"/>
            <w:tcMar>
              <w:top w:w="57" w:type="dxa"/>
              <w:left w:w="113" w:type="dxa"/>
              <w:bottom w:w="57" w:type="dxa"/>
              <w:right w:w="113" w:type="dxa"/>
            </w:tcMar>
            <w:vAlign w:val="center"/>
          </w:tcPr>
          <w:p w:rsidR="00222118" w:rsidRPr="00BA65F4" w:rsidP="00563A5A" w14:paraId="583B07C9" w14:textId="77777777">
            <w:pPr>
              <w:keepNext/>
              <w:jc w:val="center"/>
              <w:rPr>
                <w:iCs/>
                <w:lang w:eastAsia="en-US"/>
              </w:rPr>
            </w:pPr>
            <w:r w:rsidRPr="00BA65F4">
              <w:rPr>
                <w:iCs/>
                <w:lang w:eastAsia="en-US"/>
              </w:rPr>
              <w:t>Rādītāji</w:t>
            </w:r>
          </w:p>
        </w:tc>
        <w:tc>
          <w:tcPr>
            <w:tcW w:w="3062" w:type="dxa"/>
            <w:gridSpan w:val="2"/>
            <w:vMerge w:val="restart"/>
            <w:tcMar>
              <w:top w:w="57" w:type="dxa"/>
              <w:left w:w="113" w:type="dxa"/>
              <w:bottom w:w="57" w:type="dxa"/>
              <w:right w:w="113" w:type="dxa"/>
            </w:tcMar>
            <w:vAlign w:val="center"/>
          </w:tcPr>
          <w:p w:rsidR="00222118" w:rsidRPr="00BA65F4" w:rsidP="00563A5A" w14:paraId="583B07CA" w14:textId="77777777">
            <w:pPr>
              <w:keepNext/>
              <w:jc w:val="center"/>
              <w:rPr>
                <w:iCs/>
                <w:lang w:eastAsia="en-US"/>
              </w:rPr>
            </w:pPr>
            <w:r>
              <w:rPr>
                <w:iCs/>
                <w:lang w:eastAsia="en-US"/>
              </w:rPr>
              <w:t>2017</w:t>
            </w:r>
            <w:r w:rsidRPr="00BA65F4">
              <w:rPr>
                <w:iCs/>
                <w:lang w:eastAsia="en-US"/>
              </w:rPr>
              <w:t>.</w:t>
            </w:r>
            <w:r w:rsidR="001617A8">
              <w:rPr>
                <w:iCs/>
                <w:lang w:eastAsia="en-US"/>
              </w:rPr>
              <w:t> </w:t>
            </w:r>
            <w:r w:rsidRPr="00BA65F4">
              <w:rPr>
                <w:iCs/>
                <w:lang w:eastAsia="en-US"/>
              </w:rPr>
              <w:t>gads</w:t>
            </w:r>
          </w:p>
        </w:tc>
        <w:tc>
          <w:tcPr>
            <w:tcW w:w="4593" w:type="dxa"/>
            <w:gridSpan w:val="3"/>
            <w:tcMar>
              <w:top w:w="57" w:type="dxa"/>
              <w:left w:w="113" w:type="dxa"/>
              <w:bottom w:w="57" w:type="dxa"/>
              <w:right w:w="113" w:type="dxa"/>
            </w:tcMar>
          </w:tcPr>
          <w:p w:rsidR="00222118" w:rsidRPr="00BA65F4" w:rsidP="00563A5A" w14:paraId="583B07CB" w14:textId="77777777">
            <w:pPr>
              <w:keepNext/>
              <w:jc w:val="center"/>
              <w:rPr>
                <w:iCs/>
                <w:lang w:eastAsia="en-US"/>
              </w:rPr>
            </w:pPr>
            <w:r w:rsidRPr="00BA65F4">
              <w:rPr>
                <w:iCs/>
                <w:lang w:eastAsia="en-US"/>
              </w:rPr>
              <w:t>Turpmākie trīs gadi (</w:t>
            </w:r>
            <w:r w:rsidRPr="00FF2DFE">
              <w:rPr>
                <w:i/>
                <w:iCs/>
                <w:lang w:eastAsia="en-US"/>
              </w:rPr>
              <w:t>euro</w:t>
            </w:r>
            <w:r w:rsidRPr="00BA65F4">
              <w:rPr>
                <w:iCs/>
                <w:lang w:eastAsia="en-US"/>
              </w:rPr>
              <w:t>)</w:t>
            </w:r>
          </w:p>
        </w:tc>
      </w:tr>
      <w:tr w14:paraId="583B07D2" w14:textId="0B9FE4E3" w:rsidTr="00E21294">
        <w:tblPrEx>
          <w:tblW w:w="0" w:type="auto"/>
          <w:tblInd w:w="57" w:type="dxa"/>
          <w:tblLook w:val="04A0"/>
        </w:tblPrEx>
        <w:tc>
          <w:tcPr>
            <w:tcW w:w="1531" w:type="dxa"/>
            <w:vMerge/>
            <w:tcMar>
              <w:top w:w="57" w:type="dxa"/>
              <w:left w:w="113" w:type="dxa"/>
              <w:bottom w:w="57" w:type="dxa"/>
              <w:right w:w="113" w:type="dxa"/>
            </w:tcMar>
          </w:tcPr>
          <w:p w:rsidR="00222118" w:rsidRPr="00BA65F4" w:rsidP="00563A5A" w14:paraId="583B07CD" w14:textId="77777777">
            <w:pPr>
              <w:keepNext/>
              <w:jc w:val="center"/>
              <w:rPr>
                <w:iCs/>
                <w:lang w:eastAsia="en-US"/>
              </w:rPr>
            </w:pPr>
          </w:p>
        </w:tc>
        <w:tc>
          <w:tcPr>
            <w:tcW w:w="3062" w:type="dxa"/>
            <w:gridSpan w:val="2"/>
            <w:vMerge/>
            <w:tcMar>
              <w:top w:w="57" w:type="dxa"/>
              <w:left w:w="113" w:type="dxa"/>
              <w:bottom w:w="57" w:type="dxa"/>
              <w:right w:w="113" w:type="dxa"/>
            </w:tcMar>
          </w:tcPr>
          <w:p w:rsidR="00222118" w:rsidRPr="00BA65F4" w:rsidP="00865C32" w14:paraId="583B07CE" w14:textId="77777777">
            <w:pPr>
              <w:keepNext/>
              <w:tabs>
                <w:tab w:val="left" w:pos="589"/>
              </w:tabs>
              <w:rPr>
                <w:iCs/>
                <w:lang w:eastAsia="en-US"/>
              </w:rPr>
            </w:pPr>
          </w:p>
        </w:tc>
        <w:tc>
          <w:tcPr>
            <w:tcW w:w="1531" w:type="dxa"/>
            <w:tcMar>
              <w:top w:w="57" w:type="dxa"/>
              <w:left w:w="113" w:type="dxa"/>
              <w:bottom w:w="57" w:type="dxa"/>
              <w:right w:w="113" w:type="dxa"/>
            </w:tcMar>
          </w:tcPr>
          <w:p w:rsidR="00222118" w:rsidRPr="00BA65F4" w:rsidP="00563A5A" w14:paraId="583B07CF" w14:textId="77777777">
            <w:pPr>
              <w:keepNext/>
              <w:jc w:val="center"/>
              <w:rPr>
                <w:iCs/>
                <w:lang w:eastAsia="en-US"/>
              </w:rPr>
            </w:pPr>
            <w:r>
              <w:rPr>
                <w:iCs/>
                <w:lang w:eastAsia="en-US"/>
              </w:rPr>
              <w:t>2018</w:t>
            </w:r>
            <w:r w:rsidRPr="00BA65F4">
              <w:rPr>
                <w:iCs/>
                <w:lang w:eastAsia="en-US"/>
              </w:rPr>
              <w:t>.</w:t>
            </w:r>
          </w:p>
        </w:tc>
        <w:tc>
          <w:tcPr>
            <w:tcW w:w="1531" w:type="dxa"/>
            <w:tcMar>
              <w:top w:w="57" w:type="dxa"/>
              <w:left w:w="113" w:type="dxa"/>
              <w:bottom w:w="57" w:type="dxa"/>
              <w:right w:w="113" w:type="dxa"/>
            </w:tcMar>
          </w:tcPr>
          <w:p w:rsidR="00222118" w:rsidRPr="00BA65F4" w:rsidP="00563A5A" w14:paraId="583B07D0" w14:textId="77777777">
            <w:pPr>
              <w:keepNext/>
              <w:jc w:val="center"/>
              <w:rPr>
                <w:iCs/>
                <w:lang w:eastAsia="en-US"/>
              </w:rPr>
            </w:pPr>
            <w:r>
              <w:rPr>
                <w:iCs/>
                <w:lang w:eastAsia="en-US"/>
              </w:rPr>
              <w:t>2019</w:t>
            </w:r>
            <w:r w:rsidRPr="00BA65F4">
              <w:rPr>
                <w:iCs/>
                <w:lang w:eastAsia="en-US"/>
              </w:rPr>
              <w:t>.</w:t>
            </w:r>
          </w:p>
        </w:tc>
        <w:tc>
          <w:tcPr>
            <w:tcW w:w="1531" w:type="dxa"/>
            <w:tcMar>
              <w:top w:w="57" w:type="dxa"/>
              <w:left w:w="113" w:type="dxa"/>
              <w:bottom w:w="57" w:type="dxa"/>
              <w:right w:w="113" w:type="dxa"/>
            </w:tcMar>
          </w:tcPr>
          <w:p w:rsidR="00222118" w:rsidRPr="00BA65F4" w:rsidP="00563A5A" w14:paraId="583B07D1" w14:textId="77777777">
            <w:pPr>
              <w:keepNext/>
              <w:jc w:val="center"/>
              <w:rPr>
                <w:iCs/>
                <w:lang w:eastAsia="en-US"/>
              </w:rPr>
            </w:pPr>
            <w:r>
              <w:rPr>
                <w:iCs/>
                <w:lang w:eastAsia="en-US"/>
              </w:rPr>
              <w:t>2020</w:t>
            </w:r>
            <w:r w:rsidRPr="00BA65F4">
              <w:rPr>
                <w:iCs/>
                <w:lang w:eastAsia="en-US"/>
              </w:rPr>
              <w:t>.</w:t>
            </w:r>
          </w:p>
        </w:tc>
      </w:tr>
      <w:tr w14:paraId="583B07D9" w14:textId="716BBF68" w:rsidTr="00E21294">
        <w:tblPrEx>
          <w:tblW w:w="0" w:type="auto"/>
          <w:tblInd w:w="57" w:type="dxa"/>
          <w:tblLook w:val="04A0"/>
        </w:tblPrEx>
        <w:tc>
          <w:tcPr>
            <w:tcW w:w="1531" w:type="dxa"/>
            <w:vMerge/>
            <w:tcMar>
              <w:top w:w="57" w:type="dxa"/>
              <w:left w:w="113" w:type="dxa"/>
              <w:bottom w:w="57" w:type="dxa"/>
              <w:right w:w="113" w:type="dxa"/>
            </w:tcMar>
          </w:tcPr>
          <w:p w:rsidR="00222118" w:rsidRPr="00BA65F4" w:rsidP="00563A5A" w14:paraId="583B07D3" w14:textId="77777777">
            <w:pPr>
              <w:keepNext/>
              <w:jc w:val="center"/>
              <w:rPr>
                <w:iCs/>
                <w:lang w:eastAsia="en-US"/>
              </w:rPr>
            </w:pPr>
          </w:p>
        </w:tc>
        <w:tc>
          <w:tcPr>
            <w:tcW w:w="1531" w:type="dxa"/>
            <w:tcMar>
              <w:top w:w="57" w:type="dxa"/>
              <w:left w:w="113" w:type="dxa"/>
              <w:bottom w:w="57" w:type="dxa"/>
              <w:right w:w="113" w:type="dxa"/>
            </w:tcMar>
          </w:tcPr>
          <w:p w:rsidR="00222118" w:rsidRPr="00BA65F4" w:rsidP="00C0140B" w14:paraId="583B07D4" w14:textId="77777777">
            <w:pPr>
              <w:keepNext/>
              <w:jc w:val="center"/>
              <w:rPr>
                <w:iCs/>
                <w:lang w:eastAsia="en-US"/>
              </w:rPr>
            </w:pPr>
            <w:r w:rsidRPr="00BA65F4">
              <w:rPr>
                <w:iCs/>
                <w:lang w:eastAsia="en-US"/>
              </w:rPr>
              <w:t xml:space="preserve">saskaņā ar valsts budžetu </w:t>
            </w:r>
            <w:r>
              <w:rPr>
                <w:iCs/>
                <w:lang w:eastAsia="en-US"/>
              </w:rPr>
              <w:t>2017.</w:t>
            </w:r>
            <w:r w:rsidR="001617A8">
              <w:rPr>
                <w:iCs/>
                <w:lang w:eastAsia="en-US"/>
              </w:rPr>
              <w:t> </w:t>
            </w:r>
            <w:r w:rsidRPr="00BA65F4">
              <w:rPr>
                <w:iCs/>
                <w:lang w:eastAsia="en-US"/>
              </w:rPr>
              <w:t>gadam</w:t>
            </w:r>
          </w:p>
        </w:tc>
        <w:tc>
          <w:tcPr>
            <w:tcW w:w="1531" w:type="dxa"/>
            <w:tcMar>
              <w:top w:w="57" w:type="dxa"/>
              <w:left w:w="113" w:type="dxa"/>
              <w:bottom w:w="57" w:type="dxa"/>
              <w:right w:w="113" w:type="dxa"/>
            </w:tcMar>
          </w:tcPr>
          <w:p w:rsidR="00222118" w:rsidRPr="00BA65F4" w:rsidP="00C0140B" w14:paraId="583B07D5" w14:textId="77777777">
            <w:pPr>
              <w:keepNext/>
              <w:jc w:val="center"/>
              <w:rPr>
                <w:iCs/>
                <w:lang w:eastAsia="en-US"/>
              </w:rPr>
            </w:pPr>
            <w:r w:rsidRPr="00BA65F4">
              <w:rPr>
                <w:iCs/>
                <w:lang w:eastAsia="en-US"/>
              </w:rPr>
              <w:t xml:space="preserve">izmaiņas kārtējā gadā, salīdzinot ar valsts budžetu </w:t>
            </w:r>
            <w:r>
              <w:rPr>
                <w:iCs/>
                <w:lang w:eastAsia="en-US"/>
              </w:rPr>
              <w:t>2017.</w:t>
            </w:r>
            <w:r w:rsidR="001617A8">
              <w:rPr>
                <w:iCs/>
                <w:lang w:eastAsia="en-US"/>
              </w:rPr>
              <w:t> </w:t>
            </w:r>
            <w:r w:rsidRPr="00BA65F4">
              <w:rPr>
                <w:iCs/>
                <w:lang w:eastAsia="en-US"/>
              </w:rPr>
              <w:t>gadam</w:t>
            </w:r>
          </w:p>
        </w:tc>
        <w:tc>
          <w:tcPr>
            <w:tcW w:w="1531" w:type="dxa"/>
            <w:tcMar>
              <w:top w:w="57" w:type="dxa"/>
              <w:left w:w="113" w:type="dxa"/>
              <w:bottom w:w="57" w:type="dxa"/>
              <w:right w:w="113" w:type="dxa"/>
            </w:tcMar>
          </w:tcPr>
          <w:p w:rsidR="00222118" w:rsidRPr="00BA65F4" w:rsidP="00563A5A" w14:paraId="583B07D6" w14:textId="77777777">
            <w:pPr>
              <w:keepNext/>
              <w:jc w:val="center"/>
              <w:rPr>
                <w:iCs/>
                <w:lang w:eastAsia="en-US"/>
              </w:rPr>
            </w:pPr>
            <w:r w:rsidRPr="00BA65F4">
              <w:rPr>
                <w:iCs/>
                <w:lang w:eastAsia="en-US"/>
              </w:rPr>
              <w:t xml:space="preserve">izmaiņas, salīdzinot ar kārtējo </w:t>
            </w:r>
            <w:r>
              <w:rPr>
                <w:iCs/>
                <w:lang w:eastAsia="en-US"/>
              </w:rPr>
              <w:t>2017.</w:t>
            </w:r>
            <w:r w:rsidR="001617A8">
              <w:rPr>
                <w:iCs/>
                <w:lang w:eastAsia="en-US"/>
              </w:rPr>
              <w:t> </w:t>
            </w:r>
            <w:r w:rsidRPr="00BA65F4">
              <w:rPr>
                <w:iCs/>
                <w:lang w:eastAsia="en-US"/>
              </w:rPr>
              <w:t>gadu</w:t>
            </w:r>
          </w:p>
        </w:tc>
        <w:tc>
          <w:tcPr>
            <w:tcW w:w="1531" w:type="dxa"/>
            <w:tcMar>
              <w:top w:w="57" w:type="dxa"/>
              <w:left w:w="113" w:type="dxa"/>
              <w:bottom w:w="57" w:type="dxa"/>
              <w:right w:w="113" w:type="dxa"/>
            </w:tcMar>
          </w:tcPr>
          <w:p w:rsidR="00222118" w:rsidRPr="00BA65F4" w:rsidP="00563A5A" w14:paraId="583B07D7" w14:textId="77777777">
            <w:pPr>
              <w:keepNext/>
              <w:jc w:val="center"/>
              <w:rPr>
                <w:iCs/>
                <w:lang w:eastAsia="en-US"/>
              </w:rPr>
            </w:pPr>
            <w:r w:rsidRPr="00BA65F4">
              <w:rPr>
                <w:iCs/>
                <w:lang w:eastAsia="en-US"/>
              </w:rPr>
              <w:t xml:space="preserve">izmaiņas, salīdzinot ar kārtējo </w:t>
            </w:r>
            <w:r>
              <w:rPr>
                <w:iCs/>
                <w:lang w:eastAsia="en-US"/>
              </w:rPr>
              <w:t>2017.</w:t>
            </w:r>
            <w:r w:rsidR="001617A8">
              <w:rPr>
                <w:iCs/>
                <w:lang w:eastAsia="en-US"/>
              </w:rPr>
              <w:t> </w:t>
            </w:r>
            <w:r w:rsidRPr="00BA65F4">
              <w:rPr>
                <w:iCs/>
                <w:lang w:eastAsia="en-US"/>
              </w:rPr>
              <w:t>gadu</w:t>
            </w:r>
          </w:p>
        </w:tc>
        <w:tc>
          <w:tcPr>
            <w:tcW w:w="1531" w:type="dxa"/>
            <w:tcMar>
              <w:top w:w="57" w:type="dxa"/>
              <w:left w:w="113" w:type="dxa"/>
              <w:bottom w:w="57" w:type="dxa"/>
              <w:right w:w="113" w:type="dxa"/>
            </w:tcMar>
          </w:tcPr>
          <w:p w:rsidR="00222118" w:rsidRPr="00BA65F4" w:rsidP="00563A5A" w14:paraId="583B07D8" w14:textId="77777777">
            <w:pPr>
              <w:keepNext/>
              <w:jc w:val="center"/>
              <w:rPr>
                <w:iCs/>
                <w:lang w:eastAsia="en-US"/>
              </w:rPr>
            </w:pPr>
            <w:r w:rsidRPr="00BA65F4">
              <w:rPr>
                <w:iCs/>
                <w:lang w:eastAsia="en-US"/>
              </w:rPr>
              <w:t xml:space="preserve">izmaiņas, salīdzinot ar kārtējo </w:t>
            </w:r>
            <w:r>
              <w:rPr>
                <w:iCs/>
                <w:lang w:eastAsia="en-US"/>
              </w:rPr>
              <w:t>2017.</w:t>
            </w:r>
            <w:r w:rsidR="001617A8">
              <w:rPr>
                <w:iCs/>
                <w:lang w:eastAsia="en-US"/>
              </w:rPr>
              <w:t> </w:t>
            </w:r>
            <w:r w:rsidRPr="00BA65F4">
              <w:rPr>
                <w:iCs/>
                <w:lang w:eastAsia="en-US"/>
              </w:rPr>
              <w:t>gadu</w:t>
            </w:r>
          </w:p>
        </w:tc>
      </w:tr>
    </w:tbl>
    <w:p w:rsidR="002F23ED" w:rsidRPr="002F23ED" w14:paraId="583B07DA" w14:textId="77777777">
      <w:pPr>
        <w:rPr>
          <w:sz w:val="2"/>
          <w:szCs w:val="2"/>
        </w:rPr>
      </w:pPr>
    </w:p>
    <w:tbl>
      <w:tblPr>
        <w:tblStyle w:val="TableGrid"/>
        <w:tblW w:w="0" w:type="auto"/>
        <w:tblInd w:w="57" w:type="dxa"/>
        <w:tblLayout w:type="fixed"/>
        <w:tblLook w:val="04A0"/>
      </w:tblPr>
      <w:tblGrid>
        <w:gridCol w:w="1531"/>
        <w:gridCol w:w="1531"/>
        <w:gridCol w:w="1531"/>
        <w:gridCol w:w="1531"/>
        <w:gridCol w:w="1531"/>
        <w:gridCol w:w="1531"/>
      </w:tblGrid>
      <w:tr w14:paraId="583B07E1" w14:textId="39B0459D" w:rsidTr="009E11D6">
        <w:tblPrEx>
          <w:tblW w:w="0" w:type="auto"/>
          <w:tblInd w:w="57" w:type="dxa"/>
          <w:tblLayout w:type="fixed"/>
          <w:tblLook w:val="04A0"/>
        </w:tblPrEx>
        <w:trPr>
          <w:tblHeader/>
        </w:trPr>
        <w:tc>
          <w:tcPr>
            <w:tcW w:w="1531" w:type="dxa"/>
            <w:tcMar>
              <w:top w:w="57" w:type="dxa"/>
              <w:left w:w="113" w:type="dxa"/>
              <w:bottom w:w="57" w:type="dxa"/>
              <w:right w:w="113" w:type="dxa"/>
            </w:tcMar>
            <w:vAlign w:val="center"/>
          </w:tcPr>
          <w:p w:rsidR="00397AD8" w:rsidRPr="00C32084" w:rsidP="0052676F" w14:paraId="583B07DB" w14:textId="77777777">
            <w:pPr>
              <w:jc w:val="center"/>
              <w:rPr>
                <w:iCs/>
                <w:sz w:val="18"/>
                <w:szCs w:val="18"/>
                <w:lang w:eastAsia="en-US"/>
              </w:rPr>
            </w:pPr>
            <w:r w:rsidRPr="00C32084">
              <w:rPr>
                <w:iCs/>
                <w:sz w:val="18"/>
                <w:szCs w:val="18"/>
                <w:lang w:eastAsia="en-US"/>
              </w:rPr>
              <w:t>1</w:t>
            </w:r>
          </w:p>
        </w:tc>
        <w:tc>
          <w:tcPr>
            <w:tcW w:w="1531" w:type="dxa"/>
            <w:tcMar>
              <w:top w:w="57" w:type="dxa"/>
              <w:left w:w="113" w:type="dxa"/>
              <w:bottom w:w="57" w:type="dxa"/>
              <w:right w:w="113" w:type="dxa"/>
            </w:tcMar>
            <w:vAlign w:val="center"/>
          </w:tcPr>
          <w:p w:rsidR="00397AD8" w:rsidRPr="00C32084" w:rsidP="0052676F" w14:paraId="583B07DC" w14:textId="77777777">
            <w:pPr>
              <w:jc w:val="center"/>
              <w:rPr>
                <w:iCs/>
                <w:sz w:val="18"/>
                <w:szCs w:val="18"/>
                <w:lang w:eastAsia="en-US"/>
              </w:rPr>
            </w:pPr>
            <w:r w:rsidRPr="00C32084">
              <w:rPr>
                <w:iCs/>
                <w:sz w:val="18"/>
                <w:szCs w:val="18"/>
                <w:lang w:eastAsia="en-US"/>
              </w:rPr>
              <w:t>2</w:t>
            </w:r>
          </w:p>
        </w:tc>
        <w:tc>
          <w:tcPr>
            <w:tcW w:w="1531" w:type="dxa"/>
            <w:tcMar>
              <w:top w:w="57" w:type="dxa"/>
              <w:left w:w="113" w:type="dxa"/>
              <w:bottom w:w="57" w:type="dxa"/>
              <w:right w:w="113" w:type="dxa"/>
            </w:tcMar>
            <w:vAlign w:val="center"/>
          </w:tcPr>
          <w:p w:rsidR="00397AD8" w:rsidRPr="00C32084" w:rsidP="0052676F" w14:paraId="583B07DD" w14:textId="77777777">
            <w:pPr>
              <w:jc w:val="center"/>
              <w:rPr>
                <w:iCs/>
                <w:sz w:val="18"/>
                <w:szCs w:val="18"/>
                <w:lang w:eastAsia="en-US"/>
              </w:rPr>
            </w:pPr>
            <w:r w:rsidRPr="00C32084">
              <w:rPr>
                <w:iCs/>
                <w:sz w:val="18"/>
                <w:szCs w:val="18"/>
                <w:lang w:eastAsia="en-US"/>
              </w:rPr>
              <w:t>3</w:t>
            </w:r>
          </w:p>
        </w:tc>
        <w:tc>
          <w:tcPr>
            <w:tcW w:w="1531" w:type="dxa"/>
            <w:tcMar>
              <w:top w:w="57" w:type="dxa"/>
              <w:left w:w="113" w:type="dxa"/>
              <w:bottom w:w="57" w:type="dxa"/>
              <w:right w:w="113" w:type="dxa"/>
            </w:tcMar>
            <w:vAlign w:val="center"/>
          </w:tcPr>
          <w:p w:rsidR="00397AD8" w:rsidRPr="00C32084" w:rsidP="0052676F" w14:paraId="583B07DE" w14:textId="77777777">
            <w:pPr>
              <w:jc w:val="center"/>
              <w:rPr>
                <w:iCs/>
                <w:sz w:val="18"/>
                <w:szCs w:val="18"/>
                <w:lang w:eastAsia="en-US"/>
              </w:rPr>
            </w:pPr>
            <w:r w:rsidRPr="00C32084">
              <w:rPr>
                <w:iCs/>
                <w:sz w:val="18"/>
                <w:szCs w:val="18"/>
                <w:lang w:eastAsia="en-US"/>
              </w:rPr>
              <w:t>4</w:t>
            </w:r>
          </w:p>
        </w:tc>
        <w:tc>
          <w:tcPr>
            <w:tcW w:w="1531" w:type="dxa"/>
            <w:tcMar>
              <w:top w:w="57" w:type="dxa"/>
              <w:left w:w="113" w:type="dxa"/>
              <w:bottom w:w="57" w:type="dxa"/>
              <w:right w:w="113" w:type="dxa"/>
            </w:tcMar>
            <w:vAlign w:val="center"/>
          </w:tcPr>
          <w:p w:rsidR="00397AD8" w:rsidRPr="00C32084" w:rsidP="0052676F" w14:paraId="583B07DF" w14:textId="77777777">
            <w:pPr>
              <w:jc w:val="center"/>
              <w:rPr>
                <w:iCs/>
                <w:sz w:val="18"/>
                <w:szCs w:val="18"/>
                <w:lang w:eastAsia="en-US"/>
              </w:rPr>
            </w:pPr>
            <w:r w:rsidRPr="00C32084">
              <w:rPr>
                <w:iCs/>
                <w:sz w:val="18"/>
                <w:szCs w:val="18"/>
                <w:lang w:eastAsia="en-US"/>
              </w:rPr>
              <w:t>5</w:t>
            </w:r>
          </w:p>
        </w:tc>
        <w:tc>
          <w:tcPr>
            <w:tcW w:w="1531" w:type="dxa"/>
            <w:tcMar>
              <w:top w:w="57" w:type="dxa"/>
              <w:left w:w="113" w:type="dxa"/>
              <w:bottom w:w="57" w:type="dxa"/>
              <w:right w:w="113" w:type="dxa"/>
            </w:tcMar>
            <w:vAlign w:val="center"/>
          </w:tcPr>
          <w:p w:rsidR="00397AD8" w:rsidRPr="00C32084" w:rsidP="0052676F" w14:paraId="583B07E0" w14:textId="77777777">
            <w:pPr>
              <w:jc w:val="center"/>
              <w:rPr>
                <w:iCs/>
                <w:sz w:val="18"/>
                <w:szCs w:val="18"/>
                <w:lang w:eastAsia="en-US"/>
              </w:rPr>
            </w:pPr>
            <w:r w:rsidRPr="00C32084">
              <w:rPr>
                <w:iCs/>
                <w:sz w:val="18"/>
                <w:szCs w:val="18"/>
                <w:lang w:eastAsia="en-US"/>
              </w:rPr>
              <w:t>6</w:t>
            </w:r>
          </w:p>
        </w:tc>
      </w:tr>
      <w:tr w14:paraId="583B07E8" w14:textId="6A6DBA94" w:rsidTr="009E11D6">
        <w:tblPrEx>
          <w:tblW w:w="0" w:type="auto"/>
          <w:tblInd w:w="57" w:type="dxa"/>
          <w:tblLayout w:type="fixed"/>
          <w:tblLook w:val="04A0"/>
        </w:tblPrEx>
        <w:tc>
          <w:tcPr>
            <w:tcW w:w="1531" w:type="dxa"/>
            <w:tcMar>
              <w:top w:w="57" w:type="dxa"/>
              <w:left w:w="113" w:type="dxa"/>
              <w:bottom w:w="57" w:type="dxa"/>
              <w:right w:w="113" w:type="dxa"/>
            </w:tcMar>
          </w:tcPr>
          <w:p w:rsidR="00397AD8" w:rsidRPr="00BA65F4" w:rsidP="00F47F43" w14:paraId="583B07E2" w14:textId="0E9BC118">
            <w:pPr>
              <w:rPr>
                <w:iCs/>
                <w:lang w:eastAsia="en-US"/>
              </w:rPr>
            </w:pPr>
            <w:r>
              <w:rPr>
                <w:iCs/>
                <w:lang w:eastAsia="en-US"/>
              </w:rPr>
              <w:t>1. </w:t>
            </w:r>
            <w:r w:rsidRPr="00BA65F4" w:rsidR="002F23ED">
              <w:rPr>
                <w:iCs/>
                <w:lang w:eastAsia="en-US"/>
              </w:rPr>
              <w:t>Budžeta ieņēmumi:</w:t>
            </w:r>
          </w:p>
        </w:tc>
        <w:tc>
          <w:tcPr>
            <w:tcW w:w="1531" w:type="dxa"/>
            <w:tcMar>
              <w:top w:w="57" w:type="dxa"/>
              <w:left w:w="113" w:type="dxa"/>
              <w:bottom w:w="57" w:type="dxa"/>
              <w:right w:w="113" w:type="dxa"/>
            </w:tcMar>
          </w:tcPr>
          <w:p w:rsidR="00397AD8" w:rsidRPr="00BA65F4" w:rsidP="00EB4A98" w14:paraId="583B07E3"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397AD8" w:rsidRPr="00BA65F4" w:rsidP="00EB4A98" w14:paraId="583B07E4"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397AD8" w:rsidRPr="00BA65F4" w:rsidP="00EB4A98" w14:paraId="583B07E5"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397AD8" w:rsidRPr="00BA65F4" w:rsidP="00EB4A98" w14:paraId="583B07E6"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397AD8" w:rsidRPr="00BA65F4" w:rsidP="00EB4A98" w14:paraId="583B07E7" w14:textId="77777777">
            <w:pPr>
              <w:jc w:val="right"/>
              <w:rPr>
                <w:iCs/>
                <w:lang w:eastAsia="en-US"/>
              </w:rPr>
            </w:pPr>
            <w:r w:rsidRPr="00BA65F4">
              <w:rPr>
                <w:iCs/>
                <w:lang w:eastAsia="en-US"/>
              </w:rPr>
              <w:t>0</w:t>
            </w:r>
          </w:p>
        </w:tc>
      </w:tr>
      <w:tr w14:paraId="583B07EF" w14:textId="371189C8" w:rsidTr="009E11D6">
        <w:tblPrEx>
          <w:tblW w:w="0" w:type="auto"/>
          <w:tblInd w:w="57" w:type="dxa"/>
          <w:tblLayout w:type="fixed"/>
          <w:tblLook w:val="04A0"/>
        </w:tblPrEx>
        <w:tc>
          <w:tcPr>
            <w:tcW w:w="1531" w:type="dxa"/>
            <w:tcMar>
              <w:top w:w="57" w:type="dxa"/>
              <w:left w:w="113" w:type="dxa"/>
              <w:bottom w:w="57" w:type="dxa"/>
              <w:right w:w="113" w:type="dxa"/>
            </w:tcMar>
          </w:tcPr>
          <w:p w:rsidR="002F23ED" w:rsidRPr="00BA65F4" w:rsidP="00F47F43" w14:paraId="583B07E9" w14:textId="36DF9699">
            <w:pPr>
              <w:rPr>
                <w:iCs/>
                <w:lang w:eastAsia="en-US"/>
              </w:rPr>
            </w:pPr>
            <w:r>
              <w:rPr>
                <w:iCs/>
                <w:lang w:eastAsia="en-US"/>
              </w:rPr>
              <w:t>2. </w:t>
            </w:r>
            <w:r w:rsidRPr="00BA65F4">
              <w:rPr>
                <w:iCs/>
                <w:lang w:eastAsia="en-US"/>
              </w:rPr>
              <w:t>Budžeta izdevumi:</w:t>
            </w:r>
          </w:p>
        </w:tc>
        <w:tc>
          <w:tcPr>
            <w:tcW w:w="1531" w:type="dxa"/>
            <w:tcMar>
              <w:top w:w="57" w:type="dxa"/>
              <w:left w:w="113" w:type="dxa"/>
              <w:bottom w:w="57" w:type="dxa"/>
              <w:right w:w="113" w:type="dxa"/>
            </w:tcMar>
          </w:tcPr>
          <w:p w:rsidR="002F23ED" w:rsidRPr="00BA65F4" w:rsidP="00EB4A98" w14:paraId="583B07EA"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EB"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EC"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ED"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EE" w14:textId="77777777">
            <w:pPr>
              <w:jc w:val="right"/>
              <w:rPr>
                <w:iCs/>
                <w:lang w:eastAsia="en-US"/>
              </w:rPr>
            </w:pPr>
            <w:r w:rsidRPr="00BA65F4">
              <w:rPr>
                <w:iCs/>
                <w:lang w:eastAsia="en-US"/>
              </w:rPr>
              <w:t>0</w:t>
            </w:r>
          </w:p>
        </w:tc>
      </w:tr>
      <w:tr w14:paraId="583B07F6" w14:textId="56C201CB" w:rsidTr="00E36C3D">
        <w:tblPrEx>
          <w:tblW w:w="0" w:type="auto"/>
          <w:tblInd w:w="57" w:type="dxa"/>
          <w:tblLayout w:type="fixed"/>
          <w:tblLook w:val="04A0"/>
        </w:tblPrEx>
        <w:trPr>
          <w:cantSplit/>
        </w:trPr>
        <w:tc>
          <w:tcPr>
            <w:tcW w:w="1531" w:type="dxa"/>
            <w:tcMar>
              <w:top w:w="57" w:type="dxa"/>
              <w:left w:w="113" w:type="dxa"/>
              <w:bottom w:w="57" w:type="dxa"/>
              <w:right w:w="113" w:type="dxa"/>
            </w:tcMar>
          </w:tcPr>
          <w:p w:rsidR="002F23ED" w:rsidRPr="00BA65F4" w:rsidP="00F47F43" w14:paraId="583B07F0" w14:textId="6BCBB0BF">
            <w:pPr>
              <w:rPr>
                <w:iCs/>
                <w:lang w:eastAsia="en-US"/>
              </w:rPr>
            </w:pPr>
            <w:r>
              <w:rPr>
                <w:iCs/>
                <w:lang w:eastAsia="en-US"/>
              </w:rPr>
              <w:t>3. </w:t>
            </w:r>
            <w:r w:rsidRPr="00BA65F4">
              <w:rPr>
                <w:iCs/>
                <w:lang w:eastAsia="en-US"/>
              </w:rPr>
              <w:t>Finansiālā ietekme:</w:t>
            </w:r>
          </w:p>
        </w:tc>
        <w:tc>
          <w:tcPr>
            <w:tcW w:w="1531" w:type="dxa"/>
            <w:tcMar>
              <w:top w:w="57" w:type="dxa"/>
              <w:left w:w="113" w:type="dxa"/>
              <w:bottom w:w="57" w:type="dxa"/>
              <w:right w:w="113" w:type="dxa"/>
            </w:tcMar>
          </w:tcPr>
          <w:p w:rsidR="002F23ED" w:rsidRPr="00BA65F4" w:rsidP="00EB4A98" w14:paraId="583B07F1"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2"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3"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4"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5" w14:textId="77777777">
            <w:pPr>
              <w:jc w:val="right"/>
              <w:rPr>
                <w:iCs/>
                <w:lang w:eastAsia="en-US"/>
              </w:rPr>
            </w:pPr>
            <w:r w:rsidRPr="00BA65F4">
              <w:rPr>
                <w:iCs/>
                <w:lang w:eastAsia="en-US"/>
              </w:rPr>
              <w:t>0</w:t>
            </w:r>
          </w:p>
        </w:tc>
      </w:tr>
      <w:tr w14:paraId="583B07FD" w14:textId="407FF3F7" w:rsidTr="009E11D6">
        <w:tblPrEx>
          <w:tblW w:w="0" w:type="auto"/>
          <w:tblInd w:w="57" w:type="dxa"/>
          <w:tblLayout w:type="fixed"/>
          <w:tblLook w:val="04A0"/>
        </w:tblPrEx>
        <w:tc>
          <w:tcPr>
            <w:tcW w:w="1531" w:type="dxa"/>
            <w:tcMar>
              <w:top w:w="57" w:type="dxa"/>
              <w:left w:w="113" w:type="dxa"/>
              <w:bottom w:w="57" w:type="dxa"/>
              <w:right w:w="85" w:type="dxa"/>
            </w:tcMar>
          </w:tcPr>
          <w:p w:rsidR="002F23ED" w:rsidRPr="00BA65F4" w:rsidP="008E4151" w14:paraId="583B07F7" w14:textId="07BF1E34">
            <w:pPr>
              <w:rPr>
                <w:iCs/>
                <w:lang w:eastAsia="en-US"/>
              </w:rPr>
            </w:pPr>
            <w:r>
              <w:rPr>
                <w:iCs/>
                <w:lang w:eastAsia="en-US"/>
              </w:rPr>
              <w:t>4. </w:t>
            </w:r>
            <w:r w:rsidRPr="00BA65F4">
              <w:rPr>
                <w:iCs/>
                <w:lang w:eastAsia="en-US"/>
              </w:rPr>
              <w:t>Finanšu līdzekļi papildu izdevumu</w:t>
            </w:r>
            <w:r w:rsidR="008E4151">
              <w:rPr>
                <w:iCs/>
                <w:lang w:eastAsia="en-US"/>
              </w:rPr>
              <w:t xml:space="preserve"> </w:t>
            </w:r>
            <w:r w:rsidRPr="00BA65F4">
              <w:rPr>
                <w:iCs/>
                <w:lang w:eastAsia="en-US"/>
              </w:rPr>
              <w:t>finansēšanai (kompensējošu izdevumu</w:t>
            </w:r>
            <w:r w:rsidR="008E4151">
              <w:rPr>
                <w:iCs/>
                <w:lang w:eastAsia="en-US"/>
              </w:rPr>
              <w:t xml:space="preserve"> </w:t>
            </w:r>
            <w:r w:rsidRPr="00BA65F4">
              <w:rPr>
                <w:iCs/>
                <w:lang w:eastAsia="en-US"/>
              </w:rPr>
              <w:t>samazinājumu norāda ar "+" zīmi)</w:t>
            </w:r>
          </w:p>
        </w:tc>
        <w:tc>
          <w:tcPr>
            <w:tcW w:w="1531" w:type="dxa"/>
            <w:tcMar>
              <w:top w:w="57" w:type="dxa"/>
              <w:left w:w="113" w:type="dxa"/>
              <w:bottom w:w="57" w:type="dxa"/>
              <w:right w:w="113" w:type="dxa"/>
            </w:tcMar>
          </w:tcPr>
          <w:p w:rsidR="002F23ED" w:rsidRPr="00BA65F4" w:rsidP="00EB4A98" w14:paraId="583B07F8" w14:textId="77777777">
            <w:pPr>
              <w:ind w:left="720" w:hanging="720"/>
              <w:jc w:val="center"/>
              <w:rPr>
                <w:iCs/>
                <w:lang w:eastAsia="en-US"/>
              </w:rPr>
            </w:pPr>
            <w:r w:rsidRPr="00BA65F4">
              <w:rPr>
                <w:iCs/>
                <w:lang w:eastAsia="en-US"/>
              </w:rPr>
              <w:t>X</w:t>
            </w:r>
          </w:p>
        </w:tc>
        <w:tc>
          <w:tcPr>
            <w:tcW w:w="1531" w:type="dxa"/>
            <w:tcMar>
              <w:top w:w="57" w:type="dxa"/>
              <w:left w:w="113" w:type="dxa"/>
              <w:bottom w:w="57" w:type="dxa"/>
              <w:right w:w="113" w:type="dxa"/>
            </w:tcMar>
          </w:tcPr>
          <w:p w:rsidR="002F23ED" w:rsidRPr="00BA65F4" w:rsidP="00EB4A98" w14:paraId="583B07F9"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A"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B"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7FC" w14:textId="77777777">
            <w:pPr>
              <w:jc w:val="right"/>
              <w:rPr>
                <w:iCs/>
                <w:lang w:eastAsia="en-US"/>
              </w:rPr>
            </w:pPr>
            <w:r w:rsidRPr="00BA65F4">
              <w:rPr>
                <w:iCs/>
                <w:lang w:eastAsia="en-US"/>
              </w:rPr>
              <w:t>0</w:t>
            </w:r>
          </w:p>
        </w:tc>
      </w:tr>
      <w:tr w14:paraId="583B0804" w14:textId="352A6D60" w:rsidTr="009E11D6">
        <w:tblPrEx>
          <w:tblW w:w="0" w:type="auto"/>
          <w:tblInd w:w="57" w:type="dxa"/>
          <w:tblLayout w:type="fixed"/>
          <w:tblLook w:val="04A0"/>
        </w:tblPrEx>
        <w:tc>
          <w:tcPr>
            <w:tcW w:w="1531" w:type="dxa"/>
            <w:tcMar>
              <w:top w:w="57" w:type="dxa"/>
              <w:left w:w="113" w:type="dxa"/>
              <w:bottom w:w="57" w:type="dxa"/>
              <w:right w:w="113" w:type="dxa"/>
            </w:tcMar>
          </w:tcPr>
          <w:p w:rsidR="002F23ED" w:rsidRPr="00BA65F4" w:rsidP="002F23ED" w14:paraId="583B07FE" w14:textId="37B2D0EB">
            <w:pPr>
              <w:rPr>
                <w:iCs/>
                <w:lang w:eastAsia="en-US"/>
              </w:rPr>
            </w:pPr>
            <w:r>
              <w:rPr>
                <w:iCs/>
                <w:lang w:eastAsia="en-US"/>
              </w:rPr>
              <w:t>5. </w:t>
            </w:r>
            <w:r w:rsidRPr="00BA65F4">
              <w:rPr>
                <w:iCs/>
                <w:lang w:eastAsia="en-US"/>
              </w:rPr>
              <w:t>Precizēta finansiālā ietekme:</w:t>
            </w:r>
          </w:p>
        </w:tc>
        <w:tc>
          <w:tcPr>
            <w:tcW w:w="1531" w:type="dxa"/>
            <w:tcMar>
              <w:top w:w="57" w:type="dxa"/>
              <w:left w:w="113" w:type="dxa"/>
              <w:bottom w:w="57" w:type="dxa"/>
              <w:right w:w="113" w:type="dxa"/>
            </w:tcMar>
          </w:tcPr>
          <w:p w:rsidR="002F23ED" w:rsidRPr="00BA65F4" w:rsidP="00EB4A98" w14:paraId="583B07FF" w14:textId="77777777">
            <w:pPr>
              <w:ind w:left="720" w:hanging="720"/>
              <w:jc w:val="center"/>
              <w:rPr>
                <w:iCs/>
                <w:lang w:eastAsia="en-US"/>
              </w:rPr>
            </w:pPr>
            <w:r w:rsidRPr="00BA65F4">
              <w:rPr>
                <w:iCs/>
                <w:lang w:eastAsia="en-US"/>
              </w:rPr>
              <w:t>X</w:t>
            </w:r>
          </w:p>
        </w:tc>
        <w:tc>
          <w:tcPr>
            <w:tcW w:w="1531" w:type="dxa"/>
            <w:tcMar>
              <w:top w:w="57" w:type="dxa"/>
              <w:left w:w="113" w:type="dxa"/>
              <w:bottom w:w="57" w:type="dxa"/>
              <w:right w:w="113" w:type="dxa"/>
            </w:tcMar>
          </w:tcPr>
          <w:p w:rsidR="002F23ED" w:rsidRPr="00BA65F4" w:rsidP="00EB4A98" w14:paraId="583B0800"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801"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802" w14:textId="77777777">
            <w:pPr>
              <w:jc w:val="right"/>
              <w:rPr>
                <w:iCs/>
                <w:lang w:eastAsia="en-US"/>
              </w:rPr>
            </w:pPr>
            <w:r w:rsidRPr="00BA65F4">
              <w:rPr>
                <w:iCs/>
                <w:lang w:eastAsia="en-US"/>
              </w:rPr>
              <w:t>0</w:t>
            </w:r>
          </w:p>
        </w:tc>
        <w:tc>
          <w:tcPr>
            <w:tcW w:w="1531" w:type="dxa"/>
            <w:tcMar>
              <w:top w:w="57" w:type="dxa"/>
              <w:left w:w="113" w:type="dxa"/>
              <w:bottom w:w="57" w:type="dxa"/>
              <w:right w:w="113" w:type="dxa"/>
            </w:tcMar>
          </w:tcPr>
          <w:p w:rsidR="002F23ED" w:rsidRPr="00BA65F4" w:rsidP="00EB4A98" w14:paraId="583B0803" w14:textId="77777777">
            <w:pPr>
              <w:jc w:val="right"/>
              <w:rPr>
                <w:iCs/>
                <w:lang w:eastAsia="en-US"/>
              </w:rPr>
            </w:pPr>
            <w:r w:rsidRPr="00BA65F4">
              <w:rPr>
                <w:iCs/>
                <w:lang w:eastAsia="en-US"/>
              </w:rPr>
              <w:t>0</w:t>
            </w:r>
          </w:p>
        </w:tc>
      </w:tr>
      <w:tr w14:paraId="583B0807" w14:textId="00D18D3C" w:rsidTr="009E11D6">
        <w:tblPrEx>
          <w:tblW w:w="0" w:type="auto"/>
          <w:tblInd w:w="57" w:type="dxa"/>
          <w:tblLayout w:type="fixed"/>
          <w:tblLook w:val="04A0"/>
        </w:tblPrEx>
        <w:tc>
          <w:tcPr>
            <w:tcW w:w="1531" w:type="dxa"/>
            <w:tcMar>
              <w:top w:w="57" w:type="dxa"/>
              <w:left w:w="113" w:type="dxa"/>
              <w:bottom w:w="57" w:type="dxa"/>
              <w:right w:w="113" w:type="dxa"/>
            </w:tcMar>
          </w:tcPr>
          <w:p w:rsidR="002F23ED" w:rsidRPr="00BA65F4" w:rsidP="002F23ED" w14:paraId="583B0805" w14:textId="0223F358">
            <w:pPr>
              <w:rPr>
                <w:iCs/>
                <w:lang w:eastAsia="en-US"/>
              </w:rPr>
            </w:pPr>
            <w:r>
              <w:rPr>
                <w:iCs/>
                <w:lang w:eastAsia="en-US"/>
              </w:rPr>
              <w:t>6. </w:t>
            </w:r>
            <w:r w:rsidRPr="00BA65F4">
              <w:rPr>
                <w:iCs/>
                <w:lang w:eastAsia="en-US"/>
              </w:rPr>
              <w:t>Detalizēts ieņēmumu un izdevumu aprēķins (ja nepieciešams, detalizētu ieņēmumu un izdevumu aprēķinu var pievienot anotācijas pielikumā):</w:t>
            </w:r>
          </w:p>
        </w:tc>
        <w:tc>
          <w:tcPr>
            <w:tcW w:w="7655" w:type="dxa"/>
            <w:gridSpan w:val="5"/>
            <w:tcMar>
              <w:top w:w="57" w:type="dxa"/>
              <w:left w:w="113" w:type="dxa"/>
              <w:bottom w:w="57" w:type="dxa"/>
              <w:right w:w="113" w:type="dxa"/>
            </w:tcMar>
          </w:tcPr>
          <w:p w:rsidR="002F23ED" w:rsidRPr="00BA65F4" w:rsidP="00F47F43" w14:paraId="583B0806" w14:textId="77777777">
            <w:pPr>
              <w:rPr>
                <w:iCs/>
                <w:lang w:eastAsia="en-US"/>
              </w:rPr>
            </w:pPr>
            <w:r w:rsidRPr="00BA65F4">
              <w:rPr>
                <w:iCs/>
                <w:lang w:eastAsia="en-US"/>
              </w:rPr>
              <w:t>Nav</w:t>
            </w:r>
          </w:p>
        </w:tc>
      </w:tr>
      <w:tr w14:paraId="583B080F" w14:textId="4F7F441B" w:rsidTr="009E11D6">
        <w:tblPrEx>
          <w:tblW w:w="0" w:type="auto"/>
          <w:tblInd w:w="57" w:type="dxa"/>
          <w:tblLayout w:type="fixed"/>
          <w:tblLook w:val="04A0"/>
        </w:tblPrEx>
        <w:tc>
          <w:tcPr>
            <w:tcW w:w="1531" w:type="dxa"/>
            <w:tcMar>
              <w:top w:w="57" w:type="dxa"/>
              <w:left w:w="113" w:type="dxa"/>
              <w:bottom w:w="57" w:type="dxa"/>
              <w:right w:w="113" w:type="dxa"/>
            </w:tcMar>
          </w:tcPr>
          <w:p w:rsidR="004D36DA" w:rsidRPr="00BA65F4" w:rsidP="002F23ED" w14:paraId="583B0808" w14:textId="60648CAF">
            <w:pPr>
              <w:rPr>
                <w:iCs/>
                <w:lang w:eastAsia="en-US"/>
              </w:rPr>
            </w:pPr>
            <w:r>
              <w:rPr>
                <w:iCs/>
                <w:lang w:eastAsia="en-US"/>
              </w:rPr>
              <w:t>7. </w:t>
            </w:r>
            <w:r w:rsidRPr="00BA65F4">
              <w:rPr>
                <w:iCs/>
                <w:lang w:eastAsia="en-US"/>
              </w:rPr>
              <w:t>Cita informācija</w:t>
            </w:r>
          </w:p>
        </w:tc>
        <w:tc>
          <w:tcPr>
            <w:tcW w:w="7655" w:type="dxa"/>
            <w:gridSpan w:val="5"/>
            <w:tcMar>
              <w:top w:w="57" w:type="dxa"/>
              <w:left w:w="113" w:type="dxa"/>
              <w:bottom w:w="57" w:type="dxa"/>
              <w:right w:w="113" w:type="dxa"/>
            </w:tcMar>
          </w:tcPr>
          <w:p w:rsidR="004809D4" w:rsidP="005D398C" w14:paraId="583B0809" w14:textId="77777777">
            <w:pPr>
              <w:ind w:firstLine="233"/>
              <w:jc w:val="both"/>
              <w:rPr>
                <w:iCs/>
                <w:lang w:eastAsia="en-US"/>
              </w:rPr>
            </w:pPr>
            <w:r>
              <w:rPr>
                <w:iCs/>
                <w:lang w:eastAsia="en-US"/>
              </w:rPr>
              <w:t>Likumprojektā ietvert</w:t>
            </w:r>
            <w:r w:rsidR="006113D9">
              <w:rPr>
                <w:iCs/>
                <w:lang w:eastAsia="en-US"/>
              </w:rPr>
              <w:t xml:space="preserve">ais regulējums </w:t>
            </w:r>
            <w:r>
              <w:rPr>
                <w:iCs/>
                <w:lang w:eastAsia="en-US"/>
              </w:rPr>
              <w:t>nerada ietekmi uz budžetu.</w:t>
            </w:r>
          </w:p>
          <w:p w:rsidR="00B7233D" w:rsidP="00DC5DEB" w14:paraId="583B080A" w14:textId="77777777">
            <w:pPr>
              <w:ind w:firstLine="233"/>
              <w:jc w:val="both"/>
              <w:rPr>
                <w:iCs/>
                <w:lang w:eastAsia="en-US"/>
              </w:rPr>
            </w:pPr>
            <w:r>
              <w:rPr>
                <w:iCs/>
                <w:lang w:eastAsia="en-US"/>
              </w:rPr>
              <w:t>Turklāt likumprojekts nosaka</w:t>
            </w:r>
            <w:r>
              <w:rPr>
                <w:iCs/>
                <w:lang w:eastAsia="en-US"/>
              </w:rPr>
              <w:t>, j</w:t>
            </w:r>
            <w:r w:rsidRPr="00B7233D">
              <w:rPr>
                <w:iCs/>
                <w:lang w:eastAsia="en-US"/>
              </w:rPr>
              <w:t xml:space="preserve">a </w:t>
            </w:r>
            <w:r>
              <w:rPr>
                <w:iCs/>
                <w:lang w:eastAsia="en-US"/>
              </w:rPr>
              <w:t xml:space="preserve">IKT </w:t>
            </w:r>
            <w:r w:rsidRPr="00B7233D">
              <w:rPr>
                <w:iCs/>
                <w:lang w:eastAsia="en-US"/>
              </w:rPr>
              <w:t xml:space="preserve">pārvaldība, kuru īsteno kāda institūcija, būtiski ietekmē </w:t>
            </w:r>
            <w:r>
              <w:rPr>
                <w:iCs/>
                <w:lang w:eastAsia="en-US"/>
              </w:rPr>
              <w:t xml:space="preserve">IKT </w:t>
            </w:r>
            <w:r w:rsidRPr="00B7233D">
              <w:rPr>
                <w:iCs/>
                <w:lang w:eastAsia="en-US"/>
              </w:rPr>
              <w:t>pārvaldību citā institūcijā, attiecīgās institūcijas savstarpēji saskaņo budžeta pieprasījumus par tām nepieciešamo finanšu līdzekļu piešķiršanu vai nodrošina tām piešķirto finanšu līdzekļu savstarpējo pārdalīšanu</w:t>
            </w:r>
            <w:r w:rsidR="004059F6">
              <w:rPr>
                <w:iCs/>
                <w:lang w:eastAsia="en-US"/>
              </w:rPr>
              <w:t>.</w:t>
            </w:r>
            <w:r w:rsidR="00717489">
              <w:rPr>
                <w:iCs/>
                <w:lang w:eastAsia="en-US"/>
              </w:rPr>
              <w:t xml:space="preserve"> </w:t>
            </w:r>
            <w:r>
              <w:rPr>
                <w:iCs/>
                <w:lang w:eastAsia="en-US"/>
              </w:rPr>
              <w:t>Savukārt</w:t>
            </w:r>
            <w:r w:rsidR="00DC5DEB">
              <w:rPr>
                <w:iCs/>
                <w:lang w:eastAsia="en-US"/>
              </w:rPr>
              <w:t xml:space="preserve"> tādu finansēšanas modeli, kas nodrošina IKT izmantošanu un ar to saistīto sadarbību starp </w:t>
            </w:r>
            <w:r w:rsidRPr="00141504" w:rsidR="00DC5DEB">
              <w:rPr>
                <w:iCs/>
                <w:lang w:eastAsia="en-US"/>
              </w:rPr>
              <w:t xml:space="preserve">institūcijām, </w:t>
            </w:r>
            <w:r w:rsidRPr="001B1E3C" w:rsidR="00DC5DEB">
              <w:rPr>
                <w:iCs/>
                <w:lang w:eastAsia="en-US"/>
              </w:rPr>
              <w:t>neradot papildu ietekmi uz valsts budžetu</w:t>
            </w:r>
            <w:r w:rsidR="00DC5DEB">
              <w:rPr>
                <w:iCs/>
                <w:lang w:eastAsia="en-US"/>
              </w:rPr>
              <w:t xml:space="preserve">, ir </w:t>
            </w:r>
            <w:r>
              <w:rPr>
                <w:iCs/>
                <w:lang w:eastAsia="en-US"/>
              </w:rPr>
              <w:t xml:space="preserve">paredzēts </w:t>
            </w:r>
            <w:r w:rsidR="001B1E3C">
              <w:rPr>
                <w:iCs/>
                <w:lang w:eastAsia="en-US"/>
              </w:rPr>
              <w:t xml:space="preserve">izstrādāt </w:t>
            </w:r>
            <w:r w:rsidR="00A81CEA">
              <w:rPr>
                <w:iCs/>
                <w:lang w:eastAsia="en-US"/>
              </w:rPr>
              <w:t>un iekļaut MK noteikumos</w:t>
            </w:r>
            <w:r w:rsidR="00477C34">
              <w:rPr>
                <w:iCs/>
                <w:lang w:eastAsia="en-US"/>
              </w:rPr>
              <w:t xml:space="preserve"> par IKT</w:t>
            </w:r>
            <w:r w:rsidRPr="00477C34" w:rsidR="00477C34">
              <w:rPr>
                <w:iCs/>
                <w:lang w:eastAsia="en-US"/>
              </w:rPr>
              <w:t xml:space="preserve"> pārvaldības finansēšanu</w:t>
            </w:r>
            <w:r w:rsidR="00DC5DEB">
              <w:rPr>
                <w:iCs/>
                <w:lang w:eastAsia="en-US"/>
              </w:rPr>
              <w:t xml:space="preserve">, kuri </w:t>
            </w:r>
            <w:r w:rsidRPr="00DC5DEB" w:rsidR="00DC5DEB">
              <w:rPr>
                <w:iCs/>
                <w:lang w:eastAsia="en-US"/>
              </w:rPr>
              <w:t>tiks izdoti saskaņā ar li</w:t>
            </w:r>
            <w:r w:rsidR="00DC5DEB">
              <w:rPr>
                <w:iCs/>
                <w:lang w:eastAsia="en-US"/>
              </w:rPr>
              <w:t>kumprojektā ietverto deleģējumu</w:t>
            </w:r>
            <w:r>
              <w:rPr>
                <w:rStyle w:val="FootnoteReference"/>
                <w:iCs/>
                <w:lang w:eastAsia="en-US"/>
              </w:rPr>
              <w:footnoteReference w:id="13"/>
            </w:r>
            <w:r w:rsidR="00DC5DEB">
              <w:rPr>
                <w:iCs/>
                <w:lang w:eastAsia="en-US"/>
              </w:rPr>
              <w:t>.</w:t>
            </w:r>
          </w:p>
          <w:p w:rsidR="004809D4" w:rsidP="00FA34E4" w14:paraId="583B080B" w14:textId="77777777">
            <w:pPr>
              <w:ind w:firstLine="233"/>
              <w:jc w:val="both"/>
              <w:rPr>
                <w:iCs/>
              </w:rPr>
            </w:pPr>
            <w:r>
              <w:rPr>
                <w:iCs/>
              </w:rPr>
              <w:t xml:space="preserve">Lai </w:t>
            </w:r>
            <w:r w:rsidR="001A3EAA">
              <w:rPr>
                <w:iCs/>
              </w:rPr>
              <w:t xml:space="preserve">koordinētu </w:t>
            </w:r>
            <w:r w:rsidR="00717489">
              <w:rPr>
                <w:iCs/>
              </w:rPr>
              <w:t>institūciju darbīb</w:t>
            </w:r>
            <w:r w:rsidR="001A3EAA">
              <w:rPr>
                <w:iCs/>
              </w:rPr>
              <w:t>u IKT pārvaldības jomā un pārraudzītu ar IKT izmantošanu saistīto</w:t>
            </w:r>
            <w:r w:rsidR="00717489">
              <w:rPr>
                <w:iCs/>
              </w:rPr>
              <w:t xml:space="preserve"> situācij</w:t>
            </w:r>
            <w:r w:rsidR="001A3EAA">
              <w:rPr>
                <w:iCs/>
              </w:rPr>
              <w:t xml:space="preserve">u </w:t>
            </w:r>
            <w:r w:rsidR="00717489">
              <w:rPr>
                <w:iCs/>
              </w:rPr>
              <w:t>valsts pārvaldē</w:t>
            </w:r>
            <w:r w:rsidR="00766668">
              <w:rPr>
                <w:iCs/>
              </w:rPr>
              <w:t xml:space="preserve">, </w:t>
            </w:r>
            <w:r w:rsidRPr="00766668" w:rsidR="00766668">
              <w:rPr>
                <w:iCs/>
              </w:rPr>
              <w:t>nodrošin</w:t>
            </w:r>
            <w:r w:rsidR="00717489">
              <w:rPr>
                <w:iCs/>
              </w:rPr>
              <w:t>ot</w:t>
            </w:r>
            <w:r w:rsidRPr="00766668" w:rsidR="00766668">
              <w:rPr>
                <w:iCs/>
              </w:rPr>
              <w:t xml:space="preserve"> </w:t>
            </w:r>
            <w:r w:rsidR="00766668">
              <w:rPr>
                <w:iCs/>
              </w:rPr>
              <w:t xml:space="preserve">IKT </w:t>
            </w:r>
            <w:r w:rsidRPr="00766668" w:rsidR="00766668">
              <w:rPr>
                <w:iCs/>
              </w:rPr>
              <w:t>pārvaldības kvalitāti un efektivitāti</w:t>
            </w:r>
            <w:r w:rsidR="00766668">
              <w:rPr>
                <w:iCs/>
              </w:rPr>
              <w:t xml:space="preserve">, VARAM </w:t>
            </w:r>
            <w:r w:rsidR="00E7349A">
              <w:rPr>
                <w:iCs/>
              </w:rPr>
              <w:t xml:space="preserve">ir </w:t>
            </w:r>
            <w:r w:rsidR="00663727">
              <w:rPr>
                <w:iCs/>
              </w:rPr>
              <w:t>nepi</w:t>
            </w:r>
            <w:r>
              <w:rPr>
                <w:iCs/>
              </w:rPr>
              <w:t>eciešams tāds</w:t>
            </w:r>
            <w:r w:rsidR="00C62F29">
              <w:rPr>
                <w:iCs/>
              </w:rPr>
              <w:t xml:space="preserve"> cilvēkresurs</w:t>
            </w:r>
            <w:r>
              <w:rPr>
                <w:iCs/>
              </w:rPr>
              <w:t>u</w:t>
            </w:r>
            <w:r w:rsidR="002F324B">
              <w:rPr>
                <w:iCs/>
              </w:rPr>
              <w:t xml:space="preserve"> un </w:t>
            </w:r>
            <w:r w:rsidR="00663727">
              <w:rPr>
                <w:iCs/>
              </w:rPr>
              <w:t xml:space="preserve">to </w:t>
            </w:r>
            <w:r w:rsidR="002F324B">
              <w:rPr>
                <w:iCs/>
              </w:rPr>
              <w:t>darba apjoms, kas</w:t>
            </w:r>
            <w:r w:rsidR="001A3EAA">
              <w:rPr>
                <w:iCs/>
              </w:rPr>
              <w:t xml:space="preserve"> </w:t>
            </w:r>
            <w:r w:rsidR="002F324B">
              <w:rPr>
                <w:iCs/>
              </w:rPr>
              <w:t xml:space="preserve">līdzvērtīgs </w:t>
            </w:r>
            <w:r w:rsidR="00C85302">
              <w:rPr>
                <w:iCs/>
              </w:rPr>
              <w:t>projekta</w:t>
            </w:r>
            <w:r w:rsidR="00512490">
              <w:rPr>
                <w:iCs/>
              </w:rPr>
              <w:t xml:space="preserve"> </w:t>
            </w:r>
            <w:r w:rsidRPr="00C85302" w:rsidR="00C85302">
              <w:rPr>
                <w:iCs/>
              </w:rPr>
              <w:t>“Publiskās pārvald</w:t>
            </w:r>
            <w:bookmarkStart w:id="0" w:name="_GoBack"/>
            <w:bookmarkEnd w:id="0"/>
            <w:r w:rsidRPr="00C85302" w:rsidR="00C85302">
              <w:rPr>
                <w:iCs/>
              </w:rPr>
              <w:t>es informācijas un komunikāciju tehnoloģiju arhitektūras pārvaldības sistēma (PIKTAPS)”</w:t>
            </w:r>
            <w:r>
              <w:rPr>
                <w:rStyle w:val="FootnoteReference"/>
                <w:iCs/>
              </w:rPr>
              <w:footnoteReference w:id="14"/>
            </w:r>
            <w:r w:rsidRPr="00C85302" w:rsidR="00C85302">
              <w:rPr>
                <w:iCs/>
              </w:rPr>
              <w:t xml:space="preserve"> </w:t>
            </w:r>
            <w:r w:rsidR="002F324B">
              <w:rPr>
                <w:iCs/>
              </w:rPr>
              <w:t>īstenošanai</w:t>
            </w:r>
            <w:r w:rsidR="00364999">
              <w:rPr>
                <w:iCs/>
              </w:rPr>
              <w:t xml:space="preserve"> paredzētajam apjomam.</w:t>
            </w:r>
          </w:p>
          <w:p w:rsidR="00585700" w:rsidP="00FA34E4" w14:paraId="583B080C" w14:textId="77777777">
            <w:pPr>
              <w:ind w:firstLine="233"/>
              <w:jc w:val="both"/>
            </w:pPr>
            <w:r>
              <w:rPr>
                <w:iCs/>
              </w:rPr>
              <w:t xml:space="preserve">PIKTAPS projekta </w:t>
            </w:r>
            <w:r w:rsidRPr="00C85302">
              <w:t xml:space="preserve">mērķis ir nodrošināt </w:t>
            </w:r>
            <w:r>
              <w:rPr>
                <w:iCs/>
              </w:rPr>
              <w:t xml:space="preserve">Eiropas Reģionālās attīstības fonda (turpmāk – </w:t>
            </w:r>
            <w:r>
              <w:t xml:space="preserve">ERAF) </w:t>
            </w:r>
            <w:r w:rsidRPr="00C85302">
              <w:t>līdzfinansēto IKT projektu savstarpējo saskaņotību, būtiskāko centralizēto platformu projektēšanu un īstenošanu, kā arī veicināt sabiedrības spējas un ieinteresētību efektīvi izmantot radītos IKT risinājumus</w:t>
            </w:r>
            <w:r>
              <w:t>.</w:t>
            </w:r>
          </w:p>
          <w:p w:rsidR="002F324B" w:rsidP="00FA34E4" w14:paraId="583B080D" w14:textId="77777777">
            <w:pPr>
              <w:ind w:firstLine="233"/>
              <w:jc w:val="both"/>
              <w:rPr>
                <w:iCs/>
              </w:rPr>
            </w:pPr>
            <w:r>
              <w:rPr>
                <w:iCs/>
              </w:rPr>
              <w:t xml:space="preserve">Izmantojot </w:t>
            </w:r>
            <w:r w:rsidR="00F80268">
              <w:rPr>
                <w:iCs/>
              </w:rPr>
              <w:t xml:space="preserve">ERAF </w:t>
            </w:r>
            <w:r w:rsidR="004809D4">
              <w:rPr>
                <w:iCs/>
              </w:rPr>
              <w:t>finansējumu,</w:t>
            </w:r>
            <w:r>
              <w:rPr>
                <w:iCs/>
              </w:rPr>
              <w:t xml:space="preserve"> </w:t>
            </w:r>
            <w:r>
              <w:rPr>
                <w:iCs/>
              </w:rPr>
              <w:t xml:space="preserve">pašlaik PIKTAPS projektā </w:t>
            </w:r>
            <w:r w:rsidR="00766668">
              <w:rPr>
                <w:iCs/>
              </w:rPr>
              <w:t xml:space="preserve">darbojas 11 speciālisti </w:t>
            </w:r>
            <w:r w:rsidR="00766668">
              <w:rPr>
                <w:iCs/>
              </w:rPr>
              <w:t>(</w:t>
            </w:r>
            <w:r w:rsidR="00707462">
              <w:rPr>
                <w:iCs/>
              </w:rPr>
              <w:t>VARAM darbinieki</w:t>
            </w:r>
            <w:r w:rsidR="00766668">
              <w:rPr>
                <w:iCs/>
              </w:rPr>
              <w:t>)</w:t>
            </w:r>
            <w:r>
              <w:rPr>
                <w:iCs/>
              </w:rPr>
              <w:t xml:space="preserve">. </w:t>
            </w:r>
            <w:r w:rsidR="00766668">
              <w:rPr>
                <w:iCs/>
              </w:rPr>
              <w:t xml:space="preserve">VARAM ir </w:t>
            </w:r>
            <w:r w:rsidR="00B5271A">
              <w:rPr>
                <w:iCs/>
              </w:rPr>
              <w:t>ieinteresēta</w:t>
            </w:r>
            <w:r w:rsidR="00A72D8D">
              <w:rPr>
                <w:iCs/>
              </w:rPr>
              <w:t xml:space="preserve"> saglabāt un </w:t>
            </w:r>
            <w:r w:rsidR="00766668">
              <w:rPr>
                <w:iCs/>
              </w:rPr>
              <w:t xml:space="preserve">uzturēt </w:t>
            </w:r>
            <w:r>
              <w:rPr>
                <w:iCs/>
              </w:rPr>
              <w:t>šo</w:t>
            </w:r>
            <w:r w:rsidR="00A72D8D">
              <w:rPr>
                <w:iCs/>
              </w:rPr>
              <w:t xml:space="preserve"> cilvēkresursu apjomu </w:t>
            </w:r>
            <w:r w:rsidR="00541D13">
              <w:rPr>
                <w:iCs/>
              </w:rPr>
              <w:t xml:space="preserve">arī </w:t>
            </w:r>
            <w:r w:rsidR="00A72D8D">
              <w:rPr>
                <w:iCs/>
              </w:rPr>
              <w:t xml:space="preserve">pēc PIKTAPS projekta </w:t>
            </w:r>
            <w:r>
              <w:rPr>
                <w:iCs/>
              </w:rPr>
              <w:t>īstenošanas</w:t>
            </w:r>
            <w:r w:rsidR="00A72D8D">
              <w:rPr>
                <w:iCs/>
              </w:rPr>
              <w:t xml:space="preserve">, nodrošinot tam nepieciešamo </w:t>
            </w:r>
            <w:r>
              <w:rPr>
                <w:iCs/>
              </w:rPr>
              <w:t xml:space="preserve">valsts </w:t>
            </w:r>
            <w:r w:rsidR="00A72D8D">
              <w:rPr>
                <w:iCs/>
              </w:rPr>
              <w:t xml:space="preserve">budžeta finansējumu tādā apjomā, kas līdzvērtīgs PIKTAPS speciālistu </w:t>
            </w:r>
            <w:r w:rsidR="00663727">
              <w:rPr>
                <w:iCs/>
              </w:rPr>
              <w:t>uzturēšanai</w:t>
            </w:r>
            <w:r w:rsidR="00A72D8D">
              <w:rPr>
                <w:iCs/>
              </w:rPr>
              <w:t xml:space="preserve"> (</w:t>
            </w:r>
            <w:r w:rsidRPr="00A72D8D" w:rsidR="00A72D8D">
              <w:rPr>
                <w:iCs/>
              </w:rPr>
              <w:t>285</w:t>
            </w:r>
            <w:r w:rsidR="00A72D8D">
              <w:rPr>
                <w:iCs/>
              </w:rPr>
              <w:t> </w:t>
            </w:r>
            <w:r w:rsidRPr="00A72D8D" w:rsidR="00A72D8D">
              <w:rPr>
                <w:iCs/>
              </w:rPr>
              <w:t>288,99</w:t>
            </w:r>
            <w:r w:rsidR="00A72D8D">
              <w:rPr>
                <w:iCs/>
              </w:rPr>
              <w:t xml:space="preserve"> euro gadā, </w:t>
            </w:r>
            <w:r w:rsidRPr="00A72D8D" w:rsidR="00A72D8D">
              <w:rPr>
                <w:iCs/>
              </w:rPr>
              <w:t xml:space="preserve">ieskaitot </w:t>
            </w:r>
            <w:r w:rsidR="00663727">
              <w:rPr>
                <w:iCs/>
              </w:rPr>
              <w:t xml:space="preserve">atalgojumu un VARAM </w:t>
            </w:r>
            <w:r w:rsidR="00B14030">
              <w:rPr>
                <w:iCs/>
              </w:rPr>
              <w:t xml:space="preserve">veicamo </w:t>
            </w:r>
            <w:r w:rsidR="00A72D8D">
              <w:rPr>
                <w:iCs/>
              </w:rPr>
              <w:t>v</w:t>
            </w:r>
            <w:r w:rsidRPr="00A72D8D" w:rsidR="00A72D8D">
              <w:rPr>
                <w:iCs/>
              </w:rPr>
              <w:t>alsts sociālās apdrošināšanas obligāto iemaksu</w:t>
            </w:r>
            <w:r w:rsidR="00A72D8D">
              <w:rPr>
                <w:iCs/>
              </w:rPr>
              <w:t>)</w:t>
            </w:r>
            <w:r w:rsidR="00CA014F">
              <w:rPr>
                <w:iCs/>
              </w:rPr>
              <w:t>.</w:t>
            </w:r>
          </w:p>
          <w:p w:rsidR="00FA34E4" w:rsidRPr="00BA65F4" w:rsidP="003F2020" w14:paraId="583B080E" w14:textId="77777777">
            <w:pPr>
              <w:ind w:firstLine="233"/>
              <w:jc w:val="both"/>
              <w:rPr>
                <w:iCs/>
                <w:lang w:eastAsia="en-US"/>
              </w:rPr>
            </w:pPr>
            <w:r>
              <w:rPr>
                <w:iCs/>
              </w:rPr>
              <w:t>Lai nodrošinātu IKT pārvaldību</w:t>
            </w:r>
            <w:r w:rsidR="004059F6">
              <w:rPr>
                <w:iCs/>
              </w:rPr>
              <w:t xml:space="preserve"> saskaņā ar </w:t>
            </w:r>
            <w:r>
              <w:rPr>
                <w:iCs/>
              </w:rPr>
              <w:t>likumprojektā ietverto regulējumu, VARAM uzskata</w:t>
            </w:r>
            <w:r w:rsidR="004059F6">
              <w:rPr>
                <w:iCs/>
              </w:rPr>
              <w:t>, ka jautājums</w:t>
            </w:r>
            <w:r>
              <w:rPr>
                <w:iCs/>
              </w:rPr>
              <w:t xml:space="preserve"> par minēto cilvēkresursu uzturēšanu </w:t>
            </w:r>
            <w:r w:rsidR="00BF09E4">
              <w:rPr>
                <w:iCs/>
              </w:rPr>
              <w:t>ir jā</w:t>
            </w:r>
            <w:r>
              <w:rPr>
                <w:iCs/>
              </w:rPr>
              <w:t>izskat</w:t>
            </w:r>
            <w:r w:rsidR="00BF09E4">
              <w:rPr>
                <w:iCs/>
              </w:rPr>
              <w:t>a</w:t>
            </w:r>
            <w:r>
              <w:rPr>
                <w:iCs/>
              </w:rPr>
              <w:t xml:space="preserve"> </w:t>
            </w:r>
            <w:r w:rsidR="00E36EE6">
              <w:rPr>
                <w:iCs/>
              </w:rPr>
              <w:t>MK</w:t>
            </w:r>
            <w:r>
              <w:rPr>
                <w:iCs/>
              </w:rPr>
              <w:t xml:space="preserve">. </w:t>
            </w:r>
            <w:r w:rsidR="002E5D92">
              <w:rPr>
                <w:iCs/>
              </w:rPr>
              <w:t>Tāpēc</w:t>
            </w:r>
            <w:r>
              <w:rPr>
                <w:iCs/>
              </w:rPr>
              <w:t xml:space="preserve"> likumprojektam ir pievienots </w:t>
            </w:r>
            <w:r w:rsidR="0024104D">
              <w:rPr>
                <w:iCs/>
              </w:rPr>
              <w:t>MK</w:t>
            </w:r>
            <w:r>
              <w:rPr>
                <w:iCs/>
              </w:rPr>
              <w:t xml:space="preserve"> sēdes protokollēmuma projekts, kas uzdod </w:t>
            </w:r>
            <w:r w:rsidR="00BC03A2">
              <w:rPr>
                <w:iCs/>
              </w:rPr>
              <w:t xml:space="preserve">VARAM </w:t>
            </w:r>
            <w:r w:rsidRPr="00BC03A2" w:rsidR="00384893">
              <w:rPr>
                <w:iCs/>
              </w:rPr>
              <w:t xml:space="preserve">līdz 2018.gada 28.decembrim </w:t>
            </w:r>
            <w:r w:rsidRPr="00BC03A2" w:rsidR="00BC03A2">
              <w:rPr>
                <w:iCs/>
              </w:rPr>
              <w:t xml:space="preserve">sadarbībā ar citām ministrijām </w:t>
            </w:r>
            <w:r w:rsidRPr="00BC03A2" w:rsidR="006C7640">
              <w:rPr>
                <w:iCs/>
              </w:rPr>
              <w:t xml:space="preserve">izstrādāt un iesniegt </w:t>
            </w:r>
            <w:r w:rsidR="006C7640">
              <w:rPr>
                <w:iCs/>
              </w:rPr>
              <w:t xml:space="preserve">noteiktā kartībā </w:t>
            </w:r>
            <w:r w:rsidR="00BF09E4">
              <w:rPr>
                <w:iCs/>
              </w:rPr>
              <w:t>MK</w:t>
            </w:r>
            <w:r w:rsidRPr="00BC03A2" w:rsidR="00BF09E4">
              <w:rPr>
                <w:iCs/>
              </w:rPr>
              <w:t xml:space="preserve"> </w:t>
            </w:r>
            <w:r w:rsidR="006C7640">
              <w:rPr>
                <w:iCs/>
              </w:rPr>
              <w:t>izskatīšanai</w:t>
            </w:r>
            <w:r w:rsidRPr="00BC03A2" w:rsidR="00BC03A2">
              <w:rPr>
                <w:iCs/>
              </w:rPr>
              <w:t xml:space="preserve"> </w:t>
            </w:r>
            <w:r w:rsidRPr="00B5271A" w:rsidR="00B5271A">
              <w:rPr>
                <w:iCs/>
              </w:rPr>
              <w:t xml:space="preserve">priekšlikumus par izdevumu finansēšanas apjomu un iespējām attiecībā uz cilvēkresursu uzturēšanu </w:t>
            </w:r>
            <w:r w:rsidR="00BF09E4">
              <w:rPr>
                <w:iCs/>
              </w:rPr>
              <w:t>VARAM</w:t>
            </w:r>
            <w:r w:rsidRPr="00B5271A" w:rsidR="00B5271A">
              <w:rPr>
                <w:iCs/>
              </w:rPr>
              <w:t xml:space="preserve">, kā arī citās ministrijās un to padotības iestādēs (nepalielinot ietekmi uz valsts budžetu), lai izpildītu likumprojektā ietvertā regulējuma prasības, veicot tam nepieciešamos uzdevumus tādā apjomā, kas nodrošina </w:t>
            </w:r>
            <w:r w:rsidR="00B5271A">
              <w:rPr>
                <w:iCs/>
              </w:rPr>
              <w:t xml:space="preserve">IKT </w:t>
            </w:r>
            <w:r w:rsidRPr="00B5271A" w:rsidR="00B5271A">
              <w:rPr>
                <w:iCs/>
              </w:rPr>
              <w:t>pārvaldības kvalitāti un efektivitāti</w:t>
            </w:r>
            <w:r w:rsidR="00BC03A2">
              <w:rPr>
                <w:iCs/>
              </w:rPr>
              <w:t>.</w:t>
            </w:r>
            <w:r w:rsidRPr="00B5271A" w:rsidR="00141504">
              <w:rPr>
                <w:iCs/>
              </w:rPr>
              <w:t xml:space="preserve"> Līdz ar to </w:t>
            </w:r>
            <w:r w:rsidR="00125AE7">
              <w:rPr>
                <w:iCs/>
              </w:rPr>
              <w:t xml:space="preserve">tiek </w:t>
            </w:r>
            <w:r w:rsidRPr="00B5271A" w:rsidR="00141504">
              <w:rPr>
                <w:iCs/>
              </w:rPr>
              <w:t>plānots, ka cilvēkresursu uzturēšanai nepieciešamais finansējums tiks nodrošināts vis</w:t>
            </w:r>
            <w:r w:rsidR="00125AE7">
              <w:rPr>
                <w:iCs/>
              </w:rPr>
              <w:t>iem</w:t>
            </w:r>
            <w:r w:rsidRPr="00B5271A" w:rsidR="00141504">
              <w:rPr>
                <w:iCs/>
              </w:rPr>
              <w:t xml:space="preserve"> resor</w:t>
            </w:r>
            <w:r w:rsidR="00125AE7">
              <w:rPr>
                <w:iCs/>
              </w:rPr>
              <w:t>iem</w:t>
            </w:r>
            <w:r w:rsidRPr="00B5271A" w:rsidR="00141504">
              <w:rPr>
                <w:iCs/>
              </w:rPr>
              <w:t xml:space="preserve"> </w:t>
            </w:r>
            <w:r w:rsidR="00125AE7">
              <w:rPr>
                <w:iCs/>
              </w:rPr>
              <w:t xml:space="preserve">piešķirto </w:t>
            </w:r>
            <w:r w:rsidRPr="00B5271A" w:rsidR="00141504">
              <w:rPr>
                <w:iCs/>
              </w:rPr>
              <w:t>budžet</w:t>
            </w:r>
            <w:r w:rsidR="00125AE7">
              <w:rPr>
                <w:iCs/>
              </w:rPr>
              <w:t>a</w:t>
            </w:r>
            <w:r w:rsidRPr="00B5271A" w:rsidR="00141504">
              <w:rPr>
                <w:iCs/>
              </w:rPr>
              <w:t xml:space="preserve"> līdzekļu ietvaros, tādēļ likumprojekta īstenošana ietekmēs visu ministriju budžetā esošo f</w:t>
            </w:r>
            <w:r w:rsidR="004C194C">
              <w:rPr>
                <w:iCs/>
              </w:rPr>
              <w:t>inansējumu, bet neradīs papildu</w:t>
            </w:r>
            <w:r w:rsidRPr="00B5271A" w:rsidR="00141504">
              <w:rPr>
                <w:iCs/>
              </w:rPr>
              <w:t xml:space="preserve"> ietekmi uz valsts budžet</w:t>
            </w:r>
            <w:r w:rsidR="003F2020">
              <w:rPr>
                <w:iCs/>
              </w:rPr>
              <w:t>u</w:t>
            </w:r>
            <w:r w:rsidRPr="00B5271A" w:rsidR="00141504">
              <w:rPr>
                <w:iCs/>
              </w:rPr>
              <w:t>.</w:t>
            </w:r>
          </w:p>
        </w:tc>
      </w:tr>
    </w:tbl>
    <w:p w:rsidR="00720629" w:rsidP="00CA2FD1" w14:paraId="583B0810" w14:textId="77777777">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644"/>
        <w:gridCol w:w="7088"/>
      </w:tblGrid>
      <w:tr w14:paraId="583B0812" w14:textId="64F77411" w:rsidTr="00122CC6">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186" w:type="dxa"/>
            <w:gridSpan w:val="3"/>
            <w:tcMar>
              <w:top w:w="57" w:type="dxa"/>
              <w:left w:w="113" w:type="dxa"/>
              <w:bottom w:w="57" w:type="dxa"/>
              <w:right w:w="113" w:type="dxa"/>
            </w:tcMar>
          </w:tcPr>
          <w:p w:rsidR="00427060" w:rsidRPr="00EF1D76" w:rsidP="00BA65F4" w14:paraId="583B0811" w14:textId="042CAB96">
            <w:pPr>
              <w:pStyle w:val="naisnod"/>
              <w:keepNext/>
              <w:spacing w:before="0" w:after="0"/>
            </w:pPr>
            <w:r>
              <w:t>IV. </w:t>
            </w:r>
            <w:r w:rsidRPr="00EF1D76">
              <w:t>Tiesību akta projekta ietekme uz spēkā esošo tiesību normu sistēmu</w:t>
            </w:r>
          </w:p>
        </w:tc>
      </w:tr>
      <w:tr w14:paraId="583B081B" w14:textId="40BF5330" w:rsidTr="003C272B">
        <w:tblPrEx>
          <w:tblW w:w="0" w:type="auto"/>
          <w:tblInd w:w="57" w:type="dxa"/>
          <w:tblLayout w:type="fixed"/>
          <w:tblLook w:val="01E0"/>
        </w:tblPrEx>
        <w:tc>
          <w:tcPr>
            <w:tcW w:w="454" w:type="dxa"/>
            <w:vMerge w:val="restart"/>
            <w:tcMar>
              <w:top w:w="57" w:type="dxa"/>
              <w:left w:w="113" w:type="dxa"/>
              <w:bottom w:w="57" w:type="dxa"/>
              <w:right w:w="113" w:type="dxa"/>
            </w:tcMar>
          </w:tcPr>
          <w:p w:rsidR="0090602A" w:rsidRPr="00EF1D76" w:rsidP="00BA65F4" w14:paraId="583B0813" w14:textId="77777777">
            <w:pPr>
              <w:pStyle w:val="naiskr"/>
              <w:tabs>
                <w:tab w:val="left" w:pos="2628"/>
              </w:tabs>
              <w:spacing w:before="0" w:after="0"/>
              <w:jc w:val="center"/>
              <w:rPr>
                <w:iCs/>
              </w:rPr>
            </w:pPr>
            <w:r w:rsidRPr="00EF1D76">
              <w:rPr>
                <w:iCs/>
              </w:rPr>
              <w:t>1.</w:t>
            </w:r>
          </w:p>
        </w:tc>
        <w:tc>
          <w:tcPr>
            <w:tcW w:w="1644" w:type="dxa"/>
            <w:vMerge w:val="restart"/>
            <w:tcMar>
              <w:top w:w="57" w:type="dxa"/>
              <w:left w:w="113" w:type="dxa"/>
              <w:bottom w:w="57" w:type="dxa"/>
              <w:right w:w="113" w:type="dxa"/>
            </w:tcMar>
          </w:tcPr>
          <w:p w:rsidR="0090602A" w:rsidRPr="00EF1D76" w:rsidP="00BA65F4" w14:paraId="583B0814" w14:textId="77777777">
            <w:pPr>
              <w:pStyle w:val="naiskr"/>
              <w:tabs>
                <w:tab w:val="left" w:pos="2628"/>
              </w:tabs>
              <w:spacing w:before="0" w:after="0"/>
              <w:rPr>
                <w:iCs/>
              </w:rPr>
            </w:pPr>
            <w:r w:rsidRPr="00EF1D76">
              <w:t>Nepieciešamie saistītie tiesību aktu projekti</w:t>
            </w:r>
          </w:p>
        </w:tc>
        <w:tc>
          <w:tcPr>
            <w:tcW w:w="7088" w:type="dxa"/>
            <w:tcMar>
              <w:top w:w="57" w:type="dxa"/>
              <w:left w:w="113" w:type="dxa"/>
              <w:bottom w:w="57" w:type="dxa"/>
              <w:right w:w="113" w:type="dxa"/>
            </w:tcMar>
          </w:tcPr>
          <w:p w:rsidR="0090602A" w:rsidRPr="00D23940" w:rsidP="002F6DB1" w14:paraId="583B0815" w14:textId="30317D46">
            <w:pPr>
              <w:pStyle w:val="naiskr"/>
              <w:tabs>
                <w:tab w:val="left" w:pos="2628"/>
              </w:tabs>
              <w:spacing w:before="0" w:after="0"/>
              <w:ind w:firstLine="170"/>
              <w:jc w:val="both"/>
              <w:rPr>
                <w:iCs/>
              </w:rPr>
            </w:pPr>
            <w:r>
              <w:rPr>
                <w:iCs/>
              </w:rPr>
              <w:t>1. </w:t>
            </w:r>
            <w:r>
              <w:rPr>
                <w:iCs/>
              </w:rPr>
              <w:t>Likumprojekt</w:t>
            </w:r>
            <w:r w:rsidR="008C1696">
              <w:rPr>
                <w:iCs/>
              </w:rPr>
              <w:t>s</w:t>
            </w:r>
            <w:r>
              <w:rPr>
                <w:iCs/>
              </w:rPr>
              <w:t xml:space="preserve"> paredz</w:t>
            </w:r>
            <w:r w:rsidRPr="00D23940">
              <w:rPr>
                <w:iCs/>
              </w:rPr>
              <w:t xml:space="preserve"> </w:t>
            </w:r>
            <w:r>
              <w:rPr>
                <w:iCs/>
              </w:rPr>
              <w:t>izdot MK noteikumus, kas noteic</w:t>
            </w:r>
            <w:r w:rsidRPr="00D23940">
              <w:rPr>
                <w:iCs/>
              </w:rPr>
              <w:t>:</w:t>
            </w:r>
          </w:p>
          <w:p w:rsidR="0090602A" w:rsidP="002F6DB1" w14:paraId="583B0816" w14:textId="759FC0DD">
            <w:pPr>
              <w:ind w:firstLine="170"/>
              <w:jc w:val="both"/>
              <w:rPr>
                <w:iCs/>
                <w:lang w:eastAsia="en-US"/>
              </w:rPr>
            </w:pPr>
            <w:r>
              <w:rPr>
                <w:iCs/>
                <w:lang w:eastAsia="en-US"/>
              </w:rPr>
              <w:t>1) </w:t>
            </w:r>
            <w:r>
              <w:rPr>
                <w:iCs/>
                <w:lang w:eastAsia="en-US"/>
              </w:rPr>
              <w:t xml:space="preserve">IKT </w:t>
            </w:r>
            <w:r w:rsidRPr="00B7233D">
              <w:rPr>
                <w:iCs/>
                <w:lang w:eastAsia="en-US"/>
              </w:rPr>
              <w:t>pārvaldība</w:t>
            </w:r>
            <w:r>
              <w:rPr>
                <w:iCs/>
                <w:lang w:eastAsia="en-US"/>
              </w:rPr>
              <w:t xml:space="preserve">s īstenošanai </w:t>
            </w:r>
            <w:r w:rsidRPr="00B7233D">
              <w:rPr>
                <w:iCs/>
                <w:lang w:eastAsia="en-US"/>
              </w:rPr>
              <w:t>nepieciešam</w:t>
            </w:r>
            <w:r>
              <w:rPr>
                <w:iCs/>
                <w:lang w:eastAsia="en-US"/>
              </w:rPr>
              <w:t>o</w:t>
            </w:r>
            <w:r w:rsidRPr="00B7233D">
              <w:rPr>
                <w:iCs/>
                <w:lang w:eastAsia="en-US"/>
              </w:rPr>
              <w:t xml:space="preserve"> informācij</w:t>
            </w:r>
            <w:r>
              <w:rPr>
                <w:iCs/>
                <w:lang w:eastAsia="en-US"/>
              </w:rPr>
              <w:t>u</w:t>
            </w:r>
            <w:r w:rsidR="005541B1">
              <w:rPr>
                <w:iCs/>
                <w:lang w:eastAsia="en-US"/>
              </w:rPr>
              <w:t>, kā arī</w:t>
            </w:r>
            <w:r>
              <w:rPr>
                <w:iCs/>
                <w:lang w:eastAsia="en-US"/>
              </w:rPr>
              <w:t xml:space="preserve"> </w:t>
            </w:r>
            <w:r w:rsidR="005541B1">
              <w:rPr>
                <w:iCs/>
                <w:lang w:eastAsia="en-US"/>
              </w:rPr>
              <w:t xml:space="preserve">šīs informācijas </w:t>
            </w:r>
            <w:r w:rsidRPr="00B7233D">
              <w:rPr>
                <w:iCs/>
                <w:lang w:eastAsia="en-US"/>
              </w:rPr>
              <w:t>aprites kārtību</w:t>
            </w:r>
            <w:r>
              <w:rPr>
                <w:iCs/>
                <w:lang w:eastAsia="en-US"/>
              </w:rPr>
              <w:t xml:space="preserve">. </w:t>
            </w:r>
            <w:r w:rsidR="005541B1">
              <w:rPr>
                <w:iCs/>
                <w:lang w:eastAsia="en-US"/>
              </w:rPr>
              <w:t>Šie noteikumi</w:t>
            </w:r>
            <w:r>
              <w:rPr>
                <w:iCs/>
                <w:lang w:eastAsia="en-US"/>
              </w:rPr>
              <w:t xml:space="preserve"> </w:t>
            </w:r>
            <w:r w:rsidR="005541B1">
              <w:rPr>
                <w:iCs/>
                <w:lang w:eastAsia="en-US"/>
              </w:rPr>
              <w:t xml:space="preserve">regulēs </w:t>
            </w:r>
            <w:r>
              <w:rPr>
                <w:iCs/>
                <w:lang w:eastAsia="en-US"/>
              </w:rPr>
              <w:t>tādas informāc</w:t>
            </w:r>
            <w:r w:rsidR="005541B1">
              <w:rPr>
                <w:iCs/>
                <w:lang w:eastAsia="en-US"/>
              </w:rPr>
              <w:t>ijas veidošanu, uzturēšanu un lietošanu</w:t>
            </w:r>
            <w:r w:rsidRPr="00831CB4">
              <w:rPr>
                <w:iCs/>
                <w:lang w:eastAsia="en-US"/>
              </w:rPr>
              <w:t xml:space="preserve">, kas nepieciešama </w:t>
            </w:r>
            <w:r>
              <w:rPr>
                <w:iCs/>
                <w:lang w:eastAsia="en-US"/>
              </w:rPr>
              <w:t xml:space="preserve">IKT </w:t>
            </w:r>
            <w:r w:rsidRPr="00831CB4">
              <w:rPr>
                <w:iCs/>
                <w:lang w:eastAsia="en-US"/>
              </w:rPr>
              <w:t>pārvaldībai</w:t>
            </w:r>
            <w:r w:rsidR="005541B1">
              <w:rPr>
                <w:iCs/>
                <w:lang w:eastAsia="en-US"/>
              </w:rPr>
              <w:t>,</w:t>
            </w:r>
            <w:r>
              <w:rPr>
                <w:iCs/>
                <w:lang w:eastAsia="en-US"/>
              </w:rPr>
              <w:t xml:space="preserve"> piemēram, par </w:t>
            </w:r>
            <w:r w:rsidRPr="000259A5">
              <w:rPr>
                <w:iCs/>
                <w:lang w:eastAsia="en-US"/>
              </w:rPr>
              <w:t xml:space="preserve">IKT </w:t>
            </w:r>
            <w:r>
              <w:rPr>
                <w:iCs/>
                <w:lang w:eastAsia="en-US"/>
              </w:rPr>
              <w:t>pasākumiem</w:t>
            </w:r>
            <w:r w:rsidR="005541B1">
              <w:rPr>
                <w:iCs/>
                <w:lang w:eastAsia="en-US"/>
              </w:rPr>
              <w:t xml:space="preserve"> (ieskaitot </w:t>
            </w:r>
            <w:r>
              <w:rPr>
                <w:iCs/>
                <w:lang w:eastAsia="en-US"/>
              </w:rPr>
              <w:t>iniciatīv</w:t>
            </w:r>
            <w:r w:rsidR="005541B1">
              <w:rPr>
                <w:iCs/>
                <w:lang w:eastAsia="en-US"/>
              </w:rPr>
              <w:t>as un projektus,</w:t>
            </w:r>
            <w:r>
              <w:rPr>
                <w:iCs/>
                <w:lang w:eastAsia="en-US"/>
              </w:rPr>
              <w:t xml:space="preserve"> </w:t>
            </w:r>
            <w:r w:rsidR="005541B1">
              <w:rPr>
                <w:iCs/>
                <w:lang w:eastAsia="en-US"/>
              </w:rPr>
              <w:t xml:space="preserve">kas saistīti </w:t>
            </w:r>
            <w:r>
              <w:rPr>
                <w:iCs/>
                <w:lang w:eastAsia="en-US"/>
              </w:rPr>
              <w:t>ar IKT nodrošināšanu un lietošanu</w:t>
            </w:r>
            <w:r w:rsidR="005541B1">
              <w:rPr>
                <w:iCs/>
                <w:lang w:eastAsia="en-US"/>
              </w:rPr>
              <w:t>)</w:t>
            </w:r>
            <w:r w:rsidRPr="000259A5">
              <w:rPr>
                <w:iCs/>
                <w:lang w:eastAsia="en-US"/>
              </w:rPr>
              <w:t xml:space="preserve">, </w:t>
            </w:r>
            <w:r>
              <w:rPr>
                <w:iCs/>
                <w:lang w:eastAsia="en-US"/>
              </w:rPr>
              <w:t xml:space="preserve">IKT </w:t>
            </w:r>
            <w:r w:rsidR="005541B1">
              <w:rPr>
                <w:iCs/>
                <w:lang w:eastAsia="en-US"/>
              </w:rPr>
              <w:t xml:space="preserve">(tehnoloģiskajiem) </w:t>
            </w:r>
            <w:r>
              <w:rPr>
                <w:iCs/>
                <w:lang w:eastAsia="en-US"/>
              </w:rPr>
              <w:t>resursiem</w:t>
            </w:r>
            <w:r w:rsidR="003B257B">
              <w:rPr>
                <w:iCs/>
                <w:lang w:eastAsia="en-US"/>
              </w:rPr>
              <w:t xml:space="preserve"> un</w:t>
            </w:r>
            <w:r w:rsidR="005541B1">
              <w:rPr>
                <w:iCs/>
                <w:lang w:eastAsia="en-US"/>
              </w:rPr>
              <w:t xml:space="preserve"> </w:t>
            </w:r>
            <w:r w:rsidR="003B257B">
              <w:rPr>
                <w:iCs/>
                <w:lang w:eastAsia="en-US"/>
              </w:rPr>
              <w:t xml:space="preserve">IKT (tehnoloģiskajiem) </w:t>
            </w:r>
            <w:r>
              <w:rPr>
                <w:iCs/>
                <w:lang w:eastAsia="en-US"/>
              </w:rPr>
              <w:t>pakalpojumiem un informācijas resursiem, kā arī finanšu un cilvēkresursiem, k</w:t>
            </w:r>
            <w:r w:rsidR="005541B1">
              <w:rPr>
                <w:iCs/>
                <w:lang w:eastAsia="en-US"/>
              </w:rPr>
              <w:t>as nepieciešami IKT pārvaldībai</w:t>
            </w:r>
            <w:r>
              <w:rPr>
                <w:iCs/>
                <w:lang w:eastAsia="en-US"/>
              </w:rPr>
              <w:t xml:space="preserve">. Šīs informācijas aprite tiks nodrošināta, lietojot </w:t>
            </w:r>
            <w:r w:rsidRPr="00831CB4">
              <w:rPr>
                <w:iCs/>
                <w:lang w:eastAsia="en-US"/>
              </w:rPr>
              <w:t>VIRSIS</w:t>
            </w:r>
            <w:r>
              <w:rPr>
                <w:rStyle w:val="FootnoteReference"/>
                <w:iCs/>
                <w:lang w:eastAsia="en-US"/>
              </w:rPr>
              <w:footnoteReference w:id="15"/>
            </w:r>
            <w:r>
              <w:rPr>
                <w:iCs/>
              </w:rPr>
              <w:t>;</w:t>
            </w:r>
          </w:p>
          <w:p w:rsidR="0090602A" w:rsidP="009A08CE" w14:paraId="583B0817" w14:textId="0CB6E7B5">
            <w:pPr>
              <w:ind w:firstLine="170"/>
              <w:jc w:val="both"/>
              <w:rPr>
                <w:iCs/>
                <w:lang w:eastAsia="en-US"/>
              </w:rPr>
            </w:pPr>
            <w:r>
              <w:rPr>
                <w:iCs/>
                <w:lang w:eastAsia="en-US"/>
              </w:rPr>
              <w:t>2) </w:t>
            </w:r>
            <w:r>
              <w:rPr>
                <w:iCs/>
                <w:lang w:eastAsia="en-US"/>
              </w:rPr>
              <w:t>k</w:t>
            </w:r>
            <w:r w:rsidRPr="00B7233D">
              <w:rPr>
                <w:iCs/>
                <w:lang w:eastAsia="en-US"/>
              </w:rPr>
              <w:t xml:space="preserve">ārtību, </w:t>
            </w:r>
            <w:r w:rsidRPr="007E50D4">
              <w:rPr>
                <w:iCs/>
                <w:lang w:eastAsia="en-US"/>
              </w:rPr>
              <w:t xml:space="preserve">kādā nodrošina </w:t>
            </w:r>
            <w:r>
              <w:rPr>
                <w:iCs/>
                <w:lang w:eastAsia="en-US"/>
              </w:rPr>
              <w:t>IKT</w:t>
            </w:r>
            <w:r w:rsidRPr="007E50D4">
              <w:rPr>
                <w:iCs/>
                <w:lang w:eastAsia="en-US"/>
              </w:rPr>
              <w:t xml:space="preserve"> pārvaldības koordinēšanu, kā arī saskaņo </w:t>
            </w:r>
            <w:r>
              <w:rPr>
                <w:iCs/>
                <w:lang w:eastAsia="en-US"/>
              </w:rPr>
              <w:t xml:space="preserve">IKT </w:t>
            </w:r>
            <w:r w:rsidRPr="007E50D4">
              <w:rPr>
                <w:iCs/>
                <w:lang w:eastAsia="en-US"/>
              </w:rPr>
              <w:t xml:space="preserve">pasākumus, kuri būtiski ietekmē </w:t>
            </w:r>
            <w:r>
              <w:rPr>
                <w:iCs/>
                <w:lang w:eastAsia="en-US"/>
              </w:rPr>
              <w:t xml:space="preserve">IKT </w:t>
            </w:r>
            <w:r w:rsidRPr="007E50D4">
              <w:rPr>
                <w:iCs/>
                <w:lang w:eastAsia="en-US"/>
              </w:rPr>
              <w:t>izmantošanu valsts pārvaldē, ieskaitot pašvaldības</w:t>
            </w:r>
            <w:r>
              <w:rPr>
                <w:iCs/>
                <w:lang w:eastAsia="en-US"/>
              </w:rPr>
              <w:t xml:space="preserve">. Atbilstoši </w:t>
            </w:r>
            <w:r w:rsidRPr="00831CB4">
              <w:rPr>
                <w:iCs/>
                <w:lang w:eastAsia="en-US"/>
              </w:rPr>
              <w:t>š</w:t>
            </w:r>
            <w:r w:rsidR="009A08CE">
              <w:rPr>
                <w:iCs/>
                <w:lang w:eastAsia="en-US"/>
              </w:rPr>
              <w:t xml:space="preserve">ajos noteikumos noteiktajai kārtībai </w:t>
            </w:r>
            <w:r w:rsidRPr="00831CB4">
              <w:rPr>
                <w:iCs/>
                <w:lang w:eastAsia="en-US"/>
              </w:rPr>
              <w:t xml:space="preserve">tiks </w:t>
            </w:r>
            <w:r>
              <w:rPr>
                <w:iCs/>
                <w:lang w:eastAsia="en-US"/>
              </w:rPr>
              <w:t>plānota un veikta institūciju darbība</w:t>
            </w:r>
            <w:r w:rsidR="009A08CE">
              <w:rPr>
                <w:iCs/>
                <w:lang w:eastAsia="en-US"/>
              </w:rPr>
              <w:t xml:space="preserve"> IKT pārvaldības</w:t>
            </w:r>
            <w:r>
              <w:rPr>
                <w:iCs/>
                <w:lang w:eastAsia="en-US"/>
              </w:rPr>
              <w:t xml:space="preserve"> </w:t>
            </w:r>
            <w:r w:rsidR="009A08CE">
              <w:rPr>
                <w:iCs/>
                <w:lang w:eastAsia="en-US"/>
              </w:rPr>
              <w:t>jomā dažādos līmeņos (pārresoru, starpresoru, resora un pašvaldības līmenī),</w:t>
            </w:r>
            <w:r>
              <w:rPr>
                <w:iCs/>
                <w:lang w:eastAsia="en-US"/>
              </w:rPr>
              <w:t xml:space="preserve"> nosakot </w:t>
            </w:r>
            <w:r w:rsidR="008C232A">
              <w:rPr>
                <w:iCs/>
                <w:lang w:eastAsia="en-US"/>
              </w:rPr>
              <w:t xml:space="preserve">par IKT politikas noteikšanu, īstenošanu un aktualizēšanu atbildīgās </w:t>
            </w:r>
            <w:r>
              <w:rPr>
                <w:iCs/>
                <w:lang w:eastAsia="en-US"/>
              </w:rPr>
              <w:t>institūcijas</w:t>
            </w:r>
            <w:r w:rsidR="008C232A">
              <w:rPr>
                <w:iCs/>
                <w:lang w:eastAsia="en-US"/>
              </w:rPr>
              <w:t xml:space="preserve"> attiecīgajos IKT pārvaldības līmeņos</w:t>
            </w:r>
            <w:r>
              <w:rPr>
                <w:iCs/>
                <w:lang w:eastAsia="en-US"/>
              </w:rPr>
              <w:t xml:space="preserve">, kā arī IKT politikas hierarhisko struktūru un faktorus, kas ietekmē IKT politikas aktualizēšanu. Turklāt saskaņā ar šiem noteikumiem tiks </w:t>
            </w:r>
            <w:r w:rsidRPr="00831CB4">
              <w:rPr>
                <w:iCs/>
                <w:lang w:eastAsia="en-US"/>
              </w:rPr>
              <w:t xml:space="preserve">vērtēti IKT </w:t>
            </w:r>
            <w:r>
              <w:rPr>
                <w:iCs/>
                <w:lang w:eastAsia="en-US"/>
              </w:rPr>
              <w:t xml:space="preserve">pasākumi, </w:t>
            </w:r>
            <w:r w:rsidR="003E2196">
              <w:rPr>
                <w:iCs/>
                <w:lang w:eastAsia="en-US"/>
              </w:rPr>
              <w:t xml:space="preserve">nosakot </w:t>
            </w:r>
            <w:r w:rsidR="00C44394">
              <w:rPr>
                <w:iCs/>
                <w:lang w:eastAsia="en-US"/>
              </w:rPr>
              <w:t xml:space="preserve">tādu IKT pasākumu </w:t>
            </w:r>
            <w:r w:rsidR="003E2196">
              <w:rPr>
                <w:iCs/>
                <w:lang w:eastAsia="en-US"/>
              </w:rPr>
              <w:t xml:space="preserve">kritērijus, </w:t>
            </w:r>
            <w:r w:rsidR="00C44394">
              <w:rPr>
                <w:iCs/>
                <w:lang w:eastAsia="en-US"/>
              </w:rPr>
              <w:t xml:space="preserve">kuri </w:t>
            </w:r>
            <w:r w:rsidR="003E2196">
              <w:rPr>
                <w:iCs/>
                <w:lang w:eastAsia="en-US"/>
              </w:rPr>
              <w:t>būtiski ietekmē IKT izmantošanu valsts pārvaldē</w:t>
            </w:r>
            <w:r w:rsidR="00C44394">
              <w:rPr>
                <w:iCs/>
                <w:lang w:eastAsia="en-US"/>
              </w:rPr>
              <w:t>, kā arī tiks</w:t>
            </w:r>
            <w:r w:rsidRPr="00831CB4">
              <w:rPr>
                <w:iCs/>
                <w:lang w:eastAsia="en-US"/>
              </w:rPr>
              <w:t xml:space="preserve"> pārraudzīta </w:t>
            </w:r>
            <w:r w:rsidR="00C44394">
              <w:rPr>
                <w:iCs/>
                <w:lang w:eastAsia="en-US"/>
              </w:rPr>
              <w:t>attiecīgo IKT pasākumu</w:t>
            </w:r>
            <w:r w:rsidR="00683FEF">
              <w:rPr>
                <w:iCs/>
                <w:lang w:eastAsia="en-US"/>
              </w:rPr>
              <w:t xml:space="preserve"> (</w:t>
            </w:r>
            <w:r w:rsidR="00C44394">
              <w:rPr>
                <w:iCs/>
                <w:lang w:eastAsia="en-US"/>
              </w:rPr>
              <w:t>arī projektu</w:t>
            </w:r>
            <w:r w:rsidR="00683FEF">
              <w:rPr>
                <w:iCs/>
                <w:lang w:eastAsia="en-US"/>
              </w:rPr>
              <w:t>),</w:t>
            </w:r>
            <w:r w:rsidR="00C44394">
              <w:rPr>
                <w:iCs/>
                <w:lang w:eastAsia="en-US"/>
              </w:rPr>
              <w:t xml:space="preserve"> </w:t>
            </w:r>
            <w:r w:rsidRPr="00831CB4">
              <w:rPr>
                <w:iCs/>
                <w:lang w:eastAsia="en-US"/>
              </w:rPr>
              <w:t>īstenošana</w:t>
            </w:r>
            <w:r>
              <w:rPr>
                <w:iCs/>
                <w:lang w:eastAsia="en-US"/>
              </w:rPr>
              <w:t xml:space="preserve"> </w:t>
            </w:r>
            <w:r w:rsidR="00683FEF">
              <w:rPr>
                <w:iCs/>
                <w:lang w:eastAsia="en-US"/>
              </w:rPr>
              <w:t>(</w:t>
            </w:r>
            <w:r w:rsidRPr="00831CB4">
              <w:rPr>
                <w:iCs/>
                <w:lang w:eastAsia="en-US"/>
              </w:rPr>
              <w:t>neatkarīgi no finansēšanas avota</w:t>
            </w:r>
            <w:r w:rsidR="00683FEF">
              <w:rPr>
                <w:iCs/>
                <w:lang w:eastAsia="en-US"/>
              </w:rPr>
              <w:t>)</w:t>
            </w:r>
            <w:r>
              <w:rPr>
                <w:iCs/>
                <w:lang w:eastAsia="en-US"/>
              </w:rPr>
              <w:t>;</w:t>
            </w:r>
          </w:p>
          <w:p w:rsidR="0090602A" w:rsidP="002F6DB1" w14:paraId="583B0818" w14:textId="5FE3C353">
            <w:pPr>
              <w:ind w:firstLine="170"/>
              <w:jc w:val="both"/>
              <w:rPr>
                <w:iCs/>
                <w:lang w:eastAsia="en-US"/>
              </w:rPr>
            </w:pPr>
            <w:r>
              <w:rPr>
                <w:iCs/>
                <w:lang w:eastAsia="en-US"/>
              </w:rPr>
              <w:t>3) </w:t>
            </w:r>
            <w:r>
              <w:rPr>
                <w:iCs/>
                <w:lang w:eastAsia="en-US"/>
              </w:rPr>
              <w:t>k</w:t>
            </w:r>
            <w:r w:rsidRPr="00B7233D">
              <w:rPr>
                <w:iCs/>
                <w:lang w:eastAsia="en-US"/>
              </w:rPr>
              <w:t xml:space="preserve">ārtību, kādā nodrošina </w:t>
            </w:r>
            <w:r>
              <w:rPr>
                <w:iCs/>
                <w:lang w:eastAsia="en-US"/>
              </w:rPr>
              <w:t xml:space="preserve">IKT </w:t>
            </w:r>
            <w:r w:rsidRPr="00B7233D">
              <w:rPr>
                <w:iCs/>
                <w:lang w:eastAsia="en-US"/>
              </w:rPr>
              <w:t>pārvaldības finansēšanu</w:t>
            </w:r>
            <w:r w:rsidR="006069B0">
              <w:rPr>
                <w:iCs/>
                <w:lang w:eastAsia="en-US"/>
              </w:rPr>
              <w:t xml:space="preserve"> un </w:t>
            </w:r>
            <w:r w:rsidRPr="00B7233D">
              <w:rPr>
                <w:iCs/>
                <w:lang w:eastAsia="en-US"/>
              </w:rPr>
              <w:t xml:space="preserve">saskaņo valsts budžeta pieprasījumus </w:t>
            </w:r>
            <w:r w:rsidRPr="006069B0" w:rsidR="006069B0">
              <w:rPr>
                <w:iCs/>
                <w:lang w:eastAsia="en-US"/>
              </w:rPr>
              <w:t xml:space="preserve">par </w:t>
            </w:r>
            <w:r w:rsidR="006069B0">
              <w:rPr>
                <w:iCs/>
                <w:lang w:eastAsia="en-US"/>
              </w:rPr>
              <w:t>IKT</w:t>
            </w:r>
            <w:r w:rsidRPr="006069B0" w:rsidR="006069B0">
              <w:rPr>
                <w:iCs/>
                <w:lang w:eastAsia="en-US"/>
              </w:rPr>
              <w:t xml:space="preserve"> pārvaldībai nepieciešamo finanšu līdzekļu piešķiršanu</w:t>
            </w:r>
            <w:r>
              <w:rPr>
                <w:iCs/>
                <w:lang w:eastAsia="en-US"/>
              </w:rPr>
              <w:t>. Šajos noteikumos tiks noteikts IKT pārvaldības finansēšanas modeli</w:t>
            </w:r>
            <w:r w:rsidR="00260C3A">
              <w:rPr>
                <w:iCs/>
                <w:lang w:eastAsia="en-US"/>
              </w:rPr>
              <w:t>s</w:t>
            </w:r>
            <w:r>
              <w:rPr>
                <w:rStyle w:val="FootnoteReference"/>
                <w:iCs/>
                <w:lang w:eastAsia="en-US"/>
              </w:rPr>
              <w:footnoteReference w:id="16"/>
            </w:r>
            <w:r>
              <w:rPr>
                <w:iCs/>
                <w:lang w:eastAsia="en-US"/>
              </w:rPr>
              <w:t>,</w:t>
            </w:r>
            <w:r w:rsidR="00260C3A">
              <w:rPr>
                <w:iCs/>
                <w:lang w:eastAsia="en-US"/>
              </w:rPr>
              <w:t xml:space="preserve"> </w:t>
            </w:r>
            <w:r w:rsidR="007F2EA9">
              <w:rPr>
                <w:iCs/>
                <w:lang w:eastAsia="en-US"/>
              </w:rPr>
              <w:t xml:space="preserve">kurā </w:t>
            </w:r>
            <w:r w:rsidR="00260C3A">
              <w:rPr>
                <w:iCs/>
                <w:lang w:eastAsia="en-US"/>
              </w:rPr>
              <w:t xml:space="preserve">tiks </w:t>
            </w:r>
            <w:r w:rsidR="007F2EA9">
              <w:rPr>
                <w:iCs/>
                <w:lang w:eastAsia="en-US"/>
              </w:rPr>
              <w:t xml:space="preserve">finansēta IKT projektu un citu IKT pasākumu īstenošana un attiecīgo pasākumu rezultātu uzturēšana, kā arī tiks reglamentēta tādu </w:t>
            </w:r>
            <w:r>
              <w:rPr>
                <w:iCs/>
                <w:lang w:eastAsia="en-US"/>
              </w:rPr>
              <w:t>valst</w:t>
            </w:r>
            <w:r w:rsidR="00384ED6">
              <w:rPr>
                <w:iCs/>
                <w:lang w:eastAsia="en-US"/>
              </w:rPr>
              <w:t xml:space="preserve">s budžeta pieprasījumu vērtēšana, kuri </w:t>
            </w:r>
            <w:r>
              <w:rPr>
                <w:iCs/>
                <w:lang w:eastAsia="en-US"/>
              </w:rPr>
              <w:t xml:space="preserve"> </w:t>
            </w:r>
            <w:r>
              <w:rPr>
                <w:iCs/>
                <w:lang w:eastAsia="en-US"/>
              </w:rPr>
              <w:t>saistī</w:t>
            </w:r>
            <w:r w:rsidR="00384ED6">
              <w:rPr>
                <w:iCs/>
                <w:lang w:eastAsia="en-US"/>
              </w:rPr>
              <w:t>ti</w:t>
            </w:r>
            <w:r>
              <w:rPr>
                <w:iCs/>
                <w:lang w:eastAsia="en-US"/>
              </w:rPr>
              <w:t xml:space="preserve"> ar finanšu līdzekļu piešķiršanu IKT pārvaldībai;</w:t>
            </w:r>
          </w:p>
          <w:p w:rsidR="00BC2F53" w:rsidP="00BC2F53" w14:paraId="583B0819" w14:textId="3FC92650">
            <w:pPr>
              <w:ind w:firstLine="170"/>
              <w:jc w:val="both"/>
              <w:rPr>
                <w:iCs/>
                <w:lang w:eastAsia="en-US"/>
              </w:rPr>
            </w:pPr>
            <w:r>
              <w:rPr>
                <w:iCs/>
                <w:lang w:eastAsia="en-US"/>
              </w:rPr>
              <w:t>4) </w:t>
            </w:r>
            <w:r w:rsidR="002137AF">
              <w:rPr>
                <w:iCs/>
                <w:lang w:eastAsia="en-US"/>
              </w:rPr>
              <w:t>IKT (</w:t>
            </w:r>
            <w:r w:rsidRPr="002137AF" w:rsidR="002137AF">
              <w:rPr>
                <w:iCs/>
                <w:lang w:eastAsia="en-US"/>
              </w:rPr>
              <w:t>tehnoloģisko</w:t>
            </w:r>
            <w:r w:rsidR="002137AF">
              <w:rPr>
                <w:iCs/>
                <w:lang w:eastAsia="en-US"/>
              </w:rPr>
              <w:t>)</w:t>
            </w:r>
            <w:r w:rsidRPr="002137AF" w:rsidR="002137AF">
              <w:rPr>
                <w:iCs/>
                <w:lang w:eastAsia="en-US"/>
              </w:rPr>
              <w:t xml:space="preserve"> resursu</w:t>
            </w:r>
            <w:r w:rsidR="003B257B">
              <w:rPr>
                <w:iCs/>
                <w:lang w:eastAsia="en-US"/>
              </w:rPr>
              <w:t xml:space="preserve"> </w:t>
            </w:r>
            <w:r w:rsidRPr="002137AF" w:rsidR="002137AF">
              <w:rPr>
                <w:iCs/>
                <w:lang w:eastAsia="en-US"/>
              </w:rPr>
              <w:t xml:space="preserve">un </w:t>
            </w:r>
            <w:r w:rsidR="003B257B">
              <w:rPr>
                <w:iCs/>
                <w:lang w:eastAsia="en-US"/>
              </w:rPr>
              <w:t>IKT (tehnoloģisko) pakalpojumu nodrošināšanas un lietošanas v</w:t>
            </w:r>
            <w:r w:rsidRPr="002137AF" w:rsidR="003B257B">
              <w:rPr>
                <w:iCs/>
                <w:lang w:eastAsia="en-US"/>
              </w:rPr>
              <w:t>ispārīgās prasības</w:t>
            </w:r>
            <w:r w:rsidR="002137AF">
              <w:rPr>
                <w:iCs/>
                <w:lang w:eastAsia="en-US"/>
              </w:rPr>
              <w:t>.</w:t>
            </w:r>
            <w:r w:rsidR="003C475A">
              <w:rPr>
                <w:iCs/>
                <w:lang w:eastAsia="en-US"/>
              </w:rPr>
              <w:t xml:space="preserve"> </w:t>
            </w:r>
            <w:r w:rsidR="0090602A">
              <w:rPr>
                <w:iCs/>
                <w:lang w:eastAsia="en-US"/>
              </w:rPr>
              <w:t>Š</w:t>
            </w:r>
            <w:r w:rsidR="003C475A">
              <w:rPr>
                <w:iCs/>
                <w:lang w:eastAsia="en-US"/>
              </w:rPr>
              <w:t xml:space="preserve">ie </w:t>
            </w:r>
            <w:r w:rsidR="0090602A">
              <w:rPr>
                <w:iCs/>
                <w:lang w:eastAsia="en-US"/>
              </w:rPr>
              <w:t>noteikum</w:t>
            </w:r>
            <w:r w:rsidR="003C475A">
              <w:rPr>
                <w:iCs/>
                <w:lang w:eastAsia="en-US"/>
              </w:rPr>
              <w:t>i</w:t>
            </w:r>
            <w:r w:rsidR="0090602A">
              <w:rPr>
                <w:iCs/>
                <w:lang w:eastAsia="en-US"/>
              </w:rPr>
              <w:t xml:space="preserve"> </w:t>
            </w:r>
            <w:r w:rsidR="003C475A">
              <w:rPr>
                <w:iCs/>
                <w:lang w:eastAsia="en-US"/>
              </w:rPr>
              <w:t>noteik</w:t>
            </w:r>
            <w:r w:rsidR="0090602A">
              <w:rPr>
                <w:iCs/>
                <w:lang w:eastAsia="en-US"/>
              </w:rPr>
              <w:t xml:space="preserve">s organizatoriskā un tehniskā rakstura prasības, </w:t>
            </w:r>
            <w:r w:rsidR="003C475A">
              <w:rPr>
                <w:iCs/>
                <w:lang w:eastAsia="en-US"/>
              </w:rPr>
              <w:t>kuras attiecas uz IKT (tehnoloģisk</w:t>
            </w:r>
            <w:r w:rsidR="00CF4070">
              <w:rPr>
                <w:iCs/>
                <w:lang w:eastAsia="en-US"/>
              </w:rPr>
              <w:t>o</w:t>
            </w:r>
            <w:r w:rsidR="003C475A">
              <w:rPr>
                <w:iCs/>
                <w:lang w:eastAsia="en-US"/>
              </w:rPr>
              <w:t>) resurs</w:t>
            </w:r>
            <w:r w:rsidR="00CF4070">
              <w:rPr>
                <w:iCs/>
                <w:lang w:eastAsia="en-US"/>
              </w:rPr>
              <w:t>u</w:t>
            </w:r>
            <w:r w:rsidR="003B257B">
              <w:rPr>
                <w:iCs/>
                <w:lang w:eastAsia="en-US"/>
              </w:rPr>
              <w:t>,</w:t>
            </w:r>
            <w:r w:rsidR="00CF4070">
              <w:rPr>
                <w:iCs/>
                <w:lang w:eastAsia="en-US"/>
              </w:rPr>
              <w:t xml:space="preserve"> </w:t>
            </w:r>
            <w:r w:rsidR="003C475A">
              <w:rPr>
                <w:iCs/>
                <w:lang w:eastAsia="en-US"/>
              </w:rPr>
              <w:t>ieskaitot informācijas sistēmas</w:t>
            </w:r>
            <w:r w:rsidR="003B257B">
              <w:rPr>
                <w:iCs/>
                <w:lang w:eastAsia="en-US"/>
              </w:rPr>
              <w:t>,</w:t>
            </w:r>
            <w:r w:rsidR="003C475A">
              <w:rPr>
                <w:iCs/>
                <w:lang w:eastAsia="en-US"/>
              </w:rPr>
              <w:t xml:space="preserve"> un ar tiem saistīt</w:t>
            </w:r>
            <w:r w:rsidR="00CF4070">
              <w:rPr>
                <w:iCs/>
                <w:lang w:eastAsia="en-US"/>
              </w:rPr>
              <w:t xml:space="preserve">o </w:t>
            </w:r>
            <w:r w:rsidR="003C475A">
              <w:rPr>
                <w:iCs/>
                <w:lang w:eastAsia="en-US"/>
              </w:rPr>
              <w:t xml:space="preserve">IKT </w:t>
            </w:r>
            <w:r w:rsidR="00F4187A">
              <w:rPr>
                <w:iCs/>
                <w:lang w:eastAsia="en-US"/>
              </w:rPr>
              <w:t xml:space="preserve">(tehnoloģisko) </w:t>
            </w:r>
            <w:r w:rsidR="003C475A">
              <w:rPr>
                <w:iCs/>
                <w:lang w:eastAsia="en-US"/>
              </w:rPr>
              <w:t>pakalpojum</w:t>
            </w:r>
            <w:r w:rsidR="00CF4070">
              <w:rPr>
                <w:iCs/>
                <w:lang w:eastAsia="en-US"/>
              </w:rPr>
              <w:t>u nodrošināšanu un lietošanu</w:t>
            </w:r>
            <w:r w:rsidR="003C475A">
              <w:rPr>
                <w:iCs/>
                <w:lang w:eastAsia="en-US"/>
              </w:rPr>
              <w:t>, kā arī IKT pārziņu un citu institūciju pienākumus</w:t>
            </w:r>
            <w:r w:rsidR="0090602A">
              <w:rPr>
                <w:iCs/>
                <w:lang w:eastAsia="en-US"/>
              </w:rPr>
              <w:t xml:space="preserve"> un tiesības, kas </w:t>
            </w:r>
            <w:r w:rsidR="003C475A">
              <w:rPr>
                <w:iCs/>
                <w:lang w:eastAsia="en-US"/>
              </w:rPr>
              <w:t xml:space="preserve">saistītas ar attiecīgo prasību </w:t>
            </w:r>
            <w:r w:rsidR="00D00D93">
              <w:rPr>
                <w:iCs/>
                <w:lang w:eastAsia="en-US"/>
              </w:rPr>
              <w:t>izpildi</w:t>
            </w:r>
            <w:r w:rsidR="0090602A">
              <w:rPr>
                <w:iCs/>
                <w:lang w:eastAsia="en-US"/>
              </w:rPr>
              <w:t>;</w:t>
            </w:r>
          </w:p>
          <w:p w:rsidR="0090602A" w:rsidRPr="005B7758" w:rsidP="003B257B" w14:paraId="583B081A" w14:textId="22CF98C4">
            <w:pPr>
              <w:ind w:firstLine="170"/>
              <w:jc w:val="both"/>
              <w:rPr>
                <w:iCs/>
                <w:lang w:eastAsia="en-US"/>
              </w:rPr>
            </w:pPr>
            <w:r>
              <w:rPr>
                <w:iCs/>
                <w:lang w:eastAsia="en-US"/>
              </w:rPr>
              <w:t>5) </w:t>
            </w:r>
            <w:r w:rsidRPr="00BC2F53" w:rsidR="00BC2F53">
              <w:rPr>
                <w:iCs/>
                <w:lang w:eastAsia="en-US"/>
              </w:rPr>
              <w:t>informācijas resursu nodrošināšana</w:t>
            </w:r>
            <w:r w:rsidR="003B257B">
              <w:rPr>
                <w:iCs/>
                <w:lang w:eastAsia="en-US"/>
              </w:rPr>
              <w:t>s un lietošanas v</w:t>
            </w:r>
            <w:r w:rsidRPr="00BC2F53" w:rsidR="003B257B">
              <w:rPr>
                <w:iCs/>
                <w:lang w:eastAsia="en-US"/>
              </w:rPr>
              <w:t>ispārīgās prasības</w:t>
            </w:r>
            <w:r w:rsidR="00CF4070">
              <w:rPr>
                <w:iCs/>
                <w:lang w:eastAsia="en-US"/>
              </w:rPr>
              <w:t>. Šie noteikumi noteiks organizatoriskā un tehniskā rakstura prasības, kuras attiecas uz informācijas resursu nodrošināšanu un lietošanu, kā arī informācijas pārziņu un citu institūciju pienākumus un tiesības, kas saistītas ar attiecīgo prasību izpildi.</w:t>
            </w:r>
          </w:p>
        </w:tc>
      </w:tr>
      <w:tr w14:paraId="583B082E" w14:textId="1124588B" w:rsidTr="003C272B">
        <w:tblPrEx>
          <w:tblW w:w="0" w:type="auto"/>
          <w:tblInd w:w="57" w:type="dxa"/>
          <w:tblLayout w:type="fixed"/>
          <w:tblLook w:val="01E0"/>
        </w:tblPrEx>
        <w:tc>
          <w:tcPr>
            <w:tcW w:w="454" w:type="dxa"/>
            <w:vMerge/>
            <w:tcMar>
              <w:top w:w="57" w:type="dxa"/>
              <w:left w:w="113" w:type="dxa"/>
              <w:bottom w:w="57" w:type="dxa"/>
              <w:right w:w="113" w:type="dxa"/>
            </w:tcMar>
          </w:tcPr>
          <w:p w:rsidR="00D61DDA" w:rsidRPr="00EF1D76" w:rsidP="00BA65F4" w14:paraId="583B081C" w14:textId="77777777">
            <w:pPr>
              <w:pStyle w:val="naiskr"/>
              <w:tabs>
                <w:tab w:val="left" w:pos="2628"/>
              </w:tabs>
              <w:spacing w:before="0" w:after="0"/>
              <w:jc w:val="center"/>
              <w:rPr>
                <w:iCs/>
              </w:rPr>
            </w:pPr>
          </w:p>
        </w:tc>
        <w:tc>
          <w:tcPr>
            <w:tcW w:w="1644" w:type="dxa"/>
            <w:vMerge/>
            <w:tcMar>
              <w:top w:w="57" w:type="dxa"/>
              <w:left w:w="113" w:type="dxa"/>
              <w:bottom w:w="57" w:type="dxa"/>
              <w:right w:w="113" w:type="dxa"/>
            </w:tcMar>
          </w:tcPr>
          <w:p w:rsidR="00D61DDA" w:rsidRPr="00EF1D76" w:rsidP="00BA65F4" w14:paraId="583B081D" w14:textId="77777777">
            <w:pPr>
              <w:pStyle w:val="naiskr"/>
              <w:tabs>
                <w:tab w:val="left" w:pos="2628"/>
              </w:tabs>
              <w:spacing w:before="0" w:after="0"/>
            </w:pPr>
          </w:p>
        </w:tc>
        <w:tc>
          <w:tcPr>
            <w:tcW w:w="7088" w:type="dxa"/>
            <w:tcMar>
              <w:top w:w="57" w:type="dxa"/>
              <w:left w:w="113" w:type="dxa"/>
              <w:bottom w:w="57" w:type="dxa"/>
              <w:right w:w="113" w:type="dxa"/>
            </w:tcMar>
          </w:tcPr>
          <w:p w:rsidR="00D61DDA" w:rsidP="00D61DDA" w14:paraId="583B081E" w14:textId="1DCA9683">
            <w:pPr>
              <w:pStyle w:val="naiskr"/>
              <w:tabs>
                <w:tab w:val="left" w:pos="2628"/>
              </w:tabs>
              <w:spacing w:before="0" w:after="0"/>
              <w:ind w:firstLine="170"/>
              <w:jc w:val="both"/>
              <w:rPr>
                <w:iCs/>
              </w:rPr>
            </w:pPr>
            <w:r>
              <w:rPr>
                <w:iCs/>
              </w:rPr>
              <w:t>2. </w:t>
            </w:r>
            <w:r>
              <w:rPr>
                <w:iCs/>
              </w:rPr>
              <w:t xml:space="preserve">Likumprojektam ir pievienots MK sēdes protokollēmuma projekts, </w:t>
            </w:r>
            <w:r w:rsidR="00D35757">
              <w:rPr>
                <w:iCs/>
              </w:rPr>
              <w:t xml:space="preserve">kas satur </w:t>
            </w:r>
            <w:r w:rsidR="00727B3F">
              <w:rPr>
                <w:iCs/>
              </w:rPr>
              <w:t xml:space="preserve">uzdevumu </w:t>
            </w:r>
            <w:r>
              <w:rPr>
                <w:iCs/>
              </w:rPr>
              <w:t>v</w:t>
            </w:r>
            <w:r w:rsidRPr="0090602A">
              <w:rPr>
                <w:iCs/>
              </w:rPr>
              <w:t xml:space="preserve">isām ministrijām </w:t>
            </w:r>
            <w:r w:rsidRPr="003D0478">
              <w:rPr>
                <w:iCs/>
              </w:rPr>
              <w:t xml:space="preserve">attiecīgo nozaru normatīvajos aktos, kuros ir ietverti Valsts informācijas sistēmu likumā lietotie termini, nepieciešamos grozījumus saistībā </w:t>
            </w:r>
            <w:r w:rsidR="00727B3F">
              <w:rPr>
                <w:iCs/>
              </w:rPr>
              <w:t xml:space="preserve">ar </w:t>
            </w:r>
            <w:r w:rsidRPr="003D0478">
              <w:rPr>
                <w:iCs/>
              </w:rPr>
              <w:t>likumprojektā lietoto terminoloģiju veikt kopā ar citiem (būtiskajiem) grozījumiem šajos normatīvajos aktos</w:t>
            </w:r>
            <w:r>
              <w:rPr>
                <w:rStyle w:val="FootnoteReference"/>
                <w:iCs/>
              </w:rPr>
              <w:footnoteReference w:id="17"/>
            </w:r>
            <w:r w:rsidR="00043774">
              <w:rPr>
                <w:iCs/>
              </w:rPr>
              <w:t>.</w:t>
            </w:r>
          </w:p>
          <w:p w:rsidR="001519F1" w:rsidP="00D61DDA" w14:paraId="583B081F" w14:textId="7FFCEC03">
            <w:pPr>
              <w:pStyle w:val="naiskr"/>
              <w:tabs>
                <w:tab w:val="left" w:pos="2628"/>
              </w:tabs>
              <w:spacing w:before="0" w:after="0"/>
              <w:ind w:firstLine="170"/>
              <w:jc w:val="both"/>
              <w:rPr>
                <w:iCs/>
              </w:rPr>
            </w:pPr>
            <w:r>
              <w:rPr>
                <w:iCs/>
              </w:rPr>
              <w:t>Šis uzdevums galvenokārt</w:t>
            </w:r>
            <w:r w:rsidR="00D61DDA">
              <w:rPr>
                <w:iCs/>
              </w:rPr>
              <w:t xml:space="preserve"> </w:t>
            </w:r>
            <w:r w:rsidR="00D35757">
              <w:rPr>
                <w:iCs/>
              </w:rPr>
              <w:t xml:space="preserve">ir </w:t>
            </w:r>
            <w:r w:rsidR="00D61DDA">
              <w:rPr>
                <w:iCs/>
              </w:rPr>
              <w:t xml:space="preserve">saistīts ar normatīvajiem aktiem, </w:t>
            </w:r>
            <w:r w:rsidRPr="0069131B" w:rsidR="00D61DDA">
              <w:rPr>
                <w:iCs/>
              </w:rPr>
              <w:t>kuri izstrādāti, ievērojot VIS likum</w:t>
            </w:r>
            <w:r w:rsidR="00D61DDA">
              <w:rPr>
                <w:iCs/>
              </w:rPr>
              <w:t xml:space="preserve">ā </w:t>
            </w:r>
            <w:r w:rsidRPr="0069131B" w:rsidR="00D61DDA">
              <w:rPr>
                <w:iCs/>
              </w:rPr>
              <w:t xml:space="preserve">noteiktās prasības attiecībā uz </w:t>
            </w:r>
            <w:r w:rsidR="00D61DDA">
              <w:rPr>
                <w:iCs/>
              </w:rPr>
              <w:t xml:space="preserve">katras konkrētas </w:t>
            </w:r>
            <w:r w:rsidRPr="0069131B" w:rsidR="00D61DDA">
              <w:rPr>
                <w:iCs/>
              </w:rPr>
              <w:t>VIS izveidošanas un darbības tiesisko pamatu</w:t>
            </w:r>
            <w:r>
              <w:rPr>
                <w:iCs/>
              </w:rPr>
              <w:t>.</w:t>
            </w:r>
          </w:p>
          <w:p w:rsidR="001519F1" w:rsidP="00D61DDA" w14:paraId="583B0820" w14:textId="77777777">
            <w:pPr>
              <w:pStyle w:val="naiskr"/>
              <w:tabs>
                <w:tab w:val="left" w:pos="2628"/>
              </w:tabs>
              <w:spacing w:before="0" w:after="0"/>
              <w:ind w:firstLine="170"/>
              <w:jc w:val="both"/>
            </w:pPr>
            <w:r>
              <w:t xml:space="preserve">Attiecīgie normatīvie akti netiek izdoti saskaņā ar VIS likumu, </w:t>
            </w:r>
            <w:r>
              <w:t xml:space="preserve">jo </w:t>
            </w:r>
            <w:r>
              <w:t>tie regulē institūciju darbību</w:t>
            </w:r>
            <w:r>
              <w:t xml:space="preserve">, kura </w:t>
            </w:r>
            <w:r w:rsidR="00D35757">
              <w:t>saistī</w:t>
            </w:r>
            <w:r>
              <w:t>ta</w:t>
            </w:r>
            <w:r w:rsidR="00D35757">
              <w:t xml:space="preserve"> </w:t>
            </w:r>
            <w:r>
              <w:t>ar valsts funkciju</w:t>
            </w:r>
            <w:r w:rsidR="00D35757">
              <w:t xml:space="preserve"> (</w:t>
            </w:r>
            <w:r>
              <w:t>arī pārvaldes uzdevumu</w:t>
            </w:r>
            <w:r w:rsidR="00D35757">
              <w:t>)</w:t>
            </w:r>
            <w:r>
              <w:t xml:space="preserve"> izpildi</w:t>
            </w:r>
            <w:r>
              <w:t xml:space="preserve"> un</w:t>
            </w:r>
            <w:r>
              <w:t xml:space="preserve"> kurai </w:t>
            </w:r>
            <w:r w:rsidR="00306C26">
              <w:t>informācijas apriti</w:t>
            </w:r>
            <w:r>
              <w:t xml:space="preserve"> nodrošina, lietojot VIS.</w:t>
            </w:r>
          </w:p>
          <w:p w:rsidR="00D61DDA" w:rsidRPr="00374201" w:rsidP="00D61DDA" w14:paraId="583B0821" w14:textId="77777777">
            <w:pPr>
              <w:pStyle w:val="naiskr"/>
              <w:tabs>
                <w:tab w:val="left" w:pos="2628"/>
              </w:tabs>
              <w:spacing w:before="0" w:after="0"/>
              <w:ind w:firstLine="170"/>
              <w:jc w:val="both"/>
              <w:rPr>
                <w:iCs/>
              </w:rPr>
            </w:pPr>
            <w:r>
              <w:t>Pēc VIS likuma spēka zaudēšanas</w:t>
            </w:r>
            <w:r>
              <w:rPr>
                <w:rStyle w:val="FootnoteReference"/>
              </w:rPr>
              <w:footnoteReference w:id="18"/>
            </w:r>
            <w:r>
              <w:t xml:space="preserve"> minētie normatīvie akti netiks atzīti par spēku zaudējušiem, jo tie</w:t>
            </w:r>
            <w:r w:rsidR="001519F1">
              <w:t>k</w:t>
            </w:r>
            <w:r>
              <w:t xml:space="preserve"> uzskat</w:t>
            </w:r>
            <w:r w:rsidR="001519F1">
              <w:t>īt</w:t>
            </w:r>
            <w:r>
              <w:t>i par tādu tiesisko pamatu, kas ļauj nodrošināt institūciju pārziņā esošās informācijas apriti ar IKT palīdzību atbilstoši likumprojektam</w:t>
            </w:r>
            <w:r>
              <w:rPr>
                <w:rStyle w:val="FootnoteReference"/>
              </w:rPr>
              <w:footnoteReference w:id="19"/>
            </w:r>
            <w:r>
              <w:t>.</w:t>
            </w:r>
          </w:p>
          <w:p w:rsidR="00D61DDA" w:rsidP="00D61DDA" w14:paraId="583B0822" w14:textId="77777777">
            <w:pPr>
              <w:pStyle w:val="naiskr"/>
              <w:tabs>
                <w:tab w:val="left" w:pos="2628"/>
              </w:tabs>
              <w:spacing w:before="0" w:after="0"/>
              <w:ind w:firstLine="170"/>
              <w:jc w:val="both"/>
              <w:rPr>
                <w:iCs/>
              </w:rPr>
            </w:pPr>
            <w:r>
              <w:t>Ņemot vērā, ka likumprojektā un VIS likumā lietotā terminoloģija ir atšķirīga, minētā uzdevuma izpilde novērsīs iespējamus interpretācijas riskus saistībā ar tādiem terminiem, kuru</w:t>
            </w:r>
            <w:r>
              <w:rPr>
                <w:iCs/>
              </w:rPr>
              <w:t xml:space="preserve"> skaidrojums nebūs saistošs, piemērojot attiecīgos normatīvos aktus, kad </w:t>
            </w:r>
            <w:r>
              <w:t>VIS likums zaudēs spēku.</w:t>
            </w:r>
          </w:p>
          <w:p w:rsidR="00D61DDA" w:rsidP="00D61DDA" w14:paraId="583B0823" w14:textId="77777777">
            <w:pPr>
              <w:pStyle w:val="naiskr"/>
              <w:tabs>
                <w:tab w:val="left" w:pos="2628"/>
              </w:tabs>
              <w:spacing w:before="0" w:after="0"/>
              <w:ind w:firstLine="170"/>
              <w:jc w:val="both"/>
            </w:pPr>
            <w:r>
              <w:t>Ievērojot likumprojektā un VIS likumā lietoto terminu skaidrojumu</w:t>
            </w:r>
            <w:r>
              <w:rPr>
                <w:rStyle w:val="FootnoteReference"/>
              </w:rPr>
              <w:footnoteReference w:id="20"/>
            </w:r>
            <w:r>
              <w:t xml:space="preserve"> un interpretācijas iespējas, VARAM ierosina attiecīgos terminus, kā arī ar tiem saistīto regulējumu, kuru ietver uzdevumā minētie normatīvie akti, interpretēt šādi:</w:t>
            </w:r>
          </w:p>
          <w:p w:rsidR="00D61DDA" w:rsidP="00D61DDA" w14:paraId="583B0824" w14:textId="7C4B2FC9">
            <w:pPr>
              <w:pStyle w:val="naiskr"/>
              <w:tabs>
                <w:tab w:val="left" w:pos="2628"/>
              </w:tabs>
              <w:spacing w:before="0" w:after="0"/>
              <w:ind w:firstLine="170"/>
              <w:jc w:val="both"/>
            </w:pPr>
            <w:r>
              <w:t>1) </w:t>
            </w:r>
            <w:r>
              <w:t xml:space="preserve">ja </w:t>
            </w:r>
            <w:r w:rsidR="000E27F8">
              <w:t>normatīv</w:t>
            </w:r>
            <w:r w:rsidR="00B20FAE">
              <w:t xml:space="preserve">o </w:t>
            </w:r>
            <w:r w:rsidR="000E27F8">
              <w:t>akt</w:t>
            </w:r>
            <w:r w:rsidR="00B20FAE">
              <w:t xml:space="preserve">u </w:t>
            </w:r>
            <w:r w:rsidR="000E27F8">
              <w:t xml:space="preserve">normas </w:t>
            </w:r>
            <w:r>
              <w:t xml:space="preserve">attiecas uz VIS (vai integrētu VIS) kā uz informācijas avotu, kas </w:t>
            </w:r>
            <w:r w:rsidR="007D40C7">
              <w:t>satur</w:t>
            </w:r>
            <w:r>
              <w:t xml:space="preserve"> kādas darbības īstenošanai nepieciešamo informāciju, tad </w:t>
            </w:r>
            <w:r w:rsidR="006C3BAF">
              <w:t xml:space="preserve">norādītā </w:t>
            </w:r>
            <w:r>
              <w:t>VIS (</w:t>
            </w:r>
            <w:r w:rsidR="006C3BAF">
              <w:t xml:space="preserve">arī </w:t>
            </w:r>
            <w:r>
              <w:t>tāda VIS, k</w:t>
            </w:r>
            <w:r w:rsidR="006C3BAF">
              <w:t>ur</w:t>
            </w:r>
            <w:r>
              <w:t xml:space="preserve">a ietilpst integrētā VIS) </w:t>
            </w:r>
            <w:r w:rsidR="006C3BAF">
              <w:t xml:space="preserve">šajās </w:t>
            </w:r>
            <w:r>
              <w:t>normās tiek uzskatīta par informācijas resursu, bet institūcija, kas norādīta kā VIS pārzinis, atbilstoši šīm normām īsteno informācijas pārziņa darbību, nodrošin</w:t>
            </w:r>
            <w:r w:rsidR="006C3BAF">
              <w:t>ot attiecīgo</w:t>
            </w:r>
            <w:r>
              <w:t xml:space="preserve"> informācijas</w:t>
            </w:r>
            <w:r w:rsidR="00C92D79">
              <w:t xml:space="preserve"> resursu. Savukārt VIS lietotājs</w:t>
            </w:r>
            <w:r>
              <w:t xml:space="preserve"> ir </w:t>
            </w:r>
            <w:r w:rsidR="007D40C7">
              <w:t xml:space="preserve">fiziskā vai juridiskā </w:t>
            </w:r>
            <w:r>
              <w:t>persona (</w:t>
            </w:r>
            <w:r w:rsidR="00C92D79">
              <w:t>arī institūcija</w:t>
            </w:r>
            <w:r>
              <w:t xml:space="preserve">), kas lieto </w:t>
            </w:r>
            <w:r>
              <w:t>VIS kā informācijas re</w:t>
            </w:r>
            <w:r w:rsidR="00C92D79">
              <w:t>sursu, bet VIS datu subjekts</w:t>
            </w:r>
            <w:r>
              <w:t xml:space="preserve"> ir tāda persona, </w:t>
            </w:r>
            <w:r w:rsidR="00FA01DA">
              <w:t>kas</w:t>
            </w:r>
            <w:r>
              <w:t xml:space="preserve"> sniedz datus iekļaušanai šajā </w:t>
            </w:r>
            <w:r w:rsidR="00C92D79">
              <w:t xml:space="preserve">VIS kā </w:t>
            </w:r>
            <w:r>
              <w:t>informācijas resursā;</w:t>
            </w:r>
          </w:p>
          <w:p w:rsidR="00D61DDA" w:rsidP="00D61DDA" w14:paraId="583B0825" w14:textId="6B753FB5">
            <w:pPr>
              <w:pStyle w:val="naiskr"/>
              <w:tabs>
                <w:tab w:val="left" w:pos="2628"/>
              </w:tabs>
              <w:spacing w:before="0" w:after="0"/>
              <w:ind w:firstLine="170"/>
              <w:jc w:val="both"/>
            </w:pPr>
            <w:r>
              <w:rPr>
                <w:iCs/>
              </w:rPr>
              <w:t>2) </w:t>
            </w:r>
            <w:r>
              <w:t>ja normatīv</w:t>
            </w:r>
            <w:r w:rsidR="00754918">
              <w:t xml:space="preserve">o </w:t>
            </w:r>
            <w:r>
              <w:t>akt</w:t>
            </w:r>
            <w:r w:rsidR="00754918">
              <w:t xml:space="preserve">u </w:t>
            </w:r>
            <w:r>
              <w:t xml:space="preserve">normas attiecas uz VIS (vai integrētu VIS) kā uz IKT </w:t>
            </w:r>
            <w:r w:rsidR="007960F0">
              <w:t>līdzekli</w:t>
            </w:r>
            <w:r>
              <w:t xml:space="preserve">, ar kura palīdzību </w:t>
            </w:r>
            <w:r w:rsidR="007960F0">
              <w:t xml:space="preserve">tiek </w:t>
            </w:r>
            <w:r>
              <w:t>nodrošin</w:t>
            </w:r>
            <w:r w:rsidR="007960F0">
              <w:t>āta</w:t>
            </w:r>
            <w:r>
              <w:t xml:space="preserve"> informācijas apri</w:t>
            </w:r>
            <w:r w:rsidR="00272449">
              <w:t>t</w:t>
            </w:r>
            <w:r w:rsidR="00E378F0">
              <w:t>e</w:t>
            </w:r>
            <w:r w:rsidR="00272449">
              <w:t xml:space="preserve">, </w:t>
            </w:r>
            <w:r w:rsidR="00E378F0">
              <w:t xml:space="preserve">tad norādītā VIS (arī tāda VIS, kura ietilpst integrētā VIS) šajās normās </w:t>
            </w:r>
            <w:r>
              <w:t xml:space="preserve">tiek uzskatīta par informācijas sistēmu jeb IKT (tehnoloģisko) resursu, bet institūcija, kas norādīta kā VIS pārzinis, atbilstoši šīm normām īsteno IKT pārziņa darbību, </w:t>
            </w:r>
            <w:r w:rsidR="00E378F0">
              <w:t>nodrošinot</w:t>
            </w:r>
            <w:r>
              <w:t xml:space="preserve"> </w:t>
            </w:r>
            <w:r w:rsidR="00E378F0">
              <w:t xml:space="preserve">attiecīgo </w:t>
            </w:r>
            <w:r>
              <w:t xml:space="preserve">informācijas sistēmu. Savukārt </w:t>
            </w:r>
            <w:r w:rsidR="00C92D79">
              <w:t>VIS lietotājs</w:t>
            </w:r>
            <w:r w:rsidR="007D40C7">
              <w:t xml:space="preserve"> ir fizisk</w:t>
            </w:r>
            <w:r w:rsidR="00C92D79">
              <w:t>ā</w:t>
            </w:r>
            <w:r w:rsidR="007D40C7">
              <w:t xml:space="preserve"> vai juridisk</w:t>
            </w:r>
            <w:r w:rsidR="00C92D79">
              <w:t>ā</w:t>
            </w:r>
            <w:r w:rsidR="007D40C7">
              <w:t xml:space="preserve"> </w:t>
            </w:r>
            <w:r w:rsidR="00C92D79">
              <w:t>persona</w:t>
            </w:r>
            <w:r w:rsidR="007D40C7">
              <w:t xml:space="preserve"> (</w:t>
            </w:r>
            <w:r w:rsidR="00C92D79">
              <w:t>arī institūcija</w:t>
            </w:r>
            <w:r w:rsidR="007D40C7">
              <w:t xml:space="preserve">), </w:t>
            </w:r>
            <w:r>
              <w:t>ka</w:t>
            </w:r>
            <w:r w:rsidR="00272449">
              <w:t>s</w:t>
            </w:r>
            <w:r>
              <w:t xml:space="preserve"> lieto VIS kā informācijas sistēmu, lai veiktu ar tās palīdzību tādas </w:t>
            </w:r>
            <w:r w:rsidRPr="00D57150">
              <w:t xml:space="preserve">funkcionāli </w:t>
            </w:r>
            <w:r w:rsidR="003F662B">
              <w:t>iespējamas</w:t>
            </w:r>
            <w:r w:rsidRPr="00D57150">
              <w:t xml:space="preserve"> darbības, kas saistītas ar </w:t>
            </w:r>
            <w:r w:rsidR="007D40C7">
              <w:t xml:space="preserve">VIS </w:t>
            </w:r>
            <w:r w:rsidR="00B24C53">
              <w:t xml:space="preserve">kā </w:t>
            </w:r>
            <w:r w:rsidR="007D40C7">
              <w:t>informācijas resursā</w:t>
            </w:r>
            <w:r w:rsidRPr="00D57150">
              <w:t xml:space="preserve"> </w:t>
            </w:r>
            <w:r w:rsidR="00B24C53">
              <w:t>iekļaujamās</w:t>
            </w:r>
            <w:r w:rsidRPr="00D57150" w:rsidR="00B24C53">
              <w:t xml:space="preserve"> </w:t>
            </w:r>
            <w:r w:rsidRPr="00D57150">
              <w:t>informācijas apstrādi</w:t>
            </w:r>
            <w:r>
              <w:t>;</w:t>
            </w:r>
          </w:p>
          <w:p w:rsidR="00D61DDA" w:rsidP="00D61DDA" w14:paraId="583B0826" w14:textId="0C19EF2E">
            <w:pPr>
              <w:pStyle w:val="naiskr"/>
              <w:tabs>
                <w:tab w:val="left" w:pos="2628"/>
              </w:tabs>
              <w:spacing w:before="0" w:after="0"/>
              <w:ind w:firstLine="170"/>
              <w:jc w:val="both"/>
            </w:pPr>
            <w:r>
              <w:t>3) </w:t>
            </w:r>
            <w:r>
              <w:t>ja normatīv</w:t>
            </w:r>
            <w:r w:rsidR="00C72615">
              <w:t xml:space="preserve">o </w:t>
            </w:r>
            <w:r>
              <w:t>akt</w:t>
            </w:r>
            <w:r w:rsidR="00C72615">
              <w:t>u norma</w:t>
            </w:r>
            <w:r>
              <w:t xml:space="preserve">s </w:t>
            </w:r>
            <w:r w:rsidR="00C72615">
              <w:t>attiecas uz tādu VIS turētāju, kas</w:t>
            </w:r>
            <w:r>
              <w:t xml:space="preserve"> nav VIS pārzinis, tad tiek uzskatīts, ka, lietojot attiecīgo VIS, atbildību par informācijas aprites nodrošināšanu paredzēts sadalīt starp dažādām institūcijām</w:t>
            </w:r>
            <w:r w:rsidR="00556E1F">
              <w:t xml:space="preserve">, un, līdz ar to, </w:t>
            </w:r>
            <w:r>
              <w:t xml:space="preserve">institūcija, </w:t>
            </w:r>
            <w:r w:rsidR="00095940">
              <w:t>kas</w:t>
            </w:r>
            <w:r>
              <w:t xml:space="preserve"> veic VIS turētāja funkcijas, atbilstoši </w:t>
            </w:r>
            <w:r w:rsidR="00556E1F">
              <w:t xml:space="preserve">šīm </w:t>
            </w:r>
            <w:r>
              <w:t>normām īsteno IKT pārziņa darbību, nodrošin</w:t>
            </w:r>
            <w:r w:rsidR="00C72615">
              <w:t>ot</w:t>
            </w:r>
            <w:r>
              <w:t xml:space="preserve"> </w:t>
            </w:r>
            <w:r w:rsidR="00556E1F">
              <w:t xml:space="preserve">attiecīgo </w:t>
            </w:r>
            <w:r>
              <w:t xml:space="preserve">VIS kā informācijas sistēmu jeb IKT (tehnoloģisko) resursu, bet VIS pārzinis īsteno </w:t>
            </w:r>
            <w:r w:rsidR="00556E1F">
              <w:t xml:space="preserve">tādas </w:t>
            </w:r>
            <w:r>
              <w:t xml:space="preserve">informācijas pārziņa darbību, </w:t>
            </w:r>
            <w:r w:rsidR="00556E1F">
              <w:t xml:space="preserve">kas iekļaujama VIS, </w:t>
            </w:r>
            <w:r>
              <w:t xml:space="preserve">nodrošinot informācijas resursu, kas ietver </w:t>
            </w:r>
            <w:r w:rsidR="00556E1F">
              <w:t xml:space="preserve">šo </w:t>
            </w:r>
            <w:r>
              <w:t>informāciju;</w:t>
            </w:r>
          </w:p>
          <w:p w:rsidR="00D61DDA" w:rsidP="00D61DDA" w14:paraId="583B0827" w14:textId="59F964E4">
            <w:pPr>
              <w:pStyle w:val="naiskr"/>
              <w:tabs>
                <w:tab w:val="left" w:pos="2628"/>
              </w:tabs>
              <w:spacing w:before="0" w:after="0"/>
              <w:ind w:firstLine="170"/>
              <w:jc w:val="both"/>
            </w:pPr>
            <w:r>
              <w:t>4) </w:t>
            </w:r>
            <w:r>
              <w:t>normatīv</w:t>
            </w:r>
            <w:r w:rsidR="00E850DF">
              <w:t>o</w:t>
            </w:r>
            <w:r>
              <w:t xml:space="preserve"> akt</w:t>
            </w:r>
            <w:r w:rsidR="00E850DF">
              <w:t>u</w:t>
            </w:r>
            <w:r>
              <w:t xml:space="preserve"> normās norādītais VIS savietotājs tiek uzskatīts par </w:t>
            </w:r>
            <w:r w:rsidR="00E850DF">
              <w:t xml:space="preserve">informācijas sistēmu jeb tādu </w:t>
            </w:r>
            <w:r>
              <w:t>IKT (tehnoloģisko) resursu, ar kura palīdzību var nodrošināt informācijas apriti starp dažādām informācijas sistēmām, savukārt institūcija, kas norādīta kā VIS savietotāja pārzinis, atbilstoši šīm normām veic IKT pārziņa darbību, nodrošin</w:t>
            </w:r>
            <w:r w:rsidR="00053722">
              <w:t>ot</w:t>
            </w:r>
            <w:r>
              <w:t xml:space="preserve"> </w:t>
            </w:r>
            <w:r w:rsidR="00053722">
              <w:t xml:space="preserve">attiecīgo </w:t>
            </w:r>
            <w:r>
              <w:t>VIS savietotāju kā informācijas sistēmu.</w:t>
            </w:r>
          </w:p>
          <w:p w:rsidR="00D61DDA" w:rsidP="00D61DDA" w14:paraId="583B0828" w14:textId="77777777">
            <w:pPr>
              <w:pStyle w:val="naiskr"/>
              <w:tabs>
                <w:tab w:val="left" w:pos="2628"/>
              </w:tabs>
              <w:spacing w:before="0" w:after="0"/>
              <w:ind w:firstLine="170"/>
              <w:jc w:val="both"/>
            </w:pPr>
            <w:r>
              <w:t xml:space="preserve">Ievērojot iepriekšminēto, attiecīgos normatīvos aktus var piemērot arī pēc VIS likuma spēkā zaudēšanas, interpretējot </w:t>
            </w:r>
            <w:r w:rsidR="000A1E12">
              <w:t xml:space="preserve">tajos ietvertās </w:t>
            </w:r>
            <w:r>
              <w:t>normas atbilstoši likumprojektā ietvertajam regulējumam.</w:t>
            </w:r>
          </w:p>
          <w:p w:rsidR="00D61DDA" w:rsidP="00D61DDA" w14:paraId="583B0829" w14:textId="77777777">
            <w:pPr>
              <w:pStyle w:val="naiskr"/>
              <w:tabs>
                <w:tab w:val="left" w:pos="2628"/>
              </w:tabs>
              <w:spacing w:before="0" w:after="0"/>
              <w:ind w:firstLine="170"/>
              <w:jc w:val="both"/>
            </w:pPr>
            <w:r>
              <w:t>Savukārt, lai mazinātu administratīvo slogu, kas saistīts ar grozījumu veikšanu attiecīgajos normatīvajos aktos, ja rodas interpretācijas riski, VARAM ierosina nepieciešamos grozījumus veikt tikai kopā ar citiem (būtiskajiem) grozījumiem šajos normatīvajos aktos.</w:t>
            </w:r>
          </w:p>
          <w:p w:rsidR="00B05889" w:rsidP="00D61DDA" w14:paraId="583B082A" w14:textId="77777777">
            <w:pPr>
              <w:pStyle w:val="naiskr"/>
              <w:tabs>
                <w:tab w:val="left" w:pos="2628"/>
              </w:tabs>
              <w:spacing w:before="0" w:after="0"/>
              <w:ind w:firstLine="170"/>
              <w:jc w:val="both"/>
            </w:pPr>
            <w:r>
              <w:t xml:space="preserve">VARAM norāda, ka </w:t>
            </w:r>
            <w:r w:rsidR="0094522B">
              <w:t>uzdevumā minētajos</w:t>
            </w:r>
            <w:r w:rsidR="00043774">
              <w:t xml:space="preserve"> normatīvajos aktos saistībā ar VIS likuma spēka zaudēšanu </w:t>
            </w:r>
            <w:r>
              <w:t xml:space="preserve">nav </w:t>
            </w:r>
            <w:r w:rsidR="0094522B">
              <w:t xml:space="preserve">jāveic </w:t>
            </w:r>
            <w:r>
              <w:t>grozījumi</w:t>
            </w:r>
            <w:r w:rsidR="00CB44A8">
              <w:t xml:space="preserve"> attiecībā uz:</w:t>
            </w:r>
          </w:p>
          <w:p w:rsidR="00CB44A8" w:rsidP="00CB44A8" w14:paraId="583B082B" w14:textId="404E75E4">
            <w:pPr>
              <w:pStyle w:val="naiskr"/>
              <w:tabs>
                <w:tab w:val="left" w:pos="2628"/>
              </w:tabs>
              <w:spacing w:before="0" w:after="0"/>
              <w:ind w:firstLine="170"/>
              <w:jc w:val="both"/>
            </w:pPr>
            <w:r>
              <w:t>1) </w:t>
            </w:r>
            <w:r>
              <w:t xml:space="preserve">VIS pārzinim noteiktajām funkcijām, uzdevumiem un mērķiem, kuru izpildei nepieciešamās informācijas apriti nodrošina, izveidojot VIS, un kuras </w:t>
            </w:r>
            <w:r w:rsidR="00D82DE8">
              <w:t xml:space="preserve">atbilstoši VIS likumam </w:t>
            </w:r>
            <w:r>
              <w:t>ir jānorāda normatīvajos aktos. Proti, attiecīgās funkcijas, uzdevumi un mērķi tiek uzskatīti par tādiem informācijas aprites mērķiem (</w:t>
            </w:r>
            <w:r w:rsidR="003E324E">
              <w:t xml:space="preserve">tai skaitā valsts </w:t>
            </w:r>
            <w:r w:rsidR="00D82DE8">
              <w:t xml:space="preserve">pārvaldes </w:t>
            </w:r>
            <w:r w:rsidR="003E324E">
              <w:t>funkcijām un uzdevumiem</w:t>
            </w:r>
            <w:r>
              <w:t xml:space="preserve">), kuru izpildei ir nepieciešama apritē esošā informācija un kuri atbilstoši likumprojektam </w:t>
            </w:r>
            <w:r w:rsidR="008B5D92">
              <w:t xml:space="preserve">ir </w:t>
            </w:r>
            <w:r>
              <w:t>jānorāda normatīvajos aktos</w:t>
            </w:r>
            <w:r w:rsidR="005D3A10">
              <w:t xml:space="preserve"> par </w:t>
            </w:r>
            <w:r>
              <w:t>informācijas aprit</w:t>
            </w:r>
            <w:r w:rsidR="00D82DE8">
              <w:t>es nodrošināšan</w:t>
            </w:r>
            <w:r w:rsidR="005D3A10">
              <w:t xml:space="preserve">u </w:t>
            </w:r>
            <w:r w:rsidR="00D82DE8">
              <w:t>ar IKT palīdzību</w:t>
            </w:r>
            <w:r w:rsidR="00156089">
              <w:t>;</w:t>
            </w:r>
          </w:p>
          <w:p w:rsidR="00156089" w:rsidP="00146447" w14:paraId="583B082C" w14:textId="1D0D7C61">
            <w:pPr>
              <w:pStyle w:val="naiskr"/>
              <w:tabs>
                <w:tab w:val="left" w:pos="2628"/>
              </w:tabs>
              <w:spacing w:before="0" w:after="0"/>
              <w:ind w:firstLine="170"/>
              <w:jc w:val="both"/>
            </w:pPr>
            <w:r>
              <w:rPr>
                <w:iCs/>
              </w:rPr>
              <w:t>2) </w:t>
            </w:r>
            <w:r w:rsidR="00146447">
              <w:rPr>
                <w:iCs/>
              </w:rPr>
              <w:t xml:space="preserve">VIS iekļaujamās informācijas nodošanas </w:t>
            </w:r>
            <w:r>
              <w:t xml:space="preserve">kārtību </w:t>
            </w:r>
            <w:r w:rsidR="00146447">
              <w:t xml:space="preserve">un </w:t>
            </w:r>
            <w:r>
              <w:t>nosacījumiem piekļuves nodrošināšanai VIS iekļautajai informācijai</w:t>
            </w:r>
            <w:r w:rsidR="00146447">
              <w:t xml:space="preserve">, kuri </w:t>
            </w:r>
            <w:r w:rsidR="00B86811">
              <w:t xml:space="preserve">atbilstoši VIS likumam </w:t>
            </w:r>
            <w:r w:rsidR="00146447">
              <w:t xml:space="preserve">ir jānorāda normatīvajos aktos. Proti, attiecīgā kārtība un piekļuves nosacījumi tiek uzskatīti </w:t>
            </w:r>
            <w:r w:rsidR="008943B2">
              <w:t xml:space="preserve">par informācijas aprites kārtību un apstrādes nosacījumiem, kuri ir jāievēro, lietojot informācijas sistēmu vai ar to saistītos IKT (tehnoloģiskos) pakalpojumus, un </w:t>
            </w:r>
            <w:r w:rsidR="00B14251">
              <w:t xml:space="preserve">kuri atbilstoši likumprojektam ir </w:t>
            </w:r>
            <w:r w:rsidR="004060EC">
              <w:t>jānorāda normatīvajos aktos par informācijas aprites nodrošināšanu ar IKT palīdzību</w:t>
            </w:r>
            <w:r w:rsidR="008943B2">
              <w:t>.</w:t>
            </w:r>
          </w:p>
          <w:p w:rsidR="008943B2" w:rsidP="00EF64E1" w14:paraId="583B082D" w14:textId="77777777">
            <w:pPr>
              <w:pStyle w:val="naiskr"/>
              <w:tabs>
                <w:tab w:val="left" w:pos="2628"/>
              </w:tabs>
              <w:spacing w:before="0" w:after="0"/>
              <w:ind w:firstLine="170"/>
              <w:jc w:val="both"/>
              <w:rPr>
                <w:iCs/>
              </w:rPr>
            </w:pPr>
            <w:r>
              <w:rPr>
                <w:iCs/>
              </w:rPr>
              <w:t xml:space="preserve">Savukārt, ja rodas nepieciešamība grozīt attiecīgos normatīvos aktus, </w:t>
            </w:r>
            <w:r>
              <w:rPr>
                <w:iCs/>
              </w:rPr>
              <w:t xml:space="preserve">lai aktualizētu tajos norādītās funkcijas, uzdevumus vai mērķus, kā arī kārtību </w:t>
            </w:r>
            <w:r w:rsidR="00EF64E1">
              <w:rPr>
                <w:iCs/>
              </w:rPr>
              <w:t>vai</w:t>
            </w:r>
            <w:r>
              <w:rPr>
                <w:iCs/>
              </w:rPr>
              <w:t xml:space="preserve"> piekļuves nosacījumus, kas saistīti ar informācijas aprites nodrošināšanu, tad nepieciešamie grozījumi (pēc VIS likuma spēka zaudēšanas) jāveic, ievērojot likumprojektā ietverto regulējumu.</w:t>
            </w:r>
          </w:p>
        </w:tc>
      </w:tr>
      <w:tr w14:paraId="583B0834" w14:textId="489B74B1" w:rsidTr="003C272B">
        <w:tblPrEx>
          <w:tblW w:w="0" w:type="auto"/>
          <w:tblInd w:w="57" w:type="dxa"/>
          <w:tblLayout w:type="fixed"/>
          <w:tblLook w:val="01E0"/>
        </w:tblPrEx>
        <w:tc>
          <w:tcPr>
            <w:tcW w:w="454" w:type="dxa"/>
            <w:vMerge/>
            <w:tcMar>
              <w:top w:w="57" w:type="dxa"/>
              <w:left w:w="113" w:type="dxa"/>
              <w:bottom w:w="57" w:type="dxa"/>
              <w:right w:w="113" w:type="dxa"/>
            </w:tcMar>
          </w:tcPr>
          <w:p w:rsidR="005D1B30" w:rsidRPr="00EF1D76" w:rsidP="00BA65F4" w14:paraId="583B082F" w14:textId="77777777">
            <w:pPr>
              <w:pStyle w:val="naiskr"/>
              <w:tabs>
                <w:tab w:val="left" w:pos="2628"/>
              </w:tabs>
              <w:spacing w:before="0" w:after="0"/>
              <w:jc w:val="center"/>
              <w:rPr>
                <w:iCs/>
              </w:rPr>
            </w:pPr>
          </w:p>
        </w:tc>
        <w:tc>
          <w:tcPr>
            <w:tcW w:w="1644" w:type="dxa"/>
            <w:vMerge/>
            <w:tcMar>
              <w:top w:w="57" w:type="dxa"/>
              <w:left w:w="113" w:type="dxa"/>
              <w:bottom w:w="57" w:type="dxa"/>
              <w:right w:w="113" w:type="dxa"/>
            </w:tcMar>
          </w:tcPr>
          <w:p w:rsidR="005D1B30" w:rsidRPr="00EF1D76" w:rsidP="00BA65F4" w14:paraId="583B0830" w14:textId="77777777">
            <w:pPr>
              <w:pStyle w:val="naiskr"/>
              <w:tabs>
                <w:tab w:val="left" w:pos="2628"/>
              </w:tabs>
              <w:spacing w:before="0" w:after="0"/>
            </w:pPr>
          </w:p>
        </w:tc>
        <w:tc>
          <w:tcPr>
            <w:tcW w:w="7088" w:type="dxa"/>
            <w:tcMar>
              <w:top w:w="57" w:type="dxa"/>
              <w:left w:w="113" w:type="dxa"/>
              <w:bottom w:w="57" w:type="dxa"/>
              <w:right w:w="113" w:type="dxa"/>
            </w:tcMar>
          </w:tcPr>
          <w:p w:rsidR="005D1B30" w:rsidP="00D229FF" w14:paraId="583B0831" w14:textId="64BBDFEA">
            <w:pPr>
              <w:pStyle w:val="naiskr"/>
              <w:tabs>
                <w:tab w:val="left" w:pos="2628"/>
              </w:tabs>
              <w:spacing w:before="0" w:after="0"/>
              <w:ind w:firstLine="170"/>
              <w:jc w:val="both"/>
              <w:rPr>
                <w:iCs/>
              </w:rPr>
            </w:pPr>
            <w:r>
              <w:rPr>
                <w:iCs/>
              </w:rPr>
              <w:t>3. </w:t>
            </w:r>
            <w:r w:rsidR="00D229FF">
              <w:rPr>
                <w:iCs/>
              </w:rPr>
              <w:t xml:space="preserve">Ievērojot likumprojektā ietverto regulējumu, VARAM uzskata par lietderīgu </w:t>
            </w:r>
            <w:r w:rsidR="00851D4C">
              <w:rPr>
                <w:iCs/>
              </w:rPr>
              <w:t>izvērtēt nepieciešamību veikt grozījumus</w:t>
            </w:r>
            <w:r w:rsidR="004B5BC6">
              <w:rPr>
                <w:iCs/>
              </w:rPr>
              <w:t>:</w:t>
            </w:r>
          </w:p>
          <w:p w:rsidR="00461FE5" w:rsidP="00FD3C5F" w14:paraId="583B0832" w14:textId="1689F2CC">
            <w:pPr>
              <w:pStyle w:val="naiskr"/>
              <w:tabs>
                <w:tab w:val="left" w:pos="2628"/>
              </w:tabs>
              <w:spacing w:before="0" w:after="0"/>
              <w:ind w:firstLine="170"/>
              <w:jc w:val="both"/>
              <w:rPr>
                <w:iCs/>
                <w:lang w:eastAsia="en-US"/>
              </w:rPr>
            </w:pPr>
            <w:r>
              <w:rPr>
                <w:iCs/>
              </w:rPr>
              <w:t>1) </w:t>
            </w:r>
            <w:r w:rsidR="004B5BC6">
              <w:rPr>
                <w:iCs/>
              </w:rPr>
              <w:t xml:space="preserve">normatīvajos aktos par Eiropas Savienības struktūrfondu </w:t>
            </w:r>
            <w:r w:rsidRPr="00AB5852" w:rsidR="004B5BC6">
              <w:rPr>
                <w:iCs/>
              </w:rPr>
              <w:t>2014.</w:t>
            </w:r>
            <w:r w:rsidR="004B5BC6">
              <w:rPr>
                <w:iCs/>
              </w:rPr>
              <w:t xml:space="preserve"> - </w:t>
            </w:r>
            <w:r w:rsidRPr="00AB5852" w:rsidR="004B5BC6">
              <w:rPr>
                <w:iCs/>
              </w:rPr>
              <w:t>2020.</w:t>
            </w:r>
            <w:r w:rsidR="006F306A">
              <w:rPr>
                <w:iCs/>
              </w:rPr>
              <w:t> </w:t>
            </w:r>
            <w:r w:rsidRPr="00AB5852" w:rsidR="004B5BC6">
              <w:rPr>
                <w:iCs/>
              </w:rPr>
              <w:t>gada plānošanas perioda vadīb</w:t>
            </w:r>
            <w:r w:rsidR="004B5BC6">
              <w:rPr>
                <w:iCs/>
              </w:rPr>
              <w:t>u</w:t>
            </w:r>
            <w:r w:rsidR="00851D4C">
              <w:rPr>
                <w:iCs/>
              </w:rPr>
              <w:t>, kas</w:t>
            </w:r>
            <w:r w:rsidR="004B5BC6">
              <w:rPr>
                <w:iCs/>
              </w:rPr>
              <w:t xml:space="preserve"> no</w:t>
            </w:r>
            <w:r w:rsidR="00851D4C">
              <w:rPr>
                <w:iCs/>
              </w:rPr>
              <w:t xml:space="preserve">saka </w:t>
            </w:r>
            <w:r w:rsidR="004B5BC6">
              <w:rPr>
                <w:iCs/>
              </w:rPr>
              <w:t>kārtību attiecībā uz ERAF</w:t>
            </w:r>
            <w:r w:rsidRPr="00F80268" w:rsidR="004B5BC6">
              <w:rPr>
                <w:iCs/>
              </w:rPr>
              <w:t xml:space="preserve"> ietvaros īsteno</w:t>
            </w:r>
            <w:r w:rsidR="00CE76FA">
              <w:rPr>
                <w:iCs/>
              </w:rPr>
              <w:t>jamo</w:t>
            </w:r>
            <w:r w:rsidRPr="00F80268" w:rsidR="004B5BC6">
              <w:rPr>
                <w:iCs/>
              </w:rPr>
              <w:t xml:space="preserve"> </w:t>
            </w:r>
            <w:r w:rsidR="004B5BC6">
              <w:rPr>
                <w:iCs/>
              </w:rPr>
              <w:t>VIS attīstības projektu uzraudzību</w:t>
            </w:r>
            <w:r>
              <w:rPr>
                <w:rStyle w:val="FootnoteReference"/>
                <w:iCs/>
              </w:rPr>
              <w:footnoteReference w:id="21"/>
            </w:r>
            <w:r w:rsidR="004B5BC6">
              <w:rPr>
                <w:iCs/>
              </w:rPr>
              <w:t>.</w:t>
            </w:r>
            <w:r w:rsidR="00851D4C">
              <w:rPr>
                <w:iCs/>
              </w:rPr>
              <w:t xml:space="preserve"> </w:t>
            </w:r>
            <w:r w:rsidR="00B83530">
              <w:rPr>
                <w:iCs/>
              </w:rPr>
              <w:t xml:space="preserve">Proti, ievērojot </w:t>
            </w:r>
            <w:r w:rsidR="00851D4C">
              <w:rPr>
                <w:iCs/>
              </w:rPr>
              <w:t xml:space="preserve">VIS likumā noteikto, </w:t>
            </w:r>
            <w:r w:rsidR="00B4296F">
              <w:rPr>
                <w:iCs/>
              </w:rPr>
              <w:t xml:space="preserve">šajos </w:t>
            </w:r>
            <w:r w:rsidR="00851D4C">
              <w:rPr>
                <w:iCs/>
              </w:rPr>
              <w:t>normatīvajos aktos minēt</w:t>
            </w:r>
            <w:r w:rsidR="000E27F8">
              <w:rPr>
                <w:iCs/>
              </w:rPr>
              <w:t>o</w:t>
            </w:r>
            <w:r w:rsidR="00851D4C">
              <w:rPr>
                <w:iCs/>
              </w:rPr>
              <w:t xml:space="preserve"> VIS</w:t>
            </w:r>
            <w:r w:rsidR="000E27F8">
              <w:rPr>
                <w:iCs/>
              </w:rPr>
              <w:t>, kā</w:t>
            </w:r>
            <w:r w:rsidR="00687C0D">
              <w:rPr>
                <w:iCs/>
              </w:rPr>
              <w:t xml:space="preserve"> arī </w:t>
            </w:r>
            <w:r w:rsidR="002C7231">
              <w:rPr>
                <w:iCs/>
              </w:rPr>
              <w:t>VIS</w:t>
            </w:r>
            <w:r w:rsidR="00687C0D">
              <w:rPr>
                <w:iCs/>
              </w:rPr>
              <w:t xml:space="preserve"> savietotāju</w:t>
            </w:r>
            <w:r w:rsidR="00851D4C">
              <w:rPr>
                <w:iCs/>
              </w:rPr>
              <w:t xml:space="preserve"> </w:t>
            </w:r>
            <w:r w:rsidR="00687C0D">
              <w:rPr>
                <w:iCs/>
              </w:rPr>
              <w:t xml:space="preserve">pēc būtības var uzskatīt par </w:t>
            </w:r>
            <w:r w:rsidR="00687C0D">
              <w:t>informācijas sistēm</w:t>
            </w:r>
            <w:r w:rsidR="000E27F8">
              <w:t>u</w:t>
            </w:r>
            <w:r w:rsidR="00851D4C">
              <w:t xml:space="preserve"> jeb IKT (tehnoloģisk</w:t>
            </w:r>
            <w:r w:rsidR="000E27F8">
              <w:t>o</w:t>
            </w:r>
            <w:r w:rsidR="00851D4C">
              <w:t>) resurs</w:t>
            </w:r>
            <w:r w:rsidR="000E27F8">
              <w:t>u</w:t>
            </w:r>
            <w:r w:rsidR="00851D4C">
              <w:t xml:space="preserve"> l</w:t>
            </w:r>
            <w:r w:rsidR="00BF0877">
              <w:t>ik</w:t>
            </w:r>
            <w:r w:rsidR="00B931A0">
              <w:t xml:space="preserve">umprojekta izpratnē. Turklāt </w:t>
            </w:r>
            <w:r w:rsidR="00B4296F">
              <w:t xml:space="preserve">šajos </w:t>
            </w:r>
            <w:r w:rsidR="00BF0877">
              <w:t xml:space="preserve">normatīvajos aktos noteiktā </w:t>
            </w:r>
            <w:r w:rsidR="00851D4C">
              <w:t>VIS attīstības projektu uzraudzības kārt</w:t>
            </w:r>
            <w:r w:rsidR="004F0489">
              <w:t xml:space="preserve">ība tiks </w:t>
            </w:r>
            <w:r w:rsidR="00851D4C">
              <w:t>pārskat</w:t>
            </w:r>
            <w:r w:rsidR="004F0489">
              <w:t>īta</w:t>
            </w:r>
            <w:r w:rsidR="00DC7171">
              <w:t xml:space="preserve">, </w:t>
            </w:r>
            <w:r w:rsidR="000E27F8">
              <w:t xml:space="preserve">nosakot </w:t>
            </w:r>
            <w:r w:rsidR="00DC7171">
              <w:t xml:space="preserve">atbilstoši </w:t>
            </w:r>
            <w:r w:rsidR="004F0489">
              <w:t>likumprojekt</w:t>
            </w:r>
            <w:r w:rsidR="002C7231">
              <w:t>a</w:t>
            </w:r>
            <w:r w:rsidR="004F0489">
              <w:t xml:space="preserve"> deleģ</w:t>
            </w:r>
            <w:r w:rsidR="00DC7171">
              <w:t>ējumam</w:t>
            </w:r>
            <w:r w:rsidR="004F0489">
              <w:t xml:space="preserve"> </w:t>
            </w:r>
            <w:r w:rsidR="00F97796">
              <w:t xml:space="preserve">kārtību, kādā </w:t>
            </w:r>
            <w:r w:rsidRPr="007E50D4" w:rsidR="00DC25C0">
              <w:rPr>
                <w:iCs/>
                <w:lang w:eastAsia="en-US"/>
              </w:rPr>
              <w:t xml:space="preserve">saskaņo </w:t>
            </w:r>
            <w:r w:rsidR="00DC25C0">
              <w:rPr>
                <w:iCs/>
                <w:lang w:eastAsia="en-US"/>
              </w:rPr>
              <w:t xml:space="preserve">IKT </w:t>
            </w:r>
            <w:r w:rsidRPr="007E50D4" w:rsidR="00DC25C0">
              <w:rPr>
                <w:iCs/>
                <w:lang w:eastAsia="en-US"/>
              </w:rPr>
              <w:t>pasākumus</w:t>
            </w:r>
            <w:r w:rsidR="00FD3C5F">
              <w:rPr>
                <w:iCs/>
                <w:lang w:eastAsia="en-US"/>
              </w:rPr>
              <w:t>, kā arī finansē to īstenošanu un rezultātu uzturēšanu</w:t>
            </w:r>
            <w:r>
              <w:rPr>
                <w:rStyle w:val="FootnoteReference"/>
                <w:iCs/>
                <w:lang w:eastAsia="en-US"/>
              </w:rPr>
              <w:footnoteReference w:id="22"/>
            </w:r>
            <w:r w:rsidR="00FD3C5F">
              <w:rPr>
                <w:iCs/>
                <w:lang w:eastAsia="en-US"/>
              </w:rPr>
              <w:t>;</w:t>
            </w:r>
          </w:p>
          <w:p w:rsidR="00FD3C5F" w:rsidP="002478C1" w14:paraId="583B0833" w14:textId="453426F8">
            <w:pPr>
              <w:pStyle w:val="naiskr"/>
              <w:tabs>
                <w:tab w:val="left" w:pos="2628"/>
              </w:tabs>
              <w:spacing w:before="0" w:after="0"/>
              <w:ind w:firstLine="170"/>
              <w:jc w:val="both"/>
              <w:rPr>
                <w:iCs/>
              </w:rPr>
            </w:pPr>
            <w:r>
              <w:rPr>
                <w:iCs/>
                <w:lang w:eastAsia="en-US"/>
              </w:rPr>
              <w:t>2) </w:t>
            </w:r>
            <w:r w:rsidR="00D2541C">
              <w:t>normatīvajos aktos par IKT drošību noteikto kārtību, kādā tiek nodrošināta IKT sistēmu atbilstība minimālajām drošības prasībām</w:t>
            </w:r>
            <w:r>
              <w:rPr>
                <w:rStyle w:val="FootnoteReference"/>
              </w:rPr>
              <w:footnoteReference w:id="23"/>
            </w:r>
            <w:r w:rsidR="00D2541C">
              <w:t>.</w:t>
            </w:r>
            <w:r w:rsidR="00DC7171">
              <w:t xml:space="preserve"> </w:t>
            </w:r>
            <w:r w:rsidR="002E7B45">
              <w:t>Proti, i</w:t>
            </w:r>
            <w:r w:rsidR="00233419">
              <w:rPr>
                <w:iCs/>
              </w:rPr>
              <w:t xml:space="preserve">evērojot </w:t>
            </w:r>
            <w:r w:rsidR="00D2541C">
              <w:rPr>
                <w:iCs/>
              </w:rPr>
              <w:t xml:space="preserve">VIS likumā noteikto, šajos normatīvajos aktos minētās </w:t>
            </w:r>
            <w:r w:rsidR="009F6D71">
              <w:rPr>
                <w:iCs/>
              </w:rPr>
              <w:t>IKT sistēmas</w:t>
            </w:r>
            <w:r w:rsidR="002E7B45">
              <w:rPr>
                <w:iCs/>
              </w:rPr>
              <w:t xml:space="preserve"> </w:t>
            </w:r>
            <w:r w:rsidR="009F6D71">
              <w:rPr>
                <w:iCs/>
              </w:rPr>
              <w:t xml:space="preserve">pēc būtības </w:t>
            </w:r>
            <w:r w:rsidR="002E7B45">
              <w:rPr>
                <w:iCs/>
              </w:rPr>
              <w:t xml:space="preserve">ir </w:t>
            </w:r>
            <w:r w:rsidR="00DC7171">
              <w:t>IKT (tehnoloģisk</w:t>
            </w:r>
            <w:r w:rsidR="002E7B45">
              <w:t>ie</w:t>
            </w:r>
            <w:r w:rsidR="00DC7171">
              <w:t>) resursi</w:t>
            </w:r>
            <w:r w:rsidR="00465E1E">
              <w:t xml:space="preserve"> (</w:t>
            </w:r>
            <w:r w:rsidR="00465E1E">
              <w:rPr>
                <w:iCs/>
              </w:rPr>
              <w:t>tostarp</w:t>
            </w:r>
            <w:r w:rsidR="002E7B45">
              <w:rPr>
                <w:iCs/>
              </w:rPr>
              <w:t xml:space="preserve"> VIS kā </w:t>
            </w:r>
            <w:r w:rsidR="009F6D71">
              <w:t>informācijas sistēmas</w:t>
            </w:r>
            <w:r w:rsidR="00465E1E">
              <w:t>)</w:t>
            </w:r>
            <w:r w:rsidR="00D2541C">
              <w:t xml:space="preserve"> likumprojekta izpratnē, savukārt VIS drošības pārvaldnieks ir atbildīgā</w:t>
            </w:r>
            <w:r w:rsidRPr="006A5FE9" w:rsidR="00D2541C">
              <w:t xml:space="preserve"> person</w:t>
            </w:r>
            <w:r w:rsidR="00D2541C">
              <w:t>a</w:t>
            </w:r>
            <w:r w:rsidRPr="006A5FE9" w:rsidR="00D2541C">
              <w:t xml:space="preserve">, kura īsteno </w:t>
            </w:r>
            <w:r w:rsidR="00D2541C">
              <w:t xml:space="preserve">IKT </w:t>
            </w:r>
            <w:r w:rsidRPr="006A5FE9" w:rsidR="00D2541C">
              <w:t xml:space="preserve">drošības pārvaldību </w:t>
            </w:r>
            <w:r w:rsidR="009F6D71">
              <w:t xml:space="preserve">attiecībā uz VIS, veicot </w:t>
            </w:r>
            <w:r w:rsidRPr="006A5FE9" w:rsidR="00D2541C">
              <w:t>attiecīg</w:t>
            </w:r>
            <w:r w:rsidR="009F6D71">
              <w:t xml:space="preserve">os pienākumus </w:t>
            </w:r>
            <w:r w:rsidRPr="006A5FE9" w:rsidR="00D2541C">
              <w:t>institūci</w:t>
            </w:r>
            <w:r w:rsidR="009F6D71">
              <w:t>jā</w:t>
            </w:r>
            <w:r w:rsidR="00D2541C">
              <w:t>s atbilstoši Informācijas tehnoloģiju drošības likumam</w:t>
            </w:r>
            <w:r>
              <w:rPr>
                <w:rStyle w:val="FootnoteReference"/>
              </w:rPr>
              <w:footnoteReference w:id="24"/>
            </w:r>
            <w:r w:rsidR="00D2541C">
              <w:t>.</w:t>
            </w:r>
            <w:r w:rsidR="006B203A">
              <w:t xml:space="preserve"> </w:t>
            </w:r>
            <w:r w:rsidR="00437B78">
              <w:t>VARAM vērš uzmanību, ka</w:t>
            </w:r>
            <w:r w:rsidR="00AF2BD1">
              <w:t xml:space="preserve"> likumprojekts neregulē IKT drošības pārvaldību, jo </w:t>
            </w:r>
            <w:r w:rsidR="00AF5434">
              <w:t>attiecīgajā</w:t>
            </w:r>
            <w:r w:rsidR="00437B78">
              <w:t xml:space="preserve"> jomā </w:t>
            </w:r>
            <w:r w:rsidR="00AF2BD1">
              <w:t xml:space="preserve">nepieciešamais regulējums jau ir ietverts normatīvajos aktos par IKT drošību. </w:t>
            </w:r>
            <w:r w:rsidR="002478C1">
              <w:t>Ievērojot</w:t>
            </w:r>
            <w:r w:rsidR="00437B78">
              <w:t xml:space="preserve"> to</w:t>
            </w:r>
            <w:r w:rsidR="00BB67B4">
              <w:t xml:space="preserve">, </w:t>
            </w:r>
            <w:r w:rsidR="00A97306">
              <w:t>ir</w:t>
            </w:r>
            <w:r w:rsidR="00AF2BD1">
              <w:t xml:space="preserve"> jāizvērtē, vai </w:t>
            </w:r>
            <w:r w:rsidR="00A97306">
              <w:t xml:space="preserve">šajos normatīvajos aktos </w:t>
            </w:r>
            <w:r w:rsidR="00AF2BD1">
              <w:t xml:space="preserve">ir </w:t>
            </w:r>
            <w:r w:rsidR="002478C1">
              <w:t xml:space="preserve">jāveic </w:t>
            </w:r>
            <w:r w:rsidR="00A97306">
              <w:t>grozījumi</w:t>
            </w:r>
            <w:r w:rsidR="001A594E">
              <w:t xml:space="preserve"> attiecībā uz atbildīgajām personām, kas īsteno IKT </w:t>
            </w:r>
            <w:r w:rsidRPr="00A97306" w:rsidR="001A594E">
              <w:t>drošības pārvaldību</w:t>
            </w:r>
            <w:r w:rsidR="00A97306">
              <w:t xml:space="preserve">, lai </w:t>
            </w:r>
            <w:r w:rsidR="00AF5434">
              <w:t xml:space="preserve">noteiktu </w:t>
            </w:r>
            <w:r w:rsidR="001A594E">
              <w:t xml:space="preserve">šīm personām </w:t>
            </w:r>
            <w:r w:rsidR="00A97306">
              <w:t xml:space="preserve">prasības, kas pašlaik ir </w:t>
            </w:r>
            <w:r w:rsidR="00BF0877">
              <w:t xml:space="preserve">noteiktas </w:t>
            </w:r>
            <w:r w:rsidR="001A594E">
              <w:t xml:space="preserve">VIS drošības pārvaldniekiem atbilstoši </w:t>
            </w:r>
            <w:r w:rsidR="00BF0877">
              <w:t>VIS likum</w:t>
            </w:r>
            <w:r w:rsidR="00067BD0">
              <w:t>a</w:t>
            </w:r>
            <w:r w:rsidR="001A594E">
              <w:t xml:space="preserve"> normām</w:t>
            </w:r>
            <w:r>
              <w:rPr>
                <w:rStyle w:val="FootnoteReference"/>
              </w:rPr>
              <w:footnoteReference w:id="25"/>
            </w:r>
            <w:r w:rsidR="001A594E">
              <w:t>.</w:t>
            </w:r>
          </w:p>
        </w:tc>
      </w:tr>
      <w:tr w14:paraId="583B0838" w14:textId="7CC7CE08" w:rsidTr="00122CC6">
        <w:tblPrEx>
          <w:tblW w:w="0" w:type="auto"/>
          <w:tblInd w:w="57" w:type="dxa"/>
          <w:tblLayout w:type="fixed"/>
          <w:tblLook w:val="01E0"/>
        </w:tblPrEx>
        <w:tc>
          <w:tcPr>
            <w:tcW w:w="454" w:type="dxa"/>
            <w:vMerge/>
            <w:tcMar>
              <w:top w:w="57" w:type="dxa"/>
              <w:left w:w="113" w:type="dxa"/>
              <w:bottom w:w="57" w:type="dxa"/>
              <w:right w:w="113" w:type="dxa"/>
            </w:tcMar>
          </w:tcPr>
          <w:p w:rsidR="0090602A" w:rsidRPr="00EF1D76" w:rsidP="00BA65F4" w14:paraId="583B0835" w14:textId="77777777">
            <w:pPr>
              <w:pStyle w:val="naiskr"/>
              <w:tabs>
                <w:tab w:val="left" w:pos="2628"/>
              </w:tabs>
              <w:spacing w:before="0" w:after="0"/>
              <w:jc w:val="center"/>
              <w:rPr>
                <w:iCs/>
              </w:rPr>
            </w:pPr>
          </w:p>
        </w:tc>
        <w:tc>
          <w:tcPr>
            <w:tcW w:w="1644" w:type="dxa"/>
            <w:vMerge/>
            <w:tcMar>
              <w:top w:w="57" w:type="dxa"/>
              <w:left w:w="113" w:type="dxa"/>
              <w:bottom w:w="57" w:type="dxa"/>
              <w:right w:w="113" w:type="dxa"/>
            </w:tcMar>
          </w:tcPr>
          <w:p w:rsidR="0090602A" w:rsidRPr="00EF1D76" w:rsidP="00BA65F4" w14:paraId="583B0836" w14:textId="77777777">
            <w:pPr>
              <w:pStyle w:val="naiskr"/>
              <w:tabs>
                <w:tab w:val="left" w:pos="2628"/>
              </w:tabs>
              <w:spacing w:before="0" w:after="0"/>
            </w:pPr>
          </w:p>
        </w:tc>
        <w:tc>
          <w:tcPr>
            <w:tcW w:w="7088" w:type="dxa"/>
            <w:tcMar>
              <w:top w:w="57" w:type="dxa"/>
              <w:left w:w="113" w:type="dxa"/>
              <w:bottom w:w="57" w:type="dxa"/>
              <w:right w:w="113" w:type="dxa"/>
            </w:tcMar>
          </w:tcPr>
          <w:p w:rsidR="00741E0D" w:rsidRPr="00D52B6B" w:rsidP="00A54AC8" w14:paraId="583B0837" w14:textId="72998276">
            <w:pPr>
              <w:pStyle w:val="naiskr"/>
              <w:tabs>
                <w:tab w:val="left" w:pos="2628"/>
              </w:tabs>
              <w:spacing w:before="0" w:after="0"/>
              <w:ind w:firstLine="170"/>
              <w:jc w:val="both"/>
            </w:pPr>
            <w:r>
              <w:rPr>
                <w:iCs/>
              </w:rPr>
              <w:t>4. </w:t>
            </w:r>
            <w:r w:rsidR="001259B7">
              <w:rPr>
                <w:iCs/>
              </w:rPr>
              <w:t xml:space="preserve">Ievērojot normatīvajos aktos par Eiropas Savienības struktūrfondu </w:t>
            </w:r>
            <w:r w:rsidRPr="00AB5852" w:rsidR="001259B7">
              <w:rPr>
                <w:iCs/>
              </w:rPr>
              <w:t>2014.</w:t>
            </w:r>
            <w:r w:rsidR="004B5BC6">
              <w:rPr>
                <w:iCs/>
              </w:rPr>
              <w:t xml:space="preserve"> -</w:t>
            </w:r>
            <w:r w:rsidR="001259B7">
              <w:rPr>
                <w:iCs/>
              </w:rPr>
              <w:t xml:space="preserve"> </w:t>
            </w:r>
            <w:r w:rsidRPr="00AB5852" w:rsidR="001259B7">
              <w:rPr>
                <w:iCs/>
              </w:rPr>
              <w:t>2020.</w:t>
            </w:r>
            <w:r w:rsidR="006F306A">
              <w:rPr>
                <w:iCs/>
              </w:rPr>
              <w:t> </w:t>
            </w:r>
            <w:r w:rsidRPr="00AB5852" w:rsidR="001259B7">
              <w:rPr>
                <w:iCs/>
              </w:rPr>
              <w:t>gada plānošanas perioda vadīb</w:t>
            </w:r>
            <w:r w:rsidR="001259B7">
              <w:rPr>
                <w:iCs/>
              </w:rPr>
              <w:t xml:space="preserve">u noteikto kārtību, </w:t>
            </w:r>
            <w:r w:rsidR="005D1B30">
              <w:rPr>
                <w:iCs/>
              </w:rPr>
              <w:t>nozares ministrijām</w:t>
            </w:r>
            <w:r w:rsidRPr="007310FB" w:rsidR="005D1B30">
              <w:rPr>
                <w:iCs/>
              </w:rPr>
              <w:t xml:space="preserve"> ir jānodrošina, kad ir pabeigta </w:t>
            </w:r>
            <w:r w:rsidR="005D1B30">
              <w:rPr>
                <w:iCs/>
              </w:rPr>
              <w:t xml:space="preserve">ERAF </w:t>
            </w:r>
            <w:r w:rsidRPr="007310FB" w:rsidR="005D1B30">
              <w:rPr>
                <w:iCs/>
              </w:rPr>
              <w:t>projektu īstenošana, lai būtu apstiprināts tiesiskais regulējums, kas nosaka projektu ietvaros iegūto rezultātu darbību un lietošanu</w:t>
            </w:r>
            <w:r>
              <w:rPr>
                <w:rStyle w:val="FootnoteReference"/>
                <w:iCs/>
              </w:rPr>
              <w:footnoteReference w:id="26"/>
            </w:r>
            <w:r w:rsidRPr="007310FB" w:rsidR="005D1B30">
              <w:rPr>
                <w:iCs/>
              </w:rPr>
              <w:t>. Izvērtējot attiecīgā regulējuma saturu un apjomu, VARAM ir secinājusi, ka projektu ietvaros iegūto rezultātu</w:t>
            </w:r>
            <w:r w:rsidR="005D1B30">
              <w:rPr>
                <w:iCs/>
              </w:rPr>
              <w:t xml:space="preserve"> (piemēram, </w:t>
            </w:r>
            <w:r w:rsidRPr="00D23940" w:rsidR="005D1B30">
              <w:rPr>
                <w:iCs/>
              </w:rPr>
              <w:t>Datu publicēšanas platforma</w:t>
            </w:r>
            <w:r w:rsidR="005D1B30">
              <w:rPr>
                <w:iCs/>
              </w:rPr>
              <w:t>s</w:t>
            </w:r>
            <w:r w:rsidRPr="00D23940" w:rsidR="005D1B30">
              <w:rPr>
                <w:iCs/>
              </w:rPr>
              <w:t xml:space="preserve">, Datu izplatīšanas </w:t>
            </w:r>
            <w:r w:rsidRPr="00D23940" w:rsidR="005D1B30">
              <w:rPr>
                <w:iCs/>
              </w:rPr>
              <w:t>platforma</w:t>
            </w:r>
            <w:r w:rsidR="005D1B30">
              <w:rPr>
                <w:iCs/>
              </w:rPr>
              <w:t>s</w:t>
            </w:r>
            <w:r w:rsidRPr="00D23940" w:rsidR="005D1B30">
              <w:rPr>
                <w:iCs/>
              </w:rPr>
              <w:t xml:space="preserve">, </w:t>
            </w:r>
            <w:r w:rsidR="005D1B30">
              <w:rPr>
                <w:iCs/>
              </w:rPr>
              <w:t>VIRSIS un citu IKT rīku vai risinājumu)</w:t>
            </w:r>
            <w:r w:rsidRPr="007310FB" w:rsidR="005D1B30">
              <w:rPr>
                <w:iCs/>
              </w:rPr>
              <w:t xml:space="preserve"> darbības un lietošanas kārtība </w:t>
            </w:r>
            <w:r w:rsidR="005D1B30">
              <w:rPr>
                <w:iCs/>
              </w:rPr>
              <w:t>ir</w:t>
            </w:r>
            <w:r w:rsidRPr="007310FB" w:rsidR="005D1B30">
              <w:rPr>
                <w:iCs/>
              </w:rPr>
              <w:t xml:space="preserve"> </w:t>
            </w:r>
            <w:r w:rsidR="005D1B30">
              <w:rPr>
                <w:iCs/>
              </w:rPr>
              <w:t>jā</w:t>
            </w:r>
            <w:r w:rsidRPr="007310FB" w:rsidR="005D1B30">
              <w:rPr>
                <w:iCs/>
              </w:rPr>
              <w:t xml:space="preserve">nosaka </w:t>
            </w:r>
            <w:r w:rsidR="00BF39ED">
              <w:rPr>
                <w:iCs/>
              </w:rPr>
              <w:t xml:space="preserve">tādos </w:t>
            </w:r>
            <w:r w:rsidRPr="007310FB" w:rsidR="005D1B30">
              <w:rPr>
                <w:iCs/>
              </w:rPr>
              <w:t>normatīvajos aktos</w:t>
            </w:r>
            <w:r w:rsidR="005D1B30">
              <w:rPr>
                <w:iCs/>
              </w:rPr>
              <w:t>, kuri tiks izdoti saskaņā ar likumprojektā ietverto deleģējumu.</w:t>
            </w:r>
          </w:p>
        </w:tc>
      </w:tr>
      <w:tr w14:paraId="583B083C" w14:textId="062EF06B" w:rsidTr="00122CC6">
        <w:tblPrEx>
          <w:tblW w:w="0" w:type="auto"/>
          <w:tblInd w:w="57" w:type="dxa"/>
          <w:tblLayout w:type="fixed"/>
          <w:tblLook w:val="01E0"/>
        </w:tblPrEx>
        <w:tc>
          <w:tcPr>
            <w:tcW w:w="454" w:type="dxa"/>
            <w:tcMar>
              <w:top w:w="57" w:type="dxa"/>
              <w:left w:w="113" w:type="dxa"/>
              <w:bottom w:w="57" w:type="dxa"/>
              <w:right w:w="113" w:type="dxa"/>
            </w:tcMar>
          </w:tcPr>
          <w:p w:rsidR="00427060" w:rsidRPr="00EF1D76" w:rsidP="00BA65F4" w14:paraId="583B0839" w14:textId="77777777">
            <w:pPr>
              <w:pStyle w:val="naiskr"/>
              <w:tabs>
                <w:tab w:val="left" w:pos="2628"/>
              </w:tabs>
              <w:spacing w:before="0" w:after="0"/>
              <w:jc w:val="center"/>
              <w:rPr>
                <w:iCs/>
              </w:rPr>
            </w:pPr>
            <w:r>
              <w:rPr>
                <w:iCs/>
              </w:rPr>
              <w:t>2.</w:t>
            </w:r>
          </w:p>
        </w:tc>
        <w:tc>
          <w:tcPr>
            <w:tcW w:w="1644" w:type="dxa"/>
            <w:tcMar>
              <w:top w:w="57" w:type="dxa"/>
              <w:left w:w="113" w:type="dxa"/>
              <w:bottom w:w="57" w:type="dxa"/>
              <w:right w:w="113" w:type="dxa"/>
            </w:tcMar>
          </w:tcPr>
          <w:p w:rsidR="00427060" w:rsidRPr="00EF1D76" w:rsidP="00BA65F4" w14:paraId="583B083A" w14:textId="77777777">
            <w:pPr>
              <w:pStyle w:val="naiskr"/>
              <w:tabs>
                <w:tab w:val="left" w:pos="2628"/>
              </w:tabs>
              <w:spacing w:before="0" w:after="0"/>
            </w:pPr>
            <w:r w:rsidRPr="00427060">
              <w:t>Atbildīgā institūcija</w:t>
            </w:r>
          </w:p>
        </w:tc>
        <w:tc>
          <w:tcPr>
            <w:tcW w:w="7088" w:type="dxa"/>
            <w:tcMar>
              <w:top w:w="57" w:type="dxa"/>
              <w:left w:w="113" w:type="dxa"/>
              <w:bottom w:w="57" w:type="dxa"/>
              <w:right w:w="113" w:type="dxa"/>
            </w:tcMar>
          </w:tcPr>
          <w:p w:rsidR="00427060" w:rsidP="00BA65F4" w14:paraId="583B083B" w14:textId="77777777">
            <w:pPr>
              <w:pStyle w:val="naiskr"/>
              <w:tabs>
                <w:tab w:val="left" w:pos="2628"/>
              </w:tabs>
              <w:spacing w:before="0" w:after="0"/>
              <w:ind w:firstLine="175"/>
              <w:jc w:val="both"/>
              <w:rPr>
                <w:iCs/>
              </w:rPr>
            </w:pPr>
            <w:r>
              <w:rPr>
                <w:iCs/>
              </w:rPr>
              <w:t>VARAM</w:t>
            </w:r>
          </w:p>
        </w:tc>
      </w:tr>
      <w:tr w14:paraId="583B0854" w14:textId="748596C1" w:rsidTr="00122CC6">
        <w:tblPrEx>
          <w:tblW w:w="0" w:type="auto"/>
          <w:tblInd w:w="57" w:type="dxa"/>
          <w:tblLayout w:type="fixed"/>
          <w:tblLook w:val="01E0"/>
        </w:tblPrEx>
        <w:tc>
          <w:tcPr>
            <w:tcW w:w="454" w:type="dxa"/>
            <w:tcMar>
              <w:top w:w="57" w:type="dxa"/>
              <w:left w:w="113" w:type="dxa"/>
              <w:bottom w:w="57" w:type="dxa"/>
              <w:right w:w="113" w:type="dxa"/>
            </w:tcMar>
          </w:tcPr>
          <w:p w:rsidR="00F233DA" w:rsidP="00F233DA" w14:paraId="583B083D" w14:textId="77777777">
            <w:pPr>
              <w:pStyle w:val="naiskr"/>
              <w:tabs>
                <w:tab w:val="left" w:pos="2628"/>
              </w:tabs>
              <w:spacing w:before="0" w:after="0"/>
              <w:jc w:val="center"/>
              <w:rPr>
                <w:iCs/>
              </w:rPr>
            </w:pPr>
            <w:r>
              <w:rPr>
                <w:iCs/>
              </w:rPr>
              <w:t>3.</w:t>
            </w:r>
          </w:p>
        </w:tc>
        <w:tc>
          <w:tcPr>
            <w:tcW w:w="1644" w:type="dxa"/>
            <w:tcMar>
              <w:top w:w="57" w:type="dxa"/>
              <w:left w:w="113" w:type="dxa"/>
              <w:bottom w:w="57" w:type="dxa"/>
              <w:right w:w="113" w:type="dxa"/>
            </w:tcMar>
          </w:tcPr>
          <w:p w:rsidR="00F233DA" w:rsidRPr="00427060" w:rsidP="00F233DA" w14:paraId="583B083E" w14:textId="77777777">
            <w:pPr>
              <w:pStyle w:val="naiskr"/>
              <w:tabs>
                <w:tab w:val="left" w:pos="2628"/>
              </w:tabs>
              <w:spacing w:before="0" w:after="0"/>
            </w:pPr>
            <w:r w:rsidRPr="00EF1D76">
              <w:t>Cita informācija</w:t>
            </w:r>
          </w:p>
        </w:tc>
        <w:tc>
          <w:tcPr>
            <w:tcW w:w="7088" w:type="dxa"/>
            <w:tcMar>
              <w:top w:w="57" w:type="dxa"/>
              <w:left w:w="113" w:type="dxa"/>
              <w:bottom w:w="57" w:type="dxa"/>
              <w:right w:w="113" w:type="dxa"/>
            </w:tcMar>
          </w:tcPr>
          <w:p w:rsidR="00F233DA" w:rsidP="00F233DA" w14:paraId="583B083F" w14:textId="77777777">
            <w:pPr>
              <w:ind w:firstLine="170"/>
              <w:jc w:val="both"/>
            </w:pPr>
            <w:r>
              <w:t xml:space="preserve">Izstrādājot likumprojektu, ir ņemti vērā tādi </w:t>
            </w:r>
            <w:r w:rsidRPr="00781561">
              <w:t>IKT pārvaldības</w:t>
            </w:r>
            <w:r>
              <w:t xml:space="preserve"> </w:t>
            </w:r>
            <w:r w:rsidRPr="00781561">
              <w:t>princip</w:t>
            </w:r>
            <w:r>
              <w:t>i, uz kuriem balstās VIS likums, bet kuri nav pretrunā ar likumprojekta mērķi un būtību (attiecīgie principi tiks ņemti vērā, izstrādājot arī MK noteikumus, kas izriet no likumprojektā ietvertā deleģējuma), proti:</w:t>
            </w:r>
          </w:p>
          <w:p w:rsidR="00504BB2" w:rsidP="00504BB2" w14:paraId="583B0840" w14:textId="77777777">
            <w:pPr>
              <w:pStyle w:val="ListParagraph"/>
              <w:numPr>
                <w:ilvl w:val="0"/>
                <w:numId w:val="5"/>
              </w:numPr>
              <w:ind w:left="0" w:firstLine="199"/>
              <w:contextualSpacing w:val="0"/>
              <w:jc w:val="both"/>
            </w:pPr>
            <w:r>
              <w:t xml:space="preserve">atbilstoši </w:t>
            </w:r>
            <w:r w:rsidR="00F233DA">
              <w:t>VIS likum</w:t>
            </w:r>
            <w:r>
              <w:t>am</w:t>
            </w:r>
            <w:r w:rsidR="00F233DA">
              <w:t xml:space="preserve"> </w:t>
            </w:r>
            <w:r>
              <w:t>VIS darbīb</w:t>
            </w:r>
            <w:r w:rsidR="00432F8E">
              <w:t>u koordinē</w:t>
            </w:r>
            <w:r w:rsidRPr="0007636A" w:rsidR="00F233DA">
              <w:t>, īstenojot vienotu valsts politiku</w:t>
            </w:r>
            <w:r>
              <w:t>, kas attiecas uz VIS attīstību</w:t>
            </w:r>
            <w:r w:rsidRPr="0007636A" w:rsidR="00F233DA">
              <w:t xml:space="preserve"> un uzturēšan</w:t>
            </w:r>
            <w:r>
              <w:t>u</w:t>
            </w:r>
            <w:r w:rsidR="00163B55">
              <w:t xml:space="preserve">. Ņemot vērā šo principu, </w:t>
            </w:r>
            <w:r w:rsidR="00F233DA">
              <w:rPr>
                <w:szCs w:val="28"/>
                <w:lang w:eastAsia="lv-LV"/>
              </w:rPr>
              <w:t>likumprojekt</w:t>
            </w:r>
            <w:r w:rsidR="001D6EA7">
              <w:rPr>
                <w:szCs w:val="28"/>
                <w:lang w:eastAsia="lv-LV"/>
              </w:rPr>
              <w:t>ā</w:t>
            </w:r>
            <w:r w:rsidR="00F233DA">
              <w:rPr>
                <w:szCs w:val="28"/>
                <w:lang w:eastAsia="lv-LV"/>
              </w:rPr>
              <w:t xml:space="preserve"> </w:t>
            </w:r>
            <w:r w:rsidR="001D6EA7">
              <w:rPr>
                <w:szCs w:val="28"/>
                <w:lang w:eastAsia="lv-LV"/>
              </w:rPr>
              <w:t xml:space="preserve">ir </w:t>
            </w:r>
            <w:r w:rsidR="00F233DA">
              <w:rPr>
                <w:szCs w:val="28"/>
                <w:lang w:eastAsia="lv-LV"/>
              </w:rPr>
              <w:t>no</w:t>
            </w:r>
            <w:r w:rsidR="001D6EA7">
              <w:rPr>
                <w:szCs w:val="28"/>
                <w:lang w:eastAsia="lv-LV"/>
              </w:rPr>
              <w:t>teikts</w:t>
            </w:r>
            <w:r w:rsidR="00F233DA">
              <w:rPr>
                <w:szCs w:val="28"/>
                <w:lang w:eastAsia="lv-LV"/>
              </w:rPr>
              <w:t xml:space="preserve">, ka </w:t>
            </w:r>
            <w:r w:rsidRPr="00E7200E" w:rsidR="00F233DA">
              <w:rPr>
                <w:szCs w:val="28"/>
                <w:lang w:eastAsia="lv-LV"/>
              </w:rPr>
              <w:t>IKT</w:t>
            </w:r>
            <w:r w:rsidRPr="00E7200E" w:rsidR="00F233DA">
              <w:t xml:space="preserve"> pārvaldī</w:t>
            </w:r>
            <w:r>
              <w:t>ba</w:t>
            </w:r>
            <w:r w:rsidR="00F233DA">
              <w:t xml:space="preserve"> </w:t>
            </w:r>
            <w:r>
              <w:t>ir jā</w:t>
            </w:r>
            <w:r w:rsidR="00F233DA">
              <w:t xml:space="preserve">īsteno, kā arī </w:t>
            </w:r>
            <w:r>
              <w:t>jā</w:t>
            </w:r>
            <w:r w:rsidR="00F233DA">
              <w:t xml:space="preserve">koordinē un </w:t>
            </w:r>
            <w:r>
              <w:t>jā</w:t>
            </w:r>
            <w:r w:rsidR="00F233DA">
              <w:t xml:space="preserve">finansē, ievērojot </w:t>
            </w:r>
            <w:r>
              <w:t xml:space="preserve">tādu </w:t>
            </w:r>
            <w:r w:rsidR="00F233DA">
              <w:t xml:space="preserve">IKT politiku, kas balstās uz vienotu pieeju </w:t>
            </w:r>
            <w:r w:rsidRPr="00DA2B7E" w:rsidR="00F233DA">
              <w:t xml:space="preserve">attiecībā uz </w:t>
            </w:r>
            <w:r w:rsidR="00F233DA">
              <w:t xml:space="preserve">IKT </w:t>
            </w:r>
            <w:r w:rsidRPr="00DA2B7E" w:rsidR="00F233DA">
              <w:t>izmantošanu</w:t>
            </w:r>
            <w:r w:rsidR="00F233DA">
              <w:t xml:space="preserve"> valsts pārvaldē </w:t>
            </w:r>
            <w:r w:rsidR="00A5582C">
              <w:t xml:space="preserve">un kuru </w:t>
            </w:r>
            <w:r w:rsidRPr="00EC6E83" w:rsidR="00F233DA">
              <w:t>izstrādā un apstiprina normatīvajos aktos par valsts un sabiedrības attīstības plānošanu noteiktajā kārtībā</w:t>
            </w:r>
            <w:r>
              <w:rPr>
                <w:rStyle w:val="FootnoteReference"/>
              </w:rPr>
              <w:footnoteReference w:id="27"/>
            </w:r>
            <w:r w:rsidR="00163B55">
              <w:t>.</w:t>
            </w:r>
            <w:r w:rsidR="00F233DA">
              <w:t xml:space="preserve"> </w:t>
            </w:r>
            <w:r w:rsidR="00163B55">
              <w:t>Turklāt likumprojekt</w:t>
            </w:r>
            <w:r w:rsidR="00A5582C">
              <w:t>s</w:t>
            </w:r>
            <w:r w:rsidR="001C0F5C">
              <w:t xml:space="preserve"> </w:t>
            </w:r>
            <w:r w:rsidR="00A5582C">
              <w:t xml:space="preserve">ietver deleģējumu </w:t>
            </w:r>
            <w:r w:rsidR="001C0F5C">
              <w:t xml:space="preserve">izdot MK noteikumus, </w:t>
            </w:r>
            <w:r w:rsidR="00A5582C">
              <w:t xml:space="preserve">kuri </w:t>
            </w:r>
            <w:r w:rsidR="00F233DA">
              <w:t xml:space="preserve">nosaka </w:t>
            </w:r>
            <w:r w:rsidRPr="00785AE0" w:rsidR="00F233DA">
              <w:t xml:space="preserve">kārtību, kādā nodrošina </w:t>
            </w:r>
            <w:r w:rsidR="00F233DA">
              <w:t>IKT</w:t>
            </w:r>
            <w:r w:rsidRPr="00785AE0" w:rsidR="00F233DA">
              <w:t xml:space="preserve"> pārvaldības koordinēšanu</w:t>
            </w:r>
            <w:r>
              <w:rPr>
                <w:rStyle w:val="FootnoteReference"/>
              </w:rPr>
              <w:footnoteReference w:id="28"/>
            </w:r>
            <w:r w:rsidR="00F233DA">
              <w:t>;</w:t>
            </w:r>
          </w:p>
          <w:p w:rsidR="00F233DA" w:rsidP="00504BB2" w14:paraId="583B0841" w14:textId="77777777">
            <w:pPr>
              <w:pStyle w:val="ListParagraph"/>
              <w:numPr>
                <w:ilvl w:val="0"/>
                <w:numId w:val="5"/>
              </w:numPr>
              <w:ind w:left="0" w:firstLine="199"/>
              <w:contextualSpacing w:val="0"/>
              <w:jc w:val="both"/>
            </w:pPr>
            <w:r>
              <w:t xml:space="preserve">atbilstoši VIS likumam </w:t>
            </w:r>
            <w:r>
              <w:t xml:space="preserve">VARAM koordinē VIS darbību un </w:t>
            </w:r>
            <w:r w:rsidRPr="002C5A2A">
              <w:t xml:space="preserve">sniedz priekšlikumus par </w:t>
            </w:r>
            <w:r>
              <w:t xml:space="preserve">VIS </w:t>
            </w:r>
            <w:r w:rsidRPr="002C5A2A">
              <w:t>attīstību</w:t>
            </w:r>
            <w:r w:rsidR="00A34A45">
              <w:t xml:space="preserve">. Ņemot vērā šo principu, </w:t>
            </w:r>
            <w:r>
              <w:t>likumprojekt</w:t>
            </w:r>
            <w:r w:rsidR="001D6EA7">
              <w:t>ā</w:t>
            </w:r>
            <w:r>
              <w:t xml:space="preserve"> </w:t>
            </w:r>
            <w:r w:rsidR="001D6EA7">
              <w:t xml:space="preserve">ir </w:t>
            </w:r>
            <w:r>
              <w:t>no</w:t>
            </w:r>
            <w:r w:rsidR="001D6EA7">
              <w:t>teikts</w:t>
            </w:r>
            <w:r>
              <w:t xml:space="preserve">, ka </w:t>
            </w:r>
            <w:r w:rsidR="00347484">
              <w:t xml:space="preserve">institūciju darbību IKT pārvaldības jomā koordinē </w:t>
            </w:r>
            <w:r w:rsidRPr="007105C0" w:rsidR="007105C0">
              <w:t xml:space="preserve">vadošā iestāde </w:t>
            </w:r>
            <w:r w:rsidR="00504BB2">
              <w:t>(</w:t>
            </w:r>
            <w:r w:rsidRPr="007105C0" w:rsidR="007105C0">
              <w:t xml:space="preserve">institūcija, kura nosaka vienotu pieeju attiecībā uz </w:t>
            </w:r>
            <w:r w:rsidR="007105C0">
              <w:t>IKT</w:t>
            </w:r>
            <w:r w:rsidRPr="007105C0" w:rsidR="007105C0">
              <w:t xml:space="preserve"> izmantošanu, kā arī koordinē </w:t>
            </w:r>
            <w:r w:rsidR="007105C0">
              <w:t xml:space="preserve">IKT </w:t>
            </w:r>
            <w:r w:rsidRPr="007105C0" w:rsidR="007105C0">
              <w:t xml:space="preserve">politikas izstrādi un ieviešanu visā valsts pārvaldē, pildot ar </w:t>
            </w:r>
            <w:r w:rsidR="00683FEF">
              <w:t>to</w:t>
            </w:r>
            <w:r w:rsidRPr="007105C0" w:rsidR="007105C0">
              <w:t xml:space="preserve"> saistītās funkcijas un uzdevumus </w:t>
            </w:r>
            <w:r w:rsidR="00504BB2">
              <w:t xml:space="preserve">IKT </w:t>
            </w:r>
            <w:r w:rsidRPr="007105C0" w:rsidR="007105C0">
              <w:t>pārvaldības jomā saskaņā ar šīs institūcijas darbību reglamentējošiem normatīvajiem aktiem</w:t>
            </w:r>
            <w:r w:rsidR="00504BB2">
              <w:t>), t</w:t>
            </w:r>
            <w:r w:rsidR="00BF3B45">
              <w:t xml:space="preserve">urklāt </w:t>
            </w:r>
            <w:r w:rsidR="00504BB2">
              <w:t xml:space="preserve">šī </w:t>
            </w:r>
            <w:r w:rsidRPr="00504BB2" w:rsidR="00504BB2">
              <w:t xml:space="preserve">iestāde pārrauga ar </w:t>
            </w:r>
            <w:r w:rsidR="00504BB2">
              <w:t xml:space="preserve">IKT </w:t>
            </w:r>
            <w:r w:rsidRPr="00504BB2" w:rsidR="00504BB2">
              <w:t xml:space="preserve">izmantošanu saistīto situāciju valsts pārvaldē, kā arī sniedz citām institūcijām priekšlikumus vai atzinumus par </w:t>
            </w:r>
            <w:r w:rsidR="00504BB2">
              <w:t xml:space="preserve">IKT </w:t>
            </w:r>
            <w:r w:rsidRPr="00504BB2" w:rsidR="00504BB2">
              <w:t>politikas noteikšanu, īstenošanu vai aktualizēšanu</w:t>
            </w:r>
            <w:r w:rsidR="00A34A45">
              <w:t>.</w:t>
            </w:r>
            <w:r>
              <w:t xml:space="preserve"> </w:t>
            </w:r>
            <w:r w:rsidR="00347484">
              <w:t xml:space="preserve">Likumprojekts </w:t>
            </w:r>
            <w:r>
              <w:t>paredz, ka IKT pārvaldīb</w:t>
            </w:r>
            <w:r w:rsidR="00470ED6">
              <w:t>u</w:t>
            </w:r>
            <w:r>
              <w:t xml:space="preserve"> koordinē ne tikai VARAM</w:t>
            </w:r>
            <w:r w:rsidR="00014F8D">
              <w:t xml:space="preserve"> kā </w:t>
            </w:r>
            <w:r w:rsidR="00347484">
              <w:t>vadošā iestāde</w:t>
            </w:r>
            <w:r>
              <w:rPr>
                <w:rStyle w:val="FootnoteReference"/>
              </w:rPr>
              <w:footnoteReference w:id="29"/>
            </w:r>
            <w:r>
              <w:t>, bet arī citas ministrijas (</w:t>
            </w:r>
            <w:r w:rsidR="006B3D15">
              <w:t xml:space="preserve">valsts pārvaldes </w:t>
            </w:r>
            <w:r>
              <w:t>nozaru augstākās iestādes), kā arī pašvaldības;</w:t>
            </w:r>
          </w:p>
          <w:p w:rsidR="00F233DA" w:rsidP="00F233DA" w14:paraId="583B0842" w14:textId="77777777">
            <w:pPr>
              <w:pStyle w:val="ListParagraph"/>
              <w:numPr>
                <w:ilvl w:val="0"/>
                <w:numId w:val="5"/>
              </w:numPr>
              <w:ind w:left="0" w:firstLine="199"/>
              <w:contextualSpacing w:val="0"/>
              <w:jc w:val="both"/>
            </w:pPr>
            <w:r>
              <w:t xml:space="preserve">atbilstoši VIS likumam </w:t>
            </w:r>
            <w:r>
              <w:t xml:space="preserve">VARAM </w:t>
            </w:r>
            <w:r w:rsidRPr="00A80FBD">
              <w:t xml:space="preserve">koordinē, organizē un vada </w:t>
            </w:r>
            <w:r>
              <w:t>VIS</w:t>
            </w:r>
            <w:r w:rsidRPr="00A80FBD">
              <w:t xml:space="preserve"> reģistra darbību</w:t>
            </w:r>
            <w:r>
              <w:t>, veicot VIS reģistrāciju</w:t>
            </w:r>
            <w:r w:rsidR="006C526F">
              <w:t xml:space="preserve"> (VIS uzskaitei un </w:t>
            </w:r>
            <w:r>
              <w:t>to funkciju identificēšanai)</w:t>
            </w:r>
            <w:r w:rsidR="00C67423">
              <w:t xml:space="preserve">. Ņemot vērā šo principu, </w:t>
            </w:r>
            <w:r>
              <w:t>likumprojekt</w:t>
            </w:r>
            <w:r w:rsidR="00C67423">
              <w:t>ā ir</w:t>
            </w:r>
            <w:r>
              <w:t xml:space="preserve"> no</w:t>
            </w:r>
            <w:r w:rsidR="00C67423">
              <w:t>teikts</w:t>
            </w:r>
            <w:r>
              <w:t>, ka</w:t>
            </w:r>
            <w:r w:rsidR="00EF46CC">
              <w:t xml:space="preserve"> VARAM (</w:t>
            </w:r>
            <w:r w:rsidRPr="007E4437" w:rsidR="00EF46CC">
              <w:t>vadošā iestāde</w:t>
            </w:r>
            <w:r w:rsidR="00EF46CC">
              <w:t>)</w:t>
            </w:r>
            <w:r>
              <w:t>, s</w:t>
            </w:r>
            <w:r w:rsidRPr="007E4437">
              <w:t xml:space="preserve">adarbojoties ar </w:t>
            </w:r>
            <w:r w:rsidR="00C67423">
              <w:t>citām ministrijām</w:t>
            </w:r>
            <w:r w:rsidRPr="007E4437" w:rsidR="00C67423">
              <w:t xml:space="preserve"> </w:t>
            </w:r>
            <w:r w:rsidR="00C67423">
              <w:t>(</w:t>
            </w:r>
            <w:r w:rsidRPr="007E4437" w:rsidR="00C67423">
              <w:t>nozaru augstākajām iestādēm</w:t>
            </w:r>
            <w:r w:rsidR="00C67423">
              <w:t>),</w:t>
            </w:r>
            <w:r w:rsidRPr="007E4437">
              <w:t xml:space="preserve"> pašvaldībām, </w:t>
            </w:r>
            <w:r>
              <w:t xml:space="preserve">IKT </w:t>
            </w:r>
            <w:r w:rsidRPr="007E4437">
              <w:t>pārziņiem un informācijas pārziņiem, nodrošina</w:t>
            </w:r>
            <w:r w:rsidR="00EF46CC">
              <w:t xml:space="preserve"> tādas informācijas veidošanu, uzturēšanu un lietošanu, </w:t>
            </w:r>
            <w:r w:rsidR="00C67423">
              <w:t>kas</w:t>
            </w:r>
            <w:r w:rsidR="00EF46CC">
              <w:t xml:space="preserve"> nepieciešama</w:t>
            </w:r>
            <w:r w:rsidR="00DB09ED">
              <w:t>, lai īstenotu</w:t>
            </w:r>
            <w:r w:rsidR="00EF46CC">
              <w:t xml:space="preserve"> IKT pārvaldīb</w:t>
            </w:r>
            <w:r w:rsidR="00DB09ED">
              <w:t>u, tai skaitā IKT pasākumus</w:t>
            </w:r>
            <w:r w:rsidR="00C67423">
              <w:t>.</w:t>
            </w:r>
            <w:r w:rsidR="00DB09ED">
              <w:t xml:space="preserve"> </w:t>
            </w:r>
            <w:r w:rsidR="00C67423">
              <w:t xml:space="preserve">Turklāt </w:t>
            </w:r>
            <w:r w:rsidR="00C17111">
              <w:t xml:space="preserve">likumprojekts paredz </w:t>
            </w:r>
            <w:r w:rsidR="00C67423">
              <w:t xml:space="preserve">izdot </w:t>
            </w:r>
            <w:r>
              <w:t xml:space="preserve">MK noteikumus, kas nosaka IKT </w:t>
            </w:r>
            <w:r w:rsidRPr="00C5603F">
              <w:t xml:space="preserve">pārvaldības īstenošanai nepieciešamo informāciju, kā arī </w:t>
            </w:r>
            <w:r w:rsidR="00DB09ED">
              <w:t xml:space="preserve">tās </w:t>
            </w:r>
            <w:r w:rsidRPr="00C5603F">
              <w:t>aprites kārtību</w:t>
            </w:r>
            <w:r>
              <w:rPr>
                <w:rStyle w:val="FootnoteReference"/>
              </w:rPr>
              <w:footnoteReference w:id="30"/>
            </w:r>
            <w:r>
              <w:t xml:space="preserve"> (</w:t>
            </w:r>
            <w:r w:rsidR="009E11A4">
              <w:t>šie</w:t>
            </w:r>
            <w:r>
              <w:t xml:space="preserve"> noteikumi aizstās saskaņā ar VIS l</w:t>
            </w:r>
            <w:r w:rsidR="00C17111">
              <w:t xml:space="preserve">ikumu izdotos MK noteikumus, kuri </w:t>
            </w:r>
            <w:r w:rsidR="00FD4ABA">
              <w:t xml:space="preserve">nosaka </w:t>
            </w:r>
            <w:r>
              <w:t>VIS reģistrācijas kārtību</w:t>
            </w:r>
            <w:r>
              <w:rPr>
                <w:rStyle w:val="FootnoteReference"/>
              </w:rPr>
              <w:footnoteReference w:id="31"/>
            </w:r>
            <w:r>
              <w:t>);</w:t>
            </w:r>
          </w:p>
          <w:p w:rsidR="00F233DA" w:rsidP="00F233DA" w14:paraId="583B0843" w14:textId="77777777">
            <w:pPr>
              <w:pStyle w:val="ListParagraph"/>
              <w:numPr>
                <w:ilvl w:val="0"/>
                <w:numId w:val="5"/>
              </w:numPr>
              <w:ind w:left="0" w:firstLine="199"/>
              <w:contextualSpacing w:val="0"/>
              <w:jc w:val="both"/>
            </w:pPr>
            <w:r>
              <w:t xml:space="preserve">atbilstoši VIS likumam </w:t>
            </w:r>
            <w:r>
              <w:t>VIS</w:t>
            </w:r>
            <w:r w:rsidR="00842938">
              <w:t>, kuras lietojot, tiek nodrošināta valsts funkciju izpildei nepieciešamās informācijas aprite,</w:t>
            </w:r>
            <w:r>
              <w:t xml:space="preserve"> </w:t>
            </w:r>
            <w:r w:rsidRPr="00621230">
              <w:t xml:space="preserve">izveido, </w:t>
            </w:r>
            <w:r>
              <w:t xml:space="preserve">kā arī reorganizē un likvidē, </w:t>
            </w:r>
            <w:r w:rsidRPr="00621230">
              <w:t>pamatojoties uz normatīvajiem aktiem</w:t>
            </w:r>
            <w:r w:rsidR="00842938">
              <w:t xml:space="preserve">. Ņemot vērā šo principu, likumprojektā ir noteikts, ka </w:t>
            </w:r>
            <w:r>
              <w:t>i</w:t>
            </w:r>
            <w:r w:rsidRPr="00AE1C28">
              <w:t xml:space="preserve">nstitūcijas nodrošina informācijas apriti ar </w:t>
            </w:r>
            <w:r>
              <w:t xml:space="preserve">IKT </w:t>
            </w:r>
            <w:r w:rsidRPr="00AE1C28">
              <w:t>palīdzību, pamatojoties uz normatīvajiem aktiem</w:t>
            </w:r>
            <w:r>
              <w:t>.</w:t>
            </w:r>
            <w:r w:rsidRPr="00AE1C28">
              <w:t xml:space="preserve"> </w:t>
            </w:r>
            <w:r>
              <w:t>Turklāt likumprojekts nosaka, ka i</w:t>
            </w:r>
            <w:r w:rsidRPr="00AE1C28">
              <w:t xml:space="preserve">nstitūcijas nodrošina </w:t>
            </w:r>
            <w:r>
              <w:t xml:space="preserve">un lieto IKT </w:t>
            </w:r>
            <w:r w:rsidRPr="00AE1C28">
              <w:t>atbilstoši to izmantošanas mērķim, kas saistīts ar valsts pārvaldes darbības īstenošanu</w:t>
            </w:r>
            <w:r w:rsidR="007843A2">
              <w:t xml:space="preserve"> (arī </w:t>
            </w:r>
            <w:r w:rsidRPr="00AE1C28">
              <w:t>pārvaldes uzdevumu izpildes un informācijas aprites nodrošināšanu</w:t>
            </w:r>
            <w:r w:rsidR="007843A2">
              <w:t>)</w:t>
            </w:r>
            <w:r w:rsidRPr="00AE1C28">
              <w:t xml:space="preserve">, pamatojoties uz </w:t>
            </w:r>
            <w:r w:rsidR="007843A2">
              <w:t xml:space="preserve">šo </w:t>
            </w:r>
            <w:r w:rsidRPr="00AE1C28">
              <w:t>darbību reglamentējošiem normatīvajiem aktiem</w:t>
            </w:r>
            <w:r>
              <w:t>;</w:t>
            </w:r>
          </w:p>
          <w:p w:rsidR="00F233DA" w:rsidP="00F233DA" w14:paraId="583B0844" w14:textId="77777777">
            <w:pPr>
              <w:pStyle w:val="ListParagraph"/>
              <w:numPr>
                <w:ilvl w:val="0"/>
                <w:numId w:val="5"/>
              </w:numPr>
              <w:ind w:left="0" w:firstLine="199"/>
              <w:contextualSpacing w:val="0"/>
              <w:jc w:val="both"/>
            </w:pPr>
            <w:r>
              <w:t xml:space="preserve">atbilstoši VIS likumam </w:t>
            </w:r>
            <w:r w:rsidR="0010185B">
              <w:t xml:space="preserve">katras </w:t>
            </w:r>
            <w:r>
              <w:t>VIS</w:t>
            </w:r>
            <w:r w:rsidR="00D229E6">
              <w:t xml:space="preserve">, kā </w:t>
            </w:r>
            <w:r w:rsidR="0010185B">
              <w:t>arī katra VIS savietot</w:t>
            </w:r>
            <w:r w:rsidR="00D229E6">
              <w:t>āja</w:t>
            </w:r>
            <w:r w:rsidR="0010185B">
              <w:t xml:space="preserve"> </w:t>
            </w:r>
            <w:r>
              <w:t xml:space="preserve">izveidošanas, reorganizēšanas vai likvidēšanas projektus saskaņo ar VARAM. </w:t>
            </w:r>
            <w:r w:rsidR="00DA78E6">
              <w:t xml:space="preserve">Ņemot vērā šo principu, </w:t>
            </w:r>
            <w:r w:rsidR="00DA78E6">
              <w:rPr>
                <w:szCs w:val="28"/>
                <w:lang w:eastAsia="lv-LV"/>
              </w:rPr>
              <w:t xml:space="preserve">likumprojektā ir noteikts, ka </w:t>
            </w:r>
            <w:r w:rsidR="00854BF7">
              <w:t>IKT pasākumi</w:t>
            </w:r>
            <w:r w:rsidRPr="00ED487A">
              <w:t xml:space="preserve"> </w:t>
            </w:r>
            <w:r>
              <w:t>(</w:t>
            </w:r>
            <w:r w:rsidR="00D229E6">
              <w:t>ieskaitot</w:t>
            </w:r>
            <w:r>
              <w:t xml:space="preserve"> IKT projektus) </w:t>
            </w:r>
            <w:r w:rsidR="00854BF7">
              <w:t>ir jā</w:t>
            </w:r>
            <w:r w:rsidRPr="00ED487A">
              <w:t xml:space="preserve">saskaņo ar </w:t>
            </w:r>
            <w:r w:rsidR="00DA78E6">
              <w:t>VARAM</w:t>
            </w:r>
            <w:r w:rsidRPr="00ED487A" w:rsidR="00DA78E6">
              <w:t xml:space="preserve"> </w:t>
            </w:r>
            <w:r>
              <w:t>(</w:t>
            </w:r>
            <w:r w:rsidRPr="00ED487A" w:rsidR="00DA78E6">
              <w:t>vadošo iestādi</w:t>
            </w:r>
            <w:r>
              <w:t>)</w:t>
            </w:r>
            <w:r w:rsidRPr="00ED487A">
              <w:t>,</w:t>
            </w:r>
            <w:r w:rsidR="00DA78E6">
              <w:t xml:space="preserve"> taču šī prasība attiecas tikai uz tādiem IKT pasākumiem, kas </w:t>
            </w:r>
            <w:r w:rsidRPr="00ED487A">
              <w:t xml:space="preserve">būtiski ietekmē </w:t>
            </w:r>
            <w:r>
              <w:t xml:space="preserve">IKT </w:t>
            </w:r>
            <w:r w:rsidRPr="00ED487A">
              <w:t>izmantošanu valsts pārvaldē</w:t>
            </w:r>
            <w:r>
              <w:t xml:space="preserve">. Turklāt </w:t>
            </w:r>
            <w:r w:rsidR="00854BF7">
              <w:t>saskaņā ar likumprojektu ir paredzēts</w:t>
            </w:r>
            <w:r>
              <w:t xml:space="preserve"> izdot MK noteikumus, k</w:t>
            </w:r>
            <w:r w:rsidR="00854BF7">
              <w:t>uri</w:t>
            </w:r>
            <w:r>
              <w:t xml:space="preserve"> nosaka IKT pasākumu saskaņošanas </w:t>
            </w:r>
            <w:r w:rsidRPr="009E4E4B">
              <w:t>kārtību</w:t>
            </w:r>
            <w:r>
              <w:rPr>
                <w:rStyle w:val="FootnoteReference"/>
              </w:rPr>
              <w:footnoteReference w:id="32"/>
            </w:r>
            <w:r>
              <w:t xml:space="preserve"> (</w:t>
            </w:r>
            <w:r w:rsidR="009E11A4">
              <w:t>šie</w:t>
            </w:r>
            <w:r>
              <w:t xml:space="preserve"> noteikumi aizstās saskaņā ar VIS likumu izdotos MK noteikumus, </w:t>
            </w:r>
            <w:r w:rsidR="009E11A4">
              <w:t xml:space="preserve">kuri nosaka </w:t>
            </w:r>
            <w:r>
              <w:t>VIS attīstības projektu uzraudzības kārtību</w:t>
            </w:r>
            <w:r>
              <w:rPr>
                <w:rStyle w:val="FootnoteReference"/>
              </w:rPr>
              <w:footnoteReference w:id="33"/>
            </w:r>
            <w:r>
              <w:t>);</w:t>
            </w:r>
          </w:p>
          <w:p w:rsidR="00F233DA" w:rsidP="00F233DA" w14:paraId="583B0845" w14:textId="77777777">
            <w:pPr>
              <w:pStyle w:val="ListParagraph"/>
              <w:numPr>
                <w:ilvl w:val="0"/>
                <w:numId w:val="5"/>
              </w:numPr>
              <w:ind w:left="0" w:firstLine="199"/>
              <w:contextualSpacing w:val="0"/>
              <w:jc w:val="both"/>
            </w:pPr>
            <w:r>
              <w:t xml:space="preserve">atbilstoši VIS likumam </w:t>
            </w:r>
            <w:r>
              <w:t>VIS</w:t>
            </w:r>
            <w:r w:rsidRPr="00917D6D">
              <w:t xml:space="preserve"> tiek uzturētas valsts budžeta līdzekļu ietvaros</w:t>
            </w:r>
            <w:r w:rsidR="00544085">
              <w:t xml:space="preserve">, turklāt valsts budžeta pieprasījumam par finanšu līdzekļu piešķiršanu VIS izveidošanai, attīstībai un uzturēšanai </w:t>
            </w:r>
            <w:r w:rsidR="006023A7">
              <w:t xml:space="preserve">pievienojams </w:t>
            </w:r>
            <w:r w:rsidR="00544085">
              <w:t>VARAM atzinums</w:t>
            </w:r>
            <w:r>
              <w:t xml:space="preserve">. </w:t>
            </w:r>
            <w:r w:rsidR="00544085">
              <w:t xml:space="preserve">Ņemot vērā šo principu, </w:t>
            </w:r>
            <w:r w:rsidR="00544085">
              <w:rPr>
                <w:szCs w:val="28"/>
                <w:lang w:eastAsia="lv-LV"/>
              </w:rPr>
              <w:t xml:space="preserve">likumprojektā ir noteikts, ka </w:t>
            </w:r>
            <w:r>
              <w:t>IKT pārvaldības finansēšanu n</w:t>
            </w:r>
            <w:r w:rsidRPr="00917D6D">
              <w:t xml:space="preserve">odrošina, izmantojot </w:t>
            </w:r>
            <w:r>
              <w:t>tam</w:t>
            </w:r>
            <w:r w:rsidRPr="00917D6D">
              <w:t xml:space="preserve"> paredzētos valsts vai pašvaldību budžeta līdzekļus, ārvalstu finanšu palīdzīb</w:t>
            </w:r>
            <w:r>
              <w:t>u vai citus finansēšanas avotus (</w:t>
            </w:r>
            <w:r w:rsidRPr="00917D6D">
              <w:t xml:space="preserve">finanšu līdzekļus </w:t>
            </w:r>
            <w:r>
              <w:t>IKT</w:t>
            </w:r>
            <w:r w:rsidRPr="00917D6D">
              <w:t xml:space="preserve"> pārvaldībai plāno un pieprasa normatīvajos aktos par budžetu un finanšu vadību noteiktajā kārtībā</w:t>
            </w:r>
            <w:r>
              <w:rPr>
                <w:rStyle w:val="FootnoteReference"/>
              </w:rPr>
              <w:footnoteReference w:id="34"/>
            </w:r>
            <w:r>
              <w:t>)</w:t>
            </w:r>
            <w:r w:rsidR="00867524">
              <w:t xml:space="preserve">, </w:t>
            </w:r>
            <w:r w:rsidR="00DB2D3E">
              <w:t>savukārt valsts budžeta pieprasījumi</w:t>
            </w:r>
            <w:r w:rsidRPr="00917D6D" w:rsidR="00DB2D3E">
              <w:t xml:space="preserve"> par </w:t>
            </w:r>
            <w:r w:rsidRPr="00917D6D" w:rsidR="007870E9">
              <w:t>finanšu līdzekļu piešķiršanu</w:t>
            </w:r>
            <w:r w:rsidR="007870E9">
              <w:t xml:space="preserve"> </w:t>
            </w:r>
            <w:r w:rsidR="00DB2D3E">
              <w:t>IKT pārvaldībai ir jāsaskaņo ar VARAM (</w:t>
            </w:r>
            <w:r w:rsidRPr="00917D6D" w:rsidR="00DB2D3E">
              <w:t>vadošo iestādi</w:t>
            </w:r>
            <w:r w:rsidR="007870E9">
              <w:t xml:space="preserve">). Turklāt saskaņā ar likumprojektu paredzēts izdot MK noteikumus, kas nosaka kārtību, </w:t>
            </w:r>
            <w:r w:rsidRPr="007870E9" w:rsidR="007870E9">
              <w:t xml:space="preserve">kādā nodrošina </w:t>
            </w:r>
            <w:r w:rsidR="007870E9">
              <w:t xml:space="preserve">IKT </w:t>
            </w:r>
            <w:r w:rsidRPr="007870E9" w:rsidR="007870E9">
              <w:t>pārvaldības finansēšanu, kā arī saskaņo valsts budžeta pieprasījumus par finanšu līdzekļu piešķiršanu</w:t>
            </w:r>
            <w:r w:rsidR="007870E9">
              <w:t xml:space="preserve"> IKT </w:t>
            </w:r>
            <w:r w:rsidRPr="007870E9" w:rsidR="007870E9">
              <w:t>pārvaldībai</w:t>
            </w:r>
            <w:r>
              <w:rPr>
                <w:rStyle w:val="FootnoteReference"/>
              </w:rPr>
              <w:footnoteReference w:id="35"/>
            </w:r>
            <w:r>
              <w:t>;</w:t>
            </w:r>
          </w:p>
          <w:p w:rsidR="006B350D" w:rsidP="006B350D" w14:paraId="583B0846" w14:textId="77777777">
            <w:pPr>
              <w:pStyle w:val="ListParagraph"/>
              <w:numPr>
                <w:ilvl w:val="0"/>
                <w:numId w:val="5"/>
              </w:numPr>
              <w:ind w:left="0" w:firstLine="199"/>
              <w:contextualSpacing w:val="0"/>
              <w:jc w:val="both"/>
            </w:pPr>
            <w:r>
              <w:t xml:space="preserve">VIS likums paredz institūcijai, kas organizē un vada VIS darbību (VIS pārzinim), iespēju pilnvarot citu institūciju (VIS turētāju) </w:t>
            </w:r>
            <w:r w:rsidRPr="0062547B">
              <w:t>uztur</w:t>
            </w:r>
            <w:r>
              <w:t xml:space="preserve">ēt VIS </w:t>
            </w:r>
            <w:r w:rsidRPr="0062547B">
              <w:t>informācijas un tehnisko resu</w:t>
            </w:r>
            <w:r>
              <w:t>rsu funkcionalitāti un nodrošināt</w:t>
            </w:r>
            <w:r w:rsidRPr="0062547B">
              <w:t xml:space="preserve"> informācijas apriti</w:t>
            </w:r>
            <w:r>
              <w:t>. Savukārt likumprojekts paredz iespēju sadalīt IKT pārziņa un informācijas pārziņa lomas starp dažādām institūcijām, nosakot katrai lomai (atbilstoši tās specifikai) savu kompetenci un atbildību, kā arī savstarpējās sadarbības nosacījumus</w:t>
            </w:r>
            <w:r w:rsidRPr="0062547B">
              <w:t>;</w:t>
            </w:r>
          </w:p>
          <w:p w:rsidR="00E6438F" w:rsidP="00E6438F" w14:paraId="583B0847" w14:textId="77777777">
            <w:pPr>
              <w:pStyle w:val="ListParagraph"/>
              <w:numPr>
                <w:ilvl w:val="0"/>
                <w:numId w:val="5"/>
              </w:numPr>
              <w:ind w:left="0" w:firstLine="199"/>
              <w:contextualSpacing w:val="0"/>
              <w:jc w:val="both"/>
            </w:pPr>
            <w:r>
              <w:t xml:space="preserve">atbilstoši VIS likumam </w:t>
            </w:r>
            <w:r w:rsidR="00CC17B1">
              <w:t xml:space="preserve">gan VIS pārzinis, gan VIS turētājs īsteno savu darbību </w:t>
            </w:r>
            <w:r w:rsidR="00016591">
              <w:t xml:space="preserve">saskaņā ar normatīvajiem aktiem </w:t>
            </w:r>
            <w:r w:rsidR="00CC17B1">
              <w:t xml:space="preserve">(VIS pārzinis organizē un vada VIS darbību, bet VIS turētājs uztur </w:t>
            </w:r>
            <w:r w:rsidR="00016591">
              <w:t xml:space="preserve">šīs sistēmas </w:t>
            </w:r>
            <w:r w:rsidRPr="00A84219" w:rsidR="00CC17B1">
              <w:t xml:space="preserve">informācijas un </w:t>
            </w:r>
            <w:r w:rsidR="00CC17B1">
              <w:t>tehnisko resursu funkcionalitāti un nodrošina informācijas apriti)</w:t>
            </w:r>
            <w:r>
              <w:t xml:space="preserve">. </w:t>
            </w:r>
            <w:r>
              <w:t xml:space="preserve">Ņemot vērā šo principu, </w:t>
            </w:r>
            <w:r>
              <w:rPr>
                <w:szCs w:val="28"/>
                <w:lang w:eastAsia="lv-LV"/>
              </w:rPr>
              <w:t xml:space="preserve">likumprojekts nosaka, </w:t>
            </w:r>
            <w:r>
              <w:t>ka institūcijas (tostarp IKT pārziņi un informācijas pārziņi) nodrošina un lieto IKT, kā arī nodrošina informācijas apriti ar IKT palīdzību, īstenojot attiecīgo darbību atbilstoši pienākumiem un tiesībām, kā arī ievērojot kārtību un prasības, kas noteiktas normatīvajos aktos</w:t>
            </w:r>
            <w:r w:rsidR="00016591">
              <w:t>. VARAM norāda, ka VIS turētājs veic VIS likumā noteiktās funkcijas</w:t>
            </w:r>
            <w:r>
              <w:t xml:space="preserve">, </w:t>
            </w:r>
            <w:r w:rsidR="00016591">
              <w:t>savukārt IKT pārziņa un informācijas pārziņa pienākumus un tiesības noteiks MK noteikumi</w:t>
            </w:r>
            <w:r>
              <w:t xml:space="preserve"> par IKT (tehnoloģisko) resursu un informācijas resursu nodrošināšanu un lietošanu</w:t>
            </w:r>
            <w:r>
              <w:rPr>
                <w:rStyle w:val="FootnoteReference"/>
              </w:rPr>
              <w:footnoteReference w:id="36"/>
            </w:r>
            <w:r>
              <w:t>, kur</w:t>
            </w:r>
            <w:r w:rsidR="002F5E6F">
              <w:t xml:space="preserve">i tiks izdoti </w:t>
            </w:r>
            <w:r>
              <w:t>saskaņā ar likumprojektu</w:t>
            </w:r>
            <w:r w:rsidR="003E3B55">
              <w:t xml:space="preserve"> (šie noteikumi aizstās saskaņā ar VIS likumu izdotos MK noteikumus, </w:t>
            </w:r>
            <w:r w:rsidR="002F5E6F">
              <w:t>k</w:t>
            </w:r>
            <w:r w:rsidR="007114E2">
              <w:t>uri</w:t>
            </w:r>
            <w:r w:rsidR="003E3B55">
              <w:t xml:space="preserve"> </w:t>
            </w:r>
            <w:r w:rsidR="00EB4288">
              <w:t>nosaka</w:t>
            </w:r>
            <w:r w:rsidR="003E3B55">
              <w:t xml:space="preserve"> VIS vispārējās tehniskās prasības</w:t>
            </w:r>
            <w:r>
              <w:rPr>
                <w:rStyle w:val="FootnoteReference"/>
              </w:rPr>
              <w:footnoteReference w:id="37"/>
            </w:r>
            <w:r w:rsidR="00EB4288">
              <w:t>, VIS savietotāju</w:t>
            </w:r>
            <w:r w:rsidRPr="00222E75" w:rsidR="00EB4288">
              <w:t xml:space="preserve"> un integrētā </w:t>
            </w:r>
            <w:r w:rsidR="00EB4288">
              <w:t xml:space="preserve">VIS </w:t>
            </w:r>
            <w:r w:rsidRPr="00222E75" w:rsidR="00EB4288">
              <w:t xml:space="preserve">ietilpstošo </w:t>
            </w:r>
            <w:r w:rsidR="00EB4288">
              <w:t xml:space="preserve">VIS </w:t>
            </w:r>
            <w:r w:rsidRPr="00222E75" w:rsidR="00EB4288">
              <w:t>aizsardzības prasības</w:t>
            </w:r>
            <w:r>
              <w:rPr>
                <w:rStyle w:val="FootnoteReference"/>
              </w:rPr>
              <w:footnoteReference w:id="38"/>
            </w:r>
            <w:r w:rsidR="007114E2">
              <w:t xml:space="preserve">, kā arī </w:t>
            </w:r>
            <w:r w:rsidRPr="0000210A" w:rsidR="007114E2">
              <w:t xml:space="preserve">kārtību, kādā nodrošina informācijas apriti, izmantojot </w:t>
            </w:r>
            <w:r w:rsidR="007114E2">
              <w:t xml:space="preserve">VIS </w:t>
            </w:r>
            <w:r w:rsidRPr="0000210A" w:rsidR="007114E2">
              <w:t xml:space="preserve">savietotāju, </w:t>
            </w:r>
            <w:r w:rsidR="007114E2">
              <w:t xml:space="preserve">un </w:t>
            </w:r>
            <w:r w:rsidRPr="0000210A" w:rsidR="007114E2">
              <w:t xml:space="preserve">izveido, attīsta un likvidē </w:t>
            </w:r>
            <w:r w:rsidR="007114E2">
              <w:t xml:space="preserve">VIS </w:t>
            </w:r>
            <w:r w:rsidRPr="0000210A" w:rsidR="007114E2">
              <w:t>savietotāju</w:t>
            </w:r>
            <w:r w:rsidR="007114E2">
              <w:rPr>
                <w:rStyle w:val="FootnoteReference"/>
              </w:rPr>
              <w:t xml:space="preserve"> </w:t>
            </w:r>
            <w:r>
              <w:rPr>
                <w:rStyle w:val="FootnoteReference"/>
              </w:rPr>
              <w:footnoteReference w:id="39"/>
            </w:r>
            <w:r w:rsidR="003E3B55">
              <w:t>)</w:t>
            </w:r>
            <w:r>
              <w:t>;</w:t>
            </w:r>
          </w:p>
          <w:p w:rsidR="00F963EA" w:rsidP="006B350D" w14:paraId="583B0848" w14:textId="77777777">
            <w:pPr>
              <w:pStyle w:val="ListParagraph"/>
              <w:numPr>
                <w:ilvl w:val="0"/>
                <w:numId w:val="5"/>
              </w:numPr>
              <w:ind w:left="0" w:firstLine="199"/>
              <w:contextualSpacing w:val="0"/>
              <w:jc w:val="both"/>
            </w:pPr>
            <w:r>
              <w:t xml:space="preserve">atbilstoši VIS likumam </w:t>
            </w:r>
            <w:r w:rsidR="006B350D">
              <w:t>VIS turētājs nodrošina piekļūšanu VIS vispārpieejamai informācijai glo</w:t>
            </w:r>
            <w:r w:rsidR="002032E6">
              <w:t>bālajā datoru tīklā (internetā).</w:t>
            </w:r>
            <w:r w:rsidR="006B350D">
              <w:t xml:space="preserve"> Ņemot vērā šo principu, </w:t>
            </w:r>
            <w:r w:rsidR="006B350D">
              <w:rPr>
                <w:szCs w:val="28"/>
                <w:lang w:eastAsia="lv-LV"/>
              </w:rPr>
              <w:t xml:space="preserve">likumprojektā ir noteikts, ka IKT pārzinis un informācijas pārzinis atbilstoši savai kompetencei </w:t>
            </w:r>
            <w:r w:rsidR="006B350D">
              <w:t>nodrošina IKT (tehnoloģisko) resursu un informācijas resursu pieejamību</w:t>
            </w:r>
            <w:r w:rsidR="00980000">
              <w:t>,</w:t>
            </w:r>
            <w:r w:rsidR="006B350D">
              <w:t xml:space="preserve"> </w:t>
            </w:r>
            <w:r w:rsidR="00980000">
              <w:t xml:space="preserve">turklāt </w:t>
            </w:r>
            <w:r w:rsidR="006B350D">
              <w:t>likumprojekt</w:t>
            </w:r>
            <w:r w:rsidR="00980000">
              <w:t>s</w:t>
            </w:r>
            <w:r w:rsidR="006B350D">
              <w:t xml:space="preserve"> paredz izdot MK noteikumus, </w:t>
            </w:r>
            <w:r w:rsidR="00980000">
              <w:t>kuri</w:t>
            </w:r>
            <w:r w:rsidR="006B350D">
              <w:t xml:space="preserve"> nosaka vispārīgās prasības IKT (tehnoloģisko) resursu, kā arī informācijas resursu nodrošināšanai un lietošanai</w:t>
            </w:r>
            <w:r>
              <w:rPr>
                <w:rStyle w:val="FootnoteReference"/>
              </w:rPr>
              <w:footnoteReference w:id="40"/>
            </w:r>
            <w:r w:rsidR="006B350D">
              <w:t>, tai skaitā prasības saistī</w:t>
            </w:r>
            <w:r w:rsidR="006023A7">
              <w:t>bā</w:t>
            </w:r>
            <w:r w:rsidR="006B350D">
              <w:t xml:space="preserve"> ar attiecīgo resursu pieejamību</w:t>
            </w:r>
            <w:r>
              <w:t>;</w:t>
            </w:r>
          </w:p>
          <w:p w:rsidR="006B350D" w:rsidP="00826509" w14:paraId="583B0849" w14:textId="77777777">
            <w:pPr>
              <w:pStyle w:val="ListParagraph"/>
              <w:numPr>
                <w:ilvl w:val="0"/>
                <w:numId w:val="5"/>
              </w:numPr>
              <w:ind w:left="0" w:firstLine="199"/>
              <w:contextualSpacing w:val="0"/>
              <w:jc w:val="both"/>
            </w:pPr>
            <w:r>
              <w:t xml:space="preserve">atbilstoši VIS likumam VIS informācija </w:t>
            </w:r>
            <w:r w:rsidR="00F963EA">
              <w:t xml:space="preserve">ir pieejama saskaņā ar normatīvajiem aktiem. Ņemot vērā šo principu, </w:t>
            </w:r>
            <w:r w:rsidR="00F963EA">
              <w:rPr>
                <w:szCs w:val="28"/>
                <w:lang w:eastAsia="lv-LV"/>
              </w:rPr>
              <w:t>likumprojekt</w:t>
            </w:r>
            <w:r>
              <w:rPr>
                <w:szCs w:val="28"/>
                <w:lang w:eastAsia="lv-LV"/>
              </w:rPr>
              <w:t>s nosaka</w:t>
            </w:r>
            <w:r w:rsidR="00F963EA">
              <w:rPr>
                <w:szCs w:val="28"/>
                <w:lang w:eastAsia="lv-LV"/>
              </w:rPr>
              <w:t>, ka</w:t>
            </w:r>
            <w:r w:rsidR="00F963EA">
              <w:t xml:space="preserve"> </w:t>
            </w:r>
            <w:r w:rsidRPr="00BA4119" w:rsidR="00F963EA">
              <w:t>institūcijas nodrošina informācijas apriti, īstenojot attiecīgo darbību atbilstoši pienākumiem un tiesībām, kā arī ievērojot kārtību un prasības, kas noteiktas normatīvajos aktos</w:t>
            </w:r>
            <w:r>
              <w:t xml:space="preserve">, tai skaitā par </w:t>
            </w:r>
            <w:r w:rsidRPr="00826509" w:rsidR="00826509">
              <w:t>informācijas atklātību un aizsardzību</w:t>
            </w:r>
            <w:r>
              <w:rPr>
                <w:rStyle w:val="FootnoteReference"/>
              </w:rPr>
              <w:footnoteReference w:id="41"/>
            </w:r>
            <w:r>
              <w:t>;</w:t>
            </w:r>
          </w:p>
          <w:p w:rsidR="00F233DA" w:rsidP="00F233DA" w14:paraId="583B084A" w14:textId="77777777">
            <w:pPr>
              <w:pStyle w:val="ListParagraph"/>
              <w:numPr>
                <w:ilvl w:val="0"/>
                <w:numId w:val="5"/>
              </w:numPr>
              <w:ind w:left="0" w:firstLine="199"/>
              <w:contextualSpacing w:val="0"/>
              <w:jc w:val="both"/>
            </w:pPr>
            <w:r>
              <w:t xml:space="preserve">atbilstoši VIS likumam </w:t>
            </w:r>
            <w:r>
              <w:t xml:space="preserve">VIS apvieno integrētā VIS </w:t>
            </w:r>
            <w:r w:rsidR="00710B85">
              <w:t>(</w:t>
            </w:r>
            <w:r>
              <w:t>loģiskā VIS apvienībā, kurā vienotā informācijas laukā tiek uzturēti atsevišķu VIS dati</w:t>
            </w:r>
            <w:r w:rsidR="00710B85">
              <w:t>)</w:t>
            </w:r>
            <w:r>
              <w:t xml:space="preserve">. </w:t>
            </w:r>
            <w:r w:rsidR="00710B85">
              <w:t xml:space="preserve">Ņemot vērā šo principu, </w:t>
            </w:r>
            <w:r w:rsidR="00710B85">
              <w:rPr>
                <w:szCs w:val="28"/>
                <w:lang w:eastAsia="lv-LV"/>
              </w:rPr>
              <w:t>likumprojekt</w:t>
            </w:r>
            <w:r w:rsidR="00A5209B">
              <w:rPr>
                <w:szCs w:val="28"/>
                <w:lang w:eastAsia="lv-LV"/>
              </w:rPr>
              <w:t xml:space="preserve">s nosaka, ka IKT pārzinis un informācijas pārzinis atbilstoši savai kompetencei </w:t>
            </w:r>
            <w:r>
              <w:t>nodrošin</w:t>
            </w:r>
            <w:r w:rsidR="00A5209B">
              <w:t xml:space="preserve">a </w:t>
            </w:r>
            <w:r>
              <w:t>IKT (tehnoloģisko) resursu</w:t>
            </w:r>
            <w:r w:rsidR="00A5209B">
              <w:t xml:space="preserve"> un </w:t>
            </w:r>
            <w:r>
              <w:t>informācijas resursu savietojamību</w:t>
            </w:r>
            <w:r w:rsidR="00980000">
              <w:t>,</w:t>
            </w:r>
            <w:r>
              <w:t xml:space="preserve"> </w:t>
            </w:r>
            <w:r w:rsidR="00980000">
              <w:t>t</w:t>
            </w:r>
            <w:r>
              <w:t xml:space="preserve">urklāt </w:t>
            </w:r>
            <w:r w:rsidR="00D807E6">
              <w:t>likumprojekts ietver deleģējumu</w:t>
            </w:r>
            <w:r w:rsidR="00980000">
              <w:t xml:space="preserve"> </w:t>
            </w:r>
            <w:r>
              <w:t xml:space="preserve">izdot MK noteikumus, </w:t>
            </w:r>
            <w:r w:rsidR="00980000">
              <w:t>kuri</w:t>
            </w:r>
            <w:r>
              <w:t xml:space="preserve"> nosaka vispārīgās</w:t>
            </w:r>
            <w:r w:rsidR="00D807E6">
              <w:t xml:space="preserve"> </w:t>
            </w:r>
            <w:r>
              <w:t>prasības IKT (tehnoloģisko) resursu, kā arī informācijas resursu nodrošināšanai un lietošanai</w:t>
            </w:r>
            <w:r>
              <w:rPr>
                <w:rStyle w:val="FootnoteReference"/>
              </w:rPr>
              <w:footnoteReference w:id="42"/>
            </w:r>
            <w:r>
              <w:t xml:space="preserve">, tai skaitā prasības </w:t>
            </w:r>
            <w:r w:rsidR="00E45703">
              <w:t>saistī</w:t>
            </w:r>
            <w:r w:rsidR="00D807E6">
              <w:t>bā</w:t>
            </w:r>
            <w:r w:rsidR="00E45703">
              <w:t xml:space="preserve"> ar attiecīgo </w:t>
            </w:r>
            <w:r>
              <w:t>resursu savietojamību;</w:t>
            </w:r>
          </w:p>
          <w:p w:rsidR="00996995" w:rsidP="00F233DA" w14:paraId="583B084B" w14:textId="77777777">
            <w:pPr>
              <w:pStyle w:val="ListParagraph"/>
              <w:numPr>
                <w:ilvl w:val="0"/>
                <w:numId w:val="5"/>
              </w:numPr>
              <w:ind w:left="0" w:firstLine="199"/>
              <w:contextualSpacing w:val="0"/>
              <w:jc w:val="both"/>
            </w:pPr>
            <w:r>
              <w:t>atbilstoši VIS likumam VIS pārziņi var izmantot VIS savietotāju, lai nodrošinātu informācijas apriti integrētas VIS ietvaros</w:t>
            </w:r>
            <w:r w:rsidR="00DA657E">
              <w:t xml:space="preserve"> (starp VIS</w:t>
            </w:r>
            <w:r w:rsidR="003D5740">
              <w:t>)</w:t>
            </w:r>
            <w:r>
              <w:t xml:space="preserve">, kā arī starp VIS un citām informācijas sistēmām, turklāt VIS likums </w:t>
            </w:r>
            <w:r>
              <w:t>regulē VIS savietotāja nodrošināšanu un lietošanu, nosakot savietotāja darbības kritērijus, k</w:t>
            </w:r>
            <w:r w:rsidR="003D5740">
              <w:t xml:space="preserve">uri </w:t>
            </w:r>
            <w:r w:rsidR="00215C33">
              <w:t xml:space="preserve">ir </w:t>
            </w:r>
            <w:r>
              <w:t xml:space="preserve">jāievēro gan VIS savietotāja pārzinim, izvērtējot </w:t>
            </w:r>
            <w:r w:rsidR="00215C33">
              <w:t xml:space="preserve">VIS </w:t>
            </w:r>
            <w:r>
              <w:t>savietotāja izveidošanas, attīstīšanas vai likvidēšanas lietderību, gan</w:t>
            </w:r>
            <w:r w:rsidR="003D5740">
              <w:t xml:space="preserve"> VIS pārziņ</w:t>
            </w:r>
            <w:r>
              <w:t>i</w:t>
            </w:r>
            <w:r w:rsidR="003D5740">
              <w:t>e</w:t>
            </w:r>
            <w:r>
              <w:t>m, pieņemot lēmumu par informācijas aprites nodrošināšanu, izmantojot VIS savietotāju</w:t>
            </w:r>
            <w:r w:rsidR="00215C33">
              <w:t>.</w:t>
            </w:r>
            <w:r w:rsidR="00E9711E">
              <w:t xml:space="preserve"> Ņemot vērā šo principu, </w:t>
            </w:r>
            <w:r w:rsidR="00E9711E">
              <w:rPr>
                <w:szCs w:val="28"/>
                <w:lang w:eastAsia="lv-LV"/>
              </w:rPr>
              <w:t>likumprojekts nosaka, ka</w:t>
            </w:r>
            <w:r w:rsidR="00E9711E">
              <w:t xml:space="preserve"> </w:t>
            </w:r>
            <w:r w:rsidRPr="00BA4119" w:rsidR="00E9711E">
              <w:t xml:space="preserve">institūcijas nodrošina </w:t>
            </w:r>
            <w:r w:rsidR="00E9711E">
              <w:t>un lieto IKT</w:t>
            </w:r>
            <w:r w:rsidRPr="00BA4119" w:rsidR="00E9711E">
              <w:t>, īstenojot attiecīgo darbību atbilstoši pienākumiem un tiesībām, kā arī ievērojot kārtību un prasības, kas noteiktas normatīvajos aktos</w:t>
            </w:r>
            <w:r w:rsidR="00E9711E">
              <w:t>, tai skaitā par IKT (tehnoloģisko) resursu nodrošināšanu un lietošanu</w:t>
            </w:r>
            <w:r w:rsidR="00482474">
              <w:t>. Savukārt saskaņā ar likumprojektu ir paredzēts izdot MK noteikumus, kas nosaka vispārīgās prasības IKT (tehnoloģisko) resursu (ieskaitot informācijas sistēmas) un pakalpojumu nodrošināšanai un lietošanai</w:t>
            </w:r>
            <w:r w:rsidR="00482474">
              <w:rPr>
                <w:rStyle w:val="FootnoteReference"/>
              </w:rPr>
              <w:t xml:space="preserve"> </w:t>
            </w:r>
            <w:r>
              <w:rPr>
                <w:rStyle w:val="FootnoteReference"/>
              </w:rPr>
              <w:footnoteReference w:id="43"/>
            </w:r>
            <w:r w:rsidR="00482474">
              <w:t>. Ņemot vērā, ka VIS savietotājs pēc būtības ir IKT (tehnoloģiskais) resurss likumprojekta izpratnē, prasības VIS savietotāja nodrošināšanai un lietošanai tiks ietvertas attiecīgajos MK noteikumos;</w:t>
            </w:r>
          </w:p>
          <w:p w:rsidR="009939A6" w:rsidP="009939A6" w14:paraId="583B084C" w14:textId="77777777">
            <w:pPr>
              <w:pStyle w:val="ListParagraph"/>
              <w:numPr>
                <w:ilvl w:val="0"/>
                <w:numId w:val="5"/>
              </w:numPr>
              <w:ind w:left="0" w:firstLine="199"/>
              <w:contextualSpacing w:val="0"/>
              <w:jc w:val="both"/>
            </w:pPr>
            <w:r>
              <w:t xml:space="preserve">atbilstoši VIS likumam </w:t>
            </w:r>
            <w:r>
              <w:t xml:space="preserve">VIS </w:t>
            </w:r>
            <w:r w:rsidRPr="009939A6">
              <w:t xml:space="preserve">savietotāja pārzinis lemj par līguma slēgšanu ar </w:t>
            </w:r>
            <w:r>
              <w:t xml:space="preserve">VIS </w:t>
            </w:r>
            <w:r w:rsidRPr="009939A6">
              <w:t>pārziņiem</w:t>
            </w:r>
            <w:r>
              <w:t xml:space="preserve"> un citām </w:t>
            </w:r>
            <w:r w:rsidRPr="009939A6">
              <w:t xml:space="preserve">institūcijām, kuru pārziņā esošās informācijas sistēmas ir iesaistītas informācijas aprites nodrošināšanā ar </w:t>
            </w:r>
            <w:r>
              <w:t>VIS</w:t>
            </w:r>
            <w:r w:rsidRPr="009939A6">
              <w:t xml:space="preserve">, un var atteikt līguma slēgšanu, ja normatīvajos aktos noteiktie informācijas aprites nosacījumi ir pietiekami informācijas aprites nodrošināšanai, izmantojot </w:t>
            </w:r>
            <w:r>
              <w:t xml:space="preserve">VIS </w:t>
            </w:r>
            <w:r w:rsidRPr="009939A6">
              <w:t>savietotāju</w:t>
            </w:r>
            <w:r>
              <w:t xml:space="preserve">. Ņemot vērā šo principu, </w:t>
            </w:r>
            <w:r>
              <w:rPr>
                <w:szCs w:val="28"/>
                <w:lang w:eastAsia="lv-LV"/>
              </w:rPr>
              <w:t>likumprojektā ir noteikts, ka institūcijas</w:t>
            </w:r>
            <w:r w:rsidR="00F257D5">
              <w:rPr>
                <w:szCs w:val="28"/>
                <w:lang w:eastAsia="lv-LV"/>
              </w:rPr>
              <w:t>,</w:t>
            </w:r>
            <w:r>
              <w:rPr>
                <w:szCs w:val="28"/>
                <w:lang w:eastAsia="lv-LV"/>
              </w:rPr>
              <w:t xml:space="preserve"> </w:t>
            </w:r>
            <w:r w:rsidRPr="00F257D5" w:rsidR="00F257D5">
              <w:t xml:space="preserve">nodrošinot un lietojot </w:t>
            </w:r>
            <w:r w:rsidR="00F257D5">
              <w:t>IKT (</w:t>
            </w:r>
            <w:r w:rsidRPr="00F257D5" w:rsidR="00F257D5">
              <w:t>tehnoloģiskos</w:t>
            </w:r>
            <w:r w:rsidR="00F257D5">
              <w:t>)</w:t>
            </w:r>
            <w:r w:rsidRPr="00F257D5" w:rsidR="00F257D5">
              <w:t xml:space="preserve"> resursus un pakalpojumus, kā arī īstenojot darbību, kas saistīta ar </w:t>
            </w:r>
            <w:r w:rsidR="00F257D5">
              <w:t xml:space="preserve">IKT </w:t>
            </w:r>
            <w:r w:rsidRPr="00F257D5" w:rsidR="00F257D5">
              <w:t>izmantošanu</w:t>
            </w:r>
            <w:r w:rsidR="00F257D5">
              <w:rPr>
                <w:szCs w:val="28"/>
                <w:lang w:eastAsia="lv-LV"/>
              </w:rPr>
              <w:t xml:space="preserve"> (piemēram, nodrošinot informācijas apriti), </w:t>
            </w:r>
            <w:r w:rsidRPr="009939A6">
              <w:t>savstarpēj</w:t>
            </w:r>
            <w:r w:rsidR="00F257D5">
              <w:t>i</w:t>
            </w:r>
            <w:r w:rsidRPr="009939A6">
              <w:t xml:space="preserve"> sadarb</w:t>
            </w:r>
            <w:r w:rsidR="00F257D5">
              <w:t>ojas</w:t>
            </w:r>
            <w:r w:rsidRPr="009939A6">
              <w:t xml:space="preserve"> normatīvajos aktos par sadarbību valsts pārvaldē noteiktajā kārtībā</w:t>
            </w:r>
            <w:r>
              <w:t xml:space="preserve">, </w:t>
            </w:r>
            <w:r w:rsidR="00F257D5">
              <w:t xml:space="preserve">savukārt, ja </w:t>
            </w:r>
            <w:r w:rsidRPr="00F257D5" w:rsidR="00F257D5">
              <w:t>normatīvajos aktos noteiktā</w:t>
            </w:r>
            <w:r w:rsidR="00EE7581">
              <w:t>s</w:t>
            </w:r>
            <w:r w:rsidRPr="00F257D5" w:rsidR="00F257D5">
              <w:t xml:space="preserve"> prasības </w:t>
            </w:r>
            <w:r w:rsidR="00EE7581">
              <w:t xml:space="preserve">IKT </w:t>
            </w:r>
            <w:r w:rsidRPr="00F257D5" w:rsidR="00F257D5">
              <w:t>nodrošināšanai un lietošanai</w:t>
            </w:r>
            <w:r w:rsidR="00F257D5">
              <w:t xml:space="preserve"> (vai </w:t>
            </w:r>
            <w:r w:rsidRPr="00F257D5" w:rsidR="00F257D5">
              <w:t>informācijas aprites kārtība un apstrādes nosacījumi</w:t>
            </w:r>
            <w:r w:rsidR="00F257D5">
              <w:t xml:space="preserve">) ir </w:t>
            </w:r>
            <w:r w:rsidRPr="00F257D5" w:rsidR="00F257D5">
              <w:t xml:space="preserve">pietiekamas, lai nodrošinātu un lietotu </w:t>
            </w:r>
            <w:r w:rsidR="00EE7581">
              <w:t>IKT (</w:t>
            </w:r>
            <w:r w:rsidRPr="00F257D5" w:rsidR="00EE7581">
              <w:t>tehnoloģisko</w:t>
            </w:r>
            <w:r w:rsidR="00EE7581">
              <w:t>s)</w:t>
            </w:r>
            <w:r w:rsidRPr="00F257D5" w:rsidR="00EE7581">
              <w:t xml:space="preserve"> resursu</w:t>
            </w:r>
            <w:r w:rsidR="00EE7581">
              <w:t>s</w:t>
            </w:r>
            <w:r w:rsidRPr="00F257D5" w:rsidR="00EE7581">
              <w:t xml:space="preserve"> un </w:t>
            </w:r>
            <w:r w:rsidR="00EE7581">
              <w:t xml:space="preserve">IKT (tehnoloģiskos) </w:t>
            </w:r>
            <w:r w:rsidRPr="00F257D5" w:rsidR="00EE7581">
              <w:t>pakalpojumu</w:t>
            </w:r>
            <w:r w:rsidR="00EE7581">
              <w:t>s</w:t>
            </w:r>
            <w:r w:rsidRPr="00F257D5" w:rsidR="00EE7581">
              <w:t xml:space="preserve"> </w:t>
            </w:r>
            <w:r w:rsidR="00F257D5">
              <w:t xml:space="preserve">(vai nodrošinātu informācijas apriti), institūcijas īsteno </w:t>
            </w:r>
            <w:r w:rsidR="00CC1BCF">
              <w:t>attiecīgo</w:t>
            </w:r>
            <w:r w:rsidR="00F257D5">
              <w:t xml:space="preserve"> sadarbību, neslēdzot savstarpējo līgumu;</w:t>
            </w:r>
          </w:p>
          <w:p w:rsidR="00F963EA" w:rsidP="00314578" w14:paraId="583B084D" w14:textId="77777777">
            <w:pPr>
              <w:pStyle w:val="ListParagraph"/>
              <w:numPr>
                <w:ilvl w:val="0"/>
                <w:numId w:val="5"/>
              </w:numPr>
              <w:ind w:left="0" w:firstLine="199"/>
              <w:contextualSpacing w:val="0"/>
              <w:jc w:val="both"/>
            </w:pPr>
            <w:r>
              <w:t xml:space="preserve">atbilstoši VIS likumam VIS turētājs nodrošina iespēju identificēt informāciju jebkurā informācijas aprites posmā, turklāt, lai aizsargātu VIS no nesankcionētas pieejas, VIS turētājs nodrošina VIS lietotāju identitātes un piekļuves tiesību pārbaudi. Ņemot vērā šo principu, </w:t>
            </w:r>
            <w:r>
              <w:rPr>
                <w:szCs w:val="28"/>
                <w:lang w:eastAsia="lv-LV"/>
              </w:rPr>
              <w:t xml:space="preserve">likumprojektā ir noteikts, ka IKT pārzinis un informācijas pārzinis atbilstoši savai kompetencei </w:t>
            </w:r>
            <w:r>
              <w:t xml:space="preserve">nodrošina IKT (tehnoloģisko) resursu un informācijas resursu drošību, turklāt </w:t>
            </w:r>
            <w:r w:rsidR="00313A09">
              <w:t xml:space="preserve">likumprojektā ir deleģējums </w:t>
            </w:r>
            <w:r>
              <w:t xml:space="preserve">izdot MK noteikumus, </w:t>
            </w:r>
            <w:r w:rsidR="00313A09">
              <w:t xml:space="preserve">kas </w:t>
            </w:r>
            <w:r>
              <w:t>nosaka vispārīgās prasības IKT (tehnoloģisko) resursu, kā arī informācijas resursu nodrošināšanai un lietošanai</w:t>
            </w:r>
            <w:r>
              <w:rPr>
                <w:rStyle w:val="FootnoteReference"/>
              </w:rPr>
              <w:footnoteReference w:id="44"/>
            </w:r>
            <w:r>
              <w:t>, tai skaitā prasības</w:t>
            </w:r>
            <w:r w:rsidR="00CC1BCF">
              <w:t xml:space="preserve"> </w:t>
            </w:r>
            <w:r>
              <w:t>saistī</w:t>
            </w:r>
            <w:r w:rsidR="00CC1BCF">
              <w:t>bā</w:t>
            </w:r>
            <w:r>
              <w:t xml:space="preserve"> ar attiecīgo resursu drošību</w:t>
            </w:r>
            <w:r>
              <w:t>;</w:t>
            </w:r>
          </w:p>
          <w:p w:rsidR="00314578" w:rsidP="00314578" w14:paraId="583B084E" w14:textId="77777777">
            <w:pPr>
              <w:pStyle w:val="ListParagraph"/>
              <w:numPr>
                <w:ilvl w:val="0"/>
                <w:numId w:val="5"/>
              </w:numPr>
              <w:ind w:left="0" w:firstLine="199"/>
              <w:contextualSpacing w:val="0"/>
              <w:jc w:val="both"/>
            </w:pPr>
            <w:r>
              <w:t xml:space="preserve">atbilstoši </w:t>
            </w:r>
            <w:r w:rsidR="00F963EA">
              <w:t>VIS likum</w:t>
            </w:r>
            <w:r>
              <w:t xml:space="preserve">am </w:t>
            </w:r>
            <w:r w:rsidRPr="007D2D1E" w:rsidR="00AA33E7">
              <w:t xml:space="preserve">normatīvajos aktos noteikto </w:t>
            </w:r>
            <w:r w:rsidR="00AA33E7">
              <w:t>VIS drošības prasību ievērošanu</w:t>
            </w:r>
            <w:r w:rsidR="00F963EA">
              <w:t xml:space="preserve"> </w:t>
            </w:r>
            <w:r w:rsidRPr="007D2D1E" w:rsidR="00F963EA">
              <w:t>nodrošina</w:t>
            </w:r>
            <w:r w:rsidR="00F963EA">
              <w:t xml:space="preserve"> VIS </w:t>
            </w:r>
            <w:r w:rsidRPr="007D2D1E" w:rsidR="00F963EA">
              <w:t>pārzinis</w:t>
            </w:r>
            <w:r w:rsidR="00AA33E7">
              <w:t>, nosakot VIS drošības pārvaldnieku, kas īsteno attiecīgās VIS drošību</w:t>
            </w:r>
            <w:r w:rsidR="00A21EB1">
              <w:t>,</w:t>
            </w:r>
            <w:r w:rsidR="00AA33E7">
              <w:t xml:space="preserve"> savukārt</w:t>
            </w:r>
            <w:r w:rsidR="00A21EB1">
              <w:t xml:space="preserve"> likumprojekts neregulē IKT drošības pārvaldību, jo attiecīgajā jomā nepieciešamais regulējums jau ir ietverts normatīvajos aktos par IKT drošību</w:t>
            </w:r>
            <w:r>
              <w:rPr>
                <w:rStyle w:val="FootnoteReference"/>
              </w:rPr>
              <w:footnoteReference w:id="45"/>
            </w:r>
            <w:r w:rsidR="002918CB">
              <w:t xml:space="preserve">, taču </w:t>
            </w:r>
            <w:r w:rsidR="00A21EB1">
              <w:rPr>
                <w:szCs w:val="28"/>
                <w:lang w:eastAsia="lv-LV"/>
              </w:rPr>
              <w:t>likumprojekt</w:t>
            </w:r>
            <w:r w:rsidR="002918CB">
              <w:rPr>
                <w:szCs w:val="28"/>
                <w:lang w:eastAsia="lv-LV"/>
              </w:rPr>
              <w:t>ā noteikts, ka</w:t>
            </w:r>
            <w:r w:rsidR="00A21EB1">
              <w:rPr>
                <w:szCs w:val="28"/>
                <w:lang w:eastAsia="lv-LV"/>
              </w:rPr>
              <w:t xml:space="preserve"> </w:t>
            </w:r>
            <w:r w:rsidR="00A21EB1">
              <w:t>institūcijas nodrošina un lieto IKT, īstenojot attiecīgo darbību atbilstoši pienākumiem un tiesībām, kā arī ievērojot kārtību un prasības, kas noteiktas normatīvajos aktos, tai skaitā par IKT drošību</w:t>
            </w:r>
            <w:r>
              <w:t>;</w:t>
            </w:r>
          </w:p>
          <w:p w:rsidR="00BA4119" w:rsidP="00BA4119" w14:paraId="583B084F" w14:textId="77777777">
            <w:pPr>
              <w:pStyle w:val="ListParagraph"/>
              <w:numPr>
                <w:ilvl w:val="0"/>
                <w:numId w:val="5"/>
              </w:numPr>
              <w:ind w:left="0" w:firstLine="199"/>
              <w:contextualSpacing w:val="0"/>
              <w:jc w:val="both"/>
            </w:pPr>
            <w:r>
              <w:t>VIS likums aizliedz</w:t>
            </w:r>
            <w:r w:rsidRPr="001B1A30">
              <w:t xml:space="preserve"> vākt no datu subjektiem un ievadīt </w:t>
            </w:r>
            <w:r>
              <w:t xml:space="preserve">VIS </w:t>
            </w:r>
            <w:r w:rsidRPr="001B1A30">
              <w:t xml:space="preserve">datu bāzēs datus, kas ir pieejami integrētā </w:t>
            </w:r>
            <w:r>
              <w:t>VIS</w:t>
            </w:r>
            <w:r w:rsidR="00295F4D">
              <w:t>,</w:t>
            </w:r>
            <w:r>
              <w:t xml:space="preserve"> </w:t>
            </w:r>
            <w:r w:rsidR="00295F4D">
              <w:t xml:space="preserve">turklāt </w:t>
            </w:r>
            <w:r>
              <w:t>VIS likums nosaka, ka dati ir jāreģistrē tikai vienu reizi atbilstošajā reģistrā (integrētā VIS normatīvajos aktos noteikto reģistrējamo objektu</w:t>
            </w:r>
            <w:r w:rsidR="00295F4D">
              <w:t xml:space="preserve"> identificēšanai</w:t>
            </w:r>
            <w:r w:rsidR="0063719D">
              <w:t>, kurā jānodrošina datu aktualizācija</w:t>
            </w:r>
            <w:r w:rsidR="004B6535">
              <w:t>)</w:t>
            </w:r>
            <w:r>
              <w:t xml:space="preserve">. </w:t>
            </w:r>
            <w:r w:rsidR="004B6535">
              <w:t xml:space="preserve">Ņemot vērā šo principu, </w:t>
            </w:r>
            <w:r w:rsidR="004B6535">
              <w:rPr>
                <w:szCs w:val="28"/>
                <w:lang w:eastAsia="lv-LV"/>
              </w:rPr>
              <w:t>likumprojekt</w:t>
            </w:r>
            <w:r w:rsidR="0063719D">
              <w:rPr>
                <w:szCs w:val="28"/>
                <w:lang w:eastAsia="lv-LV"/>
              </w:rPr>
              <w:t>s nosaka</w:t>
            </w:r>
            <w:r w:rsidR="004B6535">
              <w:rPr>
                <w:szCs w:val="28"/>
                <w:lang w:eastAsia="lv-LV"/>
              </w:rPr>
              <w:t>, ka</w:t>
            </w:r>
            <w:r w:rsidR="004B6535">
              <w:t xml:space="preserve"> </w:t>
            </w:r>
            <w:r w:rsidRPr="00BA4119">
              <w:t>institūcijas nodrošina informācijas apriti, īstenojot attiecīgo darbību atbilstoši pienākumiem un tiesībām, kā arī ievērojot kārtību un prasības, kas noteiktas normatīvajos aktos</w:t>
            </w:r>
            <w:r w:rsidR="00A3584C">
              <w:t>, tai skaitā par</w:t>
            </w:r>
            <w:r>
              <w:t xml:space="preserve"> informācijas apriti, </w:t>
            </w:r>
            <w:r w:rsidR="00A3584C">
              <w:t xml:space="preserve">kuru </w:t>
            </w:r>
            <w:r>
              <w:t>institūcijas nodrošina ar IKT palīdzību. Šajos normatīvajos aktos</w:t>
            </w:r>
            <w:r>
              <w:rPr>
                <w:rStyle w:val="FootnoteReference"/>
              </w:rPr>
              <w:footnoteReference w:id="46"/>
            </w:r>
            <w:r>
              <w:t xml:space="preserve"> ir noteikts, ka institūcija </w:t>
            </w:r>
            <w:r w:rsidRPr="005E7A3D">
              <w:t xml:space="preserve">iegūst </w:t>
            </w:r>
            <w:r>
              <w:t xml:space="preserve">nepieciešamo informāciju </w:t>
            </w:r>
            <w:r w:rsidRPr="005E7A3D">
              <w:t>pati, nevis pieprasa no personas</w:t>
            </w:r>
            <w:r>
              <w:t xml:space="preserve">, ja attiecīgā </w:t>
            </w:r>
            <w:r w:rsidRPr="005E7A3D">
              <w:t>informācija</w:t>
            </w:r>
            <w:r>
              <w:t xml:space="preserve"> </w:t>
            </w:r>
            <w:r w:rsidRPr="005E7A3D">
              <w:t>ir citas institūcijas rīcībā</w:t>
            </w:r>
            <w:r>
              <w:t xml:space="preserve">, turklāt institūcija </w:t>
            </w:r>
            <w:r w:rsidRPr="005E7A3D">
              <w:t>pieprasa</w:t>
            </w:r>
            <w:r>
              <w:t xml:space="preserve"> savu</w:t>
            </w:r>
            <w:r w:rsidRPr="005E7A3D">
              <w:t xml:space="preserve"> funkciju un</w:t>
            </w:r>
            <w:r>
              <w:t xml:space="preserve"> uzdevumu veikšanai nepieciešamo informāciju</w:t>
            </w:r>
            <w:r w:rsidRPr="005E7A3D">
              <w:t xml:space="preserve"> no citas </w:t>
            </w:r>
            <w:r>
              <w:t>institūcijas</w:t>
            </w:r>
            <w:r w:rsidRPr="005E7A3D">
              <w:t xml:space="preserve">, </w:t>
            </w:r>
            <w:r w:rsidR="00220CA4">
              <w:t>kas</w:t>
            </w:r>
            <w:r>
              <w:t xml:space="preserve"> </w:t>
            </w:r>
            <w:r w:rsidRPr="005E7A3D">
              <w:t xml:space="preserve">nodrošina </w:t>
            </w:r>
            <w:r>
              <w:t xml:space="preserve">attiecīgās </w:t>
            </w:r>
            <w:r w:rsidRPr="005E7A3D">
              <w:t>informācijas vākšanu, reģistrēšanu un aktualizēšanu</w:t>
            </w:r>
            <w:r>
              <w:t xml:space="preserve">. Ievērojot minētās normas, tiks izstrādāti likumprojektā paredzētie MK noteikumi, </w:t>
            </w:r>
            <w:r w:rsidR="001972C9">
              <w:t>kuri</w:t>
            </w:r>
            <w:r w:rsidR="00220CA4">
              <w:t xml:space="preserve"> </w:t>
            </w:r>
            <w:r w:rsidR="001972C9">
              <w:t>noteiks</w:t>
            </w:r>
            <w:r>
              <w:t xml:space="preserve"> vispārīgās prasības informācijas resursu nodrošināšanai un lietošanai</w:t>
            </w:r>
            <w:r>
              <w:rPr>
                <w:rStyle w:val="FootnoteReference"/>
              </w:rPr>
              <w:footnoteReference w:id="47"/>
            </w:r>
            <w:r>
              <w:t>;</w:t>
            </w:r>
          </w:p>
          <w:p w:rsidR="00052007" w:rsidP="00052007" w14:paraId="583B0850" w14:textId="77777777">
            <w:pPr>
              <w:pStyle w:val="ListParagraph"/>
              <w:numPr>
                <w:ilvl w:val="0"/>
                <w:numId w:val="5"/>
              </w:numPr>
              <w:ind w:left="0" w:firstLine="199"/>
              <w:contextualSpacing w:val="0"/>
              <w:jc w:val="both"/>
            </w:pPr>
            <w:r>
              <w:t xml:space="preserve">atbilstoši VIS likumam VIS datu subjektam ir tiesības saņemt no VIS datus, kā arī </w:t>
            </w:r>
            <w:r w:rsidRPr="004106FF">
              <w:t xml:space="preserve">paziņot </w:t>
            </w:r>
            <w:r>
              <w:t xml:space="preserve">VIS </w:t>
            </w:r>
            <w:r w:rsidRPr="004106FF">
              <w:t>turētājam par pamanītajām nepilnībām datos, kas attiecas</w:t>
            </w:r>
            <w:r>
              <w:t xml:space="preserve"> uz šo datu subjektu</w:t>
            </w:r>
            <w:r w:rsidRPr="004106FF">
              <w:t>, un pieprasīt šo datu labošanu</w:t>
            </w:r>
            <w:r>
              <w:t xml:space="preserve">. Ņemot vērā šo principu, </w:t>
            </w:r>
            <w:r>
              <w:rPr>
                <w:szCs w:val="28"/>
                <w:lang w:eastAsia="lv-LV"/>
              </w:rPr>
              <w:t xml:space="preserve">likumprojektā ir noteikts, ka </w:t>
            </w:r>
            <w:r>
              <w:t>institūcijas nodrošina informācijas apriti, īstenojot attiecīgo darbību atbilstoši pienākumiem un tiesībām, kā arī ievērojot kārtību un prasības, kas noteiktas normatīvajos aktos</w:t>
            </w:r>
            <w:r w:rsidR="00A3584C">
              <w:t xml:space="preserve">, tai skaitā par </w:t>
            </w:r>
            <w:r>
              <w:t>informācijas apriti, kuru institūcijas nodrošina ar IKT palīdzību. Šajos normatīvajos aktos</w:t>
            </w:r>
            <w:r>
              <w:rPr>
                <w:rStyle w:val="FootnoteReference"/>
              </w:rPr>
              <w:footnoteReference w:id="48"/>
            </w:r>
            <w:r>
              <w:t xml:space="preserve"> ir noteikts, ka </w:t>
            </w:r>
            <w:r w:rsidRPr="005622F4">
              <w:t xml:space="preserve">datu subjektam ir tiesības iegūt visu informāciju, kas par viņu </w:t>
            </w:r>
            <w:r>
              <w:t xml:space="preserve">ir </w:t>
            </w:r>
            <w:r w:rsidRPr="005622F4">
              <w:t>savākta jebkurā personas datu apstrādes sistēmā</w:t>
            </w:r>
            <w:r>
              <w:t xml:space="preserve">, kā arī </w:t>
            </w:r>
            <w:r w:rsidRPr="005622F4">
              <w:t>piekļūt saviem datiem un izdarīt tajos labojumus</w:t>
            </w:r>
            <w:r>
              <w:t xml:space="preserve"> vai pieprasīt pārzinim šo datu labošanu. Ievērojot minētās normas, tiks izstrādāti likumprojektā paredzētie MK noteikumi, kas noteiks vispārīgās prasības informācijas resursu nodrošināšanai un lietošanai</w:t>
            </w:r>
            <w:r>
              <w:rPr>
                <w:rStyle w:val="FootnoteReference"/>
              </w:rPr>
              <w:footnoteReference w:id="49"/>
            </w:r>
            <w:r>
              <w:t>;</w:t>
            </w:r>
          </w:p>
          <w:p w:rsidR="00FD41AE" w:rsidP="007A5682" w14:paraId="583B0851" w14:textId="77777777">
            <w:pPr>
              <w:pStyle w:val="ListParagraph"/>
              <w:numPr>
                <w:ilvl w:val="0"/>
                <w:numId w:val="5"/>
              </w:numPr>
              <w:ind w:left="0" w:firstLine="199"/>
              <w:contextualSpacing w:val="0"/>
              <w:jc w:val="both"/>
            </w:pPr>
            <w:r>
              <w:t>VIS likum</w:t>
            </w:r>
            <w:r w:rsidR="00A3584C">
              <w:t>s nosaka, ka</w:t>
            </w:r>
            <w:r>
              <w:t xml:space="preserve"> </w:t>
            </w:r>
            <w:r w:rsidR="00030F42">
              <w:t>VIS datu bāze ir valsts īpašums</w:t>
            </w:r>
            <w:r w:rsidR="00702A3D">
              <w:t xml:space="preserve">, bet IKT </w:t>
            </w:r>
            <w:r w:rsidRPr="005E067B" w:rsidR="00702A3D">
              <w:t>līdzekļi</w:t>
            </w:r>
            <w:r w:rsidR="00702A3D">
              <w:t xml:space="preserve"> (</w:t>
            </w:r>
            <w:r w:rsidRPr="005E067B" w:rsidR="00702A3D">
              <w:t xml:space="preserve">informācijas tehnoloģijas un informācijas pārraides </w:t>
            </w:r>
            <w:r w:rsidR="00702A3D">
              <w:t>līdzekļi), kas nodrošina VIS darbību, var būt publiskais vai privātais īpašums (tai skaitā valsts vai pašvaldības privātais īpašums).</w:t>
            </w:r>
            <w:r w:rsidR="009D1899">
              <w:t xml:space="preserve"> VARAM norāda, ka </w:t>
            </w:r>
            <w:r w:rsidR="00702A3D">
              <w:t xml:space="preserve">likumprojekta izpratnē </w:t>
            </w:r>
            <w:r w:rsidR="009D1899">
              <w:t>VIS datu bāze ir informācijas resurss</w:t>
            </w:r>
            <w:r w:rsidR="00C23097">
              <w:t xml:space="preserve"> (par </w:t>
            </w:r>
            <w:r w:rsidR="00910FF4">
              <w:t>šiem</w:t>
            </w:r>
            <w:r w:rsidR="00481009">
              <w:t xml:space="preserve"> resursiem</w:t>
            </w:r>
            <w:r w:rsidR="00C23097">
              <w:t xml:space="preserve"> atbild </w:t>
            </w:r>
            <w:r w:rsidR="00481009">
              <w:t xml:space="preserve">institūcijas, kas īsteno informācijas </w:t>
            </w:r>
            <w:r w:rsidR="00C23097">
              <w:t>p</w:t>
            </w:r>
            <w:r w:rsidR="00481009">
              <w:t>ārziņa darbību)</w:t>
            </w:r>
            <w:r w:rsidR="00702A3D">
              <w:t xml:space="preserve">, </w:t>
            </w:r>
            <w:r w:rsidR="006D7AC7">
              <w:t>savukārt</w:t>
            </w:r>
            <w:r w:rsidR="00702A3D">
              <w:t xml:space="preserve"> IKT līdzekļi ietilpst IKT (tehnoloģiskajos) resursos (par šiem resursiem atbild institūcijas, kas īsteno IKT pārziņa darbību).</w:t>
            </w:r>
            <w:r w:rsidR="00C23097">
              <w:t xml:space="preserve"> </w:t>
            </w:r>
            <w:r w:rsidR="00562372">
              <w:t xml:space="preserve">Turklāt likumprojekts </w:t>
            </w:r>
            <w:r w:rsidR="00702A3D">
              <w:t xml:space="preserve">nosaka, ka </w:t>
            </w:r>
            <w:r w:rsidR="00C23097">
              <w:t xml:space="preserve">institūcijas </w:t>
            </w:r>
            <w:r w:rsidR="00702A3D">
              <w:t xml:space="preserve">nodrošina un lieto IKT, kā arī </w:t>
            </w:r>
            <w:r w:rsidR="00702A3D">
              <w:t xml:space="preserve">nodrošina informācijas apriti, </w:t>
            </w:r>
            <w:r w:rsidR="00C23097">
              <w:t xml:space="preserve">īstenojot attiecīgo darbību atbilstoši pienākumiem un tiesībām, kā arī ievērojot kārtību un prasības, kas noteiktas normatīvajos aktos, tai skaitā par </w:t>
            </w:r>
            <w:r w:rsidR="00562372">
              <w:t xml:space="preserve">IKT (tehnoloģisko) resursu un </w:t>
            </w:r>
            <w:r w:rsidRPr="007A5682" w:rsidR="007A5682">
              <w:t>informācijas resursu nodrošināšanu un lietošanu</w:t>
            </w:r>
            <w:r>
              <w:t>. Pašlaik vien</w:t>
            </w:r>
            <w:r w:rsidR="000B4F9E">
              <w:t>s</w:t>
            </w:r>
            <w:r>
              <w:t xml:space="preserve"> no attiecīgajiem normatīvajiem aktiem</w:t>
            </w:r>
            <w:r>
              <w:rPr>
                <w:rStyle w:val="FootnoteReference"/>
              </w:rPr>
              <w:footnoteReference w:id="50"/>
            </w:r>
            <w:r>
              <w:t xml:space="preserve"> </w:t>
            </w:r>
            <w:r w:rsidR="000B4F9E">
              <w:t xml:space="preserve">regulē kārtību, kādā </w:t>
            </w:r>
            <w:r w:rsidR="00B150FB">
              <w:t xml:space="preserve">institūcijas </w:t>
            </w:r>
            <w:r w:rsidR="00481009">
              <w:t xml:space="preserve">(pasūtītāji) </w:t>
            </w:r>
            <w:r w:rsidR="00B150FB">
              <w:t xml:space="preserve">izstrādā un slēdz </w:t>
            </w:r>
            <w:r w:rsidR="003D6FE2">
              <w:t xml:space="preserve">ārvalstu finanšu instrumentu finansētos </w:t>
            </w:r>
            <w:r w:rsidR="00B150FB">
              <w:t>piegādes vai pakalpojumu līgumus (</w:t>
            </w:r>
            <w:r w:rsidR="00562372">
              <w:t>arī</w:t>
            </w:r>
            <w:r w:rsidR="00481009">
              <w:t xml:space="preserve"> </w:t>
            </w:r>
            <w:r w:rsidR="00B150FB">
              <w:t>saistībā ar IKT izmantošanu)</w:t>
            </w:r>
            <w:r w:rsidR="003D6FE2">
              <w:t xml:space="preserve">, </w:t>
            </w:r>
            <w:r w:rsidR="00B150FB">
              <w:t xml:space="preserve">nosakot, ka </w:t>
            </w:r>
            <w:r w:rsidRPr="000B4F9E" w:rsidR="000B4F9E">
              <w:t xml:space="preserve">datubāzes, kas tiek radītas, izmantojot no </w:t>
            </w:r>
            <w:r w:rsidR="00562372">
              <w:t xml:space="preserve">institūcijas </w:t>
            </w:r>
            <w:r w:rsidRPr="000B4F9E" w:rsidR="000B4F9E">
              <w:t xml:space="preserve">saņemtos vai </w:t>
            </w:r>
            <w:r w:rsidR="00562372">
              <w:t xml:space="preserve">tās </w:t>
            </w:r>
            <w:r w:rsidRPr="000B4F9E" w:rsidR="000B4F9E">
              <w:t xml:space="preserve">uzdevumā savāktos vai apkopotos datus, pieder </w:t>
            </w:r>
            <w:r w:rsidR="00562372">
              <w:t>institūcijai</w:t>
            </w:r>
            <w:r w:rsidRPr="000B4F9E" w:rsidR="00562372">
              <w:t xml:space="preserve"> </w:t>
            </w:r>
            <w:r w:rsidR="00481009">
              <w:t>(</w:t>
            </w:r>
            <w:r w:rsidRPr="000B4F9E" w:rsidR="00562372">
              <w:t>pasūtītājam</w:t>
            </w:r>
            <w:r w:rsidR="00562372">
              <w:t xml:space="preserve">), turklāt saskaņā ar </w:t>
            </w:r>
            <w:r w:rsidR="00887197">
              <w:t>šo kārtību līgumā ir jāparedz, ka</w:t>
            </w:r>
            <w:r w:rsidR="003D6FE2">
              <w:t xml:space="preserve"> </w:t>
            </w:r>
            <w:r w:rsidRPr="00562372" w:rsidR="00887197">
              <w:t xml:space="preserve">pasūtītājs iegūst un kļūst tiesīgs izmantot programmatūras pirmkodu un citas intelektuālā īpašuma tiesības, ja tas ir nepieciešams, lai pasargātu pasūtītāju </w:t>
            </w:r>
            <w:r w:rsidR="00887197">
              <w:t xml:space="preserve">(institūciju) </w:t>
            </w:r>
            <w:r w:rsidRPr="00562372" w:rsidR="00887197">
              <w:t xml:space="preserve">pret riskiem, kas rodas piegādātāja </w:t>
            </w:r>
            <w:r w:rsidR="00887197">
              <w:t xml:space="preserve">(privātpersonas) </w:t>
            </w:r>
            <w:r w:rsidRPr="00562372" w:rsidR="00887197">
              <w:t>maksātnespējas vai likvidācijas dēļ</w:t>
            </w:r>
            <w:r w:rsidR="00887197">
              <w:t xml:space="preserve">. VARAM norāda, ka saskaņā ar </w:t>
            </w:r>
            <w:r w:rsidR="003D6FE2">
              <w:t>likumprojekt</w:t>
            </w:r>
            <w:r w:rsidR="00887197">
              <w:t xml:space="preserve">u ir paredzēts </w:t>
            </w:r>
            <w:r w:rsidR="003D6FE2">
              <w:t xml:space="preserve">izdot MK noteikumus, kas nosaka vispārīgās prasības </w:t>
            </w:r>
            <w:r w:rsidR="00562372">
              <w:t>IKT (tehnoloģisko) resursu</w:t>
            </w:r>
            <w:r w:rsidR="00887197">
              <w:t xml:space="preserve"> un </w:t>
            </w:r>
            <w:r w:rsidR="003D6FE2">
              <w:t>informācijas resursu nodrošināšanai un lietošanai</w:t>
            </w:r>
            <w:r>
              <w:rPr>
                <w:rStyle w:val="FootnoteReference"/>
              </w:rPr>
              <w:footnoteReference w:id="51"/>
            </w:r>
            <w:r w:rsidR="003D6FE2">
              <w:t xml:space="preserve">. </w:t>
            </w:r>
            <w:r w:rsidR="00887197">
              <w:t>Ievērojot to</w:t>
            </w:r>
            <w:r w:rsidR="003D6FE2">
              <w:t xml:space="preserve">, VARAM uzskata par lietderīgu </w:t>
            </w:r>
            <w:r w:rsidR="00887197">
              <w:t>jautājumu par IKT (tehnoloģisko)</w:t>
            </w:r>
            <w:r w:rsidR="00EE7581">
              <w:t xml:space="preserve"> resursu</w:t>
            </w:r>
            <w:r w:rsidR="00887197">
              <w:t xml:space="preserve">, kā arī </w:t>
            </w:r>
            <w:r w:rsidR="003D6FE2">
              <w:t>informācijas resursu pieder</w:t>
            </w:r>
            <w:r w:rsidR="00887197">
              <w:t>ību</w:t>
            </w:r>
            <w:r w:rsidR="003D6FE2">
              <w:t xml:space="preserve"> noregulēt </w:t>
            </w:r>
            <w:r w:rsidR="00910FF4">
              <w:t xml:space="preserve">minētajos </w:t>
            </w:r>
            <w:r w:rsidR="00165326">
              <w:t>MK noteikumos, nodrošinot attiecīgo normu piemērošanu neatkarīgi no IKT pārvaldības (tai skaitā informācijas aprites nodrošināšanas ar IKT palīdzību) finansēšanas avota;</w:t>
            </w:r>
          </w:p>
          <w:p w:rsidR="00F233DA" w:rsidP="00F233DA" w14:paraId="583B0852" w14:textId="77777777">
            <w:pPr>
              <w:pStyle w:val="ListParagraph"/>
              <w:numPr>
                <w:ilvl w:val="0"/>
                <w:numId w:val="5"/>
              </w:numPr>
              <w:ind w:left="0" w:firstLine="199"/>
              <w:contextualSpacing w:val="0"/>
              <w:jc w:val="both"/>
            </w:pPr>
            <w:r>
              <w:t>VIS likum</w:t>
            </w:r>
            <w:r w:rsidR="00030F42">
              <w:t>s</w:t>
            </w:r>
            <w:r>
              <w:t xml:space="preserve"> nosaka, ka gadījumā, j</w:t>
            </w:r>
            <w:r w:rsidRPr="00A27822">
              <w:t xml:space="preserve">a </w:t>
            </w:r>
            <w:r>
              <w:t xml:space="preserve">VIS datu </w:t>
            </w:r>
            <w:r w:rsidRPr="00A27822">
              <w:t xml:space="preserve">bāze ir autortiesību </w:t>
            </w:r>
            <w:r>
              <w:t>(</w:t>
            </w:r>
            <w:r w:rsidRPr="00A27822">
              <w:t>blakustiesību</w:t>
            </w:r>
            <w:r>
              <w:t>)</w:t>
            </w:r>
            <w:r w:rsidRPr="00A27822">
              <w:t xml:space="preserve"> objekts, </w:t>
            </w:r>
            <w:r>
              <w:t xml:space="preserve">VIS </w:t>
            </w:r>
            <w:r w:rsidRPr="00A27822">
              <w:t xml:space="preserve">pārzinis vienojas ar attiecīgo autortiesību (blakustiesību) subjektu par </w:t>
            </w:r>
            <w:r>
              <w:t xml:space="preserve">šīs datu bāzes </w:t>
            </w:r>
            <w:r w:rsidRPr="00A27822">
              <w:t>izmantošanu</w:t>
            </w:r>
            <w:r>
              <w:t xml:space="preserve">. </w:t>
            </w:r>
            <w:r>
              <w:t>Savukārt likumprojekts nesatur normas</w:t>
            </w:r>
            <w:r w:rsidR="00161442">
              <w:t xml:space="preserve"> </w:t>
            </w:r>
            <w:r>
              <w:t xml:space="preserve">par </w:t>
            </w:r>
            <w:r>
              <w:t>autortiesību (blakustiesību) objektu izmantošanu, bet nosaka, ka institūcijas nodrošina un lieto IKT, kā arī nodrošina informācijas apriti ar IKT palīdzību</w:t>
            </w:r>
            <w:r w:rsidR="00B80E99">
              <w:t>, īstenojot attiecīgo darbību</w:t>
            </w:r>
            <w:r>
              <w:t xml:space="preserve"> atbilstoši pienākumiem un tiesībām, kā arī ievērojot kārtību un prasības, kas noteiktas normatīvajos aktos</w:t>
            </w:r>
            <w:r w:rsidR="00B80E99">
              <w:t xml:space="preserve">, tai skaitā </w:t>
            </w:r>
            <w:r>
              <w:t xml:space="preserve">par </w:t>
            </w:r>
            <w:r w:rsidRPr="003F5ECB">
              <w:t xml:space="preserve">autortiesībām, ja </w:t>
            </w:r>
            <w:r>
              <w:t>IKT (</w:t>
            </w:r>
            <w:r w:rsidRPr="003F5ECB">
              <w:t>tehnoloģiskie</w:t>
            </w:r>
            <w:r>
              <w:t>)</w:t>
            </w:r>
            <w:r w:rsidRPr="003F5ECB">
              <w:t xml:space="preserve"> resursi vai </w:t>
            </w:r>
            <w:r>
              <w:t xml:space="preserve">informācijas resursi </w:t>
            </w:r>
            <w:r w:rsidRPr="003F5ECB">
              <w:t>ir autortiesību objekts</w:t>
            </w:r>
            <w:r>
              <w:rPr>
                <w:rStyle w:val="FootnoteReference"/>
              </w:rPr>
              <w:footnoteReference w:id="52"/>
            </w:r>
            <w:r>
              <w:t>;</w:t>
            </w:r>
          </w:p>
          <w:p w:rsidR="006B350D" w:rsidRPr="006B350D" w:rsidP="006B350D" w14:paraId="583B0853" w14:textId="77777777">
            <w:pPr>
              <w:pStyle w:val="ListParagraph"/>
              <w:numPr>
                <w:ilvl w:val="0"/>
                <w:numId w:val="5"/>
              </w:numPr>
              <w:ind w:left="0" w:firstLine="199"/>
              <w:contextualSpacing w:val="0"/>
              <w:jc w:val="both"/>
            </w:pPr>
            <w:r>
              <w:t xml:space="preserve">VIS likums paredz, ka VIS pārzinis var </w:t>
            </w:r>
            <w:r w:rsidRPr="007F6FC1">
              <w:t xml:space="preserve">nodrošināt informācijas apriti starp </w:t>
            </w:r>
            <w:r w:rsidR="00055BD0">
              <w:t xml:space="preserve">savu </w:t>
            </w:r>
            <w:r>
              <w:t xml:space="preserve">VIS </w:t>
            </w:r>
            <w:r w:rsidRPr="007F6FC1">
              <w:t xml:space="preserve">un privātpersonu pārziņā esošajām informācijas sistēmām, sadarbojoties ar </w:t>
            </w:r>
            <w:r>
              <w:t xml:space="preserve">attiecīgajām </w:t>
            </w:r>
            <w:r w:rsidRPr="007F6FC1">
              <w:t>personām normatīvajos aktos noteiktajā kārtībā</w:t>
            </w:r>
            <w:r>
              <w:t xml:space="preserve">. Ņemot vērā šo principu, </w:t>
            </w:r>
            <w:r>
              <w:rPr>
                <w:szCs w:val="28"/>
                <w:lang w:eastAsia="lv-LV"/>
              </w:rPr>
              <w:t xml:space="preserve">likumprojektā ir noteikts, ka </w:t>
            </w:r>
            <w:r>
              <w:t>institūcijas var (ja tas ir iespējams un lietderīgi) iesaistīt tādas privātpersonas, kuru darbība nav saistīta ar valsts pārvaldi, institūciju informācijas aprites nodrošināšanā vai IKT nodrošināšanā un lietošanā, sadarbojoties ar šīm privātpersonām atbilstoši normatīvajiem aktiem</w:t>
            </w:r>
            <w:r>
              <w:rPr>
                <w:rStyle w:val="FootnoteReference"/>
              </w:rPr>
              <w:footnoteReference w:id="53"/>
            </w:r>
            <w:r w:rsidR="00CC3E41">
              <w:t>.</w:t>
            </w:r>
          </w:p>
        </w:tc>
      </w:tr>
    </w:tbl>
    <w:p w:rsidR="00CC3E41" w:rsidP="0069447C" w14:paraId="583B0855" w14:textId="77777777">
      <w:pPr>
        <w:spacing w:after="120"/>
      </w:pPr>
    </w:p>
    <w:tbl>
      <w:tblPr>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9185"/>
      </w:tblGrid>
      <w:tr w14:paraId="583B0857" w14:textId="67D05D85" w:rsidTr="006A59D0">
        <w:tblPrEx>
          <w:tblW w:w="0" w:type="auto"/>
          <w:tblInd w:w="5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F5B59" w:rsidRPr="008D55BF" w:rsidP="00DB308A" w14:paraId="583B0856" w14:textId="3FA0B340">
            <w:pPr>
              <w:jc w:val="center"/>
              <w:rPr>
                <w:b/>
                <w:bCs/>
              </w:rPr>
            </w:pPr>
            <w:r w:rsidRPr="00355BFD">
              <w:rPr>
                <w:b/>
                <w:bCs/>
              </w:rPr>
              <w:t>V</w:t>
            </w:r>
            <w:r w:rsidR="00FF2DFE">
              <w:rPr>
                <w:b/>
                <w:bCs/>
                <w:color w:val="414142"/>
              </w:rPr>
              <w:t>. </w:t>
            </w:r>
            <w:r w:rsidRPr="00707EFC">
              <w:rPr>
                <w:b/>
                <w:bCs/>
              </w:rPr>
              <w:t>Tiesību akta projekta atbilstība Latvijas Republikas starptautiskajām saistībām</w:t>
            </w:r>
          </w:p>
        </w:tc>
      </w:tr>
      <w:tr w14:paraId="583B0859" w14:textId="1309625D" w:rsidTr="006A59D0">
        <w:tblPrEx>
          <w:tblW w:w="0" w:type="auto"/>
          <w:tblInd w:w="57" w:type="dxa"/>
          <w:tblLayout w:type="fixed"/>
          <w:tblCellMar>
            <w:top w:w="30" w:type="dxa"/>
            <w:left w:w="30" w:type="dxa"/>
            <w:bottom w:w="30" w:type="dxa"/>
            <w:right w:w="30" w:type="dxa"/>
          </w:tblCellMar>
          <w:tblLook w:val="00A0"/>
        </w:tblPrEx>
        <w:trPr>
          <w:trHeight w:val="284"/>
        </w:trPr>
        <w:tc>
          <w:tcPr>
            <w:tcW w:w="9185" w:type="dxa"/>
            <w:tcBorders>
              <w:top w:val="single" w:sz="6" w:space="0" w:color="auto"/>
              <w:left w:val="single" w:sz="6" w:space="0" w:color="auto"/>
              <w:bottom w:val="outset" w:sz="6" w:space="0" w:color="000000"/>
              <w:right w:val="single" w:sz="6" w:space="0" w:color="auto"/>
            </w:tcBorders>
            <w:tcMar>
              <w:top w:w="57" w:type="dxa"/>
              <w:left w:w="113" w:type="dxa"/>
              <w:bottom w:w="57" w:type="dxa"/>
              <w:right w:w="113" w:type="dxa"/>
            </w:tcMar>
            <w:vAlign w:val="center"/>
          </w:tcPr>
          <w:p w:rsidR="00DF5B59" w:rsidRPr="00DF5B59" w:rsidP="00DB308A" w14:paraId="583B0858" w14:textId="77777777">
            <w:pPr>
              <w:jc w:val="center"/>
              <w:rPr>
                <w:bCs/>
              </w:rPr>
            </w:pPr>
            <w:r w:rsidRPr="00707EFC">
              <w:t>Likumprojekts šo jomu neskar</w:t>
            </w:r>
          </w:p>
        </w:tc>
      </w:tr>
    </w:tbl>
    <w:p w:rsidR="00DF5B59" w:rsidP="0069447C" w14:paraId="583B085A" w14:textId="77777777">
      <w:pPr>
        <w:spacing w:after="120"/>
        <w:rPr>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454"/>
        <w:gridCol w:w="2154"/>
        <w:gridCol w:w="6577"/>
      </w:tblGrid>
      <w:tr w14:paraId="583B085C" w14:textId="6DB0B13F" w:rsidTr="006A59D0">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Ex>
        <w:trPr>
          <w:trHeight w:val="227"/>
        </w:trPr>
        <w:tc>
          <w:tcPr>
            <w:tcW w:w="9185" w:type="dxa"/>
            <w:gridSpan w:val="3"/>
            <w:tcMar>
              <w:top w:w="57" w:type="dxa"/>
              <w:left w:w="113" w:type="dxa"/>
              <w:bottom w:w="57" w:type="dxa"/>
              <w:right w:w="113" w:type="dxa"/>
            </w:tcMar>
          </w:tcPr>
          <w:p w:rsidR="00720629" w:rsidRPr="00EF1D76" w:rsidP="00241A40" w14:paraId="583B085B" w14:textId="2E8CA178">
            <w:pPr>
              <w:pStyle w:val="naisnod"/>
              <w:keepNext/>
              <w:spacing w:before="0" w:after="0"/>
              <w:ind w:left="57" w:right="57"/>
            </w:pPr>
            <w:r>
              <w:t>VI. </w:t>
            </w:r>
            <w:r w:rsidRPr="0034376F">
              <w:t>Sabiedrības līdzdalība un komunikācijas aktivitātes</w:t>
            </w:r>
          </w:p>
        </w:tc>
      </w:tr>
      <w:tr w14:paraId="583B0862" w14:textId="641B3B81" w:rsidTr="00FF162F">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RPr="00EF1D76" w:rsidP="00BA65F4" w14:paraId="583B085D" w14:textId="77777777">
            <w:pPr>
              <w:outlineLvl w:val="0"/>
            </w:pPr>
            <w:r w:rsidRPr="00EF1D76">
              <w:t>1.</w:t>
            </w:r>
          </w:p>
        </w:tc>
        <w:tc>
          <w:tcPr>
            <w:tcW w:w="2154" w:type="dxa"/>
            <w:tcMar>
              <w:top w:w="57" w:type="dxa"/>
              <w:left w:w="113" w:type="dxa"/>
              <w:bottom w:w="57" w:type="dxa"/>
              <w:right w:w="113" w:type="dxa"/>
            </w:tcMar>
          </w:tcPr>
          <w:p w:rsidR="00720629" w:rsidRPr="00EF1D76" w:rsidP="00BA65F4" w14:paraId="583B085E" w14:textId="77777777">
            <w:pPr>
              <w:outlineLvl w:val="0"/>
            </w:pPr>
            <w:r w:rsidRPr="0034376F">
              <w:t>Plānotās sabiedrības līdzdalības un komunikācijas aktivitātes saistībā ar projektu</w:t>
            </w:r>
          </w:p>
        </w:tc>
        <w:tc>
          <w:tcPr>
            <w:tcW w:w="6577" w:type="dxa"/>
            <w:tcMar>
              <w:top w:w="57" w:type="dxa"/>
              <w:left w:w="113" w:type="dxa"/>
              <w:bottom w:w="57" w:type="dxa"/>
              <w:right w:w="113" w:type="dxa"/>
            </w:tcMar>
          </w:tcPr>
          <w:p w:rsidR="00C55012" w:rsidP="00C55012" w14:paraId="583B085F" w14:textId="5761B1B8">
            <w:pPr>
              <w:pStyle w:val="naiskr"/>
              <w:spacing w:before="0" w:after="0"/>
              <w:ind w:firstLine="170"/>
              <w:jc w:val="both"/>
            </w:pPr>
            <w:r>
              <w:t xml:space="preserve">Likumprojekts </w:t>
            </w:r>
            <w:r w:rsidR="00D75FFA">
              <w:t>2017.</w:t>
            </w:r>
            <w:r w:rsidR="00876802">
              <w:t> </w:t>
            </w:r>
            <w:r w:rsidR="00D75FFA">
              <w:t>gada 10.</w:t>
            </w:r>
            <w:r w:rsidR="00876802">
              <w:t> </w:t>
            </w:r>
            <w:r>
              <w:t xml:space="preserve">martā </w:t>
            </w:r>
            <w:r>
              <w:t xml:space="preserve">tika nosūtīts </w:t>
            </w:r>
            <w:r w:rsidR="00D75FFA">
              <w:t xml:space="preserve">izvērtēšanai </w:t>
            </w:r>
            <w:r>
              <w:t xml:space="preserve">Latvijas Informācijas un komunikācijas tehnoloģijas asociācijai, Latvijas atvērto tehnoloģiju asociācijai, Latvijas Tirdzniecības un rūpniecības kamerai un Latvijas Darba devēju konfederācijai </w:t>
            </w:r>
            <w:r w:rsidRPr="00C55012">
              <w:t>izskatīšanai un komentāru sniegšanai</w:t>
            </w:r>
            <w:r>
              <w:t>.</w:t>
            </w:r>
          </w:p>
          <w:p w:rsidR="00720629" w:rsidP="00AD6CA9" w14:paraId="583B0860" w14:textId="59EBD58E">
            <w:pPr>
              <w:pStyle w:val="naiskr"/>
              <w:spacing w:before="0" w:after="0"/>
              <w:ind w:firstLine="170"/>
              <w:jc w:val="both"/>
            </w:pPr>
            <w:r>
              <w:t xml:space="preserve">Likumprojekts </w:t>
            </w:r>
            <w:r w:rsidR="00D75FFA">
              <w:t>2017.</w:t>
            </w:r>
            <w:r w:rsidR="00876802">
              <w:t> </w:t>
            </w:r>
            <w:r w:rsidR="00D75FFA">
              <w:t>gada 24.</w:t>
            </w:r>
            <w:r w:rsidR="00876802">
              <w:t> </w:t>
            </w:r>
            <w:r>
              <w:t xml:space="preserve">aprīlī </w:t>
            </w:r>
            <w:r w:rsidR="00D75FFA">
              <w:t xml:space="preserve">tika </w:t>
            </w:r>
            <w:r w:rsidRPr="00AE5794" w:rsidR="00AE5794">
              <w:t>publicēts VARAM tīmekļviet</w:t>
            </w:r>
            <w:r w:rsidR="00AD6CA9">
              <w:t xml:space="preserve">nē </w:t>
            </w:r>
            <w:r>
              <w:fldChar w:fldCharType="begin"/>
            </w:r>
            <w:r>
              <w:instrText xml:space="preserve"> HYPERLINK "http://www.varam.gov.lv" </w:instrText>
            </w:r>
            <w:r>
              <w:fldChar w:fldCharType="separate"/>
            </w:r>
            <w:r w:rsidRPr="003D0A36" w:rsidR="00AD6CA9">
              <w:rPr>
                <w:rStyle w:val="Hyperlink"/>
              </w:rPr>
              <w:t>www.varam.gov.lv</w:t>
            </w:r>
            <w:r>
              <w:fldChar w:fldCharType="end"/>
            </w:r>
            <w:r w:rsidRPr="00AE5794" w:rsidR="00AE5794">
              <w:t>, paziņojot par sabiedrības līdzdalības iespējām likumprojekta izstrādes procesā.</w:t>
            </w:r>
          </w:p>
          <w:p w:rsidR="00962903" w:rsidRPr="00EF1D76" w:rsidP="002067DB" w14:paraId="583B0861" w14:textId="476C9023">
            <w:pPr>
              <w:pStyle w:val="naiskr"/>
              <w:spacing w:before="0" w:after="0"/>
              <w:ind w:firstLine="170"/>
              <w:jc w:val="both"/>
            </w:pPr>
            <w:r>
              <w:t xml:space="preserve">Precizētais likumprojekts </w:t>
            </w:r>
            <w:r w:rsidR="00857C37">
              <w:t>2017.gada 25.</w:t>
            </w:r>
            <w:r w:rsidR="00876802">
              <w:t> </w:t>
            </w:r>
            <w:r w:rsidR="00857C37">
              <w:t xml:space="preserve">augustā </w:t>
            </w:r>
            <w:r w:rsidR="002032E6">
              <w:t>un 23.</w:t>
            </w:r>
            <w:r w:rsidR="00876802">
              <w:t> </w:t>
            </w:r>
            <w:r w:rsidR="002032E6">
              <w:t xml:space="preserve">oktobrī </w:t>
            </w:r>
            <w:r w:rsidR="00857C37">
              <w:t xml:space="preserve">tika nosūtīts </w:t>
            </w:r>
            <w:r w:rsidR="002067DB">
              <w:t xml:space="preserve">minētajām biedrībām </w:t>
            </w:r>
            <w:r w:rsidR="00857C37">
              <w:t>atkārtotai izvērtēšanai</w:t>
            </w:r>
            <w:r w:rsidR="002067DB">
              <w:t>.</w:t>
            </w:r>
          </w:p>
        </w:tc>
      </w:tr>
      <w:tr w14:paraId="583B0866" w14:textId="2AE2699B" w:rsidTr="00FF162F">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RPr="00EF1D76" w:rsidP="00BA65F4" w14:paraId="583B0863" w14:textId="77777777">
            <w:pPr>
              <w:outlineLvl w:val="0"/>
            </w:pPr>
            <w:r>
              <w:t>2.</w:t>
            </w:r>
          </w:p>
        </w:tc>
        <w:tc>
          <w:tcPr>
            <w:tcW w:w="2154" w:type="dxa"/>
            <w:tcMar>
              <w:top w:w="57" w:type="dxa"/>
              <w:left w:w="113" w:type="dxa"/>
              <w:bottom w:w="57" w:type="dxa"/>
              <w:right w:w="113" w:type="dxa"/>
            </w:tcMar>
          </w:tcPr>
          <w:p w:rsidR="00720629" w:rsidRPr="0034376F" w:rsidP="00BA65F4" w14:paraId="583B0864" w14:textId="77777777">
            <w:pPr>
              <w:outlineLvl w:val="0"/>
            </w:pPr>
            <w:r w:rsidRPr="0034376F">
              <w:t>Sabiedrības līdzdalība projekta izstrādē</w:t>
            </w:r>
          </w:p>
        </w:tc>
        <w:tc>
          <w:tcPr>
            <w:tcW w:w="6577" w:type="dxa"/>
            <w:tcMar>
              <w:top w:w="57" w:type="dxa"/>
              <w:left w:w="113" w:type="dxa"/>
              <w:bottom w:w="57" w:type="dxa"/>
              <w:right w:w="113" w:type="dxa"/>
            </w:tcMar>
          </w:tcPr>
          <w:p w:rsidR="00512677" w:rsidRPr="0034376F" w:rsidP="00FF162F" w14:paraId="583B0865" w14:textId="77777777">
            <w:pPr>
              <w:pStyle w:val="naiskr"/>
              <w:spacing w:before="0" w:after="0"/>
              <w:ind w:firstLine="170"/>
              <w:jc w:val="both"/>
            </w:pPr>
            <w:r>
              <w:t>Sabiedriskās apspriešanas laikā viedokli par likumprojektu ir sniegusi Latvijas a</w:t>
            </w:r>
            <w:r w:rsidR="00FF162F">
              <w:t>tvērto tehnoloģiju asociācija</w:t>
            </w:r>
            <w:r w:rsidR="006A59D0">
              <w:t>.</w:t>
            </w:r>
          </w:p>
        </w:tc>
      </w:tr>
      <w:tr w14:paraId="583B086E" w14:textId="40C893F2" w:rsidTr="0069447C">
        <w:tblPrEx>
          <w:tblW w:w="0" w:type="auto"/>
          <w:tblInd w:w="57" w:type="dxa"/>
          <w:tblLayout w:type="fixed"/>
          <w:tblCellMar>
            <w:top w:w="0" w:type="dxa"/>
            <w:left w:w="108" w:type="dxa"/>
            <w:bottom w:w="0" w:type="dxa"/>
            <w:right w:w="108" w:type="dxa"/>
          </w:tblCellMar>
          <w:tblLook w:val="01E0"/>
        </w:tblPrEx>
        <w:trPr>
          <w:cantSplit/>
        </w:trPr>
        <w:tc>
          <w:tcPr>
            <w:tcW w:w="454" w:type="dxa"/>
            <w:tcMar>
              <w:top w:w="57" w:type="dxa"/>
              <w:left w:w="113" w:type="dxa"/>
              <w:bottom w:w="57" w:type="dxa"/>
              <w:right w:w="113" w:type="dxa"/>
            </w:tcMar>
          </w:tcPr>
          <w:p w:rsidR="00720629" w:rsidP="00BA65F4" w14:paraId="583B0867" w14:textId="77777777">
            <w:pPr>
              <w:outlineLvl w:val="0"/>
            </w:pPr>
            <w:r>
              <w:t>3.</w:t>
            </w:r>
          </w:p>
        </w:tc>
        <w:tc>
          <w:tcPr>
            <w:tcW w:w="2154" w:type="dxa"/>
            <w:tcMar>
              <w:top w:w="57" w:type="dxa"/>
              <w:left w:w="113" w:type="dxa"/>
              <w:bottom w:w="57" w:type="dxa"/>
              <w:right w:w="113" w:type="dxa"/>
            </w:tcMar>
          </w:tcPr>
          <w:p w:rsidR="00720629" w:rsidRPr="0034376F" w:rsidP="00BA65F4" w14:paraId="583B0868" w14:textId="77777777">
            <w:pPr>
              <w:outlineLvl w:val="0"/>
            </w:pPr>
            <w:r w:rsidRPr="0034376F">
              <w:t>Sabiedrības līdzdalības rezultāti</w:t>
            </w:r>
          </w:p>
        </w:tc>
        <w:tc>
          <w:tcPr>
            <w:tcW w:w="6577" w:type="dxa"/>
            <w:tcMar>
              <w:top w:w="57" w:type="dxa"/>
              <w:left w:w="113" w:type="dxa"/>
              <w:bottom w:w="57" w:type="dxa"/>
              <w:right w:w="113" w:type="dxa"/>
            </w:tcMar>
          </w:tcPr>
          <w:p w:rsidR="006A59D0" w:rsidP="006A59D0" w14:paraId="583B0869" w14:textId="77777777">
            <w:pPr>
              <w:pStyle w:val="naiskr"/>
              <w:spacing w:before="0" w:after="0"/>
              <w:ind w:firstLine="170"/>
              <w:jc w:val="both"/>
            </w:pPr>
            <w:r>
              <w:t xml:space="preserve">Likumprojekta redakcijā </w:t>
            </w:r>
            <w:r>
              <w:t>tika precizētas normas, kas attiecas uz:</w:t>
            </w:r>
          </w:p>
          <w:p w:rsidR="006A59D0" w:rsidP="006A59D0" w14:paraId="583B086A" w14:textId="5C5A95A3">
            <w:pPr>
              <w:pStyle w:val="naiskr"/>
              <w:spacing w:before="0" w:after="0"/>
              <w:ind w:firstLine="170"/>
              <w:jc w:val="both"/>
            </w:pPr>
            <w:r>
              <w:t>1) </w:t>
            </w:r>
            <w:r>
              <w:t>jēdzienu skaidrojumu (piemēram, IKT politika, IKT pārzi</w:t>
            </w:r>
            <w:r w:rsidR="002032E6">
              <w:t>nis</w:t>
            </w:r>
            <w:r>
              <w:t>, IKT (tehnoloģiskais) resurss</w:t>
            </w:r>
            <w:r w:rsidR="002032E6">
              <w:t xml:space="preserve">, IKT (tehnoloģiskais) </w:t>
            </w:r>
            <w:r>
              <w:t>pakalpojums, informācijas pārzi</w:t>
            </w:r>
            <w:r w:rsidR="002032E6">
              <w:t>nis</w:t>
            </w:r>
            <w:r>
              <w:t>, informācijas resurss);</w:t>
            </w:r>
          </w:p>
          <w:p w:rsidR="006A59D0" w:rsidP="006A59D0" w14:paraId="583B086B" w14:textId="1A2B667C">
            <w:pPr>
              <w:pStyle w:val="naiskr"/>
              <w:spacing w:before="0" w:after="0"/>
              <w:ind w:firstLine="170"/>
              <w:jc w:val="both"/>
            </w:pPr>
            <w:r>
              <w:t>2) </w:t>
            </w:r>
            <w:r>
              <w:t>kritērijiem, kuri jāievēro, nosakot, īstenojot un aktualizējot IKT politiku;</w:t>
            </w:r>
          </w:p>
          <w:p w:rsidR="006A59D0" w:rsidP="006A59D0" w14:paraId="583B086C" w14:textId="0E07557A">
            <w:pPr>
              <w:pStyle w:val="naiskr"/>
              <w:spacing w:before="0" w:after="0"/>
              <w:ind w:firstLine="170"/>
              <w:jc w:val="both"/>
            </w:pPr>
            <w:r>
              <w:t>3) </w:t>
            </w:r>
            <w:r>
              <w:t>prasību nodrošināt IKT pārvaldību, kā arī informācijas apriti ar IKT palīdzību atbilstoši IKT politikai;</w:t>
            </w:r>
          </w:p>
          <w:p w:rsidR="00720629" w:rsidP="00860CE2" w14:paraId="583B086D" w14:textId="4A66E629">
            <w:pPr>
              <w:pStyle w:val="naiskr"/>
              <w:spacing w:before="0" w:after="0"/>
              <w:ind w:firstLine="170"/>
              <w:jc w:val="both"/>
            </w:pPr>
            <w:r>
              <w:t>4) </w:t>
            </w:r>
            <w:r w:rsidR="006A59D0">
              <w:t>atbildības sadalījumu saistī</w:t>
            </w:r>
            <w:r w:rsidR="00860CE2">
              <w:t>bā</w:t>
            </w:r>
            <w:r w:rsidR="006A59D0">
              <w:t xml:space="preserve"> ar IKT (tehnoloģisko) resursu un </w:t>
            </w:r>
            <w:r w:rsidR="00860CE2">
              <w:t xml:space="preserve">IKT (tehnoloģisko) </w:t>
            </w:r>
            <w:r w:rsidR="006A59D0">
              <w:t>pakalpojumu nodrošināšanu un lietošanu, kā arī informācijas aprites nodrošināšanu, izmantojot IKT.</w:t>
            </w:r>
          </w:p>
        </w:tc>
      </w:tr>
      <w:tr w14:paraId="583B0872" w14:textId="68989F9D" w:rsidTr="00FF162F">
        <w:tblPrEx>
          <w:tblW w:w="0" w:type="auto"/>
          <w:tblInd w:w="57" w:type="dxa"/>
          <w:tblLayout w:type="fixed"/>
          <w:tblCellMar>
            <w:top w:w="0" w:type="dxa"/>
            <w:left w:w="108" w:type="dxa"/>
            <w:bottom w:w="0" w:type="dxa"/>
            <w:right w:w="108" w:type="dxa"/>
          </w:tblCellMar>
          <w:tblLook w:val="01E0"/>
        </w:tblPrEx>
        <w:tc>
          <w:tcPr>
            <w:tcW w:w="454" w:type="dxa"/>
            <w:tcMar>
              <w:top w:w="57" w:type="dxa"/>
              <w:left w:w="113" w:type="dxa"/>
              <w:bottom w:w="57" w:type="dxa"/>
              <w:right w:w="113" w:type="dxa"/>
            </w:tcMar>
          </w:tcPr>
          <w:p w:rsidR="00720629" w:rsidP="00BA65F4" w14:paraId="583B086F" w14:textId="77777777">
            <w:pPr>
              <w:outlineLvl w:val="0"/>
            </w:pPr>
            <w:r>
              <w:t>4.</w:t>
            </w:r>
          </w:p>
        </w:tc>
        <w:tc>
          <w:tcPr>
            <w:tcW w:w="2154" w:type="dxa"/>
            <w:tcMar>
              <w:top w:w="57" w:type="dxa"/>
              <w:left w:w="113" w:type="dxa"/>
              <w:bottom w:w="57" w:type="dxa"/>
              <w:right w:w="113" w:type="dxa"/>
            </w:tcMar>
          </w:tcPr>
          <w:p w:rsidR="00720629" w:rsidRPr="003E19DE" w:rsidP="00BA65F4" w14:paraId="583B0870" w14:textId="77777777">
            <w:pPr>
              <w:outlineLvl w:val="0"/>
            </w:pPr>
            <w:r>
              <w:t>Cita informācija</w:t>
            </w:r>
          </w:p>
        </w:tc>
        <w:tc>
          <w:tcPr>
            <w:tcW w:w="6577" w:type="dxa"/>
            <w:tcMar>
              <w:top w:w="57" w:type="dxa"/>
              <w:left w:w="113" w:type="dxa"/>
              <w:bottom w:w="57" w:type="dxa"/>
              <w:right w:w="113" w:type="dxa"/>
            </w:tcMar>
          </w:tcPr>
          <w:p w:rsidR="00720629" w:rsidP="00965242" w14:paraId="583B0871" w14:textId="77777777">
            <w:pPr>
              <w:pStyle w:val="naiskr"/>
              <w:spacing w:before="0" w:after="0"/>
              <w:ind w:firstLine="170"/>
              <w:jc w:val="both"/>
            </w:pPr>
            <w:r>
              <w:t>Nav</w:t>
            </w:r>
          </w:p>
        </w:tc>
      </w:tr>
    </w:tbl>
    <w:p w:rsidR="00397AD8" w:rsidP="0069447C" w14:paraId="583B0873" w14:textId="77777777">
      <w:pPr>
        <w:spacing w:after="120"/>
        <w:rPr>
          <w:iCs/>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57"/>
        <w:gridCol w:w="2155"/>
        <w:gridCol w:w="6577"/>
      </w:tblGrid>
      <w:tr w14:paraId="583B0875" w14:textId="62622B79" w:rsidTr="00C33086">
        <w:tblPrEx>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Ex>
        <w:trPr>
          <w:trHeight w:val="227"/>
        </w:trPr>
        <w:tc>
          <w:tcPr>
            <w:tcW w:w="9185" w:type="dxa"/>
            <w:gridSpan w:val="3"/>
            <w:tcMar>
              <w:top w:w="57" w:type="dxa"/>
              <w:left w:w="113" w:type="dxa"/>
              <w:bottom w:w="57" w:type="dxa"/>
              <w:right w:w="113" w:type="dxa"/>
            </w:tcMar>
          </w:tcPr>
          <w:p w:rsidR="0034376F" w:rsidRPr="00EF1D76" w:rsidP="00EC3352" w14:paraId="583B0874" w14:textId="77777777">
            <w:pPr>
              <w:pStyle w:val="naisnod"/>
              <w:keepNext/>
              <w:spacing w:before="0" w:after="0"/>
              <w:ind w:left="57" w:right="57"/>
            </w:pPr>
            <w:r w:rsidRPr="0034376F">
              <w:t>VII. Tiesību akta projekta izpildes nodrošināšana un tās ietekme uz institūcijām</w:t>
            </w:r>
          </w:p>
        </w:tc>
      </w:tr>
      <w:tr w14:paraId="583B0879" w14:textId="5F5000EA" w:rsidTr="00C33086">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34376F" w:rsidRPr="00EF1D76" w:rsidP="0034376F" w14:paraId="583B0876" w14:textId="77777777">
            <w:pPr>
              <w:outlineLvl w:val="0"/>
            </w:pPr>
            <w:r w:rsidRPr="00EF1D76">
              <w:t>1.</w:t>
            </w:r>
          </w:p>
        </w:tc>
        <w:tc>
          <w:tcPr>
            <w:tcW w:w="2155" w:type="dxa"/>
            <w:tcMar>
              <w:top w:w="57" w:type="dxa"/>
              <w:left w:w="113" w:type="dxa"/>
              <w:bottom w:w="57" w:type="dxa"/>
              <w:right w:w="113" w:type="dxa"/>
            </w:tcMar>
          </w:tcPr>
          <w:p w:rsidR="0034376F" w:rsidRPr="00EF1D76" w:rsidP="0034376F" w14:paraId="583B0877" w14:textId="77777777">
            <w:pPr>
              <w:outlineLvl w:val="0"/>
            </w:pPr>
            <w:r w:rsidRPr="0034376F">
              <w:t>Projekta izpildē iesaistītās institūcijas</w:t>
            </w:r>
          </w:p>
        </w:tc>
        <w:tc>
          <w:tcPr>
            <w:tcW w:w="6577" w:type="dxa"/>
            <w:tcMar>
              <w:top w:w="57" w:type="dxa"/>
              <w:left w:w="113" w:type="dxa"/>
              <w:bottom w:w="57" w:type="dxa"/>
              <w:right w:w="113" w:type="dxa"/>
            </w:tcMar>
          </w:tcPr>
          <w:p w:rsidR="0034376F" w:rsidRPr="00EF1D76" w:rsidP="0013075F" w14:paraId="583B0878" w14:textId="77777777">
            <w:pPr>
              <w:pStyle w:val="naiskr"/>
              <w:spacing w:before="0" w:after="0"/>
              <w:ind w:firstLine="170"/>
              <w:jc w:val="both"/>
            </w:pPr>
            <w:r>
              <w:t xml:space="preserve">VARAM (vadošā </w:t>
            </w:r>
            <w:r w:rsidR="00031EE3">
              <w:t xml:space="preserve">iestāde </w:t>
            </w:r>
            <w:r w:rsidR="00DA6F69">
              <w:rPr>
                <w:rStyle w:val="spelle"/>
              </w:rPr>
              <w:t xml:space="preserve">IKT </w:t>
            </w:r>
            <w:r w:rsidR="0013075F">
              <w:rPr>
                <w:rStyle w:val="spelle"/>
              </w:rPr>
              <w:t xml:space="preserve">pārvaldības </w:t>
            </w:r>
            <w:r w:rsidR="00DA6F69">
              <w:rPr>
                <w:rStyle w:val="spelle"/>
              </w:rPr>
              <w:t>jomā</w:t>
            </w:r>
            <w:r>
              <w:rPr>
                <w:rStyle w:val="spelle"/>
              </w:rPr>
              <w:t>), ministrijas (valsts pārvaldes nozaru augstākās iestādes), kā arī citas institūcijas (valsts un pašvaldību iestādes</w:t>
            </w:r>
            <w:r w:rsidR="00707F4F">
              <w:rPr>
                <w:rStyle w:val="spelle"/>
              </w:rPr>
              <w:t xml:space="preserve"> un kapitālsabiedrības</w:t>
            </w:r>
            <w:r>
              <w:rPr>
                <w:rStyle w:val="spelle"/>
              </w:rPr>
              <w:t>)</w:t>
            </w:r>
            <w:r w:rsidR="00031EE3">
              <w:rPr>
                <w:rStyle w:val="spelle"/>
              </w:rPr>
              <w:t>, kuras izmanto IKT</w:t>
            </w:r>
            <w:r w:rsidR="00DA6F69">
              <w:rPr>
                <w:rStyle w:val="spelle"/>
              </w:rPr>
              <w:t>.</w:t>
            </w:r>
          </w:p>
        </w:tc>
      </w:tr>
      <w:tr w14:paraId="583B087F" w14:textId="0D6D7236" w:rsidTr="00C33086">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643002" w:rsidRPr="00EF1D76" w:rsidP="0034376F" w14:paraId="583B087A" w14:textId="77777777">
            <w:pPr>
              <w:outlineLvl w:val="0"/>
            </w:pPr>
            <w:r>
              <w:t>2.</w:t>
            </w:r>
          </w:p>
        </w:tc>
        <w:tc>
          <w:tcPr>
            <w:tcW w:w="2155" w:type="dxa"/>
            <w:tcMar>
              <w:top w:w="57" w:type="dxa"/>
              <w:left w:w="113" w:type="dxa"/>
              <w:bottom w:w="57" w:type="dxa"/>
              <w:right w:w="113" w:type="dxa"/>
            </w:tcMar>
          </w:tcPr>
          <w:p w:rsidR="00643002" w:rsidRPr="0034376F" w:rsidP="0034376F" w14:paraId="583B087B" w14:textId="77777777">
            <w:pPr>
              <w:outlineLvl w:val="0"/>
            </w:pPr>
            <w:r w:rsidRPr="00643002">
              <w:t>Projekta izpildes ietekme uz pārvaldes funkcijām un institucionālo struktūru</w:t>
            </w:r>
          </w:p>
        </w:tc>
        <w:tc>
          <w:tcPr>
            <w:tcW w:w="6577" w:type="dxa"/>
            <w:tcMar>
              <w:top w:w="57" w:type="dxa"/>
              <w:left w:w="113" w:type="dxa"/>
              <w:bottom w:w="57" w:type="dxa"/>
              <w:right w:w="113" w:type="dxa"/>
            </w:tcMar>
          </w:tcPr>
          <w:p w:rsidR="00BC058B" w:rsidP="00DA6F69" w14:paraId="583B087C" w14:textId="74488A11">
            <w:pPr>
              <w:pStyle w:val="naiskr"/>
              <w:spacing w:before="0" w:after="0"/>
              <w:ind w:firstLine="170"/>
              <w:jc w:val="both"/>
            </w:pPr>
            <w:r>
              <w:t>Likum</w:t>
            </w:r>
            <w:r w:rsidRPr="00634963" w:rsidR="00634963">
              <w:t xml:space="preserve">projekts tiks </w:t>
            </w:r>
            <w:r w:rsidR="00FF2DFE">
              <w:t>īstenots</w:t>
            </w:r>
            <w:r w:rsidR="003C0CCD">
              <w:t xml:space="preserve">, izmantojot institūcijām pieejamos </w:t>
            </w:r>
            <w:r w:rsidRPr="00634963" w:rsidR="00634963">
              <w:t>cilvēkresursu</w:t>
            </w:r>
            <w:r w:rsidR="003C0CCD">
              <w:t>s.</w:t>
            </w:r>
          </w:p>
          <w:p w:rsidR="00DA6F69" w:rsidP="00DA6F69" w14:paraId="583B087D" w14:textId="77777777">
            <w:pPr>
              <w:pStyle w:val="naiskr"/>
              <w:spacing w:before="0" w:after="0"/>
              <w:ind w:firstLine="170"/>
              <w:jc w:val="both"/>
            </w:pPr>
            <w:r>
              <w:t>Likumprojekta izpilde neietekmēs pārvaldes funkcijas vai institucionālo struktūru.</w:t>
            </w:r>
          </w:p>
          <w:p w:rsidR="00DA6F69" w:rsidRPr="00643002" w:rsidP="00BC058B" w14:paraId="583B087E" w14:textId="0AF8C3AF">
            <w:pPr>
              <w:pStyle w:val="naiskr"/>
              <w:spacing w:before="0" w:after="0"/>
              <w:ind w:firstLine="170"/>
              <w:jc w:val="both"/>
            </w:pPr>
            <w:r>
              <w:t>Jaunas institūci</w:t>
            </w:r>
            <w:r w:rsidR="00FF2DFE">
              <w:t xml:space="preserve">jas netiks izveidotas, </w:t>
            </w:r>
            <w:r>
              <w:t xml:space="preserve">esošo institūciju </w:t>
            </w:r>
            <w:r w:rsidR="00031EE3">
              <w:t>likvidācija vai reorganizācija</w:t>
            </w:r>
            <w:r w:rsidR="00FF2DFE">
              <w:t xml:space="preserve"> nav plānota</w:t>
            </w:r>
            <w:r w:rsidR="00031EE3">
              <w:t>.</w:t>
            </w:r>
          </w:p>
        </w:tc>
      </w:tr>
      <w:tr w14:paraId="583B0883" w14:textId="0477CEC5" w:rsidTr="00C33086">
        <w:tblPrEx>
          <w:tblW w:w="0" w:type="auto"/>
          <w:tblInd w:w="57" w:type="dxa"/>
          <w:tblCellMar>
            <w:top w:w="0" w:type="dxa"/>
            <w:left w:w="108" w:type="dxa"/>
            <w:bottom w:w="0" w:type="dxa"/>
            <w:right w:w="108" w:type="dxa"/>
          </w:tblCellMar>
          <w:tblLook w:val="01E0"/>
        </w:tblPrEx>
        <w:tc>
          <w:tcPr>
            <w:tcW w:w="457" w:type="dxa"/>
            <w:tcMar>
              <w:top w:w="57" w:type="dxa"/>
              <w:left w:w="113" w:type="dxa"/>
              <w:bottom w:w="57" w:type="dxa"/>
              <w:right w:w="113" w:type="dxa"/>
            </w:tcMar>
          </w:tcPr>
          <w:p w:rsidR="00643002" w:rsidP="0034376F" w14:paraId="583B0880" w14:textId="77777777">
            <w:pPr>
              <w:outlineLvl w:val="0"/>
            </w:pPr>
            <w:r>
              <w:t>3.</w:t>
            </w:r>
          </w:p>
        </w:tc>
        <w:tc>
          <w:tcPr>
            <w:tcW w:w="2155" w:type="dxa"/>
            <w:tcMar>
              <w:top w:w="57" w:type="dxa"/>
              <w:left w:w="113" w:type="dxa"/>
              <w:bottom w:w="57" w:type="dxa"/>
              <w:right w:w="113" w:type="dxa"/>
            </w:tcMar>
          </w:tcPr>
          <w:p w:rsidR="00643002" w:rsidRPr="00643002" w:rsidP="0034376F" w14:paraId="583B0881" w14:textId="77777777">
            <w:pPr>
              <w:outlineLvl w:val="0"/>
            </w:pPr>
            <w:r>
              <w:t>Cita informācija</w:t>
            </w:r>
          </w:p>
        </w:tc>
        <w:tc>
          <w:tcPr>
            <w:tcW w:w="6577" w:type="dxa"/>
            <w:tcMar>
              <w:top w:w="57" w:type="dxa"/>
              <w:left w:w="113" w:type="dxa"/>
              <w:bottom w:w="57" w:type="dxa"/>
              <w:right w:w="113" w:type="dxa"/>
            </w:tcMar>
          </w:tcPr>
          <w:p w:rsidR="00643002" w:rsidRPr="00643002" w:rsidP="0034376F" w14:paraId="583B0882" w14:textId="77777777">
            <w:pPr>
              <w:pStyle w:val="naiskr"/>
              <w:spacing w:before="0" w:after="0"/>
              <w:ind w:firstLine="170"/>
              <w:jc w:val="both"/>
            </w:pPr>
            <w:r>
              <w:t>Nav</w:t>
            </w:r>
          </w:p>
        </w:tc>
      </w:tr>
    </w:tbl>
    <w:p w:rsidR="00643002" w:rsidRPr="004148CE" w:rsidP="00E84AF5" w14:paraId="583B0884" w14:textId="77777777">
      <w:pPr>
        <w:pStyle w:val="naisf"/>
        <w:tabs>
          <w:tab w:val="left" w:pos="6840"/>
        </w:tabs>
        <w:spacing w:before="360" w:after="0"/>
        <w:ind w:left="720" w:firstLine="0"/>
        <w:jc w:val="left"/>
        <w:rPr>
          <w:szCs w:val="28"/>
        </w:rPr>
      </w:pPr>
      <w:r w:rsidRPr="004148CE">
        <w:rPr>
          <w:szCs w:val="28"/>
        </w:rPr>
        <w:t>Vides aizsardzības un reģionālās attīstības</w:t>
      </w:r>
      <w:r w:rsidR="00825EED">
        <w:rPr>
          <w:szCs w:val="28"/>
        </w:rPr>
        <w:t xml:space="preserve"> </w:t>
      </w:r>
      <w:r>
        <w:rPr>
          <w:szCs w:val="28"/>
        </w:rPr>
        <w:t>ministrs</w:t>
      </w:r>
      <w:r>
        <w:rPr>
          <w:szCs w:val="28"/>
        </w:rPr>
        <w:tab/>
      </w:r>
      <w:r w:rsidRPr="00E84AF5" w:rsidR="00E84AF5">
        <w:rPr>
          <w:szCs w:val="28"/>
        </w:rPr>
        <w:t>Kaspars</w:t>
      </w:r>
      <w:r w:rsidR="00E84AF5">
        <w:rPr>
          <w:szCs w:val="28"/>
        </w:rPr>
        <w:t xml:space="preserve"> </w:t>
      </w:r>
      <w:r w:rsidRPr="00643002">
        <w:rPr>
          <w:szCs w:val="28"/>
        </w:rPr>
        <w:t>Gerhards</w:t>
      </w:r>
    </w:p>
    <w:p w:rsidR="00E84AF5" w:rsidRPr="004148CE" w:rsidP="00E84AF5" w14:paraId="583B0885" w14:textId="77777777">
      <w:pPr>
        <w:pStyle w:val="naisf"/>
        <w:tabs>
          <w:tab w:val="left" w:pos="6840"/>
        </w:tabs>
        <w:spacing w:before="240" w:after="0"/>
        <w:ind w:left="720" w:firstLine="0"/>
        <w:jc w:val="left"/>
        <w:rPr>
          <w:szCs w:val="28"/>
        </w:rPr>
      </w:pPr>
      <w:bookmarkStart w:id="1" w:name="OLE_LINK1"/>
      <w:bookmarkStart w:id="2" w:name="OLE_LINK2"/>
      <w:bookmarkStart w:id="3" w:name="OLE_LINK3"/>
      <w:r w:rsidRPr="004148CE">
        <w:rPr>
          <w:szCs w:val="28"/>
        </w:rPr>
        <w:t>Vides aizsardzības un reģionālās attīstības</w:t>
      </w:r>
      <w:r>
        <w:rPr>
          <w:szCs w:val="28"/>
        </w:rPr>
        <w:t xml:space="preserve"> ministrijas</w:t>
      </w:r>
      <w:r>
        <w:rPr>
          <w:szCs w:val="28"/>
        </w:rPr>
        <w:br/>
        <w:t>valsts sekretārs</w:t>
      </w:r>
      <w:r>
        <w:rPr>
          <w:szCs w:val="28"/>
        </w:rPr>
        <w:tab/>
        <w:t>Rinalds Muciņš</w:t>
      </w:r>
    </w:p>
    <w:p w:rsidR="00BC058B" w:rsidRPr="00297CC7" w:rsidP="00E84AF5" w14:paraId="583B0886" w14:textId="77777777">
      <w:pPr>
        <w:spacing w:before="480"/>
        <w:jc w:val="both"/>
        <w:outlineLvl w:val="0"/>
        <w:rPr>
          <w:sz w:val="22"/>
          <w:szCs w:val="22"/>
        </w:rPr>
      </w:pPr>
      <w:r w:rsidRPr="00297CC7">
        <w:rPr>
          <w:sz w:val="22"/>
          <w:szCs w:val="22"/>
        </w:rPr>
        <w:t>Ķeņģis</w:t>
      </w:r>
      <w:r w:rsidR="00103240">
        <w:rPr>
          <w:sz w:val="22"/>
          <w:szCs w:val="22"/>
        </w:rPr>
        <w:t>,</w:t>
      </w:r>
      <w:r w:rsidRPr="00297CC7">
        <w:rPr>
          <w:sz w:val="22"/>
          <w:szCs w:val="22"/>
        </w:rPr>
        <w:t xml:space="preserve"> </w:t>
      </w:r>
      <w:r w:rsidR="00980C9C">
        <w:rPr>
          <w:sz w:val="22"/>
          <w:szCs w:val="22"/>
        </w:rPr>
        <w:t>67026929</w:t>
      </w:r>
      <w:r w:rsidR="00912C28">
        <w:rPr>
          <w:sz w:val="22"/>
          <w:szCs w:val="22"/>
        </w:rPr>
        <w:t>,</w:t>
      </w:r>
      <w:r w:rsidR="00E84AF5">
        <w:rPr>
          <w:sz w:val="22"/>
          <w:szCs w:val="22"/>
        </w:rPr>
        <w:t xml:space="preserve"> </w:t>
      </w:r>
      <w:r>
        <w:fldChar w:fldCharType="begin"/>
      </w:r>
      <w:r>
        <w:instrText xml:space="preserve"> HYPERLINK "mailto:vitalijs.kengis@varam.gov.lv" </w:instrText>
      </w:r>
      <w:r>
        <w:fldChar w:fldCharType="separate"/>
      </w:r>
      <w:r w:rsidRPr="00544309">
        <w:rPr>
          <w:rStyle w:val="Hyperlink"/>
          <w:sz w:val="22"/>
          <w:szCs w:val="22"/>
        </w:rPr>
        <w:t>vitalijs.kengis@varam.gov.lv</w:t>
      </w:r>
      <w:r>
        <w:fldChar w:fldCharType="end"/>
      </w:r>
      <w:bookmarkEnd w:id="1"/>
      <w:bookmarkEnd w:id="2"/>
      <w:bookmarkEnd w:id="3"/>
    </w:p>
    <w:sectPr w:rsidSect="00E53D34">
      <w:headerReference w:type="default" r:id="rId6"/>
      <w:footerReference w:type="default" r:id="rId7"/>
      <w:footerReference w:type="first" r:id="rId8"/>
      <w:pgSz w:w="11907" w:h="16839" w:code="9"/>
      <w:pgMar w:top="1304" w:right="1134" w:bottom="907" w:left="1701" w:header="624" w:footer="62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D34" w:rsidRPr="00465BA1" w:rsidP="00FA7860" w14:paraId="583B088C" w14:textId="77777777">
    <w:pPr>
      <w:jc w:val="both"/>
      <w:rPr>
        <w:sz w:val="20"/>
        <w:szCs w:val="22"/>
      </w:rPr>
    </w:pPr>
    <w:r>
      <w:fldChar w:fldCharType="begin"/>
    </w:r>
    <w:r>
      <w:instrText xml:space="preserve"> FILENAME   \* MERGEFORMAT </w:instrText>
    </w:r>
    <w:r>
      <w:fldChar w:fldCharType="separate"/>
    </w:r>
    <w:r w:rsidRPr="00FA7860">
      <w:rP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D34" w:rsidRPr="00465BA1" w:rsidP="00664C43" w14:paraId="583B088D" w14:textId="77777777">
    <w:pPr>
      <w:jc w:val="both"/>
      <w:rPr>
        <w:sz w:val="20"/>
        <w:szCs w:val="22"/>
      </w:rPr>
    </w:pPr>
    <w:r>
      <w:fldChar w:fldCharType="begin"/>
    </w:r>
    <w:r>
      <w:instrText xml:space="preserve"> FILENAME   \* MERGEFORMAT </w:instrText>
    </w:r>
    <w:r>
      <w:fldChar w:fldCharType="separate"/>
    </w:r>
    <w:r w:rsidRPr="00FA7860">
      <w:rPr>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D34" w:rsidP="00677A0F" w14:paraId="6A6A4094" w14:textId="77777777">
      <w:r>
        <w:separator/>
      </w:r>
    </w:p>
  </w:footnote>
  <w:footnote w:type="continuationSeparator" w:id="1">
    <w:p w:rsidR="00E53D34" w:rsidP="00677A0F" w14:paraId="6D64FF7F" w14:textId="77777777">
      <w:r>
        <w:continuationSeparator/>
      </w:r>
    </w:p>
  </w:footnote>
  <w:footnote w:type="continuationNotice" w:id="2">
    <w:p w:rsidR="00E53D34" w14:paraId="6BEF20C3" w14:textId="77777777"/>
  </w:footnote>
  <w:footnote w:id="3">
    <w:p w:rsidR="00E53D34" w:rsidP="00C85047" w14:paraId="583B088E" w14:textId="2B090BCD">
      <w:pPr>
        <w:pStyle w:val="FootnoteText"/>
        <w:jc w:val="both"/>
      </w:pPr>
      <w:r>
        <w:rPr>
          <w:rStyle w:val="FootnoteReference"/>
        </w:rPr>
        <w:footnoteRef/>
      </w:r>
      <w:r>
        <w:t> Ministru kabineta</w:t>
      </w:r>
      <w:r w:rsidRPr="00C85047">
        <w:t xml:space="preserve"> </w:t>
      </w:r>
      <w:r w:rsidRPr="00F54376">
        <w:t>2017.</w:t>
      </w:r>
      <w:r>
        <w:t> </w:t>
      </w:r>
      <w:r w:rsidRPr="00F54376">
        <w:t>gada 11.</w:t>
      </w:r>
      <w:r>
        <w:t> </w:t>
      </w:r>
      <w:r w:rsidRPr="00F54376">
        <w:t>janvāra</w:t>
      </w:r>
      <w:r>
        <w:t xml:space="preserve"> </w:t>
      </w:r>
      <w:r w:rsidRPr="00C85047">
        <w:t>rīkojuma Nr.</w:t>
      </w:r>
      <w:r>
        <w:t> </w:t>
      </w:r>
      <w:r w:rsidRPr="00C85047">
        <w:t xml:space="preserve">19 </w:t>
      </w:r>
      <w:r>
        <w:t>“</w:t>
      </w:r>
      <w:r w:rsidRPr="00C85047">
        <w:t>Grozījums Ministru kabineta 2013.</w:t>
      </w:r>
      <w:r>
        <w:t> </w:t>
      </w:r>
      <w:r w:rsidRPr="00C85047">
        <w:t>g</w:t>
      </w:r>
      <w:r>
        <w:t>ada 19. februāra rīkojumā Nr. 57 “Par koncepciju “</w:t>
      </w:r>
      <w:r w:rsidRPr="00C85047">
        <w:t>Valsts informācijas un komunikācijas tehnoloģiju pārvaldības organizatoriskais modelis””” redakcijā</w:t>
      </w:r>
    </w:p>
  </w:footnote>
  <w:footnote w:id="4">
    <w:p w:rsidR="00E53D34" w:rsidP="004F0891" w14:paraId="583B088F" w14:textId="15168BD8">
      <w:pPr>
        <w:pStyle w:val="FootnoteText"/>
        <w:jc w:val="both"/>
      </w:pPr>
      <w:r>
        <w:rPr>
          <w:rStyle w:val="FootnoteReference"/>
        </w:rPr>
        <w:footnoteRef/>
      </w:r>
      <w:r>
        <w:t> Sk. šīs anotācijas IV sadaļas 3. punktā sniegto informāciju</w:t>
      </w:r>
    </w:p>
  </w:footnote>
  <w:footnote w:id="5">
    <w:p w:rsidR="00E53D34" w:rsidP="00B47A16" w14:paraId="583B0890" w14:textId="1CFFA52D">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specifiskā atbalsta mērķa “Nodrošināt publisko datu atkalizmantošanas pieaugumu un efektīvu publiskās pārvaldes un privātā sektora mijiedarbību” 2.2.1.1.</w:t>
      </w:r>
      <w:r>
        <w:t> </w:t>
      </w:r>
      <w:r w:rsidRPr="003D0D5A">
        <w:t>pasākuma “Centralizētu publiskās pārvaldes IKT platformu izveide, publiskās pārvaldes procesu optimizēšana un attīstība” ietvaros</w:t>
      </w:r>
    </w:p>
  </w:footnote>
  <w:footnote w:id="6">
    <w:p w:rsidR="00E53D34" w:rsidP="006869F9" w14:paraId="583B0891" w14:textId="167082AC">
      <w:pPr>
        <w:pStyle w:val="FootnoteText"/>
        <w:jc w:val="both"/>
      </w:pPr>
      <w:r>
        <w:rPr>
          <w:rStyle w:val="FootnoteReference"/>
        </w:rPr>
        <w:footnoteRef/>
      </w:r>
      <w:r>
        <w:t> T</w:t>
      </w:r>
      <w:r w:rsidRPr="006869F9">
        <w:t>ermini “iestāde”, “privātpersona” un “publiska persona”</w:t>
      </w:r>
      <w:r>
        <w:t xml:space="preserve"> likumprojektā</w:t>
      </w:r>
      <w:r w:rsidRPr="006869F9">
        <w:t xml:space="preserve"> lietoti Valsts pārvaldes iekārtas likuma izpratnē</w:t>
      </w:r>
    </w:p>
  </w:footnote>
  <w:footnote w:id="7">
    <w:p w:rsidR="00E53D34" w:rsidP="00B17867" w14:paraId="583B0892" w14:textId="7551B35C">
      <w:pPr>
        <w:pStyle w:val="FootnoteText"/>
        <w:jc w:val="both"/>
      </w:pPr>
      <w:r>
        <w:rPr>
          <w:rStyle w:val="FootnoteReference"/>
        </w:rPr>
        <w:footnoteRef/>
      </w:r>
      <w:r>
        <w:t xml:space="preserve"> Sk. Valsts pārvaldes iekārtas likuma XI nodaļu, kas ietver regulējumu par publiskas personas darbību privāto tiesību jomā, kā arī atsauci uz </w:t>
      </w:r>
      <w:r w:rsidRPr="00B17867">
        <w:t>Publiskas personas kapitāla daļu un kapitālsabiedrību pārvaldības likumu</w:t>
      </w:r>
    </w:p>
  </w:footnote>
  <w:footnote w:id="8">
    <w:p w:rsidR="00E53D34" w:rsidP="00406A8B" w14:paraId="583B0893" w14:textId="5A5AB713">
      <w:pPr>
        <w:pStyle w:val="FootnoteText"/>
        <w:jc w:val="both"/>
      </w:pPr>
      <w:r>
        <w:rPr>
          <w:rStyle w:val="FootnoteReference"/>
        </w:rPr>
        <w:footnoteRef/>
      </w:r>
      <w:r>
        <w:t xml:space="preserve"> Sk. </w:t>
      </w:r>
      <w:r w:rsidRPr="00406A8B">
        <w:t>Publiskā</w:t>
      </w:r>
      <w:r>
        <w:t xml:space="preserve">s un privātās partnerības likuma regulējumu attiecībā uz privātpersonas kā privātā partnera rīcībā esošo finanšu līdzekļu piesaistīšanu, lai nodrošinātu </w:t>
      </w:r>
      <w:r w:rsidRPr="00352B28">
        <w:t>publiskās un privātās partn</w:t>
      </w:r>
      <w:r>
        <w:t>erības līguma saistību izpildi</w:t>
      </w:r>
    </w:p>
  </w:footnote>
  <w:footnote w:id="9">
    <w:p w:rsidR="00E53D34" w:rsidP="00DC04F4" w14:paraId="583B0894" w14:textId="652E280B">
      <w:pPr>
        <w:pStyle w:val="FootnoteText"/>
        <w:jc w:val="both"/>
      </w:pPr>
      <w:r>
        <w:rPr>
          <w:rStyle w:val="FootnoteReference"/>
        </w:rPr>
        <w:footnoteRef/>
      </w:r>
      <w:r>
        <w:t xml:space="preserve"> Sk. Publisko iepirkumu likumu, kā arī </w:t>
      </w:r>
      <w:r w:rsidRPr="00406A8B">
        <w:t>Publiskā</w:t>
      </w:r>
      <w:r>
        <w:t xml:space="preserve">s un privātās partnerības likuma regulējumu attiecībā uz preču piegādi vai pakalpojumu sniegšanu institūcijām no privātpersonām, noslēdzot attiecīgā iepirkuma līgumu (ar vai bez </w:t>
      </w:r>
      <w:r w:rsidRPr="00554072">
        <w:t>līgumiskā</w:t>
      </w:r>
      <w:r>
        <w:t>s</w:t>
      </w:r>
      <w:r w:rsidRPr="00554072">
        <w:t xml:space="preserve"> </w:t>
      </w:r>
      <w:r>
        <w:t xml:space="preserve">vai institucionālās </w:t>
      </w:r>
      <w:r w:rsidRPr="00554072">
        <w:t>publiskā</w:t>
      </w:r>
      <w:r>
        <w:t>s</w:t>
      </w:r>
      <w:r w:rsidRPr="00554072">
        <w:t xml:space="preserve"> un privātā</w:t>
      </w:r>
      <w:r>
        <w:t>s</w:t>
      </w:r>
      <w:r w:rsidRPr="00554072">
        <w:t xml:space="preserve"> partnerība</w:t>
      </w:r>
      <w:r>
        <w:t>s dibināšanas)</w:t>
      </w:r>
    </w:p>
  </w:footnote>
  <w:footnote w:id="10">
    <w:p w:rsidR="00E53D34" w:rsidP="002D3C49" w14:paraId="583B0895" w14:textId="36C32D86">
      <w:pPr>
        <w:pStyle w:val="FootnoteText"/>
        <w:jc w:val="both"/>
      </w:pPr>
      <w:r>
        <w:rPr>
          <w:rStyle w:val="FootnoteReference"/>
        </w:rPr>
        <w:footnoteRef/>
      </w:r>
      <w:r>
        <w:t> Sk. Valsts pārvaldes iekārtas likuma</w:t>
      </w:r>
      <w:r w:rsidRPr="002D3C49">
        <w:t xml:space="preserve"> </w:t>
      </w:r>
      <w:r>
        <w:t>XI nodaļas regulējumu attiecībā uz publiskas personas darbību privāto tiesību jomā</w:t>
      </w:r>
    </w:p>
  </w:footnote>
  <w:footnote w:id="11">
    <w:p w:rsidR="00E53D34" w:rsidP="0004792D" w14:paraId="583B0896" w14:textId="78B64D5C">
      <w:pPr>
        <w:pStyle w:val="FootnoteText"/>
        <w:jc w:val="both"/>
      </w:pPr>
      <w:r>
        <w:rPr>
          <w:rStyle w:val="FootnoteReference"/>
        </w:rPr>
        <w:footnoteRef/>
      </w:r>
      <w:r>
        <w:t> Sk. Valsts pārvaldes iekārtas likuma</w:t>
      </w:r>
      <w:r w:rsidRPr="002D3C49">
        <w:t xml:space="preserve"> </w:t>
      </w:r>
      <w:r>
        <w:t>XIII nodaļas regulējumu par valsts pārvaldes pakalpojumiem</w:t>
      </w:r>
    </w:p>
  </w:footnote>
  <w:footnote w:id="12">
    <w:p w:rsidR="00E53D34" w:rsidP="001841B6" w14:paraId="583B0897" w14:textId="04C2C0E8">
      <w:pPr>
        <w:pStyle w:val="FootnoteText"/>
        <w:jc w:val="both"/>
      </w:pPr>
      <w:r>
        <w:rPr>
          <w:rStyle w:val="FootnoteReference"/>
        </w:rPr>
        <w:footnoteRef/>
      </w:r>
      <w:r>
        <w:t> Sk. Informācijas atklātības likuma regulējumu attiecībā uz tādas informācijas apriti, kuru ievieto internetā, ieskaitot atvērtos datus, vai kuru izsniedz, izm</w:t>
      </w:r>
      <w:r w:rsidRPr="00630174">
        <w:t>antojot elektroniskos saziņas līdzekļus</w:t>
      </w:r>
    </w:p>
  </w:footnote>
  <w:footnote w:id="13">
    <w:p w:rsidR="00E53D34" w:rsidP="00512490" w14:paraId="583B0898" w14:textId="3E6F28C6">
      <w:pPr>
        <w:pStyle w:val="FootnoteText"/>
        <w:jc w:val="both"/>
      </w:pPr>
      <w:r>
        <w:rPr>
          <w:rStyle w:val="FootnoteReference"/>
        </w:rPr>
        <w:footnoteRef/>
      </w:r>
      <w:r>
        <w:t> Sk. šīs anotācijas IV sadaļas 1. punkta 1. apakšpunktā sniegto informāciju</w:t>
      </w:r>
    </w:p>
  </w:footnote>
  <w:footnote w:id="14">
    <w:p w:rsidR="00E53D34" w:rsidP="00512490" w14:paraId="583B0899" w14:textId="497BF903">
      <w:pPr>
        <w:pStyle w:val="FootnoteText"/>
        <w:jc w:val="both"/>
      </w:pPr>
      <w:r>
        <w:rPr>
          <w:rStyle w:val="FootnoteReference"/>
        </w:rPr>
        <w:footnoteRef/>
      </w:r>
      <w:r>
        <w:t xml:space="preserve"> Projekts tiek īstenots </w:t>
      </w:r>
      <w:r w:rsidRPr="003D0D5A">
        <w:t>Eiropas Savienības struktūrfondu un Kohēzijas fonda 2014.–2020.</w:t>
      </w:r>
      <w:r>
        <w:t> </w:t>
      </w:r>
      <w:r w:rsidRPr="003D0D5A">
        <w:t>gada plānošanas perioda darbības programmas “Izaugsme un nodarbinātība” 2.2.1.</w:t>
      </w:r>
      <w:r>
        <w:t> </w:t>
      </w:r>
      <w:r w:rsidRPr="003D0D5A">
        <w:t>specifiskā atbalsta mērķa “Nodrošināt publisko datu atkalizmantošanas pieaugumu un efektīvu publiskās pārvaldes un privātā sektora mijiedarbību” 2.2.1.1.</w:t>
      </w:r>
      <w:r>
        <w:t> </w:t>
      </w:r>
      <w:r w:rsidRPr="003D0D5A">
        <w:t>pasākuma “Centralizētu publiskās pārvaldes IKT platformu izveide, publiskās pārvaldes procesu optimizēšana un attīstība” ietvaros</w:t>
      </w:r>
    </w:p>
  </w:footnote>
  <w:footnote w:id="15">
    <w:p w:rsidR="00E53D34" w14:paraId="583B089A" w14:textId="340CD410">
      <w:pPr>
        <w:pStyle w:val="FootnoteText"/>
      </w:pPr>
      <w:r>
        <w:rPr>
          <w:rStyle w:val="FootnoteReference"/>
        </w:rPr>
        <w:footnoteRef/>
      </w:r>
      <w:r>
        <w:t> Sk. šīs anotācijas I sadaļas 4. punktā sniegto informāciju</w:t>
      </w:r>
    </w:p>
  </w:footnote>
  <w:footnote w:id="16">
    <w:p w:rsidR="00E53D34" w14:paraId="583B089B" w14:textId="6B3039D5">
      <w:pPr>
        <w:pStyle w:val="FootnoteText"/>
      </w:pPr>
      <w:r>
        <w:rPr>
          <w:rStyle w:val="FootnoteReference"/>
        </w:rPr>
        <w:footnoteRef/>
      </w:r>
      <w:r>
        <w:t> Sk. šīs anotācijas III sadaļas 7. punktā sniegto informāciju</w:t>
      </w:r>
    </w:p>
  </w:footnote>
  <w:footnote w:id="17">
    <w:p w:rsidR="00E53D34" w:rsidP="00D61DDA" w14:paraId="583B089C" w14:textId="3427A048">
      <w:pPr>
        <w:pStyle w:val="FootnoteText"/>
        <w:jc w:val="both"/>
      </w:pPr>
      <w:r>
        <w:rPr>
          <w:rStyle w:val="FootnoteReference"/>
        </w:rPr>
        <w:footnoteRef/>
      </w:r>
      <w:r>
        <w:t> Tiesību aktu tīmekļvietnē “Likumi.lv” ir publicēti ap 250 spēkā esošo normatīvo aktu (likumu un Ministru kabineta noteikumu), kuros ir ietverti VIS likumā lietotie termini</w:t>
      </w:r>
    </w:p>
  </w:footnote>
  <w:footnote w:id="18">
    <w:p w:rsidR="00E53D34" w:rsidP="00D61DDA" w14:paraId="583B089D" w14:textId="6F3CC664">
      <w:pPr>
        <w:pStyle w:val="FootnoteText"/>
        <w:jc w:val="both"/>
      </w:pPr>
      <w:r>
        <w:rPr>
          <w:rStyle w:val="FootnoteReference"/>
        </w:rPr>
        <w:footnoteRef/>
      </w:r>
      <w:r>
        <w:t> L</w:t>
      </w:r>
      <w:r w:rsidRPr="004449B1">
        <w:t>ikumprojekts pared</w:t>
      </w:r>
      <w:r>
        <w:t>z atzīt par spēku zaudējušu VIS </w:t>
      </w:r>
      <w:r w:rsidRPr="004449B1">
        <w:t xml:space="preserve">likumu </w:t>
      </w:r>
      <w:r>
        <w:t>(skatīt šīs anotācijas I sadaļas 2. punktā sniegto informāciju)</w:t>
      </w:r>
    </w:p>
  </w:footnote>
  <w:footnote w:id="19">
    <w:p w:rsidR="00E53D34" w:rsidP="00D61DDA" w14:paraId="583B089E" w14:textId="0993DB2C">
      <w:pPr>
        <w:pStyle w:val="FootnoteText"/>
        <w:jc w:val="both"/>
      </w:pPr>
      <w:r>
        <w:rPr>
          <w:rStyle w:val="FootnoteReference"/>
        </w:rPr>
        <w:footnoteRef/>
      </w:r>
      <w:r>
        <w:t> Sk. likumprojekta 7. panta otrajā daļā ietverto regulējumu, kas pēc būtības atbilst VIS likuma 5. panta pirmajā daļā noteiktajai normai</w:t>
      </w:r>
    </w:p>
  </w:footnote>
  <w:footnote w:id="20">
    <w:p w:rsidR="00E53D34" w:rsidP="00D61DDA" w14:paraId="583B089F" w14:textId="084BEFBE">
      <w:pPr>
        <w:pStyle w:val="FootnoteText"/>
      </w:pPr>
      <w:r>
        <w:rPr>
          <w:rStyle w:val="FootnoteReference"/>
        </w:rPr>
        <w:footnoteRef/>
      </w:r>
      <w:r>
        <w:t> Sk. likumprojekta 1. panta pirmo daļu un VIS likuma 1. pantu</w:t>
      </w:r>
    </w:p>
  </w:footnote>
  <w:footnote w:id="21">
    <w:p w:rsidR="00E53D34" w:rsidP="00833B29" w14:paraId="583B08A0" w14:textId="64390DCF">
      <w:pPr>
        <w:pStyle w:val="FootnoteText"/>
        <w:jc w:val="both"/>
      </w:pPr>
      <w:r>
        <w:rPr>
          <w:rStyle w:val="FootnoteReference"/>
        </w:rPr>
        <w:footnoteRef/>
      </w:r>
      <w:r>
        <w:t> Sk. Ministru kabineta</w:t>
      </w:r>
      <w:r w:rsidRPr="00F80268">
        <w:t xml:space="preserve"> </w:t>
      </w:r>
      <w:r w:rsidRPr="007310FB">
        <w:rPr>
          <w:iCs/>
        </w:rPr>
        <w:t>2015.</w:t>
      </w:r>
      <w:r>
        <w:rPr>
          <w:iCs/>
        </w:rPr>
        <w:t xml:space="preserve"> gada 17. novembra </w:t>
      </w:r>
      <w:r w:rsidRPr="00F80268">
        <w:t>no</w:t>
      </w:r>
      <w:r>
        <w:t>teikumus</w:t>
      </w:r>
      <w:r w:rsidRPr="00F80268">
        <w:t xml:space="preserve"> Nr.</w:t>
      </w:r>
      <w:r>
        <w:t> </w:t>
      </w:r>
      <w:r w:rsidRPr="00F80268">
        <w:t xml:space="preserve">653 “Darbības programmas </w:t>
      </w:r>
      <w:r>
        <w:t>“</w:t>
      </w:r>
      <w:r w:rsidRPr="00F80268">
        <w:t>Izaugsme un nodarbinātība</w:t>
      </w:r>
      <w:r>
        <w:t>”</w:t>
      </w:r>
      <w:r w:rsidRPr="00F80268">
        <w:t xml:space="preserve"> 2.2.1.</w:t>
      </w:r>
      <w:r>
        <w:t> </w:t>
      </w:r>
      <w:r w:rsidRPr="00F80268">
        <w:t xml:space="preserve">specifiskā atbalsta mērķa </w:t>
      </w:r>
      <w:r>
        <w:t>“</w:t>
      </w:r>
      <w:r w:rsidRPr="00F80268">
        <w:t>Nodrošināt publisko datu atkalizmantošanas pieaugumu un efektīvu publiskās pārvaldes un privātā sektora mijiedarbību</w:t>
      </w:r>
      <w:r>
        <w:t>” 2.2.1.1. pasākuma “</w:t>
      </w:r>
      <w:r w:rsidRPr="00F80268">
        <w:t>Centralizētu publiskās pārvaldes IKT platformu izveide, publiskās pārvaldes pr</w:t>
      </w:r>
      <w:r>
        <w:t>ocesu optimizēšana un attīstība”</w:t>
      </w:r>
      <w:r w:rsidRPr="00F80268">
        <w:t xml:space="preserve"> īstenošanas noteikumi”</w:t>
      </w:r>
    </w:p>
  </w:footnote>
  <w:footnote w:id="22">
    <w:p w:rsidR="00E53D34" w14:paraId="583B08A1" w14:textId="7BD3AA78">
      <w:pPr>
        <w:pStyle w:val="FootnoteText"/>
      </w:pPr>
      <w:r>
        <w:rPr>
          <w:rStyle w:val="FootnoteReference"/>
        </w:rPr>
        <w:footnoteRef/>
      </w:r>
      <w:r>
        <w:t> Sk. šīs anotācijas IV sadaļas 1. punkta 1. apakšpunktā sniegto informāciju</w:t>
      </w:r>
    </w:p>
  </w:footnote>
  <w:footnote w:id="23">
    <w:p w:rsidR="00E53D34" w:rsidP="00D2541C" w14:paraId="583B08A2" w14:textId="023FA97F">
      <w:pPr>
        <w:pStyle w:val="FootnoteText"/>
        <w:jc w:val="both"/>
      </w:pPr>
      <w:r>
        <w:rPr>
          <w:rStyle w:val="FootnoteReference"/>
        </w:rPr>
        <w:footnoteRef/>
      </w:r>
      <w:r>
        <w:t> Sk. Informācijas tehnoloģiju drošības likumu, kā arī Ministru kabineta 2015. gada 28. jūlija noteikumus Nr. 442 „Kārtība, kādā tiek nodrošināta informācijas un komunikācijas tehnoloģiju sistēmu atbilstība minimālajām drošības prasībām”</w:t>
      </w:r>
    </w:p>
  </w:footnote>
  <w:footnote w:id="24">
    <w:p w:rsidR="00E53D34" w:rsidP="00D2541C" w14:paraId="583B08A3" w14:textId="5F560FD4">
      <w:pPr>
        <w:pStyle w:val="FootnoteText"/>
      </w:pPr>
      <w:r>
        <w:rPr>
          <w:rStyle w:val="FootnoteReference"/>
        </w:rPr>
        <w:footnoteRef/>
      </w:r>
      <w:r>
        <w:t> Sk. Informācijas tehnoloģiju drošības likuma 8. pantu</w:t>
      </w:r>
    </w:p>
  </w:footnote>
  <w:footnote w:id="25">
    <w:p w:rsidR="00E53D34" w14:paraId="583B08A4" w14:textId="03AA15AF">
      <w:pPr>
        <w:pStyle w:val="FootnoteText"/>
      </w:pPr>
      <w:r>
        <w:rPr>
          <w:rStyle w:val="FootnoteReference"/>
        </w:rPr>
        <w:footnoteRef/>
      </w:r>
      <w:r>
        <w:t> Sk. VIS likuma 14. un 15. pantu</w:t>
      </w:r>
    </w:p>
  </w:footnote>
  <w:footnote w:id="26">
    <w:p w:rsidR="00E53D34" w:rsidP="001259B7" w14:paraId="583B08A5" w14:textId="2F0E80A4">
      <w:pPr>
        <w:pStyle w:val="FootnoteText"/>
        <w:jc w:val="both"/>
      </w:pPr>
      <w:r>
        <w:rPr>
          <w:rStyle w:val="FootnoteReference"/>
        </w:rPr>
        <w:footnoteRef/>
      </w:r>
      <w:r>
        <w:t xml:space="preserve"> Sk. </w:t>
      </w:r>
      <w:r>
        <w:rPr>
          <w:iCs/>
        </w:rPr>
        <w:t>Ministru kabineta</w:t>
      </w:r>
      <w:r w:rsidRPr="007310FB">
        <w:rPr>
          <w:iCs/>
        </w:rPr>
        <w:t xml:space="preserve"> 2015.</w:t>
      </w:r>
      <w:r>
        <w:rPr>
          <w:iCs/>
        </w:rPr>
        <w:t xml:space="preserve"> gada 17. novembra </w:t>
      </w:r>
      <w:r w:rsidRPr="007310FB">
        <w:rPr>
          <w:iCs/>
        </w:rPr>
        <w:t>noteikumu Nr.</w:t>
      </w:r>
      <w:r>
        <w:rPr>
          <w:iCs/>
        </w:rPr>
        <w:t> </w:t>
      </w:r>
      <w:r w:rsidRPr="007310FB">
        <w:rPr>
          <w:iCs/>
        </w:rPr>
        <w:t>653 „Darbības programmas „Izaugsme un nodarbinātība” 2.2.1.</w:t>
      </w:r>
      <w:r>
        <w:rPr>
          <w:iCs/>
        </w:rPr>
        <w:t> </w:t>
      </w:r>
      <w:r w:rsidRPr="007310FB">
        <w:rPr>
          <w:iCs/>
        </w:rPr>
        <w:t>specifiskā atbalsta mērķa „Nodrošināt publisko datu atkalizmantošanas pieaugumu un efektīvu publiskās pārvaldes un privātā sektora mijiedarbību” 2.2.1.1.</w:t>
      </w:r>
      <w:r>
        <w:rPr>
          <w:iCs/>
        </w:rPr>
        <w:t> </w:t>
      </w:r>
      <w:r w:rsidRPr="007310FB">
        <w:rPr>
          <w:iCs/>
        </w:rPr>
        <w:t>pasākuma „Centralizētu publiskās pārvaldes IKT platformu izveide, publiskās pārvaldes procesu optimizēšana un attīstība” īstenošanas noteikumi” 40.</w:t>
      </w:r>
      <w:r>
        <w:rPr>
          <w:iCs/>
        </w:rPr>
        <w:t> </w:t>
      </w:r>
      <w:r w:rsidRPr="007310FB">
        <w:rPr>
          <w:iCs/>
        </w:rPr>
        <w:t>punktu</w:t>
      </w:r>
    </w:p>
  </w:footnote>
  <w:footnote w:id="27">
    <w:p w:rsidR="00E53D34" w:rsidP="0068277E" w14:paraId="583B08A6" w14:textId="5A69D18B">
      <w:pPr>
        <w:pStyle w:val="FootnoteText"/>
        <w:jc w:val="both"/>
      </w:pPr>
      <w:r>
        <w:rPr>
          <w:rStyle w:val="FootnoteReference"/>
        </w:rPr>
        <w:footnoteRef/>
      </w:r>
      <w:r>
        <w:t xml:space="preserve"> Sk. </w:t>
      </w:r>
      <w:r w:rsidRPr="00EC6E83">
        <w:t>Attīs</w:t>
      </w:r>
      <w:r>
        <w:t>tības plānošanas sistēmas likumu, kā arī MK 2014. gada 2. decembra noteikumus Nr. 737 “Attīstības plānošanas dokumentu izstrādes un ietekmes izvērtēšanas noteikumi”</w:t>
      </w:r>
    </w:p>
  </w:footnote>
  <w:footnote w:id="28">
    <w:p w:rsidR="00E53D34" w14:paraId="583B08A7" w14:textId="2898A3A7">
      <w:pPr>
        <w:pStyle w:val="FootnoteText"/>
      </w:pPr>
      <w:r>
        <w:rPr>
          <w:rStyle w:val="FootnoteReference"/>
        </w:rPr>
        <w:footnoteRef/>
      </w:r>
      <w:r>
        <w:t> Sk. šīs anotācijas IV sadaļas 1. punkta 1. apakšpunktā sniegto informāciju</w:t>
      </w:r>
    </w:p>
  </w:footnote>
  <w:footnote w:id="29">
    <w:p w:rsidR="00E53D34" w:rsidP="00BF3B45" w14:paraId="583B08A8" w14:textId="02CB1590">
      <w:pPr>
        <w:pStyle w:val="FootnoteText"/>
        <w:jc w:val="both"/>
      </w:pPr>
      <w:r>
        <w:rPr>
          <w:rStyle w:val="FootnoteReference"/>
        </w:rPr>
        <w:footnoteRef/>
      </w:r>
      <w:r>
        <w:t> Sk. Ministru kabineta 2011. gada 29. marta noteikumu Nr. 233 “Vides aizsardzības un reģionālās attīstības ministrijas nolikums” 1.7., 4.1.8. un 5.7. apakšpunktu</w:t>
      </w:r>
    </w:p>
  </w:footnote>
  <w:footnote w:id="30">
    <w:p w:rsidR="00E53D34" w14:paraId="583B08A9" w14:textId="4406EB43">
      <w:pPr>
        <w:pStyle w:val="FootnoteText"/>
      </w:pPr>
      <w:r>
        <w:rPr>
          <w:rStyle w:val="FootnoteReference"/>
        </w:rPr>
        <w:footnoteRef/>
      </w:r>
      <w:r>
        <w:t> Sk. šīs anotācijas IV sadaļas 1. punkta 1. apakšpunktā sniegto informāciju</w:t>
      </w:r>
    </w:p>
  </w:footnote>
  <w:footnote w:id="31">
    <w:p w:rsidR="00E53D34" w:rsidP="002F1778" w14:paraId="583B08AA" w14:textId="587C3ACA">
      <w:pPr>
        <w:pStyle w:val="FootnoteText"/>
        <w:jc w:val="both"/>
      </w:pPr>
      <w:r>
        <w:rPr>
          <w:rStyle w:val="FootnoteReference"/>
        </w:rPr>
        <w:footnoteRef/>
      </w:r>
      <w:r>
        <w:t> Sk. Ministru kabineta 2005. gada 2. augusta noteikumus Nr. 572 “</w:t>
      </w:r>
      <w:r w:rsidRPr="007D59AF">
        <w:t xml:space="preserve">Valsts informācijas sistēmu </w:t>
      </w:r>
      <w:r w:rsidRPr="002F1778">
        <w:t>reģistrācijas noteikumi</w:t>
      </w:r>
      <w:r>
        <w:t>”</w:t>
      </w:r>
    </w:p>
  </w:footnote>
  <w:footnote w:id="32">
    <w:p w:rsidR="00E53D34" w:rsidP="0070689D" w14:paraId="583B08AB" w14:textId="30E832DF">
      <w:pPr>
        <w:pStyle w:val="FootnoteText"/>
        <w:jc w:val="both"/>
      </w:pPr>
      <w:r>
        <w:rPr>
          <w:rStyle w:val="FootnoteReference"/>
        </w:rPr>
        <w:footnoteRef/>
      </w:r>
      <w:r>
        <w:t> Sk. šīs anotācijas IV sadaļas 1. punkta 1. apakšpunktā sniegto informāciju</w:t>
      </w:r>
    </w:p>
  </w:footnote>
  <w:footnote w:id="33">
    <w:p w:rsidR="00E53D34" w:rsidP="0070689D" w14:paraId="583B08AC" w14:textId="56F46688">
      <w:pPr>
        <w:pStyle w:val="FootnoteText"/>
        <w:jc w:val="both"/>
      </w:pPr>
      <w:r>
        <w:rPr>
          <w:rStyle w:val="FootnoteReference"/>
        </w:rPr>
        <w:footnoteRef/>
      </w:r>
      <w:r>
        <w:t> Sk. Ministru kabineta 2006. gada 24. janvāra noteikumus Nr. 71 “</w:t>
      </w:r>
      <w:r w:rsidRPr="007D59AF">
        <w:t>Valsts informācijas sistēmu attīstības projektu uzraudzības kārtība</w:t>
      </w:r>
      <w:r>
        <w:t>”</w:t>
      </w:r>
    </w:p>
  </w:footnote>
  <w:footnote w:id="34">
    <w:p w:rsidR="00E53D34" w:rsidP="008E66EC" w14:paraId="583B08AD" w14:textId="790E6138">
      <w:pPr>
        <w:pStyle w:val="FootnoteText"/>
        <w:jc w:val="both"/>
      </w:pPr>
      <w:r>
        <w:rPr>
          <w:rStyle w:val="FootnoteReference"/>
        </w:rPr>
        <w:footnoteRef/>
      </w:r>
      <w:r>
        <w:t> Sk. likumu</w:t>
      </w:r>
      <w:r w:rsidRPr="00740806">
        <w:t xml:space="preserve"> </w:t>
      </w:r>
      <w:r>
        <w:t>“</w:t>
      </w:r>
      <w:r w:rsidRPr="00740806">
        <w:t>Par budžetu un finanšu vadību</w:t>
      </w:r>
      <w:r>
        <w:t>”, kā arī Ministru kabineta 2012. gada 31. jūlija noteikumus Nr. 523 “Noteikumi par budžeta pieprasījumu izstrādāšanas un iesniegšanas pamatprincipiem”</w:t>
      </w:r>
    </w:p>
  </w:footnote>
  <w:footnote w:id="35">
    <w:p w:rsidR="00E53D34" w:rsidP="007870E9" w14:paraId="583B08AE" w14:textId="37B49E2D">
      <w:pPr>
        <w:pStyle w:val="FootnoteText"/>
        <w:jc w:val="both"/>
      </w:pPr>
      <w:r>
        <w:rPr>
          <w:rStyle w:val="FootnoteReference"/>
        </w:rPr>
        <w:footnoteRef/>
      </w:r>
      <w:r>
        <w:t> Sk. šīs anotācijas IV sadaļas 1. punkta 1. apakšpunktā sniegto informāciju</w:t>
      </w:r>
    </w:p>
  </w:footnote>
  <w:footnote w:id="36">
    <w:p w:rsidR="00E53D34" w:rsidP="00E6438F" w14:paraId="583B08AF" w14:textId="2724EF81">
      <w:pPr>
        <w:pStyle w:val="FootnoteText"/>
        <w:jc w:val="both"/>
      </w:pPr>
      <w:r>
        <w:rPr>
          <w:rStyle w:val="FootnoteReference"/>
        </w:rPr>
        <w:footnoteRef/>
      </w:r>
      <w:r>
        <w:t> Sk. šīs anotācijas IV sadaļas 1. punkta 1. apakšpunktā sniegto informāciju</w:t>
      </w:r>
    </w:p>
  </w:footnote>
  <w:footnote w:id="37">
    <w:p w:rsidR="00E53D34" w:rsidP="003E3B55" w14:paraId="583B08B0" w14:textId="4F04E275">
      <w:pPr>
        <w:pStyle w:val="FootnoteText"/>
        <w:jc w:val="both"/>
      </w:pPr>
      <w:r>
        <w:rPr>
          <w:rStyle w:val="FootnoteReference"/>
        </w:rPr>
        <w:footnoteRef/>
      </w:r>
      <w:r>
        <w:t> Sk. Ministru kabineta 2005. gada 11. oktobra noteikumus Nr. 764 “</w:t>
      </w:r>
      <w:r w:rsidRPr="007D59AF">
        <w:t xml:space="preserve">Valsts informācijas sistēmu </w:t>
      </w:r>
      <w:r w:rsidRPr="00D23BEA">
        <w:t>vispārējās tehniskās prasības</w:t>
      </w:r>
      <w:r>
        <w:t>”</w:t>
      </w:r>
    </w:p>
  </w:footnote>
  <w:footnote w:id="38">
    <w:p w:rsidR="00E53D34" w:rsidP="00EB4288" w14:paraId="583B08B1" w14:textId="09707DFF">
      <w:pPr>
        <w:pStyle w:val="FootnoteText"/>
        <w:jc w:val="both"/>
      </w:pPr>
      <w:r>
        <w:rPr>
          <w:rStyle w:val="FootnoteReference"/>
        </w:rPr>
        <w:footnoteRef/>
      </w:r>
      <w:r>
        <w:t> Sk. Ministru kabineta 2012. gada 19. jūnija noteikumus Nr. 421 “Valsts informācijas sistēmu savietotāju un integrēto valsts informācijas sistēmu aizsardzības prasības”</w:t>
      </w:r>
    </w:p>
  </w:footnote>
  <w:footnote w:id="39">
    <w:p w:rsidR="00E53D34" w:rsidP="007114E2" w14:paraId="583B08B2" w14:textId="3B9E4ACC">
      <w:pPr>
        <w:pStyle w:val="FootnoteText"/>
        <w:jc w:val="both"/>
      </w:pPr>
      <w:r>
        <w:rPr>
          <w:rStyle w:val="FootnoteReference"/>
        </w:rPr>
        <w:footnoteRef/>
      </w:r>
      <w:r>
        <w:t> Sk. Ministru kabineta 2016. gada 14. jūnija noteikumus Nr. 374 “Valsts informācijas sistēmu savietotāja noteikumi”</w:t>
      </w:r>
    </w:p>
  </w:footnote>
  <w:footnote w:id="40">
    <w:p w:rsidR="00E53D34" w:rsidP="006B350D" w14:paraId="583B08B3" w14:textId="42A83F90">
      <w:pPr>
        <w:pStyle w:val="FootnoteText"/>
        <w:jc w:val="both"/>
      </w:pPr>
      <w:r>
        <w:rPr>
          <w:rStyle w:val="FootnoteReference"/>
        </w:rPr>
        <w:footnoteRef/>
      </w:r>
      <w:r>
        <w:t> Sk. šīs anotācijas IV sadaļas 1. punkta 1. apakšpunktā sniegto informāciju</w:t>
      </w:r>
    </w:p>
  </w:footnote>
  <w:footnote w:id="41">
    <w:p w:rsidR="00E53D34" w:rsidP="00085C8E" w14:paraId="583B08B4" w14:textId="4B9B4DC8">
      <w:pPr>
        <w:pStyle w:val="FootnoteText"/>
        <w:jc w:val="both"/>
      </w:pPr>
      <w:r>
        <w:rPr>
          <w:rStyle w:val="FootnoteReference"/>
        </w:rPr>
        <w:footnoteRef/>
      </w:r>
      <w:r>
        <w:t xml:space="preserve"> Sk. Informācijas atklātības likumu, </w:t>
      </w:r>
      <w:r w:rsidRPr="00517201">
        <w:t xml:space="preserve">Fizisko </w:t>
      </w:r>
      <w:r>
        <w:t>personu datu aizsardzības likumu, likumu “</w:t>
      </w:r>
      <w:r w:rsidRPr="007F71F2">
        <w:t>Par valsts noslēpumu</w:t>
      </w:r>
      <w:r>
        <w:t>” un citus likumus, kuri regulē pieeju institūciju rīcībā esošajai informācijai</w:t>
      </w:r>
    </w:p>
  </w:footnote>
  <w:footnote w:id="42">
    <w:p w:rsidR="00E53D34" w:rsidP="00616927" w14:paraId="583B08B5" w14:textId="2003BCA9">
      <w:pPr>
        <w:pStyle w:val="FootnoteText"/>
        <w:jc w:val="both"/>
      </w:pPr>
      <w:r>
        <w:rPr>
          <w:rStyle w:val="FootnoteReference"/>
        </w:rPr>
        <w:footnoteRef/>
      </w:r>
      <w:r>
        <w:t> Sk. šīs anotācijas IV sadaļas 1. punkta 1. apakšpunktā sniegto informāciju</w:t>
      </w:r>
    </w:p>
  </w:footnote>
  <w:footnote w:id="43">
    <w:p w:rsidR="00E53D34" w:rsidP="00E9711E" w14:paraId="583B08B6" w14:textId="4A69726A">
      <w:pPr>
        <w:pStyle w:val="FootnoteText"/>
        <w:jc w:val="both"/>
      </w:pPr>
      <w:r>
        <w:rPr>
          <w:rStyle w:val="FootnoteReference"/>
        </w:rPr>
        <w:footnoteRef/>
      </w:r>
      <w:r>
        <w:t> Sk. šīs anotācijas IV sadaļas 1. punkta 1. apakšpunktā sniegto informāciju</w:t>
      </w:r>
    </w:p>
  </w:footnote>
  <w:footnote w:id="44">
    <w:p w:rsidR="00E53D34" w:rsidP="00314578" w14:paraId="583B08B7" w14:textId="4A57303D">
      <w:pPr>
        <w:pStyle w:val="FootnoteText"/>
        <w:jc w:val="both"/>
      </w:pPr>
      <w:r>
        <w:rPr>
          <w:rStyle w:val="FootnoteReference"/>
        </w:rPr>
        <w:footnoteRef/>
      </w:r>
      <w:r>
        <w:t> Sk. turpat</w:t>
      </w:r>
    </w:p>
  </w:footnote>
  <w:footnote w:id="45">
    <w:p w:rsidR="00E53D34" w:rsidP="00A21EB1" w14:paraId="583B08B8" w14:textId="0DE264F0">
      <w:pPr>
        <w:pStyle w:val="FootnoteText"/>
        <w:jc w:val="both"/>
      </w:pPr>
      <w:r>
        <w:rPr>
          <w:rStyle w:val="FootnoteReference"/>
        </w:rPr>
        <w:footnoteRef/>
      </w:r>
      <w:r>
        <w:t> Sk. Informācijas tehnoloģiju drošības likumu, kā arī Ministru kabineta 2015. gada 28. jūlija noteikumus Nr. 442 „Kārtība, kādā tiek nodrošināta informācijas un komunikācijas tehnoloģiju sistēmu atbilstība minimālajām drošības prasībām”</w:t>
      </w:r>
    </w:p>
  </w:footnote>
  <w:footnote w:id="46">
    <w:p w:rsidR="00E53D34" w:rsidP="00F9044C" w14:paraId="583B08B9" w14:textId="4146F752">
      <w:pPr>
        <w:pStyle w:val="FootnoteText"/>
        <w:jc w:val="both"/>
      </w:pPr>
      <w:r>
        <w:rPr>
          <w:rStyle w:val="FootnoteReference"/>
        </w:rPr>
        <w:footnoteRef/>
      </w:r>
      <w:r>
        <w:t> Sk. Valsts pārvaldes iekārtas likuma 10. panta astoto daļu, kā arī Ministru kabineta 2010. gada 13. aprīļa noteikumu</w:t>
      </w:r>
      <w:r w:rsidRPr="00F9044C">
        <w:t xml:space="preserve"> Nr.</w:t>
      </w:r>
      <w:r>
        <w:t> </w:t>
      </w:r>
      <w:r w:rsidRPr="00F9044C">
        <w:t>357 “Kārtība, kādā iestādes sadarbojoties sniedz informāciju elektroniskā veidā, kā arī nodrošina un apliecina šādas informācijas patiesumu”</w:t>
      </w:r>
      <w:r>
        <w:t xml:space="preserve"> 3. punktu</w:t>
      </w:r>
    </w:p>
  </w:footnote>
  <w:footnote w:id="47">
    <w:p w:rsidR="00E53D34" w:rsidP="00220CA4" w14:paraId="583B08BA" w14:textId="5A8ADE1A">
      <w:pPr>
        <w:pStyle w:val="FootnoteText"/>
      </w:pPr>
      <w:r>
        <w:rPr>
          <w:rStyle w:val="FootnoteReference"/>
        </w:rPr>
        <w:footnoteRef/>
      </w:r>
      <w:r>
        <w:t> Sk. šīs anotācijas IV sadaļas 1. punkta 1. apakšpunktā sniegto informāciju</w:t>
      </w:r>
    </w:p>
  </w:footnote>
  <w:footnote w:id="48">
    <w:p w:rsidR="00E53D34" w:rsidP="00052007" w14:paraId="583B08BB" w14:textId="1C777911">
      <w:pPr>
        <w:pStyle w:val="FootnoteText"/>
        <w:jc w:val="both"/>
      </w:pPr>
      <w:r>
        <w:rPr>
          <w:rStyle w:val="FootnoteReference"/>
        </w:rPr>
        <w:footnoteRef/>
      </w:r>
      <w:r>
        <w:t xml:space="preserve"> Sk. </w:t>
      </w:r>
      <w:r w:rsidRPr="0087594A">
        <w:t xml:space="preserve">Fizisko </w:t>
      </w:r>
      <w:r>
        <w:t>personu datu aizsardzības likuma 8. panta otrās daļas 2. punktu, 15. panta pirmo daļu un 16. panta pirmo daļu</w:t>
      </w:r>
    </w:p>
  </w:footnote>
  <w:footnote w:id="49">
    <w:p w:rsidR="00E53D34" w:rsidP="00052007" w14:paraId="583B08BC" w14:textId="2E6C510D">
      <w:pPr>
        <w:pStyle w:val="FootnoteText"/>
      </w:pPr>
      <w:r>
        <w:rPr>
          <w:rStyle w:val="FootnoteReference"/>
        </w:rPr>
        <w:footnoteRef/>
      </w:r>
      <w:r>
        <w:t> Sk. šīs anotācijas IV sadaļas 1. punkta 1. apakšpunktā sniegto informāciju</w:t>
      </w:r>
    </w:p>
  </w:footnote>
  <w:footnote w:id="50">
    <w:p w:rsidR="00E53D34" w:rsidP="00D41600" w14:paraId="583B08BD" w14:textId="0C6E2B54">
      <w:pPr>
        <w:pStyle w:val="FootnoteText"/>
        <w:jc w:val="both"/>
      </w:pPr>
      <w:r>
        <w:rPr>
          <w:rStyle w:val="FootnoteReference"/>
        </w:rPr>
        <w:footnoteRef/>
      </w:r>
      <w:r>
        <w:t> Sk. Ministru kabineta 2016. gada 20. septembra instrukcijas Nr. 3 “Ārvalstu finanšu instrumentu finansētu civiltiesisku līgumu izstrādes un slēgšanas instrukcija valsts tiešās pārvaldes iestādēs” 136. un 141. punktu</w:t>
      </w:r>
    </w:p>
  </w:footnote>
  <w:footnote w:id="51">
    <w:p w:rsidR="00E53D34" w:rsidP="003D6FE2" w14:paraId="583B08BE" w14:textId="43CCD1D9">
      <w:pPr>
        <w:pStyle w:val="FootnoteText"/>
        <w:jc w:val="both"/>
      </w:pPr>
      <w:r>
        <w:rPr>
          <w:rStyle w:val="FootnoteReference"/>
        </w:rPr>
        <w:footnoteRef/>
      </w:r>
      <w:r>
        <w:t> Sk. šīs anotācijas IV sadaļas 1. punkta 1. apakšpunktā sniegto informāciju</w:t>
      </w:r>
    </w:p>
  </w:footnote>
  <w:footnote w:id="52">
    <w:p w:rsidR="00E53D34" w:rsidP="004F7A24" w14:paraId="583B08BF" w14:textId="630C77B5">
      <w:pPr>
        <w:pStyle w:val="FootnoteText"/>
        <w:jc w:val="both"/>
      </w:pPr>
      <w:r>
        <w:rPr>
          <w:rStyle w:val="FootnoteReference"/>
        </w:rPr>
        <w:footnoteRef/>
      </w:r>
      <w:r>
        <w:t> Autortiesības attiecībā uz datu bāzēm (kā informācijas resursu) un datorprogrammām (kā IKT (tehnoloģisko) resursu), kā arī attiecīgo autortiesību objektu izmantošanu regulē Autortiesību likums</w:t>
      </w:r>
    </w:p>
  </w:footnote>
  <w:footnote w:id="53">
    <w:p w:rsidR="00E53D34" w:rsidP="006B350D" w14:paraId="583B08C0" w14:textId="705954F6">
      <w:pPr>
        <w:pStyle w:val="FootnoteText"/>
      </w:pPr>
      <w:r>
        <w:rPr>
          <w:rStyle w:val="FootnoteReference"/>
        </w:rPr>
        <w:footnoteRef/>
      </w:r>
      <w:r>
        <w:t> Sk. šīs anotācijas II sadaļas 4. punktā sniegto informāciju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D34" w:rsidRPr="000748A7" w14:paraId="583B088B" w14:textId="77777777">
    <w:pPr>
      <w:pStyle w:val="Header"/>
      <w:jc w:val="center"/>
    </w:pPr>
    <w:r w:rsidRPr="000748A7">
      <w:fldChar w:fldCharType="begin"/>
    </w:r>
    <w:r w:rsidRPr="000748A7">
      <w:instrText xml:space="preserve"> PAGE   \* MERGEFORMAT </w:instrText>
    </w:r>
    <w:r w:rsidRPr="000748A7">
      <w:fldChar w:fldCharType="separate"/>
    </w:r>
    <w:r w:rsidR="00070BDD">
      <w:rPr>
        <w:noProof/>
      </w:rPr>
      <w:t>16</w:t>
    </w:r>
    <w:r w:rsidRPr="000748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E9AF7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C64B2"/>
    <w:multiLevelType w:val="hybridMultilevel"/>
    <w:tmpl w:val="7B667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A41F5E"/>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3">
    <w:nsid w:val="12AB63FE"/>
    <w:multiLevelType w:val="hybridMultilevel"/>
    <w:tmpl w:val="79C607DA"/>
    <w:lvl w:ilvl="0">
      <w:start w:val="1"/>
      <w:numFmt w:val="decimal"/>
      <w:lvlText w:val="%1)"/>
      <w:lvlJc w:val="left"/>
      <w:pPr>
        <w:ind w:left="559" w:hanging="360"/>
      </w:pPr>
      <w:rPr>
        <w:rFonts w:hint="default"/>
      </w:rPr>
    </w:lvl>
    <w:lvl w:ilvl="1" w:tentative="1">
      <w:start w:val="1"/>
      <w:numFmt w:val="lowerLetter"/>
      <w:lvlText w:val="%2."/>
      <w:lvlJc w:val="left"/>
      <w:pPr>
        <w:ind w:left="1279" w:hanging="360"/>
      </w:pPr>
    </w:lvl>
    <w:lvl w:ilvl="2" w:tentative="1">
      <w:start w:val="1"/>
      <w:numFmt w:val="lowerRoman"/>
      <w:lvlText w:val="%3."/>
      <w:lvlJc w:val="right"/>
      <w:pPr>
        <w:ind w:left="1999" w:hanging="180"/>
      </w:pPr>
    </w:lvl>
    <w:lvl w:ilvl="3" w:tentative="1">
      <w:start w:val="1"/>
      <w:numFmt w:val="decimal"/>
      <w:lvlText w:val="%4."/>
      <w:lvlJc w:val="left"/>
      <w:pPr>
        <w:ind w:left="2719" w:hanging="360"/>
      </w:pPr>
    </w:lvl>
    <w:lvl w:ilvl="4" w:tentative="1">
      <w:start w:val="1"/>
      <w:numFmt w:val="lowerLetter"/>
      <w:lvlText w:val="%5."/>
      <w:lvlJc w:val="left"/>
      <w:pPr>
        <w:ind w:left="3439" w:hanging="360"/>
      </w:pPr>
    </w:lvl>
    <w:lvl w:ilvl="5" w:tentative="1">
      <w:start w:val="1"/>
      <w:numFmt w:val="lowerRoman"/>
      <w:lvlText w:val="%6."/>
      <w:lvlJc w:val="right"/>
      <w:pPr>
        <w:ind w:left="4159" w:hanging="180"/>
      </w:pPr>
    </w:lvl>
    <w:lvl w:ilvl="6" w:tentative="1">
      <w:start w:val="1"/>
      <w:numFmt w:val="decimal"/>
      <w:lvlText w:val="%7."/>
      <w:lvlJc w:val="left"/>
      <w:pPr>
        <w:ind w:left="4879" w:hanging="360"/>
      </w:pPr>
    </w:lvl>
    <w:lvl w:ilvl="7" w:tentative="1">
      <w:start w:val="1"/>
      <w:numFmt w:val="lowerLetter"/>
      <w:lvlText w:val="%8."/>
      <w:lvlJc w:val="left"/>
      <w:pPr>
        <w:ind w:left="5599" w:hanging="360"/>
      </w:pPr>
    </w:lvl>
    <w:lvl w:ilvl="8" w:tentative="1">
      <w:start w:val="1"/>
      <w:numFmt w:val="lowerRoman"/>
      <w:lvlText w:val="%9."/>
      <w:lvlJc w:val="right"/>
      <w:pPr>
        <w:ind w:left="6319" w:hanging="180"/>
      </w:pPr>
    </w:lvl>
  </w:abstractNum>
  <w:abstractNum w:abstractNumId="4">
    <w:nsid w:val="20A34719"/>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5">
    <w:nsid w:val="305741D1"/>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6">
    <w:nsid w:val="35B932F2"/>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7">
    <w:nsid w:val="59BD0232"/>
    <w:multiLevelType w:val="hybridMultilevel"/>
    <w:tmpl w:val="D4D0C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79162F"/>
    <w:multiLevelType w:val="hybridMultilevel"/>
    <w:tmpl w:val="950A2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48D2E6E"/>
    <w:multiLevelType w:val="hybridMultilevel"/>
    <w:tmpl w:val="195A1A86"/>
    <w:lvl w:ilvl="0">
      <w:start w:val="1"/>
      <w:numFmt w:val="decimal"/>
      <w:suff w:val="space"/>
      <w:lvlText w:val="%1)"/>
      <w:lvlJc w:val="left"/>
      <w:pPr>
        <w:ind w:left="919" w:hanging="360"/>
      </w:pPr>
      <w:rPr>
        <w:rFonts w:hint="default"/>
      </w:rPr>
    </w:lvl>
    <w:lvl w:ilvl="1" w:tentative="1">
      <w:start w:val="1"/>
      <w:numFmt w:val="lowerLetter"/>
      <w:lvlText w:val="%2."/>
      <w:lvlJc w:val="left"/>
      <w:pPr>
        <w:ind w:left="1639" w:hanging="360"/>
      </w:pPr>
    </w:lvl>
    <w:lvl w:ilvl="2" w:tentative="1">
      <w:start w:val="1"/>
      <w:numFmt w:val="lowerRoman"/>
      <w:lvlText w:val="%3."/>
      <w:lvlJc w:val="right"/>
      <w:pPr>
        <w:ind w:left="2359" w:hanging="180"/>
      </w:pPr>
    </w:lvl>
    <w:lvl w:ilvl="3" w:tentative="1">
      <w:start w:val="1"/>
      <w:numFmt w:val="decimal"/>
      <w:lvlText w:val="%4."/>
      <w:lvlJc w:val="left"/>
      <w:pPr>
        <w:ind w:left="3079" w:hanging="360"/>
      </w:pPr>
    </w:lvl>
    <w:lvl w:ilvl="4" w:tentative="1">
      <w:start w:val="1"/>
      <w:numFmt w:val="lowerLetter"/>
      <w:lvlText w:val="%5."/>
      <w:lvlJc w:val="left"/>
      <w:pPr>
        <w:ind w:left="3799" w:hanging="360"/>
      </w:pPr>
    </w:lvl>
    <w:lvl w:ilvl="5" w:tentative="1">
      <w:start w:val="1"/>
      <w:numFmt w:val="lowerRoman"/>
      <w:lvlText w:val="%6."/>
      <w:lvlJc w:val="right"/>
      <w:pPr>
        <w:ind w:left="4519" w:hanging="180"/>
      </w:pPr>
    </w:lvl>
    <w:lvl w:ilvl="6" w:tentative="1">
      <w:start w:val="1"/>
      <w:numFmt w:val="decimal"/>
      <w:lvlText w:val="%7."/>
      <w:lvlJc w:val="left"/>
      <w:pPr>
        <w:ind w:left="5239" w:hanging="360"/>
      </w:pPr>
    </w:lvl>
    <w:lvl w:ilvl="7" w:tentative="1">
      <w:start w:val="1"/>
      <w:numFmt w:val="lowerLetter"/>
      <w:lvlText w:val="%8."/>
      <w:lvlJc w:val="left"/>
      <w:pPr>
        <w:ind w:left="5959" w:hanging="360"/>
      </w:pPr>
    </w:lvl>
    <w:lvl w:ilvl="8" w:tentative="1">
      <w:start w:val="1"/>
      <w:numFmt w:val="lowerRoman"/>
      <w:lvlText w:val="%9."/>
      <w:lvlJc w:val="right"/>
      <w:pPr>
        <w:ind w:left="6679" w:hanging="180"/>
      </w:pPr>
    </w:lvl>
  </w:abstractNum>
  <w:abstractNum w:abstractNumId="10">
    <w:nsid w:val="798C34A7"/>
    <w:multiLevelType w:val="hybridMultilevel"/>
    <w:tmpl w:val="E376C244"/>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6"/>
  </w:num>
  <w:num w:numId="6">
    <w:abstractNumId w:val="3"/>
  </w:num>
  <w:num w:numId="7">
    <w:abstractNumId w:val="5"/>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F"/>
    <w:rsid w:val="00000E17"/>
    <w:rsid w:val="0000210A"/>
    <w:rsid w:val="00002232"/>
    <w:rsid w:val="00002B76"/>
    <w:rsid w:val="00003C31"/>
    <w:rsid w:val="000044C9"/>
    <w:rsid w:val="00004628"/>
    <w:rsid w:val="00004EE2"/>
    <w:rsid w:val="00005ACC"/>
    <w:rsid w:val="00005BE6"/>
    <w:rsid w:val="00005C44"/>
    <w:rsid w:val="00007940"/>
    <w:rsid w:val="000106C4"/>
    <w:rsid w:val="00011957"/>
    <w:rsid w:val="00013906"/>
    <w:rsid w:val="00013FE8"/>
    <w:rsid w:val="0001414A"/>
    <w:rsid w:val="00014F8D"/>
    <w:rsid w:val="000157FE"/>
    <w:rsid w:val="000161AA"/>
    <w:rsid w:val="00016591"/>
    <w:rsid w:val="00017D4B"/>
    <w:rsid w:val="00020304"/>
    <w:rsid w:val="00020571"/>
    <w:rsid w:val="00021A50"/>
    <w:rsid w:val="00021FB6"/>
    <w:rsid w:val="00022B8C"/>
    <w:rsid w:val="00023409"/>
    <w:rsid w:val="000235FE"/>
    <w:rsid w:val="00023DDE"/>
    <w:rsid w:val="00024C9B"/>
    <w:rsid w:val="0002558A"/>
    <w:rsid w:val="00025733"/>
    <w:rsid w:val="000259A5"/>
    <w:rsid w:val="00027837"/>
    <w:rsid w:val="00027CE1"/>
    <w:rsid w:val="000303E2"/>
    <w:rsid w:val="00030F42"/>
    <w:rsid w:val="00031BDF"/>
    <w:rsid w:val="00031DE7"/>
    <w:rsid w:val="00031EE3"/>
    <w:rsid w:val="000324BA"/>
    <w:rsid w:val="0003265C"/>
    <w:rsid w:val="00032758"/>
    <w:rsid w:val="000336B5"/>
    <w:rsid w:val="00033CF6"/>
    <w:rsid w:val="00034E98"/>
    <w:rsid w:val="0003500F"/>
    <w:rsid w:val="000364FE"/>
    <w:rsid w:val="0003653B"/>
    <w:rsid w:val="0003716C"/>
    <w:rsid w:val="00037288"/>
    <w:rsid w:val="000378E0"/>
    <w:rsid w:val="0004038D"/>
    <w:rsid w:val="00042672"/>
    <w:rsid w:val="00042B11"/>
    <w:rsid w:val="00043774"/>
    <w:rsid w:val="00047898"/>
    <w:rsid w:val="0004792D"/>
    <w:rsid w:val="00047ACA"/>
    <w:rsid w:val="00050B47"/>
    <w:rsid w:val="00050D70"/>
    <w:rsid w:val="0005151C"/>
    <w:rsid w:val="00051D4C"/>
    <w:rsid w:val="00052007"/>
    <w:rsid w:val="000528FB"/>
    <w:rsid w:val="00053239"/>
    <w:rsid w:val="0005368A"/>
    <w:rsid w:val="00053722"/>
    <w:rsid w:val="00053C73"/>
    <w:rsid w:val="000548B2"/>
    <w:rsid w:val="00054E0A"/>
    <w:rsid w:val="000557A8"/>
    <w:rsid w:val="00055BD0"/>
    <w:rsid w:val="000607A0"/>
    <w:rsid w:val="00060F6E"/>
    <w:rsid w:val="00062312"/>
    <w:rsid w:val="00063019"/>
    <w:rsid w:val="00063876"/>
    <w:rsid w:val="0006447C"/>
    <w:rsid w:val="00064721"/>
    <w:rsid w:val="00064D42"/>
    <w:rsid w:val="00065CAB"/>
    <w:rsid w:val="00066953"/>
    <w:rsid w:val="0006696D"/>
    <w:rsid w:val="00066C04"/>
    <w:rsid w:val="000676F5"/>
    <w:rsid w:val="00067BD0"/>
    <w:rsid w:val="00070BDD"/>
    <w:rsid w:val="00070D0D"/>
    <w:rsid w:val="00072CD8"/>
    <w:rsid w:val="000734E5"/>
    <w:rsid w:val="00073555"/>
    <w:rsid w:val="000742D3"/>
    <w:rsid w:val="00074699"/>
    <w:rsid w:val="000748A7"/>
    <w:rsid w:val="00074B8D"/>
    <w:rsid w:val="0007636A"/>
    <w:rsid w:val="000775FA"/>
    <w:rsid w:val="00077A3B"/>
    <w:rsid w:val="00080806"/>
    <w:rsid w:val="000823EA"/>
    <w:rsid w:val="00084185"/>
    <w:rsid w:val="00085C8E"/>
    <w:rsid w:val="00085F85"/>
    <w:rsid w:val="00087EA1"/>
    <w:rsid w:val="000900CA"/>
    <w:rsid w:val="00091049"/>
    <w:rsid w:val="00091E20"/>
    <w:rsid w:val="00092297"/>
    <w:rsid w:val="00092D78"/>
    <w:rsid w:val="000936EC"/>
    <w:rsid w:val="00094142"/>
    <w:rsid w:val="00095407"/>
    <w:rsid w:val="00095940"/>
    <w:rsid w:val="00095A74"/>
    <w:rsid w:val="000A1666"/>
    <w:rsid w:val="000A1A90"/>
    <w:rsid w:val="000A1C88"/>
    <w:rsid w:val="000A1E12"/>
    <w:rsid w:val="000A3184"/>
    <w:rsid w:val="000A329A"/>
    <w:rsid w:val="000A3444"/>
    <w:rsid w:val="000A39E1"/>
    <w:rsid w:val="000A45EB"/>
    <w:rsid w:val="000A61EB"/>
    <w:rsid w:val="000A626A"/>
    <w:rsid w:val="000B0216"/>
    <w:rsid w:val="000B2233"/>
    <w:rsid w:val="000B2B11"/>
    <w:rsid w:val="000B4F9E"/>
    <w:rsid w:val="000B52F9"/>
    <w:rsid w:val="000B5E9E"/>
    <w:rsid w:val="000B66D9"/>
    <w:rsid w:val="000B733B"/>
    <w:rsid w:val="000B738F"/>
    <w:rsid w:val="000B7A92"/>
    <w:rsid w:val="000B7F63"/>
    <w:rsid w:val="000C0006"/>
    <w:rsid w:val="000C09C3"/>
    <w:rsid w:val="000C2028"/>
    <w:rsid w:val="000C4073"/>
    <w:rsid w:val="000C51E6"/>
    <w:rsid w:val="000C5B12"/>
    <w:rsid w:val="000C6A2F"/>
    <w:rsid w:val="000C770E"/>
    <w:rsid w:val="000D122A"/>
    <w:rsid w:val="000D1367"/>
    <w:rsid w:val="000D147E"/>
    <w:rsid w:val="000D1982"/>
    <w:rsid w:val="000D379A"/>
    <w:rsid w:val="000D4DEE"/>
    <w:rsid w:val="000D5E70"/>
    <w:rsid w:val="000D6C5A"/>
    <w:rsid w:val="000D6FB7"/>
    <w:rsid w:val="000E04B3"/>
    <w:rsid w:val="000E1694"/>
    <w:rsid w:val="000E22EE"/>
    <w:rsid w:val="000E27F8"/>
    <w:rsid w:val="000E4262"/>
    <w:rsid w:val="000E4DA6"/>
    <w:rsid w:val="000E5614"/>
    <w:rsid w:val="000E5684"/>
    <w:rsid w:val="000E620F"/>
    <w:rsid w:val="000F1524"/>
    <w:rsid w:val="000F1767"/>
    <w:rsid w:val="000F1FA5"/>
    <w:rsid w:val="000F2485"/>
    <w:rsid w:val="000F4536"/>
    <w:rsid w:val="000F5DA9"/>
    <w:rsid w:val="000F6C33"/>
    <w:rsid w:val="000F7EA1"/>
    <w:rsid w:val="001001D6"/>
    <w:rsid w:val="001009C8"/>
    <w:rsid w:val="00100ADD"/>
    <w:rsid w:val="0010185B"/>
    <w:rsid w:val="00101D24"/>
    <w:rsid w:val="00101FF8"/>
    <w:rsid w:val="001021C3"/>
    <w:rsid w:val="00103240"/>
    <w:rsid w:val="00103E38"/>
    <w:rsid w:val="00105607"/>
    <w:rsid w:val="001067B2"/>
    <w:rsid w:val="00106AB0"/>
    <w:rsid w:val="00107111"/>
    <w:rsid w:val="001071A6"/>
    <w:rsid w:val="00107E3A"/>
    <w:rsid w:val="0011206D"/>
    <w:rsid w:val="00113B57"/>
    <w:rsid w:val="00113D1E"/>
    <w:rsid w:val="001152CD"/>
    <w:rsid w:val="001169E3"/>
    <w:rsid w:val="00120D59"/>
    <w:rsid w:val="001228FF"/>
    <w:rsid w:val="00122CC6"/>
    <w:rsid w:val="001242F0"/>
    <w:rsid w:val="001259B7"/>
    <w:rsid w:val="00125AE7"/>
    <w:rsid w:val="00125CDF"/>
    <w:rsid w:val="00126152"/>
    <w:rsid w:val="001266B7"/>
    <w:rsid w:val="00126E45"/>
    <w:rsid w:val="00127D39"/>
    <w:rsid w:val="00127DED"/>
    <w:rsid w:val="0013075F"/>
    <w:rsid w:val="0013132C"/>
    <w:rsid w:val="00132447"/>
    <w:rsid w:val="00134D0E"/>
    <w:rsid w:val="001357D2"/>
    <w:rsid w:val="001358A0"/>
    <w:rsid w:val="00136DFD"/>
    <w:rsid w:val="00140F3E"/>
    <w:rsid w:val="00141504"/>
    <w:rsid w:val="00142A5C"/>
    <w:rsid w:val="0014513A"/>
    <w:rsid w:val="00145203"/>
    <w:rsid w:val="00146447"/>
    <w:rsid w:val="00147EE8"/>
    <w:rsid w:val="001518A8"/>
    <w:rsid w:val="00151946"/>
    <w:rsid w:val="001519F1"/>
    <w:rsid w:val="00155881"/>
    <w:rsid w:val="001559D8"/>
    <w:rsid w:val="00156089"/>
    <w:rsid w:val="0015717A"/>
    <w:rsid w:val="00157BCA"/>
    <w:rsid w:val="00160762"/>
    <w:rsid w:val="00161442"/>
    <w:rsid w:val="001617A8"/>
    <w:rsid w:val="001617DB"/>
    <w:rsid w:val="00162587"/>
    <w:rsid w:val="001627AC"/>
    <w:rsid w:val="0016287A"/>
    <w:rsid w:val="00162BB2"/>
    <w:rsid w:val="00163B55"/>
    <w:rsid w:val="00163CAF"/>
    <w:rsid w:val="00165326"/>
    <w:rsid w:val="00167B98"/>
    <w:rsid w:val="001706E7"/>
    <w:rsid w:val="00171358"/>
    <w:rsid w:val="001725F9"/>
    <w:rsid w:val="00175396"/>
    <w:rsid w:val="00176097"/>
    <w:rsid w:val="001761FE"/>
    <w:rsid w:val="00177B13"/>
    <w:rsid w:val="00177BA2"/>
    <w:rsid w:val="001800F1"/>
    <w:rsid w:val="00181786"/>
    <w:rsid w:val="00181A0C"/>
    <w:rsid w:val="00181FF2"/>
    <w:rsid w:val="00182599"/>
    <w:rsid w:val="0018322F"/>
    <w:rsid w:val="00183E4D"/>
    <w:rsid w:val="001841B6"/>
    <w:rsid w:val="001878AC"/>
    <w:rsid w:val="00187C10"/>
    <w:rsid w:val="00190B18"/>
    <w:rsid w:val="0019140D"/>
    <w:rsid w:val="00193E75"/>
    <w:rsid w:val="001972C9"/>
    <w:rsid w:val="00197C76"/>
    <w:rsid w:val="001A0A18"/>
    <w:rsid w:val="001A0CF7"/>
    <w:rsid w:val="001A13B1"/>
    <w:rsid w:val="001A3264"/>
    <w:rsid w:val="001A350F"/>
    <w:rsid w:val="001A3EAA"/>
    <w:rsid w:val="001A594E"/>
    <w:rsid w:val="001A6BC6"/>
    <w:rsid w:val="001A7946"/>
    <w:rsid w:val="001B0500"/>
    <w:rsid w:val="001B0838"/>
    <w:rsid w:val="001B0905"/>
    <w:rsid w:val="001B199A"/>
    <w:rsid w:val="001B1A30"/>
    <w:rsid w:val="001B1E3C"/>
    <w:rsid w:val="001B236B"/>
    <w:rsid w:val="001B349E"/>
    <w:rsid w:val="001B4427"/>
    <w:rsid w:val="001B521A"/>
    <w:rsid w:val="001B595D"/>
    <w:rsid w:val="001B5B2E"/>
    <w:rsid w:val="001B5DC5"/>
    <w:rsid w:val="001B7574"/>
    <w:rsid w:val="001C0F5C"/>
    <w:rsid w:val="001C1D75"/>
    <w:rsid w:val="001C2001"/>
    <w:rsid w:val="001C2E5A"/>
    <w:rsid w:val="001C344D"/>
    <w:rsid w:val="001C429B"/>
    <w:rsid w:val="001C4DDC"/>
    <w:rsid w:val="001C5B61"/>
    <w:rsid w:val="001D0E2F"/>
    <w:rsid w:val="001D18A0"/>
    <w:rsid w:val="001D43DB"/>
    <w:rsid w:val="001D4FB8"/>
    <w:rsid w:val="001D56F4"/>
    <w:rsid w:val="001D6429"/>
    <w:rsid w:val="001D64B5"/>
    <w:rsid w:val="001D6940"/>
    <w:rsid w:val="001D6EA7"/>
    <w:rsid w:val="001D70D7"/>
    <w:rsid w:val="001E0562"/>
    <w:rsid w:val="001E084A"/>
    <w:rsid w:val="001E22D8"/>
    <w:rsid w:val="001E334E"/>
    <w:rsid w:val="001E3608"/>
    <w:rsid w:val="001E3D93"/>
    <w:rsid w:val="001E4089"/>
    <w:rsid w:val="001E45F7"/>
    <w:rsid w:val="001E49EF"/>
    <w:rsid w:val="001E6590"/>
    <w:rsid w:val="001E7E0A"/>
    <w:rsid w:val="001F0114"/>
    <w:rsid w:val="001F3024"/>
    <w:rsid w:val="001F61A2"/>
    <w:rsid w:val="001F64C9"/>
    <w:rsid w:val="001F6ED2"/>
    <w:rsid w:val="002012C6"/>
    <w:rsid w:val="0020149F"/>
    <w:rsid w:val="002019F1"/>
    <w:rsid w:val="002026FC"/>
    <w:rsid w:val="00202A51"/>
    <w:rsid w:val="00202E94"/>
    <w:rsid w:val="002032E6"/>
    <w:rsid w:val="00203A85"/>
    <w:rsid w:val="0020412B"/>
    <w:rsid w:val="002057D5"/>
    <w:rsid w:val="002058B6"/>
    <w:rsid w:val="002067DB"/>
    <w:rsid w:val="00206A41"/>
    <w:rsid w:val="00206AA8"/>
    <w:rsid w:val="00206C49"/>
    <w:rsid w:val="00207509"/>
    <w:rsid w:val="00207DF2"/>
    <w:rsid w:val="00207E5A"/>
    <w:rsid w:val="002107E5"/>
    <w:rsid w:val="00210D67"/>
    <w:rsid w:val="00211185"/>
    <w:rsid w:val="00211450"/>
    <w:rsid w:val="00212C13"/>
    <w:rsid w:val="002137AF"/>
    <w:rsid w:val="00215608"/>
    <w:rsid w:val="002158CC"/>
    <w:rsid w:val="00215C33"/>
    <w:rsid w:val="00216161"/>
    <w:rsid w:val="00216267"/>
    <w:rsid w:val="00216E22"/>
    <w:rsid w:val="00220CA4"/>
    <w:rsid w:val="002213EF"/>
    <w:rsid w:val="00222118"/>
    <w:rsid w:val="002228B4"/>
    <w:rsid w:val="00222E75"/>
    <w:rsid w:val="0022382D"/>
    <w:rsid w:val="00224477"/>
    <w:rsid w:val="002249EF"/>
    <w:rsid w:val="0022579C"/>
    <w:rsid w:val="002258AD"/>
    <w:rsid w:val="00227363"/>
    <w:rsid w:val="00230D8F"/>
    <w:rsid w:val="00232E63"/>
    <w:rsid w:val="00233419"/>
    <w:rsid w:val="00235260"/>
    <w:rsid w:val="00236D0B"/>
    <w:rsid w:val="00237843"/>
    <w:rsid w:val="0024104D"/>
    <w:rsid w:val="00241A40"/>
    <w:rsid w:val="002478C1"/>
    <w:rsid w:val="00250D8F"/>
    <w:rsid w:val="002520BA"/>
    <w:rsid w:val="00252977"/>
    <w:rsid w:val="00253102"/>
    <w:rsid w:val="002534E7"/>
    <w:rsid w:val="00255869"/>
    <w:rsid w:val="002561E9"/>
    <w:rsid w:val="00257570"/>
    <w:rsid w:val="00260C3A"/>
    <w:rsid w:val="0026209A"/>
    <w:rsid w:val="002625B6"/>
    <w:rsid w:val="00262C31"/>
    <w:rsid w:val="00267037"/>
    <w:rsid w:val="00267EBA"/>
    <w:rsid w:val="00272449"/>
    <w:rsid w:val="00272557"/>
    <w:rsid w:val="0027304D"/>
    <w:rsid w:val="00273867"/>
    <w:rsid w:val="00274809"/>
    <w:rsid w:val="0027506F"/>
    <w:rsid w:val="00275500"/>
    <w:rsid w:val="0027648B"/>
    <w:rsid w:val="00276B60"/>
    <w:rsid w:val="00277901"/>
    <w:rsid w:val="00280A43"/>
    <w:rsid w:val="00281157"/>
    <w:rsid w:val="00281345"/>
    <w:rsid w:val="00281441"/>
    <w:rsid w:val="002815FF"/>
    <w:rsid w:val="0028173A"/>
    <w:rsid w:val="002825B1"/>
    <w:rsid w:val="00284A16"/>
    <w:rsid w:val="0028696E"/>
    <w:rsid w:val="002918CB"/>
    <w:rsid w:val="00292EFC"/>
    <w:rsid w:val="00293D33"/>
    <w:rsid w:val="00294050"/>
    <w:rsid w:val="00295703"/>
    <w:rsid w:val="00295F4D"/>
    <w:rsid w:val="00296357"/>
    <w:rsid w:val="00297CC7"/>
    <w:rsid w:val="002A0E29"/>
    <w:rsid w:val="002A1200"/>
    <w:rsid w:val="002A1807"/>
    <w:rsid w:val="002A1EBD"/>
    <w:rsid w:val="002A25CF"/>
    <w:rsid w:val="002A4390"/>
    <w:rsid w:val="002A522F"/>
    <w:rsid w:val="002A680C"/>
    <w:rsid w:val="002A6A55"/>
    <w:rsid w:val="002A7CFE"/>
    <w:rsid w:val="002B0576"/>
    <w:rsid w:val="002B0681"/>
    <w:rsid w:val="002B2491"/>
    <w:rsid w:val="002B2E71"/>
    <w:rsid w:val="002B37A7"/>
    <w:rsid w:val="002B3C9A"/>
    <w:rsid w:val="002B4EEE"/>
    <w:rsid w:val="002B5C9E"/>
    <w:rsid w:val="002B6CB6"/>
    <w:rsid w:val="002B6EFB"/>
    <w:rsid w:val="002B6FAA"/>
    <w:rsid w:val="002C1511"/>
    <w:rsid w:val="002C2305"/>
    <w:rsid w:val="002C25B9"/>
    <w:rsid w:val="002C5840"/>
    <w:rsid w:val="002C5A2A"/>
    <w:rsid w:val="002C5BEB"/>
    <w:rsid w:val="002C67C8"/>
    <w:rsid w:val="002C7231"/>
    <w:rsid w:val="002D1D0C"/>
    <w:rsid w:val="002D3C49"/>
    <w:rsid w:val="002D6420"/>
    <w:rsid w:val="002D747F"/>
    <w:rsid w:val="002E15D6"/>
    <w:rsid w:val="002E20B6"/>
    <w:rsid w:val="002E33A8"/>
    <w:rsid w:val="002E3E30"/>
    <w:rsid w:val="002E4FB5"/>
    <w:rsid w:val="002E4FF3"/>
    <w:rsid w:val="002E5B46"/>
    <w:rsid w:val="002E5D92"/>
    <w:rsid w:val="002E6093"/>
    <w:rsid w:val="002E717C"/>
    <w:rsid w:val="002E7423"/>
    <w:rsid w:val="002E78F3"/>
    <w:rsid w:val="002E7B45"/>
    <w:rsid w:val="002E7F46"/>
    <w:rsid w:val="002F11C5"/>
    <w:rsid w:val="002F15B0"/>
    <w:rsid w:val="002F1778"/>
    <w:rsid w:val="002F17FA"/>
    <w:rsid w:val="002F23ED"/>
    <w:rsid w:val="002F28F7"/>
    <w:rsid w:val="002F324B"/>
    <w:rsid w:val="002F5E6F"/>
    <w:rsid w:val="002F6DB1"/>
    <w:rsid w:val="002F7C8A"/>
    <w:rsid w:val="00304EB5"/>
    <w:rsid w:val="00306BB3"/>
    <w:rsid w:val="00306C26"/>
    <w:rsid w:val="00306E50"/>
    <w:rsid w:val="00307BB1"/>
    <w:rsid w:val="0031016A"/>
    <w:rsid w:val="0031075B"/>
    <w:rsid w:val="00311381"/>
    <w:rsid w:val="00313A09"/>
    <w:rsid w:val="00314578"/>
    <w:rsid w:val="00314726"/>
    <w:rsid w:val="0031579E"/>
    <w:rsid w:val="00316618"/>
    <w:rsid w:val="0031718C"/>
    <w:rsid w:val="00321100"/>
    <w:rsid w:val="003215F5"/>
    <w:rsid w:val="00321844"/>
    <w:rsid w:val="00321BE8"/>
    <w:rsid w:val="003241B0"/>
    <w:rsid w:val="003259DA"/>
    <w:rsid w:val="00325AC4"/>
    <w:rsid w:val="00331C84"/>
    <w:rsid w:val="0033207F"/>
    <w:rsid w:val="00332F7C"/>
    <w:rsid w:val="00340728"/>
    <w:rsid w:val="00342733"/>
    <w:rsid w:val="00342F43"/>
    <w:rsid w:val="0034376F"/>
    <w:rsid w:val="00344664"/>
    <w:rsid w:val="003446BB"/>
    <w:rsid w:val="003467A3"/>
    <w:rsid w:val="00347484"/>
    <w:rsid w:val="003505B8"/>
    <w:rsid w:val="00351885"/>
    <w:rsid w:val="00352205"/>
    <w:rsid w:val="00352B1B"/>
    <w:rsid w:val="00352B28"/>
    <w:rsid w:val="00353583"/>
    <w:rsid w:val="003547D3"/>
    <w:rsid w:val="00354A68"/>
    <w:rsid w:val="00355792"/>
    <w:rsid w:val="003559C6"/>
    <w:rsid w:val="00355BFD"/>
    <w:rsid w:val="0035624D"/>
    <w:rsid w:val="003564D4"/>
    <w:rsid w:val="00357CEE"/>
    <w:rsid w:val="0036024D"/>
    <w:rsid w:val="0036103B"/>
    <w:rsid w:val="00362F25"/>
    <w:rsid w:val="003632E0"/>
    <w:rsid w:val="00364999"/>
    <w:rsid w:val="00366CF5"/>
    <w:rsid w:val="00370183"/>
    <w:rsid w:val="00371B56"/>
    <w:rsid w:val="00371DEB"/>
    <w:rsid w:val="0037305F"/>
    <w:rsid w:val="00374201"/>
    <w:rsid w:val="0037457D"/>
    <w:rsid w:val="0037542B"/>
    <w:rsid w:val="00375A3D"/>
    <w:rsid w:val="003777FB"/>
    <w:rsid w:val="00381FBD"/>
    <w:rsid w:val="003822A6"/>
    <w:rsid w:val="00383A00"/>
    <w:rsid w:val="00384893"/>
    <w:rsid w:val="003848BB"/>
    <w:rsid w:val="00384ED6"/>
    <w:rsid w:val="003860B8"/>
    <w:rsid w:val="00386855"/>
    <w:rsid w:val="0039084B"/>
    <w:rsid w:val="0039264D"/>
    <w:rsid w:val="0039311B"/>
    <w:rsid w:val="00396E67"/>
    <w:rsid w:val="00397AD8"/>
    <w:rsid w:val="00397F81"/>
    <w:rsid w:val="003A08E6"/>
    <w:rsid w:val="003A0F95"/>
    <w:rsid w:val="003A1DB8"/>
    <w:rsid w:val="003A4D4C"/>
    <w:rsid w:val="003A526D"/>
    <w:rsid w:val="003A544A"/>
    <w:rsid w:val="003A62DD"/>
    <w:rsid w:val="003B199D"/>
    <w:rsid w:val="003B2571"/>
    <w:rsid w:val="003B257B"/>
    <w:rsid w:val="003B29D2"/>
    <w:rsid w:val="003B2D2E"/>
    <w:rsid w:val="003B40BE"/>
    <w:rsid w:val="003B41B3"/>
    <w:rsid w:val="003B4AFF"/>
    <w:rsid w:val="003B7B51"/>
    <w:rsid w:val="003C0CCD"/>
    <w:rsid w:val="003C110A"/>
    <w:rsid w:val="003C1131"/>
    <w:rsid w:val="003C272B"/>
    <w:rsid w:val="003C3365"/>
    <w:rsid w:val="003C3CE0"/>
    <w:rsid w:val="003C43C6"/>
    <w:rsid w:val="003C475A"/>
    <w:rsid w:val="003C4EAF"/>
    <w:rsid w:val="003C7B0A"/>
    <w:rsid w:val="003D0478"/>
    <w:rsid w:val="003D0824"/>
    <w:rsid w:val="003D0A36"/>
    <w:rsid w:val="003D0D5A"/>
    <w:rsid w:val="003D1224"/>
    <w:rsid w:val="003D12F7"/>
    <w:rsid w:val="003D3BC1"/>
    <w:rsid w:val="003D4A2C"/>
    <w:rsid w:val="003D5740"/>
    <w:rsid w:val="003D59C6"/>
    <w:rsid w:val="003D6225"/>
    <w:rsid w:val="003D6FE2"/>
    <w:rsid w:val="003D74A8"/>
    <w:rsid w:val="003D7E65"/>
    <w:rsid w:val="003E0418"/>
    <w:rsid w:val="003E19DE"/>
    <w:rsid w:val="003E2196"/>
    <w:rsid w:val="003E31D3"/>
    <w:rsid w:val="003E324E"/>
    <w:rsid w:val="003E3B55"/>
    <w:rsid w:val="003E4509"/>
    <w:rsid w:val="003E46F5"/>
    <w:rsid w:val="003E55CA"/>
    <w:rsid w:val="003E6FDE"/>
    <w:rsid w:val="003E781D"/>
    <w:rsid w:val="003F2020"/>
    <w:rsid w:val="003F326E"/>
    <w:rsid w:val="003F513D"/>
    <w:rsid w:val="003F5ECB"/>
    <w:rsid w:val="003F5F83"/>
    <w:rsid w:val="003F662B"/>
    <w:rsid w:val="00402752"/>
    <w:rsid w:val="004037C7"/>
    <w:rsid w:val="00404F56"/>
    <w:rsid w:val="00405405"/>
    <w:rsid w:val="00405752"/>
    <w:rsid w:val="004059F6"/>
    <w:rsid w:val="00405FD1"/>
    <w:rsid w:val="004060EC"/>
    <w:rsid w:val="00406A8B"/>
    <w:rsid w:val="00407067"/>
    <w:rsid w:val="0041037B"/>
    <w:rsid w:val="004106FF"/>
    <w:rsid w:val="00412A92"/>
    <w:rsid w:val="00413E4F"/>
    <w:rsid w:val="004148CE"/>
    <w:rsid w:val="0041625C"/>
    <w:rsid w:val="004202D2"/>
    <w:rsid w:val="00421721"/>
    <w:rsid w:val="0042437C"/>
    <w:rsid w:val="004243E5"/>
    <w:rsid w:val="00427060"/>
    <w:rsid w:val="004300B9"/>
    <w:rsid w:val="00430553"/>
    <w:rsid w:val="0043078A"/>
    <w:rsid w:val="00430DE5"/>
    <w:rsid w:val="00432B45"/>
    <w:rsid w:val="00432F8E"/>
    <w:rsid w:val="0043462E"/>
    <w:rsid w:val="0043475E"/>
    <w:rsid w:val="00435A61"/>
    <w:rsid w:val="004363C9"/>
    <w:rsid w:val="00436648"/>
    <w:rsid w:val="00436ED1"/>
    <w:rsid w:val="00437B2F"/>
    <w:rsid w:val="00437B78"/>
    <w:rsid w:val="0044047C"/>
    <w:rsid w:val="00440AF6"/>
    <w:rsid w:val="004416D3"/>
    <w:rsid w:val="00443F17"/>
    <w:rsid w:val="00444791"/>
    <w:rsid w:val="004449B1"/>
    <w:rsid w:val="00445941"/>
    <w:rsid w:val="004463F8"/>
    <w:rsid w:val="00446414"/>
    <w:rsid w:val="00450660"/>
    <w:rsid w:val="0045155C"/>
    <w:rsid w:val="0045179B"/>
    <w:rsid w:val="004526CD"/>
    <w:rsid w:val="004528C8"/>
    <w:rsid w:val="00453824"/>
    <w:rsid w:val="00455270"/>
    <w:rsid w:val="00455375"/>
    <w:rsid w:val="00456816"/>
    <w:rsid w:val="00456C68"/>
    <w:rsid w:val="00457BA1"/>
    <w:rsid w:val="00457C88"/>
    <w:rsid w:val="00460214"/>
    <w:rsid w:val="00460787"/>
    <w:rsid w:val="00460808"/>
    <w:rsid w:val="0046189C"/>
    <w:rsid w:val="00461FE5"/>
    <w:rsid w:val="004642B2"/>
    <w:rsid w:val="004645F0"/>
    <w:rsid w:val="004649E9"/>
    <w:rsid w:val="00465BA1"/>
    <w:rsid w:val="00465E1E"/>
    <w:rsid w:val="00470ED6"/>
    <w:rsid w:val="00471C5E"/>
    <w:rsid w:val="004722CE"/>
    <w:rsid w:val="00472501"/>
    <w:rsid w:val="004726E8"/>
    <w:rsid w:val="00474DA4"/>
    <w:rsid w:val="00476469"/>
    <w:rsid w:val="00477417"/>
    <w:rsid w:val="00477C34"/>
    <w:rsid w:val="004806CA"/>
    <w:rsid w:val="004809D4"/>
    <w:rsid w:val="00481009"/>
    <w:rsid w:val="00482474"/>
    <w:rsid w:val="00482C86"/>
    <w:rsid w:val="0048330E"/>
    <w:rsid w:val="0048363B"/>
    <w:rsid w:val="004840F6"/>
    <w:rsid w:val="004855F7"/>
    <w:rsid w:val="004869C4"/>
    <w:rsid w:val="00487A55"/>
    <w:rsid w:val="00490FE6"/>
    <w:rsid w:val="00491665"/>
    <w:rsid w:val="004923EE"/>
    <w:rsid w:val="004937DE"/>
    <w:rsid w:val="0049468E"/>
    <w:rsid w:val="00497BC1"/>
    <w:rsid w:val="004A0138"/>
    <w:rsid w:val="004A0DE5"/>
    <w:rsid w:val="004A1865"/>
    <w:rsid w:val="004A1C1D"/>
    <w:rsid w:val="004A375F"/>
    <w:rsid w:val="004A387E"/>
    <w:rsid w:val="004A3DB7"/>
    <w:rsid w:val="004A6141"/>
    <w:rsid w:val="004A7206"/>
    <w:rsid w:val="004B01CE"/>
    <w:rsid w:val="004B4589"/>
    <w:rsid w:val="004B5BC6"/>
    <w:rsid w:val="004B5F73"/>
    <w:rsid w:val="004B6535"/>
    <w:rsid w:val="004B67B2"/>
    <w:rsid w:val="004C05E4"/>
    <w:rsid w:val="004C0DF0"/>
    <w:rsid w:val="004C15DC"/>
    <w:rsid w:val="004C194C"/>
    <w:rsid w:val="004C37EE"/>
    <w:rsid w:val="004C459C"/>
    <w:rsid w:val="004C5B8B"/>
    <w:rsid w:val="004C6A1B"/>
    <w:rsid w:val="004D167E"/>
    <w:rsid w:val="004D254A"/>
    <w:rsid w:val="004D2C14"/>
    <w:rsid w:val="004D3509"/>
    <w:rsid w:val="004D36DA"/>
    <w:rsid w:val="004D402F"/>
    <w:rsid w:val="004D7183"/>
    <w:rsid w:val="004D7BB3"/>
    <w:rsid w:val="004E0656"/>
    <w:rsid w:val="004E0C7B"/>
    <w:rsid w:val="004E21A6"/>
    <w:rsid w:val="004E2DCC"/>
    <w:rsid w:val="004E3594"/>
    <w:rsid w:val="004E4071"/>
    <w:rsid w:val="004E5B47"/>
    <w:rsid w:val="004E634C"/>
    <w:rsid w:val="004E6358"/>
    <w:rsid w:val="004E6B9A"/>
    <w:rsid w:val="004F0489"/>
    <w:rsid w:val="004F0891"/>
    <w:rsid w:val="004F2BEC"/>
    <w:rsid w:val="004F2F7D"/>
    <w:rsid w:val="004F39FD"/>
    <w:rsid w:val="004F418D"/>
    <w:rsid w:val="004F4883"/>
    <w:rsid w:val="004F488A"/>
    <w:rsid w:val="004F4D0D"/>
    <w:rsid w:val="004F51E5"/>
    <w:rsid w:val="004F5E2B"/>
    <w:rsid w:val="004F6324"/>
    <w:rsid w:val="004F740C"/>
    <w:rsid w:val="004F773D"/>
    <w:rsid w:val="004F7914"/>
    <w:rsid w:val="004F7A24"/>
    <w:rsid w:val="0050080D"/>
    <w:rsid w:val="005014F5"/>
    <w:rsid w:val="005036B0"/>
    <w:rsid w:val="00503C00"/>
    <w:rsid w:val="00504BB2"/>
    <w:rsid w:val="005075AA"/>
    <w:rsid w:val="00507801"/>
    <w:rsid w:val="00511291"/>
    <w:rsid w:val="0051152B"/>
    <w:rsid w:val="00511D8D"/>
    <w:rsid w:val="00512490"/>
    <w:rsid w:val="00512677"/>
    <w:rsid w:val="0051404C"/>
    <w:rsid w:val="0051482F"/>
    <w:rsid w:val="00517201"/>
    <w:rsid w:val="00517233"/>
    <w:rsid w:val="0052175B"/>
    <w:rsid w:val="00525296"/>
    <w:rsid w:val="0052676F"/>
    <w:rsid w:val="005268C4"/>
    <w:rsid w:val="0052717E"/>
    <w:rsid w:val="00530FD9"/>
    <w:rsid w:val="00531760"/>
    <w:rsid w:val="00533ADD"/>
    <w:rsid w:val="00534313"/>
    <w:rsid w:val="00535092"/>
    <w:rsid w:val="00535528"/>
    <w:rsid w:val="00536C0E"/>
    <w:rsid w:val="00540953"/>
    <w:rsid w:val="00540E17"/>
    <w:rsid w:val="005419AC"/>
    <w:rsid w:val="00541D13"/>
    <w:rsid w:val="00543D1A"/>
    <w:rsid w:val="00544085"/>
    <w:rsid w:val="00544309"/>
    <w:rsid w:val="005448D8"/>
    <w:rsid w:val="005448E3"/>
    <w:rsid w:val="00544925"/>
    <w:rsid w:val="00544985"/>
    <w:rsid w:val="005449E8"/>
    <w:rsid w:val="005459E9"/>
    <w:rsid w:val="005460E8"/>
    <w:rsid w:val="0055034F"/>
    <w:rsid w:val="0055037A"/>
    <w:rsid w:val="00552D0D"/>
    <w:rsid w:val="005535B0"/>
    <w:rsid w:val="005535E1"/>
    <w:rsid w:val="0055399B"/>
    <w:rsid w:val="00554072"/>
    <w:rsid w:val="005541B1"/>
    <w:rsid w:val="00555001"/>
    <w:rsid w:val="0055551A"/>
    <w:rsid w:val="00555634"/>
    <w:rsid w:val="00556D4D"/>
    <w:rsid w:val="00556DB5"/>
    <w:rsid w:val="00556E1F"/>
    <w:rsid w:val="00556ECB"/>
    <w:rsid w:val="00557019"/>
    <w:rsid w:val="005602CB"/>
    <w:rsid w:val="005612ED"/>
    <w:rsid w:val="005622F4"/>
    <w:rsid w:val="00562372"/>
    <w:rsid w:val="00562854"/>
    <w:rsid w:val="00563A5A"/>
    <w:rsid w:val="005656D9"/>
    <w:rsid w:val="00567C40"/>
    <w:rsid w:val="005703FD"/>
    <w:rsid w:val="00570E40"/>
    <w:rsid w:val="00572F21"/>
    <w:rsid w:val="00573BD1"/>
    <w:rsid w:val="00574313"/>
    <w:rsid w:val="00574A75"/>
    <w:rsid w:val="00575931"/>
    <w:rsid w:val="00575DCC"/>
    <w:rsid w:val="00576AEA"/>
    <w:rsid w:val="00576C39"/>
    <w:rsid w:val="00577207"/>
    <w:rsid w:val="00580A12"/>
    <w:rsid w:val="00580F06"/>
    <w:rsid w:val="00581E75"/>
    <w:rsid w:val="00581FE8"/>
    <w:rsid w:val="00583155"/>
    <w:rsid w:val="00584C9A"/>
    <w:rsid w:val="00585042"/>
    <w:rsid w:val="00585700"/>
    <w:rsid w:val="005862CC"/>
    <w:rsid w:val="00590313"/>
    <w:rsid w:val="0059097F"/>
    <w:rsid w:val="00592546"/>
    <w:rsid w:val="0059394E"/>
    <w:rsid w:val="0059455D"/>
    <w:rsid w:val="00594ECB"/>
    <w:rsid w:val="00596AB1"/>
    <w:rsid w:val="00596ABD"/>
    <w:rsid w:val="00596EB0"/>
    <w:rsid w:val="005A0620"/>
    <w:rsid w:val="005A0DBB"/>
    <w:rsid w:val="005A13BC"/>
    <w:rsid w:val="005A1AED"/>
    <w:rsid w:val="005A3A41"/>
    <w:rsid w:val="005A3DC2"/>
    <w:rsid w:val="005A4355"/>
    <w:rsid w:val="005A4ED9"/>
    <w:rsid w:val="005B1C63"/>
    <w:rsid w:val="005B2063"/>
    <w:rsid w:val="005B3BE3"/>
    <w:rsid w:val="005B5868"/>
    <w:rsid w:val="005B64DD"/>
    <w:rsid w:val="005B6E8E"/>
    <w:rsid w:val="005B7758"/>
    <w:rsid w:val="005C022F"/>
    <w:rsid w:val="005C1E3D"/>
    <w:rsid w:val="005C2759"/>
    <w:rsid w:val="005C39ED"/>
    <w:rsid w:val="005C55F4"/>
    <w:rsid w:val="005C60A7"/>
    <w:rsid w:val="005C725F"/>
    <w:rsid w:val="005C7A86"/>
    <w:rsid w:val="005D0685"/>
    <w:rsid w:val="005D0CF0"/>
    <w:rsid w:val="005D1B30"/>
    <w:rsid w:val="005D3909"/>
    <w:rsid w:val="005D398C"/>
    <w:rsid w:val="005D3A10"/>
    <w:rsid w:val="005D3D51"/>
    <w:rsid w:val="005D3E52"/>
    <w:rsid w:val="005D7D7F"/>
    <w:rsid w:val="005E067B"/>
    <w:rsid w:val="005E1A1F"/>
    <w:rsid w:val="005E1D28"/>
    <w:rsid w:val="005E235B"/>
    <w:rsid w:val="005E23A7"/>
    <w:rsid w:val="005E29AC"/>
    <w:rsid w:val="005E31BC"/>
    <w:rsid w:val="005E351B"/>
    <w:rsid w:val="005E3C79"/>
    <w:rsid w:val="005E492D"/>
    <w:rsid w:val="005E4DE4"/>
    <w:rsid w:val="005E500D"/>
    <w:rsid w:val="005E646D"/>
    <w:rsid w:val="005E6F6B"/>
    <w:rsid w:val="005E7A3D"/>
    <w:rsid w:val="005F02A6"/>
    <w:rsid w:val="005F0F1B"/>
    <w:rsid w:val="005F1513"/>
    <w:rsid w:val="005F1530"/>
    <w:rsid w:val="005F1633"/>
    <w:rsid w:val="005F24A8"/>
    <w:rsid w:val="005F4153"/>
    <w:rsid w:val="005F588B"/>
    <w:rsid w:val="005F68F5"/>
    <w:rsid w:val="005F7AB0"/>
    <w:rsid w:val="006019BD"/>
    <w:rsid w:val="00601E8F"/>
    <w:rsid w:val="006023A7"/>
    <w:rsid w:val="006043A4"/>
    <w:rsid w:val="0060477D"/>
    <w:rsid w:val="00604B8D"/>
    <w:rsid w:val="00605450"/>
    <w:rsid w:val="0060563A"/>
    <w:rsid w:val="006069B0"/>
    <w:rsid w:val="006078AA"/>
    <w:rsid w:val="006078E7"/>
    <w:rsid w:val="0061034F"/>
    <w:rsid w:val="006113D9"/>
    <w:rsid w:val="00611D58"/>
    <w:rsid w:val="006132C7"/>
    <w:rsid w:val="00613EE2"/>
    <w:rsid w:val="00616420"/>
    <w:rsid w:val="00616927"/>
    <w:rsid w:val="00616A30"/>
    <w:rsid w:val="0062094C"/>
    <w:rsid w:val="00621230"/>
    <w:rsid w:val="006224BD"/>
    <w:rsid w:val="0062308A"/>
    <w:rsid w:val="006249DF"/>
    <w:rsid w:val="0062547B"/>
    <w:rsid w:val="0062689C"/>
    <w:rsid w:val="006268A8"/>
    <w:rsid w:val="00627CAA"/>
    <w:rsid w:val="00630174"/>
    <w:rsid w:val="00630895"/>
    <w:rsid w:val="00630AD3"/>
    <w:rsid w:val="00631CAF"/>
    <w:rsid w:val="00632420"/>
    <w:rsid w:val="006324EC"/>
    <w:rsid w:val="00632D97"/>
    <w:rsid w:val="0063355D"/>
    <w:rsid w:val="00634169"/>
    <w:rsid w:val="00634963"/>
    <w:rsid w:val="00636A19"/>
    <w:rsid w:val="0063719D"/>
    <w:rsid w:val="006373B2"/>
    <w:rsid w:val="006375FF"/>
    <w:rsid w:val="00637C1C"/>
    <w:rsid w:val="006410B1"/>
    <w:rsid w:val="0064176A"/>
    <w:rsid w:val="00643002"/>
    <w:rsid w:val="00644057"/>
    <w:rsid w:val="00644871"/>
    <w:rsid w:val="00645243"/>
    <w:rsid w:val="00647324"/>
    <w:rsid w:val="006515BB"/>
    <w:rsid w:val="00652349"/>
    <w:rsid w:val="00653055"/>
    <w:rsid w:val="00653D23"/>
    <w:rsid w:val="006547E0"/>
    <w:rsid w:val="00655B55"/>
    <w:rsid w:val="00655C4F"/>
    <w:rsid w:val="00660911"/>
    <w:rsid w:val="006615D2"/>
    <w:rsid w:val="006615E3"/>
    <w:rsid w:val="00661740"/>
    <w:rsid w:val="00662DA6"/>
    <w:rsid w:val="00663727"/>
    <w:rsid w:val="00664C43"/>
    <w:rsid w:val="00664F41"/>
    <w:rsid w:val="00665832"/>
    <w:rsid w:val="00666116"/>
    <w:rsid w:val="00666AF6"/>
    <w:rsid w:val="0067029C"/>
    <w:rsid w:val="006710D6"/>
    <w:rsid w:val="00672703"/>
    <w:rsid w:val="00673CD9"/>
    <w:rsid w:val="00675566"/>
    <w:rsid w:val="006758A6"/>
    <w:rsid w:val="00675B87"/>
    <w:rsid w:val="00676B36"/>
    <w:rsid w:val="00677A0F"/>
    <w:rsid w:val="0068020F"/>
    <w:rsid w:val="00680721"/>
    <w:rsid w:val="00680B5D"/>
    <w:rsid w:val="0068277E"/>
    <w:rsid w:val="00683650"/>
    <w:rsid w:val="00683834"/>
    <w:rsid w:val="00683FEF"/>
    <w:rsid w:val="006848F8"/>
    <w:rsid w:val="00684CEA"/>
    <w:rsid w:val="00685841"/>
    <w:rsid w:val="006869F9"/>
    <w:rsid w:val="0068732E"/>
    <w:rsid w:val="00687C0D"/>
    <w:rsid w:val="00690630"/>
    <w:rsid w:val="00690990"/>
    <w:rsid w:val="0069131B"/>
    <w:rsid w:val="00691450"/>
    <w:rsid w:val="00691549"/>
    <w:rsid w:val="00691BBB"/>
    <w:rsid w:val="00691BFD"/>
    <w:rsid w:val="00692650"/>
    <w:rsid w:val="00693821"/>
    <w:rsid w:val="00693C36"/>
    <w:rsid w:val="00693C5A"/>
    <w:rsid w:val="0069447C"/>
    <w:rsid w:val="006947DC"/>
    <w:rsid w:val="00696F7F"/>
    <w:rsid w:val="006A03B5"/>
    <w:rsid w:val="006A0AB8"/>
    <w:rsid w:val="006A1D9A"/>
    <w:rsid w:val="006A2F39"/>
    <w:rsid w:val="006A31A4"/>
    <w:rsid w:val="006A34BD"/>
    <w:rsid w:val="006A450D"/>
    <w:rsid w:val="006A4BE8"/>
    <w:rsid w:val="006A5875"/>
    <w:rsid w:val="006A59D0"/>
    <w:rsid w:val="006A5FE9"/>
    <w:rsid w:val="006A699C"/>
    <w:rsid w:val="006A72C3"/>
    <w:rsid w:val="006A7911"/>
    <w:rsid w:val="006B0489"/>
    <w:rsid w:val="006B0C5D"/>
    <w:rsid w:val="006B0DB5"/>
    <w:rsid w:val="006B1A1E"/>
    <w:rsid w:val="006B1AB6"/>
    <w:rsid w:val="006B203A"/>
    <w:rsid w:val="006B2545"/>
    <w:rsid w:val="006B350D"/>
    <w:rsid w:val="006B3C7D"/>
    <w:rsid w:val="006B3D15"/>
    <w:rsid w:val="006B4281"/>
    <w:rsid w:val="006B4833"/>
    <w:rsid w:val="006B4C35"/>
    <w:rsid w:val="006B5547"/>
    <w:rsid w:val="006B7026"/>
    <w:rsid w:val="006C19F3"/>
    <w:rsid w:val="006C1EE0"/>
    <w:rsid w:val="006C21D0"/>
    <w:rsid w:val="006C29B2"/>
    <w:rsid w:val="006C3BAF"/>
    <w:rsid w:val="006C484D"/>
    <w:rsid w:val="006C526F"/>
    <w:rsid w:val="006C53F4"/>
    <w:rsid w:val="006C57A8"/>
    <w:rsid w:val="006C58FD"/>
    <w:rsid w:val="006C7640"/>
    <w:rsid w:val="006D08C6"/>
    <w:rsid w:val="006D1414"/>
    <w:rsid w:val="006D4CF0"/>
    <w:rsid w:val="006D7939"/>
    <w:rsid w:val="006D7AC7"/>
    <w:rsid w:val="006E01E0"/>
    <w:rsid w:val="006E2798"/>
    <w:rsid w:val="006E370F"/>
    <w:rsid w:val="006E45F0"/>
    <w:rsid w:val="006E4A07"/>
    <w:rsid w:val="006E4A4C"/>
    <w:rsid w:val="006E6112"/>
    <w:rsid w:val="006E6317"/>
    <w:rsid w:val="006E67C6"/>
    <w:rsid w:val="006E6DA3"/>
    <w:rsid w:val="006F145F"/>
    <w:rsid w:val="006F146F"/>
    <w:rsid w:val="006F306A"/>
    <w:rsid w:val="006F4E86"/>
    <w:rsid w:val="006F6584"/>
    <w:rsid w:val="007000AE"/>
    <w:rsid w:val="00700D23"/>
    <w:rsid w:val="00701DF4"/>
    <w:rsid w:val="00702A3D"/>
    <w:rsid w:val="0070596E"/>
    <w:rsid w:val="0070689D"/>
    <w:rsid w:val="00707462"/>
    <w:rsid w:val="00707EFC"/>
    <w:rsid w:val="00707F4F"/>
    <w:rsid w:val="007105C0"/>
    <w:rsid w:val="00710B85"/>
    <w:rsid w:val="007114E2"/>
    <w:rsid w:val="00712EC3"/>
    <w:rsid w:val="007159EE"/>
    <w:rsid w:val="00717489"/>
    <w:rsid w:val="00717B25"/>
    <w:rsid w:val="00720629"/>
    <w:rsid w:val="00720F4E"/>
    <w:rsid w:val="00720F86"/>
    <w:rsid w:val="007212A2"/>
    <w:rsid w:val="00721BF4"/>
    <w:rsid w:val="007223E6"/>
    <w:rsid w:val="0072495B"/>
    <w:rsid w:val="00725684"/>
    <w:rsid w:val="00727861"/>
    <w:rsid w:val="00727B3F"/>
    <w:rsid w:val="00730012"/>
    <w:rsid w:val="007300C8"/>
    <w:rsid w:val="007310FB"/>
    <w:rsid w:val="0073463D"/>
    <w:rsid w:val="00735FDF"/>
    <w:rsid w:val="00736DF8"/>
    <w:rsid w:val="00740806"/>
    <w:rsid w:val="00741439"/>
    <w:rsid w:val="0074164F"/>
    <w:rsid w:val="00741E0D"/>
    <w:rsid w:val="00742B13"/>
    <w:rsid w:val="007431AA"/>
    <w:rsid w:val="0074321E"/>
    <w:rsid w:val="00743508"/>
    <w:rsid w:val="007439B8"/>
    <w:rsid w:val="00746C2C"/>
    <w:rsid w:val="007478F7"/>
    <w:rsid w:val="00747C25"/>
    <w:rsid w:val="00752190"/>
    <w:rsid w:val="00754918"/>
    <w:rsid w:val="00754CB5"/>
    <w:rsid w:val="007624F5"/>
    <w:rsid w:val="007626DB"/>
    <w:rsid w:val="00765DD6"/>
    <w:rsid w:val="00766668"/>
    <w:rsid w:val="00766DCF"/>
    <w:rsid w:val="00770753"/>
    <w:rsid w:val="007708E1"/>
    <w:rsid w:val="007730AA"/>
    <w:rsid w:val="0077452B"/>
    <w:rsid w:val="00774BBC"/>
    <w:rsid w:val="00775EF1"/>
    <w:rsid w:val="007763C0"/>
    <w:rsid w:val="00776982"/>
    <w:rsid w:val="00776D68"/>
    <w:rsid w:val="00777B8E"/>
    <w:rsid w:val="00780171"/>
    <w:rsid w:val="00781561"/>
    <w:rsid w:val="007818E7"/>
    <w:rsid w:val="00781D33"/>
    <w:rsid w:val="007829B0"/>
    <w:rsid w:val="007843A2"/>
    <w:rsid w:val="00785163"/>
    <w:rsid w:val="0078554B"/>
    <w:rsid w:val="00785AE0"/>
    <w:rsid w:val="007870E9"/>
    <w:rsid w:val="007871F5"/>
    <w:rsid w:val="007905FB"/>
    <w:rsid w:val="00792017"/>
    <w:rsid w:val="007929ED"/>
    <w:rsid w:val="00794C28"/>
    <w:rsid w:val="007960F0"/>
    <w:rsid w:val="0079684B"/>
    <w:rsid w:val="007975D0"/>
    <w:rsid w:val="007A339F"/>
    <w:rsid w:val="007A3841"/>
    <w:rsid w:val="007A5682"/>
    <w:rsid w:val="007B081C"/>
    <w:rsid w:val="007B2F27"/>
    <w:rsid w:val="007B5F16"/>
    <w:rsid w:val="007B6CC8"/>
    <w:rsid w:val="007B7BB2"/>
    <w:rsid w:val="007B7FE7"/>
    <w:rsid w:val="007C19D3"/>
    <w:rsid w:val="007C1B77"/>
    <w:rsid w:val="007C21FF"/>
    <w:rsid w:val="007C2D3C"/>
    <w:rsid w:val="007C328D"/>
    <w:rsid w:val="007C4EB4"/>
    <w:rsid w:val="007C5C87"/>
    <w:rsid w:val="007D29F1"/>
    <w:rsid w:val="007D2D1E"/>
    <w:rsid w:val="007D3918"/>
    <w:rsid w:val="007D3F44"/>
    <w:rsid w:val="007D40C7"/>
    <w:rsid w:val="007D4840"/>
    <w:rsid w:val="007D484B"/>
    <w:rsid w:val="007D49DE"/>
    <w:rsid w:val="007D529D"/>
    <w:rsid w:val="007D55B0"/>
    <w:rsid w:val="007D560A"/>
    <w:rsid w:val="007D59AF"/>
    <w:rsid w:val="007D5C1C"/>
    <w:rsid w:val="007D7FE4"/>
    <w:rsid w:val="007E01E6"/>
    <w:rsid w:val="007E093A"/>
    <w:rsid w:val="007E0F95"/>
    <w:rsid w:val="007E1EA4"/>
    <w:rsid w:val="007E2458"/>
    <w:rsid w:val="007E2555"/>
    <w:rsid w:val="007E2644"/>
    <w:rsid w:val="007E2E77"/>
    <w:rsid w:val="007E30CA"/>
    <w:rsid w:val="007E4437"/>
    <w:rsid w:val="007E4741"/>
    <w:rsid w:val="007E50D4"/>
    <w:rsid w:val="007E51FA"/>
    <w:rsid w:val="007E5BFD"/>
    <w:rsid w:val="007E62FA"/>
    <w:rsid w:val="007E661F"/>
    <w:rsid w:val="007E6987"/>
    <w:rsid w:val="007F05E3"/>
    <w:rsid w:val="007F1034"/>
    <w:rsid w:val="007F2EA9"/>
    <w:rsid w:val="007F37EB"/>
    <w:rsid w:val="007F6F72"/>
    <w:rsid w:val="007F6FC1"/>
    <w:rsid w:val="007F71F2"/>
    <w:rsid w:val="00800CBA"/>
    <w:rsid w:val="00801935"/>
    <w:rsid w:val="00801C31"/>
    <w:rsid w:val="00801FC5"/>
    <w:rsid w:val="00802C47"/>
    <w:rsid w:val="00803EB3"/>
    <w:rsid w:val="0080586F"/>
    <w:rsid w:val="00805EA0"/>
    <w:rsid w:val="0080609C"/>
    <w:rsid w:val="00807BE5"/>
    <w:rsid w:val="00813B47"/>
    <w:rsid w:val="0081589C"/>
    <w:rsid w:val="00815E0E"/>
    <w:rsid w:val="0082048B"/>
    <w:rsid w:val="00822C7D"/>
    <w:rsid w:val="00823433"/>
    <w:rsid w:val="0082399E"/>
    <w:rsid w:val="00825EE4"/>
    <w:rsid w:val="00825EED"/>
    <w:rsid w:val="00826509"/>
    <w:rsid w:val="00826A02"/>
    <w:rsid w:val="008275E1"/>
    <w:rsid w:val="00831CB4"/>
    <w:rsid w:val="0083210D"/>
    <w:rsid w:val="00833121"/>
    <w:rsid w:val="00833A7A"/>
    <w:rsid w:val="00833B29"/>
    <w:rsid w:val="00833E15"/>
    <w:rsid w:val="00834644"/>
    <w:rsid w:val="008364DB"/>
    <w:rsid w:val="008371DB"/>
    <w:rsid w:val="00840297"/>
    <w:rsid w:val="00840C08"/>
    <w:rsid w:val="00841C86"/>
    <w:rsid w:val="00842938"/>
    <w:rsid w:val="00842B22"/>
    <w:rsid w:val="00842E27"/>
    <w:rsid w:val="00842EF1"/>
    <w:rsid w:val="00842FDF"/>
    <w:rsid w:val="008434B0"/>
    <w:rsid w:val="008434F1"/>
    <w:rsid w:val="00844F2F"/>
    <w:rsid w:val="0084632F"/>
    <w:rsid w:val="0084662B"/>
    <w:rsid w:val="008473BF"/>
    <w:rsid w:val="00851D4C"/>
    <w:rsid w:val="00853410"/>
    <w:rsid w:val="00854BF7"/>
    <w:rsid w:val="0085552C"/>
    <w:rsid w:val="008561E7"/>
    <w:rsid w:val="0085772C"/>
    <w:rsid w:val="00857C37"/>
    <w:rsid w:val="00860CE2"/>
    <w:rsid w:val="00861049"/>
    <w:rsid w:val="0086288C"/>
    <w:rsid w:val="008643E3"/>
    <w:rsid w:val="0086446E"/>
    <w:rsid w:val="00865C32"/>
    <w:rsid w:val="00865D99"/>
    <w:rsid w:val="00867524"/>
    <w:rsid w:val="00867541"/>
    <w:rsid w:val="0087017A"/>
    <w:rsid w:val="00871585"/>
    <w:rsid w:val="00872BC0"/>
    <w:rsid w:val="0087594A"/>
    <w:rsid w:val="0087640C"/>
    <w:rsid w:val="00876802"/>
    <w:rsid w:val="008826CB"/>
    <w:rsid w:val="00884A70"/>
    <w:rsid w:val="00884E2E"/>
    <w:rsid w:val="008853D8"/>
    <w:rsid w:val="00886465"/>
    <w:rsid w:val="00886EBA"/>
    <w:rsid w:val="00887197"/>
    <w:rsid w:val="00890480"/>
    <w:rsid w:val="00890856"/>
    <w:rsid w:val="00890AB3"/>
    <w:rsid w:val="00890DE0"/>
    <w:rsid w:val="00892A96"/>
    <w:rsid w:val="008943AA"/>
    <w:rsid w:val="008943B2"/>
    <w:rsid w:val="00895033"/>
    <w:rsid w:val="0089638B"/>
    <w:rsid w:val="008972B7"/>
    <w:rsid w:val="008973C7"/>
    <w:rsid w:val="00897D74"/>
    <w:rsid w:val="008A02FD"/>
    <w:rsid w:val="008A37CC"/>
    <w:rsid w:val="008A593F"/>
    <w:rsid w:val="008A79F2"/>
    <w:rsid w:val="008A7AA4"/>
    <w:rsid w:val="008A7C49"/>
    <w:rsid w:val="008B0F90"/>
    <w:rsid w:val="008B1BC9"/>
    <w:rsid w:val="008B21CA"/>
    <w:rsid w:val="008B4A4C"/>
    <w:rsid w:val="008B4B90"/>
    <w:rsid w:val="008B5D92"/>
    <w:rsid w:val="008B6741"/>
    <w:rsid w:val="008B6914"/>
    <w:rsid w:val="008B70C9"/>
    <w:rsid w:val="008B7B82"/>
    <w:rsid w:val="008C12D1"/>
    <w:rsid w:val="008C1696"/>
    <w:rsid w:val="008C232A"/>
    <w:rsid w:val="008C2A82"/>
    <w:rsid w:val="008C30FF"/>
    <w:rsid w:val="008C374B"/>
    <w:rsid w:val="008C3768"/>
    <w:rsid w:val="008C55FA"/>
    <w:rsid w:val="008C76E1"/>
    <w:rsid w:val="008C7C1D"/>
    <w:rsid w:val="008D10FF"/>
    <w:rsid w:val="008D1181"/>
    <w:rsid w:val="008D1203"/>
    <w:rsid w:val="008D18D5"/>
    <w:rsid w:val="008D1951"/>
    <w:rsid w:val="008D285B"/>
    <w:rsid w:val="008D2A67"/>
    <w:rsid w:val="008D2BC1"/>
    <w:rsid w:val="008D54F5"/>
    <w:rsid w:val="008D55BF"/>
    <w:rsid w:val="008D5685"/>
    <w:rsid w:val="008D6B45"/>
    <w:rsid w:val="008D6C29"/>
    <w:rsid w:val="008D7C0C"/>
    <w:rsid w:val="008E144B"/>
    <w:rsid w:val="008E2382"/>
    <w:rsid w:val="008E33BD"/>
    <w:rsid w:val="008E34A4"/>
    <w:rsid w:val="008E4151"/>
    <w:rsid w:val="008E5A9C"/>
    <w:rsid w:val="008E6603"/>
    <w:rsid w:val="008E66EC"/>
    <w:rsid w:val="008E72D8"/>
    <w:rsid w:val="008F0AF2"/>
    <w:rsid w:val="008F3178"/>
    <w:rsid w:val="008F4461"/>
    <w:rsid w:val="008F4BA4"/>
    <w:rsid w:val="008F566F"/>
    <w:rsid w:val="008F5F37"/>
    <w:rsid w:val="008F7442"/>
    <w:rsid w:val="008F7610"/>
    <w:rsid w:val="009002CE"/>
    <w:rsid w:val="00901CD7"/>
    <w:rsid w:val="00902231"/>
    <w:rsid w:val="009046B8"/>
    <w:rsid w:val="00904D38"/>
    <w:rsid w:val="0090602A"/>
    <w:rsid w:val="00906EBE"/>
    <w:rsid w:val="00907207"/>
    <w:rsid w:val="00907216"/>
    <w:rsid w:val="00910811"/>
    <w:rsid w:val="00910BC0"/>
    <w:rsid w:val="00910D38"/>
    <w:rsid w:val="00910FF4"/>
    <w:rsid w:val="009124F9"/>
    <w:rsid w:val="00912597"/>
    <w:rsid w:val="00912729"/>
    <w:rsid w:val="009129BD"/>
    <w:rsid w:val="00912A84"/>
    <w:rsid w:val="00912C28"/>
    <w:rsid w:val="00913A5B"/>
    <w:rsid w:val="009148BC"/>
    <w:rsid w:val="00915A6B"/>
    <w:rsid w:val="00916DBA"/>
    <w:rsid w:val="00917D0B"/>
    <w:rsid w:val="00917D6D"/>
    <w:rsid w:val="00920A9A"/>
    <w:rsid w:val="009223F6"/>
    <w:rsid w:val="00922C1D"/>
    <w:rsid w:val="00925DF5"/>
    <w:rsid w:val="009270E7"/>
    <w:rsid w:val="009312DC"/>
    <w:rsid w:val="009322CC"/>
    <w:rsid w:val="009343BC"/>
    <w:rsid w:val="00935870"/>
    <w:rsid w:val="009367E0"/>
    <w:rsid w:val="009377FE"/>
    <w:rsid w:val="00940208"/>
    <w:rsid w:val="009403FD"/>
    <w:rsid w:val="00941C14"/>
    <w:rsid w:val="009425F5"/>
    <w:rsid w:val="00942A68"/>
    <w:rsid w:val="0094466D"/>
    <w:rsid w:val="0094490D"/>
    <w:rsid w:val="0094522B"/>
    <w:rsid w:val="0094555D"/>
    <w:rsid w:val="0094665B"/>
    <w:rsid w:val="00946F77"/>
    <w:rsid w:val="009473C6"/>
    <w:rsid w:val="00954482"/>
    <w:rsid w:val="00954747"/>
    <w:rsid w:val="00954ECD"/>
    <w:rsid w:val="00955017"/>
    <w:rsid w:val="00955548"/>
    <w:rsid w:val="009560D8"/>
    <w:rsid w:val="00956AB9"/>
    <w:rsid w:val="00957966"/>
    <w:rsid w:val="009601C8"/>
    <w:rsid w:val="00961A39"/>
    <w:rsid w:val="00962903"/>
    <w:rsid w:val="00965242"/>
    <w:rsid w:val="00965816"/>
    <w:rsid w:val="00965A6F"/>
    <w:rsid w:val="00965CFD"/>
    <w:rsid w:val="00966C35"/>
    <w:rsid w:val="009701B3"/>
    <w:rsid w:val="0097060E"/>
    <w:rsid w:val="009716E6"/>
    <w:rsid w:val="009719CD"/>
    <w:rsid w:val="009719F9"/>
    <w:rsid w:val="00971A5F"/>
    <w:rsid w:val="009730FF"/>
    <w:rsid w:val="009740B1"/>
    <w:rsid w:val="0097483B"/>
    <w:rsid w:val="009754F5"/>
    <w:rsid w:val="009763BD"/>
    <w:rsid w:val="00976AAC"/>
    <w:rsid w:val="00980000"/>
    <w:rsid w:val="0098056E"/>
    <w:rsid w:val="00980C9C"/>
    <w:rsid w:val="00980D02"/>
    <w:rsid w:val="00981102"/>
    <w:rsid w:val="009838E2"/>
    <w:rsid w:val="00984184"/>
    <w:rsid w:val="00985A45"/>
    <w:rsid w:val="0098682C"/>
    <w:rsid w:val="009868E9"/>
    <w:rsid w:val="00986901"/>
    <w:rsid w:val="009871D1"/>
    <w:rsid w:val="009876A1"/>
    <w:rsid w:val="009879C3"/>
    <w:rsid w:val="00991750"/>
    <w:rsid w:val="009930E6"/>
    <w:rsid w:val="009939A6"/>
    <w:rsid w:val="00996577"/>
    <w:rsid w:val="00996995"/>
    <w:rsid w:val="009A0104"/>
    <w:rsid w:val="009A0826"/>
    <w:rsid w:val="009A08CE"/>
    <w:rsid w:val="009A097A"/>
    <w:rsid w:val="009A0AE8"/>
    <w:rsid w:val="009A0B36"/>
    <w:rsid w:val="009A0E19"/>
    <w:rsid w:val="009A19DE"/>
    <w:rsid w:val="009A3B32"/>
    <w:rsid w:val="009A4A4F"/>
    <w:rsid w:val="009A4BF1"/>
    <w:rsid w:val="009A515B"/>
    <w:rsid w:val="009A69B9"/>
    <w:rsid w:val="009A6BBE"/>
    <w:rsid w:val="009A6CD0"/>
    <w:rsid w:val="009B0346"/>
    <w:rsid w:val="009B0FB8"/>
    <w:rsid w:val="009B18D0"/>
    <w:rsid w:val="009B1A54"/>
    <w:rsid w:val="009B1C87"/>
    <w:rsid w:val="009B3B68"/>
    <w:rsid w:val="009B56FA"/>
    <w:rsid w:val="009B5CBA"/>
    <w:rsid w:val="009B6BFD"/>
    <w:rsid w:val="009B6F56"/>
    <w:rsid w:val="009C06E3"/>
    <w:rsid w:val="009C125A"/>
    <w:rsid w:val="009C2C41"/>
    <w:rsid w:val="009C3031"/>
    <w:rsid w:val="009C4645"/>
    <w:rsid w:val="009C54D5"/>
    <w:rsid w:val="009C6305"/>
    <w:rsid w:val="009C7033"/>
    <w:rsid w:val="009C7034"/>
    <w:rsid w:val="009D1899"/>
    <w:rsid w:val="009D19B2"/>
    <w:rsid w:val="009D2803"/>
    <w:rsid w:val="009D303F"/>
    <w:rsid w:val="009D4AA6"/>
    <w:rsid w:val="009D5024"/>
    <w:rsid w:val="009D51E8"/>
    <w:rsid w:val="009D59A2"/>
    <w:rsid w:val="009E06B5"/>
    <w:rsid w:val="009E0707"/>
    <w:rsid w:val="009E11A4"/>
    <w:rsid w:val="009E11D6"/>
    <w:rsid w:val="009E1460"/>
    <w:rsid w:val="009E1DE5"/>
    <w:rsid w:val="009E3B45"/>
    <w:rsid w:val="009E3CAC"/>
    <w:rsid w:val="009E4E4B"/>
    <w:rsid w:val="009E67AA"/>
    <w:rsid w:val="009E714D"/>
    <w:rsid w:val="009F3A27"/>
    <w:rsid w:val="009F40A8"/>
    <w:rsid w:val="009F5056"/>
    <w:rsid w:val="009F5CA1"/>
    <w:rsid w:val="009F5F68"/>
    <w:rsid w:val="009F6D71"/>
    <w:rsid w:val="009F7E92"/>
    <w:rsid w:val="00A01308"/>
    <w:rsid w:val="00A01ADF"/>
    <w:rsid w:val="00A01C91"/>
    <w:rsid w:val="00A027DA"/>
    <w:rsid w:val="00A036B5"/>
    <w:rsid w:val="00A045D5"/>
    <w:rsid w:val="00A048AF"/>
    <w:rsid w:val="00A05761"/>
    <w:rsid w:val="00A060DC"/>
    <w:rsid w:val="00A07186"/>
    <w:rsid w:val="00A108A0"/>
    <w:rsid w:val="00A10974"/>
    <w:rsid w:val="00A11184"/>
    <w:rsid w:val="00A12032"/>
    <w:rsid w:val="00A1241D"/>
    <w:rsid w:val="00A139BB"/>
    <w:rsid w:val="00A14287"/>
    <w:rsid w:val="00A14308"/>
    <w:rsid w:val="00A17A39"/>
    <w:rsid w:val="00A201F0"/>
    <w:rsid w:val="00A2181B"/>
    <w:rsid w:val="00A21866"/>
    <w:rsid w:val="00A21EB1"/>
    <w:rsid w:val="00A22F60"/>
    <w:rsid w:val="00A23720"/>
    <w:rsid w:val="00A250C2"/>
    <w:rsid w:val="00A25105"/>
    <w:rsid w:val="00A27822"/>
    <w:rsid w:val="00A30833"/>
    <w:rsid w:val="00A320F4"/>
    <w:rsid w:val="00A33397"/>
    <w:rsid w:val="00A334D1"/>
    <w:rsid w:val="00A336FE"/>
    <w:rsid w:val="00A34A45"/>
    <w:rsid w:val="00A3505A"/>
    <w:rsid w:val="00A3584C"/>
    <w:rsid w:val="00A35B18"/>
    <w:rsid w:val="00A36662"/>
    <w:rsid w:val="00A36782"/>
    <w:rsid w:val="00A36C9E"/>
    <w:rsid w:val="00A36D2C"/>
    <w:rsid w:val="00A40C2B"/>
    <w:rsid w:val="00A439C7"/>
    <w:rsid w:val="00A44ED8"/>
    <w:rsid w:val="00A464B0"/>
    <w:rsid w:val="00A47E77"/>
    <w:rsid w:val="00A5209B"/>
    <w:rsid w:val="00A530B5"/>
    <w:rsid w:val="00A532CF"/>
    <w:rsid w:val="00A53F0D"/>
    <w:rsid w:val="00A54AC8"/>
    <w:rsid w:val="00A54D31"/>
    <w:rsid w:val="00A5519A"/>
    <w:rsid w:val="00A5582C"/>
    <w:rsid w:val="00A55A26"/>
    <w:rsid w:val="00A60A5B"/>
    <w:rsid w:val="00A6119C"/>
    <w:rsid w:val="00A612CC"/>
    <w:rsid w:val="00A61BD4"/>
    <w:rsid w:val="00A629E0"/>
    <w:rsid w:val="00A62B08"/>
    <w:rsid w:val="00A66F85"/>
    <w:rsid w:val="00A6748F"/>
    <w:rsid w:val="00A6778C"/>
    <w:rsid w:val="00A67BF7"/>
    <w:rsid w:val="00A71A0A"/>
    <w:rsid w:val="00A72D8D"/>
    <w:rsid w:val="00A72FE6"/>
    <w:rsid w:val="00A736E1"/>
    <w:rsid w:val="00A74349"/>
    <w:rsid w:val="00A7616F"/>
    <w:rsid w:val="00A7663C"/>
    <w:rsid w:val="00A76A13"/>
    <w:rsid w:val="00A77788"/>
    <w:rsid w:val="00A778BB"/>
    <w:rsid w:val="00A805BB"/>
    <w:rsid w:val="00A80FBD"/>
    <w:rsid w:val="00A81CEA"/>
    <w:rsid w:val="00A83719"/>
    <w:rsid w:val="00A84219"/>
    <w:rsid w:val="00A84717"/>
    <w:rsid w:val="00A85EF6"/>
    <w:rsid w:val="00A865FC"/>
    <w:rsid w:val="00A87A74"/>
    <w:rsid w:val="00A90789"/>
    <w:rsid w:val="00A90C8C"/>
    <w:rsid w:val="00A9125E"/>
    <w:rsid w:val="00A912B6"/>
    <w:rsid w:val="00A939CA"/>
    <w:rsid w:val="00A94E54"/>
    <w:rsid w:val="00A9507F"/>
    <w:rsid w:val="00A9536A"/>
    <w:rsid w:val="00A95DE6"/>
    <w:rsid w:val="00A965FF"/>
    <w:rsid w:val="00A97306"/>
    <w:rsid w:val="00AA0472"/>
    <w:rsid w:val="00AA1498"/>
    <w:rsid w:val="00AA1ECB"/>
    <w:rsid w:val="00AA33E7"/>
    <w:rsid w:val="00AA37CF"/>
    <w:rsid w:val="00AA59F9"/>
    <w:rsid w:val="00AA5ED8"/>
    <w:rsid w:val="00AA63D1"/>
    <w:rsid w:val="00AA6D5C"/>
    <w:rsid w:val="00AA6D5D"/>
    <w:rsid w:val="00AA7AED"/>
    <w:rsid w:val="00AA7DDE"/>
    <w:rsid w:val="00AB1D78"/>
    <w:rsid w:val="00AB3E07"/>
    <w:rsid w:val="00AB43B9"/>
    <w:rsid w:val="00AB5852"/>
    <w:rsid w:val="00AB5966"/>
    <w:rsid w:val="00AB59CF"/>
    <w:rsid w:val="00AB6BB6"/>
    <w:rsid w:val="00AB7461"/>
    <w:rsid w:val="00AC03A8"/>
    <w:rsid w:val="00AC0F51"/>
    <w:rsid w:val="00AC2175"/>
    <w:rsid w:val="00AC341C"/>
    <w:rsid w:val="00AC3482"/>
    <w:rsid w:val="00AC4853"/>
    <w:rsid w:val="00AC4962"/>
    <w:rsid w:val="00AC659D"/>
    <w:rsid w:val="00AC660C"/>
    <w:rsid w:val="00AD3172"/>
    <w:rsid w:val="00AD325F"/>
    <w:rsid w:val="00AD352F"/>
    <w:rsid w:val="00AD42DA"/>
    <w:rsid w:val="00AD4677"/>
    <w:rsid w:val="00AD5EB6"/>
    <w:rsid w:val="00AD6CA9"/>
    <w:rsid w:val="00AE03CB"/>
    <w:rsid w:val="00AE0CAA"/>
    <w:rsid w:val="00AE114F"/>
    <w:rsid w:val="00AE16C1"/>
    <w:rsid w:val="00AE1C28"/>
    <w:rsid w:val="00AE1FDC"/>
    <w:rsid w:val="00AE2AED"/>
    <w:rsid w:val="00AE2B57"/>
    <w:rsid w:val="00AE4806"/>
    <w:rsid w:val="00AE4874"/>
    <w:rsid w:val="00AE4DAE"/>
    <w:rsid w:val="00AE5794"/>
    <w:rsid w:val="00AE6C08"/>
    <w:rsid w:val="00AF2BD1"/>
    <w:rsid w:val="00AF3D10"/>
    <w:rsid w:val="00AF5434"/>
    <w:rsid w:val="00AF6524"/>
    <w:rsid w:val="00AF7997"/>
    <w:rsid w:val="00B01252"/>
    <w:rsid w:val="00B02028"/>
    <w:rsid w:val="00B03B37"/>
    <w:rsid w:val="00B03CF3"/>
    <w:rsid w:val="00B0444F"/>
    <w:rsid w:val="00B05309"/>
    <w:rsid w:val="00B05889"/>
    <w:rsid w:val="00B06108"/>
    <w:rsid w:val="00B0675C"/>
    <w:rsid w:val="00B07244"/>
    <w:rsid w:val="00B07306"/>
    <w:rsid w:val="00B07E4A"/>
    <w:rsid w:val="00B103BD"/>
    <w:rsid w:val="00B11633"/>
    <w:rsid w:val="00B12022"/>
    <w:rsid w:val="00B12F28"/>
    <w:rsid w:val="00B14030"/>
    <w:rsid w:val="00B14251"/>
    <w:rsid w:val="00B149D5"/>
    <w:rsid w:val="00B150FB"/>
    <w:rsid w:val="00B17867"/>
    <w:rsid w:val="00B17DBB"/>
    <w:rsid w:val="00B20FAE"/>
    <w:rsid w:val="00B22DCE"/>
    <w:rsid w:val="00B2348D"/>
    <w:rsid w:val="00B24C53"/>
    <w:rsid w:val="00B25075"/>
    <w:rsid w:val="00B25271"/>
    <w:rsid w:val="00B27A17"/>
    <w:rsid w:val="00B30FAA"/>
    <w:rsid w:val="00B348A5"/>
    <w:rsid w:val="00B35BF0"/>
    <w:rsid w:val="00B3626B"/>
    <w:rsid w:val="00B3698F"/>
    <w:rsid w:val="00B3727E"/>
    <w:rsid w:val="00B4255F"/>
    <w:rsid w:val="00B4296F"/>
    <w:rsid w:val="00B42A1D"/>
    <w:rsid w:val="00B437BA"/>
    <w:rsid w:val="00B43F84"/>
    <w:rsid w:val="00B45C95"/>
    <w:rsid w:val="00B46BCA"/>
    <w:rsid w:val="00B474CA"/>
    <w:rsid w:val="00B47A16"/>
    <w:rsid w:val="00B521A4"/>
    <w:rsid w:val="00B5249C"/>
    <w:rsid w:val="00B5271A"/>
    <w:rsid w:val="00B52CDA"/>
    <w:rsid w:val="00B53B0E"/>
    <w:rsid w:val="00B54B36"/>
    <w:rsid w:val="00B54EA7"/>
    <w:rsid w:val="00B5674C"/>
    <w:rsid w:val="00B56A11"/>
    <w:rsid w:val="00B575A5"/>
    <w:rsid w:val="00B60312"/>
    <w:rsid w:val="00B60AE7"/>
    <w:rsid w:val="00B6195E"/>
    <w:rsid w:val="00B62060"/>
    <w:rsid w:val="00B63B93"/>
    <w:rsid w:val="00B645AC"/>
    <w:rsid w:val="00B6501C"/>
    <w:rsid w:val="00B65E57"/>
    <w:rsid w:val="00B66CC4"/>
    <w:rsid w:val="00B70268"/>
    <w:rsid w:val="00B71B5F"/>
    <w:rsid w:val="00B7233D"/>
    <w:rsid w:val="00B72B1D"/>
    <w:rsid w:val="00B73B01"/>
    <w:rsid w:val="00B7475E"/>
    <w:rsid w:val="00B76DE5"/>
    <w:rsid w:val="00B804BF"/>
    <w:rsid w:val="00B807C9"/>
    <w:rsid w:val="00B80E99"/>
    <w:rsid w:val="00B8166A"/>
    <w:rsid w:val="00B817FE"/>
    <w:rsid w:val="00B82EB6"/>
    <w:rsid w:val="00B8343B"/>
    <w:rsid w:val="00B83530"/>
    <w:rsid w:val="00B851F3"/>
    <w:rsid w:val="00B86811"/>
    <w:rsid w:val="00B8776E"/>
    <w:rsid w:val="00B90229"/>
    <w:rsid w:val="00B90F5A"/>
    <w:rsid w:val="00B90F9C"/>
    <w:rsid w:val="00B91578"/>
    <w:rsid w:val="00B91693"/>
    <w:rsid w:val="00B92A62"/>
    <w:rsid w:val="00B931A0"/>
    <w:rsid w:val="00BA04F4"/>
    <w:rsid w:val="00BA1B16"/>
    <w:rsid w:val="00BA30FF"/>
    <w:rsid w:val="00BA34AD"/>
    <w:rsid w:val="00BA3E92"/>
    <w:rsid w:val="00BA4119"/>
    <w:rsid w:val="00BA4EEE"/>
    <w:rsid w:val="00BA65F4"/>
    <w:rsid w:val="00BA68C4"/>
    <w:rsid w:val="00BA6C41"/>
    <w:rsid w:val="00BA77D7"/>
    <w:rsid w:val="00BA780C"/>
    <w:rsid w:val="00BA780E"/>
    <w:rsid w:val="00BA7E8D"/>
    <w:rsid w:val="00BB196D"/>
    <w:rsid w:val="00BB2E19"/>
    <w:rsid w:val="00BB483C"/>
    <w:rsid w:val="00BB604A"/>
    <w:rsid w:val="00BB67B4"/>
    <w:rsid w:val="00BC03A2"/>
    <w:rsid w:val="00BC058B"/>
    <w:rsid w:val="00BC1241"/>
    <w:rsid w:val="00BC1D58"/>
    <w:rsid w:val="00BC2342"/>
    <w:rsid w:val="00BC2F53"/>
    <w:rsid w:val="00BC3522"/>
    <w:rsid w:val="00BC3636"/>
    <w:rsid w:val="00BC4F45"/>
    <w:rsid w:val="00BC6372"/>
    <w:rsid w:val="00BC6876"/>
    <w:rsid w:val="00BC76FB"/>
    <w:rsid w:val="00BD2868"/>
    <w:rsid w:val="00BD28E8"/>
    <w:rsid w:val="00BD2BE0"/>
    <w:rsid w:val="00BD3271"/>
    <w:rsid w:val="00BD34A7"/>
    <w:rsid w:val="00BD36B6"/>
    <w:rsid w:val="00BD3993"/>
    <w:rsid w:val="00BD3CB4"/>
    <w:rsid w:val="00BD4A5A"/>
    <w:rsid w:val="00BD4C7C"/>
    <w:rsid w:val="00BD52F8"/>
    <w:rsid w:val="00BD67A6"/>
    <w:rsid w:val="00BD7396"/>
    <w:rsid w:val="00BE0C1E"/>
    <w:rsid w:val="00BE3264"/>
    <w:rsid w:val="00BE3DF4"/>
    <w:rsid w:val="00BE4658"/>
    <w:rsid w:val="00BE4983"/>
    <w:rsid w:val="00BE5568"/>
    <w:rsid w:val="00BE5B7F"/>
    <w:rsid w:val="00BE68FA"/>
    <w:rsid w:val="00BE7FCE"/>
    <w:rsid w:val="00BF0429"/>
    <w:rsid w:val="00BF051D"/>
    <w:rsid w:val="00BF057E"/>
    <w:rsid w:val="00BF0877"/>
    <w:rsid w:val="00BF09E4"/>
    <w:rsid w:val="00BF0C06"/>
    <w:rsid w:val="00BF1749"/>
    <w:rsid w:val="00BF1BB9"/>
    <w:rsid w:val="00BF39ED"/>
    <w:rsid w:val="00BF3B45"/>
    <w:rsid w:val="00BF4977"/>
    <w:rsid w:val="00BF4B5D"/>
    <w:rsid w:val="00BF7055"/>
    <w:rsid w:val="00BF716B"/>
    <w:rsid w:val="00C0140B"/>
    <w:rsid w:val="00C01419"/>
    <w:rsid w:val="00C02B9B"/>
    <w:rsid w:val="00C035CE"/>
    <w:rsid w:val="00C03657"/>
    <w:rsid w:val="00C036A8"/>
    <w:rsid w:val="00C03877"/>
    <w:rsid w:val="00C04CFF"/>
    <w:rsid w:val="00C104C6"/>
    <w:rsid w:val="00C123EA"/>
    <w:rsid w:val="00C14AD3"/>
    <w:rsid w:val="00C1505E"/>
    <w:rsid w:val="00C16620"/>
    <w:rsid w:val="00C166AD"/>
    <w:rsid w:val="00C17111"/>
    <w:rsid w:val="00C17D92"/>
    <w:rsid w:val="00C2128D"/>
    <w:rsid w:val="00C23097"/>
    <w:rsid w:val="00C25CA3"/>
    <w:rsid w:val="00C2696C"/>
    <w:rsid w:val="00C27033"/>
    <w:rsid w:val="00C27163"/>
    <w:rsid w:val="00C27A23"/>
    <w:rsid w:val="00C307A4"/>
    <w:rsid w:val="00C3100C"/>
    <w:rsid w:val="00C3188B"/>
    <w:rsid w:val="00C318B8"/>
    <w:rsid w:val="00C32084"/>
    <w:rsid w:val="00C321CD"/>
    <w:rsid w:val="00C324C5"/>
    <w:rsid w:val="00C32982"/>
    <w:rsid w:val="00C33086"/>
    <w:rsid w:val="00C33E42"/>
    <w:rsid w:val="00C344DC"/>
    <w:rsid w:val="00C34F67"/>
    <w:rsid w:val="00C357DC"/>
    <w:rsid w:val="00C36987"/>
    <w:rsid w:val="00C36A8E"/>
    <w:rsid w:val="00C40103"/>
    <w:rsid w:val="00C40E47"/>
    <w:rsid w:val="00C42C06"/>
    <w:rsid w:val="00C42E39"/>
    <w:rsid w:val="00C44394"/>
    <w:rsid w:val="00C4506C"/>
    <w:rsid w:val="00C457D5"/>
    <w:rsid w:val="00C465A5"/>
    <w:rsid w:val="00C506F5"/>
    <w:rsid w:val="00C52F76"/>
    <w:rsid w:val="00C53A8A"/>
    <w:rsid w:val="00C55012"/>
    <w:rsid w:val="00C5603F"/>
    <w:rsid w:val="00C56F2C"/>
    <w:rsid w:val="00C57863"/>
    <w:rsid w:val="00C60F25"/>
    <w:rsid w:val="00C62F29"/>
    <w:rsid w:val="00C63241"/>
    <w:rsid w:val="00C633CD"/>
    <w:rsid w:val="00C652BD"/>
    <w:rsid w:val="00C669F5"/>
    <w:rsid w:val="00C66E85"/>
    <w:rsid w:val="00C67423"/>
    <w:rsid w:val="00C6756E"/>
    <w:rsid w:val="00C67FD0"/>
    <w:rsid w:val="00C70EAA"/>
    <w:rsid w:val="00C7131F"/>
    <w:rsid w:val="00C72615"/>
    <w:rsid w:val="00C7584E"/>
    <w:rsid w:val="00C76A13"/>
    <w:rsid w:val="00C76C6C"/>
    <w:rsid w:val="00C7702A"/>
    <w:rsid w:val="00C80C19"/>
    <w:rsid w:val="00C812A8"/>
    <w:rsid w:val="00C816C5"/>
    <w:rsid w:val="00C81867"/>
    <w:rsid w:val="00C836FF"/>
    <w:rsid w:val="00C83BA7"/>
    <w:rsid w:val="00C84CD2"/>
    <w:rsid w:val="00C85047"/>
    <w:rsid w:val="00C85302"/>
    <w:rsid w:val="00C85D25"/>
    <w:rsid w:val="00C878C6"/>
    <w:rsid w:val="00C92D79"/>
    <w:rsid w:val="00C92DCA"/>
    <w:rsid w:val="00C94DE9"/>
    <w:rsid w:val="00C9553A"/>
    <w:rsid w:val="00C96323"/>
    <w:rsid w:val="00C97BCE"/>
    <w:rsid w:val="00CA014F"/>
    <w:rsid w:val="00CA1612"/>
    <w:rsid w:val="00CA17E3"/>
    <w:rsid w:val="00CA2B7F"/>
    <w:rsid w:val="00CA2FD1"/>
    <w:rsid w:val="00CA3E51"/>
    <w:rsid w:val="00CA4859"/>
    <w:rsid w:val="00CA6EFF"/>
    <w:rsid w:val="00CA76C2"/>
    <w:rsid w:val="00CA78B4"/>
    <w:rsid w:val="00CB126E"/>
    <w:rsid w:val="00CB2206"/>
    <w:rsid w:val="00CB42AB"/>
    <w:rsid w:val="00CB43A6"/>
    <w:rsid w:val="00CB44A8"/>
    <w:rsid w:val="00CB563B"/>
    <w:rsid w:val="00CB5681"/>
    <w:rsid w:val="00CB6349"/>
    <w:rsid w:val="00CB68E8"/>
    <w:rsid w:val="00CC1064"/>
    <w:rsid w:val="00CC17B1"/>
    <w:rsid w:val="00CC1BCF"/>
    <w:rsid w:val="00CC3E41"/>
    <w:rsid w:val="00CC5496"/>
    <w:rsid w:val="00CC54B8"/>
    <w:rsid w:val="00CC56C2"/>
    <w:rsid w:val="00CC6264"/>
    <w:rsid w:val="00CC6E99"/>
    <w:rsid w:val="00CC7FC0"/>
    <w:rsid w:val="00CD06D1"/>
    <w:rsid w:val="00CD1417"/>
    <w:rsid w:val="00CD20E7"/>
    <w:rsid w:val="00CD23DB"/>
    <w:rsid w:val="00CD36B2"/>
    <w:rsid w:val="00CD50D4"/>
    <w:rsid w:val="00CD5205"/>
    <w:rsid w:val="00CD792D"/>
    <w:rsid w:val="00CE0F55"/>
    <w:rsid w:val="00CE19A0"/>
    <w:rsid w:val="00CE2528"/>
    <w:rsid w:val="00CE2B54"/>
    <w:rsid w:val="00CE3101"/>
    <w:rsid w:val="00CE3E01"/>
    <w:rsid w:val="00CE3F26"/>
    <w:rsid w:val="00CE4B71"/>
    <w:rsid w:val="00CE58A0"/>
    <w:rsid w:val="00CE67AB"/>
    <w:rsid w:val="00CE75A6"/>
    <w:rsid w:val="00CE76FA"/>
    <w:rsid w:val="00CE7BDE"/>
    <w:rsid w:val="00CE7E0A"/>
    <w:rsid w:val="00CF07F5"/>
    <w:rsid w:val="00CF0C12"/>
    <w:rsid w:val="00CF0E66"/>
    <w:rsid w:val="00CF21F5"/>
    <w:rsid w:val="00CF4070"/>
    <w:rsid w:val="00CF4157"/>
    <w:rsid w:val="00CF47C6"/>
    <w:rsid w:val="00CF63E6"/>
    <w:rsid w:val="00D00043"/>
    <w:rsid w:val="00D00D93"/>
    <w:rsid w:val="00D01EC0"/>
    <w:rsid w:val="00D01FC1"/>
    <w:rsid w:val="00D072D5"/>
    <w:rsid w:val="00D10303"/>
    <w:rsid w:val="00D1033A"/>
    <w:rsid w:val="00D10A42"/>
    <w:rsid w:val="00D12BDB"/>
    <w:rsid w:val="00D15430"/>
    <w:rsid w:val="00D166A6"/>
    <w:rsid w:val="00D16B1E"/>
    <w:rsid w:val="00D1788D"/>
    <w:rsid w:val="00D17B3B"/>
    <w:rsid w:val="00D22455"/>
    <w:rsid w:val="00D229E6"/>
    <w:rsid w:val="00D229FF"/>
    <w:rsid w:val="00D23940"/>
    <w:rsid w:val="00D23BEA"/>
    <w:rsid w:val="00D2541C"/>
    <w:rsid w:val="00D26164"/>
    <w:rsid w:val="00D2684F"/>
    <w:rsid w:val="00D27C74"/>
    <w:rsid w:val="00D3137A"/>
    <w:rsid w:val="00D34600"/>
    <w:rsid w:val="00D35757"/>
    <w:rsid w:val="00D35E36"/>
    <w:rsid w:val="00D3610E"/>
    <w:rsid w:val="00D40B43"/>
    <w:rsid w:val="00D41600"/>
    <w:rsid w:val="00D4435B"/>
    <w:rsid w:val="00D44C3B"/>
    <w:rsid w:val="00D46F55"/>
    <w:rsid w:val="00D47BCA"/>
    <w:rsid w:val="00D5095C"/>
    <w:rsid w:val="00D50BF4"/>
    <w:rsid w:val="00D50DF3"/>
    <w:rsid w:val="00D51156"/>
    <w:rsid w:val="00D52150"/>
    <w:rsid w:val="00D52B6B"/>
    <w:rsid w:val="00D54C7A"/>
    <w:rsid w:val="00D55850"/>
    <w:rsid w:val="00D57150"/>
    <w:rsid w:val="00D57165"/>
    <w:rsid w:val="00D6038F"/>
    <w:rsid w:val="00D61709"/>
    <w:rsid w:val="00D61DDA"/>
    <w:rsid w:val="00D61F0C"/>
    <w:rsid w:val="00D62669"/>
    <w:rsid w:val="00D62B2D"/>
    <w:rsid w:val="00D65F41"/>
    <w:rsid w:val="00D66731"/>
    <w:rsid w:val="00D66BFF"/>
    <w:rsid w:val="00D67B4F"/>
    <w:rsid w:val="00D67E8E"/>
    <w:rsid w:val="00D718F0"/>
    <w:rsid w:val="00D720E3"/>
    <w:rsid w:val="00D72E04"/>
    <w:rsid w:val="00D750CC"/>
    <w:rsid w:val="00D7522A"/>
    <w:rsid w:val="00D75FFA"/>
    <w:rsid w:val="00D77896"/>
    <w:rsid w:val="00D80772"/>
    <w:rsid w:val="00D807E6"/>
    <w:rsid w:val="00D80992"/>
    <w:rsid w:val="00D80CFA"/>
    <w:rsid w:val="00D8216A"/>
    <w:rsid w:val="00D82DE8"/>
    <w:rsid w:val="00D8306F"/>
    <w:rsid w:val="00D83B49"/>
    <w:rsid w:val="00D84AA0"/>
    <w:rsid w:val="00D84B06"/>
    <w:rsid w:val="00D85230"/>
    <w:rsid w:val="00D85553"/>
    <w:rsid w:val="00D86F3F"/>
    <w:rsid w:val="00D87200"/>
    <w:rsid w:val="00D9025C"/>
    <w:rsid w:val="00D911BE"/>
    <w:rsid w:val="00D91999"/>
    <w:rsid w:val="00D91BDB"/>
    <w:rsid w:val="00D92219"/>
    <w:rsid w:val="00D9395C"/>
    <w:rsid w:val="00D941F5"/>
    <w:rsid w:val="00D944E4"/>
    <w:rsid w:val="00D94CBF"/>
    <w:rsid w:val="00D9539F"/>
    <w:rsid w:val="00D953B5"/>
    <w:rsid w:val="00D95FB3"/>
    <w:rsid w:val="00D963F8"/>
    <w:rsid w:val="00D96849"/>
    <w:rsid w:val="00DA1E3B"/>
    <w:rsid w:val="00DA2B7E"/>
    <w:rsid w:val="00DA2DD9"/>
    <w:rsid w:val="00DA542B"/>
    <w:rsid w:val="00DA60F9"/>
    <w:rsid w:val="00DA657E"/>
    <w:rsid w:val="00DA6F69"/>
    <w:rsid w:val="00DA6FE7"/>
    <w:rsid w:val="00DA7380"/>
    <w:rsid w:val="00DA7683"/>
    <w:rsid w:val="00DA78E6"/>
    <w:rsid w:val="00DA7C8A"/>
    <w:rsid w:val="00DB0307"/>
    <w:rsid w:val="00DB09ED"/>
    <w:rsid w:val="00DB0BF5"/>
    <w:rsid w:val="00DB11DA"/>
    <w:rsid w:val="00DB12B8"/>
    <w:rsid w:val="00DB1BEA"/>
    <w:rsid w:val="00DB1EBA"/>
    <w:rsid w:val="00DB2D3E"/>
    <w:rsid w:val="00DB308A"/>
    <w:rsid w:val="00DB3CBE"/>
    <w:rsid w:val="00DB7601"/>
    <w:rsid w:val="00DB7B6D"/>
    <w:rsid w:val="00DC04F4"/>
    <w:rsid w:val="00DC06D7"/>
    <w:rsid w:val="00DC07C2"/>
    <w:rsid w:val="00DC0C10"/>
    <w:rsid w:val="00DC25C0"/>
    <w:rsid w:val="00DC29BE"/>
    <w:rsid w:val="00DC2AA1"/>
    <w:rsid w:val="00DC3925"/>
    <w:rsid w:val="00DC4068"/>
    <w:rsid w:val="00DC43F1"/>
    <w:rsid w:val="00DC5CAF"/>
    <w:rsid w:val="00DC5DEB"/>
    <w:rsid w:val="00DC63F7"/>
    <w:rsid w:val="00DC7171"/>
    <w:rsid w:val="00DD01DB"/>
    <w:rsid w:val="00DD0DE5"/>
    <w:rsid w:val="00DD1DAA"/>
    <w:rsid w:val="00DD3B01"/>
    <w:rsid w:val="00DD6D34"/>
    <w:rsid w:val="00DE132C"/>
    <w:rsid w:val="00DE157A"/>
    <w:rsid w:val="00DE1585"/>
    <w:rsid w:val="00DE3619"/>
    <w:rsid w:val="00DE3F60"/>
    <w:rsid w:val="00DE4373"/>
    <w:rsid w:val="00DE47DF"/>
    <w:rsid w:val="00DE4C6D"/>
    <w:rsid w:val="00DE4F97"/>
    <w:rsid w:val="00DE613F"/>
    <w:rsid w:val="00DE6306"/>
    <w:rsid w:val="00DF03D0"/>
    <w:rsid w:val="00DF0478"/>
    <w:rsid w:val="00DF11A9"/>
    <w:rsid w:val="00DF1AFD"/>
    <w:rsid w:val="00DF444D"/>
    <w:rsid w:val="00DF5187"/>
    <w:rsid w:val="00DF5626"/>
    <w:rsid w:val="00DF5B59"/>
    <w:rsid w:val="00DF7D2E"/>
    <w:rsid w:val="00DF7D3C"/>
    <w:rsid w:val="00E01AA8"/>
    <w:rsid w:val="00E04731"/>
    <w:rsid w:val="00E04F98"/>
    <w:rsid w:val="00E05488"/>
    <w:rsid w:val="00E06672"/>
    <w:rsid w:val="00E07210"/>
    <w:rsid w:val="00E07B99"/>
    <w:rsid w:val="00E10D63"/>
    <w:rsid w:val="00E10F55"/>
    <w:rsid w:val="00E1213B"/>
    <w:rsid w:val="00E14AEA"/>
    <w:rsid w:val="00E15C92"/>
    <w:rsid w:val="00E16A97"/>
    <w:rsid w:val="00E1710D"/>
    <w:rsid w:val="00E20575"/>
    <w:rsid w:val="00E21294"/>
    <w:rsid w:val="00E223B1"/>
    <w:rsid w:val="00E22752"/>
    <w:rsid w:val="00E2382A"/>
    <w:rsid w:val="00E240CB"/>
    <w:rsid w:val="00E2452D"/>
    <w:rsid w:val="00E24719"/>
    <w:rsid w:val="00E25025"/>
    <w:rsid w:val="00E26A0E"/>
    <w:rsid w:val="00E27CEB"/>
    <w:rsid w:val="00E303B1"/>
    <w:rsid w:val="00E3064C"/>
    <w:rsid w:val="00E31039"/>
    <w:rsid w:val="00E31F6C"/>
    <w:rsid w:val="00E335F1"/>
    <w:rsid w:val="00E34222"/>
    <w:rsid w:val="00E342F7"/>
    <w:rsid w:val="00E36C3D"/>
    <w:rsid w:val="00E36EE6"/>
    <w:rsid w:val="00E378BF"/>
    <w:rsid w:val="00E378F0"/>
    <w:rsid w:val="00E4168E"/>
    <w:rsid w:val="00E41E3C"/>
    <w:rsid w:val="00E41E9F"/>
    <w:rsid w:val="00E42166"/>
    <w:rsid w:val="00E42E3B"/>
    <w:rsid w:val="00E42FFE"/>
    <w:rsid w:val="00E447C8"/>
    <w:rsid w:val="00E44FFC"/>
    <w:rsid w:val="00E45703"/>
    <w:rsid w:val="00E464A8"/>
    <w:rsid w:val="00E500BC"/>
    <w:rsid w:val="00E513C2"/>
    <w:rsid w:val="00E516F0"/>
    <w:rsid w:val="00E52331"/>
    <w:rsid w:val="00E531E4"/>
    <w:rsid w:val="00E5391B"/>
    <w:rsid w:val="00E53D34"/>
    <w:rsid w:val="00E56E3C"/>
    <w:rsid w:val="00E57E73"/>
    <w:rsid w:val="00E608EB"/>
    <w:rsid w:val="00E60E0A"/>
    <w:rsid w:val="00E61172"/>
    <w:rsid w:val="00E6199F"/>
    <w:rsid w:val="00E62E88"/>
    <w:rsid w:val="00E6438F"/>
    <w:rsid w:val="00E6441B"/>
    <w:rsid w:val="00E66109"/>
    <w:rsid w:val="00E66FBD"/>
    <w:rsid w:val="00E71173"/>
    <w:rsid w:val="00E7200E"/>
    <w:rsid w:val="00E7349A"/>
    <w:rsid w:val="00E74967"/>
    <w:rsid w:val="00E75398"/>
    <w:rsid w:val="00E779C8"/>
    <w:rsid w:val="00E80289"/>
    <w:rsid w:val="00E80BDD"/>
    <w:rsid w:val="00E811F2"/>
    <w:rsid w:val="00E82141"/>
    <w:rsid w:val="00E84AF5"/>
    <w:rsid w:val="00E84D1E"/>
    <w:rsid w:val="00E850DF"/>
    <w:rsid w:val="00E8516B"/>
    <w:rsid w:val="00E85ADE"/>
    <w:rsid w:val="00E86B91"/>
    <w:rsid w:val="00E875B4"/>
    <w:rsid w:val="00E902C4"/>
    <w:rsid w:val="00E91491"/>
    <w:rsid w:val="00E916DF"/>
    <w:rsid w:val="00E91948"/>
    <w:rsid w:val="00E92ED9"/>
    <w:rsid w:val="00E93162"/>
    <w:rsid w:val="00E9331A"/>
    <w:rsid w:val="00E93B3E"/>
    <w:rsid w:val="00E93E2B"/>
    <w:rsid w:val="00E952F6"/>
    <w:rsid w:val="00E97042"/>
    <w:rsid w:val="00E9711E"/>
    <w:rsid w:val="00EA1020"/>
    <w:rsid w:val="00EA1868"/>
    <w:rsid w:val="00EA24AF"/>
    <w:rsid w:val="00EA2FC1"/>
    <w:rsid w:val="00EA2FE8"/>
    <w:rsid w:val="00EA5AE9"/>
    <w:rsid w:val="00EA69F0"/>
    <w:rsid w:val="00EA7737"/>
    <w:rsid w:val="00EB03DF"/>
    <w:rsid w:val="00EB4193"/>
    <w:rsid w:val="00EB4288"/>
    <w:rsid w:val="00EB4A98"/>
    <w:rsid w:val="00EB4C9E"/>
    <w:rsid w:val="00EB50D2"/>
    <w:rsid w:val="00EB5768"/>
    <w:rsid w:val="00EB583E"/>
    <w:rsid w:val="00EC012D"/>
    <w:rsid w:val="00EC0721"/>
    <w:rsid w:val="00EC0F1A"/>
    <w:rsid w:val="00EC1D35"/>
    <w:rsid w:val="00EC2160"/>
    <w:rsid w:val="00EC3352"/>
    <w:rsid w:val="00EC3DC2"/>
    <w:rsid w:val="00EC4BEA"/>
    <w:rsid w:val="00EC620B"/>
    <w:rsid w:val="00EC6819"/>
    <w:rsid w:val="00EC68DA"/>
    <w:rsid w:val="00EC6E83"/>
    <w:rsid w:val="00EC775E"/>
    <w:rsid w:val="00ED0D68"/>
    <w:rsid w:val="00ED14A0"/>
    <w:rsid w:val="00ED1A69"/>
    <w:rsid w:val="00ED222A"/>
    <w:rsid w:val="00ED26E1"/>
    <w:rsid w:val="00ED35D2"/>
    <w:rsid w:val="00ED487A"/>
    <w:rsid w:val="00ED4B84"/>
    <w:rsid w:val="00ED6A8B"/>
    <w:rsid w:val="00ED78B2"/>
    <w:rsid w:val="00EE0CB0"/>
    <w:rsid w:val="00EE0CCF"/>
    <w:rsid w:val="00EE4DBE"/>
    <w:rsid w:val="00EE4E72"/>
    <w:rsid w:val="00EE64E6"/>
    <w:rsid w:val="00EE679F"/>
    <w:rsid w:val="00EE7581"/>
    <w:rsid w:val="00EF1196"/>
    <w:rsid w:val="00EF1D76"/>
    <w:rsid w:val="00EF2195"/>
    <w:rsid w:val="00EF46CC"/>
    <w:rsid w:val="00EF56C7"/>
    <w:rsid w:val="00EF5FB0"/>
    <w:rsid w:val="00EF64E1"/>
    <w:rsid w:val="00EF6E5D"/>
    <w:rsid w:val="00EF6F69"/>
    <w:rsid w:val="00F004F8"/>
    <w:rsid w:val="00F00CF4"/>
    <w:rsid w:val="00F03FF2"/>
    <w:rsid w:val="00F040FA"/>
    <w:rsid w:val="00F048B9"/>
    <w:rsid w:val="00F062DB"/>
    <w:rsid w:val="00F06798"/>
    <w:rsid w:val="00F0696B"/>
    <w:rsid w:val="00F07A6A"/>
    <w:rsid w:val="00F10026"/>
    <w:rsid w:val="00F104E6"/>
    <w:rsid w:val="00F106DE"/>
    <w:rsid w:val="00F10BA4"/>
    <w:rsid w:val="00F14B3C"/>
    <w:rsid w:val="00F15DB7"/>
    <w:rsid w:val="00F16A91"/>
    <w:rsid w:val="00F20192"/>
    <w:rsid w:val="00F21B8F"/>
    <w:rsid w:val="00F22B2D"/>
    <w:rsid w:val="00F233DA"/>
    <w:rsid w:val="00F255C6"/>
    <w:rsid w:val="00F257D5"/>
    <w:rsid w:val="00F26FBC"/>
    <w:rsid w:val="00F346D0"/>
    <w:rsid w:val="00F34A4C"/>
    <w:rsid w:val="00F34CA7"/>
    <w:rsid w:val="00F36544"/>
    <w:rsid w:val="00F36EF3"/>
    <w:rsid w:val="00F37E12"/>
    <w:rsid w:val="00F4187A"/>
    <w:rsid w:val="00F41915"/>
    <w:rsid w:val="00F4288B"/>
    <w:rsid w:val="00F43741"/>
    <w:rsid w:val="00F4444D"/>
    <w:rsid w:val="00F445DA"/>
    <w:rsid w:val="00F4591B"/>
    <w:rsid w:val="00F45F32"/>
    <w:rsid w:val="00F4735E"/>
    <w:rsid w:val="00F47E4D"/>
    <w:rsid w:val="00F47F43"/>
    <w:rsid w:val="00F51392"/>
    <w:rsid w:val="00F5193D"/>
    <w:rsid w:val="00F52A00"/>
    <w:rsid w:val="00F54376"/>
    <w:rsid w:val="00F56554"/>
    <w:rsid w:val="00F5662B"/>
    <w:rsid w:val="00F56E88"/>
    <w:rsid w:val="00F6371A"/>
    <w:rsid w:val="00F657FC"/>
    <w:rsid w:val="00F65A5A"/>
    <w:rsid w:val="00F65E31"/>
    <w:rsid w:val="00F67922"/>
    <w:rsid w:val="00F67DBC"/>
    <w:rsid w:val="00F72451"/>
    <w:rsid w:val="00F737CD"/>
    <w:rsid w:val="00F74855"/>
    <w:rsid w:val="00F74939"/>
    <w:rsid w:val="00F77624"/>
    <w:rsid w:val="00F7767C"/>
    <w:rsid w:val="00F80268"/>
    <w:rsid w:val="00F81039"/>
    <w:rsid w:val="00F82141"/>
    <w:rsid w:val="00F82552"/>
    <w:rsid w:val="00F85CC0"/>
    <w:rsid w:val="00F861E8"/>
    <w:rsid w:val="00F8621D"/>
    <w:rsid w:val="00F8636D"/>
    <w:rsid w:val="00F9044C"/>
    <w:rsid w:val="00F91602"/>
    <w:rsid w:val="00F92426"/>
    <w:rsid w:val="00F93D1A"/>
    <w:rsid w:val="00F95F23"/>
    <w:rsid w:val="00F963EA"/>
    <w:rsid w:val="00F97796"/>
    <w:rsid w:val="00FA01DA"/>
    <w:rsid w:val="00FA1CEF"/>
    <w:rsid w:val="00FA1EF5"/>
    <w:rsid w:val="00FA1FC5"/>
    <w:rsid w:val="00FA3190"/>
    <w:rsid w:val="00FA34E4"/>
    <w:rsid w:val="00FA7860"/>
    <w:rsid w:val="00FA7FE8"/>
    <w:rsid w:val="00FB0D10"/>
    <w:rsid w:val="00FB1A94"/>
    <w:rsid w:val="00FB1D9B"/>
    <w:rsid w:val="00FB1FBA"/>
    <w:rsid w:val="00FB26AA"/>
    <w:rsid w:val="00FB2AA1"/>
    <w:rsid w:val="00FB3806"/>
    <w:rsid w:val="00FB5317"/>
    <w:rsid w:val="00FB6839"/>
    <w:rsid w:val="00FC0912"/>
    <w:rsid w:val="00FC2892"/>
    <w:rsid w:val="00FC38C6"/>
    <w:rsid w:val="00FC6969"/>
    <w:rsid w:val="00FC6F94"/>
    <w:rsid w:val="00FD13C6"/>
    <w:rsid w:val="00FD14C3"/>
    <w:rsid w:val="00FD1A16"/>
    <w:rsid w:val="00FD26CA"/>
    <w:rsid w:val="00FD2793"/>
    <w:rsid w:val="00FD2AC1"/>
    <w:rsid w:val="00FD2C0F"/>
    <w:rsid w:val="00FD399F"/>
    <w:rsid w:val="00FD3A0C"/>
    <w:rsid w:val="00FD3C5F"/>
    <w:rsid w:val="00FD3F00"/>
    <w:rsid w:val="00FD41AE"/>
    <w:rsid w:val="00FD4ABA"/>
    <w:rsid w:val="00FD4D8E"/>
    <w:rsid w:val="00FD7D63"/>
    <w:rsid w:val="00FE1241"/>
    <w:rsid w:val="00FE1449"/>
    <w:rsid w:val="00FE163D"/>
    <w:rsid w:val="00FE1AF0"/>
    <w:rsid w:val="00FE1CA2"/>
    <w:rsid w:val="00FE26B6"/>
    <w:rsid w:val="00FE3A38"/>
    <w:rsid w:val="00FE5452"/>
    <w:rsid w:val="00FE6372"/>
    <w:rsid w:val="00FE669E"/>
    <w:rsid w:val="00FE6F0E"/>
    <w:rsid w:val="00FE7995"/>
    <w:rsid w:val="00FF099B"/>
    <w:rsid w:val="00FF162F"/>
    <w:rsid w:val="00FF2DFE"/>
    <w:rsid w:val="00FF2E1C"/>
    <w:rsid w:val="00FF2F7A"/>
    <w:rsid w:val="00FF52F6"/>
    <w:rsid w:val="00FF7C6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8BF3DA7-88D7-483C-A8F7-B8D44671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semiHidden/>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link w:val="ListParagraphChar"/>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 w:type="character" w:customStyle="1" w:styleId="ListParagraphChar">
    <w:name w:val="List Paragraph Char"/>
    <w:link w:val="ListParagraph"/>
    <w:uiPriority w:val="34"/>
    <w:rsid w:val="00EE64E6"/>
    <w:rPr>
      <w:rFonts w:ascii="Times New Roman" w:eastAsia="Times New Roman" w:hAnsi="Times New Roman" w:cs="Times New Roman"/>
      <w:sz w:val="24"/>
      <w:szCs w:val="24"/>
    </w:rPr>
  </w:style>
  <w:style w:type="paragraph" w:styleId="ListBullet">
    <w:name w:val="List Bullet"/>
    <w:basedOn w:val="Normal"/>
    <w:uiPriority w:val="99"/>
    <w:unhideWhenUsed/>
    <w:rsid w:val="00FA7FE8"/>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2FF9-19E4-4477-80D0-DF7FF9AD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19429</TotalTime>
  <Pages>16</Pages>
  <Words>27692</Words>
  <Characters>15786</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„Valsts informācijas un komunikācijas tehnoloģiju pārvaldības likums” sākotnējās ietekmes novērtējuma ziņojums (anotācija)</vt:lpstr>
      <vt:lpstr>Likumprojekta „Valsts informācijas un komunikācijas tehnoloģiju pārvaldības likums” sākotnējās ietekmes novērtējuma ziņojums (anotācija)</vt:lpstr>
    </vt:vector>
  </TitlesOfParts>
  <Company>Vides aizsardzības un reģionālās attīstības ministrija</Company>
  <LinksUpToDate>false</LinksUpToDate>
  <CharactersWithSpaces>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„Valsts informācijas un komunikācijas tehnoloģiju pārvaldības likums” sākotnējās ietekmes novērtējuma ziņojums (anotācija)</dc:title>
  <dc:subject>likumprojekta anotācija</dc:subject>
  <dc:creator>Vitālijs Ķeņģis</dc:creator>
  <dc:description>67026929, vitalijs.kengis@varam.gov.lv</dc:description>
  <cp:lastModifiedBy>Vitālijs Ķeņģis</cp:lastModifiedBy>
  <cp:revision>1031</cp:revision>
  <cp:lastPrinted>2017-08-24T12:22:00Z</cp:lastPrinted>
  <dcterms:created xsi:type="dcterms:W3CDTF">2017-05-13T11:00:00Z</dcterms:created>
  <dcterms:modified xsi:type="dcterms:W3CDTF">2017-12-01T10:06:00Z</dcterms:modified>
</cp:coreProperties>
</file>