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A35CD" w:rsidRPr="004541BF" w:rsidP="0091236A" w14:paraId="55BB757E" w14:textId="6D5FA583">
      <w:pPr>
        <w:pStyle w:val="BodyText31"/>
        <w:jc w:val="center"/>
        <w:rPr>
          <w:b w:val="0"/>
          <w:i w:val="0"/>
          <w:sz w:val="28"/>
          <w:szCs w:val="28"/>
        </w:rPr>
      </w:pPr>
      <w:bookmarkStart w:id="0" w:name="OLE_LINK1"/>
      <w:bookmarkStart w:id="1" w:name="OLE_LINK2"/>
      <w:r w:rsidRPr="004541BF">
        <w:rPr>
          <w:i w:val="0"/>
          <w:sz w:val="28"/>
          <w:szCs w:val="28"/>
        </w:rPr>
        <w:t>Likumprojekta "</w:t>
      </w:r>
      <w:bookmarkEnd w:id="0"/>
      <w:bookmarkEnd w:id="1"/>
      <w:r w:rsidRPr="004541BF" w:rsidR="0091236A">
        <w:rPr>
          <w:bCs/>
          <w:i w:val="0"/>
          <w:sz w:val="28"/>
          <w:szCs w:val="28"/>
        </w:rPr>
        <w:t>Grozījumi Sporta likumā</w:t>
      </w:r>
      <w:r w:rsidRPr="004541BF">
        <w:rPr>
          <w:i w:val="0"/>
          <w:sz w:val="28"/>
          <w:szCs w:val="28"/>
        </w:rPr>
        <w:t xml:space="preserve">" </w:t>
      </w:r>
    </w:p>
    <w:p w:rsidR="00894C55" w:rsidRPr="004541BF" w:rsidP="00A93F40" w14:paraId="13973B9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4541BF">
        <w:rPr>
          <w:rFonts w:ascii="Times New Roman" w:eastAsia="Times New Roman" w:hAnsi="Times New Roman" w:cs="Times New Roman"/>
          <w:b/>
          <w:bCs/>
          <w:sz w:val="28"/>
          <w:szCs w:val="24"/>
          <w:lang w:eastAsia="lv-LV"/>
        </w:rPr>
        <w:t>sākotnējās ietekmes novērtējuma ziņojums (anotācija)</w:t>
      </w:r>
    </w:p>
    <w:p w:rsidR="00894C55" w:rsidRPr="004541BF" w:rsidP="00016B55" w14:paraId="2BD4E685" w14:textId="77777777">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02B6AFD5"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A0C5E" w:rsidP="0050178F" w14:paraId="219C42AD"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A0C5E">
              <w:rPr>
                <w:rFonts w:ascii="Times New Roman" w:eastAsia="Times New Roman" w:hAnsi="Times New Roman" w:cs="Times New Roman"/>
                <w:b/>
                <w:bCs/>
                <w:sz w:val="28"/>
                <w:szCs w:val="28"/>
                <w:lang w:eastAsia="lv-LV"/>
              </w:rPr>
              <w:t>I.</w:t>
            </w:r>
            <w:r w:rsidRPr="00FA0C5E" w:rsidR="0050178F">
              <w:rPr>
                <w:rFonts w:ascii="Times New Roman" w:eastAsia="Times New Roman" w:hAnsi="Times New Roman" w:cs="Times New Roman"/>
                <w:b/>
                <w:bCs/>
                <w:sz w:val="28"/>
                <w:szCs w:val="28"/>
                <w:lang w:eastAsia="lv-LV"/>
              </w:rPr>
              <w:t> </w:t>
            </w:r>
            <w:r w:rsidRPr="00FA0C5E">
              <w:rPr>
                <w:rFonts w:ascii="Times New Roman" w:eastAsia="Times New Roman" w:hAnsi="Times New Roman" w:cs="Times New Roman"/>
                <w:b/>
                <w:bCs/>
                <w:sz w:val="28"/>
                <w:szCs w:val="28"/>
                <w:lang w:eastAsia="lv-LV"/>
              </w:rPr>
              <w:t>Tiesību akta projekta izstrādes nepieciešamība</w:t>
            </w:r>
          </w:p>
        </w:tc>
      </w:tr>
      <w:tr w14:paraId="7A7F966C" w14:textId="77777777" w:rsidTr="00193409">
        <w:tblPrEx>
          <w:tblW w:w="5000" w:type="pct"/>
          <w:tblCellMar>
            <w:top w:w="24" w:type="dxa"/>
            <w:left w:w="24" w:type="dxa"/>
            <w:bottom w:w="24" w:type="dxa"/>
            <w:right w:w="24" w:type="dxa"/>
          </w:tblCellMar>
          <w:tblLook w:val="04A0"/>
        </w:tblPrEx>
        <w:trPr>
          <w:trHeight w:val="2427"/>
        </w:trPr>
        <w:tc>
          <w:tcPr>
            <w:tcW w:w="250" w:type="pct"/>
            <w:tcBorders>
              <w:top w:val="outset" w:sz="6" w:space="0" w:color="414142"/>
              <w:left w:val="outset" w:sz="6" w:space="0" w:color="414142"/>
              <w:bottom w:val="outset" w:sz="6" w:space="0" w:color="414142"/>
              <w:right w:val="outset" w:sz="6" w:space="0" w:color="414142"/>
            </w:tcBorders>
            <w:hideMark/>
          </w:tcPr>
          <w:p w:rsidR="00894C55" w:rsidRPr="00FA0C5E" w:rsidP="00894C55" w14:paraId="35842EB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A0C5E" w:rsidP="00B91481" w14:paraId="2B00B5AB" w14:textId="77777777">
            <w:pPr>
              <w:spacing w:after="0" w:line="240" w:lineRule="auto"/>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976AE" w:rsidP="00193409" w14:paraId="58BCCE1C" w14:textId="1506F7BD">
            <w:pPr>
              <w:pStyle w:val="BodyText31"/>
              <w:jc w:val="both"/>
              <w:rPr>
                <w:b w:val="0"/>
                <w:i w:val="0"/>
                <w:sz w:val="28"/>
                <w:szCs w:val="28"/>
                <w:shd w:val="clear" w:color="auto" w:fill="FFFFFF"/>
              </w:rPr>
            </w:pPr>
            <w:r w:rsidRPr="00382166">
              <w:rPr>
                <w:b w:val="0"/>
                <w:i w:val="0"/>
                <w:sz w:val="28"/>
                <w:szCs w:val="28"/>
              </w:rPr>
              <w:t>Likumprojekt</w:t>
            </w:r>
            <w:r w:rsidR="00983B18">
              <w:rPr>
                <w:b w:val="0"/>
                <w:i w:val="0"/>
                <w:sz w:val="28"/>
                <w:szCs w:val="28"/>
              </w:rPr>
              <w:t>s</w:t>
            </w:r>
            <w:r w:rsidRPr="00382166">
              <w:rPr>
                <w:b w:val="0"/>
                <w:i w:val="0"/>
                <w:sz w:val="28"/>
                <w:szCs w:val="28"/>
              </w:rPr>
              <w:t xml:space="preserve"> "</w:t>
            </w:r>
            <w:r w:rsidRPr="00382166">
              <w:rPr>
                <w:b w:val="0"/>
                <w:bCs/>
                <w:i w:val="0"/>
                <w:sz w:val="28"/>
                <w:szCs w:val="28"/>
              </w:rPr>
              <w:t>Grozījumi Sporta likumā</w:t>
            </w:r>
            <w:r w:rsidRPr="00382166">
              <w:rPr>
                <w:b w:val="0"/>
                <w:i w:val="0"/>
                <w:sz w:val="28"/>
                <w:szCs w:val="28"/>
              </w:rPr>
              <w:t xml:space="preserve">" (turpmāk – likumprojekts) </w:t>
            </w:r>
            <w:r w:rsidRPr="00382166">
              <w:rPr>
                <w:b w:val="0"/>
                <w:i w:val="0"/>
                <w:sz w:val="28"/>
                <w:szCs w:val="28"/>
                <w:shd w:val="clear" w:color="auto" w:fill="FFFFFF"/>
              </w:rPr>
              <w:t>izstrādāts, lai izpildītu Ministru kabi</w:t>
            </w:r>
            <w:r w:rsidRPr="006944E0">
              <w:rPr>
                <w:b w:val="0"/>
                <w:i w:val="0"/>
                <w:sz w:val="28"/>
                <w:szCs w:val="28"/>
                <w:shd w:val="clear" w:color="auto" w:fill="FFFFFF"/>
              </w:rPr>
              <w:t xml:space="preserve">neta 2017. gada </w:t>
            </w:r>
            <w:r w:rsidRPr="006944E0" w:rsidR="006909BF">
              <w:rPr>
                <w:b w:val="0"/>
                <w:i w:val="0"/>
                <w:sz w:val="28"/>
                <w:szCs w:val="28"/>
                <w:shd w:val="clear" w:color="auto" w:fill="FFFFFF"/>
              </w:rPr>
              <w:t>26</w:t>
            </w:r>
            <w:r w:rsidRPr="006944E0">
              <w:rPr>
                <w:b w:val="0"/>
                <w:i w:val="0"/>
                <w:sz w:val="28"/>
                <w:szCs w:val="28"/>
                <w:shd w:val="clear" w:color="auto" w:fill="FFFFFF"/>
              </w:rPr>
              <w:t>. septembra</w:t>
            </w:r>
            <w:r w:rsidRPr="006944E0" w:rsidR="006909BF">
              <w:rPr>
                <w:b w:val="0"/>
                <w:i w:val="0"/>
                <w:sz w:val="28"/>
                <w:szCs w:val="28"/>
                <w:shd w:val="clear" w:color="auto" w:fill="FFFFFF"/>
              </w:rPr>
              <w:t xml:space="preserve"> rīkojuma Nr. 539 (protokols</w:t>
            </w:r>
            <w:r w:rsidRPr="006944E0">
              <w:rPr>
                <w:b w:val="0"/>
                <w:i w:val="0"/>
                <w:sz w:val="28"/>
                <w:szCs w:val="28"/>
                <w:shd w:val="clear" w:color="auto" w:fill="FFFFFF"/>
              </w:rPr>
              <w:t xml:space="preserve"> Nr. </w:t>
            </w:r>
            <w:r w:rsidRPr="006944E0" w:rsidR="006909BF">
              <w:rPr>
                <w:b w:val="0"/>
                <w:i w:val="0"/>
                <w:sz w:val="28"/>
                <w:szCs w:val="28"/>
                <w:shd w:val="clear" w:color="auto" w:fill="FFFFFF"/>
              </w:rPr>
              <w:t>48 40. §) 3</w:t>
            </w:r>
            <w:r w:rsidRPr="006944E0">
              <w:rPr>
                <w:b w:val="0"/>
                <w:i w:val="0"/>
                <w:sz w:val="28"/>
                <w:szCs w:val="28"/>
                <w:shd w:val="clear" w:color="auto" w:fill="FFFFFF"/>
              </w:rPr>
              <w:t>.</w:t>
            </w:r>
            <w:r w:rsidRPr="006944E0" w:rsidR="006909BF">
              <w:rPr>
                <w:b w:val="0"/>
                <w:i w:val="0"/>
                <w:sz w:val="28"/>
                <w:szCs w:val="28"/>
                <w:shd w:val="clear" w:color="auto" w:fill="FFFFFF"/>
              </w:rPr>
              <w:t> </w:t>
            </w:r>
            <w:r w:rsidRPr="006944E0">
              <w:rPr>
                <w:b w:val="0"/>
                <w:i w:val="0"/>
                <w:sz w:val="28"/>
                <w:szCs w:val="28"/>
                <w:shd w:val="clear" w:color="auto" w:fill="FFFFFF"/>
              </w:rPr>
              <w:t xml:space="preserve">punktā doto uzdevumu, kas paredz Veselības ministrijai sadarbībā ar Izglītības un zinātnes ministriju izstrādāt un veselības ministrei līdz 2018. gada 1. jūlijam </w:t>
            </w:r>
            <w:r w:rsidRPr="006944E0" w:rsidR="006909BF">
              <w:rPr>
                <w:b w:val="0"/>
                <w:i w:val="0"/>
                <w:sz w:val="28"/>
                <w:szCs w:val="28"/>
                <w:shd w:val="clear" w:color="auto" w:fill="FFFFFF"/>
              </w:rPr>
              <w:t xml:space="preserve">iesniegt </w:t>
            </w:r>
            <w:r w:rsidRPr="006944E0">
              <w:rPr>
                <w:b w:val="0"/>
                <w:i w:val="0"/>
                <w:sz w:val="28"/>
                <w:szCs w:val="28"/>
                <w:shd w:val="clear" w:color="auto" w:fill="FFFFFF"/>
              </w:rPr>
              <w:t xml:space="preserve">noteiktā kārtībā Ministru kabinetā konceptuālajā ziņojumā ietvertā risinājuma </w:t>
            </w:r>
            <w:r w:rsidRPr="006944E0" w:rsidR="006909BF">
              <w:rPr>
                <w:b w:val="0"/>
                <w:i w:val="0"/>
                <w:sz w:val="28"/>
                <w:szCs w:val="28"/>
                <w:shd w:val="clear" w:color="auto" w:fill="FFFFFF"/>
              </w:rPr>
              <w:t xml:space="preserve">īstenošanai </w:t>
            </w:r>
            <w:r w:rsidRPr="006944E0">
              <w:rPr>
                <w:b w:val="0"/>
                <w:i w:val="0"/>
                <w:sz w:val="28"/>
                <w:szCs w:val="28"/>
                <w:shd w:val="clear" w:color="auto" w:fill="FFFFFF"/>
              </w:rPr>
              <w:t>nepieciešamos normatīvo aktu projektus</w:t>
            </w:r>
            <w:r w:rsidRPr="006944E0" w:rsidR="006909BF">
              <w:rPr>
                <w:b w:val="0"/>
                <w:i w:val="0"/>
                <w:sz w:val="28"/>
                <w:szCs w:val="28"/>
                <w:shd w:val="clear" w:color="auto" w:fill="FFFFFF"/>
              </w:rPr>
              <w:t>.</w:t>
            </w:r>
          </w:p>
          <w:p w:rsidR="00B51548" w:rsidRPr="00F976AE" w:rsidP="00193409" w14:paraId="0EF224EF" w14:textId="0A529F97">
            <w:pPr>
              <w:pStyle w:val="BodyText31"/>
              <w:jc w:val="both"/>
              <w:rPr>
                <w:i w:val="0"/>
                <w:sz w:val="28"/>
                <w:szCs w:val="28"/>
              </w:rPr>
            </w:pPr>
          </w:p>
        </w:tc>
      </w:tr>
      <w:tr w14:paraId="3FBD22CA"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A0C5E" w:rsidP="00894C55" w14:paraId="0BBAB6E2"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A0C5E" w:rsidP="00FE290E" w14:paraId="0696D5E3" w14:textId="4AD3CEBB">
            <w:pPr>
              <w:spacing w:after="0" w:line="240" w:lineRule="auto"/>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E290E" w:rsidP="00B641D6" w14:paraId="5DAF58FB" w14:textId="77777777">
            <w:pPr>
              <w:spacing w:after="0" w:line="240" w:lineRule="auto"/>
              <w:jc w:val="both"/>
              <w:rPr>
                <w:rFonts w:ascii="Times New Roman" w:hAnsi="Times New Roman" w:cs="Times New Roman"/>
                <w:bCs/>
                <w:sz w:val="28"/>
                <w:szCs w:val="28"/>
              </w:rPr>
            </w:pPr>
            <w:r w:rsidRPr="00FA0C5E">
              <w:rPr>
                <w:rFonts w:ascii="Times New Roman" w:eastAsia="Times New Roman" w:hAnsi="Times New Roman" w:cs="Times New Roman"/>
                <w:sz w:val="28"/>
                <w:szCs w:val="28"/>
                <w:lang w:eastAsia="lv-LV"/>
              </w:rPr>
              <w:t>2017. gada</w:t>
            </w:r>
            <w:r w:rsidRPr="00FA0C5E" w:rsidR="003970DA">
              <w:rPr>
                <w:rFonts w:ascii="Times New Roman" w:eastAsia="Times New Roman" w:hAnsi="Times New Roman" w:cs="Times New Roman"/>
                <w:sz w:val="28"/>
                <w:szCs w:val="28"/>
                <w:lang w:eastAsia="lv-LV"/>
              </w:rPr>
              <w:t xml:space="preserve"> </w:t>
            </w:r>
            <w:r w:rsidR="000C776E">
              <w:rPr>
                <w:rFonts w:ascii="Times New Roman" w:eastAsia="Times New Roman" w:hAnsi="Times New Roman" w:cs="Times New Roman"/>
                <w:sz w:val="28"/>
                <w:szCs w:val="28"/>
                <w:lang w:eastAsia="lv-LV"/>
              </w:rPr>
              <w:t>26</w:t>
            </w:r>
            <w:r w:rsidR="00FB7B10">
              <w:rPr>
                <w:rFonts w:ascii="Times New Roman" w:eastAsia="Times New Roman" w:hAnsi="Times New Roman" w:cs="Times New Roman"/>
                <w:sz w:val="28"/>
                <w:szCs w:val="28"/>
                <w:lang w:eastAsia="lv-LV"/>
              </w:rPr>
              <w:t>. </w:t>
            </w:r>
            <w:r w:rsidR="000C776E">
              <w:rPr>
                <w:rFonts w:ascii="Times New Roman" w:eastAsia="Times New Roman" w:hAnsi="Times New Roman" w:cs="Times New Roman"/>
                <w:sz w:val="28"/>
                <w:szCs w:val="28"/>
                <w:lang w:eastAsia="lv-LV"/>
              </w:rPr>
              <w:t xml:space="preserve">septembrī Ministru kabinetā tika izskatīts Veselības </w:t>
            </w:r>
            <w:r w:rsidRPr="007B0633" w:rsidR="000C776E">
              <w:rPr>
                <w:rFonts w:ascii="Times New Roman" w:eastAsia="Times New Roman" w:hAnsi="Times New Roman" w:cs="Times New Roman"/>
                <w:sz w:val="28"/>
                <w:szCs w:val="28"/>
                <w:lang w:eastAsia="lv-LV"/>
              </w:rPr>
              <w:t xml:space="preserve">ministrijas sagatavotais konceptuālais ziņojums </w:t>
            </w:r>
            <w:r w:rsidRPr="007B0633" w:rsidR="000C776E">
              <w:rPr>
                <w:rFonts w:ascii="Times New Roman" w:hAnsi="Times New Roman" w:cs="Times New Roman"/>
                <w:sz w:val="28"/>
                <w:szCs w:val="28"/>
              </w:rPr>
              <w:t>"</w:t>
            </w:r>
            <w:r w:rsidRPr="007B0633" w:rsidR="000C776E">
              <w:rPr>
                <w:rFonts w:ascii="Times New Roman" w:eastAsia="Times New Roman" w:hAnsi="Times New Roman" w:cs="Times New Roman"/>
                <w:sz w:val="28"/>
                <w:szCs w:val="28"/>
                <w:lang w:eastAsia="lv-LV"/>
              </w:rPr>
              <w:t>Par situāciju antidopinga jomā Latvijā un nepieciešamajām izmaiņām</w:t>
            </w:r>
            <w:r w:rsidRPr="007B0633" w:rsidR="000C776E">
              <w:rPr>
                <w:rFonts w:ascii="Times New Roman" w:hAnsi="Times New Roman" w:cs="Times New Roman"/>
                <w:sz w:val="28"/>
                <w:szCs w:val="28"/>
              </w:rPr>
              <w:t>"</w:t>
            </w:r>
            <w:r w:rsidRPr="007B0633" w:rsidR="00C07AF2">
              <w:rPr>
                <w:rFonts w:ascii="Times New Roman" w:hAnsi="Times New Roman" w:eastAsiaTheme="majorEastAsia" w:cs="Times New Roman"/>
                <w:bCs/>
                <w:color w:val="000000" w:themeColor="text1"/>
                <w:kern w:val="24"/>
                <w:sz w:val="28"/>
                <w:szCs w:val="28"/>
              </w:rPr>
              <w:t>, kurā</w:t>
            </w:r>
            <w:r w:rsidRPr="007B0633" w:rsidR="00693247">
              <w:rPr>
                <w:rFonts w:ascii="Times New Roman" w:hAnsi="Times New Roman" w:eastAsiaTheme="majorEastAsia" w:cs="Times New Roman"/>
                <w:bCs/>
                <w:color w:val="000000" w:themeColor="text1"/>
                <w:kern w:val="24"/>
                <w:sz w:val="28"/>
                <w:szCs w:val="28"/>
              </w:rPr>
              <w:t xml:space="preserve"> aprakstīta </w:t>
            </w:r>
            <w:r w:rsidRPr="007B0633" w:rsidR="002C0610">
              <w:rPr>
                <w:rFonts w:ascii="Times New Roman" w:hAnsi="Times New Roman" w:cs="Times New Roman"/>
                <w:sz w:val="28"/>
                <w:szCs w:val="28"/>
              </w:rPr>
              <w:t>pašreizējā situācija</w:t>
            </w:r>
            <w:r w:rsidRPr="007B0633" w:rsidR="00BC4714">
              <w:rPr>
                <w:rFonts w:ascii="Times New Roman" w:hAnsi="Times New Roman" w:cs="Times New Roman"/>
                <w:sz w:val="28"/>
                <w:szCs w:val="28"/>
              </w:rPr>
              <w:t xml:space="preserve"> antidopinga jomā Latvijā</w:t>
            </w:r>
            <w:r w:rsidRPr="007B0633" w:rsidR="00693247">
              <w:rPr>
                <w:rFonts w:ascii="Times New Roman" w:hAnsi="Times New Roman" w:cs="Times New Roman"/>
                <w:sz w:val="28"/>
                <w:szCs w:val="28"/>
              </w:rPr>
              <w:t xml:space="preserve"> un</w:t>
            </w:r>
            <w:r w:rsidRPr="007B0633" w:rsidR="00BC4714">
              <w:rPr>
                <w:rFonts w:ascii="Times New Roman" w:hAnsi="Times New Roman" w:cs="Times New Roman"/>
                <w:sz w:val="28"/>
                <w:szCs w:val="28"/>
              </w:rPr>
              <w:t xml:space="preserve"> pastāvošās problēmas attiecībā uz Starptautiskā</w:t>
            </w:r>
            <w:r w:rsidRPr="007B0633" w:rsidR="0087731C">
              <w:rPr>
                <w:rFonts w:ascii="Times New Roman" w:hAnsi="Times New Roman" w:cs="Times New Roman"/>
                <w:sz w:val="28"/>
                <w:szCs w:val="28"/>
              </w:rPr>
              <w:t xml:space="preserve"> konvencijā pret dopingu sportā </w:t>
            </w:r>
            <w:r w:rsidRPr="007B0633" w:rsidR="008F50E6">
              <w:rPr>
                <w:rFonts w:ascii="Times New Roman" w:hAnsi="Times New Roman" w:cs="Times New Roman"/>
                <w:sz w:val="28"/>
                <w:szCs w:val="28"/>
              </w:rPr>
              <w:t>un tās 1. papildinājum</w:t>
            </w:r>
            <w:r w:rsidRPr="007B0633" w:rsidR="0087731C">
              <w:rPr>
                <w:rFonts w:ascii="Times New Roman" w:hAnsi="Times New Roman" w:cs="Times New Roman"/>
                <w:sz w:val="28"/>
                <w:szCs w:val="28"/>
              </w:rPr>
              <w:t>ā</w:t>
            </w:r>
            <w:r w:rsidRPr="007B0633" w:rsidR="008F50E6">
              <w:rPr>
                <w:rFonts w:ascii="Times New Roman" w:hAnsi="Times New Roman" w:cs="Times New Roman"/>
                <w:sz w:val="28"/>
                <w:szCs w:val="28"/>
              </w:rPr>
              <w:t xml:space="preserve"> Pasaules Antidopinga kodeksā </w:t>
            </w:r>
            <w:r w:rsidRPr="007B0633" w:rsidR="00BC4714">
              <w:rPr>
                <w:rFonts w:ascii="Times New Roman" w:hAnsi="Times New Roman" w:cs="Times New Roman"/>
                <w:sz w:val="28"/>
                <w:szCs w:val="28"/>
              </w:rPr>
              <w:t>notei</w:t>
            </w:r>
            <w:r w:rsidRPr="007B0633" w:rsidR="00693247">
              <w:rPr>
                <w:rFonts w:ascii="Times New Roman" w:hAnsi="Times New Roman" w:cs="Times New Roman"/>
                <w:sz w:val="28"/>
                <w:szCs w:val="28"/>
              </w:rPr>
              <w:t>kto normu ievērošanu un izpildi</w:t>
            </w:r>
            <w:r w:rsidRPr="007B0633" w:rsidR="00A464F6">
              <w:rPr>
                <w:rFonts w:ascii="Times New Roman" w:hAnsi="Times New Roman" w:cs="Times New Roman"/>
                <w:sz w:val="28"/>
                <w:szCs w:val="28"/>
              </w:rPr>
              <w:t>, norādot, ka</w:t>
            </w:r>
            <w:r w:rsidRPr="007B0633" w:rsidR="00BC4714">
              <w:rPr>
                <w:rFonts w:ascii="Times New Roman" w:hAnsi="Times New Roman" w:cs="Times New Roman"/>
                <w:sz w:val="28"/>
                <w:szCs w:val="28"/>
              </w:rPr>
              <w:t xml:space="preserve"> </w:t>
            </w:r>
            <w:r w:rsidRPr="007B0633" w:rsidR="00693247">
              <w:rPr>
                <w:rFonts w:ascii="Times New Roman" w:hAnsi="Times New Roman" w:cs="Times New Roman"/>
                <w:sz w:val="28"/>
                <w:szCs w:val="28"/>
              </w:rPr>
              <w:t>s</w:t>
            </w:r>
            <w:r w:rsidRPr="007B0633" w:rsidR="00BC4714">
              <w:rPr>
                <w:rFonts w:ascii="Times New Roman" w:hAnsi="Times New Roman" w:cs="Times New Roman"/>
                <w:sz w:val="28"/>
                <w:szCs w:val="28"/>
              </w:rPr>
              <w:t xml:space="preserve">askaņā ar Pasaules Antidopinga organizācijas veikto aptauju par </w:t>
            </w:r>
            <w:r w:rsidRPr="007B0633" w:rsidR="00693247">
              <w:rPr>
                <w:rFonts w:ascii="Times New Roman" w:hAnsi="Times New Roman" w:cs="Times New Roman"/>
                <w:sz w:val="28"/>
                <w:szCs w:val="28"/>
              </w:rPr>
              <w:t xml:space="preserve">Pasaules Antidopinga kodeksa </w:t>
            </w:r>
            <w:r w:rsidRPr="007B0633" w:rsidR="00BC4714">
              <w:rPr>
                <w:rFonts w:ascii="Times New Roman" w:hAnsi="Times New Roman" w:cs="Times New Roman"/>
                <w:sz w:val="28"/>
                <w:szCs w:val="28"/>
              </w:rPr>
              <w:t>atbilstību dalībvalstīs, Latvijas antidopinga sistēmā ir kons</w:t>
            </w:r>
            <w:r w:rsidRPr="007B0633" w:rsidR="00353143">
              <w:rPr>
                <w:rFonts w:ascii="Times New Roman" w:hAnsi="Times New Roman" w:cs="Times New Roman"/>
                <w:sz w:val="28"/>
                <w:szCs w:val="28"/>
              </w:rPr>
              <w:t>tatētas vairākas neatbilstības, tostarp</w:t>
            </w:r>
            <w:r w:rsidRPr="007B0633" w:rsidR="00BC4714">
              <w:rPr>
                <w:rFonts w:ascii="Times New Roman" w:hAnsi="Times New Roman" w:cs="Times New Roman"/>
                <w:sz w:val="28"/>
                <w:szCs w:val="28"/>
              </w:rPr>
              <w:t xml:space="preserve"> ir nepietiekama valsts antidopinga</w:t>
            </w:r>
            <w:r w:rsidRPr="00FA0C5E" w:rsidR="00BC4714">
              <w:rPr>
                <w:rFonts w:ascii="Times New Roman" w:hAnsi="Times New Roman" w:cs="Times New Roman"/>
                <w:sz w:val="28"/>
                <w:szCs w:val="28"/>
              </w:rPr>
              <w:t xml:space="preserve"> organizācijas autonomija (Latvijā nacionālā antidopinga organizācija ir Valsts sporta medicīnas centra (turpm</w:t>
            </w:r>
            <w:r w:rsidRPr="00FA0C5E" w:rsidR="00353143">
              <w:rPr>
                <w:rFonts w:ascii="Times New Roman" w:hAnsi="Times New Roman" w:cs="Times New Roman"/>
                <w:sz w:val="28"/>
                <w:szCs w:val="28"/>
              </w:rPr>
              <w:t xml:space="preserve">āk – VSMC) Antidopinga nodaļa). Ņemot </w:t>
            </w:r>
            <w:r w:rsidRPr="00FA0C5E" w:rsidR="00A464F6">
              <w:rPr>
                <w:rFonts w:ascii="Times New Roman" w:hAnsi="Times New Roman" w:cs="Times New Roman"/>
                <w:sz w:val="28"/>
                <w:szCs w:val="28"/>
              </w:rPr>
              <w:t>vērā</w:t>
            </w:r>
            <w:r w:rsidRPr="00FA0C5E" w:rsidR="00353143">
              <w:rPr>
                <w:rFonts w:ascii="Times New Roman" w:hAnsi="Times New Roman" w:cs="Times New Roman"/>
                <w:sz w:val="28"/>
                <w:szCs w:val="28"/>
              </w:rPr>
              <w:t xml:space="preserve"> minēto</w:t>
            </w:r>
            <w:r w:rsidRPr="00FA0C5E" w:rsidR="00A464F6">
              <w:rPr>
                <w:rFonts w:ascii="Times New Roman" w:hAnsi="Times New Roman" w:cs="Times New Roman"/>
                <w:sz w:val="28"/>
                <w:szCs w:val="28"/>
              </w:rPr>
              <w:t xml:space="preserve">, šīm neatbilstībām varētu būt nopietnas sekas, tostarp apdraudēta Latvijas sportistu dalība </w:t>
            </w:r>
            <w:r w:rsidRPr="00FA0C5E" w:rsidR="005A4F86">
              <w:rPr>
                <w:rFonts w:ascii="Times New Roman" w:hAnsi="Times New Roman" w:cs="Times New Roman"/>
                <w:bCs/>
                <w:sz w:val="28"/>
                <w:szCs w:val="28"/>
              </w:rPr>
              <w:t xml:space="preserve">Olimpiskajās spēlēs (t.sk., XXIII Ziemas Olimpiskās spēles </w:t>
            </w:r>
            <w:r w:rsidRPr="00FA0C5E" w:rsidR="005A4F86">
              <w:rPr>
                <w:rFonts w:ascii="Times New Roman" w:hAnsi="Times New Roman" w:cs="Times New Roman"/>
                <w:bCs/>
                <w:sz w:val="28"/>
                <w:szCs w:val="28"/>
              </w:rPr>
              <w:t>Phjončhanā</w:t>
            </w:r>
            <w:r w:rsidRPr="00FA0C5E" w:rsidR="005A4F86">
              <w:rPr>
                <w:rFonts w:ascii="Times New Roman" w:hAnsi="Times New Roman" w:cs="Times New Roman"/>
                <w:bCs/>
                <w:sz w:val="28"/>
                <w:szCs w:val="28"/>
              </w:rPr>
              <w:t>, Dienvidkorejā, no 2018. gada 9. līdz 25. februārim), kā arī Latvijai var tikt piespriesta soda nauda 10 000 USD apmērā un soda nauda</w:t>
            </w:r>
            <w:r>
              <w:rPr>
                <w:rFonts w:ascii="Times New Roman" w:hAnsi="Times New Roman" w:cs="Times New Roman"/>
                <w:bCs/>
                <w:sz w:val="28"/>
                <w:szCs w:val="28"/>
              </w:rPr>
              <w:t xml:space="preserve"> divu gadu dalībvalsts </w:t>
            </w:r>
          </w:p>
          <w:p w:rsidR="00CC2528" w:rsidRPr="00FA0C5E" w:rsidP="00B641D6" w14:paraId="1DAD3B85" w14:textId="707F460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Pasaules </w:t>
            </w:r>
            <w:r w:rsidRPr="00FA0C5E" w:rsidR="005A4F86">
              <w:rPr>
                <w:rFonts w:ascii="Times New Roman" w:hAnsi="Times New Roman" w:cs="Times New Roman"/>
                <w:bCs/>
                <w:sz w:val="28"/>
                <w:szCs w:val="28"/>
              </w:rPr>
              <w:t>antidopinga aģentūras atbalsta maksas apmērā, daļēji vai p</w:t>
            </w:r>
            <w:r>
              <w:rPr>
                <w:rFonts w:ascii="Times New Roman" w:hAnsi="Times New Roman" w:cs="Times New Roman"/>
                <w:bCs/>
                <w:sz w:val="28"/>
                <w:szCs w:val="28"/>
              </w:rPr>
              <w:t xml:space="preserve">ilnīgi apturēts starptautiskais finansējums dalībvalstu </w:t>
            </w:r>
            <w:r w:rsidRPr="00FA0C5E" w:rsidR="005A4F86">
              <w:rPr>
                <w:rFonts w:ascii="Times New Roman" w:hAnsi="Times New Roman" w:cs="Times New Roman"/>
                <w:bCs/>
                <w:sz w:val="28"/>
                <w:szCs w:val="28"/>
              </w:rPr>
              <w:t>nacionālajām</w:t>
            </w:r>
            <w:r>
              <w:rPr>
                <w:rFonts w:ascii="Times New Roman" w:hAnsi="Times New Roman" w:cs="Times New Roman"/>
                <w:bCs/>
                <w:sz w:val="28"/>
                <w:szCs w:val="28"/>
              </w:rPr>
              <w:t xml:space="preserve"> </w:t>
            </w:r>
            <w:r w:rsidRPr="00FA0C5E" w:rsidR="005A4F86">
              <w:rPr>
                <w:rFonts w:ascii="Times New Roman" w:hAnsi="Times New Roman" w:cs="Times New Roman"/>
                <w:bCs/>
                <w:sz w:val="28"/>
                <w:szCs w:val="28"/>
              </w:rPr>
              <w:t xml:space="preserve">olimpiskajām organizācijām, aizliegts rīkot pasaules čempionātus un lielus sporta pasākumus un citi. Kā risinājums </w:t>
            </w:r>
            <w:r w:rsidRPr="00FB7B10" w:rsidR="00E055EA">
              <w:rPr>
                <w:rFonts w:ascii="Times New Roman" w:hAnsi="Times New Roman" w:cs="Times New Roman"/>
                <w:bCs/>
                <w:sz w:val="28"/>
                <w:szCs w:val="28"/>
              </w:rPr>
              <w:t>konceptuālajā</w:t>
            </w:r>
            <w:r w:rsidRPr="00FB7B10" w:rsidR="005A4F86">
              <w:rPr>
                <w:rFonts w:ascii="Times New Roman" w:hAnsi="Times New Roman" w:cs="Times New Roman"/>
                <w:bCs/>
                <w:sz w:val="28"/>
                <w:szCs w:val="28"/>
              </w:rPr>
              <w:t xml:space="preserve"> ziņojumā tiek piedāvāts izveidot</w:t>
            </w:r>
            <w:r w:rsidRPr="00FB7B10" w:rsidR="00E055EA">
              <w:rPr>
                <w:rFonts w:ascii="Times New Roman" w:hAnsi="Times New Roman" w:cs="Times New Roman"/>
                <w:bCs/>
                <w:sz w:val="28"/>
                <w:szCs w:val="28"/>
              </w:rPr>
              <w:t xml:space="preserve"> </w:t>
            </w:r>
            <w:r w:rsidRPr="00FB7B10" w:rsidR="006E0740">
              <w:rPr>
                <w:rFonts w:ascii="Times New Roman" w:hAnsi="Times New Roman" w:cs="Times New Roman"/>
                <w:bCs/>
                <w:sz w:val="28"/>
                <w:szCs w:val="28"/>
              </w:rPr>
              <w:t>Antidopinga biroju VSMC reorganizācijas rezultātā</w:t>
            </w:r>
            <w:r w:rsidRPr="00FB7B10" w:rsidR="00BC4714">
              <w:rPr>
                <w:rFonts w:ascii="Times New Roman" w:hAnsi="Times New Roman" w:cs="Times New Roman"/>
                <w:bCs/>
                <w:sz w:val="28"/>
                <w:szCs w:val="28"/>
              </w:rPr>
              <w:t>.</w:t>
            </w:r>
            <w:r w:rsidRPr="00FB7B10" w:rsidR="00E055EA">
              <w:rPr>
                <w:rFonts w:ascii="Times New Roman" w:hAnsi="Times New Roman" w:cs="Times New Roman"/>
                <w:bCs/>
                <w:sz w:val="28"/>
                <w:szCs w:val="28"/>
              </w:rPr>
              <w:t xml:space="preserve"> Ministru kabinet</w:t>
            </w:r>
            <w:r w:rsidRPr="00FB7B10" w:rsidR="00193409">
              <w:rPr>
                <w:rFonts w:ascii="Times New Roman" w:hAnsi="Times New Roman" w:cs="Times New Roman"/>
                <w:bCs/>
                <w:sz w:val="28"/>
                <w:szCs w:val="28"/>
              </w:rPr>
              <w:t xml:space="preserve">a </w:t>
            </w:r>
            <w:r w:rsidRPr="00FB7B10" w:rsidR="00FB7B10">
              <w:rPr>
                <w:rFonts w:ascii="Times New Roman" w:hAnsi="Times New Roman" w:cs="Times New Roman"/>
                <w:sz w:val="28"/>
                <w:szCs w:val="28"/>
                <w:shd w:val="clear" w:color="auto" w:fill="FFFFFF"/>
              </w:rPr>
              <w:t xml:space="preserve">2017. gada 26. septembra rīkojuma Nr. 539 (protokols Nr. 48 40. §) 3. punkts </w:t>
            </w:r>
            <w:r w:rsidRPr="00FB7B10" w:rsidR="00193409">
              <w:rPr>
                <w:rFonts w:ascii="Times New Roman" w:hAnsi="Times New Roman" w:cs="Times New Roman"/>
                <w:bCs/>
                <w:sz w:val="28"/>
                <w:szCs w:val="28"/>
              </w:rPr>
              <w:t xml:space="preserve">paredz, </w:t>
            </w:r>
            <w:r w:rsidRPr="00FB7B10" w:rsidR="00C6245D">
              <w:rPr>
                <w:rFonts w:ascii="Times New Roman" w:hAnsi="Times New Roman" w:cs="Times New Roman"/>
                <w:bCs/>
                <w:sz w:val="28"/>
                <w:szCs w:val="28"/>
              </w:rPr>
              <w:t xml:space="preserve">ka </w:t>
            </w:r>
            <w:r w:rsidRPr="00FB7B10" w:rsidR="00E055EA">
              <w:rPr>
                <w:rFonts w:ascii="Times New Roman" w:eastAsia="Times New Roman" w:hAnsi="Times New Roman" w:cs="Times New Roman"/>
                <w:sz w:val="28"/>
                <w:szCs w:val="28"/>
                <w:lang w:eastAsia="lv-LV"/>
              </w:rPr>
              <w:t xml:space="preserve">Veselības ministrija </w:t>
            </w:r>
            <w:r w:rsidRPr="00FB7B10" w:rsidR="00E055EA">
              <w:rPr>
                <w:rFonts w:ascii="Times New Roman" w:hAnsi="Times New Roman" w:cs="Times New Roman"/>
                <w:sz w:val="28"/>
                <w:szCs w:val="28"/>
                <w:shd w:val="clear" w:color="auto" w:fill="FFFFFF"/>
              </w:rPr>
              <w:t>sadarbībā ar Izglītības un zinātnes ministriju izstrādā un</w:t>
            </w:r>
            <w:r w:rsidRPr="00FA0C5E" w:rsidR="00E055EA">
              <w:rPr>
                <w:rFonts w:ascii="Times New Roman" w:hAnsi="Times New Roman" w:cs="Times New Roman"/>
                <w:sz w:val="28"/>
                <w:szCs w:val="28"/>
                <w:shd w:val="clear" w:color="auto" w:fill="FFFFFF"/>
              </w:rPr>
              <w:t xml:space="preserve"> veselības ministre noteiktā kārtībā iesnie</w:t>
            </w:r>
            <w:r w:rsidRPr="00FA0C5E" w:rsidR="00193409">
              <w:rPr>
                <w:rFonts w:ascii="Times New Roman" w:hAnsi="Times New Roman" w:cs="Times New Roman"/>
                <w:sz w:val="28"/>
                <w:szCs w:val="28"/>
                <w:shd w:val="clear" w:color="auto" w:fill="FFFFFF"/>
              </w:rPr>
              <w:t xml:space="preserve">dz </w:t>
            </w:r>
            <w:r w:rsidRPr="00FA0C5E" w:rsidR="00E055EA">
              <w:rPr>
                <w:rFonts w:ascii="Times New Roman" w:hAnsi="Times New Roman" w:cs="Times New Roman"/>
                <w:sz w:val="28"/>
                <w:szCs w:val="28"/>
                <w:shd w:val="clear" w:color="auto" w:fill="FFFFFF"/>
              </w:rPr>
              <w:t>Ministru kabinetā konceptuālajā ziņojumā ietvertā risinājuma ieviešanai nepieciešamos normatīvo aktu projektus, tostarp arī Sporta likuma  groz</w:t>
            </w:r>
            <w:r w:rsidR="007B0633">
              <w:rPr>
                <w:rFonts w:ascii="Times New Roman" w:hAnsi="Times New Roman" w:cs="Times New Roman"/>
                <w:sz w:val="28"/>
                <w:szCs w:val="28"/>
                <w:shd w:val="clear" w:color="auto" w:fill="FFFFFF"/>
              </w:rPr>
              <w:t xml:space="preserve">ījumu </w:t>
            </w:r>
            <w:r w:rsidRPr="00FA0C5E" w:rsidR="00193409">
              <w:rPr>
                <w:rFonts w:ascii="Times New Roman" w:hAnsi="Times New Roman" w:cs="Times New Roman"/>
                <w:sz w:val="28"/>
                <w:szCs w:val="28"/>
                <w:shd w:val="clear" w:color="auto" w:fill="FFFFFF"/>
              </w:rPr>
              <w:t>projektu.</w:t>
            </w:r>
          </w:p>
          <w:p w:rsidR="00646187" w:rsidRPr="00FA0C5E" w:rsidP="00B641D6" w14:paraId="73A75CCB" w14:textId="77777777">
            <w:pPr>
              <w:spacing w:after="0" w:line="240" w:lineRule="auto"/>
              <w:jc w:val="both"/>
              <w:rPr>
                <w:rFonts w:ascii="Times New Roman" w:hAnsi="Times New Roman" w:cs="Times New Roman"/>
                <w:bCs/>
                <w:sz w:val="28"/>
                <w:szCs w:val="28"/>
              </w:rPr>
            </w:pPr>
          </w:p>
          <w:p w:rsidR="00CC2528" w:rsidRPr="00FA0C5E" w:rsidP="00CC2528" w14:paraId="1569DB88" w14:textId="03E713E3">
            <w:pPr>
              <w:pStyle w:val="NoSpacing"/>
              <w:jc w:val="both"/>
              <w:rPr>
                <w:sz w:val="28"/>
                <w:szCs w:val="28"/>
                <w:lang w:val="lv-LV"/>
              </w:rPr>
            </w:pPr>
            <w:r w:rsidRPr="00FA0C5E">
              <w:rPr>
                <w:sz w:val="28"/>
                <w:szCs w:val="28"/>
                <w:lang w:val="lv-LV"/>
              </w:rPr>
              <w:t>Pasaules Antidopinga kodekss</w:t>
            </w:r>
            <w:r>
              <w:rPr>
                <w:sz w:val="28"/>
                <w:szCs w:val="28"/>
                <w:vertAlign w:val="superscript"/>
                <w:lang w:val="lv-LV"/>
              </w:rPr>
              <w:footnoteReference w:id="2"/>
            </w:r>
            <w:r w:rsidRPr="00FA0C5E">
              <w:rPr>
                <w:sz w:val="28"/>
                <w:szCs w:val="28"/>
                <w:vertAlign w:val="superscript"/>
                <w:lang w:val="lv-LV"/>
              </w:rPr>
              <w:t xml:space="preserve"> </w:t>
            </w:r>
            <w:r w:rsidRPr="00FA0C5E">
              <w:rPr>
                <w:sz w:val="28"/>
                <w:szCs w:val="28"/>
                <w:lang w:val="lv-LV"/>
              </w:rPr>
              <w:t xml:space="preserve">nosaka, ka katra valdība ievēro valsts antidopinga organizācijas autonomiju savā valstī un neiejaucas tās lēmumos un pasākumos saistībā ar tās darbību. Taču patlaban Latvijas normatīvie akti, kas regulē nacionālo antidopinga sistēmu un tajā ietverto institūciju vietu valsts pārvaldes sistēmā un darbību, nav atbilstoši Pasaules Antidopinga kodeksa prasībām. Proti, saskaņā ar 2011. gada 19. oktobra noteikumiem Nr. 820 </w:t>
            </w:r>
            <w:r w:rsidRPr="00FA0C5E" w:rsidR="00544231">
              <w:rPr>
                <w:sz w:val="28"/>
                <w:szCs w:val="28"/>
                <w:lang w:val="lv-LV"/>
              </w:rPr>
              <w:t>"</w:t>
            </w:r>
            <w:r w:rsidRPr="00FA0C5E">
              <w:rPr>
                <w:sz w:val="28"/>
                <w:szCs w:val="28"/>
                <w:lang w:val="lv-LV"/>
              </w:rPr>
              <w:t>Dopinga kontroles kārtība</w:t>
            </w:r>
            <w:r w:rsidRPr="00FA0C5E" w:rsidR="00544231">
              <w:rPr>
                <w:sz w:val="28"/>
                <w:szCs w:val="28"/>
                <w:lang w:val="lv-LV"/>
              </w:rPr>
              <w:t>"</w:t>
            </w:r>
            <w:r w:rsidRPr="00FA0C5E">
              <w:rPr>
                <w:sz w:val="28"/>
                <w:szCs w:val="28"/>
                <w:lang w:val="lv-LV"/>
              </w:rPr>
              <w:t xml:space="preserve"> (turpmāk – MK noteikumi Nr.</w:t>
            </w:r>
            <w:r w:rsidRPr="00FA0C5E" w:rsidR="00544231">
              <w:rPr>
                <w:sz w:val="28"/>
                <w:szCs w:val="28"/>
                <w:lang w:val="lv-LV"/>
              </w:rPr>
              <w:t> </w:t>
            </w:r>
            <w:r w:rsidRPr="00FA0C5E">
              <w:rPr>
                <w:sz w:val="28"/>
                <w:szCs w:val="28"/>
                <w:lang w:val="lv-LV"/>
              </w:rPr>
              <w:t xml:space="preserve">820) Antidopinga nodaļai dopinga kontroļu veikšana ir jāsaskaņo ar Antidopinga komiteju, tai skaitā, atbilstoši valsts pārvaldes sistēmai, Antidopinga nodaļa atrodas tiešā </w:t>
            </w:r>
            <w:r w:rsidRPr="00FA0C5E" w:rsidR="00646187">
              <w:rPr>
                <w:sz w:val="28"/>
                <w:szCs w:val="28"/>
                <w:lang w:val="lv-LV"/>
              </w:rPr>
              <w:t>VSMC</w:t>
            </w:r>
            <w:r w:rsidRPr="00FA0C5E">
              <w:rPr>
                <w:sz w:val="28"/>
                <w:szCs w:val="28"/>
                <w:lang w:val="lv-LV"/>
              </w:rPr>
              <w:t xml:space="preserve"> un Veselības ministrijas pakļautībā. Šāda padotības forma nenodrošina Antidopinga nodaļas autonomiju. Grozījumi Sporta likumā risina jautājumu par antidopinga struktūras neatkarību, izveidojot </w:t>
            </w:r>
            <w:r w:rsidRPr="00FA0C5E">
              <w:rPr>
                <w:b/>
                <w:sz w:val="28"/>
                <w:szCs w:val="28"/>
                <w:lang w:val="lv-LV"/>
              </w:rPr>
              <w:t>Latvijas Antidopinga biroju</w:t>
            </w:r>
            <w:r w:rsidRPr="00FA0C5E">
              <w:rPr>
                <w:sz w:val="28"/>
                <w:szCs w:val="28"/>
                <w:lang w:val="lv-LV"/>
              </w:rPr>
              <w:t xml:space="preserve">, kas tiek izveidots kā atsevišķa tiešās pārvaldes iestāde un ir veselības ministra pārraudzībā. Lai nodrošinātu autonomiju finanšu jomā, Latvijas Antidopinga birojam tiek izveidota atsevišķa budžeta apakšprogramma. Grozījumi paredz arī </w:t>
            </w:r>
            <w:r w:rsidRPr="00FA0C5E" w:rsidR="00965581">
              <w:rPr>
                <w:sz w:val="28"/>
                <w:szCs w:val="28"/>
                <w:lang w:val="lv-LV"/>
              </w:rPr>
              <w:t>lēmumu</w:t>
            </w:r>
            <w:r w:rsidR="00A66C26">
              <w:rPr>
                <w:sz w:val="28"/>
                <w:szCs w:val="28"/>
                <w:lang w:val="lv-LV"/>
              </w:rPr>
              <w:t xml:space="preserve"> antidopinga jomā</w:t>
            </w:r>
            <w:r w:rsidRPr="00FA0C5E" w:rsidR="00965581">
              <w:rPr>
                <w:sz w:val="28"/>
                <w:szCs w:val="28"/>
                <w:lang w:val="lv-LV"/>
              </w:rPr>
              <w:t xml:space="preserve"> </w:t>
            </w:r>
            <w:r w:rsidRPr="00FA0C5E">
              <w:rPr>
                <w:sz w:val="28"/>
                <w:szCs w:val="28"/>
                <w:lang w:val="lv-LV"/>
              </w:rPr>
              <w:t>pārsūdzības kārtību atbilstoši antid</w:t>
            </w:r>
            <w:r w:rsidR="001B2F93">
              <w:rPr>
                <w:sz w:val="28"/>
                <w:szCs w:val="28"/>
                <w:lang w:val="lv-LV"/>
              </w:rPr>
              <w:t>opinga konvencij</w:t>
            </w:r>
            <w:r w:rsidR="0087731C">
              <w:rPr>
                <w:sz w:val="28"/>
                <w:szCs w:val="28"/>
                <w:lang w:val="lv-LV"/>
              </w:rPr>
              <w:t>ām</w:t>
            </w:r>
            <w:r>
              <w:rPr>
                <w:rStyle w:val="FootnoteReference"/>
                <w:sz w:val="28"/>
                <w:szCs w:val="28"/>
                <w:lang w:val="lv-LV"/>
              </w:rPr>
              <w:footnoteReference w:id="3"/>
            </w:r>
            <w:r w:rsidR="001B2F93">
              <w:rPr>
                <w:sz w:val="28"/>
                <w:szCs w:val="28"/>
                <w:lang w:val="lv-LV"/>
              </w:rPr>
              <w:t xml:space="preserve"> un Pasaules A</w:t>
            </w:r>
            <w:r w:rsidRPr="00FA0C5E">
              <w:rPr>
                <w:sz w:val="28"/>
                <w:szCs w:val="28"/>
                <w:lang w:val="lv-LV"/>
              </w:rPr>
              <w:t xml:space="preserve">ntidopinga </w:t>
            </w:r>
            <w:r w:rsidRPr="00BA4315">
              <w:rPr>
                <w:sz w:val="28"/>
                <w:szCs w:val="28"/>
                <w:lang w:val="lv-LV"/>
              </w:rPr>
              <w:t>kodeksam</w:t>
            </w:r>
            <w:r w:rsidRPr="00BA4315" w:rsidR="00CA7210">
              <w:rPr>
                <w:sz w:val="28"/>
                <w:szCs w:val="28"/>
                <w:lang w:val="lv-LV"/>
              </w:rPr>
              <w:t xml:space="preserve"> un tā 13. pantam.</w:t>
            </w:r>
            <w:r w:rsidRPr="00FA0C5E">
              <w:rPr>
                <w:sz w:val="28"/>
                <w:szCs w:val="28"/>
                <w:lang w:val="lv-LV"/>
              </w:rPr>
              <w:t xml:space="preserve"> </w:t>
            </w:r>
          </w:p>
          <w:p w:rsidR="00646187" w:rsidRPr="00FA0C5E" w:rsidP="00CC2528" w14:paraId="013300AE" w14:textId="77777777">
            <w:pPr>
              <w:pStyle w:val="NoSpacing"/>
              <w:jc w:val="both"/>
              <w:rPr>
                <w:sz w:val="28"/>
                <w:szCs w:val="28"/>
                <w:lang w:val="lv-LV"/>
              </w:rPr>
            </w:pPr>
          </w:p>
          <w:p w:rsidR="00A7615F" w:rsidRPr="000753A0" w:rsidP="00CC2528" w14:paraId="5D152E13" w14:textId="099DA9E7">
            <w:pPr>
              <w:pStyle w:val="NoSpacing"/>
              <w:jc w:val="both"/>
              <w:rPr>
                <w:sz w:val="28"/>
                <w:szCs w:val="28"/>
                <w:lang w:val="lv-LV"/>
              </w:rPr>
            </w:pPr>
            <w:r w:rsidRPr="00FA0C5E">
              <w:rPr>
                <w:sz w:val="28"/>
                <w:szCs w:val="28"/>
                <w:lang w:val="lv-LV"/>
              </w:rPr>
              <w:t xml:space="preserve">Vienlaikus tiek izveidota </w:t>
            </w:r>
            <w:r w:rsidRPr="00FA0C5E">
              <w:rPr>
                <w:b/>
                <w:sz w:val="28"/>
                <w:szCs w:val="28"/>
                <w:lang w:val="lv-LV"/>
              </w:rPr>
              <w:t>Latvijas Nacionālā antidopinga padome</w:t>
            </w:r>
            <w:r w:rsidRPr="00FA0C5E" w:rsidR="005B3519">
              <w:rPr>
                <w:b/>
                <w:sz w:val="28"/>
                <w:szCs w:val="28"/>
                <w:lang w:val="lv-LV"/>
              </w:rPr>
              <w:t xml:space="preserve"> </w:t>
            </w:r>
            <w:r w:rsidRPr="00FA0C5E" w:rsidR="005B3519">
              <w:rPr>
                <w:sz w:val="28"/>
                <w:szCs w:val="28"/>
                <w:lang w:val="lv-LV"/>
              </w:rPr>
              <w:t>kā konsultatīva institūcija ar antidopinga jomu saistītu jautājumu risināšan</w:t>
            </w:r>
            <w:r w:rsidRPr="00FA0C5E" w:rsidR="00A07EE9">
              <w:rPr>
                <w:sz w:val="28"/>
                <w:szCs w:val="28"/>
                <w:lang w:val="lv-LV"/>
              </w:rPr>
              <w:t>ai</w:t>
            </w:r>
            <w:r w:rsidRPr="00FA0C5E" w:rsidR="005B3519">
              <w:rPr>
                <w:sz w:val="28"/>
                <w:szCs w:val="28"/>
                <w:lang w:val="lv-LV"/>
              </w:rPr>
              <w:t xml:space="preserve">. Līdz šim </w:t>
            </w:r>
            <w:r w:rsidRPr="00FA0C5E">
              <w:rPr>
                <w:sz w:val="28"/>
                <w:szCs w:val="28"/>
                <w:lang w:val="lv-LV"/>
              </w:rPr>
              <w:t>tikai Antidopinga komiteja ir bijusi tiesīga ierosināt veikt dopinga kontroli (atbilstoši MK noteikumu Nr.</w:t>
            </w:r>
            <w:r w:rsidR="00EE128C">
              <w:rPr>
                <w:sz w:val="28"/>
                <w:szCs w:val="28"/>
                <w:lang w:val="lv-LV"/>
              </w:rPr>
              <w:t xml:space="preserve"> </w:t>
            </w:r>
            <w:r w:rsidRPr="00FA0C5E">
              <w:rPr>
                <w:sz w:val="28"/>
                <w:szCs w:val="28"/>
                <w:lang w:val="lv-LV"/>
              </w:rPr>
              <w:t>820 10. un 12.</w:t>
            </w:r>
            <w:r w:rsidRPr="00FA0C5E" w:rsidR="005B3519">
              <w:rPr>
                <w:sz w:val="28"/>
                <w:szCs w:val="28"/>
                <w:lang w:val="lv-LV"/>
              </w:rPr>
              <w:t> </w:t>
            </w:r>
            <w:r w:rsidRPr="00FA0C5E">
              <w:rPr>
                <w:sz w:val="28"/>
                <w:szCs w:val="28"/>
                <w:lang w:val="lv-LV"/>
              </w:rPr>
              <w:t>punktam) un, tikai pamatojoties uz tās atzinumu, ir bijis iespējams apstiprināt pārbaudāmo sportistu reģistru (MK noteikumu Nr.</w:t>
            </w:r>
            <w:r w:rsidRPr="00FA0C5E" w:rsidR="005B3519">
              <w:rPr>
                <w:sz w:val="28"/>
                <w:szCs w:val="28"/>
                <w:lang w:val="lv-LV"/>
              </w:rPr>
              <w:t> </w:t>
            </w:r>
            <w:r w:rsidRPr="00FA0C5E">
              <w:rPr>
                <w:sz w:val="28"/>
                <w:szCs w:val="28"/>
                <w:lang w:val="lv-LV"/>
              </w:rPr>
              <w:t>820 10.1. un 11.</w:t>
            </w:r>
            <w:r w:rsidRPr="00FA0C5E" w:rsidR="005B3519">
              <w:rPr>
                <w:sz w:val="28"/>
                <w:szCs w:val="28"/>
                <w:lang w:val="lv-LV"/>
              </w:rPr>
              <w:t> </w:t>
            </w:r>
            <w:r w:rsidRPr="00FA0C5E">
              <w:rPr>
                <w:sz w:val="28"/>
                <w:szCs w:val="28"/>
                <w:lang w:val="lv-LV"/>
              </w:rPr>
              <w:t>punkts), tai skaitā Antidopinga komiteja sniegusi atzinumus par antidopinga noteikumu pārkāpumu esamību vai neesamību (MK noteikumu Nr.</w:t>
            </w:r>
            <w:r w:rsidRPr="00FA0C5E" w:rsidR="005B3519">
              <w:rPr>
                <w:sz w:val="28"/>
                <w:szCs w:val="28"/>
                <w:lang w:val="lv-LV"/>
              </w:rPr>
              <w:t> </w:t>
            </w:r>
            <w:r w:rsidRPr="00FA0C5E">
              <w:rPr>
                <w:sz w:val="28"/>
                <w:szCs w:val="28"/>
                <w:lang w:val="lv-LV"/>
              </w:rPr>
              <w:t>820 42.</w:t>
            </w:r>
            <w:r w:rsidRPr="00FA0C5E" w:rsidR="005B3519">
              <w:rPr>
                <w:sz w:val="28"/>
                <w:szCs w:val="28"/>
                <w:lang w:val="lv-LV"/>
              </w:rPr>
              <w:t> </w:t>
            </w:r>
            <w:r w:rsidRPr="00FA0C5E">
              <w:rPr>
                <w:sz w:val="28"/>
                <w:szCs w:val="28"/>
                <w:lang w:val="lv-LV"/>
              </w:rPr>
              <w:t>punkts),</w:t>
            </w:r>
            <w:r w:rsidRPr="00FA0C5E" w:rsidR="005B3519">
              <w:rPr>
                <w:sz w:val="28"/>
                <w:szCs w:val="28"/>
                <w:lang w:val="lv-LV"/>
              </w:rPr>
              <w:t xml:space="preserve"> tādēļ</w:t>
            </w:r>
            <w:r w:rsidRPr="00FA0C5E">
              <w:rPr>
                <w:sz w:val="28"/>
                <w:szCs w:val="28"/>
                <w:lang w:val="lv-LV"/>
              </w:rPr>
              <w:t xml:space="preserve"> komitejas darbības un funkcijas ir uzskatāmas par tādām, kas </w:t>
            </w:r>
            <w:r w:rsidRPr="00FA0C5E" w:rsidR="005B3519">
              <w:rPr>
                <w:sz w:val="28"/>
                <w:szCs w:val="28"/>
                <w:lang w:val="lv-LV"/>
              </w:rPr>
              <w:t>nenodrošina</w:t>
            </w:r>
            <w:r w:rsidRPr="00FA0C5E">
              <w:rPr>
                <w:sz w:val="28"/>
                <w:szCs w:val="28"/>
                <w:lang w:val="lv-LV"/>
              </w:rPr>
              <w:t xml:space="preserve"> antidopinga org</w:t>
            </w:r>
            <w:r w:rsidR="007C6EFD">
              <w:rPr>
                <w:sz w:val="28"/>
                <w:szCs w:val="28"/>
                <w:lang w:val="lv-LV"/>
              </w:rPr>
              <w:t>anizācijas autonomiju Pasaules A</w:t>
            </w:r>
            <w:r w:rsidRPr="00FA0C5E">
              <w:rPr>
                <w:sz w:val="28"/>
                <w:szCs w:val="28"/>
                <w:lang w:val="lv-LV"/>
              </w:rPr>
              <w:t xml:space="preserve">ntidopinga kodeksa </w:t>
            </w:r>
            <w:r w:rsidRPr="00E44116">
              <w:rPr>
                <w:sz w:val="28"/>
                <w:szCs w:val="28"/>
                <w:lang w:val="lv-LV"/>
              </w:rPr>
              <w:t>izpratnē. Šī iemesla dēļ Latvijas Nacionālā antidopinga padomes funkciju un p</w:t>
            </w:r>
            <w:r w:rsidRPr="00E44116" w:rsidR="005B3519">
              <w:rPr>
                <w:sz w:val="28"/>
                <w:szCs w:val="28"/>
                <w:lang w:val="lv-LV"/>
              </w:rPr>
              <w:t xml:space="preserve">ienākumu </w:t>
            </w:r>
            <w:r w:rsidRPr="00804CC4" w:rsidR="005B3519">
              <w:rPr>
                <w:sz w:val="28"/>
                <w:szCs w:val="28"/>
                <w:lang w:val="lv-LV"/>
              </w:rPr>
              <w:t>apjoms tiek samazināts</w:t>
            </w:r>
            <w:r w:rsidRPr="00804CC4" w:rsidR="002144DE">
              <w:rPr>
                <w:sz w:val="28"/>
                <w:szCs w:val="28"/>
                <w:lang w:val="lv-LV"/>
              </w:rPr>
              <w:t xml:space="preserve"> salīdzinājumā ar Antidopinga komitejas pienākumiem</w:t>
            </w:r>
            <w:r w:rsidRPr="00804CC4" w:rsidR="00A07EE9">
              <w:rPr>
                <w:sz w:val="28"/>
                <w:szCs w:val="28"/>
                <w:lang w:val="lv-LV"/>
              </w:rPr>
              <w:t xml:space="preserve">, veidojot </w:t>
            </w:r>
            <w:r w:rsidRPr="00804CC4" w:rsidR="002144DE">
              <w:rPr>
                <w:sz w:val="28"/>
                <w:szCs w:val="28"/>
                <w:lang w:val="lv-LV"/>
              </w:rPr>
              <w:t>šo padomi</w:t>
            </w:r>
            <w:r w:rsidRPr="00804CC4" w:rsidR="00A07EE9">
              <w:rPr>
                <w:sz w:val="28"/>
                <w:szCs w:val="28"/>
                <w:lang w:val="lv-LV"/>
              </w:rPr>
              <w:t xml:space="preserve"> kā konsultatīvu institūciju, kas vienlaikus sniedz atbalstu antidopinga sistēmas neatkarības nodrošināšan</w:t>
            </w:r>
            <w:r w:rsidRPr="00804CC4" w:rsidR="002144DE">
              <w:rPr>
                <w:sz w:val="28"/>
                <w:szCs w:val="28"/>
                <w:lang w:val="lv-LV"/>
              </w:rPr>
              <w:t>ai</w:t>
            </w:r>
            <w:r w:rsidRPr="00804CC4">
              <w:rPr>
                <w:sz w:val="28"/>
                <w:szCs w:val="28"/>
                <w:lang w:val="lv-LV"/>
              </w:rPr>
              <w:t>.</w:t>
            </w:r>
            <w:r w:rsidRPr="00804CC4" w:rsidR="00E44116">
              <w:rPr>
                <w:sz w:val="28"/>
                <w:szCs w:val="28"/>
                <w:lang w:val="lv-LV"/>
              </w:rPr>
              <w:t xml:space="preserve"> Līdz šim Antidopinga komitejas sastāvā bija pārstāvji no Izglītības un zinātnes ministrijas, Veselības ministrijas, biedrības "Latvijas Olimpiskā komiteja" un biedrības "Latvijas Sporta federāciju padome. Taču ar šo likumprojektu plānots paplašināt Latvijas Nacionālās antidopinga padomes sastāvu, pievienojot arī pār</w:t>
            </w:r>
            <w:r w:rsidRPr="00804CC4" w:rsidR="006959E9">
              <w:rPr>
                <w:sz w:val="28"/>
                <w:szCs w:val="28"/>
                <w:lang w:val="lv-LV"/>
              </w:rPr>
              <w:t xml:space="preserve">stāvi no </w:t>
            </w:r>
            <w:r w:rsidRPr="00804CC4" w:rsidR="006959E9">
              <w:rPr>
                <w:sz w:val="28"/>
                <w:szCs w:val="28"/>
                <w:lang w:val="lv-LV"/>
              </w:rPr>
              <w:t>Iekšlietu</w:t>
            </w:r>
            <w:r w:rsidRPr="00804CC4" w:rsidR="006959E9">
              <w:rPr>
                <w:sz w:val="28"/>
                <w:szCs w:val="28"/>
                <w:lang w:val="lv-LV"/>
              </w:rPr>
              <w:t xml:space="preserve"> ministrijas </w:t>
            </w:r>
            <w:r w:rsidRPr="00804CC4" w:rsidR="00E44116">
              <w:rPr>
                <w:sz w:val="28"/>
                <w:szCs w:val="28"/>
                <w:lang w:val="lv-LV"/>
              </w:rPr>
              <w:t xml:space="preserve">un Latvijas Ārstu biedrības. Pārstāvji no minētajām </w:t>
            </w:r>
            <w:r w:rsidRPr="000753A0" w:rsidR="00E44116">
              <w:rPr>
                <w:sz w:val="28"/>
                <w:szCs w:val="28"/>
                <w:lang w:val="lv-LV"/>
              </w:rPr>
              <w:t>institūcijām iekļauti, ņemot vērā izskatāmo jautājumu specifiku, tostarp dopinga vielu un metožu kontroli un ar to lietošanu</w:t>
            </w:r>
            <w:r w:rsidRPr="00C0768B" w:rsidR="000753A0">
              <w:rPr>
                <w:sz w:val="28"/>
                <w:szCs w:val="28"/>
                <w:lang w:val="lv-LV"/>
              </w:rPr>
              <w:t xml:space="preserve">, </w:t>
            </w:r>
            <w:r w:rsidRPr="00C0768B" w:rsidR="000753A0">
              <w:rPr>
                <w:sz w:val="28"/>
                <w:szCs w:val="28"/>
                <w:shd w:val="clear" w:color="auto" w:fill="FFFFFF"/>
                <w:lang w:val="lv-LV"/>
              </w:rPr>
              <w:t>glabāšanu, ražošanu un izplatīšanu</w:t>
            </w:r>
            <w:r w:rsidRPr="00C0768B" w:rsidR="00E44116">
              <w:rPr>
                <w:sz w:val="28"/>
                <w:szCs w:val="28"/>
                <w:lang w:val="lv-LV"/>
              </w:rPr>
              <w:t xml:space="preserve"> saistīto sodu piemērošanu, kā arī Latvijas Ārstu biedrības iesaisti</w:t>
            </w:r>
            <w:r w:rsidRPr="000753A0" w:rsidR="00E44116">
              <w:rPr>
                <w:sz w:val="28"/>
                <w:szCs w:val="28"/>
                <w:lang w:val="lv-LV"/>
              </w:rPr>
              <w:t xml:space="preserve"> antidopinga jomas pasākumu īstenošanā.</w:t>
            </w:r>
          </w:p>
          <w:p w:rsidR="00CC7A7D" w:rsidRPr="00FA0C5E" w:rsidP="00CC2528" w14:paraId="4802DC9E" w14:textId="5457F023">
            <w:pPr>
              <w:pStyle w:val="NoSpacing"/>
              <w:jc w:val="both"/>
              <w:rPr>
                <w:sz w:val="28"/>
                <w:szCs w:val="28"/>
                <w:lang w:val="lv-LV"/>
              </w:rPr>
            </w:pPr>
          </w:p>
          <w:p w:rsidR="007010DF" w:rsidP="007010DF" w14:paraId="1B353D90" w14:textId="698FE1AF">
            <w:pPr>
              <w:pStyle w:val="NormalWeb"/>
              <w:shd w:val="clear" w:color="auto" w:fill="FFFFFF"/>
              <w:spacing w:before="0" w:beforeAutospacing="0" w:after="0" w:afterAutospacing="0"/>
              <w:jc w:val="both"/>
              <w:rPr>
                <w:sz w:val="28"/>
                <w:szCs w:val="28"/>
                <w:lang w:val="lv-LV"/>
              </w:rPr>
            </w:pPr>
            <w:r w:rsidRPr="00FA0C5E">
              <w:rPr>
                <w:sz w:val="28"/>
                <w:szCs w:val="28"/>
                <w:lang w:val="lv-LV"/>
              </w:rPr>
              <w:t xml:space="preserve">Atbilstoši MK noteikumu Nr. 820 51. punktam sportistam sodu par antidopinga noteikumu pārkāpumiem piemēro sportista pārstāvētā sporta veida Latvijā atzītā sporta federācija. Līdz ar to Latvijas atzīto sporta federāciju disciplinārās komisijas locekļi patlaban ir pastāvīgā interešu </w:t>
            </w:r>
            <w:r w:rsidRPr="00FA0C5E">
              <w:rPr>
                <w:sz w:val="28"/>
                <w:szCs w:val="28"/>
                <w:lang w:val="lv-LV"/>
              </w:rPr>
              <w:t xml:space="preserve">konflikta stāvoklī, pieņemot lēmumus par konkrētās federācijas sportistiem. Grozījumi Sporta likumā risina šo jautājumu, izveidojot atsevišķu, neatkarīgu </w:t>
            </w:r>
            <w:r w:rsidRPr="00FA0C5E" w:rsidR="00CC7A7D">
              <w:rPr>
                <w:b/>
                <w:sz w:val="28"/>
                <w:szCs w:val="28"/>
                <w:lang w:val="lv-LV"/>
              </w:rPr>
              <w:t>D</w:t>
            </w:r>
            <w:r w:rsidRPr="00FA0C5E">
              <w:rPr>
                <w:b/>
                <w:sz w:val="28"/>
                <w:szCs w:val="28"/>
                <w:lang w:val="lv-LV"/>
              </w:rPr>
              <w:t xml:space="preserve">isciplināro </w:t>
            </w:r>
            <w:r w:rsidRPr="00FA0C5E" w:rsidR="00CC7A7D">
              <w:rPr>
                <w:b/>
                <w:sz w:val="28"/>
                <w:szCs w:val="28"/>
                <w:lang w:val="lv-LV"/>
              </w:rPr>
              <w:t xml:space="preserve">antidopinga </w:t>
            </w:r>
            <w:r w:rsidRPr="00FA0C5E">
              <w:rPr>
                <w:b/>
                <w:sz w:val="28"/>
                <w:szCs w:val="28"/>
                <w:lang w:val="lv-LV"/>
              </w:rPr>
              <w:t>komisiju</w:t>
            </w:r>
            <w:r w:rsidRPr="00FA0C5E">
              <w:rPr>
                <w:sz w:val="28"/>
                <w:szCs w:val="28"/>
                <w:lang w:val="lv-LV"/>
              </w:rPr>
              <w:t xml:space="preserve">, kas izskata antidopinga noteikumu pārkāpumus un nosaka to sekas </w:t>
            </w:r>
            <w:r w:rsidRPr="00804CC4">
              <w:rPr>
                <w:sz w:val="28"/>
                <w:szCs w:val="28"/>
                <w:lang w:val="lv-LV"/>
              </w:rPr>
              <w:t>saskaņā ar antidopinga konvencij</w:t>
            </w:r>
            <w:r w:rsidRPr="00804CC4" w:rsidR="000604BA">
              <w:rPr>
                <w:sz w:val="28"/>
                <w:szCs w:val="28"/>
                <w:lang w:val="lv-LV"/>
              </w:rPr>
              <w:t>ām</w:t>
            </w:r>
            <w:r>
              <w:rPr>
                <w:rStyle w:val="FootnoteReference"/>
                <w:sz w:val="28"/>
                <w:szCs w:val="28"/>
                <w:lang w:val="lv-LV"/>
              </w:rPr>
              <w:footnoteReference w:id="4"/>
            </w:r>
            <w:r w:rsidRPr="00804CC4">
              <w:rPr>
                <w:sz w:val="28"/>
                <w:szCs w:val="28"/>
                <w:lang w:val="lv-LV"/>
              </w:rPr>
              <w:t xml:space="preserve">. </w:t>
            </w:r>
            <w:r w:rsidRPr="00804CC4" w:rsidR="00351B1C">
              <w:rPr>
                <w:sz w:val="28"/>
                <w:szCs w:val="28"/>
                <w:lang w:val="lv-LV"/>
              </w:rPr>
              <w:t xml:space="preserve">Šīs </w:t>
            </w:r>
            <w:r w:rsidRPr="00804CC4" w:rsidR="00D52724">
              <w:rPr>
                <w:sz w:val="28"/>
                <w:szCs w:val="28"/>
                <w:lang w:val="lv-LV"/>
              </w:rPr>
              <w:t>komisijas nolikumu</w:t>
            </w:r>
            <w:r w:rsidRPr="00804CC4" w:rsidR="00592CE1">
              <w:rPr>
                <w:sz w:val="28"/>
                <w:szCs w:val="28"/>
                <w:lang w:val="lv-LV"/>
              </w:rPr>
              <w:t xml:space="preserve"> </w:t>
            </w:r>
            <w:r w:rsidRPr="00804CC4" w:rsidR="00D52724">
              <w:rPr>
                <w:sz w:val="28"/>
                <w:szCs w:val="28"/>
                <w:lang w:val="lv-LV"/>
              </w:rPr>
              <w:t>apstiprina Ministru kabinets.</w:t>
            </w:r>
            <w:r w:rsidRPr="00804CC4" w:rsidR="00592CE1">
              <w:rPr>
                <w:sz w:val="28"/>
                <w:szCs w:val="28"/>
                <w:lang w:val="lv-LV"/>
              </w:rPr>
              <w:t xml:space="preserve"> </w:t>
            </w:r>
            <w:r w:rsidRPr="00804CC4" w:rsidR="009951F7">
              <w:rPr>
                <w:sz w:val="28"/>
                <w:szCs w:val="28"/>
                <w:lang w:val="lv-LV"/>
              </w:rPr>
              <w:t xml:space="preserve">Disciplināro antidopinga komisiju </w:t>
            </w:r>
            <w:r w:rsidRPr="00804CC4" w:rsidR="009951F7">
              <w:rPr>
                <w:bCs/>
                <w:sz w:val="28"/>
                <w:szCs w:val="28"/>
                <w:lang w:val="lv-LV"/>
              </w:rPr>
              <w:t>izveido un tās personālsastāvu apstiprina Latvijas Olimpiskā komiteja</w:t>
            </w:r>
            <w:r w:rsidRPr="00804CC4" w:rsidR="009951F7">
              <w:rPr>
                <w:sz w:val="28"/>
                <w:szCs w:val="28"/>
                <w:lang w:val="lv-LV"/>
              </w:rPr>
              <w:t xml:space="preserve">, </w:t>
            </w:r>
            <w:r w:rsidRPr="00804CC4" w:rsidR="009951F7">
              <w:rPr>
                <w:color w:val="000000" w:themeColor="text1"/>
                <w:sz w:val="28"/>
                <w:szCs w:val="28"/>
                <w:lang w:val="lv-LV"/>
              </w:rPr>
              <w:t>ievērojot 2005.gada 19.oktobra</w:t>
            </w:r>
            <w:r w:rsidRPr="00804CC4" w:rsidR="009951F7">
              <w:rPr>
                <w:bCs/>
                <w:color w:val="000000" w:themeColor="text1"/>
                <w:sz w:val="28"/>
                <w:szCs w:val="28"/>
                <w:lang w:val="lv-LV"/>
              </w:rPr>
              <w:t xml:space="preserve"> Starptautiskajā konvencijā pret dopingu sportā </w:t>
            </w:r>
            <w:r w:rsidRPr="00804CC4" w:rsidR="009951F7">
              <w:rPr>
                <w:color w:val="000000" w:themeColor="text1"/>
                <w:sz w:val="28"/>
                <w:szCs w:val="28"/>
                <w:lang w:val="lv-LV"/>
              </w:rPr>
              <w:t xml:space="preserve">noteiktās prasības. </w:t>
            </w:r>
            <w:r w:rsidRPr="00804CC4" w:rsidR="00592CE1">
              <w:rPr>
                <w:sz w:val="28"/>
                <w:szCs w:val="28"/>
                <w:lang w:val="lv-LV"/>
              </w:rPr>
              <w:t xml:space="preserve">Komisijas sastāvā </w:t>
            </w:r>
            <w:r w:rsidRPr="00804CC4" w:rsidR="00A1592B">
              <w:rPr>
                <w:sz w:val="28"/>
                <w:szCs w:val="28"/>
                <w:lang w:val="lv-LV"/>
              </w:rPr>
              <w:t>iekļauj vismaz piecas personas (tostarp juristu, ārstniecības personu, sporta darbinieku un sportistu), kuras spēj izskatīt lietas taisnīgi, objektīvi</w:t>
            </w:r>
            <w:r w:rsidRPr="00606AA1" w:rsidR="00A1592B">
              <w:rPr>
                <w:sz w:val="28"/>
                <w:szCs w:val="28"/>
                <w:lang w:val="lv-LV"/>
              </w:rPr>
              <w:t xml:space="preserve"> un neatkarīgi un kuras pārstāv Latvijas Ārstu biedrību, </w:t>
            </w:r>
            <w:r w:rsidRPr="00606AA1" w:rsidR="00A1592B">
              <w:rPr>
                <w:bCs/>
                <w:sz w:val="28"/>
                <w:szCs w:val="28"/>
                <w:lang w:val="lv-LV"/>
              </w:rPr>
              <w:t xml:space="preserve">biedrību </w:t>
            </w:r>
            <w:r w:rsidRPr="00606AA1" w:rsidR="00A1592B">
              <w:rPr>
                <w:sz w:val="28"/>
                <w:szCs w:val="28"/>
                <w:lang w:val="lv-LV"/>
              </w:rPr>
              <w:t>"</w:t>
            </w:r>
            <w:r w:rsidRPr="00606AA1" w:rsidR="00A1592B">
              <w:rPr>
                <w:bCs/>
                <w:sz w:val="28"/>
                <w:szCs w:val="28"/>
                <w:lang w:val="lv-LV"/>
              </w:rPr>
              <w:t xml:space="preserve">Latvijas Olimpiskā </w:t>
            </w:r>
            <w:r w:rsidRPr="007B0633" w:rsidR="00A1592B">
              <w:rPr>
                <w:bCs/>
                <w:sz w:val="28"/>
                <w:szCs w:val="28"/>
                <w:lang w:val="lv-LV"/>
              </w:rPr>
              <w:t>komiteja</w:t>
            </w:r>
            <w:r w:rsidRPr="007B0633" w:rsidR="00A1592B">
              <w:rPr>
                <w:sz w:val="28"/>
                <w:szCs w:val="28"/>
                <w:lang w:val="lv-LV"/>
              </w:rPr>
              <w:t xml:space="preserve">", </w:t>
            </w:r>
            <w:r w:rsidRPr="007B0633" w:rsidR="00A1592B">
              <w:rPr>
                <w:bCs/>
                <w:sz w:val="28"/>
                <w:szCs w:val="28"/>
                <w:lang w:val="lv-LV"/>
              </w:rPr>
              <w:t xml:space="preserve">biedrību </w:t>
            </w:r>
            <w:r w:rsidRPr="007B0633" w:rsidR="00A1592B">
              <w:rPr>
                <w:sz w:val="28"/>
                <w:szCs w:val="28"/>
                <w:lang w:val="lv-LV"/>
              </w:rPr>
              <w:t>"</w:t>
            </w:r>
            <w:r w:rsidRPr="007B0633" w:rsidR="00A1592B">
              <w:rPr>
                <w:bCs/>
                <w:sz w:val="28"/>
                <w:szCs w:val="28"/>
                <w:lang w:val="lv-LV"/>
              </w:rPr>
              <w:t>Latvijas Sporta federāciju padome</w:t>
            </w:r>
            <w:r w:rsidRPr="007B0633" w:rsidR="00A1592B">
              <w:rPr>
                <w:sz w:val="28"/>
                <w:szCs w:val="28"/>
                <w:lang w:val="lv-LV"/>
              </w:rPr>
              <w:t>" un Latvijas Sporta pedagoģijas akadēmiju.</w:t>
            </w:r>
            <w:r w:rsidRPr="007B0633" w:rsidR="00B531FF">
              <w:rPr>
                <w:sz w:val="28"/>
                <w:szCs w:val="28"/>
                <w:lang w:val="lv-LV"/>
              </w:rPr>
              <w:t xml:space="preserve"> Pēdējo trīs gadu periodā</w:t>
            </w:r>
            <w:r w:rsidRPr="007B0633" w:rsidR="00771897">
              <w:rPr>
                <w:sz w:val="28"/>
                <w:szCs w:val="28"/>
                <w:lang w:val="lv-LV"/>
              </w:rPr>
              <w:t xml:space="preserve"> pozitīvo dopinga analīžu īpatsvars no kopējā veikto anal</w:t>
            </w:r>
            <w:r w:rsidRPr="007B0633" w:rsidR="008829A6">
              <w:rPr>
                <w:sz w:val="28"/>
                <w:szCs w:val="28"/>
                <w:lang w:val="lv-LV"/>
              </w:rPr>
              <w:t>īžu skaita ir bijis robežās no 2-3</w:t>
            </w:r>
            <w:r w:rsidRPr="007B0633" w:rsidR="00771897">
              <w:rPr>
                <w:sz w:val="28"/>
                <w:szCs w:val="28"/>
                <w:lang w:val="lv-LV"/>
              </w:rPr>
              <w:t>% (skat 1.tabulu).</w:t>
            </w:r>
          </w:p>
          <w:p w:rsidR="00B531FF" w:rsidP="007010DF" w14:paraId="4B07CF39" w14:textId="7AD2BC75">
            <w:pPr>
              <w:pStyle w:val="NormalWeb"/>
              <w:shd w:val="clear" w:color="auto" w:fill="FFFFFF"/>
              <w:spacing w:before="0" w:beforeAutospacing="0" w:after="0" w:afterAutospacing="0"/>
              <w:jc w:val="both"/>
              <w:rPr>
                <w:sz w:val="28"/>
                <w:szCs w:val="28"/>
                <w:lang w:val="lv-LV"/>
              </w:rPr>
            </w:pPr>
          </w:p>
          <w:tbl>
            <w:tblPr>
              <w:tblStyle w:val="TableGrid"/>
              <w:tblW w:w="0" w:type="auto"/>
              <w:jc w:val="center"/>
              <w:tblLook w:val="04A0"/>
            </w:tblPr>
            <w:tblGrid>
              <w:gridCol w:w="2976"/>
              <w:gridCol w:w="836"/>
              <w:gridCol w:w="836"/>
              <w:gridCol w:w="851"/>
            </w:tblGrid>
            <w:tr w14:paraId="169B5E1A" w14:textId="77777777" w:rsidTr="00771897">
              <w:tblPrEx>
                <w:tblW w:w="0" w:type="auto"/>
                <w:jc w:val="center"/>
                <w:tblLook w:val="04A0"/>
              </w:tblPrEx>
              <w:trPr>
                <w:jc w:val="center"/>
              </w:trPr>
              <w:tc>
                <w:tcPr>
                  <w:tcW w:w="5386" w:type="dxa"/>
                  <w:gridSpan w:val="4"/>
                  <w:shd w:val="clear" w:color="auto" w:fill="E7E6E6" w:themeFill="background2"/>
                  <w:vAlign w:val="center"/>
                </w:tcPr>
                <w:p w:rsidR="00422615" w:rsidRPr="00B32E74" w:rsidP="00131FFE" w14:paraId="61DC4E3F" w14:textId="068E7BD7">
                  <w:pPr>
                    <w:pStyle w:val="NormalWeb"/>
                    <w:spacing w:before="0" w:beforeAutospacing="0" w:after="0" w:afterAutospacing="0"/>
                    <w:jc w:val="center"/>
                    <w:rPr>
                      <w:b/>
                      <w:lang w:val="lv-LV"/>
                    </w:rPr>
                  </w:pPr>
                  <w:r w:rsidRPr="00B32E74">
                    <w:rPr>
                      <w:b/>
                      <w:lang w:val="lv-LV"/>
                    </w:rPr>
                    <w:t xml:space="preserve">1.tabula. </w:t>
                  </w:r>
                  <w:r w:rsidRPr="00B32E74" w:rsidR="00B32E74">
                    <w:rPr>
                      <w:color w:val="414142"/>
                      <w:lang w:val="lv-LV"/>
                    </w:rPr>
                    <w:t xml:space="preserve">Antidopinga noteikumu pārkāpumi </w:t>
                  </w:r>
                  <w:r w:rsidRPr="00B32E74" w:rsidR="00131FFE">
                    <w:rPr>
                      <w:b/>
                      <w:lang w:val="lv-LV"/>
                    </w:rPr>
                    <w:t>3 gadu periodā</w:t>
                  </w:r>
                  <w:r w:rsidRPr="00B32E74">
                    <w:rPr>
                      <w:b/>
                      <w:lang w:val="lv-LV"/>
                    </w:rPr>
                    <w:t xml:space="preserve"> </w:t>
                  </w:r>
                </w:p>
                <w:p w:rsidR="00131FFE" w:rsidRPr="00B32E74" w:rsidP="00131FFE" w14:paraId="0FD26C8F" w14:textId="7D6F8A92">
                  <w:pPr>
                    <w:pStyle w:val="NormalWeb"/>
                    <w:spacing w:before="0" w:beforeAutospacing="0" w:after="0" w:afterAutospacing="0"/>
                    <w:jc w:val="center"/>
                    <w:rPr>
                      <w:b/>
                      <w:lang w:val="lv-LV"/>
                    </w:rPr>
                  </w:pPr>
                  <w:r w:rsidRPr="00B32E74">
                    <w:rPr>
                      <w:b/>
                      <w:lang w:val="lv-LV"/>
                    </w:rPr>
                    <w:t>no 2014. - 2016.gadam</w:t>
                  </w:r>
                </w:p>
              </w:tc>
            </w:tr>
            <w:tr w14:paraId="499DC1DD" w14:textId="77777777" w:rsidTr="00771897">
              <w:tblPrEx>
                <w:tblW w:w="0" w:type="auto"/>
                <w:jc w:val="center"/>
                <w:tblLook w:val="04A0"/>
              </w:tblPrEx>
              <w:trPr>
                <w:jc w:val="center"/>
              </w:trPr>
              <w:tc>
                <w:tcPr>
                  <w:tcW w:w="2976" w:type="dxa"/>
                  <w:shd w:val="clear" w:color="auto" w:fill="E7E6E6" w:themeFill="background2"/>
                  <w:vAlign w:val="center"/>
                </w:tcPr>
                <w:p w:rsidR="00131FFE" w:rsidRPr="00B32E74" w:rsidP="007010DF" w14:paraId="6F1CBBDE" w14:textId="77777777">
                  <w:pPr>
                    <w:pStyle w:val="NormalWeb"/>
                    <w:spacing w:before="0" w:beforeAutospacing="0" w:after="0" w:afterAutospacing="0"/>
                    <w:jc w:val="both"/>
                    <w:rPr>
                      <w:b/>
                      <w:lang w:val="lv-LV"/>
                    </w:rPr>
                  </w:pPr>
                </w:p>
              </w:tc>
              <w:tc>
                <w:tcPr>
                  <w:tcW w:w="786" w:type="dxa"/>
                  <w:shd w:val="clear" w:color="auto" w:fill="E7E6E6" w:themeFill="background2"/>
                  <w:vAlign w:val="center"/>
                </w:tcPr>
                <w:p w:rsidR="00131FFE" w:rsidRPr="00B32E74" w:rsidP="00342148" w14:paraId="3C602923" w14:textId="42965FB3">
                  <w:pPr>
                    <w:pStyle w:val="NormalWeb"/>
                    <w:spacing w:before="0" w:beforeAutospacing="0" w:after="0" w:afterAutospacing="0"/>
                    <w:jc w:val="center"/>
                    <w:rPr>
                      <w:b/>
                      <w:lang w:val="lv-LV"/>
                    </w:rPr>
                  </w:pPr>
                  <w:r w:rsidRPr="00B32E74">
                    <w:rPr>
                      <w:b/>
                      <w:lang w:val="lv-LV"/>
                    </w:rPr>
                    <w:t>2014</w:t>
                  </w:r>
                </w:p>
              </w:tc>
              <w:tc>
                <w:tcPr>
                  <w:tcW w:w="773" w:type="dxa"/>
                  <w:shd w:val="clear" w:color="auto" w:fill="E7E6E6" w:themeFill="background2"/>
                  <w:vAlign w:val="center"/>
                </w:tcPr>
                <w:p w:rsidR="00131FFE" w:rsidRPr="00B32E74" w:rsidP="00342148" w14:paraId="5016F65C" w14:textId="644FB38B">
                  <w:pPr>
                    <w:pStyle w:val="NormalWeb"/>
                    <w:spacing w:before="0" w:beforeAutospacing="0" w:after="0" w:afterAutospacing="0"/>
                    <w:jc w:val="center"/>
                    <w:rPr>
                      <w:b/>
                      <w:lang w:val="lv-LV"/>
                    </w:rPr>
                  </w:pPr>
                  <w:r w:rsidRPr="00B32E74">
                    <w:rPr>
                      <w:b/>
                      <w:lang w:val="lv-LV"/>
                    </w:rPr>
                    <w:t>2015</w:t>
                  </w:r>
                </w:p>
              </w:tc>
              <w:tc>
                <w:tcPr>
                  <w:tcW w:w="851" w:type="dxa"/>
                  <w:shd w:val="clear" w:color="auto" w:fill="E7E6E6" w:themeFill="background2"/>
                  <w:vAlign w:val="center"/>
                </w:tcPr>
                <w:p w:rsidR="00131FFE" w:rsidRPr="00B32E74" w:rsidP="00342148" w14:paraId="1BF60EAD" w14:textId="6C81B72D">
                  <w:pPr>
                    <w:pStyle w:val="NormalWeb"/>
                    <w:spacing w:before="0" w:beforeAutospacing="0" w:after="0" w:afterAutospacing="0"/>
                    <w:jc w:val="center"/>
                    <w:rPr>
                      <w:b/>
                      <w:lang w:val="lv-LV"/>
                    </w:rPr>
                  </w:pPr>
                  <w:r w:rsidRPr="00B32E74">
                    <w:rPr>
                      <w:b/>
                      <w:lang w:val="lv-LV"/>
                    </w:rPr>
                    <w:t>2016</w:t>
                  </w:r>
                </w:p>
              </w:tc>
            </w:tr>
            <w:tr w14:paraId="124A1F6A" w14:textId="77777777" w:rsidTr="00771897">
              <w:tblPrEx>
                <w:tblW w:w="0" w:type="auto"/>
                <w:jc w:val="center"/>
                <w:tblLook w:val="04A0"/>
              </w:tblPrEx>
              <w:trPr>
                <w:jc w:val="center"/>
              </w:trPr>
              <w:tc>
                <w:tcPr>
                  <w:tcW w:w="2976" w:type="dxa"/>
                  <w:vAlign w:val="center"/>
                </w:tcPr>
                <w:p w:rsidR="00131FFE" w:rsidRPr="00B32E74" w:rsidP="007010DF" w14:paraId="3DE8CA05" w14:textId="78C92A0B">
                  <w:pPr>
                    <w:pStyle w:val="NormalWeb"/>
                    <w:spacing w:before="0" w:beforeAutospacing="0" w:after="0" w:afterAutospacing="0"/>
                    <w:jc w:val="both"/>
                    <w:rPr>
                      <w:lang w:val="lv-LV"/>
                    </w:rPr>
                  </w:pPr>
                  <w:r w:rsidRPr="00B32E74">
                    <w:rPr>
                      <w:lang w:val="lv-LV"/>
                    </w:rPr>
                    <w:t xml:space="preserve">Veikto </w:t>
                  </w:r>
                  <w:r w:rsidRPr="00B32E74" w:rsidR="00205EB2">
                    <w:rPr>
                      <w:lang w:val="lv-LV"/>
                    </w:rPr>
                    <w:t xml:space="preserve">dopinga </w:t>
                  </w:r>
                  <w:r w:rsidRPr="00B32E74">
                    <w:rPr>
                      <w:lang w:val="lv-LV"/>
                    </w:rPr>
                    <w:t>analīžu skaits</w:t>
                  </w:r>
                  <w:r>
                    <w:rPr>
                      <w:rStyle w:val="FootnoteReference"/>
                      <w:lang w:val="lv-LV"/>
                    </w:rPr>
                    <w:footnoteReference w:id="5"/>
                  </w:r>
                </w:p>
              </w:tc>
              <w:tc>
                <w:tcPr>
                  <w:tcW w:w="786" w:type="dxa"/>
                  <w:vAlign w:val="center"/>
                </w:tcPr>
                <w:p w:rsidR="00131FFE" w:rsidRPr="00B32E74" w:rsidP="00342148" w14:paraId="269AFF2E" w14:textId="5320585C">
                  <w:pPr>
                    <w:pStyle w:val="NormalWeb"/>
                    <w:spacing w:before="0" w:beforeAutospacing="0" w:after="0" w:afterAutospacing="0"/>
                    <w:jc w:val="center"/>
                    <w:rPr>
                      <w:lang w:val="lv-LV"/>
                    </w:rPr>
                  </w:pPr>
                  <w:r w:rsidRPr="00B32E74">
                    <w:rPr>
                      <w:lang w:val="lv-LV"/>
                    </w:rPr>
                    <w:t>251</w:t>
                  </w:r>
                </w:p>
              </w:tc>
              <w:tc>
                <w:tcPr>
                  <w:tcW w:w="773" w:type="dxa"/>
                  <w:vAlign w:val="center"/>
                </w:tcPr>
                <w:p w:rsidR="00131FFE" w:rsidRPr="00B32E74" w:rsidP="00342148" w14:paraId="233C47A0" w14:textId="61C43A60">
                  <w:pPr>
                    <w:pStyle w:val="NormalWeb"/>
                    <w:spacing w:before="0" w:beforeAutospacing="0" w:after="0" w:afterAutospacing="0"/>
                    <w:jc w:val="center"/>
                    <w:rPr>
                      <w:lang w:val="lv-LV"/>
                    </w:rPr>
                  </w:pPr>
                  <w:r w:rsidRPr="00B32E74">
                    <w:rPr>
                      <w:lang w:val="lv-LV"/>
                    </w:rPr>
                    <w:t>306</w:t>
                  </w:r>
                </w:p>
              </w:tc>
              <w:tc>
                <w:tcPr>
                  <w:tcW w:w="851" w:type="dxa"/>
                  <w:vAlign w:val="center"/>
                </w:tcPr>
                <w:p w:rsidR="00131FFE" w:rsidRPr="00B32E74" w:rsidP="00342148" w14:paraId="5A949CA4" w14:textId="4FE1C5AB">
                  <w:pPr>
                    <w:pStyle w:val="NormalWeb"/>
                    <w:spacing w:before="0" w:beforeAutospacing="0" w:after="0" w:afterAutospacing="0"/>
                    <w:jc w:val="center"/>
                    <w:rPr>
                      <w:lang w:val="lv-LV"/>
                    </w:rPr>
                  </w:pPr>
                  <w:r w:rsidRPr="00B32E74">
                    <w:rPr>
                      <w:lang w:val="lv-LV"/>
                    </w:rPr>
                    <w:t>483</w:t>
                  </w:r>
                </w:p>
              </w:tc>
            </w:tr>
            <w:tr w14:paraId="44919B96" w14:textId="77777777" w:rsidTr="00771897">
              <w:tblPrEx>
                <w:tblW w:w="0" w:type="auto"/>
                <w:jc w:val="center"/>
                <w:tblLook w:val="04A0"/>
              </w:tblPrEx>
              <w:trPr>
                <w:jc w:val="center"/>
              </w:trPr>
              <w:tc>
                <w:tcPr>
                  <w:tcW w:w="2976" w:type="dxa"/>
                  <w:vAlign w:val="center"/>
                </w:tcPr>
                <w:p w:rsidR="00131FFE" w:rsidRPr="00B32E74" w:rsidP="007010DF" w14:paraId="7E0AC585" w14:textId="139C5FDD">
                  <w:pPr>
                    <w:pStyle w:val="NormalWeb"/>
                    <w:spacing w:before="0" w:beforeAutospacing="0" w:after="0" w:afterAutospacing="0"/>
                    <w:jc w:val="both"/>
                    <w:rPr>
                      <w:lang w:val="lv-LV"/>
                    </w:rPr>
                  </w:pPr>
                  <w:r w:rsidRPr="00B32E74">
                    <w:rPr>
                      <w:bCs/>
                      <w:lang w:val="lv-LV"/>
                    </w:rPr>
                    <w:t>Konstatēto </w:t>
                  </w:r>
                  <w:r w:rsidRPr="00B32E74" w:rsidR="00B32E74">
                    <w:rPr>
                      <w:color w:val="414142"/>
                      <w:shd w:val="clear" w:color="auto" w:fill="FFFFFF"/>
                      <w:lang w:val="lv-LV"/>
                    </w:rPr>
                    <w:t xml:space="preserve">antidopinga noteikumu pārkāpumu </w:t>
                  </w:r>
                  <w:r w:rsidRPr="00B32E74">
                    <w:rPr>
                      <w:bCs/>
                      <w:lang w:val="lv-LV"/>
                    </w:rPr>
                    <w:t>gadījumu skaits</w:t>
                  </w:r>
                </w:p>
              </w:tc>
              <w:tc>
                <w:tcPr>
                  <w:tcW w:w="786" w:type="dxa"/>
                  <w:vAlign w:val="center"/>
                </w:tcPr>
                <w:p w:rsidR="00131FFE" w:rsidRPr="00B32E74" w:rsidP="00771897" w14:paraId="7E4885A9" w14:textId="42D3F0FD">
                  <w:pPr>
                    <w:pStyle w:val="NormalWeb"/>
                    <w:spacing w:before="0" w:beforeAutospacing="0" w:after="0" w:afterAutospacing="0"/>
                    <w:jc w:val="center"/>
                    <w:rPr>
                      <w:lang w:val="lv-LV"/>
                    </w:rPr>
                  </w:pPr>
                  <w:r w:rsidRPr="00B32E74">
                    <w:rPr>
                      <w:lang w:val="lv-LV"/>
                    </w:rPr>
                    <w:t>8</w:t>
                  </w:r>
                </w:p>
              </w:tc>
              <w:tc>
                <w:tcPr>
                  <w:tcW w:w="773" w:type="dxa"/>
                  <w:vAlign w:val="center"/>
                </w:tcPr>
                <w:p w:rsidR="00131FFE" w:rsidRPr="00B32E74" w:rsidP="00771897" w14:paraId="3F3C9875" w14:textId="662AFE2D">
                  <w:pPr>
                    <w:pStyle w:val="NormalWeb"/>
                    <w:spacing w:before="0" w:beforeAutospacing="0" w:after="0" w:afterAutospacing="0"/>
                    <w:jc w:val="center"/>
                    <w:rPr>
                      <w:lang w:val="lv-LV"/>
                    </w:rPr>
                  </w:pPr>
                  <w:r w:rsidRPr="00B32E74">
                    <w:rPr>
                      <w:lang w:val="lv-LV"/>
                    </w:rPr>
                    <w:t>6</w:t>
                  </w:r>
                </w:p>
              </w:tc>
              <w:tc>
                <w:tcPr>
                  <w:tcW w:w="851" w:type="dxa"/>
                  <w:vAlign w:val="center"/>
                </w:tcPr>
                <w:p w:rsidR="00131FFE" w:rsidRPr="00B32E74" w:rsidP="00771897" w14:paraId="12B1A848" w14:textId="2373D6EA">
                  <w:pPr>
                    <w:pStyle w:val="NormalWeb"/>
                    <w:spacing w:before="0" w:beforeAutospacing="0" w:after="0" w:afterAutospacing="0"/>
                    <w:jc w:val="center"/>
                    <w:rPr>
                      <w:lang w:val="lv-LV"/>
                    </w:rPr>
                  </w:pPr>
                  <w:r w:rsidRPr="00B32E74">
                    <w:rPr>
                      <w:lang w:val="lv-LV"/>
                    </w:rPr>
                    <w:t>9</w:t>
                  </w:r>
                </w:p>
              </w:tc>
            </w:tr>
            <w:tr w14:paraId="6330F36F" w14:textId="77777777" w:rsidTr="00771897">
              <w:tblPrEx>
                <w:tblW w:w="0" w:type="auto"/>
                <w:jc w:val="center"/>
                <w:tblLook w:val="04A0"/>
              </w:tblPrEx>
              <w:trPr>
                <w:jc w:val="center"/>
              </w:trPr>
              <w:tc>
                <w:tcPr>
                  <w:tcW w:w="2976" w:type="dxa"/>
                  <w:vAlign w:val="center"/>
                </w:tcPr>
                <w:p w:rsidR="00131FFE" w:rsidRPr="00B32E74" w:rsidP="007010DF" w14:paraId="44230BE8" w14:textId="21C3DF47">
                  <w:pPr>
                    <w:pStyle w:val="NormalWeb"/>
                    <w:spacing w:before="0" w:beforeAutospacing="0" w:after="0" w:afterAutospacing="0"/>
                    <w:jc w:val="both"/>
                    <w:rPr>
                      <w:lang w:val="lv-LV"/>
                    </w:rPr>
                  </w:pPr>
                  <w:r w:rsidRPr="00B32E74">
                    <w:rPr>
                      <w:color w:val="414142"/>
                      <w:shd w:val="clear" w:color="auto" w:fill="FFFFFF"/>
                      <w:lang w:val="lv-LV"/>
                    </w:rPr>
                    <w:t xml:space="preserve">Antidopinga noteikumu pārkāpumu </w:t>
                  </w:r>
                  <w:r w:rsidRPr="00B32E74" w:rsidR="00771897">
                    <w:rPr>
                      <w:lang w:val="lv-LV"/>
                    </w:rPr>
                    <w:t xml:space="preserve">īpatsvars no kopējā </w:t>
                  </w:r>
                  <w:r w:rsidRPr="00B32E74" w:rsidR="00205EB2">
                    <w:rPr>
                      <w:lang w:val="lv-LV"/>
                    </w:rPr>
                    <w:t xml:space="preserve">analīžu </w:t>
                  </w:r>
                  <w:r w:rsidRPr="00B32E74" w:rsidR="00771897">
                    <w:rPr>
                      <w:lang w:val="lv-LV"/>
                    </w:rPr>
                    <w:t>skaita</w:t>
                  </w:r>
                </w:p>
              </w:tc>
              <w:tc>
                <w:tcPr>
                  <w:tcW w:w="786" w:type="dxa"/>
                  <w:vAlign w:val="center"/>
                </w:tcPr>
                <w:p w:rsidR="00131FFE" w:rsidRPr="00B32E74" w:rsidP="007010DF" w14:paraId="0F8CAE35" w14:textId="38C29543">
                  <w:pPr>
                    <w:pStyle w:val="NormalWeb"/>
                    <w:spacing w:before="0" w:beforeAutospacing="0" w:after="0" w:afterAutospacing="0"/>
                    <w:jc w:val="both"/>
                    <w:rPr>
                      <w:lang w:val="lv-LV"/>
                    </w:rPr>
                  </w:pPr>
                  <w:r w:rsidRPr="00B32E74">
                    <w:rPr>
                      <w:lang w:val="lv-LV"/>
                    </w:rPr>
                    <w:t>3,19%</w:t>
                  </w:r>
                </w:p>
              </w:tc>
              <w:tc>
                <w:tcPr>
                  <w:tcW w:w="773" w:type="dxa"/>
                  <w:vAlign w:val="center"/>
                </w:tcPr>
                <w:p w:rsidR="00131FFE" w:rsidRPr="00B32E74" w:rsidP="007010DF" w14:paraId="2303E273" w14:textId="5EF3077D">
                  <w:pPr>
                    <w:pStyle w:val="NormalWeb"/>
                    <w:spacing w:before="0" w:beforeAutospacing="0" w:after="0" w:afterAutospacing="0"/>
                    <w:jc w:val="both"/>
                    <w:rPr>
                      <w:lang w:val="lv-LV"/>
                    </w:rPr>
                  </w:pPr>
                  <w:r w:rsidRPr="00B32E74">
                    <w:rPr>
                      <w:lang w:val="lv-LV"/>
                    </w:rPr>
                    <w:t>1,97%</w:t>
                  </w:r>
                </w:p>
              </w:tc>
              <w:tc>
                <w:tcPr>
                  <w:tcW w:w="851" w:type="dxa"/>
                  <w:vAlign w:val="center"/>
                </w:tcPr>
                <w:p w:rsidR="00131FFE" w:rsidRPr="00B32E74" w:rsidP="007010DF" w14:paraId="67131C48" w14:textId="2BA0D3C7">
                  <w:pPr>
                    <w:pStyle w:val="NormalWeb"/>
                    <w:spacing w:before="0" w:beforeAutospacing="0" w:after="0" w:afterAutospacing="0"/>
                    <w:jc w:val="both"/>
                    <w:rPr>
                      <w:lang w:val="lv-LV"/>
                    </w:rPr>
                  </w:pPr>
                  <w:r w:rsidRPr="00B32E74">
                    <w:rPr>
                      <w:lang w:val="lv-LV"/>
                    </w:rPr>
                    <w:t>1,86%</w:t>
                  </w:r>
                </w:p>
              </w:tc>
            </w:tr>
          </w:tbl>
          <w:p w:rsidR="004A3BD4" w:rsidRPr="00D91A1F" w:rsidP="007B0633" w14:paraId="42AF6BCC" w14:textId="77777777">
            <w:pPr>
              <w:pStyle w:val="NormalWeb"/>
              <w:spacing w:before="0" w:beforeAutospacing="0" w:after="0" w:afterAutospacing="0"/>
              <w:jc w:val="both"/>
              <w:rPr>
                <w:sz w:val="28"/>
                <w:szCs w:val="28"/>
                <w:lang w:val="lv-LV"/>
              </w:rPr>
            </w:pPr>
          </w:p>
          <w:p w:rsidR="00C9070C" w:rsidRPr="00FA0E70" w:rsidP="00F54C49" w14:paraId="20F8AB5D" w14:textId="17A0A266">
            <w:pPr>
              <w:spacing w:after="0" w:line="240" w:lineRule="auto"/>
              <w:jc w:val="both"/>
              <w:rPr>
                <w:rFonts w:ascii="Times New Roman" w:eastAsia="Times New Roman" w:hAnsi="Times New Roman" w:cs="Times New Roman"/>
                <w:bCs/>
                <w:sz w:val="28"/>
                <w:szCs w:val="28"/>
              </w:rPr>
            </w:pPr>
            <w:r w:rsidRPr="007B0633">
              <w:rPr>
                <w:rFonts w:ascii="Times New Roman" w:hAnsi="Times New Roman" w:cs="Times New Roman"/>
                <w:sz w:val="28"/>
                <w:szCs w:val="28"/>
              </w:rPr>
              <w:t>Tādē</w:t>
            </w:r>
            <w:r w:rsidRPr="007B0633" w:rsidR="004A3BD4">
              <w:rPr>
                <w:rFonts w:ascii="Times New Roman" w:hAnsi="Times New Roman" w:cs="Times New Roman"/>
                <w:sz w:val="28"/>
                <w:szCs w:val="28"/>
              </w:rPr>
              <w:t>jādi, ņemot vērā, ka ir paredzēts paaugstināt</w:t>
            </w:r>
            <w:r w:rsidRPr="007B0633">
              <w:rPr>
                <w:rFonts w:ascii="Times New Roman" w:hAnsi="Times New Roman" w:cs="Times New Roman"/>
                <w:sz w:val="28"/>
                <w:szCs w:val="28"/>
              </w:rPr>
              <w:t xml:space="preserve"> par valsts budžeta līdzekļiem veikto pārbaužu skaitu līdz 1000 analīzēm, tad</w:t>
            </w:r>
            <w:r w:rsidRPr="007B0633" w:rsidR="008829A6">
              <w:rPr>
                <w:rFonts w:ascii="Times New Roman" w:hAnsi="Times New Roman" w:cs="Times New Roman"/>
                <w:sz w:val="28"/>
                <w:szCs w:val="28"/>
              </w:rPr>
              <w:t>,</w:t>
            </w:r>
            <w:r w:rsidRPr="007B0633">
              <w:rPr>
                <w:rFonts w:ascii="Times New Roman" w:hAnsi="Times New Roman" w:cs="Times New Roman"/>
                <w:sz w:val="28"/>
                <w:szCs w:val="28"/>
              </w:rPr>
              <w:t xml:space="preserve"> </w:t>
            </w:r>
            <w:r w:rsidRPr="007B0633" w:rsidR="008829A6">
              <w:rPr>
                <w:rFonts w:ascii="Times New Roman" w:hAnsi="Times New Roman" w:cs="Times New Roman"/>
                <w:sz w:val="28"/>
                <w:szCs w:val="28"/>
              </w:rPr>
              <w:t xml:space="preserve">saglabājoties līdzšinējai tendencei, </w:t>
            </w:r>
            <w:r w:rsidRPr="007B0633">
              <w:rPr>
                <w:rFonts w:ascii="Times New Roman" w:hAnsi="Times New Roman" w:cs="Times New Roman"/>
                <w:sz w:val="28"/>
                <w:szCs w:val="28"/>
              </w:rPr>
              <w:t>pozitīvo</w:t>
            </w:r>
            <w:r w:rsidRPr="007B0633" w:rsidR="008829A6">
              <w:rPr>
                <w:rFonts w:ascii="Times New Roman" w:hAnsi="Times New Roman" w:cs="Times New Roman"/>
                <w:sz w:val="28"/>
                <w:szCs w:val="28"/>
              </w:rPr>
              <w:t xml:space="preserve"> dopinga gadījumu skaits varētu būt 20-30 gadījumi. Vienlaikus laika periodā no 2014. līdz 2016. gadam nav bijis neviens </w:t>
            </w:r>
            <w:r w:rsidRPr="00FA0E70" w:rsidR="008829A6">
              <w:rPr>
                <w:rFonts w:ascii="Times New Roman" w:hAnsi="Times New Roman" w:cs="Times New Roman"/>
                <w:sz w:val="28"/>
                <w:szCs w:val="28"/>
              </w:rPr>
              <w:t>pārsūdzības gadījums</w:t>
            </w:r>
            <w:r w:rsidRPr="00FA0E70">
              <w:rPr>
                <w:rFonts w:ascii="Times New Roman" w:hAnsi="Times New Roman" w:cs="Times New Roman"/>
                <w:sz w:val="28"/>
                <w:szCs w:val="28"/>
              </w:rPr>
              <w:t xml:space="preserve"> </w:t>
            </w:r>
            <w:r w:rsidRPr="00FA0E70">
              <w:rPr>
                <w:rFonts w:ascii="Times New Roman" w:eastAsia="Times New Roman" w:hAnsi="Times New Roman" w:cs="Times New Roman"/>
                <w:bCs/>
                <w:sz w:val="28"/>
                <w:szCs w:val="28"/>
              </w:rPr>
              <w:t>attiecībā uz diskvalifikācijām dopinga pārkāpumu dēļ.</w:t>
            </w:r>
          </w:p>
          <w:p w:rsidR="00C9070C" w:rsidRPr="00FA0E70" w:rsidP="00C9070C" w14:paraId="6F668DEF" w14:textId="500F811B">
            <w:pPr>
              <w:pStyle w:val="NoSpacing"/>
              <w:jc w:val="both"/>
              <w:rPr>
                <w:sz w:val="28"/>
                <w:szCs w:val="28"/>
                <w:lang w:val="lv-LV"/>
              </w:rPr>
            </w:pPr>
            <w:r w:rsidRPr="00FA0E70">
              <w:rPr>
                <w:sz w:val="28"/>
                <w:szCs w:val="28"/>
                <w:lang w:val="lv-LV"/>
              </w:rPr>
              <w:t xml:space="preserve">Likumprojekts nosaka, ka Disciplinārās antidopinga komisijas lēmumi ir saistoši visiem sportistiem, </w:t>
            </w:r>
            <w:r w:rsidRPr="00FA0E70">
              <w:rPr>
                <w:sz w:val="28"/>
                <w:szCs w:val="28"/>
                <w:shd w:val="clear" w:color="auto" w:fill="FFFFFF"/>
                <w:lang w:val="lv-LV"/>
              </w:rPr>
              <w:t>sporta organizācijām</w:t>
            </w:r>
            <w:r w:rsidRPr="00FA0E70">
              <w:rPr>
                <w:sz w:val="28"/>
                <w:szCs w:val="28"/>
                <w:lang w:val="lv-LV"/>
              </w:rPr>
              <w:t>, sporta darbiniekiem un sporta speciālistiem un šos lēmumus var apstrīdēt biedrības "Latvijas Sporta federāciju padome" Strīdu izskatīšanas (apelācijas) komisijā, kuras pieņemtos lēmumus var pārsūdzēt Sporta arbitrāžas tiesā. </w:t>
            </w:r>
          </w:p>
          <w:p w:rsidR="00E83693" w:rsidRPr="007B0633" w:rsidP="007B0633" w14:paraId="3C86D52F" w14:textId="7E80BF17">
            <w:pPr>
              <w:pStyle w:val="NoSpacing"/>
              <w:jc w:val="both"/>
              <w:rPr>
                <w:sz w:val="28"/>
                <w:szCs w:val="28"/>
                <w:lang w:val="lv-LV"/>
              </w:rPr>
            </w:pPr>
            <w:r w:rsidRPr="00FA0E70">
              <w:rPr>
                <w:sz w:val="28"/>
                <w:szCs w:val="28"/>
                <w:lang w:val="lv-LV"/>
              </w:rPr>
              <w:t>Saskaņā ar</w:t>
            </w:r>
            <w:r w:rsidRPr="00FA0E70" w:rsidR="00F50B48">
              <w:rPr>
                <w:sz w:val="28"/>
                <w:szCs w:val="28"/>
                <w:lang w:val="lv-LV"/>
              </w:rPr>
              <w:t xml:space="preserve"> Starptautiskās konvencijas pret dopingu sportā</w:t>
            </w:r>
            <w:r w:rsidRPr="00FA0E70" w:rsidR="00521CA8">
              <w:rPr>
                <w:sz w:val="28"/>
                <w:szCs w:val="28"/>
                <w:lang w:val="lv-LV"/>
              </w:rPr>
              <w:t xml:space="preserve"> 2.</w:t>
            </w:r>
            <w:r w:rsidRPr="00FA0E70" w:rsidR="00F50B48">
              <w:rPr>
                <w:sz w:val="28"/>
                <w:szCs w:val="28"/>
                <w:lang w:val="lv-LV"/>
              </w:rPr>
              <w:t> </w:t>
            </w:r>
            <w:r w:rsidRPr="00FA0E70" w:rsidR="00521CA8">
              <w:rPr>
                <w:sz w:val="28"/>
                <w:szCs w:val="28"/>
                <w:lang w:val="lv-LV"/>
              </w:rPr>
              <w:t>pielikumu un</w:t>
            </w:r>
            <w:r w:rsidRPr="00FA0E70">
              <w:rPr>
                <w:sz w:val="28"/>
                <w:szCs w:val="28"/>
                <w:lang w:val="lv-LV"/>
              </w:rPr>
              <w:t xml:space="preserve"> Pasaules Antidopinga kodeksa</w:t>
            </w:r>
            <w:r w:rsidRPr="00FA0E70">
              <w:rPr>
                <w:color w:val="212121"/>
                <w:sz w:val="28"/>
                <w:szCs w:val="28"/>
                <w:shd w:val="clear" w:color="auto" w:fill="FFFFFF"/>
                <w:lang w:val="lv-LV"/>
              </w:rPr>
              <w:t xml:space="preserve"> 4.4. punktā un</w:t>
            </w:r>
            <w:r w:rsidRPr="007B0633">
              <w:rPr>
                <w:color w:val="212121"/>
                <w:sz w:val="28"/>
                <w:szCs w:val="28"/>
                <w:shd w:val="clear" w:color="auto" w:fill="FFFFFF"/>
                <w:lang w:val="lv-LV"/>
              </w:rPr>
              <w:t xml:space="preserve"> tā apakšpunktos  noteikto sportistam, kas </w:t>
            </w:r>
            <w:r w:rsidRPr="007B0633">
              <w:rPr>
                <w:color w:val="212121"/>
                <w:sz w:val="28"/>
                <w:szCs w:val="28"/>
                <w:u w:val="single"/>
                <w:shd w:val="clear" w:color="auto" w:fill="FFFFFF"/>
                <w:lang w:val="lv-LV"/>
              </w:rPr>
              <w:t>nav</w:t>
            </w:r>
            <w:r w:rsidRPr="007B0633">
              <w:rPr>
                <w:color w:val="212121"/>
                <w:sz w:val="28"/>
                <w:szCs w:val="28"/>
                <w:shd w:val="clear" w:color="auto" w:fill="FFFFFF"/>
                <w:lang w:val="lv-LV"/>
              </w:rPr>
              <w:t xml:space="preserve"> starptautiska līmeņa sportists, terapeitiskās lietošanas</w:t>
            </w:r>
            <w:r w:rsidRPr="007B0633" w:rsidR="000F0189">
              <w:rPr>
                <w:color w:val="212121"/>
                <w:sz w:val="28"/>
                <w:szCs w:val="28"/>
                <w:shd w:val="clear" w:color="auto" w:fill="FFFFFF"/>
                <w:lang w:val="lv-LV"/>
              </w:rPr>
              <w:t xml:space="preserve"> izņēmumu</w:t>
            </w:r>
            <w:r w:rsidRPr="007B0633">
              <w:rPr>
                <w:color w:val="212121"/>
                <w:sz w:val="28"/>
                <w:szCs w:val="28"/>
                <w:shd w:val="clear" w:color="auto" w:fill="FFFFFF"/>
                <w:lang w:val="lv-LV"/>
              </w:rPr>
              <w:t xml:space="preserve"> atļaujas saņemšanai jāpiesakās savas valsts antidopinga organizācijā. Ja valsts antidopinga organizācija noraida</w:t>
            </w:r>
            <w:r w:rsidRPr="007B0633" w:rsidR="00A66C26">
              <w:rPr>
                <w:color w:val="212121"/>
                <w:sz w:val="28"/>
                <w:szCs w:val="28"/>
                <w:shd w:val="clear" w:color="auto" w:fill="FFFFFF"/>
                <w:lang w:val="lv-LV"/>
              </w:rPr>
              <w:t xml:space="preserve"> nepieciešamību saņemt terapeitiskās lietošanas izņēmumu atļauju</w:t>
            </w:r>
            <w:r w:rsidRPr="007B0633">
              <w:rPr>
                <w:color w:val="212121"/>
                <w:sz w:val="28"/>
                <w:szCs w:val="28"/>
                <w:shd w:val="clear" w:color="auto" w:fill="FFFFFF"/>
                <w:lang w:val="lv-LV"/>
              </w:rPr>
              <w:t xml:space="preserve">, sportists šo lēmumu var pārsūdzēt tikai valsts līmeņa pārsūdzības iestādē. Savukārt sportistam, kas </w:t>
            </w:r>
            <w:r w:rsidRPr="007B0633">
              <w:rPr>
                <w:color w:val="212121"/>
                <w:sz w:val="28"/>
                <w:szCs w:val="28"/>
                <w:u w:val="single"/>
                <w:shd w:val="clear" w:color="auto" w:fill="FFFFFF"/>
                <w:lang w:val="lv-LV"/>
              </w:rPr>
              <w:t>ir</w:t>
            </w:r>
            <w:r w:rsidRPr="007B0633">
              <w:rPr>
                <w:color w:val="212121"/>
                <w:sz w:val="28"/>
                <w:szCs w:val="28"/>
                <w:shd w:val="clear" w:color="auto" w:fill="FFFFFF"/>
                <w:lang w:val="lv-LV"/>
              </w:rPr>
              <w:t xml:space="preserve"> starptautiska līmeņa sportists, jāpiesakās savā starptautiskajā federācijā terapeitiskās lietošanas atļaujas izņēmuma saņemšanai. Ja sportista valsts antidopinga organizācija viņam jau ir piešķīrusi attiecīgās vielas vai metodes terapeitiskās lietošanas izņēmuma atļaujai, kas atbilst Starptautiskajā terapeitiskās lietošanas atļaujas standartā noteiktajiem kritērijiem, tad starptautiskajai federācijai tā ir jāatzīst. Ja starptautiskā federācija uzskata, ka terapeitiskās lietošanas atļaujas izņēmums neatbilst šiem kritērijiem un tāpēc atsakās to atzīt, tai nekavējoties par šāda lēmuma iemesliem jāinformē sportists un viņa valsts antidopinga organizācija. Sportists un viņa valsts antidopinga organizācija 21 dienas laikā no šāda paziņojuma saņemšanas dienas var pārsūdzēt šo lietu Pasaules Antidopinga organizācijā. Pasaules Antidopinga organizācijas</w:t>
            </w:r>
            <w:r w:rsidRPr="007B0633">
              <w:rPr>
                <w:color w:val="212121"/>
                <w:sz w:val="28"/>
                <w:szCs w:val="28"/>
                <w:lang w:val="lv-LV"/>
              </w:rPr>
              <w:br/>
            </w:r>
            <w:r w:rsidRPr="007B0633">
              <w:rPr>
                <w:color w:val="212121"/>
                <w:sz w:val="28"/>
                <w:szCs w:val="28"/>
                <w:shd w:val="clear" w:color="auto" w:fill="FFFFFF"/>
                <w:lang w:val="lv-LV"/>
              </w:rPr>
              <w:t xml:space="preserve">lēmumu </w:t>
            </w:r>
            <w:r w:rsidRPr="00FA0E70">
              <w:rPr>
                <w:color w:val="212121"/>
                <w:sz w:val="28"/>
                <w:szCs w:val="28"/>
                <w:shd w:val="clear" w:color="auto" w:fill="FFFFFF"/>
                <w:lang w:val="lv-LV"/>
              </w:rPr>
              <w:t>par terapeitiskās lietošanas atļaujas izņēmuma piešķiršanas lēmuma atcelšanu sportists, valsts antidopinga aģentūra vai starptautiskā federācija var pārsūdzēt tikai Sporta</w:t>
            </w:r>
            <w:r w:rsidRPr="00FA0E70" w:rsidR="003D076B">
              <w:rPr>
                <w:color w:val="212121"/>
                <w:sz w:val="28"/>
                <w:szCs w:val="28"/>
                <w:shd w:val="clear" w:color="auto" w:fill="FFFFFF"/>
                <w:lang w:val="lv-LV"/>
              </w:rPr>
              <w:t xml:space="preserve"> </w:t>
            </w:r>
            <w:r w:rsidRPr="00FA0E70" w:rsidR="003D076B">
              <w:rPr>
                <w:color w:val="212121"/>
                <w:sz w:val="28"/>
                <w:szCs w:val="28"/>
                <w:lang w:val="lv-LV"/>
              </w:rPr>
              <w:t>arbitrāžas</w:t>
            </w:r>
            <w:r w:rsidRPr="00FA0E70" w:rsidR="00FA0E70">
              <w:rPr>
                <w:color w:val="212121"/>
                <w:sz w:val="28"/>
                <w:szCs w:val="28"/>
                <w:shd w:val="clear" w:color="auto" w:fill="FFFFFF"/>
                <w:lang w:val="lv-LV"/>
              </w:rPr>
              <w:t xml:space="preserve"> </w:t>
            </w:r>
            <w:r w:rsidRPr="00FA0E70">
              <w:rPr>
                <w:color w:val="212121"/>
                <w:sz w:val="28"/>
                <w:szCs w:val="28"/>
                <w:shd w:val="clear" w:color="auto" w:fill="FFFFFF"/>
                <w:lang w:val="lv-LV"/>
              </w:rPr>
              <w:t>tiesā.</w:t>
            </w:r>
          </w:p>
          <w:p w:rsidR="00CC2528" w:rsidRPr="00176AB8" w:rsidP="00CC2528" w14:paraId="56CA28D7" w14:textId="0DC107A9">
            <w:pPr>
              <w:pStyle w:val="NoSpacing"/>
              <w:jc w:val="both"/>
              <w:rPr>
                <w:sz w:val="28"/>
                <w:szCs w:val="28"/>
                <w:lang w:val="lv-LV"/>
              </w:rPr>
            </w:pPr>
            <w:r w:rsidRPr="007B0633">
              <w:rPr>
                <w:color w:val="212121"/>
                <w:sz w:val="28"/>
                <w:szCs w:val="28"/>
                <w:shd w:val="clear" w:color="auto" w:fill="FFFFFF"/>
                <w:lang w:val="lv-LV"/>
              </w:rPr>
              <w:t>Ņemot vērā minēto, a</w:t>
            </w:r>
            <w:r w:rsidRPr="007B0633" w:rsidR="00304440">
              <w:rPr>
                <w:sz w:val="28"/>
                <w:szCs w:val="28"/>
                <w:lang w:val="lv-LV"/>
              </w:rPr>
              <w:t>tbilstoši MK noteikumu Nr. 820 9. </w:t>
            </w:r>
            <w:r w:rsidRPr="007B0633">
              <w:rPr>
                <w:sz w:val="28"/>
                <w:szCs w:val="28"/>
                <w:lang w:val="lv-LV"/>
              </w:rPr>
              <w:t>punktam, patlaban Antidopinga</w:t>
            </w:r>
            <w:r w:rsidRPr="00FA0C5E">
              <w:rPr>
                <w:sz w:val="28"/>
                <w:szCs w:val="28"/>
                <w:lang w:val="lv-LV"/>
              </w:rPr>
              <w:t xml:space="preserve"> komiteja apstiprina </w:t>
            </w:r>
            <w:r w:rsidRPr="000F0189">
              <w:rPr>
                <w:sz w:val="28"/>
                <w:szCs w:val="28"/>
                <w:lang w:val="lv-LV"/>
              </w:rPr>
              <w:t>Terapeitiskās lietošanas komisiju.</w:t>
            </w:r>
            <w:r w:rsidRPr="00FA0C5E">
              <w:rPr>
                <w:sz w:val="28"/>
                <w:szCs w:val="28"/>
                <w:lang w:val="lv-LV"/>
              </w:rPr>
              <w:t xml:space="preserve"> Terapeitiskās lietošanas komisija </w:t>
            </w:r>
            <w:r w:rsidRPr="00FA0C5E">
              <w:rPr>
                <w:bCs/>
                <w:sz w:val="28"/>
                <w:szCs w:val="28"/>
                <w:lang w:val="lv-LV"/>
              </w:rPr>
              <w:t xml:space="preserve">ir speciālistu grupa, </w:t>
            </w:r>
            <w:r w:rsidRPr="00FA0C5E">
              <w:rPr>
                <w:sz w:val="28"/>
                <w:szCs w:val="28"/>
                <w:lang w:val="lv-LV"/>
              </w:rPr>
              <w:t>kas izveidota terapeitiskās lietošanas izņēmumu pieteikuma anketu</w:t>
            </w:r>
            <w:r w:rsidRPr="00FA0C5E">
              <w:rPr>
                <w:i/>
                <w:sz w:val="28"/>
                <w:szCs w:val="28"/>
                <w:lang w:val="lv-LV"/>
              </w:rPr>
              <w:t xml:space="preserve"> </w:t>
            </w:r>
            <w:r w:rsidRPr="00FA0C5E">
              <w:rPr>
                <w:sz w:val="28"/>
                <w:szCs w:val="28"/>
                <w:lang w:val="lv-LV"/>
              </w:rPr>
              <w:t xml:space="preserve">izskatīšanai un atzinumu sniegšanai, un darbojas atbilstoši Starptautiskās konvencijas pret dopinga sportā 2. pielikumā </w:t>
            </w:r>
            <w:r w:rsidRPr="00FA0C5E" w:rsidR="00544231">
              <w:rPr>
                <w:sz w:val="28"/>
                <w:szCs w:val="28"/>
                <w:lang w:val="lv-LV"/>
              </w:rPr>
              <w:t>"</w:t>
            </w:r>
            <w:r w:rsidRPr="00FA0C5E">
              <w:rPr>
                <w:sz w:val="28"/>
                <w:szCs w:val="28"/>
                <w:lang w:val="lv-LV"/>
              </w:rPr>
              <w:t>Terapeitiskās lietošanas izņēmumu noteikšanas standarti</w:t>
            </w:r>
            <w:r w:rsidRPr="00FA0C5E" w:rsidR="00544231">
              <w:rPr>
                <w:sz w:val="28"/>
                <w:szCs w:val="28"/>
                <w:lang w:val="lv-LV"/>
              </w:rPr>
              <w:t>"</w:t>
            </w:r>
            <w:r w:rsidRPr="00FA0C5E">
              <w:rPr>
                <w:sz w:val="28"/>
                <w:szCs w:val="28"/>
                <w:lang w:val="lv-LV"/>
              </w:rPr>
              <w:t xml:space="preserve"> noteiktajiem principiem. Ņemot vērā, ka pēc grozījumu spēkā stāšanās Antidopinga komitejai tiks mainīts statuss, nepieciešams noteikt mehānismu, kā tiek izveidota </w:t>
            </w:r>
            <w:r w:rsidRPr="00E83693">
              <w:rPr>
                <w:b/>
                <w:sz w:val="28"/>
                <w:szCs w:val="28"/>
                <w:lang w:val="lv-LV"/>
              </w:rPr>
              <w:t>Terapeitiskās lietošanas</w:t>
            </w:r>
            <w:r w:rsidRPr="00E83693" w:rsidR="00E83693">
              <w:rPr>
                <w:b/>
                <w:sz w:val="28"/>
                <w:szCs w:val="28"/>
                <w:lang w:val="lv-LV"/>
              </w:rPr>
              <w:t xml:space="preserve"> </w:t>
            </w:r>
            <w:r w:rsidRPr="00E83693" w:rsidR="00E83693">
              <w:rPr>
                <w:b/>
                <w:bCs/>
                <w:sz w:val="28"/>
                <w:szCs w:val="28"/>
                <w:lang w:val="lv-LV"/>
              </w:rPr>
              <w:t>izņēmumu piešķiršanas</w:t>
            </w:r>
            <w:r w:rsidRPr="00E83693">
              <w:rPr>
                <w:b/>
                <w:sz w:val="28"/>
                <w:szCs w:val="28"/>
                <w:lang w:val="lv-LV"/>
              </w:rPr>
              <w:t xml:space="preserve"> komisija</w:t>
            </w:r>
            <w:r w:rsidRPr="00FA0C5E">
              <w:rPr>
                <w:sz w:val="28"/>
                <w:szCs w:val="28"/>
                <w:lang w:val="lv-LV"/>
              </w:rPr>
              <w:t xml:space="preserve">. </w:t>
            </w:r>
            <w:r w:rsidRPr="00E83693">
              <w:rPr>
                <w:sz w:val="28"/>
                <w:szCs w:val="28"/>
                <w:lang w:val="lv-LV"/>
              </w:rPr>
              <w:t xml:space="preserve">Likumprojekts paredz, ka Terapeitiskās lietošanas </w:t>
            </w:r>
            <w:r w:rsidRPr="00E83693" w:rsidR="00E83693">
              <w:rPr>
                <w:bCs/>
                <w:sz w:val="28"/>
                <w:szCs w:val="28"/>
                <w:lang w:val="lv-LV"/>
              </w:rPr>
              <w:t>izņēmumu piešķiršanas</w:t>
            </w:r>
            <w:r w:rsidRPr="00E83693" w:rsidR="00E83693">
              <w:rPr>
                <w:b/>
                <w:bCs/>
                <w:sz w:val="28"/>
                <w:szCs w:val="28"/>
                <w:lang w:val="lv-LV"/>
              </w:rPr>
              <w:t xml:space="preserve"> </w:t>
            </w:r>
            <w:r w:rsidRPr="00FA0C5E">
              <w:rPr>
                <w:sz w:val="28"/>
                <w:szCs w:val="28"/>
                <w:lang w:val="lv-LV"/>
              </w:rPr>
              <w:t xml:space="preserve">komisijas nolikumu apstiprina Ministru kabinets. Savukārt sastāvu apstiprina Latvijas Ārstu biedrība, kas sevī apvieno visu specialitāšu ārstus Latvijā, līdz ar to ir </w:t>
            </w:r>
            <w:r w:rsidRPr="007B0633">
              <w:rPr>
                <w:sz w:val="28"/>
                <w:szCs w:val="28"/>
                <w:lang w:val="lv-LV"/>
              </w:rPr>
              <w:t>kompetenta izraudzīties komisijas locekļus atbilstoši Starptautiskās konvencijas pret dopinga sportā noteiktajiem principiem</w:t>
            </w:r>
            <w:r w:rsidRPr="007B0633" w:rsidR="0083258C">
              <w:rPr>
                <w:sz w:val="28"/>
                <w:szCs w:val="28"/>
                <w:lang w:val="lv-LV"/>
              </w:rPr>
              <w:t xml:space="preserve"> (2.</w:t>
            </w:r>
            <w:r w:rsidRPr="007B0633" w:rsidR="006A5035">
              <w:rPr>
                <w:sz w:val="28"/>
                <w:szCs w:val="28"/>
                <w:lang w:val="lv-LV"/>
              </w:rPr>
              <w:t> </w:t>
            </w:r>
            <w:r w:rsidRPr="007B0633" w:rsidR="0083258C">
              <w:rPr>
                <w:sz w:val="28"/>
                <w:szCs w:val="28"/>
                <w:lang w:val="lv-LV"/>
              </w:rPr>
              <w:t>pielikum</w:t>
            </w:r>
            <w:r w:rsidRPr="007B0633" w:rsidR="006A5035">
              <w:rPr>
                <w:sz w:val="28"/>
                <w:szCs w:val="28"/>
                <w:lang w:val="lv-LV"/>
              </w:rPr>
              <w:t>s</w:t>
            </w:r>
            <w:r w:rsidRPr="007B0633" w:rsidR="0083258C">
              <w:rPr>
                <w:sz w:val="28"/>
                <w:szCs w:val="28"/>
                <w:lang w:val="lv-LV"/>
              </w:rPr>
              <w:t xml:space="preserve"> "Terapeitiskās lietošanas izņēmumu noteikšanas standarti")</w:t>
            </w:r>
            <w:r w:rsidRPr="007B0633">
              <w:rPr>
                <w:sz w:val="28"/>
                <w:szCs w:val="28"/>
                <w:lang w:val="lv-LV"/>
              </w:rPr>
              <w:t xml:space="preserve">. </w:t>
            </w:r>
            <w:r w:rsidRPr="007B0633" w:rsidR="00182DFF">
              <w:rPr>
                <w:sz w:val="28"/>
                <w:szCs w:val="28"/>
                <w:lang w:val="lv-LV"/>
              </w:rPr>
              <w:t>Vienlaikus no 2014. līdz 2016. gadam</w:t>
            </w:r>
            <w:r w:rsidRPr="007B0633" w:rsidR="00ED48BB">
              <w:rPr>
                <w:sz w:val="28"/>
                <w:szCs w:val="28"/>
                <w:lang w:val="lv-LV"/>
              </w:rPr>
              <w:t xml:space="preserve"> (skat. 2.</w:t>
            </w:r>
            <w:r w:rsidRPr="007B0633" w:rsidR="00BC58A8">
              <w:rPr>
                <w:sz w:val="28"/>
                <w:szCs w:val="28"/>
                <w:lang w:val="lv-LV"/>
              </w:rPr>
              <w:t> </w:t>
            </w:r>
            <w:r w:rsidRPr="007B0633" w:rsidR="00ED48BB">
              <w:rPr>
                <w:sz w:val="28"/>
                <w:szCs w:val="28"/>
                <w:lang w:val="lv-LV"/>
              </w:rPr>
              <w:t>tabulu)</w:t>
            </w:r>
            <w:r w:rsidRPr="007B0633" w:rsidR="00182DFF">
              <w:rPr>
                <w:sz w:val="28"/>
                <w:szCs w:val="28"/>
                <w:lang w:val="lv-LV"/>
              </w:rPr>
              <w:t xml:space="preserve"> </w:t>
            </w:r>
            <w:r w:rsidRPr="007B0633" w:rsidR="000F6CE7">
              <w:rPr>
                <w:sz w:val="28"/>
                <w:szCs w:val="28"/>
                <w:lang w:val="lv-LV"/>
              </w:rPr>
              <w:t>gadā saņemto pieteikumu skaits terapeitiskās lietošanas izņēmumiem ir robežās no 9 līdz 13 pieteikumiem.</w:t>
            </w:r>
          </w:p>
          <w:p w:rsidR="00176AB8" w:rsidRPr="00176AB8" w:rsidP="00CC2528" w14:paraId="21227371" w14:textId="77777777">
            <w:pPr>
              <w:pStyle w:val="NoSpacing"/>
              <w:jc w:val="both"/>
              <w:rPr>
                <w:sz w:val="28"/>
                <w:szCs w:val="28"/>
                <w:lang w:val="lv-LV"/>
              </w:rPr>
            </w:pPr>
          </w:p>
          <w:tbl>
            <w:tblPr>
              <w:tblStyle w:val="TableGrid"/>
              <w:tblW w:w="0" w:type="auto"/>
              <w:jc w:val="center"/>
              <w:tblLook w:val="04A0"/>
            </w:tblPr>
            <w:tblGrid>
              <w:gridCol w:w="2976"/>
              <w:gridCol w:w="786"/>
              <w:gridCol w:w="773"/>
              <w:gridCol w:w="851"/>
            </w:tblGrid>
            <w:tr w14:paraId="79B1450F" w14:textId="77777777" w:rsidTr="00390169">
              <w:tblPrEx>
                <w:tblW w:w="0" w:type="auto"/>
                <w:jc w:val="center"/>
                <w:tblLook w:val="04A0"/>
              </w:tblPrEx>
              <w:trPr>
                <w:jc w:val="center"/>
              </w:trPr>
              <w:tc>
                <w:tcPr>
                  <w:tcW w:w="5386" w:type="dxa"/>
                  <w:gridSpan w:val="4"/>
                  <w:shd w:val="clear" w:color="auto" w:fill="E7E6E6" w:themeFill="background2"/>
                  <w:vAlign w:val="center"/>
                </w:tcPr>
                <w:p w:rsidR="00182DFF" w:rsidRPr="00131FFE" w:rsidP="00ED48BB" w14:paraId="18D9E19F" w14:textId="6AD9248E">
                  <w:pPr>
                    <w:pStyle w:val="NormalWeb"/>
                    <w:spacing w:before="0" w:beforeAutospacing="0" w:after="0" w:afterAutospacing="0"/>
                    <w:jc w:val="center"/>
                    <w:rPr>
                      <w:b/>
                      <w:lang w:val="lv-LV"/>
                    </w:rPr>
                  </w:pPr>
                  <w:r>
                    <w:rPr>
                      <w:b/>
                      <w:lang w:val="lv-LV"/>
                    </w:rPr>
                    <w:t>2.</w:t>
                  </w:r>
                  <w:r w:rsidR="00BC58A8">
                    <w:rPr>
                      <w:b/>
                      <w:lang w:val="lv-LV"/>
                    </w:rPr>
                    <w:t> </w:t>
                  </w:r>
                  <w:r>
                    <w:rPr>
                      <w:b/>
                      <w:lang w:val="lv-LV"/>
                    </w:rPr>
                    <w:t>tabula. T</w:t>
                  </w:r>
                  <w:r w:rsidRPr="00ED48BB">
                    <w:rPr>
                      <w:b/>
                      <w:bCs/>
                      <w:lang w:val="lv-LV"/>
                    </w:rPr>
                    <w:t>erapeitiskās lietošanas izņēmumu pieteikumu skaits</w:t>
                  </w:r>
                  <w:r>
                    <w:rPr>
                      <w:b/>
                      <w:bCs/>
                      <w:lang w:val="lv-LV"/>
                    </w:rPr>
                    <w:t xml:space="preserve"> </w:t>
                  </w:r>
                  <w:r>
                    <w:rPr>
                      <w:b/>
                      <w:lang w:val="lv-LV"/>
                    </w:rPr>
                    <w:t>no 2014. - 2016.gadam</w:t>
                  </w:r>
                </w:p>
              </w:tc>
            </w:tr>
            <w:tr w14:paraId="32BC1DBA" w14:textId="77777777" w:rsidTr="00390169">
              <w:tblPrEx>
                <w:tblW w:w="0" w:type="auto"/>
                <w:jc w:val="center"/>
                <w:tblLook w:val="04A0"/>
              </w:tblPrEx>
              <w:trPr>
                <w:jc w:val="center"/>
              </w:trPr>
              <w:tc>
                <w:tcPr>
                  <w:tcW w:w="2976" w:type="dxa"/>
                  <w:shd w:val="clear" w:color="auto" w:fill="E7E6E6" w:themeFill="background2"/>
                  <w:vAlign w:val="center"/>
                </w:tcPr>
                <w:p w:rsidR="00182DFF" w:rsidRPr="00131FFE" w:rsidP="00182DFF" w14:paraId="20B34869" w14:textId="77777777">
                  <w:pPr>
                    <w:pStyle w:val="NormalWeb"/>
                    <w:spacing w:before="0" w:beforeAutospacing="0" w:after="0" w:afterAutospacing="0"/>
                    <w:jc w:val="both"/>
                    <w:rPr>
                      <w:b/>
                      <w:lang w:val="lv-LV"/>
                    </w:rPr>
                  </w:pPr>
                </w:p>
              </w:tc>
              <w:tc>
                <w:tcPr>
                  <w:tcW w:w="786" w:type="dxa"/>
                  <w:shd w:val="clear" w:color="auto" w:fill="E7E6E6" w:themeFill="background2"/>
                  <w:vAlign w:val="center"/>
                </w:tcPr>
                <w:p w:rsidR="00182DFF" w:rsidRPr="00131FFE" w:rsidP="00182DFF" w14:paraId="18EDB6A5" w14:textId="77777777">
                  <w:pPr>
                    <w:pStyle w:val="NormalWeb"/>
                    <w:spacing w:before="0" w:beforeAutospacing="0" w:after="0" w:afterAutospacing="0"/>
                    <w:jc w:val="center"/>
                    <w:rPr>
                      <w:b/>
                      <w:lang w:val="lv-LV"/>
                    </w:rPr>
                  </w:pPr>
                  <w:r w:rsidRPr="00131FFE">
                    <w:rPr>
                      <w:b/>
                      <w:lang w:val="lv-LV"/>
                    </w:rPr>
                    <w:t>2014</w:t>
                  </w:r>
                </w:p>
              </w:tc>
              <w:tc>
                <w:tcPr>
                  <w:tcW w:w="773" w:type="dxa"/>
                  <w:shd w:val="clear" w:color="auto" w:fill="E7E6E6" w:themeFill="background2"/>
                  <w:vAlign w:val="center"/>
                </w:tcPr>
                <w:p w:rsidR="00182DFF" w:rsidRPr="00131FFE" w:rsidP="00182DFF" w14:paraId="72848AE4" w14:textId="77777777">
                  <w:pPr>
                    <w:pStyle w:val="NormalWeb"/>
                    <w:spacing w:before="0" w:beforeAutospacing="0" w:after="0" w:afterAutospacing="0"/>
                    <w:jc w:val="center"/>
                    <w:rPr>
                      <w:b/>
                      <w:lang w:val="lv-LV"/>
                    </w:rPr>
                  </w:pPr>
                  <w:r w:rsidRPr="00131FFE">
                    <w:rPr>
                      <w:b/>
                      <w:lang w:val="lv-LV"/>
                    </w:rPr>
                    <w:t>2015</w:t>
                  </w:r>
                </w:p>
              </w:tc>
              <w:tc>
                <w:tcPr>
                  <w:tcW w:w="851" w:type="dxa"/>
                  <w:shd w:val="clear" w:color="auto" w:fill="E7E6E6" w:themeFill="background2"/>
                  <w:vAlign w:val="center"/>
                </w:tcPr>
                <w:p w:rsidR="00182DFF" w:rsidRPr="00131FFE" w:rsidP="00182DFF" w14:paraId="61D13A72" w14:textId="77777777">
                  <w:pPr>
                    <w:pStyle w:val="NormalWeb"/>
                    <w:spacing w:before="0" w:beforeAutospacing="0" w:after="0" w:afterAutospacing="0"/>
                    <w:jc w:val="center"/>
                    <w:rPr>
                      <w:b/>
                      <w:lang w:val="lv-LV"/>
                    </w:rPr>
                  </w:pPr>
                  <w:r w:rsidRPr="00131FFE">
                    <w:rPr>
                      <w:b/>
                      <w:lang w:val="lv-LV"/>
                    </w:rPr>
                    <w:t>2016</w:t>
                  </w:r>
                </w:p>
              </w:tc>
            </w:tr>
            <w:tr w14:paraId="27949485" w14:textId="77777777" w:rsidTr="00390169">
              <w:tblPrEx>
                <w:tblW w:w="0" w:type="auto"/>
                <w:jc w:val="center"/>
                <w:tblLook w:val="04A0"/>
              </w:tblPrEx>
              <w:trPr>
                <w:jc w:val="center"/>
              </w:trPr>
              <w:tc>
                <w:tcPr>
                  <w:tcW w:w="2976" w:type="dxa"/>
                  <w:vAlign w:val="center"/>
                </w:tcPr>
                <w:p w:rsidR="00182DFF" w:rsidRPr="00131FFE" w:rsidP="00182DFF" w14:paraId="75CD3B23" w14:textId="7ACC15E5">
                  <w:pPr>
                    <w:pStyle w:val="NormalWeb"/>
                    <w:spacing w:before="0" w:beforeAutospacing="0" w:after="0" w:afterAutospacing="0"/>
                    <w:jc w:val="both"/>
                    <w:rPr>
                      <w:lang w:val="lv-LV"/>
                    </w:rPr>
                  </w:pPr>
                  <w:r>
                    <w:rPr>
                      <w:lang w:val="lv-LV"/>
                    </w:rPr>
                    <w:t>Pieteikumu</w:t>
                  </w:r>
                  <w:r w:rsidRPr="00131FFE">
                    <w:rPr>
                      <w:lang w:val="lv-LV"/>
                    </w:rPr>
                    <w:t xml:space="preserve"> skaits</w:t>
                  </w:r>
                </w:p>
              </w:tc>
              <w:tc>
                <w:tcPr>
                  <w:tcW w:w="786" w:type="dxa"/>
                  <w:vAlign w:val="center"/>
                </w:tcPr>
                <w:p w:rsidR="00182DFF" w:rsidRPr="00131FFE" w:rsidP="00182DFF" w14:paraId="5D62B45C" w14:textId="1D42ACD7">
                  <w:pPr>
                    <w:pStyle w:val="NormalWeb"/>
                    <w:spacing w:before="0" w:beforeAutospacing="0" w:after="0" w:afterAutospacing="0"/>
                    <w:jc w:val="center"/>
                    <w:rPr>
                      <w:lang w:val="lv-LV"/>
                    </w:rPr>
                  </w:pPr>
                  <w:r>
                    <w:rPr>
                      <w:lang w:val="lv-LV"/>
                    </w:rPr>
                    <w:t>9</w:t>
                  </w:r>
                </w:p>
              </w:tc>
              <w:tc>
                <w:tcPr>
                  <w:tcW w:w="773" w:type="dxa"/>
                  <w:vAlign w:val="center"/>
                </w:tcPr>
                <w:p w:rsidR="00182DFF" w:rsidRPr="00131FFE" w:rsidP="00182DFF" w14:paraId="2EAE16FF" w14:textId="5ED80643">
                  <w:pPr>
                    <w:pStyle w:val="NormalWeb"/>
                    <w:spacing w:before="0" w:beforeAutospacing="0" w:after="0" w:afterAutospacing="0"/>
                    <w:jc w:val="center"/>
                    <w:rPr>
                      <w:lang w:val="lv-LV"/>
                    </w:rPr>
                  </w:pPr>
                  <w:r>
                    <w:rPr>
                      <w:lang w:val="lv-LV"/>
                    </w:rPr>
                    <w:t>11</w:t>
                  </w:r>
                </w:p>
              </w:tc>
              <w:tc>
                <w:tcPr>
                  <w:tcW w:w="851" w:type="dxa"/>
                  <w:vAlign w:val="center"/>
                </w:tcPr>
                <w:p w:rsidR="00182DFF" w:rsidRPr="00131FFE" w:rsidP="00182DFF" w14:paraId="67B50BDA" w14:textId="395818A3">
                  <w:pPr>
                    <w:pStyle w:val="NormalWeb"/>
                    <w:spacing w:before="0" w:beforeAutospacing="0" w:after="0" w:afterAutospacing="0"/>
                    <w:jc w:val="center"/>
                    <w:rPr>
                      <w:lang w:val="lv-LV"/>
                    </w:rPr>
                  </w:pPr>
                  <w:r>
                    <w:rPr>
                      <w:lang w:val="lv-LV"/>
                    </w:rPr>
                    <w:t>13</w:t>
                  </w:r>
                </w:p>
              </w:tc>
            </w:tr>
            <w:tr w14:paraId="51D063C1" w14:textId="77777777" w:rsidTr="00390169">
              <w:tblPrEx>
                <w:tblW w:w="0" w:type="auto"/>
                <w:jc w:val="center"/>
                <w:tblLook w:val="04A0"/>
              </w:tblPrEx>
              <w:trPr>
                <w:jc w:val="center"/>
              </w:trPr>
              <w:tc>
                <w:tcPr>
                  <w:tcW w:w="2976" w:type="dxa"/>
                  <w:vAlign w:val="center"/>
                </w:tcPr>
                <w:p w:rsidR="00182DFF" w:rsidRPr="00771897" w:rsidP="00182DFF" w14:paraId="0A12827E" w14:textId="669CA9DB">
                  <w:pPr>
                    <w:pStyle w:val="NormalWeb"/>
                    <w:spacing w:before="0" w:beforeAutospacing="0" w:after="0" w:afterAutospacing="0"/>
                    <w:jc w:val="both"/>
                    <w:rPr>
                      <w:lang w:val="lv-LV"/>
                    </w:rPr>
                  </w:pPr>
                  <w:r>
                    <w:rPr>
                      <w:bCs/>
                      <w:lang w:val="lv-LV"/>
                    </w:rPr>
                    <w:t>Noraidīto pieteikumu skaits</w:t>
                  </w:r>
                  <w:r w:rsidRPr="00771897">
                    <w:rPr>
                      <w:bCs/>
                      <w:lang w:val="lv-LV"/>
                    </w:rPr>
                    <w:t> </w:t>
                  </w:r>
                </w:p>
              </w:tc>
              <w:tc>
                <w:tcPr>
                  <w:tcW w:w="786" w:type="dxa"/>
                  <w:vAlign w:val="center"/>
                </w:tcPr>
                <w:p w:rsidR="00182DFF" w:rsidRPr="00131FFE" w:rsidP="00182DFF" w14:paraId="0324DCE4" w14:textId="67B6A2C1">
                  <w:pPr>
                    <w:pStyle w:val="NormalWeb"/>
                    <w:spacing w:before="0" w:beforeAutospacing="0" w:after="0" w:afterAutospacing="0"/>
                    <w:jc w:val="center"/>
                    <w:rPr>
                      <w:lang w:val="lv-LV"/>
                    </w:rPr>
                  </w:pPr>
                  <w:r>
                    <w:rPr>
                      <w:lang w:val="lv-LV"/>
                    </w:rPr>
                    <w:t>3</w:t>
                  </w:r>
                </w:p>
              </w:tc>
              <w:tc>
                <w:tcPr>
                  <w:tcW w:w="773" w:type="dxa"/>
                  <w:vAlign w:val="center"/>
                </w:tcPr>
                <w:p w:rsidR="00182DFF" w:rsidRPr="00131FFE" w:rsidP="00182DFF" w14:paraId="383AC463" w14:textId="314493A3">
                  <w:pPr>
                    <w:pStyle w:val="NormalWeb"/>
                    <w:spacing w:before="0" w:beforeAutospacing="0" w:after="0" w:afterAutospacing="0"/>
                    <w:jc w:val="center"/>
                    <w:rPr>
                      <w:lang w:val="lv-LV"/>
                    </w:rPr>
                  </w:pPr>
                  <w:r>
                    <w:rPr>
                      <w:lang w:val="lv-LV"/>
                    </w:rPr>
                    <w:t>4</w:t>
                  </w:r>
                </w:p>
              </w:tc>
              <w:tc>
                <w:tcPr>
                  <w:tcW w:w="851" w:type="dxa"/>
                  <w:vAlign w:val="center"/>
                </w:tcPr>
                <w:p w:rsidR="00182DFF" w:rsidRPr="00131FFE" w:rsidP="00182DFF" w14:paraId="418CCE3A" w14:textId="19B86B36">
                  <w:pPr>
                    <w:pStyle w:val="NormalWeb"/>
                    <w:spacing w:before="0" w:beforeAutospacing="0" w:after="0" w:afterAutospacing="0"/>
                    <w:jc w:val="center"/>
                    <w:rPr>
                      <w:lang w:val="lv-LV"/>
                    </w:rPr>
                  </w:pPr>
                  <w:r>
                    <w:rPr>
                      <w:lang w:val="lv-LV"/>
                    </w:rPr>
                    <w:t>6</w:t>
                  </w:r>
                </w:p>
              </w:tc>
            </w:tr>
          </w:tbl>
          <w:p w:rsidR="00ED48BB" w:rsidRPr="00FA0C5E" w:rsidP="00CC2528" w14:paraId="7226F378" w14:textId="12128D2A">
            <w:pPr>
              <w:pStyle w:val="NoSpacing"/>
              <w:jc w:val="both"/>
              <w:rPr>
                <w:sz w:val="28"/>
                <w:szCs w:val="28"/>
                <w:lang w:val="lv-LV"/>
              </w:rPr>
            </w:pPr>
          </w:p>
          <w:p w:rsidR="00F50B48" w:rsidRPr="00D95B3D" w:rsidP="00E30108" w14:paraId="528CA3EE" w14:textId="4E2A6015">
            <w:pPr>
              <w:spacing w:after="0" w:line="240" w:lineRule="auto"/>
              <w:jc w:val="both"/>
              <w:rPr>
                <w:rFonts w:ascii="Times New Roman" w:hAnsi="Times New Roman" w:cs="Times New Roman"/>
                <w:sz w:val="28"/>
                <w:szCs w:val="28"/>
              </w:rPr>
            </w:pPr>
            <w:r w:rsidRPr="00D95B3D">
              <w:rPr>
                <w:rFonts w:ascii="Times New Roman" w:hAnsi="Times New Roman" w:cs="Times New Roman"/>
                <w:b/>
                <w:sz w:val="28"/>
                <w:szCs w:val="28"/>
              </w:rPr>
              <w:t>Par D</w:t>
            </w:r>
            <w:r w:rsidRPr="00D95B3D" w:rsidR="008F32C4">
              <w:rPr>
                <w:rFonts w:ascii="Times New Roman" w:hAnsi="Times New Roman" w:cs="Times New Roman"/>
                <w:b/>
                <w:sz w:val="28"/>
                <w:szCs w:val="28"/>
              </w:rPr>
              <w:t>isciplinārās</w:t>
            </w:r>
            <w:r w:rsidRPr="00D95B3D">
              <w:rPr>
                <w:rFonts w:ascii="Times New Roman" w:hAnsi="Times New Roman" w:cs="Times New Roman"/>
                <w:b/>
                <w:sz w:val="28"/>
                <w:szCs w:val="28"/>
              </w:rPr>
              <w:t xml:space="preserve"> antidopinga</w:t>
            </w:r>
            <w:r w:rsidRPr="00D95B3D" w:rsidR="008F32C4">
              <w:rPr>
                <w:rFonts w:ascii="Times New Roman" w:hAnsi="Times New Roman" w:cs="Times New Roman"/>
                <w:b/>
                <w:sz w:val="28"/>
                <w:szCs w:val="28"/>
              </w:rPr>
              <w:t xml:space="preserve"> komisijas</w:t>
            </w:r>
            <w:r w:rsidRPr="00D95B3D">
              <w:rPr>
                <w:rFonts w:ascii="Times New Roman" w:hAnsi="Times New Roman" w:cs="Times New Roman"/>
                <w:b/>
                <w:sz w:val="28"/>
                <w:szCs w:val="28"/>
              </w:rPr>
              <w:t xml:space="preserve"> un</w:t>
            </w:r>
            <w:r w:rsidRPr="00D95B3D" w:rsidR="008F32C4">
              <w:rPr>
                <w:rFonts w:ascii="Times New Roman" w:hAnsi="Times New Roman" w:cs="Times New Roman"/>
                <w:b/>
                <w:sz w:val="28"/>
                <w:szCs w:val="28"/>
              </w:rPr>
              <w:t xml:space="preserve"> </w:t>
            </w:r>
            <w:r w:rsidRPr="00D95B3D">
              <w:rPr>
                <w:rFonts w:ascii="Times New Roman" w:hAnsi="Times New Roman" w:cs="Times New Roman"/>
                <w:b/>
                <w:sz w:val="28"/>
                <w:szCs w:val="28"/>
              </w:rPr>
              <w:t>T</w:t>
            </w:r>
            <w:r w:rsidRPr="00D95B3D" w:rsidR="008F32C4">
              <w:rPr>
                <w:rFonts w:ascii="Times New Roman" w:hAnsi="Times New Roman" w:cs="Times New Roman"/>
                <w:b/>
                <w:sz w:val="28"/>
                <w:szCs w:val="28"/>
              </w:rPr>
              <w:t xml:space="preserve">erapeitiskās lietošanas izņēmumu </w:t>
            </w:r>
            <w:r w:rsidRPr="00D95B3D">
              <w:rPr>
                <w:rFonts w:ascii="Times New Roman" w:hAnsi="Times New Roman" w:cs="Times New Roman"/>
                <w:b/>
                <w:bCs/>
                <w:sz w:val="28"/>
                <w:szCs w:val="28"/>
              </w:rPr>
              <w:t>piešķiršanas</w:t>
            </w:r>
            <w:r w:rsidRPr="00D95B3D">
              <w:rPr>
                <w:rFonts w:ascii="Times New Roman" w:hAnsi="Times New Roman" w:cs="Times New Roman"/>
                <w:b/>
                <w:sz w:val="28"/>
                <w:szCs w:val="28"/>
              </w:rPr>
              <w:t xml:space="preserve"> </w:t>
            </w:r>
            <w:r w:rsidRPr="00D95B3D" w:rsidR="008F32C4">
              <w:rPr>
                <w:rFonts w:ascii="Times New Roman" w:hAnsi="Times New Roman" w:cs="Times New Roman"/>
                <w:b/>
                <w:sz w:val="28"/>
                <w:szCs w:val="28"/>
              </w:rPr>
              <w:t>komisijas lēmumu tiesisko pamatu un antidopinga noteikumiem pakļauto subjektu loku.</w:t>
            </w:r>
            <w:r w:rsidRPr="00D95B3D">
              <w:rPr>
                <w:rFonts w:ascii="Times New Roman" w:hAnsi="Times New Roman" w:cs="Times New Roman"/>
                <w:b/>
                <w:sz w:val="28"/>
                <w:szCs w:val="28"/>
              </w:rPr>
              <w:t xml:space="preserve"> </w:t>
            </w:r>
            <w:r w:rsidRPr="00D95B3D" w:rsidR="008F32C4">
              <w:rPr>
                <w:rFonts w:ascii="Times New Roman" w:hAnsi="Times New Roman" w:cs="Times New Roman"/>
                <w:sz w:val="28"/>
                <w:szCs w:val="28"/>
              </w:rPr>
              <w:t>Atbilstoši Starptautiskajai konvencijai pret dopingu sportā "sportists" dopinga kontroles izpratnē ir ikviena persona, kura piedalās sportā starptautiskā vai nacionālā līmenī un ikviena cita persona, kas piedalās sportā vai pasākumā zemāk</w:t>
            </w:r>
            <w:r w:rsidRPr="00D95B3D" w:rsidR="00F209C6">
              <w:rPr>
                <w:rFonts w:ascii="Times New Roman" w:hAnsi="Times New Roman" w:cs="Times New Roman"/>
                <w:sz w:val="28"/>
                <w:szCs w:val="28"/>
              </w:rPr>
              <w:t>ā līmenī</w:t>
            </w:r>
            <w:r w:rsidRPr="00D95B3D" w:rsidR="00E30108">
              <w:rPr>
                <w:rFonts w:ascii="Times New Roman" w:hAnsi="Times New Roman" w:cs="Times New Roman"/>
                <w:sz w:val="28"/>
                <w:szCs w:val="28"/>
              </w:rPr>
              <w:t xml:space="preserve"> atbilstoši katras nacionālās antidopinga </w:t>
            </w:r>
            <w:r w:rsidRPr="00D95B3D" w:rsidR="00E30108">
              <w:rPr>
                <w:rFonts w:ascii="Times New Roman" w:hAnsi="Times New Roman" w:cs="Times New Roman"/>
                <w:sz w:val="28"/>
                <w:szCs w:val="28"/>
              </w:rPr>
              <w:t>organizācijas definētajam</w:t>
            </w:r>
            <w:r w:rsidRPr="00D95B3D" w:rsidR="008F32C4">
              <w:rPr>
                <w:rFonts w:ascii="Times New Roman" w:hAnsi="Times New Roman" w:cs="Times New Roman"/>
                <w:sz w:val="28"/>
                <w:szCs w:val="28"/>
              </w:rPr>
              <w:t xml:space="preserve">. No </w:t>
            </w:r>
            <w:r w:rsidRPr="00D95B3D" w:rsidR="00F209C6">
              <w:rPr>
                <w:rFonts w:ascii="Times New Roman" w:hAnsi="Times New Roman" w:cs="Times New Roman"/>
                <w:sz w:val="28"/>
                <w:szCs w:val="28"/>
              </w:rPr>
              <w:t xml:space="preserve">minētās </w:t>
            </w:r>
            <w:r w:rsidRPr="00D95B3D" w:rsidR="008F32C4">
              <w:rPr>
                <w:rFonts w:ascii="Times New Roman" w:hAnsi="Times New Roman" w:cs="Times New Roman"/>
                <w:sz w:val="28"/>
                <w:szCs w:val="28"/>
              </w:rPr>
              <w:t>“sportista” definīcijas izriet, ka sportistu definēšana un pakļaušana Nacionālajiem antidopinga noteikumiem, Pasaules Antidopinga ko</w:t>
            </w:r>
            <w:r w:rsidRPr="00D95B3D" w:rsidR="00E30108">
              <w:rPr>
                <w:rFonts w:ascii="Times New Roman" w:hAnsi="Times New Roman" w:cs="Times New Roman"/>
                <w:sz w:val="28"/>
                <w:szCs w:val="28"/>
              </w:rPr>
              <w:t>deksam, kurā ietvertie principi</w:t>
            </w:r>
            <w:r w:rsidRPr="00D95B3D" w:rsidR="008F32C4">
              <w:rPr>
                <w:rFonts w:ascii="Times New Roman" w:hAnsi="Times New Roman" w:cs="Times New Roman"/>
                <w:sz w:val="28"/>
                <w:szCs w:val="28"/>
              </w:rPr>
              <w:t xml:space="preserve"> atbilstoši </w:t>
            </w:r>
            <w:r w:rsidRPr="00D95B3D" w:rsidR="005B2BF4">
              <w:rPr>
                <w:rFonts w:ascii="Times New Roman" w:hAnsi="Times New Roman" w:cs="Times New Roman"/>
                <w:sz w:val="28"/>
                <w:szCs w:val="28"/>
              </w:rPr>
              <w:t xml:space="preserve">Starptautiskajai konvencijai pret dopingu sportā </w:t>
            </w:r>
            <w:r w:rsidRPr="00D95B3D" w:rsidR="008F32C4">
              <w:rPr>
                <w:rFonts w:ascii="Times New Roman" w:hAnsi="Times New Roman" w:cs="Times New Roman"/>
                <w:sz w:val="28"/>
                <w:szCs w:val="28"/>
              </w:rPr>
              <w:t>3.</w:t>
            </w:r>
            <w:r w:rsidRPr="00D95B3D" w:rsidR="005B2BF4">
              <w:rPr>
                <w:rFonts w:ascii="Times New Roman" w:hAnsi="Times New Roman" w:cs="Times New Roman"/>
                <w:sz w:val="28"/>
                <w:szCs w:val="28"/>
              </w:rPr>
              <w:t> </w:t>
            </w:r>
            <w:r w:rsidRPr="00D95B3D" w:rsidR="008F32C4">
              <w:rPr>
                <w:rFonts w:ascii="Times New Roman" w:hAnsi="Times New Roman" w:cs="Times New Roman"/>
                <w:sz w:val="28"/>
                <w:szCs w:val="28"/>
              </w:rPr>
              <w:t>pantam</w:t>
            </w:r>
            <w:r w:rsidRPr="00D95B3D" w:rsidR="00CD1954">
              <w:rPr>
                <w:rFonts w:ascii="Times New Roman" w:hAnsi="Times New Roman" w:cs="Times New Roman"/>
                <w:sz w:val="28"/>
                <w:szCs w:val="28"/>
              </w:rPr>
              <w:t>,</w:t>
            </w:r>
            <w:r w:rsidRPr="00D95B3D" w:rsidR="008F32C4">
              <w:rPr>
                <w:rFonts w:ascii="Times New Roman" w:hAnsi="Times New Roman" w:cs="Times New Roman"/>
                <w:sz w:val="28"/>
                <w:szCs w:val="28"/>
              </w:rPr>
              <w:t xml:space="preserve"> </w:t>
            </w:r>
            <w:r w:rsidRPr="00D95B3D" w:rsidR="00E30108">
              <w:rPr>
                <w:rFonts w:ascii="Times New Roman" w:hAnsi="Times New Roman" w:cs="Times New Roman"/>
                <w:sz w:val="28"/>
                <w:szCs w:val="28"/>
              </w:rPr>
              <w:t xml:space="preserve">ir katras valsts kompetencē. </w:t>
            </w:r>
          </w:p>
          <w:p w:rsidR="00F50B48" w:rsidRPr="00D95B3D" w:rsidP="00E30108" w14:paraId="32D37BAE" w14:textId="77777777">
            <w:pPr>
              <w:spacing w:after="0" w:line="240" w:lineRule="auto"/>
              <w:jc w:val="both"/>
              <w:rPr>
                <w:rFonts w:ascii="Times New Roman" w:hAnsi="Times New Roman" w:cs="Times New Roman"/>
                <w:sz w:val="28"/>
                <w:szCs w:val="28"/>
              </w:rPr>
            </w:pPr>
          </w:p>
          <w:p w:rsidR="00F50B48" w:rsidRPr="00D95B3D" w:rsidP="00E30108" w14:paraId="055D6718" w14:textId="5DC2249C">
            <w:pPr>
              <w:spacing w:after="0" w:line="240" w:lineRule="auto"/>
              <w:jc w:val="both"/>
              <w:rPr>
                <w:rFonts w:ascii="Times New Roman" w:hAnsi="Times New Roman" w:cs="Times New Roman"/>
                <w:sz w:val="28"/>
                <w:szCs w:val="28"/>
              </w:rPr>
            </w:pPr>
            <w:r w:rsidRPr="00D95B3D">
              <w:rPr>
                <w:rFonts w:ascii="Times New Roman" w:hAnsi="Times New Roman" w:cs="Times New Roman"/>
                <w:sz w:val="28"/>
                <w:szCs w:val="28"/>
              </w:rPr>
              <w:t>Atbilstoši</w:t>
            </w:r>
            <w:r w:rsidRPr="00D95B3D">
              <w:rPr>
                <w:rFonts w:ascii="Times New Roman" w:hAnsi="Times New Roman" w:cs="Times New Roman"/>
                <w:sz w:val="28"/>
                <w:szCs w:val="28"/>
              </w:rPr>
              <w:t xml:space="preserve"> Starptautiskās konvencijas pret dopingu sportā</w:t>
            </w:r>
            <w:r w:rsidRPr="00D95B3D">
              <w:rPr>
                <w:rFonts w:ascii="Times New Roman" w:hAnsi="Times New Roman" w:cs="Times New Roman"/>
                <w:sz w:val="28"/>
                <w:szCs w:val="28"/>
              </w:rPr>
              <w:t xml:space="preserve"> 5.</w:t>
            </w:r>
            <w:r w:rsidRPr="00D95B3D" w:rsidR="00FE25E6">
              <w:rPr>
                <w:rFonts w:ascii="Times New Roman" w:hAnsi="Times New Roman" w:cs="Times New Roman"/>
                <w:sz w:val="28"/>
                <w:szCs w:val="28"/>
              </w:rPr>
              <w:t> </w:t>
            </w:r>
            <w:r w:rsidRPr="00D95B3D">
              <w:rPr>
                <w:rFonts w:ascii="Times New Roman" w:hAnsi="Times New Roman" w:cs="Times New Roman"/>
                <w:sz w:val="28"/>
                <w:szCs w:val="28"/>
              </w:rPr>
              <w:t>pantam un Pasaules Antidopinga kodeksa 23.2.2.</w:t>
            </w:r>
            <w:r w:rsidRPr="00D95B3D">
              <w:rPr>
                <w:rFonts w:ascii="Times New Roman" w:hAnsi="Times New Roman" w:cs="Times New Roman"/>
                <w:sz w:val="28"/>
                <w:szCs w:val="28"/>
              </w:rPr>
              <w:t> </w:t>
            </w:r>
            <w:r w:rsidRPr="00D95B3D">
              <w:rPr>
                <w:rFonts w:ascii="Times New Roman" w:hAnsi="Times New Roman" w:cs="Times New Roman"/>
                <w:sz w:val="28"/>
                <w:szCs w:val="28"/>
              </w:rPr>
              <w:t xml:space="preserve">apakšpunktā noteiktajam, katras valsts kompetencē ir arī </w:t>
            </w:r>
            <w:r w:rsidRPr="00D95B3D">
              <w:rPr>
                <w:rFonts w:ascii="Times New Roman" w:hAnsi="Times New Roman" w:cs="Times New Roman"/>
                <w:b/>
                <w:sz w:val="28"/>
                <w:szCs w:val="28"/>
              </w:rPr>
              <w:t>nacionālo antidopinga noteikumu ieviešana</w:t>
            </w:r>
            <w:r w:rsidRPr="00D95B3D">
              <w:rPr>
                <w:rFonts w:ascii="Times New Roman" w:hAnsi="Times New Roman" w:cs="Times New Roman"/>
                <w:sz w:val="28"/>
                <w:szCs w:val="28"/>
              </w:rPr>
              <w:t xml:space="preserve">, </w:t>
            </w:r>
            <w:r w:rsidRPr="00D95B3D">
              <w:rPr>
                <w:rFonts w:ascii="Times New Roman" w:hAnsi="Times New Roman" w:cs="Times New Roman"/>
                <w:sz w:val="28"/>
                <w:szCs w:val="28"/>
                <w:u w:val="single"/>
              </w:rPr>
              <w:t>nenosakot to juridisko statusu</w:t>
            </w:r>
            <w:r w:rsidRPr="00D95B3D">
              <w:rPr>
                <w:rFonts w:ascii="Times New Roman" w:hAnsi="Times New Roman" w:cs="Times New Roman"/>
                <w:sz w:val="28"/>
                <w:szCs w:val="28"/>
                <w:u w:val="single"/>
              </w:rPr>
              <w:t>,</w:t>
            </w:r>
            <w:r w:rsidRPr="00D95B3D">
              <w:rPr>
                <w:rFonts w:ascii="Times New Roman" w:hAnsi="Times New Roman" w:cs="Times New Roman"/>
                <w:sz w:val="28"/>
                <w:szCs w:val="28"/>
                <w:u w:val="single"/>
              </w:rPr>
              <w:t xml:space="preserve"> </w:t>
            </w:r>
            <w:r w:rsidRPr="00D95B3D">
              <w:rPr>
                <w:rFonts w:ascii="Times New Roman" w:hAnsi="Times New Roman" w:cs="Times New Roman"/>
                <w:sz w:val="28"/>
                <w:szCs w:val="28"/>
              </w:rPr>
              <w:t>kuros pēc būtības būtu ietvertas gandrīz visas Pasaules Antidopinga kodeksā esošās prasības. Ņemot vērā Pasaules Antidopinga kodeksā ietvertās prasības un citu valstu pieredzi (</w:t>
            </w:r>
            <w:r w:rsidRPr="00D95B3D" w:rsidR="00FE25E6">
              <w:rPr>
                <w:rFonts w:ascii="Times New Roman" w:hAnsi="Times New Roman" w:cs="Times New Roman"/>
                <w:sz w:val="28"/>
                <w:szCs w:val="28"/>
              </w:rPr>
              <w:t xml:space="preserve">piemēram, </w:t>
            </w:r>
            <w:r w:rsidRPr="00D95B3D">
              <w:rPr>
                <w:rFonts w:ascii="Times New Roman" w:hAnsi="Times New Roman" w:cs="Times New Roman"/>
                <w:sz w:val="28"/>
                <w:szCs w:val="28"/>
              </w:rPr>
              <w:t>Dānija, Vācija), kā optimālākais risi</w:t>
            </w:r>
            <w:r w:rsidR="003A438E">
              <w:rPr>
                <w:rFonts w:ascii="Times New Roman" w:hAnsi="Times New Roman" w:cs="Times New Roman"/>
                <w:sz w:val="28"/>
                <w:szCs w:val="28"/>
              </w:rPr>
              <w:t>nājuma variants paredzēta</w:t>
            </w:r>
            <w:r w:rsidRPr="00D95B3D">
              <w:rPr>
                <w:rFonts w:ascii="Times New Roman" w:hAnsi="Times New Roman" w:cs="Times New Roman"/>
                <w:sz w:val="28"/>
                <w:szCs w:val="28"/>
              </w:rPr>
              <w:t xml:space="preserve"> </w:t>
            </w:r>
            <w:r w:rsidR="003A438E">
              <w:rPr>
                <w:rFonts w:ascii="Times New Roman" w:hAnsi="Times New Roman" w:cs="Times New Roman"/>
                <w:sz w:val="28"/>
                <w:szCs w:val="28"/>
                <w:u w:val="single"/>
              </w:rPr>
              <w:t>trīspusēja</w:t>
            </w:r>
            <w:r w:rsidRPr="00D95B3D">
              <w:rPr>
                <w:rFonts w:ascii="Times New Roman" w:hAnsi="Times New Roman" w:cs="Times New Roman"/>
                <w:sz w:val="28"/>
                <w:szCs w:val="28"/>
                <w:u w:val="single"/>
              </w:rPr>
              <w:t xml:space="preserve"> </w:t>
            </w:r>
            <w:r w:rsidR="003A438E">
              <w:rPr>
                <w:rFonts w:ascii="Times New Roman" w:hAnsi="Times New Roman" w:cs="Times New Roman"/>
                <w:sz w:val="28"/>
                <w:szCs w:val="28"/>
                <w:u w:val="single"/>
              </w:rPr>
              <w:t>vienošanās</w:t>
            </w:r>
            <w:r w:rsidRPr="00D95B3D">
              <w:rPr>
                <w:rFonts w:ascii="Times New Roman" w:hAnsi="Times New Roman" w:cs="Times New Roman"/>
                <w:sz w:val="28"/>
                <w:szCs w:val="28"/>
              </w:rPr>
              <w:t xml:space="preserve"> starp Latvijas Antidopinga biroju, </w:t>
            </w:r>
            <w:r w:rsidRPr="00D95B3D" w:rsidR="00FE25E6">
              <w:rPr>
                <w:rFonts w:ascii="Times New Roman" w:hAnsi="Times New Roman" w:cs="Times New Roman"/>
                <w:sz w:val="28"/>
                <w:szCs w:val="28"/>
              </w:rPr>
              <w:t>biedrību "Latvijas Olimpisko komiteja"</w:t>
            </w:r>
            <w:r w:rsidRPr="00D95B3D">
              <w:rPr>
                <w:rFonts w:ascii="Times New Roman" w:hAnsi="Times New Roman" w:cs="Times New Roman"/>
                <w:sz w:val="28"/>
                <w:szCs w:val="28"/>
              </w:rPr>
              <w:t xml:space="preserve"> un </w:t>
            </w:r>
            <w:r w:rsidRPr="00D95B3D" w:rsidR="00FE25E6">
              <w:rPr>
                <w:rFonts w:ascii="Times New Roman" w:hAnsi="Times New Roman" w:cs="Times New Roman"/>
                <w:sz w:val="28"/>
                <w:szCs w:val="28"/>
              </w:rPr>
              <w:t>biedrību "</w:t>
            </w:r>
            <w:r w:rsidRPr="00D95B3D">
              <w:rPr>
                <w:rFonts w:ascii="Times New Roman" w:hAnsi="Times New Roman" w:cs="Times New Roman"/>
                <w:sz w:val="28"/>
                <w:szCs w:val="28"/>
              </w:rPr>
              <w:t>Latvijas Sporta federāciju padom</w:t>
            </w:r>
            <w:r w:rsidRPr="00D95B3D" w:rsidR="00FE25E6">
              <w:rPr>
                <w:rFonts w:ascii="Times New Roman" w:hAnsi="Times New Roman" w:cs="Times New Roman"/>
                <w:sz w:val="28"/>
                <w:szCs w:val="28"/>
              </w:rPr>
              <w:t>e"</w:t>
            </w:r>
            <w:r w:rsidR="003A438E">
              <w:rPr>
                <w:rFonts w:ascii="Times New Roman" w:hAnsi="Times New Roman" w:cs="Times New Roman"/>
                <w:sz w:val="28"/>
                <w:szCs w:val="28"/>
              </w:rPr>
              <w:t>. Šī</w:t>
            </w:r>
            <w:r w:rsidRPr="00D95B3D">
              <w:rPr>
                <w:rFonts w:ascii="Times New Roman" w:hAnsi="Times New Roman" w:cs="Times New Roman"/>
                <w:sz w:val="28"/>
                <w:szCs w:val="28"/>
              </w:rPr>
              <w:t xml:space="preserve"> </w:t>
            </w:r>
            <w:r w:rsidR="003A438E">
              <w:rPr>
                <w:rFonts w:ascii="Times New Roman" w:hAnsi="Times New Roman" w:cs="Times New Roman"/>
                <w:sz w:val="28"/>
                <w:szCs w:val="28"/>
              </w:rPr>
              <w:t>vienošanās</w:t>
            </w:r>
            <w:r w:rsidRPr="00D95B3D">
              <w:rPr>
                <w:rFonts w:ascii="Times New Roman" w:hAnsi="Times New Roman" w:cs="Times New Roman"/>
                <w:sz w:val="28"/>
                <w:szCs w:val="28"/>
              </w:rPr>
              <w:t xml:space="preserve"> ietvertu vismaz Pasaules Antidopinga kodeksā 23.2.2.</w:t>
            </w:r>
            <w:r w:rsidRPr="00D95B3D">
              <w:rPr>
                <w:rFonts w:ascii="Times New Roman" w:hAnsi="Times New Roman" w:cs="Times New Roman"/>
                <w:sz w:val="28"/>
                <w:szCs w:val="28"/>
              </w:rPr>
              <w:t> </w:t>
            </w:r>
            <w:r w:rsidRPr="00D95B3D">
              <w:rPr>
                <w:rFonts w:ascii="Times New Roman" w:hAnsi="Times New Roman" w:cs="Times New Roman"/>
                <w:sz w:val="28"/>
                <w:szCs w:val="28"/>
              </w:rPr>
              <w:t xml:space="preserve">apakšpunktā ietvertos jautājumus. Lai sportistam un sporta darbiniekam būtu informācija par minēto </w:t>
            </w:r>
            <w:r w:rsidR="003A438E">
              <w:rPr>
                <w:rFonts w:ascii="Times New Roman" w:hAnsi="Times New Roman" w:cs="Times New Roman"/>
                <w:sz w:val="28"/>
                <w:szCs w:val="28"/>
              </w:rPr>
              <w:t>vienošanos, tā</w:t>
            </w:r>
            <w:r w:rsidRPr="00D95B3D">
              <w:rPr>
                <w:rFonts w:ascii="Times New Roman" w:hAnsi="Times New Roman" w:cs="Times New Roman"/>
                <w:sz w:val="28"/>
                <w:szCs w:val="28"/>
              </w:rPr>
              <w:t xml:space="preserve"> tieši tāpat kā Pasaules Antidopinga kodekss un aizliegto vielu saraksts būs publiski pieejam</w:t>
            </w:r>
            <w:r w:rsidR="003A438E">
              <w:rPr>
                <w:rFonts w:ascii="Times New Roman" w:hAnsi="Times New Roman" w:cs="Times New Roman"/>
                <w:sz w:val="28"/>
                <w:szCs w:val="28"/>
              </w:rPr>
              <w:t>a</w:t>
            </w:r>
            <w:r w:rsidRPr="00D95B3D">
              <w:rPr>
                <w:rFonts w:ascii="Times New Roman" w:hAnsi="Times New Roman" w:cs="Times New Roman"/>
                <w:sz w:val="28"/>
                <w:szCs w:val="28"/>
              </w:rPr>
              <w:t xml:space="preserve"> Latvijas Antidopinga biroja mājas lapā.</w:t>
            </w:r>
          </w:p>
          <w:p w:rsidR="008F32C4" w:rsidRPr="00D95B3D" w:rsidP="00E30108" w14:paraId="686FA879" w14:textId="7D9F3A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Likumprojektā noteiktajai</w:t>
            </w:r>
            <w:r w:rsidRPr="00D95B3D">
              <w:rPr>
                <w:rFonts w:ascii="Times New Roman" w:hAnsi="Times New Roman" w:cs="Times New Roman"/>
                <w:sz w:val="28"/>
                <w:szCs w:val="28"/>
              </w:rPr>
              <w:t xml:space="preserve"> trīspusēja</w:t>
            </w:r>
            <w:r>
              <w:rPr>
                <w:rFonts w:ascii="Times New Roman" w:hAnsi="Times New Roman" w:cs="Times New Roman"/>
                <w:sz w:val="28"/>
                <w:szCs w:val="28"/>
              </w:rPr>
              <w:t>i</w:t>
            </w:r>
            <w:r w:rsidRPr="00D95B3D">
              <w:rPr>
                <w:rFonts w:ascii="Times New Roman" w:hAnsi="Times New Roman" w:cs="Times New Roman"/>
                <w:sz w:val="28"/>
                <w:szCs w:val="28"/>
              </w:rPr>
              <w:t xml:space="preserve"> </w:t>
            </w:r>
            <w:r>
              <w:rPr>
                <w:rFonts w:ascii="Times New Roman" w:hAnsi="Times New Roman" w:cs="Times New Roman"/>
                <w:sz w:val="28"/>
                <w:szCs w:val="28"/>
              </w:rPr>
              <w:t>vienošanai</w:t>
            </w:r>
            <w:r w:rsidRPr="00D95B3D">
              <w:rPr>
                <w:rFonts w:ascii="Times New Roman" w:hAnsi="Times New Roman" w:cs="Times New Roman"/>
                <w:sz w:val="28"/>
                <w:szCs w:val="28"/>
              </w:rPr>
              <w:t xml:space="preserve"> </w:t>
            </w:r>
            <w:r w:rsidRPr="00D95B3D" w:rsidR="00E30108">
              <w:rPr>
                <w:rFonts w:ascii="Times New Roman" w:hAnsi="Times New Roman" w:cs="Times New Roman"/>
                <w:sz w:val="28"/>
                <w:szCs w:val="28"/>
              </w:rPr>
              <w:t>(11.</w:t>
            </w:r>
            <w:r w:rsidRPr="00D95B3D" w:rsidR="00E30108">
              <w:rPr>
                <w:rFonts w:ascii="Times New Roman" w:hAnsi="Times New Roman" w:cs="Times New Roman"/>
                <w:sz w:val="28"/>
                <w:szCs w:val="28"/>
                <w:vertAlign w:val="superscript"/>
              </w:rPr>
              <w:t>5</w:t>
            </w:r>
            <w:r w:rsidRPr="00D95B3D" w:rsidR="00F50B48">
              <w:rPr>
                <w:rFonts w:ascii="Times New Roman" w:hAnsi="Times New Roman" w:cs="Times New Roman"/>
                <w:sz w:val="28"/>
                <w:szCs w:val="28"/>
                <w:vertAlign w:val="superscript"/>
              </w:rPr>
              <w:t> </w:t>
            </w:r>
            <w:r w:rsidRPr="00D95B3D" w:rsidR="00E30108">
              <w:rPr>
                <w:rFonts w:ascii="Times New Roman" w:hAnsi="Times New Roman" w:cs="Times New Roman"/>
                <w:sz w:val="28"/>
                <w:szCs w:val="28"/>
              </w:rPr>
              <w:t>pants)</w:t>
            </w:r>
            <w:r w:rsidRPr="00D95B3D">
              <w:rPr>
                <w:rFonts w:ascii="Times New Roman" w:hAnsi="Times New Roman" w:cs="Times New Roman"/>
                <w:sz w:val="28"/>
                <w:szCs w:val="28"/>
              </w:rPr>
              <w:t xml:space="preserve"> un ta</w:t>
            </w:r>
            <w:r>
              <w:rPr>
                <w:rFonts w:ascii="Times New Roman" w:hAnsi="Times New Roman" w:cs="Times New Roman"/>
                <w:sz w:val="28"/>
                <w:szCs w:val="28"/>
              </w:rPr>
              <w:t xml:space="preserve">i </w:t>
            </w:r>
            <w:r w:rsidRPr="00D95B3D">
              <w:rPr>
                <w:rFonts w:ascii="Times New Roman" w:hAnsi="Times New Roman" w:cs="Times New Roman"/>
                <w:sz w:val="28"/>
                <w:szCs w:val="28"/>
              </w:rPr>
              <w:t>pakļautajam subjektu lokam ir tieša likumsakarība ar Latvijas Republikā esošo sporta nozare</w:t>
            </w:r>
            <w:r>
              <w:rPr>
                <w:rFonts w:ascii="Times New Roman" w:hAnsi="Times New Roman" w:cs="Times New Roman"/>
                <w:sz w:val="28"/>
                <w:szCs w:val="28"/>
              </w:rPr>
              <w:t>s struktūru, tādējādi trīspusējā</w:t>
            </w:r>
            <w:r w:rsidRPr="00D95B3D">
              <w:rPr>
                <w:rFonts w:ascii="Times New Roman" w:hAnsi="Times New Roman" w:cs="Times New Roman"/>
                <w:sz w:val="28"/>
                <w:szCs w:val="28"/>
              </w:rPr>
              <w:t xml:space="preserve"> </w:t>
            </w:r>
            <w:r>
              <w:rPr>
                <w:rFonts w:ascii="Times New Roman" w:hAnsi="Times New Roman" w:cs="Times New Roman"/>
                <w:sz w:val="28"/>
                <w:szCs w:val="28"/>
              </w:rPr>
              <w:t>vienošanās</w:t>
            </w:r>
            <w:r w:rsidRPr="00D95B3D">
              <w:rPr>
                <w:rFonts w:ascii="Times New Roman" w:hAnsi="Times New Roman" w:cs="Times New Roman"/>
                <w:sz w:val="28"/>
                <w:szCs w:val="28"/>
              </w:rPr>
              <w:t xml:space="preserve"> </w:t>
            </w:r>
            <w:r w:rsidRPr="00D95B3D" w:rsidR="002466BC">
              <w:rPr>
                <w:rFonts w:ascii="Times New Roman" w:hAnsi="Times New Roman" w:cs="Times New Roman"/>
                <w:sz w:val="28"/>
                <w:szCs w:val="28"/>
              </w:rPr>
              <w:t>ir</w:t>
            </w:r>
            <w:r w:rsidRPr="00D95B3D">
              <w:rPr>
                <w:rFonts w:ascii="Times New Roman" w:hAnsi="Times New Roman" w:cs="Times New Roman"/>
                <w:sz w:val="28"/>
                <w:szCs w:val="28"/>
              </w:rPr>
              <w:t xml:space="preserve"> saistoš</w:t>
            </w:r>
            <w:r>
              <w:rPr>
                <w:rFonts w:ascii="Times New Roman" w:hAnsi="Times New Roman" w:cs="Times New Roman"/>
                <w:sz w:val="28"/>
                <w:szCs w:val="28"/>
              </w:rPr>
              <w:t>a</w:t>
            </w:r>
            <w:r w:rsidRPr="00D95B3D">
              <w:rPr>
                <w:rFonts w:ascii="Times New Roman" w:hAnsi="Times New Roman" w:cs="Times New Roman"/>
                <w:sz w:val="28"/>
                <w:szCs w:val="28"/>
              </w:rPr>
              <w:t xml:space="preserve"> tiem sportistiem, sporta organizācijām, sporta darbiniekiem </w:t>
            </w:r>
            <w:r w:rsidRPr="00D95B3D" w:rsidR="002466BC">
              <w:rPr>
                <w:rFonts w:ascii="Times New Roman" w:hAnsi="Times New Roman" w:cs="Times New Roman"/>
                <w:sz w:val="28"/>
                <w:szCs w:val="28"/>
              </w:rPr>
              <w:t>un speciālistiem, kuri definēti</w:t>
            </w:r>
            <w:r w:rsidRPr="00D95B3D">
              <w:rPr>
                <w:rFonts w:ascii="Times New Roman" w:hAnsi="Times New Roman" w:cs="Times New Roman"/>
                <w:sz w:val="28"/>
                <w:szCs w:val="28"/>
              </w:rPr>
              <w:t xml:space="preserve"> gan pašos Nacionālajos Antidoping</w:t>
            </w:r>
            <w:r w:rsidRPr="00D95B3D" w:rsidR="002466BC">
              <w:rPr>
                <w:rFonts w:ascii="Times New Roman" w:hAnsi="Times New Roman" w:cs="Times New Roman"/>
                <w:sz w:val="28"/>
                <w:szCs w:val="28"/>
              </w:rPr>
              <w:t>a noteikumos, gan Sporta likumā</w:t>
            </w:r>
            <w:r w:rsidRPr="00D95B3D">
              <w:rPr>
                <w:rFonts w:ascii="Times New Roman" w:hAnsi="Times New Roman" w:cs="Times New Roman"/>
                <w:sz w:val="28"/>
                <w:szCs w:val="28"/>
              </w:rPr>
              <w:t xml:space="preserve"> atbilstoši Latvijas Republikas apstiprinātajai sporta organizatoriskās pārvaldes struktūrai</w:t>
            </w:r>
            <w:r>
              <w:rPr>
                <w:rStyle w:val="FootnoteReference"/>
                <w:rFonts w:ascii="Times New Roman" w:hAnsi="Times New Roman" w:cs="Times New Roman"/>
                <w:sz w:val="28"/>
                <w:szCs w:val="28"/>
              </w:rPr>
              <w:footnoteReference w:id="6"/>
            </w:r>
            <w:r w:rsidRPr="00D95B3D">
              <w:rPr>
                <w:rFonts w:ascii="Times New Roman" w:hAnsi="Times New Roman" w:cs="Times New Roman"/>
                <w:sz w:val="28"/>
                <w:szCs w:val="28"/>
              </w:rPr>
              <w:t xml:space="preserve">, esot šīs struktūras ietvaros </w:t>
            </w:r>
            <w:r w:rsidRPr="00D95B3D" w:rsidR="002466BC">
              <w:rPr>
                <w:rFonts w:ascii="Times New Roman" w:hAnsi="Times New Roman" w:cs="Times New Roman"/>
                <w:sz w:val="28"/>
                <w:szCs w:val="28"/>
              </w:rPr>
              <w:t>pastāvošo</w:t>
            </w:r>
            <w:r w:rsidRPr="00D95B3D">
              <w:rPr>
                <w:rFonts w:ascii="Times New Roman" w:hAnsi="Times New Roman" w:cs="Times New Roman"/>
                <w:sz w:val="28"/>
                <w:szCs w:val="28"/>
              </w:rPr>
              <w:t xml:space="preserve"> sporta organizāciju biedri un atvasināto publisko personu īpaši pakļautās personas (sporta skolu audzēkņi), </w:t>
            </w:r>
            <w:r w:rsidRPr="00D95B3D">
              <w:rPr>
                <w:rFonts w:ascii="Times New Roman" w:hAnsi="Times New Roman" w:cs="Times New Roman"/>
                <w:sz w:val="28"/>
                <w:szCs w:val="28"/>
              </w:rPr>
              <w:t>nodarbinātie (pedagogi, treneri – atbildība būtu jāstiprina ar ārējo normatīvo aktu) vai personas, kuras piedalās šo institūciju vai organizāciju rīkotajos sporta pasākumos.</w:t>
            </w:r>
          </w:p>
          <w:p w:rsidR="008F32C4" w:rsidRPr="00D95B3D" w:rsidP="002466BC" w14:paraId="1E9F2AC3" w14:textId="1D5ADD69">
            <w:pPr>
              <w:spacing w:after="0" w:line="240" w:lineRule="auto"/>
              <w:jc w:val="both"/>
              <w:rPr>
                <w:rFonts w:ascii="Times New Roman" w:hAnsi="Times New Roman" w:cs="Times New Roman"/>
                <w:sz w:val="28"/>
                <w:szCs w:val="28"/>
              </w:rPr>
            </w:pPr>
            <w:r w:rsidRPr="00D95B3D">
              <w:rPr>
                <w:rFonts w:ascii="Times New Roman" w:hAnsi="Times New Roman" w:cs="Times New Roman"/>
                <w:sz w:val="28"/>
                <w:szCs w:val="28"/>
              </w:rPr>
              <w:t>Ņemot vērā</w:t>
            </w:r>
            <w:r w:rsidRPr="00D95B3D" w:rsidR="00430B6C">
              <w:rPr>
                <w:rFonts w:ascii="Times New Roman" w:hAnsi="Times New Roman" w:cs="Times New Roman"/>
                <w:sz w:val="28"/>
                <w:szCs w:val="28"/>
              </w:rPr>
              <w:t xml:space="preserve"> iepriekš</w:t>
            </w:r>
            <w:r w:rsidRPr="00D95B3D">
              <w:rPr>
                <w:rFonts w:ascii="Times New Roman" w:hAnsi="Times New Roman" w:cs="Times New Roman"/>
                <w:sz w:val="28"/>
                <w:szCs w:val="28"/>
              </w:rPr>
              <w:t xml:space="preserve"> minēto</w:t>
            </w:r>
            <w:r w:rsidRPr="00D95B3D" w:rsidR="00F50B48">
              <w:rPr>
                <w:rFonts w:ascii="Times New Roman" w:hAnsi="Times New Roman" w:cs="Times New Roman"/>
                <w:sz w:val="28"/>
                <w:szCs w:val="28"/>
              </w:rPr>
              <w:t>,</w:t>
            </w:r>
            <w:r w:rsidRPr="00D95B3D" w:rsidR="00430B6C">
              <w:rPr>
                <w:rFonts w:ascii="Times New Roman" w:hAnsi="Times New Roman" w:cs="Times New Roman"/>
                <w:sz w:val="28"/>
                <w:szCs w:val="28"/>
              </w:rPr>
              <w:t xml:space="preserve"> </w:t>
            </w:r>
            <w:r w:rsidRPr="00D95B3D" w:rsidR="00215E5A">
              <w:rPr>
                <w:rFonts w:ascii="Times New Roman" w:hAnsi="Times New Roman" w:cs="Times New Roman"/>
                <w:sz w:val="28"/>
                <w:szCs w:val="28"/>
              </w:rPr>
              <w:t xml:space="preserve"> </w:t>
            </w:r>
            <w:r w:rsidRPr="00D95B3D">
              <w:rPr>
                <w:rFonts w:ascii="Times New Roman" w:hAnsi="Times New Roman" w:cs="Times New Roman"/>
                <w:sz w:val="28"/>
                <w:szCs w:val="28"/>
              </w:rPr>
              <w:t>Disciplinārās antidopinga komisija</w:t>
            </w:r>
            <w:r w:rsidRPr="00D95B3D" w:rsidR="00215E5A">
              <w:rPr>
                <w:rFonts w:ascii="Times New Roman" w:hAnsi="Times New Roman" w:cs="Times New Roman"/>
                <w:sz w:val="28"/>
                <w:szCs w:val="28"/>
              </w:rPr>
              <w:t>s</w:t>
            </w:r>
            <w:r w:rsidRPr="00D95B3D">
              <w:rPr>
                <w:rFonts w:ascii="Times New Roman" w:hAnsi="Times New Roman" w:cs="Times New Roman"/>
                <w:sz w:val="28"/>
                <w:szCs w:val="28"/>
              </w:rPr>
              <w:t xml:space="preserve"> lēmumi tādējādi ir attiecināmi uz konkrēto subjektu loku un atbilstoši </w:t>
            </w:r>
            <w:r w:rsidRPr="00D95B3D" w:rsidR="00F50B48">
              <w:rPr>
                <w:rFonts w:ascii="Times New Roman" w:hAnsi="Times New Roman" w:cs="Times New Roman"/>
                <w:sz w:val="28"/>
                <w:szCs w:val="28"/>
              </w:rPr>
              <w:t xml:space="preserve">Starptautiskās konvencijas pret dopingu sportā </w:t>
            </w:r>
            <w:r w:rsidRPr="00D95B3D" w:rsidR="00491F27">
              <w:rPr>
                <w:rFonts w:ascii="Times New Roman" w:hAnsi="Times New Roman" w:cs="Times New Roman"/>
                <w:sz w:val="28"/>
                <w:szCs w:val="28"/>
              </w:rPr>
              <w:t>3.</w:t>
            </w:r>
            <w:r w:rsidRPr="00D95B3D" w:rsidR="00F50B48">
              <w:rPr>
                <w:rFonts w:ascii="Times New Roman" w:hAnsi="Times New Roman" w:cs="Times New Roman"/>
                <w:sz w:val="28"/>
                <w:szCs w:val="28"/>
              </w:rPr>
              <w:t> </w:t>
            </w:r>
            <w:r w:rsidRPr="00D95B3D" w:rsidR="00491F27">
              <w:rPr>
                <w:rFonts w:ascii="Times New Roman" w:hAnsi="Times New Roman" w:cs="Times New Roman"/>
                <w:sz w:val="28"/>
                <w:szCs w:val="28"/>
              </w:rPr>
              <w:t>pantam</w:t>
            </w:r>
            <w:r w:rsidRPr="00D95B3D">
              <w:rPr>
                <w:rFonts w:ascii="Times New Roman" w:hAnsi="Times New Roman" w:cs="Times New Roman"/>
                <w:sz w:val="28"/>
                <w:szCs w:val="28"/>
              </w:rPr>
              <w:t xml:space="preserve"> var tikt pieņemti</w:t>
            </w:r>
            <w:r w:rsidRPr="00D95B3D" w:rsidR="00D539FD">
              <w:rPr>
                <w:rFonts w:ascii="Times New Roman" w:hAnsi="Times New Roman" w:cs="Times New Roman"/>
                <w:sz w:val="28"/>
                <w:szCs w:val="28"/>
              </w:rPr>
              <w:t>,</w:t>
            </w:r>
            <w:r w:rsidRPr="00D95B3D">
              <w:rPr>
                <w:rFonts w:ascii="Times New Roman" w:hAnsi="Times New Roman" w:cs="Times New Roman"/>
                <w:sz w:val="28"/>
                <w:szCs w:val="28"/>
              </w:rPr>
              <w:t xml:space="preserve"> </w:t>
            </w:r>
            <w:r w:rsidRPr="00D95B3D" w:rsidR="00D539FD">
              <w:rPr>
                <w:rFonts w:ascii="Times New Roman" w:hAnsi="Times New Roman" w:cs="Times New Roman"/>
                <w:sz w:val="28"/>
                <w:szCs w:val="28"/>
              </w:rPr>
              <w:t>pamatojoties</w:t>
            </w:r>
            <w:r w:rsidRPr="00D95B3D" w:rsidR="00491F27">
              <w:rPr>
                <w:rFonts w:ascii="Times New Roman" w:hAnsi="Times New Roman" w:cs="Times New Roman"/>
                <w:sz w:val="28"/>
                <w:szCs w:val="28"/>
              </w:rPr>
              <w:t xml:space="preserve"> tikai</w:t>
            </w:r>
            <w:r w:rsidRPr="00D95B3D">
              <w:rPr>
                <w:rFonts w:ascii="Times New Roman" w:hAnsi="Times New Roman" w:cs="Times New Roman"/>
                <w:sz w:val="28"/>
                <w:szCs w:val="28"/>
              </w:rPr>
              <w:t xml:space="preserve"> uz Pasaules Antidopinga kodeksā ietvertajiem principiem, Starptautiskajiem standartiem un tehniskajiem dokumentiem, labā</w:t>
            </w:r>
            <w:r w:rsidRPr="00D95B3D" w:rsidR="00FE25E6">
              <w:rPr>
                <w:rFonts w:ascii="Times New Roman" w:hAnsi="Times New Roman" w:cs="Times New Roman"/>
                <w:sz w:val="28"/>
                <w:szCs w:val="28"/>
              </w:rPr>
              <w:t>s</w:t>
            </w:r>
            <w:r w:rsidRPr="00D95B3D">
              <w:rPr>
                <w:rFonts w:ascii="Times New Roman" w:hAnsi="Times New Roman" w:cs="Times New Roman"/>
                <w:sz w:val="28"/>
                <w:szCs w:val="28"/>
              </w:rPr>
              <w:t xml:space="preserve"> prakses paraugiem un vadlīnijām.</w:t>
            </w:r>
            <w:r w:rsidRPr="00D95B3D" w:rsidR="00D539FD">
              <w:rPr>
                <w:rFonts w:ascii="Times New Roman" w:hAnsi="Times New Roman" w:cs="Times New Roman"/>
                <w:sz w:val="28"/>
                <w:szCs w:val="28"/>
              </w:rPr>
              <w:t xml:space="preserve"> </w:t>
            </w:r>
            <w:r w:rsidRPr="00D95B3D" w:rsidR="00484EC6">
              <w:rPr>
                <w:rFonts w:ascii="Times New Roman" w:hAnsi="Times New Roman" w:cs="Times New Roman"/>
                <w:sz w:val="28"/>
                <w:szCs w:val="28"/>
              </w:rPr>
              <w:t>Likumprojektā</w:t>
            </w:r>
            <w:r w:rsidRPr="00D95B3D">
              <w:rPr>
                <w:rFonts w:ascii="Times New Roman" w:hAnsi="Times New Roman" w:cs="Times New Roman"/>
                <w:sz w:val="28"/>
                <w:szCs w:val="28"/>
              </w:rPr>
              <w:t xml:space="preserve"> piedāvātais risinājums</w:t>
            </w:r>
            <w:r w:rsidRPr="00D95B3D" w:rsidR="00714DDB">
              <w:rPr>
                <w:rFonts w:ascii="Times New Roman" w:hAnsi="Times New Roman" w:cs="Times New Roman"/>
                <w:sz w:val="28"/>
                <w:szCs w:val="28"/>
              </w:rPr>
              <w:t xml:space="preserve"> nodrošina efektīvu un elastīgu</w:t>
            </w:r>
            <w:r w:rsidRPr="00D95B3D">
              <w:rPr>
                <w:rFonts w:ascii="Times New Roman" w:hAnsi="Times New Roman" w:cs="Times New Roman"/>
                <w:sz w:val="28"/>
                <w:szCs w:val="28"/>
              </w:rPr>
              <w:t xml:space="preserve"> grozīšanas procedūru gadīju</w:t>
            </w:r>
            <w:r w:rsidRPr="00D95B3D" w:rsidR="00FA41A5">
              <w:rPr>
                <w:rFonts w:ascii="Times New Roman" w:hAnsi="Times New Roman" w:cs="Times New Roman"/>
                <w:sz w:val="28"/>
                <w:szCs w:val="28"/>
              </w:rPr>
              <w:t xml:space="preserve">mos, kad tiek veikti grozījumi </w:t>
            </w:r>
            <w:r w:rsidRPr="00D95B3D" w:rsidR="0058661E">
              <w:rPr>
                <w:rFonts w:ascii="Times New Roman" w:hAnsi="Times New Roman" w:cs="Times New Roman"/>
                <w:sz w:val="28"/>
                <w:szCs w:val="28"/>
              </w:rPr>
              <w:t xml:space="preserve">saistošajos </w:t>
            </w:r>
            <w:r w:rsidRPr="00D95B3D" w:rsidR="00FA41A5">
              <w:rPr>
                <w:rFonts w:ascii="Times New Roman" w:hAnsi="Times New Roman" w:cs="Times New Roman"/>
                <w:sz w:val="28"/>
                <w:szCs w:val="28"/>
              </w:rPr>
              <w:t>s</w:t>
            </w:r>
            <w:r w:rsidRPr="00D95B3D">
              <w:rPr>
                <w:rFonts w:ascii="Times New Roman" w:hAnsi="Times New Roman" w:cs="Times New Roman"/>
                <w:sz w:val="28"/>
                <w:szCs w:val="28"/>
              </w:rPr>
              <w:t>tarptautiskajos dokumentos neatkarīgi no</w:t>
            </w:r>
            <w:r w:rsidRPr="00D95B3D" w:rsidR="0058661E">
              <w:rPr>
                <w:rFonts w:ascii="Times New Roman" w:hAnsi="Times New Roman" w:cs="Times New Roman"/>
                <w:sz w:val="28"/>
                <w:szCs w:val="28"/>
              </w:rPr>
              <w:t xml:space="preserve"> to</w:t>
            </w:r>
            <w:r w:rsidRPr="00D95B3D">
              <w:rPr>
                <w:rFonts w:ascii="Times New Roman" w:hAnsi="Times New Roman" w:cs="Times New Roman"/>
                <w:sz w:val="28"/>
                <w:szCs w:val="28"/>
              </w:rPr>
              <w:t xml:space="preserve"> ratifikācijas vai citām ieviešanas procedūrām nacionālajos normatīvajos aktos. Lai arī trīspusējā</w:t>
            </w:r>
            <w:r w:rsidR="003A438E">
              <w:rPr>
                <w:rFonts w:ascii="Times New Roman" w:hAnsi="Times New Roman" w:cs="Times New Roman"/>
                <w:sz w:val="28"/>
                <w:szCs w:val="28"/>
              </w:rPr>
              <w:t>s</w:t>
            </w:r>
            <w:r w:rsidRPr="00D95B3D">
              <w:rPr>
                <w:rFonts w:ascii="Times New Roman" w:hAnsi="Times New Roman" w:cs="Times New Roman"/>
                <w:sz w:val="28"/>
                <w:szCs w:val="28"/>
              </w:rPr>
              <w:t xml:space="preserve"> </w:t>
            </w:r>
            <w:r w:rsidR="003A438E">
              <w:rPr>
                <w:rFonts w:ascii="Times New Roman" w:hAnsi="Times New Roman" w:cs="Times New Roman"/>
                <w:sz w:val="28"/>
                <w:szCs w:val="28"/>
              </w:rPr>
              <w:t>vienošanās</w:t>
            </w:r>
            <w:r w:rsidRPr="00D95B3D" w:rsidR="003A438E">
              <w:rPr>
                <w:rFonts w:ascii="Times New Roman" w:hAnsi="Times New Roman" w:cs="Times New Roman"/>
                <w:sz w:val="28"/>
                <w:szCs w:val="28"/>
              </w:rPr>
              <w:t xml:space="preserve"> </w:t>
            </w:r>
            <w:r w:rsidRPr="00D95B3D">
              <w:rPr>
                <w:rFonts w:ascii="Times New Roman" w:hAnsi="Times New Roman" w:cs="Times New Roman"/>
                <w:sz w:val="28"/>
                <w:szCs w:val="28"/>
              </w:rPr>
              <w:t xml:space="preserve">ietvars norāda uz ārējā normatīvā akta pazīmēm, </w:t>
            </w:r>
            <w:r w:rsidRPr="00D95B3D" w:rsidR="001A6D82">
              <w:rPr>
                <w:rFonts w:ascii="Times New Roman" w:hAnsi="Times New Roman" w:cs="Times New Roman"/>
                <w:sz w:val="28"/>
                <w:szCs w:val="28"/>
              </w:rPr>
              <w:t>Pasaules Antidopinga k</w:t>
            </w:r>
            <w:r w:rsidRPr="00D95B3D">
              <w:rPr>
                <w:rFonts w:ascii="Times New Roman" w:hAnsi="Times New Roman" w:cs="Times New Roman"/>
                <w:sz w:val="28"/>
                <w:szCs w:val="28"/>
              </w:rPr>
              <w:t xml:space="preserve">odeksā </w:t>
            </w:r>
            <w:r w:rsidRPr="00D95B3D" w:rsidR="001A6D82">
              <w:rPr>
                <w:rFonts w:ascii="Times New Roman" w:hAnsi="Times New Roman" w:cs="Times New Roman"/>
                <w:sz w:val="28"/>
                <w:szCs w:val="28"/>
              </w:rPr>
              <w:t>noteiktais tā P</w:t>
            </w:r>
            <w:r w:rsidRPr="00D95B3D">
              <w:rPr>
                <w:rFonts w:ascii="Times New Roman" w:hAnsi="Times New Roman" w:cs="Times New Roman"/>
                <w:sz w:val="28"/>
                <w:szCs w:val="28"/>
              </w:rPr>
              <w:t xml:space="preserve">arakstītāju definējums ļauj nošķirt šī regulējuma publiski tiesiski un privāti tiesisko dabu, tas ir, </w:t>
            </w:r>
            <w:r w:rsidRPr="00D95B3D" w:rsidR="001A6D82">
              <w:rPr>
                <w:rFonts w:ascii="Times New Roman" w:hAnsi="Times New Roman" w:cs="Times New Roman"/>
                <w:sz w:val="28"/>
                <w:szCs w:val="28"/>
              </w:rPr>
              <w:t>Pasaules Antidopinga k</w:t>
            </w:r>
            <w:r w:rsidRPr="00D95B3D">
              <w:rPr>
                <w:rFonts w:ascii="Times New Roman" w:hAnsi="Times New Roman" w:cs="Times New Roman"/>
                <w:sz w:val="28"/>
                <w:szCs w:val="28"/>
              </w:rPr>
              <w:t>odeksa principi tiek attieci</w:t>
            </w:r>
            <w:r w:rsidRPr="00D95B3D" w:rsidR="001A6D82">
              <w:rPr>
                <w:rFonts w:ascii="Times New Roman" w:hAnsi="Times New Roman" w:cs="Times New Roman"/>
                <w:sz w:val="28"/>
                <w:szCs w:val="28"/>
              </w:rPr>
              <w:t>nāti uz Parakstītājiem, kas ir s</w:t>
            </w:r>
            <w:r w:rsidRPr="00D95B3D">
              <w:rPr>
                <w:rFonts w:ascii="Times New Roman" w:hAnsi="Times New Roman" w:cs="Times New Roman"/>
                <w:sz w:val="28"/>
                <w:szCs w:val="28"/>
              </w:rPr>
              <w:t>tarptautiskie un naci</w:t>
            </w:r>
            <w:r w:rsidRPr="00D95B3D" w:rsidR="001A6D82">
              <w:rPr>
                <w:rFonts w:ascii="Times New Roman" w:hAnsi="Times New Roman" w:cs="Times New Roman"/>
                <w:sz w:val="28"/>
                <w:szCs w:val="28"/>
              </w:rPr>
              <w:t>onālie privāto tiesību subjekti. Taču s</w:t>
            </w:r>
            <w:r w:rsidRPr="00D95B3D">
              <w:rPr>
                <w:rFonts w:ascii="Times New Roman" w:hAnsi="Times New Roman" w:cs="Times New Roman"/>
                <w:sz w:val="28"/>
                <w:szCs w:val="28"/>
              </w:rPr>
              <w:t xml:space="preserve">tarptautisko publisko tiesību un publisko tiesību daba izpaužas </w:t>
            </w:r>
            <w:r w:rsidRPr="00D95B3D" w:rsidR="00BD5EE9">
              <w:rPr>
                <w:rFonts w:ascii="Times New Roman" w:hAnsi="Times New Roman" w:cs="Times New Roman"/>
                <w:sz w:val="28"/>
                <w:szCs w:val="28"/>
              </w:rPr>
              <w:t>Starptautiskajai konvencijai pret dopingu sportā</w:t>
            </w:r>
            <w:r w:rsidRPr="00D95B3D" w:rsidR="00FE25E6">
              <w:rPr>
                <w:rFonts w:ascii="Times New Roman" w:hAnsi="Times New Roman" w:cs="Times New Roman"/>
                <w:sz w:val="28"/>
                <w:szCs w:val="28"/>
              </w:rPr>
              <w:t>,</w:t>
            </w:r>
            <w:r w:rsidRPr="00D95B3D" w:rsidR="00BD5EE9">
              <w:rPr>
                <w:rFonts w:ascii="Times New Roman" w:hAnsi="Times New Roman" w:cs="Times New Roman"/>
                <w:sz w:val="28"/>
                <w:szCs w:val="28"/>
              </w:rPr>
              <w:t xml:space="preserve"> </w:t>
            </w:r>
            <w:r w:rsidRPr="00D95B3D" w:rsidR="00B0307D">
              <w:rPr>
                <w:rFonts w:ascii="Times New Roman" w:hAnsi="Times New Roman" w:cs="Times New Roman"/>
                <w:sz w:val="28"/>
                <w:szCs w:val="28"/>
              </w:rPr>
              <w:t>uzliekot d</w:t>
            </w:r>
            <w:r w:rsidRPr="00D95B3D">
              <w:rPr>
                <w:rFonts w:ascii="Times New Roman" w:hAnsi="Times New Roman" w:cs="Times New Roman"/>
                <w:sz w:val="28"/>
                <w:szCs w:val="28"/>
              </w:rPr>
              <w:t>alībvalstīm pienākumu radīt antidopinga sistēmu na</w:t>
            </w:r>
            <w:r w:rsidRPr="00D95B3D" w:rsidR="00B0307D">
              <w:rPr>
                <w:rFonts w:ascii="Times New Roman" w:hAnsi="Times New Roman" w:cs="Times New Roman"/>
                <w:sz w:val="28"/>
                <w:szCs w:val="28"/>
              </w:rPr>
              <w:t>cionālā līmenī, kā arī nodrošinā</w:t>
            </w:r>
            <w:r w:rsidRPr="00D95B3D" w:rsidR="00714DDB">
              <w:rPr>
                <w:rFonts w:ascii="Times New Roman" w:hAnsi="Times New Roman" w:cs="Times New Roman"/>
                <w:sz w:val="28"/>
                <w:szCs w:val="28"/>
              </w:rPr>
              <w:t>t to efektīvu funkcionēšanu.</w:t>
            </w:r>
          </w:p>
          <w:p w:rsidR="008F32C4" w:rsidRPr="00D95B3D" w:rsidP="00B0307D" w14:paraId="384FBFF4" w14:textId="2A051498">
            <w:pPr>
              <w:spacing w:after="0" w:line="240" w:lineRule="auto"/>
              <w:jc w:val="both"/>
              <w:rPr>
                <w:rFonts w:ascii="Times New Roman" w:hAnsi="Times New Roman" w:cs="Times New Roman"/>
                <w:sz w:val="28"/>
                <w:szCs w:val="28"/>
              </w:rPr>
            </w:pPr>
            <w:r w:rsidRPr="00D95B3D">
              <w:rPr>
                <w:rFonts w:ascii="Times New Roman" w:hAnsi="Times New Roman" w:cs="Times New Roman"/>
                <w:sz w:val="28"/>
                <w:szCs w:val="28"/>
              </w:rPr>
              <w:t>Pasaules Antidopinga Kodeksa 23.2.2.</w:t>
            </w:r>
            <w:r w:rsidRPr="00D95B3D" w:rsidR="00B0307D">
              <w:rPr>
                <w:rFonts w:ascii="Times New Roman" w:hAnsi="Times New Roman" w:cs="Times New Roman"/>
                <w:sz w:val="28"/>
                <w:szCs w:val="28"/>
              </w:rPr>
              <w:t> </w:t>
            </w:r>
            <w:r w:rsidRPr="00D95B3D">
              <w:rPr>
                <w:rFonts w:ascii="Times New Roman" w:hAnsi="Times New Roman" w:cs="Times New Roman"/>
                <w:sz w:val="28"/>
                <w:szCs w:val="28"/>
              </w:rPr>
              <w:t xml:space="preserve">apakšpunktā norādītie subjekti - Parakstītāji atbilstoši definīcijai ir Pasaules Antidopinga aģentūra, Starptautiskā Olimpiskā komiteja, starptautiskās federācijas, Starptautiskā Paraolimpiskā komiteja, valstu olimpiskās komitejas, valstu paraolimpiskās komitejas, lielu sporta pasākumu </w:t>
            </w:r>
            <w:r w:rsidRPr="00D95B3D">
              <w:rPr>
                <w:rFonts w:ascii="Times New Roman" w:hAnsi="Times New Roman" w:cs="Times New Roman"/>
                <w:sz w:val="28"/>
                <w:szCs w:val="28"/>
              </w:rPr>
              <w:t>rīkotājorganizācijas</w:t>
            </w:r>
            <w:r w:rsidRPr="00D95B3D">
              <w:rPr>
                <w:rFonts w:ascii="Times New Roman" w:hAnsi="Times New Roman" w:cs="Times New Roman"/>
                <w:sz w:val="28"/>
                <w:szCs w:val="28"/>
              </w:rPr>
              <w:t xml:space="preserve"> un valstu antidopinga organizācijas, kā arī parakstītāju dalīborganizācija, klubs vai parakstītāja dalīborganizācijas cita dalīborganizācija. Šis uzskaitījums izsmeļoši norāda uz to, ka Disciplinārās</w:t>
            </w:r>
            <w:r w:rsidRPr="00D95B3D" w:rsidR="00B0307D">
              <w:rPr>
                <w:rFonts w:ascii="Times New Roman" w:hAnsi="Times New Roman" w:cs="Times New Roman"/>
                <w:sz w:val="28"/>
                <w:szCs w:val="28"/>
              </w:rPr>
              <w:t xml:space="preserve"> antidopinga</w:t>
            </w:r>
            <w:r w:rsidRPr="00D95B3D">
              <w:rPr>
                <w:rFonts w:ascii="Times New Roman" w:hAnsi="Times New Roman" w:cs="Times New Roman"/>
                <w:sz w:val="28"/>
                <w:szCs w:val="28"/>
              </w:rPr>
              <w:t xml:space="preserve"> komisijas lēmumi var tikt pie</w:t>
            </w:r>
            <w:r w:rsidRPr="00D95B3D" w:rsidR="00C65988">
              <w:rPr>
                <w:rFonts w:ascii="Times New Roman" w:hAnsi="Times New Roman" w:cs="Times New Roman"/>
                <w:sz w:val="28"/>
                <w:szCs w:val="28"/>
              </w:rPr>
              <w:t xml:space="preserve">ņemti tikai par </w:t>
            </w:r>
            <w:r w:rsidRPr="00D95B3D" w:rsidR="00C65988">
              <w:rPr>
                <w:rFonts w:ascii="Times New Roman" w:hAnsi="Times New Roman" w:cs="Times New Roman"/>
                <w:sz w:val="28"/>
                <w:szCs w:val="28"/>
              </w:rPr>
              <w:t>iepriekšminētajie</w:t>
            </w:r>
            <w:r w:rsidRPr="00D95B3D">
              <w:rPr>
                <w:rFonts w:ascii="Times New Roman" w:hAnsi="Times New Roman" w:cs="Times New Roman"/>
                <w:sz w:val="28"/>
                <w:szCs w:val="28"/>
              </w:rPr>
              <w:t>m subjektiem un tikai atbilstoši Pasaules Antidopinga kodeksā ietvertajiem principiem, Starptautiskajiem standartiem un tehniskajiem dokumentiem, labā</w:t>
            </w:r>
            <w:r w:rsidRPr="00D95B3D" w:rsidR="004049B4">
              <w:rPr>
                <w:rFonts w:ascii="Times New Roman" w:hAnsi="Times New Roman" w:cs="Times New Roman"/>
                <w:sz w:val="28"/>
                <w:szCs w:val="28"/>
              </w:rPr>
              <w:t>s</w:t>
            </w:r>
            <w:r w:rsidRPr="00D95B3D">
              <w:rPr>
                <w:rFonts w:ascii="Times New Roman" w:hAnsi="Times New Roman" w:cs="Times New Roman"/>
                <w:sz w:val="28"/>
                <w:szCs w:val="28"/>
              </w:rPr>
              <w:t xml:space="preserve"> prakses paraugiem un vadlīnijām. Pēc analoģijas šie apsvērumi attiecināmi arī uz lēmumiem, kurus pieņem Terapeitiskās lietošanas izņēmumu piešķiršanas komisija.</w:t>
            </w:r>
          </w:p>
          <w:p w:rsidR="00EB16A4" w:rsidRPr="00D95B3D" w:rsidP="00EB16A4" w14:paraId="10BB1ADF" w14:textId="77777777">
            <w:pPr>
              <w:spacing w:after="0" w:line="240" w:lineRule="auto"/>
              <w:jc w:val="both"/>
              <w:rPr>
                <w:rFonts w:ascii="Times New Roman" w:hAnsi="Times New Roman" w:cs="Times New Roman"/>
                <w:sz w:val="28"/>
                <w:szCs w:val="28"/>
              </w:rPr>
            </w:pPr>
            <w:r w:rsidRPr="00D95B3D">
              <w:rPr>
                <w:rFonts w:ascii="Times New Roman" w:hAnsi="Times New Roman" w:cs="Times New Roman"/>
                <w:sz w:val="28"/>
                <w:szCs w:val="28"/>
              </w:rPr>
              <w:t>Tā kā attiecībā uz lēmumiem antidopinga jomā tiek noteikts cits process, kas pamatā tiek regulēts Starptautiskā konvencijā pret dopingu sportā un tās 1. papildinājumā, tad Latvijas Antidopinga birojs, Disciplinārā antidopinga komisija un Terapeitiskās lietošanas izņēmumu piešķiršanas komisijas lēmumiem netiek piemērotas administratīvi procesuālās normas.</w:t>
            </w:r>
          </w:p>
          <w:p w:rsidR="00BD6854" w:rsidRPr="00D95B3D" w:rsidP="00BD6854" w14:paraId="45A622AA" w14:textId="77777777">
            <w:pPr>
              <w:pStyle w:val="NoSpacing"/>
              <w:jc w:val="both"/>
              <w:rPr>
                <w:sz w:val="28"/>
                <w:szCs w:val="28"/>
                <w:lang w:val="lv-LV"/>
              </w:rPr>
            </w:pPr>
            <w:r w:rsidRPr="00D95B3D">
              <w:rPr>
                <w:sz w:val="28"/>
                <w:szCs w:val="28"/>
                <w:lang w:val="lv-LV"/>
              </w:rPr>
              <w:t xml:space="preserve">Likumprojekts paredz, </w:t>
            </w:r>
            <w:r w:rsidRPr="00D95B3D" w:rsidR="0078500B">
              <w:rPr>
                <w:color w:val="212121"/>
                <w:sz w:val="28"/>
                <w:szCs w:val="28"/>
                <w:lang w:val="lv-LV"/>
              </w:rPr>
              <w:t>ka lietās, kurās iesaistīti valsts līmeņa sportisti, kas ir Latvijas Antidopinga biroja jurisdikcijā un kam nav tiesību iesniegt pārsūdzības Sporta arbitrāžas tiesā saskaņā ar šādas tiesas noteikumiem,</w:t>
            </w:r>
            <w:r w:rsidRPr="00D95B3D">
              <w:rPr>
                <w:sz w:val="28"/>
                <w:szCs w:val="28"/>
                <w:lang w:val="lv-LV"/>
              </w:rPr>
              <w:t xml:space="preserve"> pārsūdzības par Disciplinārās antidopinga komisijas lēmumiem un Terapeitiskās lietošanas</w:t>
            </w:r>
            <w:r w:rsidRPr="00D95B3D" w:rsidR="00E83693">
              <w:rPr>
                <w:bCs/>
                <w:sz w:val="28"/>
                <w:szCs w:val="28"/>
                <w:lang w:val="lv-LV"/>
              </w:rPr>
              <w:t xml:space="preserve"> izņēmumu piešķiršanas</w:t>
            </w:r>
            <w:r w:rsidRPr="00D95B3D">
              <w:rPr>
                <w:sz w:val="28"/>
                <w:szCs w:val="28"/>
                <w:lang w:val="lv-LV"/>
              </w:rPr>
              <w:t xml:space="preserve"> komisijas lēmumiem varēs veikt </w:t>
            </w:r>
            <w:r w:rsidRPr="00D95B3D">
              <w:rPr>
                <w:b/>
                <w:sz w:val="28"/>
                <w:szCs w:val="28"/>
                <w:lang w:val="lv-LV"/>
              </w:rPr>
              <w:t>Latvijas Sporta federāciju padomes Strīdu izskatīšanas (apelācijas) komisijā</w:t>
            </w:r>
            <w:r w:rsidRPr="00D95B3D" w:rsidR="0078500B">
              <w:rPr>
                <w:sz w:val="28"/>
                <w:szCs w:val="28"/>
                <w:lang w:val="lv-LV"/>
              </w:rPr>
              <w:t>. Minētā Strīdu izskatīšanas (apelācijas) komisija</w:t>
            </w:r>
            <w:r w:rsidRPr="00D95B3D">
              <w:rPr>
                <w:sz w:val="28"/>
                <w:szCs w:val="28"/>
                <w:lang w:val="lv-LV"/>
              </w:rPr>
              <w:t xml:space="preserve"> patlaban jau ir izveidota (atbilstoši 2014.</w:t>
            </w:r>
            <w:r w:rsidRPr="00D95B3D" w:rsidR="0039483B">
              <w:rPr>
                <w:sz w:val="28"/>
                <w:szCs w:val="28"/>
                <w:lang w:val="lv-LV"/>
              </w:rPr>
              <w:t> </w:t>
            </w:r>
            <w:r w:rsidRPr="00D95B3D">
              <w:rPr>
                <w:sz w:val="28"/>
                <w:szCs w:val="28"/>
                <w:lang w:val="lv-LV"/>
              </w:rPr>
              <w:t>gada 12.</w:t>
            </w:r>
            <w:r w:rsidRPr="00D95B3D" w:rsidR="0039483B">
              <w:rPr>
                <w:sz w:val="28"/>
                <w:szCs w:val="28"/>
                <w:lang w:val="lv-LV"/>
              </w:rPr>
              <w:t> </w:t>
            </w:r>
            <w:r w:rsidRPr="00D95B3D">
              <w:rPr>
                <w:sz w:val="28"/>
                <w:szCs w:val="28"/>
                <w:lang w:val="lv-LV"/>
              </w:rPr>
              <w:t xml:space="preserve">maija </w:t>
            </w:r>
            <w:r w:rsidRPr="00D95B3D" w:rsidR="00DB0BBF">
              <w:rPr>
                <w:sz w:val="28"/>
                <w:szCs w:val="28"/>
                <w:lang w:val="lv-LV"/>
              </w:rPr>
              <w:t>biedrības "</w:t>
            </w:r>
            <w:r w:rsidRPr="00D95B3D">
              <w:rPr>
                <w:sz w:val="28"/>
                <w:szCs w:val="28"/>
                <w:lang w:val="lv-LV"/>
              </w:rPr>
              <w:t>Latvijas Sporta federāciju padome</w:t>
            </w:r>
            <w:r w:rsidRPr="00D95B3D" w:rsidR="00DB0BBF">
              <w:rPr>
                <w:sz w:val="28"/>
                <w:szCs w:val="28"/>
                <w:lang w:val="lv-LV"/>
              </w:rPr>
              <w:t>"</w:t>
            </w:r>
            <w:r w:rsidRPr="00D95B3D">
              <w:rPr>
                <w:sz w:val="28"/>
                <w:szCs w:val="28"/>
                <w:lang w:val="lv-LV"/>
              </w:rPr>
              <w:t xml:space="preserve"> Strīdu izskatīšanas (apelācijas) komisijas nolikumam) un pilda apelācijas institūcijas funkcijas saistībā ar valsts līmeņa sportistiem. Lai arī praksē vēl nevienu strīdu šī </w:t>
            </w:r>
            <w:r w:rsidRPr="00D95B3D" w:rsidR="00207924">
              <w:rPr>
                <w:sz w:val="28"/>
                <w:szCs w:val="28"/>
                <w:lang w:val="lv-LV"/>
              </w:rPr>
              <w:t>k</w:t>
            </w:r>
            <w:r w:rsidRPr="00D95B3D">
              <w:rPr>
                <w:sz w:val="28"/>
                <w:szCs w:val="28"/>
                <w:lang w:val="lv-LV"/>
              </w:rPr>
              <w:t xml:space="preserve">omisija nav skatījusi, tomēr tās juridiskās un darbības modelis ir izstrādāts un, veicot korekcijas normatīvo aktu bāzē, </w:t>
            </w:r>
            <w:r w:rsidRPr="00D95B3D" w:rsidR="00207924">
              <w:rPr>
                <w:sz w:val="28"/>
                <w:szCs w:val="28"/>
                <w:lang w:val="lv-LV"/>
              </w:rPr>
              <w:t>minētā  k</w:t>
            </w:r>
            <w:r w:rsidRPr="00D95B3D">
              <w:rPr>
                <w:sz w:val="28"/>
                <w:szCs w:val="28"/>
                <w:lang w:val="lv-LV"/>
              </w:rPr>
              <w:t>omisija šo apelācijas funkciju varētu īstenot efektīvi un atbilstoši Pasaules Antidopinga kodeksā nostiprinātajam taisnīgas lietu izskatīšanas principa</w:t>
            </w:r>
            <w:r w:rsidRPr="00D95B3D" w:rsidR="00207924">
              <w:rPr>
                <w:sz w:val="28"/>
                <w:szCs w:val="28"/>
                <w:lang w:val="lv-LV"/>
              </w:rPr>
              <w:t>m. Korekcijas ir nepieciešamas šīs k</w:t>
            </w:r>
            <w:r w:rsidRPr="00D95B3D">
              <w:rPr>
                <w:sz w:val="28"/>
                <w:szCs w:val="28"/>
                <w:lang w:val="lv-LV"/>
              </w:rPr>
              <w:t xml:space="preserve">omisijas locekļu sastāvā, nosakot, ka tās locekļi nedrīkst būt konkrētu sporta veida pārstāvošās sporta federācijas amatpersonas, tādējādi novēršot potenciālo interešu konflikta risku. </w:t>
            </w:r>
          </w:p>
          <w:p w:rsidR="00622A27" w:rsidRPr="00D95B3D" w:rsidP="00BD6854" w14:paraId="0EA19B44" w14:textId="75CE138D">
            <w:pPr>
              <w:pStyle w:val="NoSpacing"/>
              <w:jc w:val="both"/>
              <w:rPr>
                <w:color w:val="212121"/>
                <w:sz w:val="28"/>
                <w:szCs w:val="28"/>
                <w:lang w:val="lv-LV"/>
              </w:rPr>
            </w:pPr>
            <w:r w:rsidRPr="00D95B3D">
              <w:rPr>
                <w:bCs/>
                <w:color w:val="212121"/>
                <w:sz w:val="28"/>
                <w:szCs w:val="28"/>
                <w:lang w:val="lv-LV"/>
              </w:rPr>
              <w:t xml:space="preserve">Saskaņā ar </w:t>
            </w:r>
            <w:r w:rsidRPr="00D95B3D">
              <w:rPr>
                <w:sz w:val="28"/>
                <w:szCs w:val="28"/>
                <w:lang w:val="lv-LV"/>
              </w:rPr>
              <w:t>Pasaules Antidopinga kodeksu</w:t>
            </w:r>
            <w:r>
              <w:rPr>
                <w:rStyle w:val="FootnoteReference"/>
                <w:bCs/>
                <w:color w:val="212121"/>
                <w:sz w:val="28"/>
                <w:szCs w:val="28"/>
              </w:rPr>
              <w:footnoteReference w:id="7"/>
            </w:r>
            <w:r w:rsidRPr="00D95B3D" w:rsidR="00195A71">
              <w:rPr>
                <w:bCs/>
                <w:color w:val="212121"/>
                <w:sz w:val="28"/>
                <w:szCs w:val="28"/>
                <w:lang w:val="lv-LV"/>
              </w:rPr>
              <w:t xml:space="preserve"> </w:t>
            </w:r>
            <w:r w:rsidRPr="00D95B3D" w:rsidR="00EB16A4">
              <w:rPr>
                <w:color w:val="212121"/>
                <w:sz w:val="28"/>
                <w:szCs w:val="28"/>
                <w:lang w:val="lv-LV"/>
              </w:rPr>
              <w:t xml:space="preserve">pārsūdzību </w:t>
            </w:r>
            <w:r w:rsidRPr="00D95B3D" w:rsidR="0035517F">
              <w:rPr>
                <w:color w:val="212121"/>
                <w:sz w:val="28"/>
                <w:szCs w:val="28"/>
                <w:u w:val="single"/>
                <w:lang w:val="lv-LV"/>
              </w:rPr>
              <w:t>nacionālā</w:t>
            </w:r>
            <w:r w:rsidRPr="00D95B3D" w:rsidR="00EB16A4">
              <w:rPr>
                <w:color w:val="212121"/>
                <w:sz w:val="28"/>
                <w:szCs w:val="28"/>
                <w:u w:val="single"/>
                <w:lang w:val="lv-LV"/>
              </w:rPr>
              <w:t xml:space="preserve"> mēroga</w:t>
            </w:r>
            <w:r w:rsidRPr="00D95B3D" w:rsidR="00EB16A4">
              <w:rPr>
                <w:color w:val="212121"/>
                <w:sz w:val="28"/>
                <w:szCs w:val="28"/>
                <w:lang w:val="lv-LV"/>
              </w:rPr>
              <w:t xml:space="preserve"> pārskatīšanas iestādei</w:t>
            </w:r>
            <w:r w:rsidRPr="00D95B3D" w:rsidR="0035517F">
              <w:rPr>
                <w:color w:val="212121"/>
                <w:sz w:val="28"/>
                <w:szCs w:val="28"/>
                <w:lang w:val="lv-LV"/>
              </w:rPr>
              <w:t xml:space="preserve"> (Latvijas gadījumā - </w:t>
            </w:r>
            <w:r w:rsidRPr="00D95B3D" w:rsidR="0035517F">
              <w:rPr>
                <w:sz w:val="28"/>
                <w:szCs w:val="28"/>
                <w:lang w:val="lv-LV"/>
              </w:rPr>
              <w:t xml:space="preserve">Strīdu izskatīšanas (apelācijas) komisijai) var iesniegt: </w:t>
            </w:r>
            <w:r w:rsidRPr="00D95B3D" w:rsidR="0035517F">
              <w:rPr>
                <w:color w:val="212121"/>
                <w:sz w:val="28"/>
                <w:szCs w:val="28"/>
                <w:lang w:val="lv-LV"/>
              </w:rPr>
              <w:t>a) </w:t>
            </w:r>
            <w:r w:rsidRPr="00D95B3D" w:rsidR="00EB16A4">
              <w:rPr>
                <w:color w:val="212121"/>
                <w:sz w:val="28"/>
                <w:szCs w:val="28"/>
                <w:lang w:val="lv-LV"/>
              </w:rPr>
              <w:t>tāds sportists vai cita persona, uz ku</w:t>
            </w:r>
            <w:r w:rsidRPr="00D95B3D" w:rsidR="0035517F">
              <w:rPr>
                <w:color w:val="212121"/>
                <w:sz w:val="28"/>
                <w:szCs w:val="28"/>
                <w:lang w:val="lv-LV"/>
              </w:rPr>
              <w:t>ru attiecas pārsūdzamais lēmums; b) </w:t>
            </w:r>
            <w:r w:rsidRPr="00D95B3D" w:rsidR="00EB16A4">
              <w:rPr>
                <w:color w:val="212121"/>
                <w:sz w:val="28"/>
                <w:szCs w:val="28"/>
                <w:lang w:val="lv-LV"/>
              </w:rPr>
              <w:t>otra puse, kas iesaistīta lietā, kurā pieņemts šis lēmums;</w:t>
            </w:r>
            <w:r w:rsidRPr="00D95B3D" w:rsidR="0035517F">
              <w:rPr>
                <w:color w:val="212121"/>
                <w:sz w:val="28"/>
                <w:szCs w:val="28"/>
                <w:lang w:val="lv-LV"/>
              </w:rPr>
              <w:t xml:space="preserve"> c) </w:t>
            </w:r>
            <w:r w:rsidRPr="00D95B3D" w:rsidR="00EB16A4">
              <w:rPr>
                <w:color w:val="212121"/>
                <w:sz w:val="28"/>
                <w:szCs w:val="28"/>
                <w:lang w:val="lv-LV"/>
              </w:rPr>
              <w:t>attiecīgā starptautiskā federācija;</w:t>
            </w:r>
            <w:r w:rsidRPr="00D95B3D" w:rsidR="0035517F">
              <w:rPr>
                <w:color w:val="212121"/>
                <w:sz w:val="28"/>
                <w:szCs w:val="28"/>
                <w:lang w:val="lv-LV"/>
              </w:rPr>
              <w:t xml:space="preserve"> </w:t>
            </w:r>
            <w:r w:rsidRPr="00D95B3D" w:rsidR="00EB16A4">
              <w:rPr>
                <w:color w:val="212121"/>
                <w:sz w:val="28"/>
                <w:szCs w:val="28"/>
                <w:lang w:val="lv-LV"/>
              </w:rPr>
              <w:t>d)</w:t>
            </w:r>
            <w:r w:rsidRPr="00D95B3D" w:rsidR="0035517F">
              <w:rPr>
                <w:color w:val="212121"/>
                <w:sz w:val="28"/>
                <w:szCs w:val="28"/>
                <w:lang w:val="lv-LV"/>
              </w:rPr>
              <w:t> </w:t>
            </w:r>
            <w:r w:rsidRPr="00D95B3D" w:rsidR="00EB16A4">
              <w:rPr>
                <w:color w:val="212121"/>
                <w:sz w:val="28"/>
                <w:szCs w:val="28"/>
                <w:lang w:val="lv-LV"/>
              </w:rPr>
              <w:t>personas pastāvīgās dzīvesvietas valsts antidopinga organizācija;</w:t>
            </w:r>
            <w:r w:rsidRPr="00D95B3D" w:rsidR="0035517F">
              <w:rPr>
                <w:color w:val="212121"/>
                <w:sz w:val="28"/>
                <w:szCs w:val="28"/>
                <w:lang w:val="lv-LV"/>
              </w:rPr>
              <w:t xml:space="preserve"> e) </w:t>
            </w:r>
            <w:r w:rsidRPr="00D95B3D" w:rsidR="0035517F">
              <w:rPr>
                <w:bCs/>
                <w:sz w:val="28"/>
                <w:szCs w:val="28"/>
                <w:lang w:val="lv-LV"/>
              </w:rPr>
              <w:t>Pasaules Antidopinga organizācija</w:t>
            </w:r>
            <w:r w:rsidRPr="00D95B3D" w:rsidR="0035517F">
              <w:rPr>
                <w:color w:val="212121"/>
                <w:sz w:val="28"/>
                <w:szCs w:val="28"/>
                <w:lang w:val="lv-LV"/>
              </w:rPr>
              <w:t>.</w:t>
            </w:r>
            <w:r w:rsidRPr="00D95B3D" w:rsidR="005F39B7">
              <w:rPr>
                <w:color w:val="212121"/>
                <w:sz w:val="28"/>
                <w:szCs w:val="28"/>
                <w:lang w:val="lv-LV"/>
              </w:rPr>
              <w:t xml:space="preserve"> </w:t>
            </w:r>
          </w:p>
          <w:p w:rsidR="001A2786" w:rsidRPr="00D95B3D" w:rsidP="004864D5" w14:paraId="3C80E78C" w14:textId="6F49CBE8">
            <w:pPr>
              <w:shd w:val="clear" w:color="auto" w:fill="FFFFFF"/>
              <w:spacing w:after="0" w:line="240" w:lineRule="auto"/>
              <w:jc w:val="both"/>
              <w:rPr>
                <w:rFonts w:ascii="Verdana" w:eastAsia="Times New Roman" w:hAnsi="Verdana" w:cs="Times New Roman"/>
                <w:color w:val="212121"/>
                <w:sz w:val="28"/>
                <w:szCs w:val="28"/>
                <w:lang w:eastAsia="lv-LV"/>
              </w:rPr>
            </w:pPr>
            <w:r w:rsidRPr="00D95B3D">
              <w:rPr>
                <w:rFonts w:ascii="Times New Roman" w:eastAsia="Times New Roman" w:hAnsi="Times New Roman" w:cs="Times New Roman"/>
                <w:color w:val="212121"/>
                <w:sz w:val="28"/>
                <w:szCs w:val="28"/>
                <w:lang w:eastAsia="lv-LV"/>
              </w:rPr>
              <w:t>Savukārt l</w:t>
            </w:r>
            <w:r w:rsidRPr="00D95B3D" w:rsidR="0078500B">
              <w:rPr>
                <w:rFonts w:ascii="Times New Roman" w:eastAsia="Times New Roman" w:hAnsi="Times New Roman" w:cs="Times New Roman"/>
                <w:color w:val="212121"/>
                <w:sz w:val="28"/>
                <w:szCs w:val="28"/>
                <w:lang w:eastAsia="lv-LV"/>
              </w:rPr>
              <w:t xml:space="preserve">ēmumu tādās lietās, kas saistītas ar dalību </w:t>
            </w:r>
            <w:r w:rsidRPr="00D95B3D" w:rsidR="0078500B">
              <w:rPr>
                <w:rFonts w:ascii="Times New Roman" w:eastAsia="Times New Roman" w:hAnsi="Times New Roman" w:cs="Times New Roman"/>
                <w:color w:val="212121"/>
                <w:sz w:val="28"/>
                <w:szCs w:val="28"/>
                <w:u w:val="single"/>
                <w:lang w:eastAsia="lv-LV"/>
              </w:rPr>
              <w:t>starptautiskā sporta pasākumā</w:t>
            </w:r>
            <w:r w:rsidRPr="00D95B3D" w:rsidR="0078500B">
              <w:rPr>
                <w:rFonts w:ascii="Times New Roman" w:eastAsia="Times New Roman" w:hAnsi="Times New Roman" w:cs="Times New Roman"/>
                <w:color w:val="212121"/>
                <w:sz w:val="28"/>
                <w:szCs w:val="28"/>
                <w:lang w:eastAsia="lv-LV"/>
              </w:rPr>
              <w:t xml:space="preserve"> vai </w:t>
            </w:r>
            <w:r w:rsidRPr="00D95B3D">
              <w:rPr>
                <w:rFonts w:ascii="Times New Roman" w:eastAsia="Times New Roman" w:hAnsi="Times New Roman" w:cs="Times New Roman"/>
                <w:color w:val="212121"/>
                <w:sz w:val="28"/>
                <w:szCs w:val="28"/>
                <w:lang w:eastAsia="lv-LV"/>
              </w:rPr>
              <w:t xml:space="preserve">saistīti ar </w:t>
            </w:r>
            <w:r w:rsidRPr="00D95B3D" w:rsidR="0078500B">
              <w:rPr>
                <w:rFonts w:ascii="Times New Roman" w:eastAsia="Times New Roman" w:hAnsi="Times New Roman" w:cs="Times New Roman"/>
                <w:color w:val="212121"/>
                <w:sz w:val="28"/>
                <w:szCs w:val="28"/>
                <w:u w:val="single"/>
                <w:lang w:eastAsia="lv-LV"/>
              </w:rPr>
              <w:t>starptautiska līmeņa sportistiem</w:t>
            </w:r>
            <w:r w:rsidRPr="00D95B3D" w:rsidR="0078500B">
              <w:rPr>
                <w:rFonts w:ascii="Times New Roman" w:eastAsia="Times New Roman" w:hAnsi="Times New Roman" w:cs="Times New Roman"/>
                <w:color w:val="212121"/>
                <w:sz w:val="28"/>
                <w:szCs w:val="28"/>
                <w:lang w:eastAsia="lv-LV"/>
              </w:rPr>
              <w:t xml:space="preserve">, var pārsūdzēt tikai starptautiskajā </w:t>
            </w:r>
            <w:r w:rsidRPr="00D95B3D" w:rsidR="0078500B">
              <w:rPr>
                <w:rFonts w:ascii="Times New Roman" w:eastAsia="Times New Roman" w:hAnsi="Times New Roman" w:cs="Times New Roman"/>
                <w:b/>
                <w:color w:val="212121"/>
                <w:sz w:val="28"/>
                <w:szCs w:val="28"/>
                <w:lang w:eastAsia="lv-LV"/>
              </w:rPr>
              <w:t xml:space="preserve">Sporta arbitrāžas tiesā </w:t>
            </w:r>
            <w:r w:rsidRPr="00D95B3D" w:rsidR="0078500B">
              <w:rPr>
                <w:rFonts w:ascii="Times New Roman" w:eastAsia="Times New Roman" w:hAnsi="Times New Roman" w:cs="Times New Roman"/>
                <w:color w:val="212121"/>
                <w:sz w:val="28"/>
                <w:szCs w:val="28"/>
                <w:lang w:eastAsia="lv-LV"/>
              </w:rPr>
              <w:t>saska</w:t>
            </w:r>
            <w:r w:rsidRPr="00D95B3D">
              <w:rPr>
                <w:rFonts w:ascii="Times New Roman" w:eastAsia="Times New Roman" w:hAnsi="Times New Roman" w:cs="Times New Roman"/>
                <w:color w:val="212121"/>
                <w:sz w:val="28"/>
                <w:szCs w:val="28"/>
                <w:lang w:eastAsia="lv-LV"/>
              </w:rPr>
              <w:t xml:space="preserve">ņā ar šādas tiesas noteikumiem. </w:t>
            </w:r>
            <w:r w:rsidRPr="00D95B3D" w:rsidR="008F32C4">
              <w:rPr>
                <w:rFonts w:ascii="Times New Roman" w:eastAsia="Times New Roman" w:hAnsi="Times New Roman" w:cs="Times New Roman"/>
                <w:bCs/>
                <w:color w:val="212121"/>
                <w:sz w:val="28"/>
                <w:szCs w:val="28"/>
                <w:lang w:eastAsia="lv-LV"/>
              </w:rPr>
              <w:t>Pārsūdzīb</w:t>
            </w:r>
            <w:r w:rsidRPr="00D95B3D">
              <w:rPr>
                <w:rFonts w:ascii="Times New Roman" w:eastAsia="Times New Roman" w:hAnsi="Times New Roman" w:cs="Times New Roman"/>
                <w:bCs/>
                <w:color w:val="212121"/>
                <w:sz w:val="28"/>
                <w:szCs w:val="28"/>
                <w:lang w:eastAsia="lv-LV"/>
              </w:rPr>
              <w:t xml:space="preserve">u </w:t>
            </w:r>
            <w:r w:rsidRPr="00D95B3D">
              <w:rPr>
                <w:rFonts w:ascii="Times New Roman" w:eastAsia="Times New Roman" w:hAnsi="Times New Roman" w:cs="Times New Roman"/>
                <w:color w:val="212121"/>
                <w:sz w:val="28"/>
                <w:szCs w:val="28"/>
                <w:lang w:eastAsia="lv-LV"/>
              </w:rPr>
              <w:t>starptautiskajā</w:t>
            </w:r>
            <w:r w:rsidRPr="00D95B3D" w:rsidR="008F32C4">
              <w:rPr>
                <w:rFonts w:ascii="Times New Roman" w:eastAsia="Times New Roman" w:hAnsi="Times New Roman" w:cs="Times New Roman"/>
                <w:bCs/>
                <w:color w:val="212121"/>
                <w:sz w:val="28"/>
                <w:szCs w:val="28"/>
                <w:lang w:eastAsia="lv-LV"/>
              </w:rPr>
              <w:t xml:space="preserve"> Sporta arbitrāžas tiesā</w:t>
            </w:r>
            <w:r w:rsidRPr="00D95B3D" w:rsidR="00EB16A4">
              <w:rPr>
                <w:rFonts w:ascii="Times New Roman" w:eastAsia="Times New Roman" w:hAnsi="Times New Roman" w:cs="Times New Roman"/>
                <w:bCs/>
                <w:color w:val="212121"/>
                <w:sz w:val="28"/>
                <w:szCs w:val="28"/>
                <w:lang w:eastAsia="lv-LV"/>
              </w:rPr>
              <w:t xml:space="preserve"> saskaņā ar </w:t>
            </w:r>
            <w:r w:rsidRPr="00D95B3D" w:rsidR="00EB16A4">
              <w:rPr>
                <w:rFonts w:ascii="Times New Roman" w:hAnsi="Times New Roman" w:cs="Times New Roman"/>
                <w:sz w:val="28"/>
                <w:szCs w:val="28"/>
              </w:rPr>
              <w:t>Pasaules Antidopinga kodeksu</w:t>
            </w:r>
            <w:r>
              <w:rPr>
                <w:rStyle w:val="FootnoteReference"/>
                <w:rFonts w:ascii="Times New Roman" w:eastAsia="Times New Roman" w:hAnsi="Times New Roman" w:cs="Times New Roman"/>
                <w:bCs/>
                <w:color w:val="212121"/>
                <w:sz w:val="28"/>
                <w:szCs w:val="28"/>
                <w:lang w:eastAsia="lv-LV"/>
              </w:rPr>
              <w:footnoteReference w:id="8"/>
            </w:r>
            <w:r w:rsidRPr="00D95B3D">
              <w:rPr>
                <w:rFonts w:ascii="Times New Roman" w:eastAsia="Times New Roman" w:hAnsi="Times New Roman" w:cs="Times New Roman"/>
                <w:bCs/>
                <w:color w:val="212121"/>
                <w:sz w:val="28"/>
                <w:szCs w:val="28"/>
                <w:lang w:eastAsia="lv-LV"/>
              </w:rPr>
              <w:t xml:space="preserve"> ir tiesīgas</w:t>
            </w:r>
            <w:r w:rsidRPr="00D95B3D">
              <w:rPr>
                <w:rFonts w:ascii="Times New Roman" w:eastAsia="Times New Roman" w:hAnsi="Times New Roman" w:cs="Times New Roman"/>
                <w:b/>
                <w:bCs/>
                <w:color w:val="212121"/>
                <w:sz w:val="28"/>
                <w:szCs w:val="28"/>
                <w:lang w:eastAsia="lv-LV"/>
              </w:rPr>
              <w:t xml:space="preserve"> </w:t>
            </w:r>
            <w:r w:rsidRPr="00D95B3D">
              <w:rPr>
                <w:rFonts w:ascii="Times New Roman" w:eastAsia="Times New Roman" w:hAnsi="Times New Roman" w:cs="Times New Roman"/>
                <w:color w:val="212121"/>
                <w:sz w:val="28"/>
                <w:szCs w:val="28"/>
                <w:lang w:eastAsia="lv-LV"/>
              </w:rPr>
              <w:t xml:space="preserve">iesniegt: </w:t>
            </w:r>
            <w:r w:rsidRPr="00D95B3D" w:rsidR="008F32C4">
              <w:rPr>
                <w:rFonts w:ascii="Times New Roman" w:eastAsia="Times New Roman" w:hAnsi="Times New Roman" w:cs="Times New Roman"/>
                <w:color w:val="212121"/>
                <w:sz w:val="28"/>
                <w:szCs w:val="28"/>
                <w:lang w:eastAsia="lv-LV"/>
              </w:rPr>
              <w:t>a</w:t>
            </w:r>
            <w:r w:rsidRPr="00D95B3D">
              <w:rPr>
                <w:rFonts w:ascii="Times New Roman" w:eastAsia="Times New Roman" w:hAnsi="Times New Roman" w:cs="Times New Roman"/>
                <w:color w:val="212121"/>
                <w:sz w:val="28"/>
                <w:szCs w:val="28"/>
                <w:lang w:eastAsia="lv-LV"/>
              </w:rPr>
              <w:t>) </w:t>
            </w:r>
            <w:r w:rsidRPr="00D95B3D" w:rsidR="008F32C4">
              <w:rPr>
                <w:rFonts w:ascii="Times New Roman" w:eastAsia="Times New Roman" w:hAnsi="Times New Roman" w:cs="Times New Roman"/>
                <w:color w:val="212121"/>
                <w:sz w:val="28"/>
                <w:szCs w:val="28"/>
                <w:lang w:eastAsia="lv-LV"/>
              </w:rPr>
              <w:t>sportists vai cita persona, uz ku</w:t>
            </w:r>
            <w:r w:rsidRPr="00D95B3D">
              <w:rPr>
                <w:rFonts w:ascii="Times New Roman" w:eastAsia="Times New Roman" w:hAnsi="Times New Roman" w:cs="Times New Roman"/>
                <w:color w:val="212121"/>
                <w:sz w:val="28"/>
                <w:szCs w:val="28"/>
                <w:lang w:eastAsia="lv-LV"/>
              </w:rPr>
              <w:t>ru attiecas pārsūdzamais lēmums; b) </w:t>
            </w:r>
            <w:r w:rsidRPr="00D95B3D" w:rsidR="008F32C4">
              <w:rPr>
                <w:rFonts w:ascii="Times New Roman" w:eastAsia="Times New Roman" w:hAnsi="Times New Roman" w:cs="Times New Roman"/>
                <w:color w:val="212121"/>
                <w:sz w:val="28"/>
                <w:szCs w:val="28"/>
                <w:lang w:eastAsia="lv-LV"/>
              </w:rPr>
              <w:t>otra puse, kas iesaistīta lietā, kurā pieņemts šis lēmums</w:t>
            </w:r>
            <w:r w:rsidRPr="00D95B3D">
              <w:rPr>
                <w:rFonts w:ascii="Times New Roman" w:eastAsia="Times New Roman" w:hAnsi="Times New Roman" w:cs="Times New Roman"/>
                <w:color w:val="212121"/>
                <w:sz w:val="28"/>
                <w:szCs w:val="28"/>
                <w:lang w:eastAsia="lv-LV"/>
              </w:rPr>
              <w:t>; c) </w:t>
            </w:r>
            <w:r w:rsidRPr="00D95B3D" w:rsidR="008F32C4">
              <w:rPr>
                <w:rFonts w:ascii="Times New Roman" w:eastAsia="Times New Roman" w:hAnsi="Times New Roman" w:cs="Times New Roman"/>
                <w:color w:val="212121"/>
                <w:sz w:val="28"/>
                <w:szCs w:val="28"/>
                <w:lang w:eastAsia="lv-LV"/>
              </w:rPr>
              <w:t>attiecīgā starptautiskā federācija;</w:t>
            </w:r>
            <w:r w:rsidRPr="00D95B3D" w:rsidR="00E0005C">
              <w:rPr>
                <w:rFonts w:ascii="Times New Roman" w:eastAsia="Times New Roman" w:hAnsi="Times New Roman" w:cs="Times New Roman"/>
                <w:color w:val="212121"/>
                <w:sz w:val="28"/>
                <w:szCs w:val="28"/>
                <w:lang w:eastAsia="lv-LV"/>
              </w:rPr>
              <w:t xml:space="preserve"> d) Latvijas </w:t>
            </w:r>
            <w:r w:rsidRPr="00D95B3D" w:rsidR="008F32C4">
              <w:rPr>
                <w:rFonts w:ascii="Times New Roman" w:eastAsia="Times New Roman" w:hAnsi="Times New Roman" w:cs="Times New Roman"/>
                <w:color w:val="212121"/>
                <w:sz w:val="28"/>
                <w:szCs w:val="28"/>
                <w:lang w:eastAsia="lv-LV"/>
              </w:rPr>
              <w:t>Antidopinga birojs;</w:t>
            </w:r>
            <w:r w:rsidRPr="00D95B3D" w:rsidR="00E0005C">
              <w:rPr>
                <w:rFonts w:ascii="Times New Roman" w:eastAsia="Times New Roman" w:hAnsi="Times New Roman" w:cs="Times New Roman"/>
                <w:color w:val="212121"/>
                <w:sz w:val="28"/>
                <w:szCs w:val="28"/>
                <w:lang w:eastAsia="lv-LV"/>
              </w:rPr>
              <w:t xml:space="preserve"> e) </w:t>
            </w:r>
            <w:r w:rsidRPr="00D95B3D" w:rsidR="008F32C4">
              <w:rPr>
                <w:rFonts w:ascii="Times New Roman" w:eastAsia="Times New Roman" w:hAnsi="Times New Roman" w:cs="Times New Roman"/>
                <w:color w:val="212121"/>
                <w:sz w:val="28"/>
                <w:szCs w:val="28"/>
                <w:lang w:eastAsia="lv-LV"/>
              </w:rPr>
              <w:t>Starptautiskā Olimpiskā komiteja vai attiecīgā gadījumā ― Starptautiskā Paraolimpiskā komiteja, ja lēmuma ietekme varētu būt saistīta ar olimpiskajām vai paraolimpiskajām spēlēm, tostarp tādu lēmumu gadījumos, kas ietekmē tiesības piedalīties olimpiskajās vai paraolimpiskajās spēlēs;</w:t>
            </w:r>
            <w:r w:rsidRPr="00D95B3D" w:rsidR="00E0005C">
              <w:rPr>
                <w:rFonts w:ascii="Times New Roman" w:eastAsia="Times New Roman" w:hAnsi="Times New Roman" w:cs="Times New Roman"/>
                <w:color w:val="212121"/>
                <w:sz w:val="28"/>
                <w:szCs w:val="28"/>
                <w:lang w:eastAsia="lv-LV"/>
              </w:rPr>
              <w:t xml:space="preserve"> f)</w:t>
            </w:r>
            <w:r w:rsidRPr="00D95B3D" w:rsidR="001F396E">
              <w:rPr>
                <w:rFonts w:ascii="Times New Roman" w:hAnsi="Times New Roman" w:cs="Times New Roman"/>
                <w:bCs/>
                <w:sz w:val="28"/>
                <w:szCs w:val="28"/>
              </w:rPr>
              <w:t xml:space="preserve"> Pasaules Antidopinga organizācija</w:t>
            </w:r>
            <w:r w:rsidRPr="00D95B3D" w:rsidR="008F32C4">
              <w:rPr>
                <w:rFonts w:ascii="Times New Roman" w:eastAsia="Times New Roman" w:hAnsi="Times New Roman" w:cs="Times New Roman"/>
                <w:color w:val="212121"/>
                <w:sz w:val="28"/>
                <w:szCs w:val="28"/>
                <w:lang w:eastAsia="lv-LV"/>
              </w:rPr>
              <w:t>.</w:t>
            </w:r>
          </w:p>
          <w:p w:rsidR="00E97C1B" w:rsidRPr="007B0633" w:rsidP="00BB7994" w14:paraId="49E323BF" w14:textId="0E1C4E37">
            <w:pPr>
              <w:shd w:val="clear" w:color="auto" w:fill="FFFFFF"/>
              <w:spacing w:after="0" w:line="240" w:lineRule="auto"/>
              <w:jc w:val="both"/>
              <w:rPr>
                <w:rFonts w:ascii="Times New Roman" w:hAnsi="Times New Roman" w:cs="Times New Roman"/>
                <w:sz w:val="28"/>
                <w:szCs w:val="28"/>
              </w:rPr>
            </w:pPr>
            <w:r w:rsidRPr="00D95B3D">
              <w:rPr>
                <w:rFonts w:ascii="Times New Roman" w:eastAsia="Times New Roman" w:hAnsi="Times New Roman" w:cs="Times New Roman"/>
                <w:sz w:val="28"/>
                <w:szCs w:val="28"/>
                <w:lang w:eastAsia="lv-LV"/>
              </w:rPr>
              <w:t>Vienlaikus nepieciešams precizēt Sporta likuma 6. panta piektajā daļā 1. apakšpunktā noteikto kompetenci attiecībā uz Veselības ministriju un  Izglītības un zinātnes ministriju, paredzot, ka abas minētās institūcijas </w:t>
            </w:r>
            <w:r w:rsidRPr="00D95B3D">
              <w:rPr>
                <w:rFonts w:ascii="Times New Roman" w:hAnsi="Times New Roman" w:cs="Times New Roman"/>
                <w:sz w:val="28"/>
                <w:szCs w:val="28"/>
              </w:rPr>
              <w:t xml:space="preserve">nodrošina nepilngadīgu sportistu un bērnu ar paaugstinātu fizisko slodzi fizisko attīstību un fizisko sagatavotību saistīto datu apkopošanu un analīzi. </w:t>
            </w:r>
            <w:r w:rsidRPr="00D95B3D" w:rsidR="006108AB">
              <w:rPr>
                <w:rFonts w:ascii="Times New Roman" w:eastAsia="Times New Roman" w:hAnsi="Times New Roman" w:cs="Times New Roman"/>
                <w:sz w:val="28"/>
                <w:szCs w:val="28"/>
                <w:lang w:eastAsia="lv-LV"/>
              </w:rPr>
              <w:t xml:space="preserve">Atbilstoši Sporta likuma 11. panta 9. </w:t>
            </w:r>
            <w:r w:rsidRPr="00D95B3D" w:rsidR="00BB7994">
              <w:rPr>
                <w:rFonts w:ascii="Times New Roman" w:eastAsia="Times New Roman" w:hAnsi="Times New Roman" w:cs="Times New Roman"/>
                <w:sz w:val="28"/>
                <w:szCs w:val="28"/>
                <w:lang w:eastAsia="lv-LV"/>
              </w:rPr>
              <w:t>punktam</w:t>
            </w:r>
            <w:r w:rsidRPr="00D95B3D" w:rsidR="006108AB">
              <w:rPr>
                <w:rFonts w:ascii="Times New Roman" w:eastAsia="Times New Roman" w:hAnsi="Times New Roman" w:cs="Times New Roman"/>
                <w:sz w:val="28"/>
                <w:szCs w:val="28"/>
                <w:lang w:eastAsia="lv-LV"/>
              </w:rPr>
              <w:t xml:space="preserve"> </w:t>
            </w:r>
            <w:r w:rsidRPr="00D95B3D" w:rsidR="006108AB">
              <w:rPr>
                <w:rFonts w:ascii="Times New Roman" w:eastAsia="Times New Roman" w:hAnsi="Times New Roman" w:cs="Times New Roman"/>
                <w:bCs/>
                <w:sz w:val="28"/>
                <w:szCs w:val="28"/>
                <w:shd w:val="clear" w:color="auto" w:fill="FFFFFF"/>
                <w:lang w:eastAsia="lv-LV"/>
              </w:rPr>
              <w:t>sportists</w:t>
            </w:r>
            <w:r w:rsidRPr="00D95B3D" w:rsidR="006108AB">
              <w:rPr>
                <w:rFonts w:ascii="Times New Roman" w:eastAsia="Times New Roman" w:hAnsi="Times New Roman" w:cs="Times New Roman"/>
                <w:bCs/>
                <w:sz w:val="28"/>
                <w:szCs w:val="28"/>
                <w:lang w:eastAsia="lv-LV"/>
              </w:rPr>
              <w:t> </w:t>
            </w:r>
            <w:r w:rsidRPr="00D95B3D" w:rsidR="006108AB">
              <w:rPr>
                <w:rFonts w:ascii="Times New Roman" w:eastAsia="Times New Roman" w:hAnsi="Times New Roman" w:cs="Times New Roman"/>
                <w:sz w:val="28"/>
                <w:szCs w:val="28"/>
                <w:lang w:eastAsia="lv-LV"/>
              </w:rPr>
              <w:t xml:space="preserve">ir </w:t>
            </w:r>
            <w:r w:rsidRPr="00D95B3D" w:rsidR="006108AB">
              <w:rPr>
                <w:rFonts w:ascii="Times New Roman" w:eastAsia="Times New Roman" w:hAnsi="Times New Roman" w:cs="Times New Roman"/>
                <w:sz w:val="28"/>
                <w:szCs w:val="28"/>
                <w:shd w:val="clear" w:color="auto" w:fill="FFFFFF"/>
                <w:lang w:eastAsia="lv-LV"/>
              </w:rPr>
              <w:t>fiziskā persona, kas nodarbojas ar sportu un piedalās sporta sacensībās</w:t>
            </w:r>
            <w:r w:rsidRPr="00D95B3D" w:rsidR="00BB7994">
              <w:rPr>
                <w:rFonts w:ascii="Times New Roman" w:eastAsia="Times New Roman" w:hAnsi="Times New Roman" w:cs="Times New Roman"/>
                <w:sz w:val="28"/>
                <w:szCs w:val="28"/>
                <w:shd w:val="clear" w:color="auto" w:fill="FFFFFF"/>
                <w:lang w:eastAsia="lv-LV"/>
              </w:rPr>
              <w:t xml:space="preserve">, tādējādi </w:t>
            </w:r>
            <w:r w:rsidRPr="00D95B3D" w:rsidR="00BB7994">
              <w:rPr>
                <w:rFonts w:ascii="Times New Roman" w:eastAsia="Times New Roman" w:hAnsi="Times New Roman" w:cs="Times New Roman"/>
                <w:sz w:val="28"/>
                <w:szCs w:val="28"/>
                <w:u w:val="single"/>
                <w:shd w:val="clear" w:color="auto" w:fill="FFFFFF"/>
                <w:lang w:eastAsia="lv-LV"/>
              </w:rPr>
              <w:t>nepilngadīgs spo</w:t>
            </w:r>
            <w:r w:rsidRPr="00804CC4" w:rsidR="00BB7994">
              <w:rPr>
                <w:rFonts w:ascii="Times New Roman" w:eastAsia="Times New Roman" w:hAnsi="Times New Roman" w:cs="Times New Roman"/>
                <w:sz w:val="28"/>
                <w:szCs w:val="28"/>
                <w:u w:val="single"/>
                <w:shd w:val="clear" w:color="auto" w:fill="FFFFFF"/>
                <w:lang w:eastAsia="lv-LV"/>
              </w:rPr>
              <w:t>rtists ir sportists vecumā līdz 18 gadiem, kas nodarbojas ar sportu un piedalās sacensībās.</w:t>
            </w:r>
            <w:r w:rsidRPr="00804CC4" w:rsidR="006108AB">
              <w:rPr>
                <w:rFonts w:ascii="Times New Roman" w:hAnsi="Times New Roman" w:cs="Times New Roman"/>
                <w:sz w:val="28"/>
                <w:szCs w:val="28"/>
                <w:shd w:val="clear" w:color="auto" w:fill="FFFFFF"/>
              </w:rPr>
              <w:t xml:space="preserve"> Savukārt </w:t>
            </w:r>
            <w:r w:rsidRPr="00804CC4" w:rsidR="006108AB">
              <w:rPr>
                <w:rFonts w:ascii="Times New Roman" w:eastAsia="Times New Roman" w:hAnsi="Times New Roman" w:cs="Times New Roman"/>
                <w:sz w:val="28"/>
                <w:szCs w:val="28"/>
                <w:u w:val="single"/>
                <w:lang w:eastAsia="lv-LV"/>
              </w:rPr>
              <w:t xml:space="preserve">bērns ar paaugstinātu fizisko </w:t>
            </w:r>
            <w:r w:rsidRPr="00804CC4" w:rsidR="006108AB">
              <w:rPr>
                <w:rFonts w:ascii="Times New Roman" w:eastAsia="Times New Roman" w:hAnsi="Times New Roman" w:cs="Times New Roman"/>
                <w:sz w:val="28"/>
                <w:szCs w:val="28"/>
                <w:u w:val="single"/>
                <w:lang w:eastAsia="lv-LV"/>
              </w:rPr>
              <w:t>slodzi</w:t>
            </w:r>
            <w:r w:rsidRPr="00804CC4" w:rsidR="00BB7994">
              <w:rPr>
                <w:rFonts w:ascii="Times New Roman" w:eastAsia="Times New Roman" w:hAnsi="Times New Roman" w:cs="Times New Roman"/>
                <w:sz w:val="28"/>
                <w:szCs w:val="28"/>
                <w:u w:val="single"/>
                <w:lang w:eastAsia="lv-LV"/>
              </w:rPr>
              <w:t xml:space="preserve"> ir bērns, kas </w:t>
            </w:r>
            <w:r w:rsidRPr="00804CC4" w:rsidR="00BB7994">
              <w:rPr>
                <w:rFonts w:ascii="Times New Roman" w:hAnsi="Times New Roman" w:cs="Times New Roman"/>
                <w:sz w:val="28"/>
                <w:szCs w:val="28"/>
                <w:u w:val="single"/>
                <w:shd w:val="clear" w:color="auto" w:fill="FFFFFF"/>
              </w:rPr>
              <w:t>apgūst profesionālās ievirzes sporta izglītības programmu un nepiedalās sporta sacensībās</w:t>
            </w:r>
            <w:r w:rsidRPr="00804CC4" w:rsidR="00BB7994">
              <w:rPr>
                <w:rFonts w:ascii="Times New Roman" w:hAnsi="Times New Roman" w:cs="Times New Roman"/>
                <w:sz w:val="28"/>
                <w:szCs w:val="28"/>
                <w:shd w:val="clear" w:color="auto" w:fill="FFFFFF"/>
              </w:rPr>
              <w:t xml:space="preserve"> </w:t>
            </w:r>
            <w:r w:rsidRPr="00804CC4" w:rsidR="00BB7994">
              <w:rPr>
                <w:rFonts w:ascii="Times New Roman" w:eastAsia="Times New Roman" w:hAnsi="Times New Roman" w:cs="Times New Roman"/>
                <w:sz w:val="28"/>
                <w:szCs w:val="28"/>
                <w:lang w:eastAsia="lv-LV"/>
              </w:rPr>
              <w:t>saskaņā ar</w:t>
            </w:r>
            <w:r w:rsidRPr="00804CC4" w:rsidR="006108AB">
              <w:rPr>
                <w:rFonts w:ascii="Times New Roman" w:eastAsia="Times New Roman" w:hAnsi="Times New Roman" w:cs="Times New Roman"/>
                <w:sz w:val="28"/>
                <w:szCs w:val="28"/>
                <w:lang w:eastAsia="lv-LV"/>
              </w:rPr>
              <w:t xml:space="preserve"> </w:t>
            </w:r>
            <w:r w:rsidRPr="00804CC4" w:rsidR="006108AB">
              <w:rPr>
                <w:rFonts w:ascii="Times New Roman" w:eastAsia="Times New Roman" w:hAnsi="Times New Roman" w:cs="Times New Roman"/>
                <w:bCs/>
                <w:sz w:val="28"/>
                <w:szCs w:val="28"/>
                <w:lang w:eastAsia="lv-LV"/>
              </w:rPr>
              <w:t xml:space="preserve">Ministru kabineta </w:t>
            </w:r>
            <w:r w:rsidRPr="00804CC4" w:rsidR="00BB7994">
              <w:rPr>
                <w:rFonts w:ascii="Times New Roman" w:eastAsia="Times New Roman" w:hAnsi="Times New Roman" w:cs="Times New Roman"/>
                <w:sz w:val="28"/>
                <w:szCs w:val="28"/>
                <w:lang w:eastAsia="lv-LV"/>
              </w:rPr>
              <w:t>2016. gada 6. </w:t>
            </w:r>
            <w:r w:rsidRPr="00804CC4" w:rsidR="006108AB">
              <w:rPr>
                <w:rFonts w:ascii="Times New Roman" w:eastAsia="Times New Roman" w:hAnsi="Times New Roman" w:cs="Times New Roman"/>
                <w:sz w:val="28"/>
                <w:szCs w:val="28"/>
                <w:lang w:eastAsia="lv-LV"/>
              </w:rPr>
              <w:t xml:space="preserve">septembra </w:t>
            </w:r>
            <w:r w:rsidRPr="00804CC4" w:rsidR="006108AB">
              <w:rPr>
                <w:rFonts w:ascii="Times New Roman" w:eastAsia="Times New Roman" w:hAnsi="Times New Roman" w:cs="Times New Roman"/>
                <w:bCs/>
                <w:sz w:val="28"/>
                <w:szCs w:val="28"/>
                <w:lang w:eastAsia="lv-LV"/>
              </w:rPr>
              <w:t>noteikumu Nr. 594</w:t>
            </w:r>
            <w:r w:rsidRPr="00804CC4" w:rsidR="006108AB">
              <w:rPr>
                <w:rFonts w:ascii="Times New Roman" w:eastAsia="Times New Roman" w:hAnsi="Times New Roman" w:cs="Times New Roman"/>
                <w:sz w:val="28"/>
                <w:szCs w:val="28"/>
                <w:lang w:eastAsia="lv-LV"/>
              </w:rPr>
              <w:t> </w:t>
            </w:r>
            <w:r w:rsidRPr="00804CC4" w:rsidR="006108AB">
              <w:rPr>
                <w:rFonts w:ascii="Times New Roman" w:eastAsia="Times New Roman" w:hAnsi="Times New Roman" w:cs="Times New Roman"/>
                <w:bCs/>
                <w:sz w:val="28"/>
                <w:szCs w:val="28"/>
                <w:lang w:eastAsia="lv-LV"/>
              </w:rPr>
              <w:t>"Sportistu un bērnu ar paaugstinātu fizisko slodzi veselības aprūpes un medicīniskās uzraudzības kārtība"</w:t>
            </w:r>
            <w:r w:rsidRPr="00804CC4" w:rsidR="00BB7994">
              <w:rPr>
                <w:rFonts w:ascii="Times New Roman" w:eastAsia="Times New Roman" w:hAnsi="Times New Roman" w:cs="Times New Roman"/>
                <w:bCs/>
                <w:sz w:val="28"/>
                <w:szCs w:val="28"/>
                <w:lang w:eastAsia="lv-LV"/>
              </w:rPr>
              <w:t xml:space="preserve"> 2. pantu.  </w:t>
            </w:r>
            <w:r w:rsidRPr="00804CC4">
              <w:rPr>
                <w:rFonts w:ascii="Times New Roman" w:hAnsi="Times New Roman" w:cs="Times New Roman"/>
                <w:sz w:val="28"/>
                <w:szCs w:val="28"/>
              </w:rPr>
              <w:t xml:space="preserve">Vēršam uzmanību, ka </w:t>
            </w:r>
            <w:r w:rsidRPr="00804CC4">
              <w:rPr>
                <w:rFonts w:ascii="Times New Roman" w:eastAsia="Times New Roman" w:hAnsi="Times New Roman" w:cs="Times New Roman"/>
                <w:sz w:val="28"/>
                <w:szCs w:val="28"/>
                <w:lang w:eastAsia="lv-LV"/>
              </w:rPr>
              <w:t>sportistu līdz 18 gadu vecum</w:t>
            </w:r>
            <w:r w:rsidRPr="00804CC4">
              <w:rPr>
                <w:rFonts w:ascii="Times New Roman" w:eastAsia="Times New Roman" w:hAnsi="Times New Roman" w:cs="Times New Roman"/>
                <w:color w:val="000000"/>
                <w:sz w:val="28"/>
                <w:szCs w:val="28"/>
                <w:lang w:eastAsia="lv-LV"/>
              </w:rPr>
              <w:t>am un bērnu</w:t>
            </w:r>
            <w:r w:rsidRPr="00FA0C5E">
              <w:rPr>
                <w:rFonts w:ascii="Times New Roman" w:eastAsia="Times New Roman" w:hAnsi="Times New Roman" w:cs="Times New Roman"/>
                <w:color w:val="000000"/>
                <w:sz w:val="28"/>
                <w:szCs w:val="28"/>
                <w:lang w:eastAsia="lv-LV"/>
              </w:rPr>
              <w:t xml:space="preserve"> ar paaugstinātu fizisko </w:t>
            </w:r>
            <w:r w:rsidRPr="004E57B8">
              <w:rPr>
                <w:rFonts w:ascii="Times New Roman" w:eastAsia="Times New Roman" w:hAnsi="Times New Roman" w:cs="Times New Roman"/>
                <w:sz w:val="28"/>
                <w:szCs w:val="28"/>
                <w:lang w:eastAsia="lv-LV"/>
              </w:rPr>
              <w:t>slodzi veselības aprūpi nodrošinās no veselības aprūpei paredzētiem valsts budžeta līdzekļiem, savukārt sportistu pēc 18 gadu vecuma veselības aprūpi un medicīnisko uzraudzību tāpat kā līdz šim īstenos kā maksas pakalpojumu jebkura ārstniecības iestāde, kura nodrošina attiecīgos pakalpojumu</w:t>
            </w:r>
            <w:r w:rsidRPr="004E57B8" w:rsidR="00FA0C5E">
              <w:rPr>
                <w:rFonts w:ascii="Times New Roman" w:eastAsia="Times New Roman" w:hAnsi="Times New Roman" w:cs="Times New Roman"/>
                <w:sz w:val="28"/>
                <w:szCs w:val="28"/>
                <w:lang w:eastAsia="lv-LV"/>
              </w:rPr>
              <w:t>s.</w:t>
            </w:r>
            <w:r w:rsidRPr="004E57B8">
              <w:rPr>
                <w:rFonts w:ascii="Times New Roman" w:eastAsia="Times New Roman" w:hAnsi="Times New Roman" w:cs="Times New Roman"/>
                <w:sz w:val="28"/>
                <w:szCs w:val="28"/>
                <w:lang w:eastAsia="lv-LV"/>
              </w:rPr>
              <w:t xml:space="preserve"> </w:t>
            </w:r>
            <w:r w:rsidRPr="004E57B8">
              <w:rPr>
                <w:rFonts w:ascii="Times New Roman" w:hAnsi="Times New Roman" w:cs="Times New Roman"/>
                <w:sz w:val="28"/>
                <w:szCs w:val="28"/>
                <w:shd w:val="clear" w:color="auto" w:fill="FFFFFF"/>
              </w:rPr>
              <w:t>Ņemot vērā to, ka ar fizisko attīstību un fizisko sagatavotību saistīto datu apkopošana un analīze tiek veikta, pamatojoties uz rezultātiem pēc sportistiem un bērniem ar paaugstinātu fizisko slodzi veiktās veselības aprūpes un medicīniskās uzraudzības, nevis tiek īstenota datu apkopošana par visu iedzīvotāju fizisko attīstību un fizisko sagatavotību, nepieciešams precizēt Sporta likuma 6.</w:t>
            </w:r>
            <w:r w:rsidRPr="004E57B8" w:rsidR="0022013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panta piektās daļas 1</w:t>
            </w:r>
            <w:r w:rsidRPr="004E57B8">
              <w:rPr>
                <w:rFonts w:ascii="Times New Roman" w:hAnsi="Times New Roman" w:cs="Times New Roman"/>
                <w:sz w:val="28"/>
                <w:szCs w:val="28"/>
                <w:shd w:val="clear" w:color="auto" w:fill="FFFFFF"/>
              </w:rPr>
              <w:t>.</w:t>
            </w:r>
            <w:r w:rsidRPr="004E57B8" w:rsidR="0022013F">
              <w:rPr>
                <w:rFonts w:ascii="Times New Roman" w:hAnsi="Times New Roman" w:cs="Times New Roman"/>
                <w:sz w:val="28"/>
                <w:szCs w:val="28"/>
                <w:shd w:val="clear" w:color="auto" w:fill="FFFFFF"/>
              </w:rPr>
              <w:t> </w:t>
            </w:r>
            <w:r w:rsidRPr="004E57B8">
              <w:rPr>
                <w:rFonts w:ascii="Times New Roman" w:hAnsi="Times New Roman" w:cs="Times New Roman"/>
                <w:sz w:val="28"/>
                <w:szCs w:val="28"/>
                <w:shd w:val="clear" w:color="auto" w:fill="FFFFFF"/>
              </w:rPr>
              <w:t xml:space="preserve">apakšpunktu, precizējot </w:t>
            </w:r>
            <w:r w:rsidRPr="007B0633">
              <w:rPr>
                <w:rFonts w:ascii="Times New Roman" w:hAnsi="Times New Roman" w:cs="Times New Roman"/>
                <w:sz w:val="28"/>
                <w:szCs w:val="28"/>
                <w:shd w:val="clear" w:color="auto" w:fill="FFFFFF"/>
              </w:rPr>
              <w:t>personu loku, par kurām tiek veikta datu apkopošana un analīze saistībā ar fizisko attīstību un fizisko sagatavotību.</w:t>
            </w:r>
            <w:r w:rsidRPr="007B0633">
              <w:rPr>
                <w:rFonts w:ascii="Times New Roman" w:hAnsi="Times New Roman" w:cs="Times New Roman"/>
                <w:sz w:val="28"/>
                <w:szCs w:val="28"/>
              </w:rPr>
              <w:t xml:space="preserve"> </w:t>
            </w:r>
          </w:p>
          <w:p w:rsidR="005247CA" w:rsidRPr="007B0633" w:rsidP="005247CA" w14:paraId="4829A4DB" w14:textId="77777777">
            <w:pPr>
              <w:pStyle w:val="NoSpacing"/>
              <w:jc w:val="both"/>
              <w:rPr>
                <w:sz w:val="28"/>
                <w:szCs w:val="28"/>
                <w:lang w:val="lv-LV"/>
              </w:rPr>
            </w:pPr>
          </w:p>
          <w:p w:rsidR="00D07A33" w:rsidRPr="007B0633" w:rsidP="00D07A33" w14:paraId="6217D777" w14:textId="784E3AF7">
            <w:pPr>
              <w:spacing w:after="0" w:line="240" w:lineRule="auto"/>
              <w:jc w:val="both"/>
              <w:rPr>
                <w:rFonts w:ascii="Times New Roman" w:hAnsi="Times New Roman" w:cs="Times New Roman"/>
                <w:sz w:val="28"/>
                <w:szCs w:val="28"/>
              </w:rPr>
            </w:pPr>
            <w:r w:rsidRPr="00CD4FCD">
              <w:rPr>
                <w:rFonts w:ascii="Times New Roman" w:hAnsi="Times New Roman" w:cs="Times New Roman"/>
                <w:bCs/>
                <w:sz w:val="28"/>
                <w:szCs w:val="28"/>
              </w:rPr>
              <w:t xml:space="preserve">Vienlaikus tiek svītrots </w:t>
            </w:r>
            <w:r w:rsidRPr="00CD4FCD" w:rsidR="00EE128C">
              <w:rPr>
                <w:rFonts w:ascii="Times New Roman" w:hAnsi="Times New Roman" w:cs="Times New Roman"/>
                <w:sz w:val="28"/>
                <w:szCs w:val="28"/>
              </w:rPr>
              <w:t>6. panta</w:t>
            </w:r>
            <w:r w:rsidRPr="00CD4FCD" w:rsidR="00B24D1A">
              <w:rPr>
                <w:rFonts w:ascii="Times New Roman" w:hAnsi="Times New Roman" w:cs="Times New Roman"/>
                <w:sz w:val="28"/>
                <w:szCs w:val="28"/>
              </w:rPr>
              <w:t xml:space="preserve"> piektās daļas 4.</w:t>
            </w:r>
            <w:r w:rsidRPr="00CD4FCD" w:rsidR="00FF205C">
              <w:rPr>
                <w:rFonts w:ascii="Times New Roman" w:hAnsi="Times New Roman" w:cs="Times New Roman"/>
                <w:sz w:val="28"/>
                <w:szCs w:val="28"/>
              </w:rPr>
              <w:t> </w:t>
            </w:r>
            <w:r w:rsidRPr="00CD4FCD" w:rsidR="00B24D1A">
              <w:rPr>
                <w:rFonts w:ascii="Times New Roman" w:hAnsi="Times New Roman" w:cs="Times New Roman"/>
                <w:sz w:val="28"/>
                <w:szCs w:val="28"/>
              </w:rPr>
              <w:t xml:space="preserve">apakšpunkts, jo </w:t>
            </w:r>
            <w:r w:rsidRPr="00CD4FCD">
              <w:rPr>
                <w:rFonts w:ascii="Times New Roman" w:hAnsi="Times New Roman" w:cs="Times New Roman"/>
                <w:sz w:val="28"/>
                <w:szCs w:val="28"/>
              </w:rPr>
              <w:t>minētā kompetence ir noteikta likumprojekta 6. pa</w:t>
            </w:r>
            <w:r w:rsidR="00804CC4">
              <w:rPr>
                <w:rFonts w:ascii="Times New Roman" w:hAnsi="Times New Roman" w:cs="Times New Roman"/>
                <w:sz w:val="28"/>
                <w:szCs w:val="28"/>
              </w:rPr>
              <w:t>nta piektās daļas 3. apakšpunktā.</w:t>
            </w:r>
          </w:p>
          <w:p w:rsidR="00304440" w:rsidRPr="007B0633" w:rsidP="00304440" w14:paraId="3E8AA2D8" w14:textId="7C36B010">
            <w:pPr>
              <w:spacing w:after="0" w:line="240" w:lineRule="auto"/>
              <w:jc w:val="both"/>
              <w:rPr>
                <w:rFonts w:ascii="Times New Roman" w:hAnsi="Times New Roman" w:cs="Times New Roman"/>
                <w:sz w:val="28"/>
                <w:szCs w:val="28"/>
              </w:rPr>
            </w:pPr>
            <w:r w:rsidRPr="007B0633">
              <w:rPr>
                <w:rFonts w:ascii="Times New Roman" w:hAnsi="Times New Roman" w:cs="Times New Roman"/>
                <w:sz w:val="28"/>
                <w:szCs w:val="28"/>
              </w:rPr>
              <w:t xml:space="preserve"> </w:t>
            </w:r>
          </w:p>
          <w:p w:rsidR="00D07A33" w:rsidRPr="008A2411" w:rsidP="00D640D6" w14:paraId="15B359D6" w14:textId="692EDCC6">
            <w:pPr>
              <w:spacing w:after="0" w:line="240" w:lineRule="auto"/>
              <w:jc w:val="both"/>
              <w:rPr>
                <w:rFonts w:ascii="Times New Roman" w:eastAsia="Times New Roman" w:hAnsi="Times New Roman" w:cs="Times New Roman"/>
                <w:sz w:val="28"/>
                <w:szCs w:val="28"/>
                <w:lang w:eastAsia="lv-LV"/>
              </w:rPr>
            </w:pPr>
            <w:r w:rsidRPr="007B0633">
              <w:rPr>
                <w:rFonts w:ascii="Times New Roman" w:eastAsia="Times New Roman" w:hAnsi="Times New Roman" w:cs="Times New Roman"/>
                <w:sz w:val="28"/>
                <w:szCs w:val="28"/>
                <w:lang w:eastAsia="lv-LV"/>
              </w:rPr>
              <w:t>Tāpat</w:t>
            </w:r>
            <w:r w:rsidRPr="007B0633" w:rsidR="00D640D6">
              <w:rPr>
                <w:rFonts w:ascii="Times New Roman" w:eastAsia="Times New Roman" w:hAnsi="Times New Roman" w:cs="Times New Roman"/>
                <w:sz w:val="28"/>
                <w:szCs w:val="28"/>
                <w:lang w:eastAsia="lv-LV"/>
              </w:rPr>
              <w:t xml:space="preserve"> likumprojekts paredz</w:t>
            </w:r>
            <w:r w:rsidRPr="007B0633">
              <w:rPr>
                <w:rFonts w:ascii="Times New Roman" w:eastAsia="Times New Roman" w:hAnsi="Times New Roman" w:cs="Times New Roman"/>
                <w:sz w:val="28"/>
                <w:szCs w:val="28"/>
                <w:lang w:eastAsia="lv-LV"/>
              </w:rPr>
              <w:t xml:space="preserve"> 18. panta otrā daļā svītrot frāzi “</w:t>
            </w:r>
            <w:r w:rsidRPr="007B0633">
              <w:rPr>
                <w:rFonts w:ascii="Times New Roman" w:hAnsi="Times New Roman" w:cs="Times New Roman"/>
                <w:sz w:val="28"/>
                <w:szCs w:val="28"/>
                <w:shd w:val="clear" w:color="auto" w:fill="FFFFFF"/>
              </w:rPr>
              <w:t>piedaloties</w:t>
            </w:r>
            <w:r w:rsidRPr="00562D04">
              <w:rPr>
                <w:rFonts w:ascii="Times New Roman" w:hAnsi="Times New Roman" w:cs="Times New Roman"/>
                <w:sz w:val="28"/>
                <w:szCs w:val="28"/>
                <w:shd w:val="clear" w:color="auto" w:fill="FFFFFF"/>
              </w:rPr>
              <w:t xml:space="preserve"> sporta sacensībās” un noteikt, ka</w:t>
            </w:r>
            <w:r w:rsidRPr="00562D04" w:rsidR="00D640D6">
              <w:rPr>
                <w:rFonts w:ascii="Times New Roman" w:eastAsia="Times New Roman" w:hAnsi="Times New Roman" w:cs="Times New Roman"/>
                <w:sz w:val="28"/>
                <w:szCs w:val="28"/>
                <w:lang w:eastAsia="lv-LV"/>
              </w:rPr>
              <w:t xml:space="preserve"> </w:t>
            </w:r>
            <w:r w:rsidRPr="00562D04">
              <w:rPr>
                <w:rFonts w:ascii="Times New Roman" w:hAnsi="Times New Roman" w:cs="Times New Roman"/>
                <w:sz w:val="28"/>
                <w:szCs w:val="28"/>
                <w:shd w:val="clear" w:color="auto" w:fill="FFFFFF"/>
              </w:rPr>
              <w:t xml:space="preserve">sportista pienākums (gan startējot sacensībās, gan </w:t>
            </w:r>
            <w:r w:rsidRPr="00562D04">
              <w:rPr>
                <w:rFonts w:ascii="Times New Roman" w:hAnsi="Times New Roman" w:cs="Times New Roman"/>
                <w:sz w:val="28"/>
                <w:szCs w:val="28"/>
                <w:shd w:val="clear" w:color="auto" w:fill="FFFFFF"/>
              </w:rPr>
              <w:t>starpsacensību</w:t>
            </w:r>
            <w:r w:rsidRPr="00562D04">
              <w:rPr>
                <w:rFonts w:ascii="Times New Roman" w:hAnsi="Times New Roman" w:cs="Times New Roman"/>
                <w:sz w:val="28"/>
                <w:szCs w:val="28"/>
                <w:shd w:val="clear" w:color="auto" w:fill="FFFFFF"/>
              </w:rPr>
              <w:t xml:space="preserve"> periodā utt.) ir ievērot starptautisko un Latvijā atzīto sporta federāciju noteikumus, sporta ētikas un godīgas spēles principus, antidopinga konvenciju</w:t>
            </w:r>
            <w:r>
              <w:rPr>
                <w:rStyle w:val="FootnoteReference"/>
                <w:sz w:val="28"/>
                <w:szCs w:val="28"/>
              </w:rPr>
              <w:footnoteReference w:id="9"/>
            </w:r>
            <w:r w:rsidRPr="00562D04">
              <w:rPr>
                <w:rFonts w:ascii="Times New Roman" w:hAnsi="Times New Roman" w:cs="Times New Roman"/>
                <w:sz w:val="28"/>
                <w:szCs w:val="28"/>
                <w:shd w:val="clear" w:color="auto" w:fill="FFFFFF"/>
              </w:rPr>
              <w:t xml:space="preserve"> </w:t>
            </w:r>
            <w:r w:rsidRPr="008A2411">
              <w:rPr>
                <w:rFonts w:ascii="Times New Roman" w:hAnsi="Times New Roman" w:cs="Times New Roman"/>
                <w:sz w:val="28"/>
                <w:szCs w:val="28"/>
                <w:shd w:val="clear" w:color="auto" w:fill="FFFFFF"/>
              </w:rPr>
              <w:t>noteikumus, kā arī normatīvos aktus.</w:t>
            </w:r>
          </w:p>
          <w:p w:rsidR="00D07A33" w:rsidRPr="008A2411" w:rsidP="00D640D6" w14:paraId="4478314E" w14:textId="77777777">
            <w:pPr>
              <w:spacing w:after="0" w:line="240" w:lineRule="auto"/>
              <w:jc w:val="both"/>
              <w:rPr>
                <w:rFonts w:ascii="Times New Roman" w:eastAsia="Times New Roman" w:hAnsi="Times New Roman" w:cs="Times New Roman"/>
                <w:sz w:val="28"/>
                <w:szCs w:val="28"/>
                <w:lang w:eastAsia="lv-LV"/>
              </w:rPr>
            </w:pPr>
          </w:p>
          <w:p w:rsidR="007D7227" w:rsidRPr="008A2411" w:rsidP="00A451D2" w14:paraId="3A663B5A" w14:textId="511DDB09">
            <w:pPr>
              <w:spacing w:after="0" w:line="240" w:lineRule="auto"/>
              <w:jc w:val="both"/>
              <w:rPr>
                <w:rFonts w:ascii="Times New Roman" w:hAnsi="Times New Roman" w:cs="Times New Roman"/>
                <w:sz w:val="28"/>
                <w:szCs w:val="28"/>
              </w:rPr>
            </w:pPr>
            <w:r w:rsidRPr="008A2411">
              <w:rPr>
                <w:rFonts w:ascii="Times New Roman" w:hAnsi="Times New Roman" w:cs="Times New Roman"/>
                <w:sz w:val="28"/>
                <w:szCs w:val="28"/>
              </w:rPr>
              <w:t>Ņemot vērā Pasaules Antidopinga kodeksu</w:t>
            </w:r>
            <w:r>
              <w:rPr>
                <w:rFonts w:ascii="Times New Roman" w:hAnsi="Times New Roman" w:cs="Times New Roman"/>
                <w:sz w:val="28"/>
                <w:szCs w:val="28"/>
                <w:vertAlign w:val="superscript"/>
              </w:rPr>
              <w:footnoteReference w:id="10"/>
            </w:r>
            <w:r w:rsidRPr="008A2411">
              <w:rPr>
                <w:rFonts w:ascii="Times New Roman" w:hAnsi="Times New Roman" w:cs="Times New Roman"/>
                <w:sz w:val="28"/>
                <w:szCs w:val="28"/>
              </w:rPr>
              <w:t xml:space="preserve"> tiek </w:t>
            </w:r>
            <w:r w:rsidRPr="00615B62">
              <w:rPr>
                <w:rFonts w:ascii="Times New Roman" w:hAnsi="Times New Roman" w:cs="Times New Roman"/>
                <w:sz w:val="28"/>
                <w:szCs w:val="28"/>
              </w:rPr>
              <w:t xml:space="preserve">papildināts 13. pants ar septīto daļu, nosakot, </w:t>
            </w:r>
            <w:r w:rsidRPr="00615B62" w:rsidR="00615B62">
              <w:rPr>
                <w:rFonts w:ascii="Times New Roman" w:hAnsi="Times New Roman" w:cs="Times New Roman"/>
                <w:bCs/>
                <w:sz w:val="28"/>
                <w:szCs w:val="28"/>
              </w:rPr>
              <w:t>j</w:t>
            </w:r>
            <w:r w:rsidRPr="00615B62" w:rsidR="000B6AE9">
              <w:rPr>
                <w:rFonts w:ascii="Times New Roman" w:hAnsi="Times New Roman" w:cs="Times New Roman"/>
                <w:bCs/>
                <w:sz w:val="28"/>
                <w:szCs w:val="28"/>
              </w:rPr>
              <w:t>a sportists, sporta speciālists, sporta darbinieks vai sporta organizācija nepilda šajā likumā, citos normatīvajos aktos</w:t>
            </w:r>
            <w:r w:rsidRPr="00615B62" w:rsidR="00114E5D">
              <w:rPr>
                <w:rFonts w:ascii="Times New Roman" w:hAnsi="Times New Roman" w:cs="Times New Roman"/>
                <w:bCs/>
                <w:sz w:val="28"/>
                <w:szCs w:val="28"/>
              </w:rPr>
              <w:t xml:space="preserve">, </w:t>
            </w:r>
            <w:r w:rsidR="003A438E">
              <w:rPr>
                <w:rFonts w:ascii="Times New Roman" w:hAnsi="Times New Roman" w:cs="Times New Roman"/>
                <w:sz w:val="28"/>
                <w:szCs w:val="28"/>
              </w:rPr>
              <w:t>vienošanās</w:t>
            </w:r>
            <w:r w:rsidRPr="00615B62" w:rsidR="00114E5D">
              <w:rPr>
                <w:rFonts w:ascii="Times New Roman" w:hAnsi="Times New Roman" w:cs="Times New Roman"/>
                <w:bCs/>
                <w:sz w:val="28"/>
                <w:szCs w:val="28"/>
              </w:rPr>
              <w:t xml:space="preserve"> par Nacionālajiem antidopinga noteikumiem</w:t>
            </w:r>
            <w:r w:rsidRPr="00615B62" w:rsidR="000B6AE9">
              <w:rPr>
                <w:rFonts w:ascii="Times New Roman" w:hAnsi="Times New Roman" w:cs="Times New Roman"/>
                <w:bCs/>
                <w:sz w:val="28"/>
                <w:szCs w:val="28"/>
              </w:rPr>
              <w:t xml:space="preserve"> vai līgumā par valsts vai pašvaldību budžeta līdzekļu piešķiršanu noteiktos pienākumus, iestāde, kura piešķīrusi finanšu līdzekļus, līgumā</w:t>
            </w:r>
            <w:r w:rsidR="003A438E">
              <w:rPr>
                <w:rFonts w:ascii="Times New Roman" w:hAnsi="Times New Roman" w:cs="Times New Roman"/>
                <w:bCs/>
                <w:sz w:val="28"/>
                <w:szCs w:val="28"/>
              </w:rPr>
              <w:t xml:space="preserve"> vai </w:t>
            </w:r>
            <w:r w:rsidR="003A438E">
              <w:rPr>
                <w:rFonts w:ascii="Times New Roman" w:hAnsi="Times New Roman" w:cs="Times New Roman"/>
                <w:sz w:val="28"/>
                <w:szCs w:val="28"/>
              </w:rPr>
              <w:t>vienošanās</w:t>
            </w:r>
            <w:r w:rsidRPr="00615B62" w:rsidR="000B6AE9">
              <w:rPr>
                <w:rFonts w:ascii="Times New Roman" w:hAnsi="Times New Roman" w:cs="Times New Roman"/>
                <w:bCs/>
                <w:sz w:val="28"/>
                <w:szCs w:val="28"/>
              </w:rPr>
              <w:t xml:space="preserve"> noteiktā kārtībā lemj par attiecīgajai personai vai sporta organizācijai piešķirto finanšu līdzekļu izmaksas pārtraukšanu vai citu līgumā</w:t>
            </w:r>
            <w:r w:rsidR="003A438E">
              <w:rPr>
                <w:rFonts w:ascii="Times New Roman" w:hAnsi="Times New Roman" w:cs="Times New Roman"/>
                <w:bCs/>
                <w:sz w:val="28"/>
                <w:szCs w:val="28"/>
              </w:rPr>
              <w:t xml:space="preserve"> vai </w:t>
            </w:r>
            <w:r w:rsidR="003A438E">
              <w:rPr>
                <w:rFonts w:ascii="Times New Roman" w:hAnsi="Times New Roman" w:cs="Times New Roman"/>
                <w:sz w:val="28"/>
                <w:szCs w:val="28"/>
              </w:rPr>
              <w:t>vienošanās</w:t>
            </w:r>
            <w:r w:rsidRPr="00615B62" w:rsidR="000B6AE9">
              <w:rPr>
                <w:rFonts w:ascii="Times New Roman" w:hAnsi="Times New Roman" w:cs="Times New Roman"/>
                <w:bCs/>
                <w:sz w:val="28"/>
                <w:szCs w:val="28"/>
              </w:rPr>
              <w:t xml:space="preserve"> paredzēto sankciju piemērošanu. Iestāde, kura piešķīrusi finanšu līdzekļus, nekavējoties </w:t>
            </w:r>
            <w:r w:rsidRPr="00615B62" w:rsidR="000B6AE9">
              <w:rPr>
                <w:rFonts w:ascii="Times New Roman" w:hAnsi="Times New Roman" w:cs="Times New Roman"/>
                <w:sz w:val="28"/>
                <w:szCs w:val="28"/>
                <w:shd w:val="clear" w:color="auto" w:fill="FFFFFF" w:themeFill="background1"/>
              </w:rPr>
              <w:t>lemj par finanšu līdzekļu izmaksas pārtraukšanu</w:t>
            </w:r>
            <w:r w:rsidRPr="00615B62" w:rsidR="000B6AE9">
              <w:rPr>
                <w:rFonts w:ascii="Times New Roman" w:hAnsi="Times New Roman" w:cs="Times New Roman"/>
                <w:bCs/>
                <w:sz w:val="28"/>
                <w:szCs w:val="28"/>
              </w:rPr>
              <w:t>, ja ar kompetentās institūcijas spēkā stājušos nolēmumu konstatēts antidopinga konvenciju</w:t>
            </w:r>
            <w:r>
              <w:rPr>
                <w:rStyle w:val="FootnoteReference"/>
                <w:rFonts w:ascii="Times New Roman" w:hAnsi="Times New Roman" w:cs="Times New Roman"/>
                <w:sz w:val="28"/>
                <w:szCs w:val="28"/>
              </w:rPr>
              <w:footnoteReference w:id="11"/>
            </w:r>
            <w:r w:rsidRPr="00615B62" w:rsidR="000B6AE9">
              <w:rPr>
                <w:rFonts w:ascii="Times New Roman" w:hAnsi="Times New Roman" w:cs="Times New Roman"/>
                <w:bCs/>
                <w:sz w:val="28"/>
                <w:szCs w:val="28"/>
              </w:rPr>
              <w:t xml:space="preserve"> noteikumu pārkāpums vai manipulācijas ar sporta sacensībām</w:t>
            </w:r>
            <w:r w:rsidRPr="008A2411" w:rsidR="000B6AE9">
              <w:rPr>
                <w:rFonts w:ascii="Times New Roman" w:hAnsi="Times New Roman" w:cs="Times New Roman"/>
                <w:bCs/>
                <w:sz w:val="28"/>
                <w:szCs w:val="28"/>
              </w:rPr>
              <w:t>.</w:t>
            </w:r>
          </w:p>
          <w:p w:rsidR="00855578" w:rsidRPr="00FA0C5E" w:rsidP="000B6AE9" w14:paraId="5F183BDB" w14:textId="1BF1C876">
            <w:pPr>
              <w:spacing w:after="0" w:line="240" w:lineRule="auto"/>
              <w:jc w:val="both"/>
              <w:rPr>
                <w:rFonts w:ascii="Times New Roman" w:hAnsi="Times New Roman" w:cs="Times New Roman"/>
                <w:sz w:val="28"/>
                <w:szCs w:val="28"/>
              </w:rPr>
            </w:pPr>
          </w:p>
        </w:tc>
      </w:tr>
      <w:tr w14:paraId="35741F4D"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A0C5E" w:rsidP="00894C55" w14:paraId="55EC7E3E" w14:textId="225CD21F">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A0C5E" w:rsidP="00894C55" w14:paraId="6CB3E8B6" w14:textId="77777777">
            <w:pPr>
              <w:spacing w:after="0" w:line="240" w:lineRule="auto"/>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A0C5E" w:rsidP="00280885" w14:paraId="4CF3864D" w14:textId="1859796D">
            <w:pPr>
              <w:spacing w:after="0" w:line="240" w:lineRule="auto"/>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Veselības ministrija</w:t>
            </w:r>
            <w:r w:rsidRPr="00FA0C5E" w:rsidR="00667D74">
              <w:rPr>
                <w:rFonts w:ascii="Times New Roman" w:eastAsia="Times New Roman" w:hAnsi="Times New Roman" w:cs="Times New Roman"/>
                <w:sz w:val="28"/>
                <w:szCs w:val="28"/>
                <w:lang w:eastAsia="lv-LV"/>
              </w:rPr>
              <w:t xml:space="preserve">, </w:t>
            </w:r>
            <w:r w:rsidRPr="00FA0C5E" w:rsidR="00142294">
              <w:rPr>
                <w:rFonts w:ascii="Times New Roman" w:eastAsia="Times New Roman" w:hAnsi="Times New Roman" w:cs="Times New Roman"/>
                <w:sz w:val="28"/>
                <w:szCs w:val="28"/>
                <w:lang w:eastAsia="lv-LV"/>
              </w:rPr>
              <w:t>VSMC</w:t>
            </w:r>
            <w:r w:rsidR="00EA161B">
              <w:rPr>
                <w:rFonts w:ascii="Times New Roman" w:eastAsia="Times New Roman" w:hAnsi="Times New Roman" w:cs="Times New Roman"/>
                <w:sz w:val="28"/>
                <w:szCs w:val="28"/>
                <w:lang w:eastAsia="lv-LV"/>
              </w:rPr>
              <w:t xml:space="preserve"> un</w:t>
            </w:r>
            <w:r w:rsidR="00A66C26">
              <w:rPr>
                <w:rFonts w:ascii="Times New Roman" w:eastAsia="Times New Roman" w:hAnsi="Times New Roman" w:cs="Times New Roman"/>
                <w:sz w:val="28"/>
                <w:szCs w:val="28"/>
                <w:lang w:eastAsia="lv-LV"/>
              </w:rPr>
              <w:t xml:space="preserve"> Izglītības un zinātnes ministrija</w:t>
            </w:r>
          </w:p>
        </w:tc>
      </w:tr>
      <w:tr w14:paraId="4258F7EE"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FA0C5E" w:rsidP="00894C55" w14:paraId="42E192F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A0C5E" w:rsidP="00894C55" w14:paraId="62CF8D81" w14:textId="77777777">
            <w:pPr>
              <w:spacing w:after="0" w:line="240" w:lineRule="auto"/>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541BF" w:rsidP="00F57B0C" w14:paraId="4F747929" w14:textId="77777777">
            <w:pPr>
              <w:spacing w:before="100" w:beforeAutospacing="1" w:after="100" w:afterAutospacing="1" w:line="293" w:lineRule="atLeast"/>
              <w:rPr>
                <w:rFonts w:ascii="Times New Roman" w:eastAsia="Times New Roman" w:hAnsi="Times New Roman" w:cs="Times New Roman"/>
                <w:sz w:val="28"/>
                <w:szCs w:val="28"/>
                <w:lang w:eastAsia="lv-LV"/>
              </w:rPr>
            </w:pPr>
            <w:r w:rsidRPr="00FA0C5E">
              <w:rPr>
                <w:rFonts w:ascii="Times New Roman" w:eastAsia="Times New Roman" w:hAnsi="Times New Roman" w:cs="Times New Roman"/>
                <w:sz w:val="28"/>
                <w:szCs w:val="28"/>
                <w:lang w:eastAsia="lv-LV"/>
              </w:rPr>
              <w:t>Nav.</w:t>
            </w:r>
          </w:p>
        </w:tc>
      </w:tr>
    </w:tbl>
    <w:p w:rsidR="00792E24" w:rsidRPr="004541BF" w:rsidP="00894C55" w14:paraId="69A4EA24"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2694"/>
        <w:gridCol w:w="5826"/>
      </w:tblGrid>
      <w:tr w14:paraId="0CFA69A1" w14:textId="77777777" w:rsidTr="002438DF">
        <w:tblPrEx>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082" w:type="dxa"/>
            <w:gridSpan w:val="3"/>
            <w:vAlign w:val="center"/>
          </w:tcPr>
          <w:p w:rsidR="002438DF" w:rsidRPr="004541BF" w:rsidP="0090367D" w14:paraId="3E48E15C" w14:textId="77777777">
            <w:pPr>
              <w:spacing w:after="0" w:line="240" w:lineRule="auto"/>
              <w:jc w:val="both"/>
              <w:rPr>
                <w:rFonts w:ascii="Times New Roman" w:hAnsi="Times New Roman"/>
                <w:b/>
                <w:sz w:val="28"/>
                <w:szCs w:val="28"/>
              </w:rPr>
            </w:pPr>
            <w:r w:rsidRPr="004541BF">
              <w:rPr>
                <w:rFonts w:ascii="Times New Roman" w:hAnsi="Times New Roman"/>
                <w:b/>
                <w:sz w:val="28"/>
                <w:szCs w:val="28"/>
              </w:rPr>
              <w:t>II. Tiesību akta projekta ietekme uz sabiedrību, tautsaimniecības attīstību un administratīvo slogu.</w:t>
            </w:r>
          </w:p>
        </w:tc>
      </w:tr>
      <w:tr w14:paraId="23E6C344" w14:textId="77777777" w:rsidTr="002438DF">
        <w:tblPrEx>
          <w:tblW w:w="9082" w:type="dxa"/>
          <w:tblCellMar>
            <w:left w:w="0" w:type="dxa"/>
            <w:right w:w="0" w:type="dxa"/>
          </w:tblCellMar>
          <w:tblLook w:val="0000"/>
        </w:tblPrEx>
        <w:trPr>
          <w:trHeight w:val="467"/>
        </w:trPr>
        <w:tc>
          <w:tcPr>
            <w:tcW w:w="562" w:type="dxa"/>
          </w:tcPr>
          <w:p w:rsidR="002438DF" w:rsidRPr="004541BF" w:rsidP="0090367D" w14:paraId="7DB30BD8" w14:textId="77777777">
            <w:pPr>
              <w:spacing w:after="0" w:line="240" w:lineRule="auto"/>
              <w:jc w:val="both"/>
              <w:rPr>
                <w:rFonts w:ascii="Times New Roman" w:hAnsi="Times New Roman"/>
                <w:sz w:val="28"/>
                <w:szCs w:val="28"/>
              </w:rPr>
            </w:pPr>
            <w:r w:rsidRPr="004541BF">
              <w:rPr>
                <w:rFonts w:ascii="Times New Roman" w:hAnsi="Times New Roman"/>
                <w:sz w:val="28"/>
                <w:szCs w:val="28"/>
              </w:rPr>
              <w:t>1.</w:t>
            </w:r>
          </w:p>
        </w:tc>
        <w:tc>
          <w:tcPr>
            <w:tcW w:w="2694" w:type="dxa"/>
          </w:tcPr>
          <w:p w:rsidR="002438DF" w:rsidRPr="004541BF" w:rsidP="0090367D" w14:paraId="58DA4CD0" w14:textId="77777777">
            <w:pPr>
              <w:spacing w:after="0" w:line="240" w:lineRule="auto"/>
              <w:rPr>
                <w:rFonts w:ascii="Times New Roman" w:hAnsi="Times New Roman"/>
                <w:sz w:val="28"/>
                <w:szCs w:val="28"/>
              </w:rPr>
            </w:pPr>
            <w:r w:rsidRPr="004541BF">
              <w:rPr>
                <w:rFonts w:ascii="Times New Roman" w:hAnsi="Times New Roman"/>
                <w:sz w:val="28"/>
                <w:szCs w:val="28"/>
              </w:rPr>
              <w:t xml:space="preserve">Sabiedrības </w:t>
            </w:r>
            <w:r w:rsidRPr="004541BF">
              <w:rPr>
                <w:rFonts w:ascii="Times New Roman" w:hAnsi="Times New Roman"/>
                <w:sz w:val="28"/>
                <w:szCs w:val="28"/>
              </w:rPr>
              <w:t>mērķgrupas</w:t>
            </w:r>
            <w:r w:rsidRPr="004541BF">
              <w:rPr>
                <w:rFonts w:ascii="Times New Roman" w:hAnsi="Times New Roman"/>
                <w:sz w:val="28"/>
                <w:szCs w:val="28"/>
              </w:rPr>
              <w:t>, kuras tiesiskais regulējums ietekmē vai varētu ietekmēt</w:t>
            </w:r>
          </w:p>
        </w:tc>
        <w:tc>
          <w:tcPr>
            <w:tcW w:w="5826" w:type="dxa"/>
            <w:shd w:val="clear" w:color="auto" w:fill="auto"/>
          </w:tcPr>
          <w:p w:rsidR="00A72769" w:rsidRPr="004541BF" w:rsidP="00DB3DF8" w14:paraId="49C19E67" w14:textId="462B74C0">
            <w:pPr>
              <w:pStyle w:val="akadmij"/>
              <w:framePr w:hSpace="0" w:wrap="auto" w:vAnchor="margin" w:hAnchor="text" w:xAlign="left" w:yAlign="inline"/>
            </w:pPr>
            <w:r w:rsidRPr="004541BF">
              <w:t>VSMC</w:t>
            </w:r>
            <w:r>
              <w:t xml:space="preserve">, </w:t>
            </w:r>
            <w:r w:rsidRPr="004541BF" w:rsidR="006569EB">
              <w:t>Latvijas sportisti un sporta darbinieki</w:t>
            </w:r>
            <w:r w:rsidRPr="004541BF" w:rsidR="00667D74">
              <w:t xml:space="preserve">, kā arī šo personu grupu pārstāvētās nevalstiskās organizācijas </w:t>
            </w:r>
            <w:r w:rsidRPr="004541BF" w:rsidR="00592CE1">
              <w:t>Latvijā</w:t>
            </w:r>
            <w:r w:rsidRPr="004541BF" w:rsidR="00667D74">
              <w:t>,</w:t>
            </w:r>
            <w:r>
              <w:t xml:space="preserve"> t.i. </w:t>
            </w:r>
            <w:r w:rsidR="00A66C26">
              <w:t>Latvijas Ārstu biedrība</w:t>
            </w:r>
            <w:r>
              <w:t xml:space="preserve">, </w:t>
            </w:r>
            <w:r w:rsidRPr="004541BF">
              <w:rPr>
                <w:rFonts w:cs="Times New Roman"/>
                <w:bCs/>
              </w:rPr>
              <w:t xml:space="preserve"> </w:t>
            </w:r>
            <w:r>
              <w:rPr>
                <w:rFonts w:cs="Times New Roman"/>
                <w:bCs/>
              </w:rPr>
              <w:t>biedrība</w:t>
            </w:r>
            <w:r w:rsidRPr="004541BF">
              <w:rPr>
                <w:rFonts w:cs="Times New Roman"/>
                <w:bCs/>
              </w:rPr>
              <w:t xml:space="preserve"> </w:t>
            </w:r>
            <w:r w:rsidRPr="004541BF">
              <w:rPr>
                <w:rFonts w:cs="Times New Roman"/>
              </w:rPr>
              <w:t>"</w:t>
            </w:r>
            <w:r w:rsidRPr="004541BF">
              <w:rPr>
                <w:rFonts w:cs="Times New Roman"/>
                <w:bCs/>
              </w:rPr>
              <w:t>Latvijas Olimpiskā komiteja</w:t>
            </w:r>
            <w:r w:rsidRPr="004541BF">
              <w:rPr>
                <w:rFonts w:cs="Times New Roman"/>
              </w:rPr>
              <w:t>"</w:t>
            </w:r>
            <w:r>
              <w:rPr>
                <w:rFonts w:cs="Times New Roman"/>
                <w:color w:val="000000"/>
              </w:rPr>
              <w:t xml:space="preserve"> un</w:t>
            </w:r>
            <w:r w:rsidRPr="004541BF">
              <w:rPr>
                <w:rFonts w:cs="Times New Roman"/>
                <w:color w:val="000000"/>
              </w:rPr>
              <w:t xml:space="preserve"> </w:t>
            </w:r>
            <w:r w:rsidRPr="004541BF">
              <w:rPr>
                <w:rFonts w:cs="Times New Roman"/>
                <w:bCs/>
              </w:rPr>
              <w:t xml:space="preserve">biedrība </w:t>
            </w:r>
            <w:r w:rsidRPr="004541BF">
              <w:rPr>
                <w:rFonts w:cs="Times New Roman"/>
              </w:rPr>
              <w:t>"</w:t>
            </w:r>
            <w:r w:rsidRPr="004541BF">
              <w:rPr>
                <w:rFonts w:cs="Times New Roman"/>
                <w:bCs/>
              </w:rPr>
              <w:t>Latvijas Sporta federāciju padome</w:t>
            </w:r>
            <w:r>
              <w:rPr>
                <w:rFonts w:cs="Times New Roman"/>
              </w:rPr>
              <w:t>"</w:t>
            </w:r>
          </w:p>
        </w:tc>
      </w:tr>
      <w:tr w14:paraId="632D911A" w14:textId="77777777" w:rsidTr="005F322F">
        <w:tblPrEx>
          <w:tblW w:w="9082" w:type="dxa"/>
          <w:tblCellMar>
            <w:left w:w="0" w:type="dxa"/>
            <w:right w:w="0" w:type="dxa"/>
          </w:tblCellMar>
          <w:tblLook w:val="0000"/>
        </w:tblPrEx>
        <w:trPr>
          <w:trHeight w:val="517"/>
        </w:trPr>
        <w:tc>
          <w:tcPr>
            <w:tcW w:w="562" w:type="dxa"/>
          </w:tcPr>
          <w:p w:rsidR="002438DF" w:rsidRPr="004541BF" w:rsidP="0090367D" w14:paraId="66DDC61E" w14:textId="77777777">
            <w:pPr>
              <w:spacing w:after="0" w:line="240" w:lineRule="auto"/>
              <w:jc w:val="both"/>
              <w:rPr>
                <w:rFonts w:ascii="Times New Roman" w:hAnsi="Times New Roman"/>
                <w:sz w:val="28"/>
                <w:szCs w:val="28"/>
              </w:rPr>
            </w:pPr>
            <w:r w:rsidRPr="004541BF">
              <w:rPr>
                <w:rFonts w:ascii="Times New Roman" w:hAnsi="Times New Roman"/>
                <w:sz w:val="28"/>
                <w:szCs w:val="28"/>
              </w:rPr>
              <w:t>2.</w:t>
            </w:r>
          </w:p>
        </w:tc>
        <w:tc>
          <w:tcPr>
            <w:tcW w:w="2694" w:type="dxa"/>
          </w:tcPr>
          <w:p w:rsidR="002438DF" w:rsidRPr="004541BF" w:rsidP="0090367D" w14:paraId="65065280" w14:textId="77777777">
            <w:pPr>
              <w:spacing w:after="0" w:line="240" w:lineRule="auto"/>
              <w:rPr>
                <w:rFonts w:ascii="Times New Roman" w:hAnsi="Times New Roman"/>
                <w:sz w:val="28"/>
                <w:szCs w:val="28"/>
              </w:rPr>
            </w:pPr>
            <w:r w:rsidRPr="004541BF">
              <w:rPr>
                <w:rFonts w:ascii="Times New Roman" w:hAnsi="Times New Roman"/>
                <w:sz w:val="28"/>
                <w:szCs w:val="28"/>
              </w:rPr>
              <w:t>Tiesiskā regulējuma ietekme uz tautsaimniecību un administratīvo slogu</w:t>
            </w:r>
          </w:p>
        </w:tc>
        <w:tc>
          <w:tcPr>
            <w:tcW w:w="5826" w:type="dxa"/>
            <w:shd w:val="clear" w:color="auto" w:fill="auto"/>
          </w:tcPr>
          <w:p w:rsidR="00B87816" w:rsidRPr="004541BF" w:rsidP="00521185" w14:paraId="6267BC68" w14:textId="77777777">
            <w:pPr>
              <w:spacing w:after="0" w:line="240" w:lineRule="auto"/>
              <w:jc w:val="both"/>
              <w:rPr>
                <w:rFonts w:ascii="Times New Roman" w:hAnsi="Times New Roman"/>
                <w:sz w:val="28"/>
                <w:szCs w:val="28"/>
              </w:rPr>
            </w:pPr>
          </w:p>
          <w:p w:rsidR="009223D4" w:rsidRPr="004541BF" w:rsidP="00521185" w14:paraId="5B555BDF" w14:textId="44D2B49D">
            <w:pPr>
              <w:spacing w:after="0" w:line="240" w:lineRule="auto"/>
              <w:jc w:val="both"/>
              <w:rPr>
                <w:rFonts w:ascii="Times New Roman" w:hAnsi="Times New Roman"/>
                <w:sz w:val="28"/>
                <w:szCs w:val="28"/>
              </w:rPr>
            </w:pPr>
            <w:r w:rsidRPr="004541BF">
              <w:rPr>
                <w:rFonts w:ascii="Times New Roman" w:hAnsi="Times New Roman"/>
                <w:sz w:val="28"/>
                <w:szCs w:val="28"/>
              </w:rPr>
              <w:t>Projekts šo jomu neskar</w:t>
            </w:r>
            <w:r w:rsidRPr="004541BF" w:rsidR="001C6959">
              <w:rPr>
                <w:rFonts w:ascii="Times New Roman" w:hAnsi="Times New Roman"/>
                <w:sz w:val="28"/>
                <w:szCs w:val="28"/>
              </w:rPr>
              <w:t>.</w:t>
            </w:r>
          </w:p>
          <w:p w:rsidR="00934853" w:rsidRPr="004541BF" w:rsidP="00521185" w14:paraId="3E97DE07" w14:textId="1957E0BC">
            <w:pPr>
              <w:spacing w:after="0" w:line="240" w:lineRule="auto"/>
              <w:jc w:val="both"/>
              <w:rPr>
                <w:rFonts w:ascii="Times New Roman" w:hAnsi="Times New Roman" w:cs="Times New Roman"/>
                <w:sz w:val="28"/>
                <w:szCs w:val="28"/>
              </w:rPr>
            </w:pPr>
          </w:p>
        </w:tc>
      </w:tr>
      <w:tr w14:paraId="7AD458F3" w14:textId="77777777" w:rsidTr="002438DF">
        <w:tblPrEx>
          <w:tblW w:w="9082" w:type="dxa"/>
          <w:tblCellMar>
            <w:left w:w="0" w:type="dxa"/>
            <w:right w:w="0" w:type="dxa"/>
          </w:tblCellMar>
          <w:tblLook w:val="0000"/>
        </w:tblPrEx>
        <w:trPr>
          <w:trHeight w:val="357"/>
        </w:trPr>
        <w:tc>
          <w:tcPr>
            <w:tcW w:w="562" w:type="dxa"/>
          </w:tcPr>
          <w:p w:rsidR="002438DF" w:rsidRPr="004541BF" w:rsidP="0090367D" w14:paraId="66247520" w14:textId="77777777">
            <w:pPr>
              <w:spacing w:after="0" w:line="240" w:lineRule="auto"/>
              <w:jc w:val="both"/>
              <w:rPr>
                <w:rFonts w:ascii="Times New Roman" w:hAnsi="Times New Roman"/>
                <w:sz w:val="28"/>
                <w:szCs w:val="28"/>
              </w:rPr>
            </w:pPr>
            <w:r w:rsidRPr="004541BF">
              <w:rPr>
                <w:rFonts w:ascii="Times New Roman" w:hAnsi="Times New Roman"/>
                <w:sz w:val="28"/>
                <w:szCs w:val="28"/>
              </w:rPr>
              <w:t>3.</w:t>
            </w:r>
          </w:p>
        </w:tc>
        <w:tc>
          <w:tcPr>
            <w:tcW w:w="2694" w:type="dxa"/>
          </w:tcPr>
          <w:p w:rsidR="002438DF" w:rsidRPr="004541BF" w:rsidP="0090367D" w14:paraId="1FAE2EEF" w14:textId="77777777">
            <w:pPr>
              <w:spacing w:after="0" w:line="240" w:lineRule="auto"/>
              <w:rPr>
                <w:rFonts w:ascii="Times New Roman" w:hAnsi="Times New Roman"/>
                <w:sz w:val="28"/>
                <w:szCs w:val="28"/>
              </w:rPr>
            </w:pPr>
            <w:r w:rsidRPr="004541BF">
              <w:rPr>
                <w:rFonts w:ascii="Times New Roman" w:hAnsi="Times New Roman"/>
                <w:sz w:val="28"/>
                <w:szCs w:val="28"/>
              </w:rPr>
              <w:t>Administratīvo izmaksu monetārs novērtējums</w:t>
            </w:r>
          </w:p>
        </w:tc>
        <w:tc>
          <w:tcPr>
            <w:tcW w:w="5826" w:type="dxa"/>
          </w:tcPr>
          <w:p w:rsidR="002438DF" w:rsidRPr="004541BF" w:rsidP="0090367D" w14:paraId="784B4649" w14:textId="77777777">
            <w:pPr>
              <w:spacing w:after="0" w:line="240" w:lineRule="auto"/>
              <w:jc w:val="both"/>
              <w:rPr>
                <w:rFonts w:ascii="Times New Roman" w:hAnsi="Times New Roman"/>
                <w:sz w:val="28"/>
                <w:szCs w:val="28"/>
              </w:rPr>
            </w:pPr>
            <w:r w:rsidRPr="004541BF">
              <w:rPr>
                <w:rFonts w:ascii="Times New Roman" w:hAnsi="Times New Roman"/>
                <w:sz w:val="28"/>
                <w:szCs w:val="28"/>
              </w:rPr>
              <w:t>Projekts šo jomu neskar.</w:t>
            </w:r>
          </w:p>
        </w:tc>
      </w:tr>
      <w:tr w14:paraId="5BF0559D" w14:textId="77777777" w:rsidTr="002438DF">
        <w:tblPrEx>
          <w:tblW w:w="9082" w:type="dxa"/>
          <w:tblCellMar>
            <w:left w:w="0" w:type="dxa"/>
            <w:right w:w="0" w:type="dxa"/>
          </w:tblCellMar>
          <w:tblLook w:val="0000"/>
        </w:tblPrEx>
        <w:tc>
          <w:tcPr>
            <w:tcW w:w="562" w:type="dxa"/>
          </w:tcPr>
          <w:p w:rsidR="002438DF" w:rsidRPr="004541BF" w:rsidP="0090367D" w14:paraId="3F655AFD" w14:textId="77777777">
            <w:pPr>
              <w:spacing w:after="0" w:line="240" w:lineRule="auto"/>
              <w:jc w:val="both"/>
              <w:rPr>
                <w:rFonts w:ascii="Times New Roman" w:hAnsi="Times New Roman"/>
                <w:sz w:val="28"/>
                <w:szCs w:val="28"/>
              </w:rPr>
            </w:pPr>
            <w:r w:rsidRPr="004541BF">
              <w:rPr>
                <w:rFonts w:ascii="Times New Roman" w:hAnsi="Times New Roman"/>
                <w:sz w:val="28"/>
                <w:szCs w:val="28"/>
              </w:rPr>
              <w:t>4.</w:t>
            </w:r>
          </w:p>
        </w:tc>
        <w:tc>
          <w:tcPr>
            <w:tcW w:w="2694" w:type="dxa"/>
          </w:tcPr>
          <w:p w:rsidR="002438DF" w:rsidRPr="004541BF" w:rsidP="0090367D" w14:paraId="2E60675D" w14:textId="77777777">
            <w:pPr>
              <w:spacing w:after="0" w:line="240" w:lineRule="auto"/>
              <w:jc w:val="both"/>
              <w:rPr>
                <w:rFonts w:ascii="Times New Roman" w:hAnsi="Times New Roman"/>
                <w:sz w:val="28"/>
                <w:szCs w:val="28"/>
              </w:rPr>
            </w:pPr>
            <w:r w:rsidRPr="004541BF">
              <w:rPr>
                <w:rFonts w:ascii="Times New Roman" w:hAnsi="Times New Roman"/>
                <w:sz w:val="28"/>
                <w:szCs w:val="28"/>
              </w:rPr>
              <w:t>Cita informācija</w:t>
            </w:r>
          </w:p>
        </w:tc>
        <w:tc>
          <w:tcPr>
            <w:tcW w:w="5826" w:type="dxa"/>
          </w:tcPr>
          <w:p w:rsidR="002438DF" w:rsidRPr="004541BF" w:rsidP="0090367D" w14:paraId="436A3141" w14:textId="77777777">
            <w:pPr>
              <w:spacing w:after="0" w:line="240" w:lineRule="auto"/>
              <w:jc w:val="both"/>
              <w:rPr>
                <w:rFonts w:ascii="Times New Roman" w:hAnsi="Times New Roman"/>
                <w:sz w:val="28"/>
                <w:szCs w:val="28"/>
              </w:rPr>
            </w:pPr>
            <w:r w:rsidRPr="004541BF">
              <w:rPr>
                <w:rFonts w:ascii="Times New Roman" w:hAnsi="Times New Roman"/>
                <w:sz w:val="28"/>
                <w:szCs w:val="28"/>
              </w:rPr>
              <w:t>Nav.</w:t>
            </w:r>
          </w:p>
        </w:tc>
      </w:tr>
    </w:tbl>
    <w:p w:rsidR="008C18D7" w:rsidP="00894C55" w14:paraId="1B59CFF9" w14:textId="67A6E515">
      <w:pPr>
        <w:shd w:val="clear" w:color="auto" w:fill="FFFFFF"/>
        <w:spacing w:after="0" w:line="240" w:lineRule="auto"/>
        <w:ind w:firstLine="301"/>
        <w:rPr>
          <w:rFonts w:ascii="Times New Roman" w:eastAsia="Times New Roman" w:hAnsi="Times New Roman" w:cs="Times New Roman"/>
          <w:sz w:val="24"/>
          <w:szCs w:val="24"/>
          <w:lang w:eastAsia="lv-LV"/>
        </w:rPr>
      </w:pPr>
    </w:p>
    <w:p w:rsidR="00792D10" w:rsidRPr="004541BF" w:rsidP="00894C55" w14:paraId="08AF4168"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013"/>
        <w:gridCol w:w="1113"/>
        <w:gridCol w:w="1479"/>
        <w:gridCol w:w="1149"/>
        <w:gridCol w:w="1149"/>
        <w:gridCol w:w="1152"/>
      </w:tblGrid>
      <w:tr w14:paraId="51AF6F1B" w14:textId="77777777" w:rsidTr="004A3BD4">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3DF74218" w14:textId="77777777">
            <w:pPr>
              <w:spacing w:after="0" w:line="240" w:lineRule="auto"/>
              <w:ind w:firstLine="300"/>
              <w:jc w:val="center"/>
              <w:rPr>
                <w:rFonts w:ascii="Times New Roman" w:hAnsi="Times New Roman" w:cs="Times New Roman"/>
                <w:b/>
                <w:bCs/>
                <w:sz w:val="28"/>
                <w:szCs w:val="28"/>
              </w:rPr>
            </w:pPr>
            <w:r w:rsidRPr="00C7765C">
              <w:rPr>
                <w:rFonts w:ascii="Times New Roman" w:hAnsi="Times New Roman" w:cs="Times New Roman"/>
                <w:b/>
                <w:bCs/>
                <w:sz w:val="28"/>
                <w:szCs w:val="28"/>
              </w:rPr>
              <w:t>III. Tiesību akta projekta ietekme uz valsts budžetu un pašvaldību budžetiem</w:t>
            </w:r>
          </w:p>
        </w:tc>
      </w:tr>
      <w:tr w14:paraId="07F612FE" w14:textId="77777777" w:rsidTr="004A3BD4">
        <w:tblPrEx>
          <w:tblW w:w="5000" w:type="pct"/>
          <w:jc w:val="center"/>
          <w:tblCellMar>
            <w:top w:w="30" w:type="dxa"/>
            <w:left w:w="30" w:type="dxa"/>
            <w:bottom w:w="30" w:type="dxa"/>
            <w:right w:w="30" w:type="dxa"/>
          </w:tblCellMar>
          <w:tblLook w:val="04A0"/>
        </w:tblPrEx>
        <w:trPr>
          <w:jc w:val="center"/>
        </w:trPr>
        <w:tc>
          <w:tcPr>
            <w:tcW w:w="1664" w:type="pct"/>
            <w:vMerge w:val="restar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52463739" w14:textId="77777777">
            <w:pPr>
              <w:spacing w:after="0" w:line="240" w:lineRule="auto"/>
              <w:ind w:firstLine="300"/>
              <w:jc w:val="center"/>
              <w:rPr>
                <w:rFonts w:ascii="Times New Roman" w:hAnsi="Times New Roman" w:cs="Times New Roman"/>
                <w:b/>
                <w:bCs/>
                <w:sz w:val="28"/>
                <w:szCs w:val="28"/>
              </w:rPr>
            </w:pPr>
            <w:r w:rsidRPr="00C7765C">
              <w:rPr>
                <w:rFonts w:ascii="Times New Roman" w:hAnsi="Times New Roman" w:cs="Times New Roman"/>
                <w:b/>
                <w:bCs/>
                <w:sz w:val="28"/>
                <w:szCs w:val="28"/>
              </w:rPr>
              <w:t>Rādītāji</w:t>
            </w:r>
          </w:p>
        </w:tc>
        <w:tc>
          <w:tcPr>
            <w:tcW w:w="143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6AC16C6E" w14:textId="77777777">
            <w:pPr>
              <w:spacing w:after="0" w:line="240" w:lineRule="auto"/>
              <w:ind w:firstLine="300"/>
              <w:jc w:val="center"/>
              <w:rPr>
                <w:rFonts w:ascii="Times New Roman" w:hAnsi="Times New Roman" w:cs="Times New Roman"/>
                <w:b/>
                <w:bCs/>
                <w:sz w:val="28"/>
                <w:szCs w:val="28"/>
              </w:rPr>
            </w:pPr>
            <w:r w:rsidRPr="00C7765C">
              <w:rPr>
                <w:rFonts w:ascii="Times New Roman" w:hAnsi="Times New Roman" w:cs="Times New Roman"/>
                <w:b/>
                <w:bCs/>
                <w:sz w:val="28"/>
                <w:szCs w:val="28"/>
              </w:rPr>
              <w:t>2017. gads</w:t>
            </w:r>
          </w:p>
        </w:tc>
        <w:tc>
          <w:tcPr>
            <w:tcW w:w="1905" w:type="pct"/>
            <w:gridSpan w:val="3"/>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1969B94A" w14:textId="392FF151">
            <w:pPr>
              <w:spacing w:after="0" w:line="240" w:lineRule="auto"/>
              <w:ind w:firstLine="300"/>
              <w:jc w:val="center"/>
              <w:rPr>
                <w:rFonts w:ascii="Times New Roman" w:hAnsi="Times New Roman" w:cs="Times New Roman"/>
                <w:sz w:val="28"/>
                <w:szCs w:val="28"/>
              </w:rPr>
            </w:pPr>
            <w:r w:rsidRPr="00C7765C">
              <w:rPr>
                <w:rFonts w:ascii="Times New Roman" w:hAnsi="Times New Roman" w:cs="Times New Roman"/>
                <w:sz w:val="28"/>
                <w:szCs w:val="28"/>
              </w:rPr>
              <w:t>Turpmākie trīs gadi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w:t>
            </w:r>
          </w:p>
        </w:tc>
      </w:tr>
      <w:tr w14:paraId="445C60B3" w14:textId="77777777" w:rsidTr="004A3BD4">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06435C37" w14:textId="77777777">
            <w:pPr>
              <w:spacing w:after="0" w:line="240" w:lineRule="auto"/>
              <w:rPr>
                <w:rFonts w:ascii="Times New Roman" w:hAnsi="Times New Roman" w:cs="Times New Roman"/>
                <w:b/>
                <w:bCs/>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61355776" w14:textId="77777777">
            <w:pPr>
              <w:spacing w:after="0" w:line="240" w:lineRule="auto"/>
              <w:rPr>
                <w:rFonts w:ascii="Times New Roman" w:hAnsi="Times New Roman" w:cs="Times New Roman"/>
                <w:b/>
                <w:bCs/>
                <w:sz w:val="28"/>
                <w:szCs w:val="28"/>
              </w:rPr>
            </w:pP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56692D85" w14:textId="77777777">
            <w:pPr>
              <w:spacing w:after="0" w:line="240" w:lineRule="auto"/>
              <w:jc w:val="center"/>
              <w:rPr>
                <w:rFonts w:ascii="Times New Roman" w:hAnsi="Times New Roman" w:cs="Times New Roman"/>
                <w:b/>
                <w:bCs/>
                <w:sz w:val="28"/>
                <w:szCs w:val="28"/>
              </w:rPr>
            </w:pPr>
            <w:r w:rsidRPr="00C7765C">
              <w:rPr>
                <w:rFonts w:ascii="Times New Roman" w:hAnsi="Times New Roman" w:cs="Times New Roman"/>
                <w:b/>
                <w:bCs/>
                <w:sz w:val="28"/>
                <w:szCs w:val="28"/>
              </w:rPr>
              <w:t>2018.</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1C04377D" w14:textId="77777777">
            <w:pPr>
              <w:spacing w:after="0" w:line="240" w:lineRule="auto"/>
              <w:jc w:val="center"/>
              <w:rPr>
                <w:rFonts w:ascii="Times New Roman" w:hAnsi="Times New Roman" w:cs="Times New Roman"/>
                <w:b/>
                <w:bCs/>
                <w:sz w:val="28"/>
                <w:szCs w:val="28"/>
              </w:rPr>
            </w:pPr>
            <w:r w:rsidRPr="00C7765C">
              <w:rPr>
                <w:rFonts w:ascii="Times New Roman" w:hAnsi="Times New Roman" w:cs="Times New Roman"/>
                <w:b/>
                <w:bCs/>
                <w:sz w:val="28"/>
                <w:szCs w:val="28"/>
              </w:rPr>
              <w:t>2019.</w:t>
            </w:r>
          </w:p>
        </w:tc>
        <w:tc>
          <w:tcPr>
            <w:tcW w:w="636"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68D166A9" w14:textId="77777777">
            <w:pPr>
              <w:spacing w:after="0" w:line="240" w:lineRule="auto"/>
              <w:jc w:val="center"/>
              <w:rPr>
                <w:rFonts w:ascii="Times New Roman" w:hAnsi="Times New Roman" w:cs="Times New Roman"/>
                <w:b/>
                <w:bCs/>
                <w:sz w:val="28"/>
                <w:szCs w:val="28"/>
              </w:rPr>
            </w:pPr>
            <w:r w:rsidRPr="00C7765C">
              <w:rPr>
                <w:rFonts w:ascii="Times New Roman" w:hAnsi="Times New Roman" w:cs="Times New Roman"/>
                <w:b/>
                <w:bCs/>
                <w:sz w:val="28"/>
                <w:szCs w:val="28"/>
              </w:rPr>
              <w:t>2020.</w:t>
            </w:r>
          </w:p>
        </w:tc>
      </w:tr>
      <w:tr w14:paraId="40664AE1" w14:textId="77777777" w:rsidTr="004A3BD4">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26F67DCF" w14:textId="77777777">
            <w:pPr>
              <w:spacing w:after="0" w:line="240" w:lineRule="auto"/>
              <w:rPr>
                <w:rFonts w:ascii="Times New Roman" w:hAnsi="Times New Roman" w:cs="Times New Roman"/>
                <w:b/>
                <w:bCs/>
                <w:sz w:val="28"/>
                <w:szCs w:val="28"/>
              </w:rPr>
            </w:pP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59452C50"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saskaņā ar valsts budžetu kārtējam gadam</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4DC1E928"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izmaiņas kārtējā gadā, salīdzinot ar valsts budžetu kārtējam gadam</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231A732F"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izmaiņas, salīdzinot ar kārtējo (n) gadu</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48C188C6"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izmaiņas, salīdzinot ar kārtējo (n) gadu</w:t>
            </w:r>
          </w:p>
        </w:tc>
        <w:tc>
          <w:tcPr>
            <w:tcW w:w="636"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43A8DE55"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izmaiņas, salīdzinot ar kārtējo (n) gadu</w:t>
            </w:r>
          </w:p>
        </w:tc>
      </w:tr>
      <w:tr w14:paraId="6DA57AD6"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2F537813" w14:textId="77777777">
            <w:pPr>
              <w:spacing w:after="0" w:line="240" w:lineRule="auto"/>
              <w:ind w:firstLine="300"/>
              <w:jc w:val="center"/>
              <w:rPr>
                <w:rFonts w:ascii="Times New Roman" w:hAnsi="Times New Roman" w:cs="Times New Roman"/>
                <w:sz w:val="28"/>
                <w:szCs w:val="28"/>
              </w:rPr>
            </w:pPr>
            <w:r w:rsidRPr="00C7765C">
              <w:rPr>
                <w:rFonts w:ascii="Times New Roman" w:hAnsi="Times New Roman" w:cs="Times New Roman"/>
                <w:sz w:val="28"/>
                <w:szCs w:val="28"/>
              </w:rPr>
              <w:t>1</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30323EAE"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129B6185"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3</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6DF8E9A7"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4</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0128B0AB"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5</w:t>
            </w:r>
          </w:p>
        </w:tc>
        <w:tc>
          <w:tcPr>
            <w:tcW w:w="636" w:type="pct"/>
            <w:tcBorders>
              <w:top w:val="outset" w:sz="6" w:space="0" w:color="414142"/>
              <w:left w:val="outset" w:sz="6" w:space="0" w:color="414142"/>
              <w:bottom w:val="outset" w:sz="6" w:space="0" w:color="414142"/>
              <w:right w:val="outset" w:sz="6" w:space="0" w:color="414142"/>
            </w:tcBorders>
            <w:vAlign w:val="center"/>
            <w:hideMark/>
          </w:tcPr>
          <w:p w:rsidR="00915043" w:rsidRPr="00C7765C" w:rsidP="00CC0971" w14:paraId="110E537C"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w:t>
            </w:r>
          </w:p>
        </w:tc>
      </w:tr>
      <w:tr w14:paraId="0638D9AE"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00665154" w14:textId="77777777">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1. Budžeta ieņēmumi:</w:t>
            </w:r>
          </w:p>
        </w:tc>
        <w:tc>
          <w:tcPr>
            <w:tcW w:w="615" w:type="pct"/>
            <w:tcBorders>
              <w:top w:val="outset" w:sz="6" w:space="0" w:color="414142"/>
              <w:left w:val="outset" w:sz="6" w:space="0" w:color="414142"/>
              <w:bottom w:val="outset" w:sz="6" w:space="0" w:color="414142"/>
              <w:right w:val="outset" w:sz="6" w:space="0" w:color="414142"/>
            </w:tcBorders>
          </w:tcPr>
          <w:p w:rsidR="00915043" w:rsidRPr="00C7765C" w:rsidP="00CC0971" w14:paraId="704ABCD5"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97 370</w:t>
            </w:r>
          </w:p>
        </w:tc>
        <w:tc>
          <w:tcPr>
            <w:tcW w:w="817" w:type="pct"/>
            <w:tcBorders>
              <w:top w:val="outset" w:sz="6" w:space="0" w:color="414142"/>
              <w:left w:val="outset" w:sz="6" w:space="0" w:color="414142"/>
              <w:bottom w:val="outset" w:sz="6" w:space="0" w:color="414142"/>
              <w:right w:val="outset" w:sz="6" w:space="0" w:color="414142"/>
            </w:tcBorders>
          </w:tcPr>
          <w:p w:rsidR="00915043" w:rsidRPr="00C7765C" w:rsidP="00CC0971" w14:paraId="7E3B35DB"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408E1229" w14:textId="5ED1A6CE">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r w:rsidRPr="00C7765C" w:rsidR="00364093">
              <w:rPr>
                <w:rFonts w:ascii="Times New Roman" w:hAnsi="Times New Roman" w:cs="Times New Roman"/>
                <w:sz w:val="28"/>
                <w:szCs w:val="28"/>
              </w:rPr>
              <w:t xml:space="preserve"> </w:t>
            </w:r>
            <w:r w:rsidRPr="00C7765C">
              <w:rPr>
                <w:rFonts w:ascii="Times New Roman" w:hAnsi="Times New Roman" w:cs="Times New Roman"/>
                <w:sz w:val="28"/>
                <w:szCs w:val="28"/>
              </w:rPr>
              <w:t>573</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255B95A0" w14:textId="77B3F6A6">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r w:rsidRPr="00C7765C" w:rsidR="00364093">
              <w:rPr>
                <w:rFonts w:ascii="Times New Roman" w:hAnsi="Times New Roman" w:cs="Times New Roman"/>
                <w:sz w:val="28"/>
                <w:szCs w:val="28"/>
              </w:rPr>
              <w:t xml:space="preserve"> </w:t>
            </w:r>
            <w:r w:rsidRPr="00C7765C">
              <w:rPr>
                <w:rFonts w:ascii="Times New Roman" w:hAnsi="Times New Roman" w:cs="Times New Roman"/>
                <w:sz w:val="28"/>
                <w:szCs w:val="28"/>
              </w:rPr>
              <w:t>573</w:t>
            </w:r>
          </w:p>
        </w:tc>
        <w:tc>
          <w:tcPr>
            <w:tcW w:w="636" w:type="pct"/>
            <w:tcBorders>
              <w:top w:val="outset" w:sz="6" w:space="0" w:color="414142"/>
              <w:left w:val="outset" w:sz="6" w:space="0" w:color="414142"/>
              <w:bottom w:val="outset" w:sz="6" w:space="0" w:color="414142"/>
              <w:right w:val="outset" w:sz="6" w:space="0" w:color="414142"/>
            </w:tcBorders>
          </w:tcPr>
          <w:p w:rsidR="00915043" w:rsidRPr="00C7765C" w:rsidP="00CC0971" w14:paraId="4587CFBA" w14:textId="16A068A4">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r w:rsidRPr="00C7765C" w:rsidR="00364093">
              <w:rPr>
                <w:rFonts w:ascii="Times New Roman" w:hAnsi="Times New Roman" w:cs="Times New Roman"/>
                <w:sz w:val="28"/>
                <w:szCs w:val="28"/>
              </w:rPr>
              <w:t xml:space="preserve"> </w:t>
            </w:r>
            <w:r w:rsidRPr="00C7765C">
              <w:rPr>
                <w:rFonts w:ascii="Times New Roman" w:hAnsi="Times New Roman" w:cs="Times New Roman"/>
                <w:sz w:val="28"/>
                <w:szCs w:val="28"/>
              </w:rPr>
              <w:t>573</w:t>
            </w:r>
          </w:p>
        </w:tc>
      </w:tr>
      <w:tr w14:paraId="1AA0248B"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E03AA26" w14:textId="77777777">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1.1. valsts pamatbudžets, tai skaitā ieņēmumi no maksas pakalpojumiem un citi pašu ieņēmumi</w:t>
            </w:r>
          </w:p>
        </w:tc>
        <w:tc>
          <w:tcPr>
            <w:tcW w:w="615" w:type="pct"/>
            <w:tcBorders>
              <w:top w:val="outset" w:sz="6" w:space="0" w:color="414142"/>
              <w:left w:val="outset" w:sz="6" w:space="0" w:color="414142"/>
              <w:bottom w:val="outset" w:sz="6" w:space="0" w:color="414142"/>
              <w:right w:val="outset" w:sz="6" w:space="0" w:color="414142"/>
            </w:tcBorders>
          </w:tcPr>
          <w:p w:rsidR="00915043" w:rsidRPr="00C7765C" w:rsidP="00CC0971" w14:paraId="7DA347A5"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97 370</w:t>
            </w:r>
          </w:p>
        </w:tc>
        <w:tc>
          <w:tcPr>
            <w:tcW w:w="817" w:type="pct"/>
            <w:tcBorders>
              <w:top w:val="outset" w:sz="6" w:space="0" w:color="414142"/>
              <w:left w:val="outset" w:sz="6" w:space="0" w:color="414142"/>
              <w:bottom w:val="outset" w:sz="6" w:space="0" w:color="414142"/>
              <w:right w:val="outset" w:sz="6" w:space="0" w:color="414142"/>
            </w:tcBorders>
          </w:tcPr>
          <w:p w:rsidR="00915043" w:rsidRPr="00C7765C" w:rsidP="00CC0971" w14:paraId="7C008EF5"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3C793D52" w14:textId="5F08E5CD">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r w:rsidRPr="00C7765C" w:rsidR="00364093">
              <w:rPr>
                <w:rFonts w:ascii="Times New Roman" w:hAnsi="Times New Roman" w:cs="Times New Roman"/>
                <w:sz w:val="28"/>
                <w:szCs w:val="28"/>
              </w:rPr>
              <w:t xml:space="preserve"> </w:t>
            </w:r>
            <w:r w:rsidRPr="00C7765C">
              <w:rPr>
                <w:rFonts w:ascii="Times New Roman" w:hAnsi="Times New Roman" w:cs="Times New Roman"/>
                <w:sz w:val="28"/>
                <w:szCs w:val="28"/>
              </w:rPr>
              <w:t>573</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1232576C" w14:textId="1946682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r w:rsidRPr="00C7765C" w:rsidR="00364093">
              <w:rPr>
                <w:rFonts w:ascii="Times New Roman" w:hAnsi="Times New Roman" w:cs="Times New Roman"/>
                <w:sz w:val="28"/>
                <w:szCs w:val="28"/>
              </w:rPr>
              <w:t xml:space="preserve"> </w:t>
            </w:r>
            <w:r w:rsidRPr="00C7765C">
              <w:rPr>
                <w:rFonts w:ascii="Times New Roman" w:hAnsi="Times New Roman" w:cs="Times New Roman"/>
                <w:sz w:val="28"/>
                <w:szCs w:val="28"/>
              </w:rPr>
              <w:t>573</w:t>
            </w:r>
          </w:p>
        </w:tc>
        <w:tc>
          <w:tcPr>
            <w:tcW w:w="636" w:type="pct"/>
            <w:tcBorders>
              <w:top w:val="outset" w:sz="6" w:space="0" w:color="414142"/>
              <w:left w:val="outset" w:sz="6" w:space="0" w:color="414142"/>
              <w:bottom w:val="outset" w:sz="6" w:space="0" w:color="414142"/>
              <w:right w:val="outset" w:sz="6" w:space="0" w:color="414142"/>
            </w:tcBorders>
          </w:tcPr>
          <w:p w:rsidR="00915043" w:rsidRPr="00C7765C" w:rsidP="00CC0971" w14:paraId="30507B8A" w14:textId="01196C08">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2</w:t>
            </w:r>
            <w:r w:rsidRPr="00C7765C" w:rsidR="00364093">
              <w:rPr>
                <w:rFonts w:ascii="Times New Roman" w:hAnsi="Times New Roman" w:cs="Times New Roman"/>
                <w:sz w:val="28"/>
                <w:szCs w:val="28"/>
              </w:rPr>
              <w:t xml:space="preserve"> </w:t>
            </w:r>
            <w:r w:rsidRPr="00C7765C">
              <w:rPr>
                <w:rFonts w:ascii="Times New Roman" w:hAnsi="Times New Roman" w:cs="Times New Roman"/>
                <w:sz w:val="28"/>
                <w:szCs w:val="28"/>
              </w:rPr>
              <w:t>573</w:t>
            </w:r>
          </w:p>
        </w:tc>
      </w:tr>
      <w:tr w14:paraId="3D13FC27"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0CA69FF2"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1.2. valsts speciālais 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6F52CA46"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626C495"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28506A5D"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300D2A48"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041BE45A"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r>
      <w:tr w14:paraId="4F9D2DE9"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2BD4B7F"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1.3. pašvaldību 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73060D1E"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A322AC3"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019F6637"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B210A9F"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1DA149E9"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r>
      <w:tr w14:paraId="1F01A4B2"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BF71B4F"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2. Budžeta izdevumi:</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31DF9378"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97 370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69294067"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6E989924" w14:textId="2DF73A4D">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602 573</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6F37DF3B" w14:textId="678BC1C0">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602 573</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D7BBCAA" w14:textId="7FB32732">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602 573</w:t>
            </w:r>
          </w:p>
        </w:tc>
      </w:tr>
      <w:tr w14:paraId="23022A79"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1D17F976"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2.1. valsts pamatbudžets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3BC9F192"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97 370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D452F60"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72375EB2" w14:textId="5EEEE8EA">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602 573</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5138D749" w14:textId="51DF2EB3">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602 573</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0CA7F8D8" w14:textId="29F2C1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602 573</w:t>
            </w:r>
          </w:p>
        </w:tc>
      </w:tr>
      <w:tr w14:paraId="2FC956EC"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252419AF"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2.2. valsts speciālais 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74FA0B1D"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37894EBF"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299ECEED"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C753642"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7AF6BDA"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r>
      <w:tr w14:paraId="14694F45"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A187592"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2.3. pašvaldību 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77635A12"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3983644B"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00AB5F8D"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97D5094"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67892BFC"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r>
      <w:tr w14:paraId="7022E739"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2712D30C"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3. Finansiālā ietekme:</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18374A0E"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1C20B4A2"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2DBE7183" w14:textId="2C7D0B98">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7E156D14" w14:textId="78831408">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6" w:type="pct"/>
            <w:tcBorders>
              <w:top w:val="outset" w:sz="6" w:space="0" w:color="414142"/>
              <w:left w:val="outset" w:sz="6" w:space="0" w:color="414142"/>
              <w:bottom w:val="outset" w:sz="6" w:space="0" w:color="414142"/>
              <w:right w:val="outset" w:sz="6" w:space="0" w:color="414142"/>
            </w:tcBorders>
          </w:tcPr>
          <w:p w:rsidR="00915043" w:rsidRPr="00C7765C" w:rsidP="00CC0971" w14:paraId="170684D7" w14:textId="0E4D92C2">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r>
      <w:tr w14:paraId="5F8A65DC"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060D5B9D"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3.1. valsts pamatbudžets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9804AB6"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59BEF631"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0DF799FC" w14:textId="377A9D54">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4" w:type="pct"/>
            <w:tcBorders>
              <w:top w:val="outset" w:sz="6" w:space="0" w:color="414142"/>
              <w:left w:val="outset" w:sz="6" w:space="0" w:color="414142"/>
              <w:bottom w:val="outset" w:sz="6" w:space="0" w:color="414142"/>
              <w:right w:val="outset" w:sz="6" w:space="0" w:color="414142"/>
            </w:tcBorders>
          </w:tcPr>
          <w:p w:rsidR="00915043" w:rsidRPr="00C7765C" w:rsidP="00CC0971" w14:paraId="6EDB0667" w14:textId="27523CCF">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6" w:type="pct"/>
            <w:tcBorders>
              <w:top w:val="outset" w:sz="6" w:space="0" w:color="414142"/>
              <w:left w:val="outset" w:sz="6" w:space="0" w:color="414142"/>
              <w:bottom w:val="outset" w:sz="6" w:space="0" w:color="414142"/>
              <w:right w:val="outset" w:sz="6" w:space="0" w:color="414142"/>
            </w:tcBorders>
          </w:tcPr>
          <w:p w:rsidR="00915043" w:rsidRPr="00C7765C" w:rsidP="00CC0971" w14:paraId="63917D8D" w14:textId="451CC4A1">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r>
      <w:tr w14:paraId="06A9489E"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B728861"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3.2. speciālais 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3E6DAD0"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5A6534C7"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77A6A09D"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E6C9D92"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37E5D1AA"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r>
      <w:tr w14:paraId="2A5BCB83" w14:textId="77777777" w:rsidTr="00915043">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2753916B"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3.3. pašvaldību budžets</w:t>
            </w:r>
          </w:p>
        </w:tc>
        <w:tc>
          <w:tcPr>
            <w:tcW w:w="615"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BFE7C4E"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817" w:type="pct"/>
            <w:tcBorders>
              <w:top w:val="outset" w:sz="6" w:space="0" w:color="414142"/>
              <w:left w:val="outset" w:sz="6" w:space="0" w:color="414142"/>
              <w:bottom w:val="single" w:sz="4" w:space="0" w:color="auto"/>
              <w:right w:val="outset" w:sz="6" w:space="0" w:color="414142"/>
            </w:tcBorders>
            <w:hideMark/>
          </w:tcPr>
          <w:p w:rsidR="00915043" w:rsidRPr="00C7765C" w:rsidP="00CC0971" w14:paraId="7CF38C48"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single" w:sz="4" w:space="0" w:color="auto"/>
              <w:right w:val="outset" w:sz="6" w:space="0" w:color="414142"/>
            </w:tcBorders>
            <w:hideMark/>
          </w:tcPr>
          <w:p w:rsidR="00915043" w:rsidRPr="00C7765C" w:rsidP="00CC0971" w14:paraId="26599F18"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single" w:sz="4" w:space="0" w:color="auto"/>
              <w:right w:val="outset" w:sz="6" w:space="0" w:color="414142"/>
            </w:tcBorders>
            <w:hideMark/>
          </w:tcPr>
          <w:p w:rsidR="00915043" w:rsidRPr="00C7765C" w:rsidP="00CC0971" w14:paraId="573915C9"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6" w:type="pct"/>
            <w:tcBorders>
              <w:top w:val="outset" w:sz="6" w:space="0" w:color="414142"/>
              <w:left w:val="outset" w:sz="6" w:space="0" w:color="414142"/>
              <w:bottom w:val="single" w:sz="4" w:space="0" w:color="auto"/>
              <w:right w:val="outset" w:sz="6" w:space="0" w:color="414142"/>
            </w:tcBorders>
            <w:hideMark/>
          </w:tcPr>
          <w:p w:rsidR="00915043" w:rsidRPr="00C7765C" w:rsidP="00CC0971" w14:paraId="4405B775"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r>
      <w:tr w14:paraId="167B23D2" w14:textId="77777777" w:rsidTr="00C7765C">
        <w:tblPrEx>
          <w:tblW w:w="5000" w:type="pct"/>
          <w:jc w:val="center"/>
          <w:tblCellMar>
            <w:top w:w="30" w:type="dxa"/>
            <w:left w:w="30" w:type="dxa"/>
            <w:bottom w:w="30" w:type="dxa"/>
            <w:right w:w="30" w:type="dxa"/>
          </w:tblCellMar>
          <w:tblLook w:val="04A0"/>
        </w:tblPrEx>
        <w:trPr>
          <w:trHeight w:val="800"/>
          <w:jc w:val="center"/>
        </w:trPr>
        <w:tc>
          <w:tcPr>
            <w:tcW w:w="1664" w:type="pct"/>
            <w:vMerge w:val="restart"/>
            <w:tcBorders>
              <w:top w:val="outset" w:sz="6" w:space="0" w:color="414142"/>
              <w:left w:val="outset" w:sz="6" w:space="0" w:color="414142"/>
              <w:bottom w:val="outset" w:sz="6" w:space="0" w:color="414142"/>
              <w:right w:val="outset" w:sz="6" w:space="0" w:color="414142"/>
            </w:tcBorders>
            <w:hideMark/>
          </w:tcPr>
          <w:p w:rsidR="00915043" w:rsidRPr="006D7B89" w:rsidP="00CC0971" w14:paraId="1E9B296C"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4. Finanšu līdzekļi papildu izdevumu finansēšanai (kompensējošu izdevumu samazinājumu norāda ar "+" zīmi)</w:t>
            </w:r>
          </w:p>
        </w:tc>
        <w:tc>
          <w:tcPr>
            <w:tcW w:w="615" w:type="pct"/>
            <w:vMerge w:val="restart"/>
            <w:tcBorders>
              <w:top w:val="outset" w:sz="6" w:space="0" w:color="414142"/>
              <w:left w:val="outset" w:sz="6" w:space="0" w:color="414142"/>
              <w:bottom w:val="outset" w:sz="6" w:space="0" w:color="414142"/>
              <w:right w:val="single" w:sz="4" w:space="0" w:color="auto"/>
            </w:tcBorders>
            <w:hideMark/>
          </w:tcPr>
          <w:p w:rsidR="00915043" w:rsidRPr="006D7B89" w:rsidP="00CC0971" w14:paraId="4190DCFD"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X</w:t>
            </w:r>
          </w:p>
        </w:tc>
        <w:tc>
          <w:tcPr>
            <w:tcW w:w="817" w:type="pct"/>
            <w:tcBorders>
              <w:top w:val="single" w:sz="4" w:space="0" w:color="auto"/>
              <w:left w:val="single" w:sz="4" w:space="0" w:color="auto"/>
              <w:bottom w:val="single" w:sz="4" w:space="0" w:color="auto"/>
              <w:right w:val="single" w:sz="4" w:space="0" w:color="auto"/>
            </w:tcBorders>
            <w:hideMark/>
          </w:tcPr>
          <w:p w:rsidR="00915043" w:rsidRPr="00C7765C" w:rsidP="00CC0971" w14:paraId="6D7ABE0F"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single" w:sz="4" w:space="0" w:color="auto"/>
              <w:left w:val="single" w:sz="4" w:space="0" w:color="auto"/>
              <w:bottom w:val="single" w:sz="4" w:space="0" w:color="auto"/>
              <w:right w:val="single" w:sz="4" w:space="0" w:color="auto"/>
            </w:tcBorders>
            <w:hideMark/>
          </w:tcPr>
          <w:p w:rsidR="00915043" w:rsidRPr="00C7765C" w:rsidP="00CC0971" w14:paraId="18DA31B9"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single" w:sz="4" w:space="0" w:color="auto"/>
              <w:left w:val="single" w:sz="4" w:space="0" w:color="auto"/>
              <w:bottom w:val="single" w:sz="4" w:space="0" w:color="auto"/>
              <w:right w:val="single" w:sz="4" w:space="0" w:color="auto"/>
            </w:tcBorders>
            <w:hideMark/>
          </w:tcPr>
          <w:p w:rsidR="00915043" w:rsidRPr="00C7765C" w:rsidP="00CC0971" w14:paraId="05B24BD2"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6" w:type="pct"/>
            <w:tcBorders>
              <w:top w:val="single" w:sz="4" w:space="0" w:color="auto"/>
              <w:left w:val="single" w:sz="4" w:space="0" w:color="auto"/>
              <w:bottom w:val="single" w:sz="4" w:space="0" w:color="auto"/>
              <w:right w:val="single" w:sz="4" w:space="0" w:color="auto"/>
            </w:tcBorders>
            <w:hideMark/>
          </w:tcPr>
          <w:p w:rsidR="00915043" w:rsidRPr="00C7765C" w:rsidP="00CC0971" w14:paraId="241360F4"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r>
      <w:tr w14:paraId="62F0B22C" w14:textId="77777777" w:rsidTr="00915043">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5043" w:rsidRPr="006D7B89" w:rsidP="00CC0971" w14:paraId="0D19E517" w14:textId="77777777">
            <w:pPr>
              <w:spacing w:after="0" w:line="240" w:lineRule="auto"/>
              <w:rPr>
                <w:rFonts w:ascii="Times New Roman" w:hAnsi="Times New Roman" w:cs="Times New Roman"/>
                <w:sz w:val="28"/>
                <w:szCs w:val="28"/>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rsidR="00915043" w:rsidRPr="006D7B89" w:rsidP="00CC0971" w14:paraId="357666DE" w14:textId="77777777">
            <w:pPr>
              <w:spacing w:after="0" w:line="240" w:lineRule="auto"/>
              <w:jc w:val="center"/>
              <w:rPr>
                <w:rFonts w:ascii="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hideMark/>
          </w:tcPr>
          <w:p w:rsidR="00915043" w:rsidRPr="00C7765C" w:rsidP="00CC0971" w14:paraId="1A551F61" w14:textId="77777777">
            <w:pPr>
              <w:spacing w:after="0" w:line="240" w:lineRule="auto"/>
              <w:jc w:val="center"/>
              <w:rPr>
                <w:rFonts w:ascii="Times New Roman" w:hAnsi="Times New Roman" w:cs="Times New Roman"/>
                <w:sz w:val="28"/>
                <w:szCs w:val="28"/>
              </w:rPr>
            </w:pPr>
          </w:p>
        </w:tc>
        <w:tc>
          <w:tcPr>
            <w:tcW w:w="634" w:type="pct"/>
            <w:tcBorders>
              <w:top w:val="single" w:sz="4" w:space="0" w:color="auto"/>
              <w:left w:val="single" w:sz="4" w:space="0" w:color="auto"/>
              <w:bottom w:val="single" w:sz="4" w:space="0" w:color="auto"/>
              <w:right w:val="single" w:sz="4" w:space="0" w:color="auto"/>
            </w:tcBorders>
            <w:hideMark/>
          </w:tcPr>
          <w:p w:rsidR="00915043" w:rsidRPr="00C7765C" w:rsidP="00CC0971" w14:paraId="4EA17FB7" w14:textId="77777777">
            <w:pPr>
              <w:spacing w:after="0" w:line="240" w:lineRule="auto"/>
              <w:jc w:val="center"/>
              <w:rPr>
                <w:rFonts w:ascii="Times New Roman" w:hAnsi="Times New Roman" w:cs="Times New Roman"/>
                <w:sz w:val="28"/>
                <w:szCs w:val="28"/>
              </w:rPr>
            </w:pPr>
          </w:p>
        </w:tc>
        <w:tc>
          <w:tcPr>
            <w:tcW w:w="634" w:type="pct"/>
            <w:tcBorders>
              <w:top w:val="single" w:sz="4" w:space="0" w:color="auto"/>
              <w:left w:val="single" w:sz="4" w:space="0" w:color="auto"/>
              <w:bottom w:val="single" w:sz="4" w:space="0" w:color="auto"/>
              <w:right w:val="single" w:sz="4" w:space="0" w:color="auto"/>
            </w:tcBorders>
            <w:hideMark/>
          </w:tcPr>
          <w:p w:rsidR="00915043" w:rsidRPr="00C7765C" w:rsidP="00CC0971" w14:paraId="24AD6128" w14:textId="77777777">
            <w:pPr>
              <w:spacing w:after="0" w:line="240" w:lineRule="auto"/>
              <w:jc w:val="center"/>
              <w:rPr>
                <w:rFonts w:ascii="Times New Roman" w:hAnsi="Times New Roman" w:cs="Times New Roman"/>
                <w:sz w:val="28"/>
                <w:szCs w:val="28"/>
              </w:rPr>
            </w:pPr>
          </w:p>
        </w:tc>
        <w:tc>
          <w:tcPr>
            <w:tcW w:w="636" w:type="pct"/>
            <w:tcBorders>
              <w:top w:val="single" w:sz="4" w:space="0" w:color="auto"/>
              <w:left w:val="single" w:sz="4" w:space="0" w:color="auto"/>
              <w:bottom w:val="single" w:sz="4" w:space="0" w:color="auto"/>
              <w:right w:val="single" w:sz="4" w:space="0" w:color="auto"/>
            </w:tcBorders>
            <w:hideMark/>
          </w:tcPr>
          <w:p w:rsidR="00915043" w:rsidRPr="00C7765C" w:rsidP="00CC0971" w14:paraId="2A74EE8F" w14:textId="77777777">
            <w:pPr>
              <w:spacing w:after="0" w:line="240" w:lineRule="auto"/>
              <w:jc w:val="center"/>
              <w:rPr>
                <w:rFonts w:ascii="Times New Roman" w:hAnsi="Times New Roman" w:cs="Times New Roman"/>
                <w:sz w:val="28"/>
                <w:szCs w:val="28"/>
              </w:rPr>
            </w:pPr>
          </w:p>
        </w:tc>
      </w:tr>
      <w:tr w14:paraId="0EC361E6" w14:textId="77777777" w:rsidTr="00915043">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5043" w:rsidRPr="006D7B89" w:rsidP="00CC0971" w14:paraId="46F0341A" w14:textId="77777777">
            <w:pPr>
              <w:spacing w:after="0" w:line="240" w:lineRule="auto"/>
              <w:rPr>
                <w:rFonts w:ascii="Times New Roman" w:hAnsi="Times New Roman" w:cs="Times New Roman"/>
                <w:sz w:val="28"/>
                <w:szCs w:val="28"/>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rsidR="00915043" w:rsidRPr="006D7B89" w:rsidP="00CC0971" w14:paraId="080B956D" w14:textId="77777777">
            <w:pPr>
              <w:spacing w:after="0" w:line="240" w:lineRule="auto"/>
              <w:jc w:val="center"/>
              <w:rPr>
                <w:rFonts w:ascii="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hideMark/>
          </w:tcPr>
          <w:p w:rsidR="00915043" w:rsidRPr="006D7B89" w:rsidP="00CC0971" w14:paraId="3F70311E" w14:textId="77777777">
            <w:pPr>
              <w:spacing w:after="0" w:line="240" w:lineRule="auto"/>
              <w:jc w:val="center"/>
              <w:rPr>
                <w:rFonts w:ascii="Times New Roman" w:hAnsi="Times New Roman" w:cs="Times New Roman"/>
                <w:sz w:val="28"/>
                <w:szCs w:val="28"/>
              </w:rPr>
            </w:pPr>
          </w:p>
        </w:tc>
        <w:tc>
          <w:tcPr>
            <w:tcW w:w="634" w:type="pct"/>
            <w:tcBorders>
              <w:top w:val="single" w:sz="4" w:space="0" w:color="auto"/>
              <w:left w:val="single" w:sz="4" w:space="0" w:color="auto"/>
              <w:bottom w:val="single" w:sz="4" w:space="0" w:color="auto"/>
              <w:right w:val="single" w:sz="4" w:space="0" w:color="auto"/>
            </w:tcBorders>
            <w:hideMark/>
          </w:tcPr>
          <w:p w:rsidR="00915043" w:rsidRPr="006D7B89" w:rsidP="00CC0971" w14:paraId="4E19206B" w14:textId="77777777">
            <w:pPr>
              <w:spacing w:after="0" w:line="240" w:lineRule="auto"/>
              <w:jc w:val="center"/>
              <w:rPr>
                <w:rFonts w:ascii="Times New Roman" w:hAnsi="Times New Roman" w:cs="Times New Roman"/>
                <w:sz w:val="28"/>
                <w:szCs w:val="28"/>
              </w:rPr>
            </w:pPr>
          </w:p>
        </w:tc>
        <w:tc>
          <w:tcPr>
            <w:tcW w:w="634" w:type="pct"/>
            <w:tcBorders>
              <w:top w:val="single" w:sz="4" w:space="0" w:color="auto"/>
              <w:left w:val="single" w:sz="4" w:space="0" w:color="auto"/>
              <w:bottom w:val="single" w:sz="4" w:space="0" w:color="auto"/>
              <w:right w:val="single" w:sz="4" w:space="0" w:color="auto"/>
            </w:tcBorders>
            <w:hideMark/>
          </w:tcPr>
          <w:p w:rsidR="00915043" w:rsidRPr="006D7B89" w:rsidP="00CC0971" w14:paraId="34FD7E84" w14:textId="77777777">
            <w:pPr>
              <w:spacing w:after="0" w:line="240" w:lineRule="auto"/>
              <w:jc w:val="center"/>
              <w:rPr>
                <w:rFonts w:ascii="Times New Roman" w:hAnsi="Times New Roman" w:cs="Times New Roman"/>
                <w:sz w:val="28"/>
                <w:szCs w:val="28"/>
              </w:rPr>
            </w:pPr>
          </w:p>
        </w:tc>
        <w:tc>
          <w:tcPr>
            <w:tcW w:w="636" w:type="pct"/>
            <w:tcBorders>
              <w:top w:val="single" w:sz="4" w:space="0" w:color="auto"/>
              <w:left w:val="single" w:sz="4" w:space="0" w:color="auto"/>
              <w:bottom w:val="single" w:sz="4" w:space="0" w:color="auto"/>
              <w:right w:val="single" w:sz="4" w:space="0" w:color="auto"/>
            </w:tcBorders>
            <w:hideMark/>
          </w:tcPr>
          <w:p w:rsidR="00915043" w:rsidRPr="006D7B89" w:rsidP="00CC0971" w14:paraId="7BEB5907" w14:textId="77777777">
            <w:pPr>
              <w:spacing w:after="0" w:line="240" w:lineRule="auto"/>
              <w:jc w:val="center"/>
              <w:rPr>
                <w:rFonts w:ascii="Times New Roman" w:hAnsi="Times New Roman" w:cs="Times New Roman"/>
                <w:sz w:val="28"/>
                <w:szCs w:val="28"/>
              </w:rPr>
            </w:pPr>
          </w:p>
        </w:tc>
      </w:tr>
      <w:tr w14:paraId="62D53D13" w14:textId="77777777" w:rsidTr="00364093">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364093" w:rsidRPr="006D7B89" w:rsidP="00364093" w14:paraId="788F6DDF"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5. Precizēta finansiālā ietekme:</w:t>
            </w:r>
          </w:p>
        </w:tc>
        <w:tc>
          <w:tcPr>
            <w:tcW w:w="615" w:type="pct"/>
            <w:vMerge w:val="restart"/>
            <w:tcBorders>
              <w:top w:val="outset" w:sz="6" w:space="0" w:color="414142"/>
              <w:left w:val="outset" w:sz="6" w:space="0" w:color="414142"/>
              <w:bottom w:val="outset" w:sz="6" w:space="0" w:color="414142"/>
              <w:right w:val="outset" w:sz="6" w:space="0" w:color="414142"/>
            </w:tcBorders>
            <w:hideMark/>
          </w:tcPr>
          <w:p w:rsidR="00364093" w:rsidRPr="006D7B89" w:rsidP="00364093" w14:paraId="3177027E" w14:textId="77777777">
            <w:pPr>
              <w:spacing w:after="0" w:line="240" w:lineRule="auto"/>
              <w:ind w:firstLine="300"/>
              <w:jc w:val="center"/>
              <w:rPr>
                <w:rFonts w:ascii="Times New Roman" w:hAnsi="Times New Roman" w:cs="Times New Roman"/>
                <w:sz w:val="28"/>
                <w:szCs w:val="28"/>
              </w:rPr>
            </w:pPr>
            <w:r w:rsidRPr="006D7B89">
              <w:rPr>
                <w:rFonts w:ascii="Times New Roman" w:hAnsi="Times New Roman" w:cs="Times New Roman"/>
                <w:sz w:val="28"/>
                <w:szCs w:val="28"/>
              </w:rPr>
              <w:t>X</w:t>
            </w:r>
          </w:p>
        </w:tc>
        <w:tc>
          <w:tcPr>
            <w:tcW w:w="817" w:type="pct"/>
            <w:tcBorders>
              <w:top w:val="single" w:sz="4" w:space="0" w:color="auto"/>
              <w:left w:val="outset" w:sz="6" w:space="0" w:color="414142"/>
              <w:bottom w:val="outset" w:sz="6" w:space="0" w:color="414142"/>
              <w:right w:val="outset" w:sz="6" w:space="0" w:color="414142"/>
            </w:tcBorders>
            <w:hideMark/>
          </w:tcPr>
          <w:p w:rsidR="00364093" w:rsidRPr="00C7765C" w:rsidP="00364093" w14:paraId="3DA766A1"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single" w:sz="4" w:space="0" w:color="auto"/>
              <w:left w:val="outset" w:sz="6" w:space="0" w:color="414142"/>
              <w:bottom w:val="outset" w:sz="6" w:space="0" w:color="414142"/>
              <w:right w:val="outset" w:sz="6" w:space="0" w:color="414142"/>
            </w:tcBorders>
          </w:tcPr>
          <w:p w:rsidR="00364093" w:rsidRPr="00C7765C" w:rsidP="00364093" w14:paraId="5A18F392" w14:textId="4D2E97E8">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4" w:type="pct"/>
            <w:tcBorders>
              <w:top w:val="single" w:sz="4" w:space="0" w:color="auto"/>
              <w:left w:val="outset" w:sz="6" w:space="0" w:color="414142"/>
              <w:bottom w:val="outset" w:sz="6" w:space="0" w:color="414142"/>
              <w:right w:val="outset" w:sz="6" w:space="0" w:color="414142"/>
            </w:tcBorders>
          </w:tcPr>
          <w:p w:rsidR="00364093" w:rsidRPr="00C7765C" w:rsidP="00364093" w14:paraId="0A451404" w14:textId="591FFC81">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6" w:type="pct"/>
            <w:tcBorders>
              <w:top w:val="single" w:sz="4" w:space="0" w:color="auto"/>
              <w:left w:val="outset" w:sz="6" w:space="0" w:color="414142"/>
              <w:bottom w:val="outset" w:sz="6" w:space="0" w:color="414142"/>
              <w:right w:val="outset" w:sz="6" w:space="0" w:color="414142"/>
            </w:tcBorders>
          </w:tcPr>
          <w:p w:rsidR="00364093" w:rsidRPr="00C7765C" w:rsidP="00364093" w14:paraId="171D871E" w14:textId="0B5C7C9A">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r>
      <w:tr w14:paraId="272022AA"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364093" w:rsidRPr="006D7B89" w:rsidP="00364093" w14:paraId="2994DE11"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64093" w:rsidRPr="006D7B89" w:rsidP="00364093" w14:paraId="4F17F5B0" w14:textId="77777777">
            <w:pPr>
              <w:spacing w:after="0" w:line="240" w:lineRule="auto"/>
              <w:jc w:val="center"/>
              <w:rPr>
                <w:rFonts w:ascii="Times New Roman" w:hAnsi="Times New Roman" w:cs="Times New Roman"/>
                <w:sz w:val="28"/>
                <w:szCs w:val="28"/>
              </w:rPr>
            </w:pPr>
          </w:p>
        </w:tc>
        <w:tc>
          <w:tcPr>
            <w:tcW w:w="817" w:type="pct"/>
            <w:tcBorders>
              <w:top w:val="outset" w:sz="6" w:space="0" w:color="414142"/>
              <w:left w:val="outset" w:sz="6" w:space="0" w:color="414142"/>
              <w:bottom w:val="outset" w:sz="6" w:space="0" w:color="414142"/>
              <w:right w:val="outset" w:sz="6" w:space="0" w:color="414142"/>
            </w:tcBorders>
            <w:hideMark/>
          </w:tcPr>
          <w:p w:rsidR="00364093" w:rsidRPr="00C7765C" w:rsidP="00364093" w14:paraId="65392DAA"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tcPr>
          <w:p w:rsidR="00364093" w:rsidRPr="00C7765C" w:rsidP="00364093" w14:paraId="5D99AC98" w14:textId="79D29E20">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-600 000</w:t>
            </w:r>
          </w:p>
        </w:tc>
        <w:tc>
          <w:tcPr>
            <w:tcW w:w="634" w:type="pct"/>
            <w:tcBorders>
              <w:top w:val="outset" w:sz="6" w:space="0" w:color="414142"/>
              <w:left w:val="outset" w:sz="6" w:space="0" w:color="414142"/>
              <w:bottom w:val="outset" w:sz="6" w:space="0" w:color="414142"/>
              <w:right w:val="outset" w:sz="6" w:space="0" w:color="414142"/>
            </w:tcBorders>
          </w:tcPr>
          <w:p w:rsidR="00364093" w:rsidRPr="006D7B89" w:rsidP="00364093" w14:paraId="6B7F3B40" w14:textId="100207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-600 000</w:t>
            </w:r>
          </w:p>
        </w:tc>
        <w:tc>
          <w:tcPr>
            <w:tcW w:w="636" w:type="pct"/>
            <w:tcBorders>
              <w:top w:val="outset" w:sz="6" w:space="0" w:color="414142"/>
              <w:left w:val="outset" w:sz="6" w:space="0" w:color="414142"/>
              <w:bottom w:val="outset" w:sz="6" w:space="0" w:color="414142"/>
              <w:right w:val="outset" w:sz="6" w:space="0" w:color="414142"/>
            </w:tcBorders>
          </w:tcPr>
          <w:p w:rsidR="00364093" w:rsidRPr="006D7B89" w:rsidP="00364093" w14:paraId="0B110602" w14:textId="6008A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-600 000</w:t>
            </w:r>
          </w:p>
        </w:tc>
      </w:tr>
      <w:tr w14:paraId="4B009DEB"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16DEA67B"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5043" w:rsidRPr="006D7B89" w:rsidP="00CC0971" w14:paraId="76A58489" w14:textId="77777777">
            <w:pPr>
              <w:spacing w:after="0" w:line="240" w:lineRule="auto"/>
              <w:jc w:val="center"/>
              <w:rPr>
                <w:rFonts w:ascii="Times New Roman" w:hAnsi="Times New Roman" w:cs="Times New Roman"/>
                <w:sz w:val="28"/>
                <w:szCs w:val="28"/>
              </w:rPr>
            </w:pP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6DA8364"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47EF647A"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5EE6B4B"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66970751"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r>
      <w:tr w14:paraId="57891047"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71B724FF"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5043" w:rsidRPr="006D7B89" w:rsidP="00CC0971" w14:paraId="1A1348AB" w14:textId="77777777">
            <w:pPr>
              <w:spacing w:after="0" w:line="240" w:lineRule="auto"/>
              <w:jc w:val="center"/>
              <w:rPr>
                <w:rFonts w:ascii="Times New Roman" w:hAnsi="Times New Roman" w:cs="Times New Roman"/>
                <w:sz w:val="28"/>
                <w:szCs w:val="28"/>
              </w:rPr>
            </w:pPr>
          </w:p>
        </w:tc>
        <w:tc>
          <w:tcPr>
            <w:tcW w:w="817"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70D78FAD"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18AFCB99" w14:textId="77777777">
            <w:pPr>
              <w:spacing w:after="0" w:line="240" w:lineRule="auto"/>
              <w:jc w:val="center"/>
              <w:rPr>
                <w:rFonts w:ascii="Times New Roman" w:hAnsi="Times New Roman" w:cs="Times New Roman"/>
                <w:sz w:val="28"/>
                <w:szCs w:val="28"/>
              </w:rPr>
            </w:pPr>
            <w:r w:rsidRPr="00C7765C">
              <w:rPr>
                <w:rFonts w:ascii="Times New Roman" w:hAnsi="Times New Roman" w:cs="Times New Roman"/>
                <w:sz w:val="28"/>
                <w:szCs w:val="28"/>
              </w:rPr>
              <w:t>0</w:t>
            </w:r>
          </w:p>
        </w:tc>
        <w:tc>
          <w:tcPr>
            <w:tcW w:w="63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2B2267DA"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c>
          <w:tcPr>
            <w:tcW w:w="636"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61F6E3AB" w14:textId="77777777">
            <w:pPr>
              <w:spacing w:after="0" w:line="240" w:lineRule="auto"/>
              <w:jc w:val="center"/>
              <w:rPr>
                <w:rFonts w:ascii="Times New Roman" w:hAnsi="Times New Roman" w:cs="Times New Roman"/>
                <w:sz w:val="28"/>
                <w:szCs w:val="28"/>
              </w:rPr>
            </w:pPr>
            <w:r w:rsidRPr="006D7B89">
              <w:rPr>
                <w:rFonts w:ascii="Times New Roman" w:hAnsi="Times New Roman" w:cs="Times New Roman"/>
                <w:sz w:val="28"/>
                <w:szCs w:val="28"/>
              </w:rPr>
              <w:t>0</w:t>
            </w:r>
          </w:p>
        </w:tc>
      </w:tr>
      <w:tr w14:paraId="6625891C"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04268FB"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B3935" w:rsidRPr="00C7765C" w:rsidP="00834D77" w14:paraId="03284778" w14:textId="77777777">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 xml:space="preserve"> Atbilstoši likumam „Par valsts budžetu 2017.gadam ”VSMC</w:t>
            </w:r>
            <w:r w:rsidRPr="00C7765C">
              <w:rPr>
                <w:rFonts w:ascii="Times New Roman" w:hAnsi="Times New Roman" w:cs="Times New Roman"/>
                <w:i/>
                <w:iCs/>
                <w:sz w:val="28"/>
                <w:szCs w:val="28"/>
              </w:rPr>
              <w:t xml:space="preserve"> </w:t>
            </w:r>
            <w:r w:rsidRPr="00C7765C">
              <w:rPr>
                <w:rFonts w:ascii="Times New Roman" w:hAnsi="Times New Roman" w:cs="Times New Roman"/>
                <w:sz w:val="28"/>
                <w:szCs w:val="28"/>
              </w:rPr>
              <w:t xml:space="preserve">valsts budžeta programmas 39.00.00 "Specializētā veselības aprūpes nodrošināšana" apakšprogramma 39.02.00 "Sporta medicīnas nodrošināšana" ietvaros plānoti resursi izdevumu segšanai 1 038 228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 xml:space="preserve"> apmērā t.sk. dotācija no vispārējiem ieņēmumiem 821 952  </w:t>
            </w:r>
            <w:r w:rsidRPr="00C7765C" w:rsidR="00565BCD">
              <w:rPr>
                <w:rFonts w:ascii="Times New Roman" w:hAnsi="Times New Roman" w:cs="Times New Roman"/>
                <w:i/>
                <w:iCs/>
                <w:sz w:val="28"/>
                <w:szCs w:val="28"/>
              </w:rPr>
              <w:t>euro</w:t>
            </w:r>
            <w:r w:rsidRPr="00C7765C">
              <w:rPr>
                <w:rFonts w:ascii="Times New Roman" w:hAnsi="Times New Roman" w:cs="Times New Roman"/>
                <w:sz w:val="28"/>
                <w:szCs w:val="28"/>
              </w:rPr>
              <w:t xml:space="preserve"> un ieņēmumi no maksas pakalpojumiem 216 276 </w:t>
            </w:r>
            <w:r w:rsidRPr="00C7765C" w:rsidR="00565BCD">
              <w:rPr>
                <w:rFonts w:ascii="Times New Roman" w:hAnsi="Times New Roman" w:cs="Times New Roman"/>
                <w:i/>
                <w:sz w:val="28"/>
                <w:szCs w:val="28"/>
              </w:rPr>
              <w:t>euro</w:t>
            </w:r>
            <w:r w:rsidRPr="00C7765C">
              <w:rPr>
                <w:rFonts w:ascii="Times New Roman" w:hAnsi="Times New Roman" w:cs="Times New Roman"/>
                <w:i/>
                <w:sz w:val="28"/>
                <w:szCs w:val="28"/>
              </w:rPr>
              <w:t>.</w:t>
            </w:r>
            <w:r w:rsidRPr="00C7765C">
              <w:rPr>
                <w:rFonts w:ascii="Times New Roman" w:hAnsi="Times New Roman" w:cs="Times New Roman"/>
                <w:sz w:val="28"/>
                <w:szCs w:val="28"/>
              </w:rPr>
              <w:t xml:space="preserve"> Izdevumi 1 038 228 </w:t>
            </w:r>
            <w:r w:rsidRPr="00C7765C" w:rsidR="00565BCD">
              <w:rPr>
                <w:rFonts w:ascii="Times New Roman" w:hAnsi="Times New Roman" w:cs="Times New Roman"/>
                <w:i/>
                <w:sz w:val="28"/>
                <w:szCs w:val="28"/>
              </w:rPr>
              <w:t>euro</w:t>
            </w:r>
            <w:r w:rsidRPr="00C7765C">
              <w:rPr>
                <w:rFonts w:ascii="Times New Roman" w:hAnsi="Times New Roman" w:cs="Times New Roman"/>
                <w:i/>
                <w:sz w:val="28"/>
                <w:szCs w:val="28"/>
              </w:rPr>
              <w:t xml:space="preserve"> </w:t>
            </w:r>
            <w:r w:rsidRPr="00C7765C">
              <w:rPr>
                <w:rFonts w:ascii="Times New Roman" w:hAnsi="Times New Roman" w:cs="Times New Roman"/>
                <w:sz w:val="28"/>
                <w:szCs w:val="28"/>
              </w:rPr>
              <w:t>apmērā t.sk.:</w:t>
            </w:r>
          </w:p>
          <w:p w:rsidR="00834D77" w:rsidRPr="00C7765C" w:rsidP="00834D77" w14:paraId="5C633F81" w14:textId="2B51FB73">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 xml:space="preserve">EKK 1000 (Atlīdzība) 782 938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 xml:space="preserve">; </w:t>
            </w:r>
          </w:p>
          <w:p w:rsidR="00834D77" w:rsidRPr="00C7765C" w:rsidP="00834D77" w14:paraId="6688313F" w14:textId="6E872CFD">
            <w:pPr>
              <w:spacing w:after="0" w:line="240" w:lineRule="auto"/>
              <w:jc w:val="both"/>
              <w:rPr>
                <w:rFonts w:ascii="Times New Roman" w:hAnsi="Times New Roman" w:cs="Times New Roman"/>
                <w:sz w:val="28"/>
                <w:szCs w:val="28"/>
              </w:rPr>
            </w:pPr>
            <w:r w:rsidRPr="00C7765C">
              <w:rPr>
                <w:rFonts w:ascii="Times New Roman" w:hAnsi="Times New Roman" w:cs="Times New Roman"/>
                <w:sz w:val="28"/>
                <w:szCs w:val="28"/>
              </w:rPr>
              <w:t xml:space="preserve">EKK 2000 (Preces un pakalpojumi) 253 156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w:t>
            </w:r>
          </w:p>
          <w:p w:rsidR="00834D77" w:rsidRPr="00C7765C" w:rsidP="00834D77" w14:paraId="11D6219F" w14:textId="7D18C1A9">
            <w:pPr>
              <w:spacing w:after="0" w:line="240" w:lineRule="auto"/>
              <w:jc w:val="both"/>
              <w:rPr>
                <w:rFonts w:ascii="Times New Roman" w:hAnsi="Times New Roman" w:cs="Times New Roman"/>
                <w:i/>
                <w:sz w:val="28"/>
                <w:szCs w:val="28"/>
              </w:rPr>
            </w:pPr>
            <w:r w:rsidRPr="00C7765C">
              <w:rPr>
                <w:rFonts w:ascii="Times New Roman" w:hAnsi="Times New Roman" w:cs="Times New Roman"/>
                <w:sz w:val="28"/>
                <w:szCs w:val="28"/>
              </w:rPr>
              <w:t xml:space="preserve">EKK 5000 (Kapitālie izdevumi) 2 134 </w:t>
            </w:r>
            <w:r w:rsidRPr="00C7765C" w:rsidR="00565BCD">
              <w:rPr>
                <w:rFonts w:ascii="Times New Roman" w:hAnsi="Times New Roman" w:cs="Times New Roman"/>
                <w:i/>
                <w:sz w:val="28"/>
                <w:szCs w:val="28"/>
              </w:rPr>
              <w:t>euro</w:t>
            </w:r>
            <w:r w:rsidRPr="00C7765C">
              <w:rPr>
                <w:rFonts w:ascii="Times New Roman" w:hAnsi="Times New Roman" w:cs="Times New Roman"/>
                <w:i/>
                <w:sz w:val="28"/>
                <w:szCs w:val="28"/>
              </w:rPr>
              <w:t>.</w:t>
            </w:r>
          </w:p>
          <w:p w:rsidR="00915043" w:rsidRPr="00C7765C" w:rsidP="00CC0971" w14:paraId="3B203585" w14:textId="77777777">
            <w:pPr>
              <w:spacing w:after="0" w:line="240" w:lineRule="auto"/>
              <w:jc w:val="both"/>
              <w:rPr>
                <w:rFonts w:ascii="Times New Roman" w:hAnsi="Times New Roman" w:cs="Times New Roman"/>
                <w:i/>
                <w:sz w:val="28"/>
                <w:szCs w:val="28"/>
              </w:rPr>
            </w:pPr>
          </w:p>
          <w:p w:rsidR="00CB3935" w:rsidRPr="00C7765C" w:rsidP="00B26990" w14:paraId="072F4C62" w14:textId="77777777">
            <w:pPr>
              <w:spacing w:after="0" w:line="240" w:lineRule="auto"/>
              <w:rPr>
                <w:rFonts w:ascii="Times New Roman" w:hAnsi="Times New Roman" w:cs="Times New Roman"/>
                <w:sz w:val="28"/>
                <w:szCs w:val="28"/>
              </w:rPr>
            </w:pPr>
            <w:r w:rsidRPr="00C7765C">
              <w:rPr>
                <w:rFonts w:ascii="Times New Roman" w:eastAsia="Times New Roman" w:hAnsi="Times New Roman" w:cs="Times New Roman"/>
                <w:bCs/>
                <w:sz w:val="28"/>
                <w:szCs w:val="28"/>
                <w:lang w:eastAsia="lv-LV"/>
              </w:rPr>
              <w:t xml:space="preserve">VSMC budžeta apakšprogrammā 39.02.00 “Sporta medicīnas nodrošināšana” likuma </w:t>
            </w:r>
            <w:r w:rsidRPr="00C7765C">
              <w:rPr>
                <w:rFonts w:ascii="Times New Roman" w:hAnsi="Times New Roman" w:cs="Times New Roman"/>
                <w:sz w:val="28"/>
                <w:szCs w:val="28"/>
                <w:shd w:val="clear" w:color="auto" w:fill="FFFFFF"/>
              </w:rPr>
              <w:t>„</w:t>
            </w:r>
            <w:r w:rsidRPr="00C7765C">
              <w:rPr>
                <w:rFonts w:ascii="Times New Roman" w:eastAsia="Times New Roman" w:hAnsi="Times New Roman" w:cs="Times New Roman"/>
                <w:bCs/>
                <w:sz w:val="28"/>
                <w:szCs w:val="28"/>
                <w:lang w:eastAsia="lv-LV"/>
              </w:rPr>
              <w:t>Par valsts budžetu 2017. gadam” ietvaros veic dopinga kontroli un citus pasākumus saskaņā ar antidopinga konvencijām</w:t>
            </w:r>
            <w:r>
              <w:rPr>
                <w:rStyle w:val="FootnoteReference"/>
                <w:sz w:val="28"/>
                <w:szCs w:val="28"/>
              </w:rPr>
              <w:footnoteReference w:id="12"/>
            </w:r>
            <w:r w:rsidRPr="00C7765C">
              <w:rPr>
                <w:rFonts w:ascii="Times New Roman" w:eastAsia="Times New Roman" w:hAnsi="Times New Roman" w:cs="Times New Roman"/>
                <w:bCs/>
                <w:sz w:val="28"/>
                <w:szCs w:val="28"/>
                <w:lang w:eastAsia="lv-LV"/>
              </w:rPr>
              <w:t xml:space="preserve"> novirzot  97 370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tiešajām izmaksām</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lai varētu veikt 150 dopinga kontroles (analīzes)</w:t>
            </w:r>
            <w:r w:rsidRPr="00C7765C" w:rsidR="00A177C6">
              <w:rPr>
                <w:rFonts w:ascii="Times New Roman" w:hAnsi="Times New Roman" w:cs="Times New Roman"/>
                <w:sz w:val="28"/>
                <w:szCs w:val="28"/>
              </w:rPr>
              <w:t xml:space="preserve"> t.sk.:</w:t>
            </w:r>
          </w:p>
          <w:p w:rsidR="00B26990" w:rsidRPr="00C7765C" w:rsidP="00B26990" w14:paraId="0A9C188C" w14:textId="5E29DDD0">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 xml:space="preserve">EKK 1000 (Atlīdzība) 61 548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 xml:space="preserve">; </w:t>
            </w:r>
          </w:p>
          <w:p w:rsidR="00915043" w:rsidRPr="00C7765C" w:rsidP="00B26990" w14:paraId="0F4A5569" w14:textId="75A64C81">
            <w:pPr>
              <w:spacing w:after="0" w:line="240" w:lineRule="auto"/>
              <w:jc w:val="both"/>
              <w:rPr>
                <w:rFonts w:ascii="Times New Roman" w:eastAsia="Times New Roman" w:hAnsi="Times New Roman" w:cs="Times New Roman"/>
                <w:bCs/>
                <w:sz w:val="28"/>
                <w:szCs w:val="28"/>
                <w:lang w:eastAsia="lv-LV"/>
              </w:rPr>
            </w:pPr>
            <w:r w:rsidRPr="00C7765C">
              <w:rPr>
                <w:rFonts w:ascii="Times New Roman" w:hAnsi="Times New Roman" w:cs="Times New Roman"/>
                <w:sz w:val="28"/>
                <w:szCs w:val="28"/>
              </w:rPr>
              <w:t xml:space="preserve">EKK 2000 (Preces un pakalpojumi) 35 822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w:t>
            </w:r>
          </w:p>
          <w:p w:rsidR="00834D77" w:rsidRPr="00C7765C" w:rsidP="00C43BD1" w14:paraId="4CA1A549" w14:textId="1B37A6EC">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Likumprojekts paredz 2018.gadā izveidot neatkarīgu un efektīvu </w:t>
            </w:r>
            <w:r w:rsidRPr="00C7765C">
              <w:rPr>
                <w:rFonts w:ascii="Times New Roman" w:hAnsi="Times New Roman" w:cs="Times New Roman"/>
                <w:sz w:val="28"/>
                <w:szCs w:val="28"/>
              </w:rPr>
              <w:t xml:space="preserve">Antidopinga biroju. </w:t>
            </w:r>
            <w:r w:rsidRPr="00C7765C">
              <w:rPr>
                <w:rFonts w:ascii="Times New Roman" w:eastAsia="Times New Roman" w:hAnsi="Times New Roman" w:cs="Times New Roman"/>
                <w:bCs/>
                <w:sz w:val="28"/>
                <w:szCs w:val="28"/>
                <w:lang w:eastAsia="lv-LV"/>
              </w:rPr>
              <w:t xml:space="preserve">Sākot ar 2018. gadu un turpmāk ik gadu nepieciešami finanšu līdzekļi (dotācija no vispārējiem ieņēmumiem) 699 943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 xml:space="preserve">apmērā (lai varētu veikt līdz 1000 dopinga kontroles (analīzes),  kā arī varētu veikt gadā vismaz 30 antidopinga izglītības pasākumus gadā), tai skaitā 99 943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 xml:space="preserve">tiks novirzīti no VSMC budžeta apakšprogrammas 39.02.00 “Sporta medicīnas nodrošināšana” bāzes finansējuma un 600 000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 xml:space="preserve"> ik gadu pamatojoties uz lēmumiem (Ministru kabineta 2017. gada 8.septembra sēde (protokols Nr.44) un Ministru kabineta 2017. gada 12.septembra sēde (protokols Nr.45)), kad  konceptuāli tika atbalstīti valdību veidojošās koalīcijas sadarbības partneru darba grupas izvirzītie priekšlikumi iesniegtajiem prioritārajiem pasākumiem t.sk. Veselības ministrijai </w:t>
            </w:r>
            <w:r w:rsidRPr="00C7765C">
              <w:rPr>
                <w:rFonts w:ascii="Times New Roman" w:eastAsia="Times New Roman" w:hAnsi="Times New Roman" w:cs="Times New Roman"/>
                <w:bCs/>
                <w:sz w:val="28"/>
                <w:szCs w:val="28"/>
                <w:lang w:eastAsia="lv-LV"/>
              </w:rPr>
              <w:t xml:space="preserve">tika atbalstīts finansējums prioritārajam pasākumam “Neatkarīga un efektīva Antidopinga biroja izveide” 600 000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 xml:space="preserve"> apmērā ik gadu</w:t>
            </w:r>
            <w:r w:rsidRPr="00C7765C">
              <w:rPr>
                <w:rFonts w:ascii="Times New Roman" w:eastAsia="Times New Roman" w:hAnsi="Times New Roman" w:cs="Times New Roman"/>
                <w:bCs/>
                <w:sz w:val="28"/>
                <w:szCs w:val="28"/>
                <w:lang w:eastAsia="lv-LV"/>
              </w:rPr>
              <w:t xml:space="preserve"> t.sk.:</w:t>
            </w:r>
          </w:p>
          <w:p w:rsidR="00834D77" w:rsidRPr="00C7765C" w:rsidP="00C43BD1" w14:paraId="20E120F5" w14:textId="77777777">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2018.gadā:</w:t>
            </w:r>
          </w:p>
          <w:p w:rsidR="00834D77" w:rsidRPr="00C7765C" w:rsidP="00834D77" w14:paraId="56A54270" w14:textId="73C50E9C">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 xml:space="preserve">EKK 1000 (Atlīdzība) 244 728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 xml:space="preserve">; </w:t>
            </w:r>
          </w:p>
          <w:p w:rsidR="00834D77" w:rsidRPr="00C7765C" w:rsidP="00834D77" w14:paraId="1CF29722" w14:textId="2F04BB08">
            <w:pPr>
              <w:spacing w:after="0" w:line="240" w:lineRule="auto"/>
              <w:jc w:val="both"/>
              <w:rPr>
                <w:rFonts w:ascii="Times New Roman" w:hAnsi="Times New Roman" w:cs="Times New Roman"/>
                <w:sz w:val="28"/>
                <w:szCs w:val="28"/>
              </w:rPr>
            </w:pPr>
            <w:r w:rsidRPr="00C7765C">
              <w:rPr>
                <w:rFonts w:ascii="Times New Roman" w:hAnsi="Times New Roman" w:cs="Times New Roman"/>
                <w:sz w:val="28"/>
                <w:szCs w:val="28"/>
              </w:rPr>
              <w:t xml:space="preserve">EKK 2000 (Preces un pakalpojumi) 321 517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w:t>
            </w:r>
          </w:p>
          <w:p w:rsidR="00834D77" w:rsidRPr="00C7765C" w:rsidP="00834D77" w14:paraId="219CC207" w14:textId="19791E20">
            <w:pPr>
              <w:spacing w:after="0" w:line="240" w:lineRule="auto"/>
              <w:jc w:val="both"/>
              <w:rPr>
                <w:rFonts w:ascii="Times New Roman" w:hAnsi="Times New Roman" w:cs="Times New Roman"/>
                <w:i/>
                <w:sz w:val="28"/>
                <w:szCs w:val="28"/>
              </w:rPr>
            </w:pPr>
            <w:r w:rsidRPr="00C7765C">
              <w:rPr>
                <w:rFonts w:ascii="Times New Roman" w:hAnsi="Times New Roman" w:cs="Times New Roman"/>
                <w:sz w:val="28"/>
                <w:szCs w:val="28"/>
              </w:rPr>
              <w:t xml:space="preserve">EKK 5000 (Kapitālie izdevumi) 33 755 </w:t>
            </w:r>
            <w:r w:rsidRPr="00C7765C" w:rsidR="00565BCD">
              <w:rPr>
                <w:rFonts w:ascii="Times New Roman" w:hAnsi="Times New Roman" w:cs="Times New Roman"/>
                <w:i/>
                <w:sz w:val="28"/>
                <w:szCs w:val="28"/>
              </w:rPr>
              <w:t>euro</w:t>
            </w:r>
            <w:r w:rsidRPr="00C7765C">
              <w:rPr>
                <w:rFonts w:ascii="Times New Roman" w:hAnsi="Times New Roman" w:cs="Times New Roman"/>
                <w:i/>
                <w:sz w:val="28"/>
                <w:szCs w:val="28"/>
              </w:rPr>
              <w:t>.</w:t>
            </w:r>
          </w:p>
          <w:p w:rsidR="00A678BC" w:rsidRPr="00C7765C" w:rsidP="00C43BD1" w14:paraId="32EA4ABE" w14:textId="3003E7D2">
            <w:pPr>
              <w:spacing w:after="0" w:line="240" w:lineRule="auto"/>
              <w:jc w:val="both"/>
              <w:rPr>
                <w:rFonts w:ascii="Times New Roman" w:eastAsia="Times New Roman" w:hAnsi="Times New Roman" w:cs="Times New Roman"/>
                <w:bCs/>
                <w:sz w:val="28"/>
                <w:szCs w:val="28"/>
                <w:lang w:eastAsia="lv-LV"/>
              </w:rPr>
            </w:pPr>
          </w:p>
          <w:p w:rsidR="00A678BC" w:rsidRPr="00C7765C" w:rsidP="00BB57D2" w14:paraId="26B258AD" w14:textId="7770118B">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2019.gadā un turpmāk ik gadu:</w:t>
            </w:r>
          </w:p>
          <w:p w:rsidR="00834D77" w:rsidRPr="00C7765C" w:rsidP="00834D77" w14:paraId="493D4F0B" w14:textId="3D09D7AA">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 xml:space="preserve">EKK 1000 (Atlīdzība) 244 728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 xml:space="preserve">; </w:t>
            </w:r>
          </w:p>
          <w:p w:rsidR="00834D77" w:rsidRPr="00C7765C" w:rsidP="00834D77" w14:paraId="500E445E" w14:textId="36460D2E">
            <w:pPr>
              <w:spacing w:after="0" w:line="240" w:lineRule="auto"/>
              <w:jc w:val="both"/>
              <w:rPr>
                <w:rFonts w:ascii="Times New Roman" w:hAnsi="Times New Roman" w:cs="Times New Roman"/>
                <w:sz w:val="28"/>
                <w:szCs w:val="28"/>
              </w:rPr>
            </w:pPr>
            <w:r w:rsidRPr="00C7765C">
              <w:rPr>
                <w:rFonts w:ascii="Times New Roman" w:hAnsi="Times New Roman" w:cs="Times New Roman"/>
                <w:sz w:val="28"/>
                <w:szCs w:val="28"/>
              </w:rPr>
              <w:t xml:space="preserve">EKK 2000 (Preces un pakalpojumi) 355 272 </w:t>
            </w:r>
            <w:r w:rsidRPr="00C7765C" w:rsidR="00565BCD">
              <w:rPr>
                <w:rFonts w:ascii="Times New Roman" w:hAnsi="Times New Roman" w:cs="Times New Roman"/>
                <w:i/>
                <w:sz w:val="28"/>
                <w:szCs w:val="28"/>
              </w:rPr>
              <w:t>euro</w:t>
            </w:r>
            <w:r w:rsidRPr="00C7765C">
              <w:rPr>
                <w:rFonts w:ascii="Times New Roman" w:hAnsi="Times New Roman" w:cs="Times New Roman"/>
                <w:sz w:val="28"/>
                <w:szCs w:val="28"/>
              </w:rPr>
              <w:t>.</w:t>
            </w:r>
          </w:p>
          <w:p w:rsidR="00834D77" w:rsidRPr="00C7765C" w:rsidP="00BB57D2" w14:paraId="6B923EF5" w14:textId="7AFB0239">
            <w:pPr>
              <w:spacing w:after="0" w:line="240" w:lineRule="auto"/>
              <w:jc w:val="both"/>
              <w:rPr>
                <w:rFonts w:ascii="Times New Roman" w:eastAsia="Times New Roman" w:hAnsi="Times New Roman" w:cs="Times New Roman"/>
                <w:bCs/>
                <w:sz w:val="28"/>
                <w:szCs w:val="28"/>
                <w:lang w:eastAsia="lv-LV"/>
              </w:rPr>
            </w:pPr>
          </w:p>
          <w:p w:rsidR="00513A36" w:rsidRPr="00C7765C" w:rsidP="00BB57D2" w14:paraId="40915636" w14:textId="5834B19B">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2018.gadā un turpmāk ik gadu 99 943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no VSMC budžeta apakšprogrammas 39.02.00 “Sporta medicīnas nodrošināšana” bāzes finansējuma veido</w:t>
            </w:r>
            <w:r w:rsidRPr="00C7765C">
              <w:rPr>
                <w:rFonts w:ascii="Times New Roman" w:eastAsia="Times New Roman" w:hAnsi="Times New Roman" w:cs="Times New Roman"/>
                <w:bCs/>
                <w:sz w:val="28"/>
                <w:szCs w:val="28"/>
                <w:lang w:eastAsia="lv-LV"/>
              </w:rPr>
              <w:t xml:space="preserve"> gan tiešās izmaksas, gan netiešās t.sk.:</w:t>
            </w:r>
          </w:p>
          <w:p w:rsidR="0089529E" w:rsidRPr="00C7765C" w:rsidP="006308F1" w14:paraId="7B805FD9" w14:textId="5E4EF0EC">
            <w:pPr>
              <w:pStyle w:val="ListParagraph"/>
              <w:numPr>
                <w:ilvl w:val="0"/>
                <w:numId w:val="27"/>
              </w:numPr>
              <w:spacing w:after="0" w:line="240" w:lineRule="auto"/>
              <w:ind w:left="262" w:hanging="142"/>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 Tiešās izmaksas </w:t>
            </w:r>
            <w:r w:rsidRPr="00C7765C" w:rsidR="00B26990">
              <w:rPr>
                <w:rFonts w:ascii="Times New Roman" w:eastAsia="Times New Roman" w:hAnsi="Times New Roman" w:cs="Times New Roman"/>
                <w:bCs/>
                <w:sz w:val="28"/>
                <w:szCs w:val="28"/>
                <w:lang w:eastAsia="lv-LV"/>
              </w:rPr>
              <w:t xml:space="preserve">97 617 </w:t>
            </w:r>
            <w:r w:rsidRPr="00C7765C" w:rsidR="00565BCD">
              <w:rPr>
                <w:rFonts w:ascii="Times New Roman" w:eastAsia="Times New Roman" w:hAnsi="Times New Roman" w:cs="Times New Roman"/>
                <w:bCs/>
                <w:i/>
                <w:sz w:val="28"/>
                <w:szCs w:val="28"/>
                <w:lang w:eastAsia="lv-LV"/>
              </w:rPr>
              <w:t>euro</w:t>
            </w:r>
            <w:r w:rsidRPr="00C7765C" w:rsidR="00B26990">
              <w:rPr>
                <w:rFonts w:ascii="Times New Roman" w:eastAsia="Times New Roman" w:hAnsi="Times New Roman" w:cs="Times New Roman"/>
                <w:bCs/>
                <w:sz w:val="28"/>
                <w:szCs w:val="28"/>
                <w:lang w:eastAsia="lv-LV"/>
              </w:rPr>
              <w:t xml:space="preserve"> </w:t>
            </w:r>
            <w:r w:rsidRPr="00C7765C">
              <w:rPr>
                <w:rFonts w:ascii="Times New Roman" w:eastAsia="Times New Roman" w:hAnsi="Times New Roman" w:cs="Times New Roman"/>
                <w:bCs/>
                <w:sz w:val="28"/>
                <w:szCs w:val="28"/>
                <w:lang w:eastAsia="lv-LV"/>
              </w:rPr>
              <w:t xml:space="preserve">t.sk.: </w:t>
            </w:r>
          </w:p>
          <w:p w:rsidR="00B26990" w:rsidRPr="00C7765C" w:rsidP="00B26990" w14:paraId="57119DFF" w14:textId="2A7973D3">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EKK 1000 (Atlīdzība) 61 796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 xml:space="preserve"> (pieaugums salīdzinot ar 2017.gadu veidojas saistībā ar izmaiņām darba devēja VSAOI); </w:t>
            </w:r>
          </w:p>
          <w:p w:rsidR="00E3713D" w:rsidRPr="00C7765C" w:rsidP="00B26990" w14:paraId="1FB4A579" w14:textId="1182D8C5">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EKK 200</w:t>
            </w:r>
            <w:r w:rsidRPr="00C7765C" w:rsidR="00B34DEF">
              <w:rPr>
                <w:rFonts w:ascii="Times New Roman" w:eastAsia="Times New Roman" w:hAnsi="Times New Roman" w:cs="Times New Roman"/>
                <w:bCs/>
                <w:sz w:val="28"/>
                <w:szCs w:val="28"/>
                <w:lang w:eastAsia="lv-LV"/>
              </w:rPr>
              <w:t>0 (Preces un pakalpojumi) 35 821</w:t>
            </w:r>
            <w:r w:rsidRPr="00C7765C">
              <w:rPr>
                <w:rFonts w:ascii="Times New Roman" w:eastAsia="Times New Roman" w:hAnsi="Times New Roman" w:cs="Times New Roman"/>
                <w:bCs/>
                <w:sz w:val="28"/>
                <w:szCs w:val="28"/>
                <w:lang w:eastAsia="lv-LV"/>
              </w:rPr>
              <w:t xml:space="preserve">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w:t>
            </w:r>
            <w:r w:rsidRPr="00C7765C">
              <w:rPr>
                <w:rFonts w:ascii="Times New Roman" w:eastAsia="Times New Roman" w:hAnsi="Times New Roman" w:cs="Times New Roman"/>
                <w:bCs/>
                <w:sz w:val="28"/>
                <w:szCs w:val="28"/>
                <w:lang w:eastAsia="lv-LV"/>
              </w:rPr>
              <w:t xml:space="preserve"> </w:t>
            </w:r>
          </w:p>
          <w:p w:rsidR="00834D77" w:rsidRPr="00C7765C" w:rsidP="00E3713D" w14:paraId="60DB52F5" w14:textId="2BB02628">
            <w:pPr>
              <w:pStyle w:val="ListParagraph"/>
              <w:numPr>
                <w:ilvl w:val="0"/>
                <w:numId w:val="28"/>
              </w:numPr>
              <w:tabs>
                <w:tab w:val="left" w:pos="400"/>
              </w:tabs>
              <w:spacing w:after="0" w:line="240" w:lineRule="auto"/>
              <w:ind w:left="117" w:firstLine="0"/>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Netiešās izmaksas 2 326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 xml:space="preserve"> EKK 2000 (Preces un pakalpojumi).</w:t>
            </w:r>
          </w:p>
          <w:p w:rsidR="00915043" w:rsidRPr="00C7765C" w:rsidP="00CC0971" w14:paraId="31BB4682" w14:textId="155D0532">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Finansējums iekļauts Veselības ministrijas pamatbudžeta maksimāli pieļaujamos valsts budžeta izdevumu kopējos apjomos 2018., 2019. un 2020.gadam, un attiecīgi ir iekļauts likumprojektā “Par valsts budžetu 2018.gadam” un likumprojektā “Par valsts vidēja termiņa budžeta ietvaru 2018., 2019. un 2020.gadam”.</w:t>
            </w:r>
          </w:p>
          <w:p w:rsidR="00915043" w:rsidRPr="00C7765C" w:rsidP="00CC0971" w14:paraId="788CA6E4" w14:textId="77777777">
            <w:pPr>
              <w:spacing w:after="0" w:line="240" w:lineRule="auto"/>
              <w:ind w:firstLine="720"/>
              <w:jc w:val="both"/>
              <w:rPr>
                <w:rFonts w:ascii="Times New Roman" w:eastAsia="Times New Roman" w:hAnsi="Times New Roman" w:cs="Times New Roman"/>
                <w:bCs/>
                <w:sz w:val="28"/>
                <w:szCs w:val="28"/>
                <w:lang w:eastAsia="lv-LV"/>
              </w:rPr>
            </w:pPr>
          </w:p>
          <w:p w:rsidR="00915043" w:rsidRPr="00C7765C" w:rsidP="00CC0971" w14:paraId="4FA0BB7B" w14:textId="7222C42C">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Lai nodrošinātu nepieciešamās izmaiņas ar Ministru kabineta 2017.gada 26.septembra rīkojumu Nr. 539 (prot. Nr. 48 40.</w:t>
            </w:r>
            <w:r w:rsidRPr="00C7765C">
              <w:rPr>
                <w:rFonts w:ascii="Times New Roman" w:hAnsi="Times New Roman" w:cs="Times New Roman"/>
                <w:sz w:val="28"/>
                <w:szCs w:val="28"/>
              </w:rPr>
              <w:t xml:space="preserve"> §</w:t>
            </w:r>
            <w:r w:rsidRPr="00C7765C">
              <w:rPr>
                <w:rFonts w:ascii="Times New Roman" w:eastAsia="Times New Roman" w:hAnsi="Times New Roman" w:cs="Times New Roman"/>
                <w:bCs/>
                <w:sz w:val="28"/>
                <w:szCs w:val="28"/>
                <w:lang w:eastAsia="lv-LV"/>
              </w:rPr>
              <w:t xml:space="preserve">) “Par konceptuālo ziņojumu “ ”Par situāciju antidopinga jomā Latvijā un nepieciešamajām izmaiņām” Veselības ministrija sadarbībā ar Izglītības un zinātnes ministriju izstrādās un veselības ministrs līdz 2018.gada 1.jūlijam iesniegs noteiktā kārtībā Ministru kabinetā konceptuālā ziņojumā ietvertā risinājuma īstenošanai nepieciešamos normatīvos aktu projektus tai skaitā kas skar nepieciešamību novirzīt nepieciešamo finansējumu jaunajai budžeta apakšprogrammai </w:t>
            </w:r>
            <w:r w:rsidRPr="00C7765C">
              <w:rPr>
                <w:rFonts w:ascii="Times New Roman" w:hAnsi="Times New Roman" w:cs="Times New Roman"/>
                <w:sz w:val="28"/>
                <w:szCs w:val="28"/>
              </w:rPr>
              <w:t xml:space="preserve">Antidopinga birojam </w:t>
            </w:r>
            <w:r w:rsidRPr="00C7765C">
              <w:rPr>
                <w:rFonts w:ascii="Times New Roman" w:eastAsia="Times New Roman" w:hAnsi="Times New Roman" w:cs="Times New Roman"/>
                <w:bCs/>
                <w:sz w:val="28"/>
                <w:szCs w:val="28"/>
                <w:lang w:eastAsia="lv-LV"/>
              </w:rPr>
              <w:t xml:space="preserve">no budžeta apakšprogrammas 39.02.00 “Sporta medicīnas nodrošināšana” 2018.gadam 699 943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apmērā (dotācija no vispārējiem ieņēmumiem) un atbilstošie izdevumi:</w:t>
            </w:r>
          </w:p>
          <w:p w:rsidR="00915043" w:rsidRPr="00C7765C" w:rsidP="00CC0971" w14:paraId="6445466E" w14:textId="33559FA2">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EKK 1000 (Atlīdzība) 306 524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w:t>
            </w:r>
          </w:p>
          <w:p w:rsidR="00915043" w:rsidRPr="00C7765C" w:rsidP="00CC0971" w14:paraId="50ABE79D" w14:textId="7E32A7E8">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EKK 2000 (Preces un pakalpojumi) 359 664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w:t>
            </w:r>
          </w:p>
          <w:p w:rsidR="00915043" w:rsidRPr="00C7765C" w:rsidP="00CC0971" w14:paraId="6DE16353" w14:textId="4E1BE594">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EKK 5000 (Pamatkapitāla veidošana) 33 755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 xml:space="preserve"> </w:t>
            </w:r>
          </w:p>
          <w:p w:rsidR="00915043" w:rsidRPr="00C7765C" w:rsidP="00CC0971" w14:paraId="7AAC5991" w14:textId="77777777">
            <w:pPr>
              <w:spacing w:after="0" w:line="240" w:lineRule="auto"/>
              <w:jc w:val="both"/>
              <w:rPr>
                <w:rFonts w:ascii="Times New Roman" w:eastAsia="Times New Roman" w:hAnsi="Times New Roman" w:cs="Times New Roman"/>
                <w:bCs/>
                <w:sz w:val="28"/>
                <w:szCs w:val="28"/>
                <w:lang w:eastAsia="lv-LV"/>
              </w:rPr>
            </w:pPr>
          </w:p>
          <w:p w:rsidR="00915043" w:rsidRPr="00C7765C" w:rsidP="00CC0971" w14:paraId="10CBA664" w14:textId="3F88E015">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un </w:t>
            </w:r>
            <w:r w:rsidRPr="00C7765C" w:rsidR="00C43BD1">
              <w:rPr>
                <w:rFonts w:ascii="Times New Roman" w:eastAsia="Times New Roman" w:hAnsi="Times New Roman" w:cs="Times New Roman"/>
                <w:bCs/>
                <w:sz w:val="28"/>
                <w:szCs w:val="28"/>
                <w:lang w:eastAsia="lv-LV"/>
              </w:rPr>
              <w:t>2019.</w:t>
            </w:r>
            <w:r w:rsidRPr="00C7765C" w:rsidR="005E3409">
              <w:rPr>
                <w:rFonts w:ascii="Times New Roman" w:eastAsia="Times New Roman" w:hAnsi="Times New Roman" w:cs="Times New Roman"/>
                <w:bCs/>
                <w:sz w:val="28"/>
                <w:szCs w:val="28"/>
                <w:lang w:eastAsia="lv-LV"/>
              </w:rPr>
              <w:t>gadam</w:t>
            </w:r>
            <w:r w:rsidRPr="00C7765C" w:rsidR="00C43BD1">
              <w:rPr>
                <w:rFonts w:ascii="Times New Roman" w:eastAsia="Times New Roman" w:hAnsi="Times New Roman" w:cs="Times New Roman"/>
                <w:bCs/>
                <w:sz w:val="28"/>
                <w:szCs w:val="28"/>
                <w:lang w:eastAsia="lv-LV"/>
              </w:rPr>
              <w:t xml:space="preserve"> un turpmāk</w:t>
            </w:r>
            <w:r w:rsidRPr="00C7765C" w:rsidR="005E3409">
              <w:rPr>
                <w:rFonts w:ascii="Times New Roman" w:eastAsia="Times New Roman" w:hAnsi="Times New Roman" w:cs="Times New Roman"/>
                <w:bCs/>
                <w:sz w:val="28"/>
                <w:szCs w:val="28"/>
                <w:lang w:eastAsia="lv-LV"/>
              </w:rPr>
              <w:t xml:space="preserve"> ik gadu </w:t>
            </w:r>
            <w:r w:rsidRPr="00C7765C">
              <w:rPr>
                <w:rFonts w:ascii="Times New Roman" w:eastAsia="Times New Roman" w:hAnsi="Times New Roman" w:cs="Times New Roman"/>
                <w:bCs/>
                <w:sz w:val="28"/>
                <w:szCs w:val="28"/>
                <w:lang w:eastAsia="lv-LV"/>
              </w:rPr>
              <w:t xml:space="preserve">699 943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i/>
                <w:sz w:val="28"/>
                <w:szCs w:val="28"/>
                <w:lang w:eastAsia="lv-LV"/>
              </w:rPr>
              <w:t xml:space="preserve"> </w:t>
            </w:r>
            <w:r w:rsidRPr="00C7765C">
              <w:rPr>
                <w:rFonts w:ascii="Times New Roman" w:eastAsia="Times New Roman" w:hAnsi="Times New Roman" w:cs="Times New Roman"/>
                <w:bCs/>
                <w:sz w:val="28"/>
                <w:szCs w:val="28"/>
                <w:lang w:eastAsia="lv-LV"/>
              </w:rPr>
              <w:t>apmērā (dotācija no vispārējiem ieņēmumiem) un atbilstošie izdevumi:</w:t>
            </w:r>
          </w:p>
          <w:p w:rsidR="00915043" w:rsidRPr="00C7765C" w:rsidP="00CC0971" w14:paraId="6FBAFCD4" w14:textId="5CDCE9EE">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EKK 1000 (Atlīdzība) 306 524 </w:t>
            </w:r>
            <w:r w:rsidRPr="00C7765C" w:rsidR="00565BCD">
              <w:rPr>
                <w:rFonts w:ascii="Times New Roman" w:eastAsia="Times New Roman" w:hAnsi="Times New Roman" w:cs="Times New Roman"/>
                <w:bCs/>
                <w:i/>
                <w:sz w:val="28"/>
                <w:szCs w:val="28"/>
                <w:lang w:eastAsia="lv-LV"/>
              </w:rPr>
              <w:t>euro</w:t>
            </w:r>
            <w:r w:rsidRPr="00C7765C">
              <w:rPr>
                <w:rFonts w:ascii="Times New Roman" w:eastAsia="Times New Roman" w:hAnsi="Times New Roman" w:cs="Times New Roman"/>
                <w:bCs/>
                <w:sz w:val="28"/>
                <w:szCs w:val="28"/>
                <w:lang w:eastAsia="lv-LV"/>
              </w:rPr>
              <w:t>;</w:t>
            </w:r>
          </w:p>
          <w:p w:rsidR="00915043" w:rsidRPr="00033ADE" w:rsidP="00CC0971" w14:paraId="35B07F58" w14:textId="57F5D0D2">
            <w:pPr>
              <w:spacing w:after="0" w:line="240" w:lineRule="auto"/>
              <w:jc w:val="both"/>
              <w:rPr>
                <w:rFonts w:ascii="Times New Roman" w:eastAsia="Times New Roman" w:hAnsi="Times New Roman" w:cs="Times New Roman"/>
                <w:bCs/>
                <w:sz w:val="28"/>
                <w:szCs w:val="28"/>
                <w:lang w:eastAsia="lv-LV"/>
              </w:rPr>
            </w:pPr>
            <w:r w:rsidRPr="00C7765C">
              <w:rPr>
                <w:rFonts w:ascii="Times New Roman" w:eastAsia="Times New Roman" w:hAnsi="Times New Roman" w:cs="Times New Roman"/>
                <w:bCs/>
                <w:sz w:val="28"/>
                <w:szCs w:val="28"/>
                <w:lang w:eastAsia="lv-LV"/>
              </w:rPr>
              <w:t xml:space="preserve">EKK </w:t>
            </w:r>
            <w:r w:rsidRPr="00033ADE">
              <w:rPr>
                <w:rFonts w:ascii="Times New Roman" w:eastAsia="Times New Roman" w:hAnsi="Times New Roman" w:cs="Times New Roman"/>
                <w:bCs/>
                <w:sz w:val="28"/>
                <w:szCs w:val="28"/>
                <w:lang w:eastAsia="lv-LV"/>
              </w:rPr>
              <w:t xml:space="preserve">2000 (Preces un pakalpojumi) 393 419 </w:t>
            </w:r>
            <w:r w:rsidRPr="00033ADE" w:rsidR="00565BCD">
              <w:rPr>
                <w:rFonts w:ascii="Times New Roman" w:eastAsia="Times New Roman" w:hAnsi="Times New Roman" w:cs="Times New Roman"/>
                <w:bCs/>
                <w:i/>
                <w:sz w:val="28"/>
                <w:szCs w:val="28"/>
                <w:lang w:eastAsia="lv-LV"/>
              </w:rPr>
              <w:t>euro</w:t>
            </w:r>
            <w:r w:rsidRPr="00033ADE">
              <w:rPr>
                <w:rFonts w:ascii="Times New Roman" w:eastAsia="Times New Roman" w:hAnsi="Times New Roman" w:cs="Times New Roman"/>
                <w:bCs/>
                <w:sz w:val="28"/>
                <w:szCs w:val="28"/>
                <w:lang w:eastAsia="lv-LV"/>
              </w:rPr>
              <w:t>.</w:t>
            </w:r>
          </w:p>
          <w:p w:rsidR="00A31619" w:rsidRPr="00033ADE" w:rsidP="00CC0971" w14:paraId="59359D88" w14:textId="10DEDE02">
            <w:pPr>
              <w:spacing w:after="0" w:line="240" w:lineRule="auto"/>
              <w:jc w:val="both"/>
              <w:rPr>
                <w:rFonts w:ascii="Times New Roman" w:eastAsia="Times New Roman" w:hAnsi="Times New Roman" w:cs="Times New Roman"/>
                <w:bCs/>
                <w:sz w:val="28"/>
                <w:szCs w:val="28"/>
                <w:lang w:eastAsia="lv-LV"/>
              </w:rPr>
            </w:pPr>
          </w:p>
          <w:p w:rsidR="00677F06" w:rsidRPr="00C7765C" w:rsidP="00CC0971" w14:paraId="73823B30" w14:textId="3792EB74">
            <w:pPr>
              <w:spacing w:after="0" w:line="240" w:lineRule="auto"/>
              <w:jc w:val="both"/>
              <w:rPr>
                <w:rFonts w:ascii="Times New Roman" w:eastAsia="Times New Roman" w:hAnsi="Times New Roman" w:cs="Times New Roman"/>
                <w:bCs/>
                <w:sz w:val="28"/>
                <w:szCs w:val="28"/>
                <w:lang w:eastAsia="lv-LV"/>
              </w:rPr>
            </w:pPr>
            <w:r w:rsidRPr="00033ADE">
              <w:rPr>
                <w:rFonts w:ascii="Times New Roman" w:hAnsi="Times New Roman" w:cs="Times New Roman"/>
                <w:sz w:val="28"/>
                <w:szCs w:val="28"/>
              </w:rPr>
              <w:t>Dopinga kontroļu un komisiju (</w:t>
            </w:r>
            <w:r w:rsidRPr="00033ADE" w:rsidR="00355C90">
              <w:rPr>
                <w:rFonts w:ascii="Times New Roman" w:hAnsi="Times New Roman" w:cs="Times New Roman"/>
                <w:sz w:val="28"/>
                <w:szCs w:val="28"/>
              </w:rPr>
              <w:t xml:space="preserve">Terapeitiskās lietošanas </w:t>
            </w:r>
            <w:r w:rsidRPr="00033ADE" w:rsidR="00355C90">
              <w:rPr>
                <w:rFonts w:ascii="Times New Roman" w:hAnsi="Times New Roman" w:cs="Times New Roman"/>
                <w:bCs/>
                <w:sz w:val="28"/>
                <w:szCs w:val="28"/>
              </w:rPr>
              <w:t>izņēmumu piešķiršanas</w:t>
            </w:r>
            <w:r w:rsidRPr="00033ADE">
              <w:rPr>
                <w:rFonts w:ascii="Times New Roman" w:hAnsi="Times New Roman" w:cs="Times New Roman"/>
                <w:sz w:val="28"/>
                <w:szCs w:val="28"/>
              </w:rPr>
              <w:t xml:space="preserve"> komisijas</w:t>
            </w:r>
            <w:r w:rsidRPr="00033ADE" w:rsidR="00355C90">
              <w:rPr>
                <w:rFonts w:ascii="Times New Roman" w:hAnsi="Times New Roman" w:cs="Times New Roman"/>
                <w:sz w:val="28"/>
                <w:szCs w:val="28"/>
              </w:rPr>
              <w:t xml:space="preserve"> </w:t>
            </w:r>
            <w:r w:rsidRPr="00033ADE" w:rsidR="00344881">
              <w:rPr>
                <w:rFonts w:ascii="Times New Roman" w:eastAsia="Times New Roman" w:hAnsi="Times New Roman" w:cs="Times New Roman"/>
                <w:bCs/>
                <w:sz w:val="28"/>
                <w:szCs w:val="28"/>
                <w:lang w:eastAsia="lv-LV"/>
              </w:rPr>
              <w:t>un Di</w:t>
            </w:r>
            <w:r w:rsidRPr="00033ADE">
              <w:rPr>
                <w:rFonts w:ascii="Times New Roman" w:eastAsia="Times New Roman" w:hAnsi="Times New Roman" w:cs="Times New Roman"/>
                <w:bCs/>
                <w:sz w:val="28"/>
                <w:szCs w:val="28"/>
                <w:lang w:eastAsia="lv-LV"/>
              </w:rPr>
              <w:t>sciplinārās antidopinga komisijas)</w:t>
            </w:r>
            <w:r w:rsidRPr="00033ADE" w:rsidR="00344881">
              <w:rPr>
                <w:rFonts w:ascii="Times New Roman" w:eastAsia="Times New Roman" w:hAnsi="Times New Roman" w:cs="Times New Roman"/>
                <w:bCs/>
                <w:sz w:val="28"/>
                <w:szCs w:val="28"/>
                <w:lang w:eastAsia="lv-LV"/>
              </w:rPr>
              <w:t xml:space="preserve"> darbības nodrošināšanai no iepriekš minētā finansējuma 699 943 </w:t>
            </w:r>
            <w:r w:rsidRPr="00033ADE" w:rsidR="00565BCD">
              <w:rPr>
                <w:rFonts w:ascii="Times New Roman" w:eastAsia="Times New Roman" w:hAnsi="Times New Roman" w:cs="Times New Roman"/>
                <w:bCs/>
                <w:i/>
                <w:sz w:val="28"/>
                <w:szCs w:val="28"/>
                <w:lang w:eastAsia="lv-LV"/>
              </w:rPr>
              <w:t>euro</w:t>
            </w:r>
            <w:r w:rsidRPr="00033ADE" w:rsidR="00344881">
              <w:rPr>
                <w:rFonts w:ascii="Times New Roman" w:eastAsia="Times New Roman" w:hAnsi="Times New Roman" w:cs="Times New Roman"/>
                <w:bCs/>
                <w:sz w:val="28"/>
                <w:szCs w:val="28"/>
                <w:lang w:eastAsia="lv-LV"/>
              </w:rPr>
              <w:t xml:space="preserve"> apmērā jaunajā budžeta apakšprogrammā ir ieplānoti finanšu līdzekļi 2</w:t>
            </w:r>
            <w:r w:rsidRPr="00033ADE" w:rsidR="00D12C7E">
              <w:rPr>
                <w:rFonts w:ascii="Times New Roman" w:eastAsia="Times New Roman" w:hAnsi="Times New Roman" w:cs="Times New Roman"/>
                <w:bCs/>
                <w:sz w:val="28"/>
                <w:szCs w:val="28"/>
                <w:lang w:eastAsia="lv-LV"/>
              </w:rPr>
              <w:t>26 66</w:t>
            </w:r>
            <w:r w:rsidRPr="00033ADE" w:rsidR="00344881">
              <w:rPr>
                <w:rFonts w:ascii="Times New Roman" w:eastAsia="Times New Roman" w:hAnsi="Times New Roman" w:cs="Times New Roman"/>
                <w:bCs/>
                <w:sz w:val="28"/>
                <w:szCs w:val="28"/>
                <w:lang w:eastAsia="lv-LV"/>
              </w:rPr>
              <w:t xml:space="preserve">4 </w:t>
            </w:r>
            <w:r w:rsidRPr="00033ADE" w:rsidR="00565BCD">
              <w:rPr>
                <w:rFonts w:ascii="Times New Roman" w:eastAsia="Times New Roman" w:hAnsi="Times New Roman" w:cs="Times New Roman"/>
                <w:bCs/>
                <w:i/>
                <w:sz w:val="28"/>
                <w:szCs w:val="28"/>
                <w:lang w:eastAsia="lv-LV"/>
              </w:rPr>
              <w:t>euro</w:t>
            </w:r>
            <w:r w:rsidRPr="00033ADE" w:rsidR="00344881">
              <w:rPr>
                <w:rFonts w:ascii="Times New Roman" w:eastAsia="Times New Roman" w:hAnsi="Times New Roman" w:cs="Times New Roman"/>
                <w:bCs/>
                <w:sz w:val="28"/>
                <w:szCs w:val="28"/>
                <w:lang w:eastAsia="lv-LV"/>
              </w:rPr>
              <w:t xml:space="preserve"> apmērā 2018.gadam un </w:t>
            </w:r>
            <w:r w:rsidRPr="00033ADE" w:rsidR="00D12C7E">
              <w:rPr>
                <w:rFonts w:ascii="Times New Roman" w:eastAsia="Times New Roman" w:hAnsi="Times New Roman" w:cs="Times New Roman"/>
                <w:bCs/>
                <w:sz w:val="28"/>
                <w:szCs w:val="28"/>
                <w:lang w:eastAsia="lv-LV"/>
              </w:rPr>
              <w:t>221 66</w:t>
            </w:r>
            <w:r w:rsidRPr="00033ADE" w:rsidR="00344881">
              <w:rPr>
                <w:rFonts w:ascii="Times New Roman" w:eastAsia="Times New Roman" w:hAnsi="Times New Roman" w:cs="Times New Roman"/>
                <w:bCs/>
                <w:sz w:val="28"/>
                <w:szCs w:val="28"/>
                <w:lang w:eastAsia="lv-LV"/>
              </w:rPr>
              <w:t xml:space="preserve">7 </w:t>
            </w:r>
            <w:r w:rsidRPr="00033ADE" w:rsidR="00565BCD">
              <w:rPr>
                <w:rFonts w:ascii="Times New Roman" w:eastAsia="Times New Roman" w:hAnsi="Times New Roman" w:cs="Times New Roman"/>
                <w:bCs/>
                <w:i/>
                <w:sz w:val="28"/>
                <w:szCs w:val="28"/>
                <w:lang w:eastAsia="lv-LV"/>
              </w:rPr>
              <w:t>euro</w:t>
            </w:r>
            <w:r w:rsidRPr="00033ADE" w:rsidR="00344881">
              <w:rPr>
                <w:rFonts w:ascii="Times New Roman" w:eastAsia="Times New Roman" w:hAnsi="Times New Roman" w:cs="Times New Roman"/>
                <w:bCs/>
                <w:sz w:val="28"/>
                <w:szCs w:val="28"/>
                <w:lang w:eastAsia="lv-LV"/>
              </w:rPr>
              <w:t xml:space="preserve"> turpmāk ik gadu.</w:t>
            </w:r>
            <w:r w:rsidRPr="00033ADE" w:rsidR="00A16F93">
              <w:rPr>
                <w:rFonts w:ascii="Times New Roman" w:eastAsia="Times New Roman" w:hAnsi="Times New Roman" w:cs="Times New Roman"/>
                <w:bCs/>
                <w:sz w:val="28"/>
                <w:szCs w:val="28"/>
                <w:lang w:eastAsia="lv-LV"/>
              </w:rPr>
              <w:t xml:space="preserve"> </w:t>
            </w:r>
            <w:r w:rsidRPr="00033ADE" w:rsidR="00D12152">
              <w:rPr>
                <w:rFonts w:ascii="Times New Roman" w:hAnsi="Times New Roman" w:cs="Times New Roman"/>
                <w:sz w:val="28"/>
                <w:szCs w:val="28"/>
              </w:rPr>
              <w:t>Latvijas Nacionālās antidopinga padomes darbības nodrošināšanai nav nepieciešams finansējums</w:t>
            </w:r>
            <w:r w:rsidRPr="00033ADE" w:rsidR="0075501F">
              <w:rPr>
                <w:rFonts w:ascii="Times New Roman" w:hAnsi="Times New Roman" w:cs="Times New Roman"/>
                <w:sz w:val="28"/>
                <w:szCs w:val="28"/>
              </w:rPr>
              <w:t xml:space="preserve"> no valsts budžeta</w:t>
            </w:r>
            <w:r w:rsidRPr="00033ADE" w:rsidR="00D12152">
              <w:rPr>
                <w:rFonts w:ascii="Times New Roman" w:hAnsi="Times New Roman" w:cs="Times New Roman"/>
                <w:sz w:val="28"/>
                <w:szCs w:val="28"/>
              </w:rPr>
              <w:t>.</w:t>
            </w:r>
            <w:r w:rsidRPr="00C7765C" w:rsidR="00D12152">
              <w:rPr>
                <w:rFonts w:ascii="Times New Roman" w:hAnsi="Times New Roman" w:cs="Times New Roman"/>
                <w:sz w:val="28"/>
                <w:szCs w:val="28"/>
              </w:rPr>
              <w:t xml:space="preserve"> </w:t>
            </w:r>
            <w:r w:rsidRPr="00C7765C" w:rsidR="00D12152">
              <w:rPr>
                <w:rFonts w:ascii="Times New Roman" w:eastAsia="Times New Roman" w:hAnsi="Times New Roman" w:cs="Times New Roman"/>
                <w:bCs/>
                <w:sz w:val="28"/>
                <w:szCs w:val="28"/>
                <w:lang w:eastAsia="lv-LV"/>
              </w:rPr>
              <w:t xml:space="preserve"> </w:t>
            </w:r>
          </w:p>
        </w:tc>
      </w:tr>
      <w:tr w14:paraId="34418907"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4909EDEF"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15043" w:rsidRPr="006D7B89" w:rsidP="00CC0971" w14:paraId="1CF9BFD8" w14:textId="77777777">
            <w:pPr>
              <w:spacing w:after="0" w:line="240" w:lineRule="auto"/>
              <w:rPr>
                <w:rFonts w:ascii="Times New Roman" w:hAnsi="Times New Roman" w:cs="Times New Roman"/>
                <w:sz w:val="28"/>
                <w:szCs w:val="28"/>
              </w:rPr>
            </w:pPr>
          </w:p>
        </w:tc>
      </w:tr>
      <w:tr w14:paraId="2E2B8AAB" w14:textId="77777777" w:rsidTr="004A3BD4">
        <w:tblPrEx>
          <w:tblW w:w="5000" w:type="pct"/>
          <w:jc w:val="center"/>
          <w:tblCellMar>
            <w:top w:w="30" w:type="dxa"/>
            <w:left w:w="30" w:type="dxa"/>
            <w:bottom w:w="30" w:type="dxa"/>
            <w:right w:w="30" w:type="dxa"/>
          </w:tblCellMar>
          <w:tblLook w:val="04A0"/>
        </w:tblPrEx>
        <w:trPr>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6D7B89" w:rsidP="00CC0971" w14:paraId="513296ED" w14:textId="77777777">
            <w:pPr>
              <w:spacing w:after="0" w:line="240" w:lineRule="auto"/>
              <w:rPr>
                <w:rFonts w:ascii="Times New Roman" w:hAnsi="Times New Roman" w:cs="Times New Roman"/>
                <w:sz w:val="28"/>
                <w:szCs w:val="28"/>
              </w:rPr>
            </w:pPr>
            <w:r w:rsidRPr="006D7B89">
              <w:rPr>
                <w:rFonts w:ascii="Times New Roman" w:hAnsi="Times New Roman" w:cs="Times New Roman"/>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15043" w:rsidRPr="006D7B89" w:rsidP="00CC0971" w14:paraId="1CD4E395" w14:textId="77777777">
            <w:pPr>
              <w:spacing w:after="0" w:line="240" w:lineRule="auto"/>
              <w:rPr>
                <w:rFonts w:ascii="Times New Roman" w:hAnsi="Times New Roman" w:cs="Times New Roman"/>
                <w:sz w:val="28"/>
                <w:szCs w:val="28"/>
              </w:rPr>
            </w:pPr>
          </w:p>
        </w:tc>
      </w:tr>
      <w:tr w14:paraId="68AF3D45" w14:textId="77777777" w:rsidTr="004A3BD4">
        <w:tblPrEx>
          <w:tblW w:w="5000" w:type="pct"/>
          <w:jc w:val="center"/>
          <w:tblCellMar>
            <w:top w:w="30" w:type="dxa"/>
            <w:left w:w="30" w:type="dxa"/>
            <w:bottom w:w="30" w:type="dxa"/>
            <w:right w:w="30" w:type="dxa"/>
          </w:tblCellMar>
          <w:tblLook w:val="04A0"/>
        </w:tblPrEx>
        <w:trPr>
          <w:trHeight w:val="555"/>
          <w:jc w:val="center"/>
        </w:trPr>
        <w:tc>
          <w:tcPr>
            <w:tcW w:w="1664" w:type="pct"/>
            <w:tcBorders>
              <w:top w:val="outset" w:sz="6" w:space="0" w:color="414142"/>
              <w:left w:val="outset" w:sz="6" w:space="0" w:color="414142"/>
              <w:bottom w:val="outset" w:sz="6" w:space="0" w:color="414142"/>
              <w:right w:val="outset" w:sz="6" w:space="0" w:color="414142"/>
            </w:tcBorders>
            <w:hideMark/>
          </w:tcPr>
          <w:p w:rsidR="00915043" w:rsidRPr="00C7765C" w:rsidP="00CC0971" w14:paraId="57739D28" w14:textId="77777777">
            <w:pPr>
              <w:spacing w:after="0" w:line="240" w:lineRule="auto"/>
              <w:rPr>
                <w:rFonts w:ascii="Times New Roman" w:hAnsi="Times New Roman" w:cs="Times New Roman"/>
                <w:sz w:val="28"/>
                <w:szCs w:val="28"/>
              </w:rPr>
            </w:pPr>
            <w:r w:rsidRPr="00C7765C">
              <w:rPr>
                <w:rFonts w:ascii="Times New Roman" w:hAnsi="Times New Roman" w:cs="Times New Roman"/>
                <w:sz w:val="28"/>
                <w:szCs w:val="28"/>
              </w:rPr>
              <w:t>7. Cita informācija</w:t>
            </w:r>
          </w:p>
        </w:tc>
        <w:tc>
          <w:tcPr>
            <w:tcW w:w="3336" w:type="pct"/>
            <w:gridSpan w:val="5"/>
            <w:tcBorders>
              <w:top w:val="outset" w:sz="6" w:space="0" w:color="414142"/>
              <w:left w:val="outset" w:sz="6" w:space="0" w:color="414142"/>
              <w:bottom w:val="outset" w:sz="6" w:space="0" w:color="414142"/>
              <w:right w:val="outset" w:sz="6" w:space="0" w:color="414142"/>
            </w:tcBorders>
            <w:hideMark/>
          </w:tcPr>
          <w:p w:rsidR="00606B50" w:rsidRPr="00C7765C" w:rsidP="00606B50" w14:paraId="540E009F" w14:textId="24D470AD">
            <w:pPr>
              <w:spacing w:after="0" w:line="240" w:lineRule="auto"/>
              <w:jc w:val="both"/>
              <w:rPr>
                <w:rFonts w:ascii="Times New Roman" w:hAnsi="Times New Roman" w:cs="Times New Roman"/>
                <w:sz w:val="28"/>
                <w:szCs w:val="28"/>
              </w:rPr>
            </w:pPr>
            <w:r w:rsidRPr="00C7765C">
              <w:rPr>
                <w:rFonts w:ascii="Times New Roman" w:hAnsi="Times New Roman" w:cs="Times New Roman"/>
                <w:sz w:val="28"/>
                <w:szCs w:val="28"/>
              </w:rPr>
              <w:t xml:space="preserve">Pēc iespējas ātrāk ir jānovērš Latvijas antidopinga sistēmas neatbilstības Pasaules Antidopinga kodeksa prasībām, jo var būt apdraudēta Latvijas sportistu dalību XXIII Ziemas Olimpiskās spēlēs </w:t>
            </w:r>
            <w:r w:rsidRPr="00C7765C">
              <w:rPr>
                <w:rFonts w:ascii="Times New Roman" w:hAnsi="Times New Roman" w:cs="Times New Roman"/>
                <w:sz w:val="28"/>
                <w:szCs w:val="28"/>
              </w:rPr>
              <w:t>Phjončhanā</w:t>
            </w:r>
            <w:r w:rsidRPr="00C7765C">
              <w:rPr>
                <w:rFonts w:ascii="Times New Roman" w:hAnsi="Times New Roman" w:cs="Times New Roman"/>
                <w:sz w:val="28"/>
                <w:szCs w:val="28"/>
              </w:rPr>
              <w:t xml:space="preserve">, Dienvidkorejā, no 2018. gada 9. līdz 25. februārim), kā arī tikt piespriesta soda nauda, daļēji vai pilnīgi apturēts starptautiskais finansējums, aizliegts rīkot pasaules čempionātus un lielus sporta pasākumus un citi. Savukārt Latvijas Antidopinga biroja izveidošana un citas likumprojektā noteiktās  normas, kā arī ar tām saistīto normatīvo aktu sagatavošana un apstiprināšana ir salīdzinoši laikietilpīgs process, tādēļ par likuma spēkā stāšanās laiku ir noteikts 2018. gada 1. jūlijs. Ņemot vērā iepriekš minēto, lai novērstu daļu no neatbilstībām Pasaules Antidopinga kodeksam un sniegtu informāciju WADA par Latvijas veiktajiem pasākumiem attiecībā uz to novēršanu, jau sākot ar 2018. gada 1. janvāri tiks uzsākta šī brīža Latvijas antidopinga organizācijas jeb  VSMC </w:t>
            </w:r>
            <w:r w:rsidRPr="00C7765C">
              <w:rPr>
                <w:rFonts w:ascii="Times New Roman" w:hAnsi="Times New Roman" w:cs="Times New Roman"/>
                <w:sz w:val="28"/>
                <w:szCs w:val="28"/>
              </w:rPr>
              <w:t>Antidopinga nodaļas darbības pilnveidošana, tostarp pieņemot darbā kontrolierus</w:t>
            </w:r>
            <w:r w:rsidRPr="00C7765C" w:rsidR="00A16F93">
              <w:rPr>
                <w:rFonts w:ascii="Times New Roman" w:hAnsi="Times New Roman" w:cs="Times New Roman"/>
                <w:sz w:val="28"/>
                <w:szCs w:val="28"/>
              </w:rPr>
              <w:t xml:space="preserve"> </w:t>
            </w:r>
            <w:r w:rsidRPr="00C7765C">
              <w:rPr>
                <w:rFonts w:ascii="Times New Roman" w:hAnsi="Times New Roman" w:cs="Times New Roman"/>
                <w:sz w:val="28"/>
                <w:szCs w:val="28"/>
              </w:rPr>
              <w:t>un nodrošinot citus nepieciešamos cilvēkresursus</w:t>
            </w:r>
            <w:r w:rsidRPr="00C7765C" w:rsidR="00987E63">
              <w:rPr>
                <w:rFonts w:ascii="Times New Roman" w:hAnsi="Times New Roman" w:cs="Times New Roman"/>
                <w:sz w:val="28"/>
                <w:szCs w:val="28"/>
              </w:rPr>
              <w:t xml:space="preserve"> (plānoto Antidopinga biroja 10 amata vietu ietvaros)</w:t>
            </w:r>
            <w:r w:rsidRPr="00C7765C">
              <w:rPr>
                <w:rFonts w:ascii="Times New Roman" w:hAnsi="Times New Roman" w:cs="Times New Roman"/>
                <w:sz w:val="28"/>
                <w:szCs w:val="28"/>
              </w:rPr>
              <w:t xml:space="preserve"> un atbilstošu atalgojumu, veicot papildus dopinga kontroles, organizējot izglītojošos pasākumus izstrādājot kārtību un procedūras antidopinga jomā u.c. Minēto darbību nodrošināšanai nepieciešams papildu piešķirtais finansējums.</w:t>
            </w:r>
            <w:r w:rsidRPr="00C7765C">
              <w:rPr>
                <w:rFonts w:ascii="Times New Roman" w:hAnsi="Times New Roman" w:cs="Times New Roman"/>
                <w:sz w:val="28"/>
                <w:szCs w:val="28"/>
              </w:rPr>
              <w:t xml:space="preserve"> </w:t>
            </w:r>
          </w:p>
          <w:p w:rsidR="00915043" w:rsidRPr="00606B50" w:rsidP="00606B50" w14:paraId="0960FBF9" w14:textId="6D89ED98">
            <w:pPr>
              <w:spacing w:after="0" w:line="240" w:lineRule="auto"/>
              <w:jc w:val="both"/>
              <w:rPr>
                <w:rFonts w:ascii="Times New Roman" w:hAnsi="Times New Roman" w:cs="Times New Roman"/>
                <w:color w:val="FF0000"/>
                <w:sz w:val="28"/>
                <w:szCs w:val="28"/>
              </w:rPr>
            </w:pPr>
            <w:r w:rsidRPr="00C7765C">
              <w:rPr>
                <w:rFonts w:ascii="Times New Roman" w:hAnsi="Times New Roman" w:cs="Times New Roman"/>
                <w:sz w:val="28"/>
                <w:szCs w:val="28"/>
              </w:rPr>
              <w:t>Antidopinga biroja struktūru veidos 10 amata vietas</w:t>
            </w:r>
            <w:r w:rsidRPr="00C7765C" w:rsidR="00606B50">
              <w:rPr>
                <w:rFonts w:ascii="Times New Roman" w:hAnsi="Times New Roman" w:cs="Times New Roman"/>
                <w:sz w:val="28"/>
                <w:szCs w:val="28"/>
              </w:rPr>
              <w:t xml:space="preserve">, </w:t>
            </w:r>
            <w:r w:rsidRPr="00C7765C" w:rsidR="00D369A7">
              <w:rPr>
                <w:rFonts w:ascii="Times New Roman" w:hAnsi="Times New Roman" w:cs="Times New Roman"/>
                <w:sz w:val="28"/>
                <w:szCs w:val="28"/>
              </w:rPr>
              <w:t>kuras tiks pārdalītas no VSMC</w:t>
            </w:r>
            <w:r w:rsidRPr="00C7765C">
              <w:rPr>
                <w:rFonts w:ascii="Times New Roman" w:hAnsi="Times New Roman" w:cs="Times New Roman"/>
                <w:sz w:val="28"/>
                <w:szCs w:val="28"/>
              </w:rPr>
              <w:t xml:space="preserve">. Antidopinga biroja administratīvās atbalsta funkcijas, piemēram, </w:t>
            </w:r>
            <w:r w:rsidRPr="00C7765C">
              <w:rPr>
                <w:rFonts w:ascii="Times New Roman" w:hAnsi="Times New Roman" w:cs="Times New Roman"/>
                <w:sz w:val="28"/>
                <w:szCs w:val="28"/>
              </w:rPr>
              <w:t>personālvadība</w:t>
            </w:r>
            <w:r w:rsidRPr="00C7765C">
              <w:rPr>
                <w:rFonts w:ascii="Times New Roman" w:hAnsi="Times New Roman" w:cs="Times New Roman"/>
                <w:sz w:val="28"/>
                <w:szCs w:val="28"/>
              </w:rPr>
              <w:t>, grāmatvedība, VM nodrošinās centralizēti. Nepieciešamie papildu cilvēkresursi tiks nodrošināti Veselības ministrijas resora ietvaros.</w:t>
            </w:r>
          </w:p>
        </w:tc>
      </w:tr>
    </w:tbl>
    <w:p w:rsidR="0074767D" w:rsidP="00894C55" w14:paraId="7062DDB9" w14:textId="5426E834">
      <w:pPr>
        <w:shd w:val="clear" w:color="auto" w:fill="FFFFFF"/>
        <w:spacing w:after="0" w:line="240" w:lineRule="auto"/>
        <w:ind w:firstLine="301"/>
        <w:rPr>
          <w:rFonts w:ascii="Times New Roman" w:eastAsia="Times New Roman" w:hAnsi="Times New Roman" w:cs="Times New Roman"/>
          <w:sz w:val="24"/>
          <w:szCs w:val="24"/>
          <w:lang w:eastAsia="lv-LV"/>
        </w:rPr>
      </w:pPr>
    </w:p>
    <w:p w:rsidR="00915043" w:rsidP="00894C55" w14:paraId="73A707E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p w:rsidR="008C18D7" w:rsidRPr="004541BF" w:rsidP="00503D5E" w14:paraId="2EE3BA49" w14:textId="49C59B5A">
      <w:pPr>
        <w:spacing w:after="0" w:line="240" w:lineRule="auto"/>
        <w:rPr>
          <w:rFonts w:ascii="Times New Roman" w:eastAsia="Times New Roman" w:hAnsi="Times New Roman" w:cs="Times New Roman"/>
          <w:sz w:val="24"/>
          <w:szCs w:val="24"/>
          <w:lang w:eastAsia="lv-LV"/>
        </w:rPr>
      </w:pPr>
    </w:p>
    <w:p w:rsidR="003F664F" w:rsidRPr="004541BF" w:rsidP="003F664F" w14:paraId="3CE5B066" w14:textId="25201233">
      <w:pPr>
        <w:spacing w:after="0" w:line="240" w:lineRule="auto"/>
        <w:jc w:val="center"/>
        <w:rPr>
          <w:rFonts w:ascii="Times New Roman" w:eastAsia="Times New Roman" w:hAnsi="Times New Roman" w:cs="Times New Roman"/>
          <w:b/>
          <w:sz w:val="24"/>
          <w:szCs w:val="24"/>
          <w:lang w:eastAsia="lv-LV"/>
        </w:rPr>
      </w:pPr>
    </w:p>
    <w:tbl>
      <w:tblPr>
        <w:tblW w:w="9072" w:type="dxa"/>
        <w:tblInd w:w="-10" w:type="dxa"/>
        <w:shd w:val="clear" w:color="auto" w:fill="FFFFFF"/>
        <w:tblCellMar>
          <w:left w:w="0" w:type="dxa"/>
          <w:right w:w="0" w:type="dxa"/>
        </w:tblCellMar>
        <w:tblLook w:val="04A0"/>
      </w:tblPr>
      <w:tblGrid>
        <w:gridCol w:w="1252"/>
        <w:gridCol w:w="1988"/>
        <w:gridCol w:w="5832"/>
      </w:tblGrid>
      <w:tr w14:paraId="61C202FA" w14:textId="77777777" w:rsidTr="003F664F">
        <w:tblPrEx>
          <w:tblW w:w="9072" w:type="dxa"/>
          <w:tblInd w:w="-10" w:type="dxa"/>
          <w:shd w:val="clear" w:color="auto" w:fill="FFFFFF"/>
          <w:tblCellMar>
            <w:left w:w="0" w:type="dxa"/>
            <w:right w:w="0" w:type="dxa"/>
          </w:tblCellMar>
          <w:tblLook w:val="04A0"/>
        </w:tblPrEx>
        <w:trPr>
          <w:trHeight w:val="450"/>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3F664F" w:rsidRPr="004541BF" w:rsidP="003F664F" w14:paraId="7CC30C76" w14:textId="4E465795">
            <w:pPr>
              <w:spacing w:after="0" w:line="240" w:lineRule="auto"/>
              <w:jc w:val="center"/>
              <w:rPr>
                <w:rFonts w:ascii="Times New Roman" w:hAnsi="Times New Roman" w:cs="Times New Roman"/>
                <w:b/>
                <w:sz w:val="28"/>
                <w:szCs w:val="28"/>
              </w:rPr>
            </w:pPr>
            <w:r w:rsidRPr="004541BF">
              <w:rPr>
                <w:rFonts w:ascii="Times New Roman" w:hAnsi="Times New Roman" w:cs="Times New Roman"/>
                <w:b/>
                <w:sz w:val="28"/>
                <w:szCs w:val="28"/>
              </w:rPr>
              <w:t>IV. Tiesību akta projekta ietekme uz spēkā esošo tiesību normu sistēmu</w:t>
            </w:r>
          </w:p>
        </w:tc>
      </w:tr>
      <w:tr w14:paraId="321491C2" w14:textId="77777777" w:rsidTr="003F664F">
        <w:tblPrEx>
          <w:tblW w:w="9072" w:type="dxa"/>
          <w:tblInd w:w="-10" w:type="dxa"/>
          <w:shd w:val="clear" w:color="auto" w:fill="FFFFFF"/>
          <w:tblCellMar>
            <w:left w:w="0" w:type="dxa"/>
            <w:right w:w="0" w:type="dxa"/>
          </w:tblCellMar>
          <w:tblLook w:val="04A0"/>
        </w:tblPrEx>
        <w:tc>
          <w:tcPr>
            <w:tcW w:w="1252"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6AF91140"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1.</w:t>
            </w:r>
          </w:p>
        </w:tc>
        <w:tc>
          <w:tcPr>
            <w:tcW w:w="1988"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7017BBAF"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Nepieciešamie saistītie tiesību aktu projekti</w:t>
            </w:r>
          </w:p>
        </w:tc>
        <w:tc>
          <w:tcPr>
            <w:tcW w:w="5832"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rsidR="00DA0F40" w:rsidRPr="006D7B89" w:rsidP="00DA0F40" w14:paraId="79ED303F" w14:textId="16684897">
            <w:pPr>
              <w:pStyle w:val="ListParagraph"/>
              <w:numPr>
                <w:ilvl w:val="0"/>
                <w:numId w:val="24"/>
              </w:numPr>
              <w:spacing w:after="0" w:line="240" w:lineRule="auto"/>
              <w:ind w:left="133" w:firstLine="0"/>
              <w:jc w:val="both"/>
              <w:rPr>
                <w:rFonts w:ascii="Times New Roman" w:hAnsi="Times New Roman" w:cs="Times New Roman"/>
                <w:sz w:val="28"/>
                <w:szCs w:val="28"/>
              </w:rPr>
            </w:pPr>
            <w:r w:rsidRPr="004541BF">
              <w:rPr>
                <w:rFonts w:ascii="Times New Roman" w:hAnsi="Times New Roman" w:cs="Times New Roman"/>
                <w:sz w:val="28"/>
                <w:szCs w:val="28"/>
              </w:rPr>
              <w:t xml:space="preserve">Grozījumi </w:t>
            </w:r>
            <w:r w:rsidRPr="004541BF" w:rsidR="000F7BCD">
              <w:rPr>
                <w:rFonts w:ascii="Times New Roman" w:hAnsi="Times New Roman" w:cs="Times New Roman"/>
                <w:bCs/>
                <w:sz w:val="28"/>
                <w:szCs w:val="28"/>
              </w:rPr>
              <w:t>Ministru kabineta</w:t>
            </w:r>
            <w:r w:rsidRPr="004541BF">
              <w:rPr>
                <w:rFonts w:ascii="Times New Roman" w:hAnsi="Times New Roman" w:cs="Times New Roman"/>
                <w:bCs/>
                <w:sz w:val="28"/>
                <w:szCs w:val="28"/>
              </w:rPr>
              <w:t xml:space="preserve"> 2004. gada 13. aprīļa </w:t>
            </w:r>
            <w:r w:rsidRPr="006D7B89">
              <w:rPr>
                <w:rFonts w:ascii="Times New Roman" w:hAnsi="Times New Roman" w:cs="Times New Roman"/>
                <w:bCs/>
                <w:sz w:val="28"/>
                <w:szCs w:val="28"/>
              </w:rPr>
              <w:t>noteikumos Nr. </w:t>
            </w:r>
            <w:r w:rsidRPr="006D7B89" w:rsidR="000F7BCD">
              <w:rPr>
                <w:rFonts w:ascii="Times New Roman" w:hAnsi="Times New Roman" w:cs="Times New Roman"/>
                <w:bCs/>
                <w:sz w:val="28"/>
                <w:szCs w:val="28"/>
              </w:rPr>
              <w:t>286</w:t>
            </w:r>
            <w:r w:rsidRPr="006D7B89" w:rsidR="000F7BCD">
              <w:rPr>
                <w:rFonts w:ascii="Times New Roman" w:hAnsi="Times New Roman" w:cs="Times New Roman"/>
                <w:sz w:val="28"/>
                <w:szCs w:val="28"/>
              </w:rPr>
              <w:t> </w:t>
            </w:r>
            <w:r w:rsidRPr="006D7B89" w:rsidR="00544231">
              <w:rPr>
                <w:sz w:val="28"/>
                <w:szCs w:val="28"/>
              </w:rPr>
              <w:t>"</w:t>
            </w:r>
            <w:r w:rsidRPr="006D7B89">
              <w:rPr>
                <w:rFonts w:ascii="Times New Roman" w:hAnsi="Times New Roman" w:cs="Times New Roman"/>
                <w:sz w:val="28"/>
                <w:szCs w:val="28"/>
              </w:rPr>
              <w:t>Veselības ministrijas nolikums</w:t>
            </w:r>
            <w:r w:rsidRPr="006D7B89" w:rsidR="00544231">
              <w:rPr>
                <w:sz w:val="28"/>
                <w:szCs w:val="28"/>
              </w:rPr>
              <w:t>"</w:t>
            </w:r>
            <w:r w:rsidRPr="006D7B89">
              <w:rPr>
                <w:rFonts w:ascii="Times New Roman" w:hAnsi="Times New Roman" w:cs="Times New Roman"/>
                <w:sz w:val="28"/>
                <w:szCs w:val="28"/>
              </w:rPr>
              <w:t>, lai noteiktu</w:t>
            </w:r>
            <w:r w:rsidRPr="006D7B89" w:rsidR="00CC0971">
              <w:rPr>
                <w:rFonts w:ascii="Times New Roman" w:hAnsi="Times New Roman" w:cs="Times New Roman"/>
                <w:sz w:val="28"/>
                <w:szCs w:val="28"/>
              </w:rPr>
              <w:t xml:space="preserve"> Latvijas Antidopinga</w:t>
            </w:r>
            <w:r w:rsidRPr="006D7B89">
              <w:rPr>
                <w:rFonts w:ascii="Times New Roman" w:hAnsi="Times New Roman" w:cs="Times New Roman"/>
                <w:sz w:val="28"/>
                <w:szCs w:val="28"/>
              </w:rPr>
              <w:t xml:space="preserve"> biroj</w:t>
            </w:r>
            <w:r w:rsidRPr="006D7B89" w:rsidR="009F22FE">
              <w:rPr>
                <w:rFonts w:ascii="Times New Roman" w:hAnsi="Times New Roman" w:cs="Times New Roman"/>
                <w:sz w:val="28"/>
                <w:szCs w:val="28"/>
              </w:rPr>
              <w:t>u kā valsts pārvaldes iestādi</w:t>
            </w:r>
            <w:r w:rsidRPr="006D7B89">
              <w:rPr>
                <w:rFonts w:ascii="Times New Roman" w:hAnsi="Times New Roman" w:cs="Times New Roman"/>
                <w:sz w:val="28"/>
                <w:szCs w:val="28"/>
              </w:rPr>
              <w:t xml:space="preserve"> </w:t>
            </w:r>
            <w:r w:rsidR="00F97FF1">
              <w:rPr>
                <w:rFonts w:ascii="Times New Roman" w:hAnsi="Times New Roman" w:cs="Times New Roman"/>
                <w:sz w:val="28"/>
                <w:szCs w:val="28"/>
              </w:rPr>
              <w:t>veselības ministra</w:t>
            </w:r>
            <w:r w:rsidRPr="006D7B89">
              <w:rPr>
                <w:rFonts w:ascii="Times New Roman" w:hAnsi="Times New Roman" w:cs="Times New Roman"/>
                <w:sz w:val="28"/>
                <w:szCs w:val="28"/>
              </w:rPr>
              <w:t xml:space="preserve"> pārraudzībā; </w:t>
            </w:r>
          </w:p>
          <w:p w:rsidR="00617914" w:rsidRPr="006D7B89" w:rsidP="00022160" w14:paraId="753BC87F" w14:textId="77777777">
            <w:pPr>
              <w:pStyle w:val="ListParagraph"/>
              <w:numPr>
                <w:ilvl w:val="0"/>
                <w:numId w:val="24"/>
              </w:numPr>
              <w:spacing w:after="0" w:line="240" w:lineRule="auto"/>
              <w:ind w:left="133" w:firstLine="0"/>
              <w:contextualSpacing w:val="0"/>
              <w:jc w:val="both"/>
              <w:rPr>
                <w:rFonts w:ascii="Times New Roman" w:hAnsi="Times New Roman" w:cs="Times New Roman"/>
                <w:sz w:val="28"/>
                <w:szCs w:val="28"/>
              </w:rPr>
            </w:pPr>
            <w:r w:rsidRPr="006D7B89">
              <w:rPr>
                <w:rFonts w:ascii="Times New Roman" w:hAnsi="Times New Roman" w:cs="Times New Roman"/>
                <w:sz w:val="28"/>
                <w:szCs w:val="28"/>
              </w:rPr>
              <w:t xml:space="preserve">Jāizdod </w:t>
            </w:r>
            <w:r w:rsidRPr="006D7B89" w:rsidR="009F22FE">
              <w:rPr>
                <w:rFonts w:ascii="Times New Roman" w:hAnsi="Times New Roman" w:cs="Times New Roman"/>
                <w:sz w:val="28"/>
                <w:szCs w:val="28"/>
              </w:rPr>
              <w:t xml:space="preserve">Latvijas </w:t>
            </w:r>
            <w:r w:rsidRPr="006D7B89" w:rsidR="000F7BCD">
              <w:rPr>
                <w:rFonts w:ascii="Times New Roman" w:hAnsi="Times New Roman" w:cs="Times New Roman"/>
                <w:sz w:val="28"/>
                <w:szCs w:val="28"/>
              </w:rPr>
              <w:t>Antidopinga biroja nolikums</w:t>
            </w:r>
            <w:r w:rsidRPr="006D7B89">
              <w:rPr>
                <w:rFonts w:ascii="Times New Roman" w:hAnsi="Times New Roman" w:cs="Times New Roman"/>
                <w:sz w:val="28"/>
                <w:szCs w:val="28"/>
              </w:rPr>
              <w:t>, paredzot minētās institūcijas darbības kārt</w:t>
            </w:r>
            <w:r w:rsidRPr="006D7B89" w:rsidR="000E0667">
              <w:rPr>
                <w:rFonts w:ascii="Times New Roman" w:hAnsi="Times New Roman" w:cs="Times New Roman"/>
                <w:sz w:val="28"/>
                <w:szCs w:val="28"/>
              </w:rPr>
              <w:t>ību</w:t>
            </w:r>
            <w:r w:rsidRPr="006D7B89">
              <w:rPr>
                <w:rFonts w:ascii="Times New Roman" w:hAnsi="Times New Roman" w:cs="Times New Roman"/>
                <w:sz w:val="28"/>
                <w:szCs w:val="28"/>
              </w:rPr>
              <w:t>;</w:t>
            </w:r>
          </w:p>
          <w:p w:rsidR="000E0667" w:rsidRPr="006D7B89" w:rsidP="00022160" w14:paraId="67EEB994" w14:textId="76B05871">
            <w:pPr>
              <w:pStyle w:val="ListParagraph"/>
              <w:numPr>
                <w:ilvl w:val="0"/>
                <w:numId w:val="24"/>
              </w:numPr>
              <w:spacing w:after="0" w:line="240" w:lineRule="auto"/>
              <w:ind w:left="133" w:firstLine="0"/>
              <w:contextualSpacing w:val="0"/>
              <w:jc w:val="both"/>
              <w:rPr>
                <w:rFonts w:ascii="Times New Roman" w:hAnsi="Times New Roman" w:cs="Times New Roman"/>
                <w:sz w:val="28"/>
                <w:szCs w:val="28"/>
              </w:rPr>
            </w:pPr>
            <w:r w:rsidRPr="006D7B89">
              <w:rPr>
                <w:rFonts w:ascii="Times New Roman" w:hAnsi="Times New Roman" w:cs="Times New Roman"/>
                <w:sz w:val="28"/>
                <w:szCs w:val="28"/>
              </w:rPr>
              <w:t xml:space="preserve">Jāizdod Latvijas Nacionālās antidopinga padomes nolikums, paredzot minētās </w:t>
            </w:r>
            <w:r w:rsidRPr="006D7B89" w:rsidR="00952A24">
              <w:rPr>
                <w:rFonts w:ascii="Times New Roman" w:hAnsi="Times New Roman" w:cs="Times New Roman"/>
                <w:sz w:val="28"/>
                <w:szCs w:val="28"/>
              </w:rPr>
              <w:t>padomes</w:t>
            </w:r>
            <w:r w:rsidRPr="006D7B89">
              <w:rPr>
                <w:rFonts w:ascii="Times New Roman" w:hAnsi="Times New Roman" w:cs="Times New Roman"/>
                <w:sz w:val="28"/>
                <w:szCs w:val="28"/>
              </w:rPr>
              <w:t xml:space="preserve"> darbības kārtību;</w:t>
            </w:r>
          </w:p>
          <w:p w:rsidR="00617914" w:rsidRPr="006D7B89" w:rsidP="00022160" w14:paraId="51A41536" w14:textId="1C454122">
            <w:pPr>
              <w:pStyle w:val="ListParagraph"/>
              <w:numPr>
                <w:ilvl w:val="0"/>
                <w:numId w:val="24"/>
              </w:numPr>
              <w:spacing w:after="0" w:line="240" w:lineRule="auto"/>
              <w:ind w:left="133" w:firstLine="0"/>
              <w:contextualSpacing w:val="0"/>
              <w:jc w:val="both"/>
              <w:rPr>
                <w:rFonts w:ascii="Times New Roman" w:hAnsi="Times New Roman" w:cs="Times New Roman"/>
                <w:sz w:val="28"/>
                <w:szCs w:val="28"/>
              </w:rPr>
            </w:pPr>
            <w:r w:rsidRPr="006D7B89">
              <w:rPr>
                <w:rFonts w:ascii="Times New Roman" w:hAnsi="Times New Roman" w:cs="Times New Roman"/>
                <w:sz w:val="28"/>
                <w:szCs w:val="28"/>
              </w:rPr>
              <w:t xml:space="preserve">Jāizdod Disciplinārās antidopinga komisijas nolikums, paredzot minētās </w:t>
            </w:r>
            <w:r w:rsidRPr="006D7B89" w:rsidR="00952A24">
              <w:rPr>
                <w:rFonts w:ascii="Times New Roman" w:hAnsi="Times New Roman" w:cs="Times New Roman"/>
                <w:sz w:val="28"/>
                <w:szCs w:val="28"/>
              </w:rPr>
              <w:t xml:space="preserve">komisijas </w:t>
            </w:r>
            <w:r w:rsidRPr="006D7B89">
              <w:rPr>
                <w:rFonts w:ascii="Times New Roman" w:hAnsi="Times New Roman" w:cs="Times New Roman"/>
                <w:sz w:val="28"/>
                <w:szCs w:val="28"/>
              </w:rPr>
              <w:t>darbības kārtību</w:t>
            </w:r>
            <w:r w:rsidRPr="006D7B89" w:rsidR="00952A24">
              <w:rPr>
                <w:rFonts w:ascii="Times New Roman" w:hAnsi="Times New Roman" w:cs="Times New Roman"/>
                <w:sz w:val="28"/>
                <w:szCs w:val="28"/>
              </w:rPr>
              <w:t>;</w:t>
            </w:r>
          </w:p>
          <w:p w:rsidR="00022160" w:rsidP="006D7B89" w14:paraId="0C55817E" w14:textId="77777777">
            <w:pPr>
              <w:pStyle w:val="ListParagraph"/>
              <w:numPr>
                <w:ilvl w:val="0"/>
                <w:numId w:val="24"/>
              </w:numPr>
              <w:spacing w:after="0" w:line="240" w:lineRule="auto"/>
              <w:ind w:left="133" w:firstLine="0"/>
              <w:contextualSpacing w:val="0"/>
              <w:jc w:val="both"/>
              <w:rPr>
                <w:rFonts w:ascii="Times New Roman" w:hAnsi="Times New Roman" w:cs="Times New Roman"/>
                <w:sz w:val="28"/>
                <w:szCs w:val="28"/>
              </w:rPr>
            </w:pPr>
            <w:r w:rsidRPr="006D7B89">
              <w:rPr>
                <w:rFonts w:ascii="Times New Roman" w:hAnsi="Times New Roman" w:cs="Times New Roman"/>
                <w:sz w:val="28"/>
                <w:szCs w:val="28"/>
              </w:rPr>
              <w:t xml:space="preserve">Jāizdod </w:t>
            </w:r>
            <w:r w:rsidRPr="006D7B89" w:rsidR="009A1EC7">
              <w:rPr>
                <w:rFonts w:ascii="Times New Roman" w:hAnsi="Times New Roman" w:cs="Times New Roman"/>
                <w:sz w:val="28"/>
                <w:szCs w:val="28"/>
              </w:rPr>
              <w:t xml:space="preserve">Terapeitiskās lietošanas </w:t>
            </w:r>
            <w:r w:rsidRPr="006D7B89" w:rsidR="009A1EC7">
              <w:rPr>
                <w:rFonts w:ascii="Times New Roman" w:hAnsi="Times New Roman" w:cs="Times New Roman"/>
                <w:bCs/>
                <w:sz w:val="28"/>
                <w:szCs w:val="28"/>
              </w:rPr>
              <w:t>izņēmumu piešķiršanas</w:t>
            </w:r>
            <w:r w:rsidRPr="006D7B89" w:rsidR="009A1EC7">
              <w:rPr>
                <w:rFonts w:ascii="Times New Roman" w:hAnsi="Times New Roman" w:cs="Times New Roman"/>
                <w:sz w:val="28"/>
                <w:szCs w:val="28"/>
              </w:rPr>
              <w:t xml:space="preserve"> </w:t>
            </w:r>
            <w:r w:rsidRPr="006D7B89">
              <w:rPr>
                <w:rFonts w:ascii="Times New Roman" w:hAnsi="Times New Roman" w:cs="Times New Roman"/>
                <w:sz w:val="28"/>
                <w:szCs w:val="28"/>
              </w:rPr>
              <w:t xml:space="preserve">komisijas nolikums, paredzot minētās </w:t>
            </w:r>
            <w:r w:rsidRPr="006D7B89" w:rsidR="00952A24">
              <w:rPr>
                <w:rFonts w:ascii="Times New Roman" w:hAnsi="Times New Roman" w:cs="Times New Roman"/>
                <w:sz w:val="28"/>
                <w:szCs w:val="28"/>
              </w:rPr>
              <w:t>komisijas</w:t>
            </w:r>
            <w:r w:rsidRPr="006D7B89">
              <w:rPr>
                <w:rFonts w:ascii="Times New Roman" w:hAnsi="Times New Roman" w:cs="Times New Roman"/>
                <w:sz w:val="28"/>
                <w:szCs w:val="28"/>
              </w:rPr>
              <w:t xml:space="preserve"> darbības kārtību</w:t>
            </w:r>
            <w:r w:rsidR="006D7B89">
              <w:rPr>
                <w:rFonts w:ascii="Times New Roman" w:hAnsi="Times New Roman" w:cs="Times New Roman"/>
                <w:sz w:val="28"/>
                <w:szCs w:val="28"/>
              </w:rPr>
              <w:t>.</w:t>
            </w:r>
          </w:p>
          <w:p w:rsidR="006D7B89" w:rsidRPr="006D7B89" w:rsidP="006D7B89" w14:paraId="53D51F09" w14:textId="41238FEE">
            <w:pPr>
              <w:pStyle w:val="ListParagraph"/>
              <w:spacing w:after="0" w:line="240" w:lineRule="auto"/>
              <w:ind w:left="133"/>
              <w:contextualSpacing w:val="0"/>
              <w:jc w:val="both"/>
              <w:rPr>
                <w:rFonts w:ascii="Times New Roman" w:hAnsi="Times New Roman" w:cs="Times New Roman"/>
                <w:sz w:val="28"/>
                <w:szCs w:val="28"/>
              </w:rPr>
            </w:pPr>
          </w:p>
        </w:tc>
      </w:tr>
      <w:tr w14:paraId="3DE46EB8" w14:textId="77777777" w:rsidTr="003F664F">
        <w:tblPrEx>
          <w:tblW w:w="9072" w:type="dxa"/>
          <w:tblInd w:w="-10" w:type="dxa"/>
          <w:shd w:val="clear" w:color="auto" w:fill="FFFFFF"/>
          <w:tblCellMar>
            <w:left w:w="0" w:type="dxa"/>
            <w:right w:w="0" w:type="dxa"/>
          </w:tblCellMar>
          <w:tblLook w:val="04A0"/>
        </w:tblPrEx>
        <w:tc>
          <w:tcPr>
            <w:tcW w:w="1252"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5A28921F"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2.</w:t>
            </w:r>
          </w:p>
        </w:tc>
        <w:tc>
          <w:tcPr>
            <w:tcW w:w="198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617A9683"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Atbildīgā institūcija</w:t>
            </w:r>
          </w:p>
        </w:tc>
        <w:tc>
          <w:tcPr>
            <w:tcW w:w="5832"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36ED04F8" w14:textId="6D938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ministrija un</w:t>
            </w:r>
            <w:r w:rsidRPr="004541BF">
              <w:rPr>
                <w:rFonts w:ascii="Times New Roman" w:hAnsi="Times New Roman" w:cs="Times New Roman"/>
                <w:sz w:val="28"/>
                <w:szCs w:val="28"/>
              </w:rPr>
              <w:t xml:space="preserve"> </w:t>
            </w:r>
            <w:r w:rsidRPr="004541BF" w:rsidR="00437A6D">
              <w:rPr>
                <w:rFonts w:ascii="Times New Roman" w:hAnsi="Times New Roman" w:cs="Times New Roman"/>
                <w:sz w:val="28"/>
                <w:szCs w:val="28"/>
              </w:rPr>
              <w:t>Iz</w:t>
            </w:r>
            <w:r w:rsidR="00C67353">
              <w:rPr>
                <w:rFonts w:ascii="Times New Roman" w:hAnsi="Times New Roman" w:cs="Times New Roman"/>
                <w:sz w:val="28"/>
                <w:szCs w:val="28"/>
              </w:rPr>
              <w:t>glītības un zinātnes ministrija</w:t>
            </w:r>
            <w:r w:rsidRPr="004541BF">
              <w:rPr>
                <w:rFonts w:ascii="Times New Roman" w:hAnsi="Times New Roman" w:cs="Times New Roman"/>
                <w:sz w:val="28"/>
                <w:szCs w:val="28"/>
              </w:rPr>
              <w:t>.</w:t>
            </w:r>
          </w:p>
        </w:tc>
      </w:tr>
      <w:tr w14:paraId="4239A72D" w14:textId="77777777" w:rsidTr="003F664F">
        <w:tblPrEx>
          <w:tblW w:w="9072" w:type="dxa"/>
          <w:tblInd w:w="-10" w:type="dxa"/>
          <w:shd w:val="clear" w:color="auto" w:fill="FFFFFF"/>
          <w:tblCellMar>
            <w:left w:w="0" w:type="dxa"/>
            <w:right w:w="0" w:type="dxa"/>
          </w:tblCellMar>
          <w:tblLook w:val="04A0"/>
        </w:tblPrEx>
        <w:tc>
          <w:tcPr>
            <w:tcW w:w="1252"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7F784D66"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3.</w:t>
            </w:r>
          </w:p>
        </w:tc>
        <w:tc>
          <w:tcPr>
            <w:tcW w:w="198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453E49FA"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Cita informācija</w:t>
            </w:r>
          </w:p>
        </w:tc>
        <w:tc>
          <w:tcPr>
            <w:tcW w:w="5832"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F664F" w:rsidRPr="004541BF" w:rsidP="003F664F" w14:paraId="01A8C27B" w14:textId="77777777">
            <w:pPr>
              <w:spacing w:after="0" w:line="240" w:lineRule="auto"/>
              <w:jc w:val="both"/>
              <w:rPr>
                <w:rFonts w:ascii="Times New Roman" w:hAnsi="Times New Roman" w:cs="Times New Roman"/>
                <w:sz w:val="28"/>
                <w:szCs w:val="28"/>
              </w:rPr>
            </w:pPr>
            <w:r w:rsidRPr="004541BF">
              <w:rPr>
                <w:rFonts w:ascii="Times New Roman" w:hAnsi="Times New Roman" w:cs="Times New Roman"/>
                <w:sz w:val="28"/>
                <w:szCs w:val="28"/>
              </w:rPr>
              <w:t>Nav</w:t>
            </w:r>
          </w:p>
        </w:tc>
      </w:tr>
    </w:tbl>
    <w:p w:rsidR="0090367D" w:rsidP="0012227E" w14:paraId="32400608" w14:textId="46DB9A8C">
      <w:pPr>
        <w:spacing w:after="0" w:line="240" w:lineRule="auto"/>
        <w:rPr>
          <w:rFonts w:ascii="Times New Roman" w:hAnsi="Times New Roman" w:cs="Times New Roman"/>
          <w:sz w:val="24"/>
          <w:szCs w:val="24"/>
        </w:rPr>
      </w:pPr>
    </w:p>
    <w:p w:rsidR="00390169" w:rsidP="00390169" w14:paraId="4CBA4346" w14:textId="77777777"/>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3"/>
        <w:gridCol w:w="2626"/>
        <w:gridCol w:w="5976"/>
      </w:tblGrid>
      <w:tr w14:paraId="269EF0D9" w14:textId="77777777" w:rsidTr="00390169">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0169" w:rsidRPr="00BE7B44" w:rsidP="00BE7B44" w14:paraId="20B3A3C8" w14:textId="77777777">
            <w:pPr>
              <w:pStyle w:val="tvhtml"/>
              <w:spacing w:before="0" w:beforeAutospacing="0" w:after="0" w:afterAutospacing="0"/>
              <w:jc w:val="center"/>
              <w:rPr>
                <w:b/>
                <w:bCs/>
                <w:sz w:val="28"/>
                <w:szCs w:val="28"/>
              </w:rPr>
            </w:pPr>
            <w:r w:rsidRPr="00BE7B44">
              <w:rPr>
                <w:b/>
                <w:bCs/>
                <w:sz w:val="28"/>
                <w:szCs w:val="28"/>
              </w:rPr>
              <w:t>V. Tiesību akta projekta atbilstība Latvijas Republikas starptautiskajām saistībām</w:t>
            </w:r>
          </w:p>
        </w:tc>
      </w:tr>
      <w:tr w14:paraId="77A8600E" w14:textId="77777777" w:rsidTr="00390169">
        <w:tblPrEx>
          <w:tblW w:w="5000" w:type="pct"/>
          <w:shd w:val="clear" w:color="auto" w:fill="FFFFFF"/>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BE7B44" w14:paraId="3A8A695C" w14:textId="77777777">
            <w:pPr>
              <w:spacing w:after="0" w:line="240" w:lineRule="auto"/>
              <w:rPr>
                <w:rFonts w:ascii="Times New Roman" w:hAnsi="Times New Roman" w:cs="Times New Roman"/>
                <w:sz w:val="28"/>
                <w:szCs w:val="28"/>
              </w:rPr>
            </w:pPr>
            <w:r w:rsidRPr="00BE7B44">
              <w:rPr>
                <w:rFonts w:ascii="Times New Roman" w:hAnsi="Times New Roman" w:cs="Times New Roman"/>
                <w:sz w:val="28"/>
                <w:szCs w:val="28"/>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BE7B44" w14:paraId="6AF8AE8F" w14:textId="77777777">
            <w:pPr>
              <w:spacing w:after="0" w:line="240" w:lineRule="auto"/>
              <w:rPr>
                <w:rFonts w:ascii="Times New Roman" w:hAnsi="Times New Roman" w:cs="Times New Roman"/>
                <w:sz w:val="28"/>
                <w:szCs w:val="28"/>
              </w:rPr>
            </w:pPr>
            <w:r w:rsidRPr="00BE7B44">
              <w:rPr>
                <w:rFonts w:ascii="Times New Roman" w:hAnsi="Times New Roman" w:cs="Times New Roman"/>
                <w:sz w:val="28"/>
                <w:szCs w:val="28"/>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BE7B44" w14:paraId="614D905E" w14:textId="319BCF78">
            <w:pPr>
              <w:spacing w:after="0" w:line="240" w:lineRule="auto"/>
              <w:rPr>
                <w:rFonts w:ascii="Times New Roman" w:hAnsi="Times New Roman" w:cs="Times New Roman"/>
                <w:sz w:val="28"/>
                <w:szCs w:val="28"/>
              </w:rPr>
            </w:pPr>
            <w:r w:rsidRPr="00BE7B44">
              <w:rPr>
                <w:rFonts w:ascii="Times New Roman" w:hAnsi="Times New Roman" w:cs="Times New Roman"/>
                <w:bCs/>
                <w:sz w:val="28"/>
                <w:szCs w:val="28"/>
              </w:rPr>
              <w:t>Projekts šo jomu neskar.</w:t>
            </w:r>
          </w:p>
        </w:tc>
      </w:tr>
      <w:tr w14:paraId="2A043CF6" w14:textId="77777777" w:rsidTr="00390169">
        <w:tblPrEx>
          <w:tblW w:w="5000" w:type="pct"/>
          <w:shd w:val="clear" w:color="auto" w:fill="FFFFFF"/>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BE7B44" w14:paraId="1179E73C" w14:textId="77777777">
            <w:pPr>
              <w:spacing w:after="0" w:line="240" w:lineRule="auto"/>
              <w:rPr>
                <w:rFonts w:ascii="Times New Roman" w:hAnsi="Times New Roman" w:cs="Times New Roman"/>
                <w:sz w:val="28"/>
                <w:szCs w:val="28"/>
              </w:rPr>
            </w:pPr>
            <w:r w:rsidRPr="00BE7B44">
              <w:rPr>
                <w:rFonts w:ascii="Times New Roman" w:hAnsi="Times New Roman" w:cs="Times New Roman"/>
                <w:sz w:val="28"/>
                <w:szCs w:val="28"/>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390169" w:rsidRPr="00F97FF1" w:rsidP="00BE7B44" w14:paraId="0CA89CE0" w14:textId="77777777">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390169" w:rsidRPr="00F97FF1" w:rsidP="00E25206" w14:paraId="3B96FA11" w14:textId="7E3B56E8">
            <w:pPr>
              <w:spacing w:after="0" w:line="240" w:lineRule="auto"/>
              <w:jc w:val="both"/>
              <w:rPr>
                <w:rFonts w:ascii="Times New Roman" w:hAnsi="Times New Roman" w:cs="Times New Roman"/>
                <w:sz w:val="28"/>
                <w:szCs w:val="28"/>
              </w:rPr>
            </w:pPr>
            <w:r w:rsidRPr="00F97FF1">
              <w:rPr>
                <w:rFonts w:ascii="Times New Roman" w:hAnsi="Times New Roman" w:cs="Times New Roman"/>
                <w:color w:val="414142"/>
                <w:sz w:val="28"/>
                <w:szCs w:val="28"/>
              </w:rPr>
              <w:t>2005.gada 19.oktobra Starptautiskās konvencijas pret dopingu sportā 1. </w:t>
            </w:r>
            <w:r w:rsidRPr="00F97FF1">
              <w:rPr>
                <w:rFonts w:ascii="Times New Roman" w:hAnsi="Times New Roman" w:cs="Times New Roman"/>
                <w:color w:val="414142"/>
                <w:sz w:val="28"/>
                <w:szCs w:val="28"/>
                <w:shd w:val="clear" w:color="auto" w:fill="FFFFFF"/>
              </w:rPr>
              <w:t>papildinājums Pasaules antidopinga aģentūras 2003. gada 5. martā Kopenhāgenā pieņemtais Pasaules Antidopinga kodekss.</w:t>
            </w:r>
          </w:p>
        </w:tc>
      </w:tr>
      <w:tr w14:paraId="0BC26A6D" w14:textId="77777777" w:rsidTr="00390169">
        <w:tblPrEx>
          <w:tblW w:w="5000" w:type="pct"/>
          <w:shd w:val="clear" w:color="auto" w:fill="FFFFFF"/>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BE7B44" w14:paraId="7FA37A96" w14:textId="77777777">
            <w:pPr>
              <w:spacing w:after="0" w:line="240" w:lineRule="auto"/>
              <w:rPr>
                <w:rFonts w:ascii="Times New Roman" w:hAnsi="Times New Roman" w:cs="Times New Roman"/>
                <w:sz w:val="28"/>
                <w:szCs w:val="28"/>
              </w:rPr>
            </w:pPr>
            <w:r w:rsidRPr="00BE7B44">
              <w:rPr>
                <w:rFonts w:ascii="Times New Roman" w:hAnsi="Times New Roman" w:cs="Times New Roman"/>
                <w:sz w:val="28"/>
                <w:szCs w:val="28"/>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BE7B44" w14:paraId="3DA2C8CC" w14:textId="77777777">
            <w:pPr>
              <w:spacing w:after="0" w:line="240" w:lineRule="auto"/>
              <w:rPr>
                <w:rFonts w:ascii="Times New Roman" w:hAnsi="Times New Roman" w:cs="Times New Roman"/>
                <w:sz w:val="28"/>
                <w:szCs w:val="28"/>
              </w:rPr>
            </w:pPr>
            <w:r w:rsidRPr="00BE7B44">
              <w:rPr>
                <w:rFonts w:ascii="Times New Roman" w:hAnsi="Times New Roman" w:cs="Times New Roman"/>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390169" w:rsidRPr="00BE7B44" w:rsidP="001A361D" w14:paraId="384A0C30" w14:textId="3A98691D">
            <w:pPr>
              <w:pStyle w:val="tvhtml"/>
              <w:spacing w:before="0" w:beforeAutospacing="0" w:after="0" w:afterAutospacing="0"/>
              <w:jc w:val="both"/>
              <w:rPr>
                <w:sz w:val="28"/>
                <w:szCs w:val="28"/>
              </w:rPr>
            </w:pPr>
            <w:r w:rsidRPr="00BE7B44">
              <w:rPr>
                <w:bCs/>
                <w:sz w:val="28"/>
                <w:szCs w:val="28"/>
              </w:rPr>
              <w:t>L</w:t>
            </w:r>
            <w:r w:rsidR="001A361D">
              <w:rPr>
                <w:bCs/>
                <w:sz w:val="28"/>
                <w:szCs w:val="28"/>
              </w:rPr>
              <w:t>ikumprojekts tika</w:t>
            </w:r>
            <w:r w:rsidRPr="00BE7B44">
              <w:rPr>
                <w:bCs/>
                <w:sz w:val="28"/>
                <w:szCs w:val="28"/>
              </w:rPr>
              <w:t xml:space="preserve"> nosūtīts Pasaules Antidopinga organizācijai izvērtēšanai</w:t>
            </w:r>
            <w:r w:rsidR="001A361D">
              <w:rPr>
                <w:bCs/>
                <w:sz w:val="28"/>
                <w:szCs w:val="28"/>
              </w:rPr>
              <w:t xml:space="preserve">, saņemot komentārus un precizējumus, tostarp aicinājumu uzticēt </w:t>
            </w:r>
            <w:r w:rsidR="001A361D">
              <w:rPr>
                <w:sz w:val="28"/>
                <w:szCs w:val="28"/>
              </w:rPr>
              <w:t>Disciplinārās antidopinga komisijas</w:t>
            </w:r>
            <w:r w:rsidRPr="00600E53" w:rsidR="001A361D">
              <w:rPr>
                <w:sz w:val="28"/>
                <w:szCs w:val="28"/>
              </w:rPr>
              <w:t xml:space="preserve"> </w:t>
            </w:r>
            <w:r w:rsidR="001A361D">
              <w:rPr>
                <w:bCs/>
                <w:sz w:val="28"/>
                <w:szCs w:val="28"/>
              </w:rPr>
              <w:t>izveidi</w:t>
            </w:r>
            <w:r w:rsidRPr="00600E53" w:rsidR="001A361D">
              <w:rPr>
                <w:bCs/>
                <w:sz w:val="28"/>
                <w:szCs w:val="28"/>
              </w:rPr>
              <w:t xml:space="preserve"> </w:t>
            </w:r>
            <w:r w:rsidR="001A361D">
              <w:rPr>
                <w:bCs/>
                <w:sz w:val="28"/>
                <w:szCs w:val="28"/>
              </w:rPr>
              <w:t>uzticēt</w:t>
            </w:r>
            <w:r w:rsidRPr="00600E53" w:rsidR="001A361D">
              <w:rPr>
                <w:bCs/>
                <w:sz w:val="28"/>
                <w:szCs w:val="28"/>
              </w:rPr>
              <w:t xml:space="preserve"> biedrība</w:t>
            </w:r>
            <w:r w:rsidR="001A361D">
              <w:rPr>
                <w:bCs/>
                <w:sz w:val="28"/>
                <w:szCs w:val="28"/>
              </w:rPr>
              <w:t>i</w:t>
            </w:r>
            <w:r w:rsidRPr="00600E53" w:rsidR="001A361D">
              <w:rPr>
                <w:bCs/>
                <w:sz w:val="28"/>
                <w:szCs w:val="28"/>
              </w:rPr>
              <w:t xml:space="preserve"> “Latvijas Olimpiskā komiteja”</w:t>
            </w:r>
            <w:r w:rsidR="001A361D">
              <w:rPr>
                <w:bCs/>
                <w:sz w:val="28"/>
                <w:szCs w:val="28"/>
              </w:rPr>
              <w:t>, lai palielinātu šīs komisijas neatkarību.</w:t>
            </w:r>
          </w:p>
        </w:tc>
      </w:tr>
    </w:tbl>
    <w:p w:rsidR="00390169" w:rsidP="00390169" w14:paraId="3C799B09" w14:textId="77777777">
      <w:pPr>
        <w:pStyle w:val="tvhtml"/>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572"/>
        <w:gridCol w:w="373"/>
        <w:gridCol w:w="1650"/>
        <w:gridCol w:w="1242"/>
        <w:gridCol w:w="989"/>
        <w:gridCol w:w="2229"/>
      </w:tblGrid>
      <w:tr w14:paraId="6FB2E080" w14:textId="77777777" w:rsidTr="00390169">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90169" w:rsidRPr="002C0610" w14:paraId="203D6E08" w14:textId="77777777">
            <w:pPr>
              <w:pStyle w:val="tvhtml"/>
              <w:spacing w:line="293" w:lineRule="atLeast"/>
              <w:jc w:val="center"/>
              <w:rPr>
                <w:b/>
                <w:bCs/>
                <w:sz w:val="28"/>
                <w:szCs w:val="28"/>
              </w:rPr>
            </w:pPr>
            <w:r w:rsidRPr="002C0610">
              <w:rPr>
                <w:b/>
                <w:bCs/>
                <w:sz w:val="28"/>
                <w:szCs w:val="28"/>
              </w:rPr>
              <w:t>1.tabula</w:t>
            </w:r>
            <w:r w:rsidRPr="002C0610">
              <w:rPr>
                <w:b/>
                <w:bCs/>
                <w:sz w:val="28"/>
                <w:szCs w:val="28"/>
              </w:rPr>
              <w:br/>
              <w:t>Tiesību akta projekta atbilstība ES tiesību aktiem</w:t>
            </w:r>
          </w:p>
        </w:tc>
      </w:tr>
      <w:tr w14:paraId="3306348A" w14:textId="77777777" w:rsidTr="00DD6771">
        <w:tblPrEx>
          <w:tblW w:w="5000" w:type="pct"/>
          <w:jc w:val="center"/>
          <w:tblCellMar>
            <w:top w:w="30" w:type="dxa"/>
            <w:left w:w="30" w:type="dxa"/>
            <w:bottom w:w="30" w:type="dxa"/>
            <w:right w:w="30" w:type="dxa"/>
          </w:tblCellMar>
          <w:tblLook w:val="04A0"/>
        </w:tblPrEx>
        <w:trPr>
          <w:jc w:val="center"/>
        </w:trPr>
        <w:tc>
          <w:tcPr>
            <w:tcW w:w="1420" w:type="pct"/>
            <w:tcBorders>
              <w:top w:val="outset" w:sz="6" w:space="0" w:color="414142"/>
              <w:left w:val="outset" w:sz="6" w:space="0" w:color="414142"/>
              <w:bottom w:val="outset" w:sz="6" w:space="0" w:color="414142"/>
              <w:right w:val="outset" w:sz="6" w:space="0" w:color="414142"/>
            </w:tcBorders>
            <w:hideMark/>
          </w:tcPr>
          <w:p w:rsidR="00390169" w:rsidRPr="002C0610" w14:paraId="3C5B8629" w14:textId="77777777">
            <w:pPr>
              <w:rPr>
                <w:rFonts w:ascii="Times New Roman" w:hAnsi="Times New Roman" w:cs="Times New Roman"/>
                <w:sz w:val="28"/>
                <w:szCs w:val="28"/>
              </w:rPr>
            </w:pPr>
            <w:r w:rsidRPr="002C0610">
              <w:rPr>
                <w:rFonts w:ascii="Times New Roman" w:hAnsi="Times New Roman" w:cs="Times New Roman"/>
                <w:sz w:val="28"/>
                <w:szCs w:val="28"/>
              </w:rPr>
              <w:t>Attiecīgā ES tiesību akta datums, numurs un nosaukums</w:t>
            </w:r>
          </w:p>
        </w:tc>
        <w:tc>
          <w:tcPr>
            <w:tcW w:w="3580" w:type="pct"/>
            <w:gridSpan w:val="5"/>
            <w:tcBorders>
              <w:top w:val="outset" w:sz="6" w:space="0" w:color="414142"/>
              <w:left w:val="outset" w:sz="6" w:space="0" w:color="414142"/>
              <w:bottom w:val="outset" w:sz="6" w:space="0" w:color="414142"/>
              <w:right w:val="outset" w:sz="6" w:space="0" w:color="414142"/>
            </w:tcBorders>
            <w:shd w:val="clear" w:color="auto" w:fill="auto"/>
            <w:hideMark/>
          </w:tcPr>
          <w:p w:rsidR="00390169" w:rsidRPr="002C0610" w14:paraId="1E36AFE2" w14:textId="5D479A42">
            <w:pPr>
              <w:rPr>
                <w:rFonts w:ascii="Times New Roman" w:hAnsi="Times New Roman" w:cs="Times New Roman"/>
                <w:sz w:val="28"/>
                <w:szCs w:val="28"/>
              </w:rPr>
            </w:pPr>
          </w:p>
        </w:tc>
      </w:tr>
      <w:tr w14:paraId="4A962D18" w14:textId="77777777" w:rsidTr="00DD6771">
        <w:tblPrEx>
          <w:tblW w:w="5000" w:type="pct"/>
          <w:jc w:val="center"/>
          <w:tblCellMar>
            <w:top w:w="30" w:type="dxa"/>
            <w:left w:w="30" w:type="dxa"/>
            <w:bottom w:w="30" w:type="dxa"/>
            <w:right w:w="30" w:type="dxa"/>
          </w:tblCellMar>
          <w:tblLook w:val="04A0"/>
        </w:tblPrEx>
        <w:trPr>
          <w:jc w:val="center"/>
        </w:trPr>
        <w:tc>
          <w:tcPr>
            <w:tcW w:w="1420" w:type="pct"/>
            <w:tcBorders>
              <w:top w:val="outset" w:sz="6" w:space="0" w:color="414142"/>
              <w:left w:val="outset" w:sz="6" w:space="0" w:color="414142"/>
              <w:bottom w:val="outset" w:sz="6" w:space="0" w:color="414142"/>
              <w:right w:val="outset" w:sz="6" w:space="0" w:color="414142"/>
            </w:tcBorders>
            <w:vAlign w:val="center"/>
            <w:hideMark/>
          </w:tcPr>
          <w:p w:rsidR="00390169" w:rsidRPr="002C0610" w14:paraId="101A57E5" w14:textId="77777777">
            <w:pPr>
              <w:pStyle w:val="tvhtml"/>
              <w:spacing w:line="293" w:lineRule="atLeast"/>
              <w:jc w:val="center"/>
              <w:rPr>
                <w:sz w:val="28"/>
                <w:szCs w:val="28"/>
              </w:rPr>
            </w:pPr>
            <w:r w:rsidRPr="002C0610">
              <w:rPr>
                <w:sz w:val="28"/>
                <w:szCs w:val="28"/>
              </w:rPr>
              <w:t>A</w:t>
            </w:r>
          </w:p>
        </w:tc>
        <w:tc>
          <w:tcPr>
            <w:tcW w:w="1117" w:type="pct"/>
            <w:gridSpan w:val="2"/>
            <w:tcBorders>
              <w:top w:val="outset" w:sz="6" w:space="0" w:color="414142"/>
              <w:left w:val="outset" w:sz="6" w:space="0" w:color="414142"/>
              <w:bottom w:val="outset" w:sz="6" w:space="0" w:color="414142"/>
              <w:right w:val="outset" w:sz="6" w:space="0" w:color="414142"/>
            </w:tcBorders>
            <w:vAlign w:val="center"/>
            <w:hideMark/>
          </w:tcPr>
          <w:p w:rsidR="00390169" w:rsidRPr="002C0610" w14:paraId="5DAAA3C9" w14:textId="77777777">
            <w:pPr>
              <w:pStyle w:val="tvhtml"/>
              <w:spacing w:line="293" w:lineRule="atLeast"/>
              <w:jc w:val="center"/>
              <w:rPr>
                <w:sz w:val="28"/>
                <w:szCs w:val="28"/>
              </w:rPr>
            </w:pPr>
            <w:r w:rsidRPr="002C0610">
              <w:rPr>
                <w:sz w:val="28"/>
                <w:szCs w:val="28"/>
              </w:rPr>
              <w:t>B</w:t>
            </w:r>
          </w:p>
        </w:tc>
        <w:tc>
          <w:tcPr>
            <w:tcW w:w="1232" w:type="pct"/>
            <w:gridSpan w:val="2"/>
            <w:tcBorders>
              <w:top w:val="outset" w:sz="6" w:space="0" w:color="414142"/>
              <w:left w:val="outset" w:sz="6" w:space="0" w:color="414142"/>
              <w:bottom w:val="outset" w:sz="6" w:space="0" w:color="414142"/>
              <w:right w:val="outset" w:sz="6" w:space="0" w:color="414142"/>
            </w:tcBorders>
            <w:vAlign w:val="center"/>
            <w:hideMark/>
          </w:tcPr>
          <w:p w:rsidR="00390169" w:rsidRPr="002C0610" w14:paraId="765A4DAD" w14:textId="77777777">
            <w:pPr>
              <w:pStyle w:val="tvhtml"/>
              <w:spacing w:line="293" w:lineRule="atLeast"/>
              <w:jc w:val="center"/>
              <w:rPr>
                <w:sz w:val="28"/>
                <w:szCs w:val="28"/>
              </w:rPr>
            </w:pPr>
            <w:r w:rsidRPr="002C0610">
              <w:rPr>
                <w:sz w:val="28"/>
                <w:szCs w:val="28"/>
              </w:rPr>
              <w:t>C</w:t>
            </w:r>
          </w:p>
        </w:tc>
        <w:tc>
          <w:tcPr>
            <w:tcW w:w="1231" w:type="pct"/>
            <w:tcBorders>
              <w:top w:val="outset" w:sz="6" w:space="0" w:color="414142"/>
              <w:left w:val="outset" w:sz="6" w:space="0" w:color="414142"/>
              <w:bottom w:val="outset" w:sz="6" w:space="0" w:color="414142"/>
              <w:right w:val="outset" w:sz="6" w:space="0" w:color="414142"/>
            </w:tcBorders>
            <w:vAlign w:val="center"/>
            <w:hideMark/>
          </w:tcPr>
          <w:p w:rsidR="00390169" w:rsidRPr="002C0610" w14:paraId="0162E920" w14:textId="77777777">
            <w:pPr>
              <w:pStyle w:val="tvhtml"/>
              <w:spacing w:line="293" w:lineRule="atLeast"/>
              <w:jc w:val="center"/>
              <w:rPr>
                <w:sz w:val="28"/>
                <w:szCs w:val="28"/>
              </w:rPr>
            </w:pPr>
            <w:r w:rsidRPr="002C0610">
              <w:rPr>
                <w:sz w:val="28"/>
                <w:szCs w:val="28"/>
              </w:rPr>
              <w:t>D</w:t>
            </w:r>
          </w:p>
        </w:tc>
      </w:tr>
      <w:tr w14:paraId="4E57682B" w14:textId="77777777" w:rsidTr="00DD6771">
        <w:tblPrEx>
          <w:tblW w:w="5000" w:type="pct"/>
          <w:jc w:val="center"/>
          <w:tblCellMar>
            <w:top w:w="30" w:type="dxa"/>
            <w:left w:w="30" w:type="dxa"/>
            <w:bottom w:w="30" w:type="dxa"/>
            <w:right w:w="30" w:type="dxa"/>
          </w:tblCellMar>
          <w:tblLook w:val="04A0"/>
        </w:tblPrEx>
        <w:trPr>
          <w:jc w:val="center"/>
        </w:trPr>
        <w:tc>
          <w:tcPr>
            <w:tcW w:w="1420" w:type="pct"/>
            <w:tcBorders>
              <w:top w:val="outset" w:sz="6" w:space="0" w:color="414142"/>
              <w:left w:val="outset" w:sz="6" w:space="0" w:color="414142"/>
              <w:bottom w:val="outset" w:sz="6" w:space="0" w:color="414142"/>
              <w:right w:val="outset" w:sz="6" w:space="0" w:color="414142"/>
            </w:tcBorders>
            <w:hideMark/>
          </w:tcPr>
          <w:p w:rsidR="00390169" w:rsidRPr="002C0610" w14:paraId="7E4CBB99" w14:textId="77777777">
            <w:pPr>
              <w:rPr>
                <w:rFonts w:ascii="Times New Roman" w:hAnsi="Times New Roman" w:cs="Times New Roman"/>
                <w:sz w:val="28"/>
                <w:szCs w:val="28"/>
              </w:rPr>
            </w:pPr>
            <w:r w:rsidRPr="002C0610">
              <w:rPr>
                <w:rFonts w:ascii="Times New Roman" w:hAnsi="Times New Roman" w:cs="Times New Roman"/>
                <w:sz w:val="28"/>
                <w:szCs w:val="28"/>
              </w:rPr>
              <w:t>Attiecīgā ES tiesību akta panta numurs (uzskaitot katru tiesību akta vienību – pantu, daļu, punktu, apakšpunktu)</w:t>
            </w:r>
          </w:p>
        </w:tc>
        <w:tc>
          <w:tcPr>
            <w:tcW w:w="1117" w:type="pct"/>
            <w:gridSpan w:val="2"/>
            <w:tcBorders>
              <w:top w:val="outset" w:sz="6" w:space="0" w:color="414142"/>
              <w:left w:val="outset" w:sz="6" w:space="0" w:color="414142"/>
              <w:bottom w:val="outset" w:sz="6" w:space="0" w:color="414142"/>
              <w:right w:val="outset" w:sz="6" w:space="0" w:color="414142"/>
            </w:tcBorders>
            <w:hideMark/>
          </w:tcPr>
          <w:p w:rsidR="00390169" w:rsidRPr="002C0610" w14:paraId="60C5C5A1" w14:textId="77777777">
            <w:pPr>
              <w:rPr>
                <w:rFonts w:ascii="Times New Roman" w:hAnsi="Times New Roman" w:cs="Times New Roman"/>
                <w:sz w:val="28"/>
                <w:szCs w:val="28"/>
              </w:rPr>
            </w:pPr>
            <w:r w:rsidRPr="002C0610">
              <w:rPr>
                <w:rFonts w:ascii="Times New Roman" w:hAnsi="Times New Roman" w:cs="Times New Roman"/>
                <w:sz w:val="28"/>
                <w:szCs w:val="28"/>
              </w:rPr>
              <w:t>Projekta vienība, kas pārņem vai ievieš katru šīs tabulas A ailē minēto ES tiesību akta vienību, vai tiesību akts, kur attiecīgā ES tiesību akta vienība pārņemta vai ieviesta</w:t>
            </w:r>
          </w:p>
        </w:tc>
        <w:tc>
          <w:tcPr>
            <w:tcW w:w="1232" w:type="pct"/>
            <w:gridSpan w:val="2"/>
            <w:tcBorders>
              <w:top w:val="outset" w:sz="6" w:space="0" w:color="414142"/>
              <w:left w:val="outset" w:sz="6" w:space="0" w:color="414142"/>
              <w:bottom w:val="outset" w:sz="6" w:space="0" w:color="414142"/>
              <w:right w:val="outset" w:sz="6" w:space="0" w:color="414142"/>
            </w:tcBorders>
            <w:hideMark/>
          </w:tcPr>
          <w:p w:rsidR="00390169" w:rsidRPr="002C0610" w14:paraId="1E3BA4CE" w14:textId="77777777">
            <w:pPr>
              <w:rPr>
                <w:rFonts w:ascii="Times New Roman" w:hAnsi="Times New Roman" w:cs="Times New Roman"/>
                <w:sz w:val="28"/>
                <w:szCs w:val="28"/>
              </w:rPr>
            </w:pPr>
            <w:r w:rsidRPr="002C0610">
              <w:rPr>
                <w:rFonts w:ascii="Times New Roman" w:hAnsi="Times New Roman" w:cs="Times New Roman"/>
                <w:sz w:val="28"/>
                <w:szCs w:val="28"/>
              </w:rPr>
              <w:t>Informācija par to, vai šīs tabulas A ailē minētās ES tiesību akta vienības tiek pārņemtas vai ieviestas pilnībā vai daļēji.</w:t>
            </w:r>
          </w:p>
          <w:p w:rsidR="00390169" w:rsidRPr="002C0610" w14:paraId="712E3B37" w14:textId="77777777">
            <w:pPr>
              <w:pStyle w:val="tvhtml"/>
              <w:spacing w:line="293" w:lineRule="atLeast"/>
              <w:rPr>
                <w:sz w:val="28"/>
                <w:szCs w:val="28"/>
              </w:rPr>
            </w:pPr>
            <w:r w:rsidRPr="002C0610">
              <w:rPr>
                <w:sz w:val="28"/>
                <w:szCs w:val="28"/>
              </w:rPr>
              <w:t xml:space="preserve">Ja attiecīgā ES tiesību akta vienība tiek pārņemta vai ieviesta daļēji, sniedz attiecīgu skaidrojumu, kā arī precīzi norāda, kad </w:t>
            </w:r>
            <w:r w:rsidRPr="002C0610">
              <w:rPr>
                <w:sz w:val="28"/>
                <w:szCs w:val="28"/>
              </w:rPr>
              <w:t>un kādā veidā ES tiesību akta vienība tiks pārņemta vai ieviesta pilnībā.</w:t>
            </w:r>
          </w:p>
          <w:p w:rsidR="00390169" w:rsidRPr="002C0610" w14:paraId="15A298A8" w14:textId="77777777">
            <w:pPr>
              <w:pStyle w:val="tvhtml"/>
              <w:spacing w:line="293" w:lineRule="atLeast"/>
              <w:rPr>
                <w:sz w:val="28"/>
                <w:szCs w:val="28"/>
              </w:rPr>
            </w:pPr>
            <w:r w:rsidRPr="002C0610">
              <w:rPr>
                <w:sz w:val="28"/>
                <w:szCs w:val="28"/>
              </w:rPr>
              <w:t>Norāda institūciju, kas ir atbildīga par šo saistību izpildi pilnībā</w:t>
            </w:r>
          </w:p>
        </w:tc>
        <w:tc>
          <w:tcPr>
            <w:tcW w:w="1231" w:type="pct"/>
            <w:tcBorders>
              <w:top w:val="outset" w:sz="6" w:space="0" w:color="414142"/>
              <w:left w:val="outset" w:sz="6" w:space="0" w:color="414142"/>
              <w:bottom w:val="outset" w:sz="6" w:space="0" w:color="414142"/>
              <w:right w:val="outset" w:sz="6" w:space="0" w:color="414142"/>
            </w:tcBorders>
            <w:hideMark/>
          </w:tcPr>
          <w:p w:rsidR="00390169" w:rsidRPr="002C0610" w14:paraId="19C71942" w14:textId="77777777">
            <w:pPr>
              <w:rPr>
                <w:rFonts w:ascii="Times New Roman" w:hAnsi="Times New Roman" w:cs="Times New Roman"/>
                <w:sz w:val="28"/>
                <w:szCs w:val="28"/>
              </w:rPr>
            </w:pPr>
            <w:r w:rsidRPr="002C0610">
              <w:rPr>
                <w:rFonts w:ascii="Times New Roman" w:hAnsi="Times New Roman" w:cs="Times New Roman"/>
                <w:sz w:val="28"/>
                <w:szCs w:val="28"/>
              </w:rPr>
              <w:t>Informācija par to, vai šīs tabulas B ailē minētās projekta vienības paredz stingrākas prasības nekā šīs tabulas A ailē minētās ES tiesību akta vienības.</w:t>
            </w:r>
          </w:p>
          <w:p w:rsidR="00390169" w:rsidRPr="002C0610" w14:paraId="0620C39C" w14:textId="77777777">
            <w:pPr>
              <w:pStyle w:val="tvhtml"/>
              <w:spacing w:line="293" w:lineRule="atLeast"/>
              <w:rPr>
                <w:sz w:val="28"/>
                <w:szCs w:val="28"/>
              </w:rPr>
            </w:pPr>
            <w:r w:rsidRPr="002C0610">
              <w:rPr>
                <w:sz w:val="28"/>
                <w:szCs w:val="28"/>
              </w:rPr>
              <w:t xml:space="preserve">Ja projekts satur stingrākas prasības nekā attiecīgais ES tiesību akts, norāda </w:t>
            </w:r>
            <w:r w:rsidRPr="002C0610">
              <w:rPr>
                <w:sz w:val="28"/>
                <w:szCs w:val="28"/>
              </w:rPr>
              <w:t>pamatojumu un samērīgumu.</w:t>
            </w:r>
          </w:p>
          <w:p w:rsidR="00390169" w:rsidRPr="002C0610" w14:paraId="31FCE7DA" w14:textId="77777777">
            <w:pPr>
              <w:pStyle w:val="tvhtml"/>
              <w:spacing w:line="293" w:lineRule="atLeast"/>
              <w:rPr>
                <w:sz w:val="28"/>
                <w:szCs w:val="28"/>
              </w:rPr>
            </w:pPr>
            <w:r w:rsidRPr="002C0610">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14:paraId="5938E7E8" w14:textId="77777777" w:rsidTr="00DD6771">
        <w:tblPrEx>
          <w:tblW w:w="5000" w:type="pct"/>
          <w:jc w:val="center"/>
          <w:tblCellMar>
            <w:top w:w="30" w:type="dxa"/>
            <w:left w:w="30" w:type="dxa"/>
            <w:bottom w:w="30" w:type="dxa"/>
            <w:right w:w="30" w:type="dxa"/>
          </w:tblCellMar>
          <w:tblLook w:val="04A0"/>
        </w:tblPrEx>
        <w:trPr>
          <w:jc w:val="center"/>
        </w:trPr>
        <w:tc>
          <w:tcPr>
            <w:tcW w:w="1420" w:type="pct"/>
            <w:tcBorders>
              <w:top w:val="outset" w:sz="6" w:space="0" w:color="414142"/>
              <w:left w:val="outset" w:sz="6" w:space="0" w:color="414142"/>
              <w:bottom w:val="outset" w:sz="6" w:space="0" w:color="414142"/>
              <w:right w:val="outset" w:sz="6" w:space="0" w:color="414142"/>
            </w:tcBorders>
            <w:hideMark/>
          </w:tcPr>
          <w:p w:rsidR="00390169" w:rsidRPr="002C0610" w14:paraId="0C3768AF" w14:textId="77777777">
            <w:pPr>
              <w:rPr>
                <w:rFonts w:ascii="Times New Roman" w:hAnsi="Times New Roman" w:cs="Times New Roman"/>
                <w:sz w:val="28"/>
                <w:szCs w:val="28"/>
              </w:rPr>
            </w:pPr>
            <w:r w:rsidRPr="002C0610">
              <w:rPr>
                <w:rFonts w:ascii="Times New Roman" w:hAnsi="Times New Roman" w:cs="Times New Roman"/>
                <w:sz w:val="28"/>
                <w:szCs w:val="28"/>
              </w:rPr>
              <w:t>Kā ir izmantota ES tiesību aktā paredzētā rīcības brīvība dalībvalstij pārņemt vai ieviest noteiktas ES tiesību akta normas?</w:t>
            </w:r>
            <w:r w:rsidRPr="002C0610">
              <w:rPr>
                <w:rFonts w:ascii="Times New Roman" w:hAnsi="Times New Roman" w:cs="Times New Roman"/>
                <w:sz w:val="28"/>
                <w:szCs w:val="28"/>
              </w:rPr>
              <w:br/>
              <w:t>Kādēļ?</w:t>
            </w:r>
          </w:p>
        </w:tc>
        <w:tc>
          <w:tcPr>
            <w:tcW w:w="3580" w:type="pct"/>
            <w:gridSpan w:val="5"/>
            <w:tcBorders>
              <w:top w:val="outset" w:sz="6" w:space="0" w:color="414142"/>
              <w:left w:val="outset" w:sz="6" w:space="0" w:color="414142"/>
              <w:bottom w:val="outset" w:sz="6" w:space="0" w:color="414142"/>
              <w:right w:val="outset" w:sz="6" w:space="0" w:color="414142"/>
            </w:tcBorders>
            <w:hideMark/>
          </w:tcPr>
          <w:p w:rsidR="00390169" w:rsidRPr="002C0610" w14:paraId="44B7C622" w14:textId="264CF0F1">
            <w:pPr>
              <w:rPr>
                <w:rFonts w:ascii="Times New Roman" w:hAnsi="Times New Roman" w:cs="Times New Roman"/>
                <w:sz w:val="28"/>
                <w:szCs w:val="28"/>
              </w:rPr>
            </w:pPr>
            <w:r>
              <w:rPr>
                <w:rFonts w:ascii="Times New Roman" w:hAnsi="Times New Roman" w:cs="Times New Roman"/>
                <w:sz w:val="28"/>
                <w:szCs w:val="28"/>
              </w:rPr>
              <w:t>Projekts šo jomu neskar</w:t>
            </w:r>
          </w:p>
        </w:tc>
      </w:tr>
      <w:tr w14:paraId="6B872971" w14:textId="77777777" w:rsidTr="00DD6771">
        <w:tblPrEx>
          <w:tblW w:w="5000" w:type="pct"/>
          <w:jc w:val="center"/>
          <w:tblCellMar>
            <w:top w:w="30" w:type="dxa"/>
            <w:left w:w="30" w:type="dxa"/>
            <w:bottom w:w="30" w:type="dxa"/>
            <w:right w:w="30" w:type="dxa"/>
          </w:tblCellMar>
          <w:tblLook w:val="04A0"/>
        </w:tblPrEx>
        <w:trPr>
          <w:jc w:val="center"/>
        </w:trPr>
        <w:tc>
          <w:tcPr>
            <w:tcW w:w="1420" w:type="pct"/>
            <w:tcBorders>
              <w:top w:val="outset" w:sz="6" w:space="0" w:color="414142"/>
              <w:left w:val="outset" w:sz="6" w:space="0" w:color="414142"/>
              <w:bottom w:val="outset" w:sz="6" w:space="0" w:color="414142"/>
              <w:right w:val="outset" w:sz="6" w:space="0" w:color="414142"/>
            </w:tcBorders>
            <w:hideMark/>
          </w:tcPr>
          <w:p w:rsidR="00390169" w:rsidRPr="002C0610" w14:paraId="77259C26" w14:textId="77777777">
            <w:pPr>
              <w:rPr>
                <w:rFonts w:ascii="Times New Roman" w:hAnsi="Times New Roman" w:cs="Times New Roman"/>
                <w:sz w:val="28"/>
                <w:szCs w:val="28"/>
              </w:rPr>
            </w:pPr>
            <w:r w:rsidRPr="002C0610">
              <w:rPr>
                <w:rFonts w:ascii="Times New Roman" w:hAnsi="Times New Roman" w:cs="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0" w:type="pct"/>
            <w:gridSpan w:val="5"/>
            <w:tcBorders>
              <w:top w:val="outset" w:sz="6" w:space="0" w:color="414142"/>
              <w:left w:val="outset" w:sz="6" w:space="0" w:color="414142"/>
              <w:bottom w:val="outset" w:sz="6" w:space="0" w:color="414142"/>
              <w:right w:val="outset" w:sz="6" w:space="0" w:color="414142"/>
            </w:tcBorders>
            <w:hideMark/>
          </w:tcPr>
          <w:p w:rsidR="00390169" w:rsidRPr="002C0610" w14:paraId="78E45B15" w14:textId="42161255">
            <w:pPr>
              <w:rPr>
                <w:rFonts w:ascii="Times New Roman" w:hAnsi="Times New Roman" w:cs="Times New Roman"/>
                <w:sz w:val="28"/>
                <w:szCs w:val="28"/>
              </w:rPr>
            </w:pPr>
            <w:r>
              <w:rPr>
                <w:rFonts w:ascii="Times New Roman" w:hAnsi="Times New Roman" w:cs="Times New Roman"/>
                <w:sz w:val="28"/>
                <w:szCs w:val="28"/>
              </w:rPr>
              <w:t>Projekts šo jomu neskar</w:t>
            </w:r>
          </w:p>
        </w:tc>
      </w:tr>
      <w:tr w14:paraId="4F2AFD99" w14:textId="77777777" w:rsidTr="00DD6771">
        <w:tblPrEx>
          <w:tblW w:w="5000" w:type="pct"/>
          <w:jc w:val="center"/>
          <w:tblCellMar>
            <w:top w:w="30" w:type="dxa"/>
            <w:left w:w="30" w:type="dxa"/>
            <w:bottom w:w="30" w:type="dxa"/>
            <w:right w:w="30" w:type="dxa"/>
          </w:tblCellMar>
          <w:tblLook w:val="04A0"/>
        </w:tblPrEx>
        <w:trPr>
          <w:jc w:val="center"/>
        </w:trPr>
        <w:tc>
          <w:tcPr>
            <w:tcW w:w="1420" w:type="pct"/>
            <w:tcBorders>
              <w:top w:val="outset" w:sz="6" w:space="0" w:color="414142"/>
              <w:left w:val="outset" w:sz="6" w:space="0" w:color="414142"/>
              <w:bottom w:val="outset" w:sz="6" w:space="0" w:color="414142"/>
              <w:right w:val="outset" w:sz="6" w:space="0" w:color="414142"/>
            </w:tcBorders>
            <w:hideMark/>
          </w:tcPr>
          <w:p w:rsidR="00390169" w:rsidRPr="002C0610" w14:paraId="3B4DB4C9" w14:textId="77777777">
            <w:pPr>
              <w:rPr>
                <w:rFonts w:ascii="Times New Roman" w:hAnsi="Times New Roman" w:cs="Times New Roman"/>
                <w:sz w:val="28"/>
                <w:szCs w:val="28"/>
              </w:rPr>
            </w:pPr>
            <w:r w:rsidRPr="002C0610">
              <w:rPr>
                <w:rFonts w:ascii="Times New Roman" w:hAnsi="Times New Roman" w:cs="Times New Roman"/>
                <w:sz w:val="28"/>
                <w:szCs w:val="28"/>
              </w:rPr>
              <w:t>Cita informācija</w:t>
            </w:r>
          </w:p>
        </w:tc>
        <w:tc>
          <w:tcPr>
            <w:tcW w:w="3580" w:type="pct"/>
            <w:gridSpan w:val="5"/>
            <w:tcBorders>
              <w:top w:val="outset" w:sz="6" w:space="0" w:color="414142"/>
              <w:left w:val="outset" w:sz="6" w:space="0" w:color="414142"/>
              <w:bottom w:val="outset" w:sz="6" w:space="0" w:color="414142"/>
              <w:right w:val="outset" w:sz="6" w:space="0" w:color="414142"/>
            </w:tcBorders>
            <w:hideMark/>
          </w:tcPr>
          <w:p w:rsidR="00390169" w:rsidRPr="002C0610" w14:paraId="11A056B4" w14:textId="6738C0D2">
            <w:pPr>
              <w:pStyle w:val="tvhtml"/>
              <w:spacing w:line="293" w:lineRule="atLeast"/>
              <w:rPr>
                <w:sz w:val="28"/>
                <w:szCs w:val="28"/>
              </w:rPr>
            </w:pPr>
            <w:r>
              <w:rPr>
                <w:sz w:val="28"/>
                <w:szCs w:val="28"/>
              </w:rPr>
              <w:t>Nav</w:t>
            </w:r>
          </w:p>
        </w:tc>
      </w:tr>
      <w:tr w14:paraId="705243D7" w14:textId="77777777" w:rsidTr="00390169">
        <w:tblPrEx>
          <w:tblW w:w="5000" w:type="pct"/>
          <w:jc w:val="center"/>
          <w:tblCellMar>
            <w:top w:w="30" w:type="dxa"/>
            <w:left w:w="30" w:type="dxa"/>
            <w:bottom w:w="30" w:type="dxa"/>
            <w:right w:w="30" w:type="dxa"/>
          </w:tblCellMar>
          <w:tblLook w:val="04A0"/>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90169" w:rsidRPr="002C0610" w14:paraId="3F4FB7FD" w14:textId="77777777">
            <w:pPr>
              <w:pStyle w:val="tvhtml"/>
              <w:spacing w:line="293" w:lineRule="atLeast"/>
              <w:jc w:val="center"/>
              <w:rPr>
                <w:b/>
                <w:bCs/>
                <w:sz w:val="28"/>
                <w:szCs w:val="28"/>
              </w:rPr>
            </w:pPr>
            <w:r w:rsidRPr="002C0610">
              <w:rPr>
                <w:b/>
                <w:bCs/>
                <w:sz w:val="28"/>
                <w:szCs w:val="28"/>
              </w:rPr>
              <w:t>2.tabula</w:t>
            </w:r>
            <w:r w:rsidRPr="002C0610">
              <w:rPr>
                <w:b/>
                <w:bCs/>
                <w:sz w:val="28"/>
                <w:szCs w:val="28"/>
              </w:rPr>
              <w:br/>
              <w:t>Ar tiesību akta projektu izpildītās vai uzņemtās saistības, kas izriet no starptautiskajiem tiesību aktiem vai starptautiskas institūcijas vai organizācijas dokumentiem.</w:t>
            </w:r>
            <w:r w:rsidRPr="002C0610">
              <w:rPr>
                <w:b/>
                <w:bCs/>
                <w:sz w:val="28"/>
                <w:szCs w:val="28"/>
              </w:rPr>
              <w:br/>
              <w:t>Pasākumi šo saistību izpildei</w:t>
            </w:r>
          </w:p>
        </w:tc>
      </w:tr>
      <w:tr w14:paraId="615982E1"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vAlign w:val="center"/>
            <w:hideMark/>
          </w:tcPr>
          <w:p w:rsidR="00390169" w:rsidRPr="002C0610" w14:paraId="1F0194A1" w14:textId="77777777">
            <w:pPr>
              <w:rPr>
                <w:rFonts w:ascii="Times New Roman" w:hAnsi="Times New Roman" w:cs="Times New Roman"/>
                <w:sz w:val="28"/>
                <w:szCs w:val="28"/>
              </w:rPr>
            </w:pPr>
            <w:r w:rsidRPr="002C0610">
              <w:rPr>
                <w:rFonts w:ascii="Times New Roman" w:hAnsi="Times New Roman" w:cs="Times New Roman"/>
                <w:sz w:val="28"/>
                <w:szCs w:val="28"/>
              </w:rPr>
              <w:t>Attiecīgā starptautiskā tiesību akta vai starptautiskas institūcijas vai organizācijas dokumenta (turpmāk – starptautiskais dokuments) datums, numurs un nosaukums</w:t>
            </w:r>
          </w:p>
        </w:tc>
        <w:tc>
          <w:tcPr>
            <w:tcW w:w="3374" w:type="pct"/>
            <w:gridSpan w:val="4"/>
            <w:tcBorders>
              <w:top w:val="outset" w:sz="6" w:space="0" w:color="414142"/>
              <w:left w:val="outset" w:sz="6" w:space="0" w:color="414142"/>
              <w:bottom w:val="outset" w:sz="6" w:space="0" w:color="414142"/>
              <w:right w:val="outset" w:sz="6" w:space="0" w:color="414142"/>
            </w:tcBorders>
            <w:hideMark/>
          </w:tcPr>
          <w:p w:rsidR="00BE2937" w:rsidRPr="002C0610" w:rsidP="00D15B7F" w14:paraId="1AAFB257" w14:textId="794D90F1">
            <w:pPr>
              <w:spacing w:after="0" w:line="240" w:lineRule="auto"/>
              <w:jc w:val="both"/>
              <w:rPr>
                <w:rFonts w:ascii="Times New Roman" w:hAnsi="Times New Roman" w:cs="Times New Roman"/>
                <w:sz w:val="28"/>
                <w:szCs w:val="28"/>
              </w:rPr>
            </w:pPr>
            <w:r w:rsidRPr="00F97FF1">
              <w:rPr>
                <w:rFonts w:ascii="Times New Roman" w:hAnsi="Times New Roman" w:cs="Times New Roman"/>
                <w:sz w:val="28"/>
                <w:szCs w:val="28"/>
              </w:rPr>
              <w:t xml:space="preserve">2005.gada 19.oktobra Starptautiskās </w:t>
            </w:r>
            <w:r w:rsidRPr="00F97FF1" w:rsidR="00214175">
              <w:rPr>
                <w:rFonts w:ascii="Times New Roman" w:hAnsi="Times New Roman" w:cs="Times New Roman"/>
                <w:sz w:val="28"/>
                <w:szCs w:val="28"/>
              </w:rPr>
              <w:t>konvencijas pret dopingu sportā</w:t>
            </w:r>
            <w:r w:rsidRPr="00F97FF1" w:rsidR="00613DCD">
              <w:rPr>
                <w:rFonts w:ascii="Times New Roman" w:hAnsi="Times New Roman" w:cs="Times New Roman"/>
                <w:sz w:val="28"/>
                <w:szCs w:val="28"/>
              </w:rPr>
              <w:t xml:space="preserve"> </w:t>
            </w:r>
            <w:r w:rsidRPr="00F97FF1" w:rsidR="00214175">
              <w:rPr>
                <w:rFonts w:ascii="Times New Roman" w:hAnsi="Times New Roman" w:cs="Times New Roman"/>
                <w:sz w:val="28"/>
                <w:szCs w:val="28"/>
              </w:rPr>
              <w:t xml:space="preserve">1. </w:t>
            </w:r>
            <w:r w:rsidRPr="00F97FF1" w:rsidR="00214175">
              <w:rPr>
                <w:rFonts w:ascii="Times New Roman" w:hAnsi="Times New Roman" w:cs="Times New Roman"/>
                <w:sz w:val="28"/>
                <w:szCs w:val="28"/>
                <w:shd w:val="clear" w:color="auto" w:fill="FFFFFF"/>
              </w:rPr>
              <w:t>papildinājums Pasaules antidopinga aģentūras 2003.gada 5.martā Kopenhāgenā pieņemta</w:t>
            </w:r>
            <w:r w:rsidRPr="00F97FF1" w:rsidR="003677D2">
              <w:rPr>
                <w:rFonts w:ascii="Times New Roman" w:hAnsi="Times New Roman" w:cs="Times New Roman"/>
                <w:sz w:val="28"/>
                <w:szCs w:val="28"/>
                <w:shd w:val="clear" w:color="auto" w:fill="FFFFFF"/>
              </w:rPr>
              <w:t>is Pasaules Antidopinga kodekss.</w:t>
            </w:r>
          </w:p>
        </w:tc>
      </w:tr>
      <w:tr w14:paraId="130307BE"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vAlign w:val="center"/>
            <w:hideMark/>
          </w:tcPr>
          <w:p w:rsidR="00390169" w:rsidRPr="002C0610" w14:paraId="41FED252" w14:textId="77777777">
            <w:pPr>
              <w:pStyle w:val="tvhtml"/>
              <w:spacing w:line="293" w:lineRule="atLeast"/>
              <w:jc w:val="center"/>
              <w:rPr>
                <w:sz w:val="28"/>
                <w:szCs w:val="28"/>
              </w:rPr>
            </w:pPr>
            <w:r w:rsidRPr="002C0610">
              <w:rPr>
                <w:sz w:val="28"/>
                <w:szCs w:val="28"/>
              </w:rPr>
              <w:t>A</w:t>
            </w:r>
          </w:p>
        </w:tc>
        <w:tc>
          <w:tcPr>
            <w:tcW w:w="1597" w:type="pct"/>
            <w:gridSpan w:val="2"/>
            <w:tcBorders>
              <w:top w:val="outset" w:sz="6" w:space="0" w:color="414142"/>
              <w:left w:val="outset" w:sz="6" w:space="0" w:color="414142"/>
              <w:bottom w:val="outset" w:sz="6" w:space="0" w:color="414142"/>
              <w:right w:val="outset" w:sz="6" w:space="0" w:color="414142"/>
            </w:tcBorders>
            <w:vAlign w:val="center"/>
            <w:hideMark/>
          </w:tcPr>
          <w:p w:rsidR="00390169" w:rsidRPr="002C0610" w14:paraId="67D772CC" w14:textId="77777777">
            <w:pPr>
              <w:pStyle w:val="tvhtml"/>
              <w:spacing w:line="293" w:lineRule="atLeast"/>
              <w:jc w:val="center"/>
              <w:rPr>
                <w:sz w:val="28"/>
                <w:szCs w:val="28"/>
              </w:rPr>
            </w:pPr>
            <w:r w:rsidRPr="002C0610">
              <w:rPr>
                <w:sz w:val="28"/>
                <w:szCs w:val="28"/>
              </w:rPr>
              <w:t>B</w:t>
            </w:r>
          </w:p>
        </w:tc>
        <w:tc>
          <w:tcPr>
            <w:tcW w:w="1777" w:type="pct"/>
            <w:gridSpan w:val="2"/>
            <w:tcBorders>
              <w:top w:val="outset" w:sz="6" w:space="0" w:color="414142"/>
              <w:left w:val="outset" w:sz="6" w:space="0" w:color="414142"/>
              <w:bottom w:val="outset" w:sz="6" w:space="0" w:color="414142"/>
              <w:right w:val="outset" w:sz="6" w:space="0" w:color="414142"/>
            </w:tcBorders>
            <w:vAlign w:val="center"/>
            <w:hideMark/>
          </w:tcPr>
          <w:p w:rsidR="00390169" w:rsidRPr="002C0610" w14:paraId="4F5BE23C" w14:textId="77777777">
            <w:pPr>
              <w:pStyle w:val="tvhtml"/>
              <w:spacing w:line="293" w:lineRule="atLeast"/>
              <w:jc w:val="center"/>
              <w:rPr>
                <w:sz w:val="28"/>
                <w:szCs w:val="28"/>
              </w:rPr>
            </w:pPr>
            <w:r w:rsidRPr="002C0610">
              <w:rPr>
                <w:sz w:val="28"/>
                <w:szCs w:val="28"/>
              </w:rPr>
              <w:t>C</w:t>
            </w:r>
          </w:p>
        </w:tc>
      </w:tr>
      <w:tr w14:paraId="409BE14C"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hideMark/>
          </w:tcPr>
          <w:p w:rsidR="00390169" w:rsidRPr="00F97FF1" w14:paraId="764CC5BC" w14:textId="77777777">
            <w:pPr>
              <w:rPr>
                <w:rFonts w:ascii="Times New Roman" w:hAnsi="Times New Roman" w:cs="Times New Roman"/>
                <w:sz w:val="28"/>
                <w:szCs w:val="28"/>
              </w:rPr>
            </w:pPr>
            <w:r w:rsidRPr="00F97FF1">
              <w:rPr>
                <w:rFonts w:ascii="Times New Roman" w:hAnsi="Times New Roman" w:cs="Times New Roman"/>
                <w:sz w:val="28"/>
                <w:szCs w:val="28"/>
              </w:rPr>
              <w:t>Starptautiskās saistības (pēc būtības), kas izriet no norādītā starptautiskā dokumenta.</w:t>
            </w:r>
          </w:p>
          <w:p w:rsidR="00390169" w:rsidRPr="00F97FF1" w14:paraId="7A4AA299" w14:textId="77777777">
            <w:pPr>
              <w:pStyle w:val="tvhtml"/>
              <w:spacing w:line="293" w:lineRule="atLeast"/>
              <w:rPr>
                <w:sz w:val="28"/>
                <w:szCs w:val="28"/>
              </w:rPr>
            </w:pPr>
            <w:r w:rsidRPr="00F97FF1">
              <w:rPr>
                <w:sz w:val="28"/>
                <w:szCs w:val="28"/>
              </w:rPr>
              <w:t>Konkrēti veicamie pasākumi vai uzdevumi, kas nepieciešami šo starptautisko saistību izpildei</w:t>
            </w:r>
          </w:p>
        </w:tc>
        <w:tc>
          <w:tcPr>
            <w:tcW w:w="1597" w:type="pct"/>
            <w:gridSpan w:val="2"/>
            <w:tcBorders>
              <w:top w:val="outset" w:sz="6" w:space="0" w:color="414142"/>
              <w:left w:val="outset" w:sz="6" w:space="0" w:color="414142"/>
              <w:bottom w:val="outset" w:sz="6" w:space="0" w:color="414142"/>
              <w:right w:val="outset" w:sz="6" w:space="0" w:color="414142"/>
            </w:tcBorders>
            <w:hideMark/>
          </w:tcPr>
          <w:p w:rsidR="00390169" w:rsidRPr="00F97FF1" w14:paraId="1C4CB79A" w14:textId="77777777">
            <w:pPr>
              <w:rPr>
                <w:rFonts w:ascii="Times New Roman" w:hAnsi="Times New Roman" w:cs="Times New Roman"/>
                <w:sz w:val="28"/>
                <w:szCs w:val="28"/>
              </w:rPr>
            </w:pPr>
            <w:r w:rsidRPr="00F97FF1">
              <w:rPr>
                <w:rFonts w:ascii="Times New Roman" w:hAnsi="Times New Roman" w:cs="Times New Roman"/>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77" w:type="pct"/>
            <w:gridSpan w:val="2"/>
            <w:tcBorders>
              <w:top w:val="outset" w:sz="6" w:space="0" w:color="414142"/>
              <w:left w:val="outset" w:sz="6" w:space="0" w:color="414142"/>
              <w:bottom w:val="outset" w:sz="6" w:space="0" w:color="414142"/>
              <w:right w:val="outset" w:sz="6" w:space="0" w:color="414142"/>
            </w:tcBorders>
            <w:hideMark/>
          </w:tcPr>
          <w:p w:rsidR="00390169" w:rsidRPr="00F97FF1" w14:paraId="462C57B3" w14:textId="77777777">
            <w:pPr>
              <w:rPr>
                <w:rFonts w:ascii="Times New Roman" w:hAnsi="Times New Roman" w:cs="Times New Roman"/>
                <w:sz w:val="28"/>
                <w:szCs w:val="28"/>
              </w:rPr>
            </w:pPr>
            <w:r w:rsidRPr="00F97FF1">
              <w:rPr>
                <w:rFonts w:ascii="Times New Roman" w:hAnsi="Times New Roman" w:cs="Times New Roman"/>
                <w:sz w:val="28"/>
                <w:szCs w:val="28"/>
              </w:rPr>
              <w:t>Informācija par to, vai starptautiskās saistības, kas minētas šīs tabulas A ailē, tiek izpildītas pilnībā vai daļēji.</w:t>
            </w:r>
          </w:p>
          <w:p w:rsidR="00390169" w:rsidRPr="00F97FF1" w14:paraId="2E2D562E" w14:textId="77777777">
            <w:pPr>
              <w:pStyle w:val="tvhtml"/>
              <w:spacing w:line="293" w:lineRule="atLeast"/>
              <w:rPr>
                <w:sz w:val="28"/>
                <w:szCs w:val="28"/>
              </w:rPr>
            </w:pPr>
            <w:r w:rsidRPr="00F97FF1">
              <w:rPr>
                <w:sz w:val="28"/>
                <w:szCs w:val="28"/>
              </w:rPr>
              <w:t>Ja attiecīgās starptautiskās saistības tiek izpildītas daļēji, sniedz skaidrojumu, kā arī precīzi norāda, kad un kādā veidā starptautiskās saistības tiks izpildītas pilnībā.</w:t>
            </w:r>
          </w:p>
          <w:p w:rsidR="00390169" w:rsidRPr="00F97FF1" w14:paraId="1C4FE89F" w14:textId="77777777">
            <w:pPr>
              <w:pStyle w:val="tvhtml"/>
              <w:spacing w:line="293" w:lineRule="atLeast"/>
              <w:rPr>
                <w:sz w:val="28"/>
                <w:szCs w:val="28"/>
              </w:rPr>
            </w:pPr>
            <w:r w:rsidRPr="00F97FF1">
              <w:rPr>
                <w:sz w:val="28"/>
                <w:szCs w:val="28"/>
              </w:rPr>
              <w:t>Norāda institūciju, kas ir atbildīga par šo saistību izpildi pilnībā</w:t>
            </w:r>
          </w:p>
        </w:tc>
      </w:tr>
      <w:tr w14:paraId="1CD46F80"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tcPr>
          <w:p w:rsidR="00F9539A" w:rsidRPr="00F97FF1" w:rsidP="003677D2" w14:paraId="27A320C1" w14:textId="7DE6012A">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Kodeksa 20.5.1. apakšpunkts</w:t>
            </w:r>
            <w:r w:rsidRPr="00F97FF1" w:rsidR="00143630">
              <w:rPr>
                <w:rFonts w:ascii="Times New Roman" w:hAnsi="Times New Roman" w:cs="Times New Roman"/>
                <w:sz w:val="28"/>
                <w:szCs w:val="28"/>
              </w:rPr>
              <w:t>.</w:t>
            </w:r>
            <w:r w:rsidRPr="00F97FF1">
              <w:rPr>
                <w:rFonts w:ascii="Times New Roman" w:hAnsi="Times New Roman" w:cs="Times New Roman"/>
                <w:sz w:val="28"/>
                <w:szCs w:val="28"/>
              </w:rPr>
              <w:t xml:space="preserve"> </w:t>
            </w:r>
          </w:p>
        </w:tc>
        <w:tc>
          <w:tcPr>
            <w:tcW w:w="1597" w:type="pct"/>
            <w:gridSpan w:val="2"/>
            <w:tcBorders>
              <w:top w:val="outset" w:sz="6" w:space="0" w:color="414142"/>
              <w:left w:val="outset" w:sz="6" w:space="0" w:color="414142"/>
              <w:bottom w:val="outset" w:sz="6" w:space="0" w:color="414142"/>
              <w:right w:val="outset" w:sz="6" w:space="0" w:color="414142"/>
            </w:tcBorders>
          </w:tcPr>
          <w:p w:rsidR="00F9539A" w:rsidRPr="00F97FF1" w:rsidP="003677D2" w14:paraId="382C632E" w14:textId="6E401AAD">
            <w:pPr>
              <w:spacing w:after="0" w:line="240" w:lineRule="auto"/>
              <w:rPr>
                <w:rFonts w:ascii="Times New Roman" w:hAnsi="Times New Roman" w:cs="Times New Roman"/>
                <w:sz w:val="28"/>
                <w:szCs w:val="28"/>
              </w:rPr>
            </w:pPr>
            <w:r w:rsidRPr="00F97FF1">
              <w:rPr>
                <w:rFonts w:ascii="Times New Roman" w:hAnsi="Times New Roman" w:cs="Times New Roman"/>
                <w:bCs/>
                <w:sz w:val="28"/>
                <w:szCs w:val="28"/>
              </w:rPr>
              <w:t>11.</w:t>
            </w:r>
            <w:r w:rsidRPr="00F97FF1">
              <w:rPr>
                <w:rFonts w:ascii="Times New Roman" w:hAnsi="Times New Roman" w:cs="Times New Roman"/>
                <w:bCs/>
                <w:sz w:val="28"/>
                <w:szCs w:val="28"/>
                <w:vertAlign w:val="superscript"/>
              </w:rPr>
              <w:t>1</w:t>
            </w:r>
            <w:r w:rsidRPr="00F97FF1">
              <w:rPr>
                <w:rFonts w:ascii="Times New Roman" w:hAnsi="Times New Roman" w:cs="Times New Roman"/>
                <w:bCs/>
                <w:sz w:val="28"/>
                <w:szCs w:val="28"/>
              </w:rPr>
              <w:t xml:space="preserve">panta pirmā un trešā daļa.  </w:t>
            </w:r>
          </w:p>
        </w:tc>
        <w:tc>
          <w:tcPr>
            <w:tcW w:w="1777" w:type="pct"/>
            <w:gridSpan w:val="2"/>
            <w:tcBorders>
              <w:top w:val="outset" w:sz="6" w:space="0" w:color="414142"/>
              <w:left w:val="outset" w:sz="6" w:space="0" w:color="414142"/>
              <w:bottom w:val="outset" w:sz="6" w:space="0" w:color="414142"/>
              <w:right w:val="outset" w:sz="6" w:space="0" w:color="414142"/>
            </w:tcBorders>
          </w:tcPr>
          <w:p w:rsidR="00F9539A" w:rsidRPr="00F97FF1" w:rsidP="003677D2" w14:paraId="19E5B81A" w14:textId="5F280FBB">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Izpildīts pilnībā.</w:t>
            </w:r>
          </w:p>
        </w:tc>
      </w:tr>
      <w:tr w14:paraId="4466E6DA"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tcPr>
          <w:p w:rsidR="00ED480E" w:rsidRPr="00F97FF1" w:rsidP="003677D2" w14:paraId="713E6706" w14:textId="6BFA0FFB">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Kodeksa 22.6. punkts</w:t>
            </w:r>
            <w:r w:rsidRPr="00F97FF1" w:rsidR="00143630">
              <w:rPr>
                <w:rFonts w:ascii="Times New Roman" w:hAnsi="Times New Roman" w:cs="Times New Roman"/>
                <w:sz w:val="28"/>
                <w:szCs w:val="28"/>
              </w:rPr>
              <w:t>.</w:t>
            </w:r>
            <w:r w:rsidRPr="00F97FF1">
              <w:rPr>
                <w:rFonts w:ascii="Times New Roman" w:hAnsi="Times New Roman" w:cs="Times New Roman"/>
                <w:sz w:val="28"/>
                <w:szCs w:val="28"/>
              </w:rPr>
              <w:t xml:space="preserve"> </w:t>
            </w:r>
          </w:p>
        </w:tc>
        <w:tc>
          <w:tcPr>
            <w:tcW w:w="1597" w:type="pct"/>
            <w:gridSpan w:val="2"/>
            <w:tcBorders>
              <w:top w:val="outset" w:sz="6" w:space="0" w:color="414142"/>
              <w:left w:val="outset" w:sz="6" w:space="0" w:color="414142"/>
              <w:bottom w:val="outset" w:sz="6" w:space="0" w:color="414142"/>
              <w:right w:val="outset" w:sz="6" w:space="0" w:color="414142"/>
            </w:tcBorders>
          </w:tcPr>
          <w:p w:rsidR="00ED480E" w:rsidRPr="00F97FF1" w:rsidP="003677D2" w14:paraId="02035821" w14:textId="68C1207D">
            <w:pPr>
              <w:spacing w:after="0" w:line="240" w:lineRule="auto"/>
              <w:rPr>
                <w:rFonts w:ascii="Times New Roman" w:hAnsi="Times New Roman" w:cs="Times New Roman"/>
                <w:bCs/>
                <w:sz w:val="28"/>
                <w:szCs w:val="28"/>
              </w:rPr>
            </w:pPr>
            <w:r w:rsidRPr="00F97FF1">
              <w:rPr>
                <w:rFonts w:ascii="Times New Roman" w:hAnsi="Times New Roman" w:cs="Times New Roman"/>
                <w:bCs/>
                <w:sz w:val="28"/>
                <w:szCs w:val="28"/>
              </w:rPr>
              <w:t>11.</w:t>
            </w:r>
            <w:r w:rsidRPr="00F97FF1">
              <w:rPr>
                <w:rFonts w:ascii="Times New Roman" w:hAnsi="Times New Roman" w:cs="Times New Roman"/>
                <w:bCs/>
                <w:sz w:val="28"/>
                <w:szCs w:val="28"/>
                <w:vertAlign w:val="superscript"/>
              </w:rPr>
              <w:t>1</w:t>
            </w:r>
            <w:r w:rsidRPr="00F97FF1">
              <w:rPr>
                <w:rFonts w:ascii="Times New Roman" w:hAnsi="Times New Roman" w:cs="Times New Roman"/>
                <w:bCs/>
                <w:sz w:val="28"/>
                <w:szCs w:val="28"/>
              </w:rPr>
              <w:t>panta pirmā un trešā daļa un 11.</w:t>
            </w:r>
            <w:r w:rsidRPr="00F97FF1">
              <w:rPr>
                <w:rFonts w:ascii="Times New Roman" w:hAnsi="Times New Roman" w:cs="Times New Roman"/>
                <w:bCs/>
                <w:sz w:val="28"/>
                <w:szCs w:val="28"/>
                <w:vertAlign w:val="superscript"/>
              </w:rPr>
              <w:t>2</w:t>
            </w:r>
            <w:r w:rsidRPr="00F97FF1" w:rsidR="00C46AA8">
              <w:rPr>
                <w:rFonts w:ascii="Times New Roman" w:hAnsi="Times New Roman" w:cs="Times New Roman"/>
                <w:bCs/>
                <w:sz w:val="28"/>
                <w:szCs w:val="28"/>
              </w:rPr>
              <w:t>,  11.</w:t>
            </w:r>
            <w:r w:rsidRPr="00F97FF1" w:rsidR="00C46AA8">
              <w:rPr>
                <w:rFonts w:ascii="Times New Roman" w:hAnsi="Times New Roman" w:cs="Times New Roman"/>
                <w:bCs/>
                <w:sz w:val="28"/>
                <w:szCs w:val="28"/>
                <w:vertAlign w:val="superscript"/>
              </w:rPr>
              <w:t>3</w:t>
            </w:r>
            <w:r w:rsidRPr="00F97FF1" w:rsidR="00C46AA8">
              <w:rPr>
                <w:rFonts w:ascii="Times New Roman" w:hAnsi="Times New Roman" w:cs="Times New Roman"/>
                <w:bCs/>
                <w:sz w:val="28"/>
                <w:szCs w:val="28"/>
              </w:rPr>
              <w:t>, 11.</w:t>
            </w:r>
            <w:r w:rsidRPr="00F97FF1" w:rsidR="00C46AA8">
              <w:rPr>
                <w:rFonts w:ascii="Times New Roman" w:hAnsi="Times New Roman" w:cs="Times New Roman"/>
                <w:bCs/>
                <w:sz w:val="28"/>
                <w:szCs w:val="28"/>
                <w:vertAlign w:val="superscript"/>
              </w:rPr>
              <w:t xml:space="preserve">4 </w:t>
            </w:r>
            <w:r w:rsidRPr="00F97FF1" w:rsidR="00C46AA8">
              <w:rPr>
                <w:rFonts w:ascii="Times New Roman" w:hAnsi="Times New Roman" w:cs="Times New Roman"/>
                <w:bCs/>
                <w:sz w:val="28"/>
                <w:szCs w:val="28"/>
              </w:rPr>
              <w:t>p</w:t>
            </w:r>
            <w:r w:rsidRPr="00F97FF1">
              <w:rPr>
                <w:rFonts w:ascii="Times New Roman" w:hAnsi="Times New Roman" w:cs="Times New Roman"/>
                <w:bCs/>
                <w:sz w:val="28"/>
                <w:szCs w:val="28"/>
              </w:rPr>
              <w:t>ants.</w:t>
            </w:r>
          </w:p>
        </w:tc>
        <w:tc>
          <w:tcPr>
            <w:tcW w:w="1777" w:type="pct"/>
            <w:gridSpan w:val="2"/>
            <w:tcBorders>
              <w:top w:val="outset" w:sz="6" w:space="0" w:color="414142"/>
              <w:left w:val="outset" w:sz="6" w:space="0" w:color="414142"/>
              <w:bottom w:val="outset" w:sz="6" w:space="0" w:color="414142"/>
              <w:right w:val="outset" w:sz="6" w:space="0" w:color="414142"/>
            </w:tcBorders>
          </w:tcPr>
          <w:p w:rsidR="00ED480E" w:rsidRPr="00F97FF1" w:rsidP="003677D2" w14:paraId="5558A2B5" w14:textId="1F6D7443">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Izpildīts pilnībā.</w:t>
            </w:r>
          </w:p>
        </w:tc>
      </w:tr>
      <w:tr w14:paraId="50A45939"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tcPr>
          <w:p w:rsidR="00F9539A" w:rsidRPr="00F97FF1" w:rsidP="003677D2" w14:paraId="02AF2A36" w14:textId="7661266F">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Kodeksa 23.2. punkts.</w:t>
            </w:r>
          </w:p>
        </w:tc>
        <w:tc>
          <w:tcPr>
            <w:tcW w:w="1597" w:type="pct"/>
            <w:gridSpan w:val="2"/>
            <w:tcBorders>
              <w:top w:val="outset" w:sz="6" w:space="0" w:color="414142"/>
              <w:left w:val="outset" w:sz="6" w:space="0" w:color="414142"/>
              <w:bottom w:val="outset" w:sz="6" w:space="0" w:color="414142"/>
              <w:right w:val="outset" w:sz="6" w:space="0" w:color="414142"/>
            </w:tcBorders>
          </w:tcPr>
          <w:p w:rsidR="00F9539A" w:rsidRPr="00F97FF1" w:rsidP="003677D2" w14:paraId="14F3144A" w14:textId="022F29B1">
            <w:pPr>
              <w:spacing w:after="0" w:line="240" w:lineRule="auto"/>
              <w:rPr>
                <w:rFonts w:ascii="Times New Roman" w:hAnsi="Times New Roman" w:cs="Times New Roman"/>
                <w:sz w:val="28"/>
                <w:szCs w:val="28"/>
              </w:rPr>
            </w:pPr>
            <w:r w:rsidRPr="00F97FF1">
              <w:rPr>
                <w:rFonts w:ascii="Times New Roman" w:hAnsi="Times New Roman" w:cs="Times New Roman"/>
                <w:bCs/>
                <w:sz w:val="28"/>
                <w:szCs w:val="28"/>
              </w:rPr>
              <w:t>11.</w:t>
            </w:r>
            <w:r w:rsidRPr="00F97FF1">
              <w:rPr>
                <w:rFonts w:ascii="Times New Roman" w:hAnsi="Times New Roman" w:cs="Times New Roman"/>
                <w:bCs/>
                <w:sz w:val="28"/>
                <w:szCs w:val="28"/>
                <w:vertAlign w:val="superscript"/>
              </w:rPr>
              <w:t>1</w:t>
            </w:r>
            <w:r w:rsidR="00824FF4">
              <w:rPr>
                <w:rFonts w:ascii="Times New Roman" w:hAnsi="Times New Roman" w:cs="Times New Roman"/>
                <w:bCs/>
                <w:sz w:val="28"/>
                <w:szCs w:val="28"/>
              </w:rPr>
              <w:t xml:space="preserve">panta otrā daļa un </w:t>
            </w:r>
            <w:r w:rsidRPr="00F97FF1" w:rsidR="00824FF4">
              <w:rPr>
                <w:rFonts w:ascii="Times New Roman" w:hAnsi="Times New Roman" w:cs="Times New Roman"/>
                <w:bCs/>
                <w:sz w:val="28"/>
                <w:szCs w:val="28"/>
              </w:rPr>
              <w:t>11.</w:t>
            </w:r>
            <w:r w:rsidR="00824FF4">
              <w:rPr>
                <w:rFonts w:ascii="Times New Roman" w:hAnsi="Times New Roman" w:cs="Times New Roman"/>
                <w:bCs/>
                <w:sz w:val="28"/>
                <w:szCs w:val="28"/>
                <w:vertAlign w:val="superscript"/>
              </w:rPr>
              <w:t>5</w:t>
            </w:r>
            <w:r w:rsidRPr="00F97FF1" w:rsidR="00824FF4">
              <w:rPr>
                <w:rFonts w:ascii="Times New Roman" w:hAnsi="Times New Roman" w:cs="Times New Roman"/>
                <w:bCs/>
                <w:sz w:val="28"/>
                <w:szCs w:val="28"/>
                <w:vertAlign w:val="superscript"/>
              </w:rPr>
              <w:t xml:space="preserve"> </w:t>
            </w:r>
            <w:r w:rsidRPr="00F97FF1" w:rsidR="00824FF4">
              <w:rPr>
                <w:rFonts w:ascii="Times New Roman" w:hAnsi="Times New Roman" w:cs="Times New Roman"/>
                <w:bCs/>
                <w:sz w:val="28"/>
                <w:szCs w:val="28"/>
              </w:rPr>
              <w:t>pants.</w:t>
            </w:r>
            <w:r w:rsidRPr="00F97FF1">
              <w:rPr>
                <w:rFonts w:ascii="Times New Roman" w:hAnsi="Times New Roman" w:cs="Times New Roman"/>
                <w:bCs/>
                <w:sz w:val="28"/>
                <w:szCs w:val="28"/>
              </w:rPr>
              <w:t xml:space="preserve"> </w:t>
            </w:r>
          </w:p>
        </w:tc>
        <w:tc>
          <w:tcPr>
            <w:tcW w:w="1777" w:type="pct"/>
            <w:gridSpan w:val="2"/>
            <w:tcBorders>
              <w:top w:val="outset" w:sz="6" w:space="0" w:color="414142"/>
              <w:left w:val="outset" w:sz="6" w:space="0" w:color="414142"/>
              <w:bottom w:val="outset" w:sz="6" w:space="0" w:color="414142"/>
              <w:right w:val="outset" w:sz="6" w:space="0" w:color="414142"/>
            </w:tcBorders>
          </w:tcPr>
          <w:p w:rsidR="00F9539A" w:rsidRPr="00F97FF1" w:rsidP="003677D2" w14:paraId="4C5E16FA" w14:textId="41553EF5">
            <w:pPr>
              <w:spacing w:after="0" w:line="240" w:lineRule="auto"/>
              <w:rPr>
                <w:rFonts w:ascii="Times New Roman" w:hAnsi="Times New Roman" w:cs="Times New Roman"/>
                <w:sz w:val="28"/>
                <w:szCs w:val="28"/>
              </w:rPr>
            </w:pPr>
            <w:r w:rsidRPr="00F97FF1">
              <w:rPr>
                <w:rFonts w:ascii="Times New Roman" w:hAnsi="Times New Roman" w:cs="Times New Roman"/>
                <w:sz w:val="28"/>
                <w:szCs w:val="28"/>
              </w:rPr>
              <w:t>Izpildīts pilnībā.</w:t>
            </w:r>
          </w:p>
        </w:tc>
      </w:tr>
      <w:tr w14:paraId="658CE710"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hideMark/>
          </w:tcPr>
          <w:p w:rsidR="00F9539A" w:rsidRPr="002C0610" w:rsidP="00F9539A" w14:paraId="38A5BA6D" w14:textId="77777777">
            <w:pPr>
              <w:rPr>
                <w:rFonts w:ascii="Times New Roman" w:hAnsi="Times New Roman" w:cs="Times New Roman"/>
                <w:sz w:val="28"/>
                <w:szCs w:val="28"/>
              </w:rPr>
            </w:pPr>
            <w:r w:rsidRPr="002C0610">
              <w:rPr>
                <w:rFonts w:ascii="Times New Roman" w:hAnsi="Times New Roman" w:cs="Times New Roman"/>
                <w:sz w:val="28"/>
                <w:szCs w:val="28"/>
              </w:rPr>
              <w:t xml:space="preserve">Vai starptautiskajā dokumentā paredzētās </w:t>
            </w:r>
            <w:r w:rsidRPr="002C0610">
              <w:rPr>
                <w:rFonts w:ascii="Times New Roman" w:hAnsi="Times New Roman" w:cs="Times New Roman"/>
                <w:sz w:val="28"/>
                <w:szCs w:val="28"/>
              </w:rPr>
              <w:t>saistības nav pretrunā ar jau esošajām Latvijas Republikas starptautiskajām saistībām</w:t>
            </w:r>
          </w:p>
        </w:tc>
        <w:tc>
          <w:tcPr>
            <w:tcW w:w="3374" w:type="pct"/>
            <w:gridSpan w:val="4"/>
            <w:tcBorders>
              <w:top w:val="outset" w:sz="6" w:space="0" w:color="414142"/>
              <w:left w:val="outset" w:sz="6" w:space="0" w:color="414142"/>
              <w:bottom w:val="outset" w:sz="6" w:space="0" w:color="414142"/>
              <w:right w:val="outset" w:sz="6" w:space="0" w:color="414142"/>
            </w:tcBorders>
            <w:hideMark/>
          </w:tcPr>
          <w:p w:rsidR="00F9539A" w:rsidRPr="002C0610" w:rsidP="00F9539A" w14:paraId="48EDCAE1" w14:textId="2B82EBE5">
            <w:pPr>
              <w:rPr>
                <w:rFonts w:ascii="Times New Roman" w:hAnsi="Times New Roman" w:cs="Times New Roman"/>
                <w:sz w:val="28"/>
                <w:szCs w:val="28"/>
              </w:rPr>
            </w:pPr>
            <w:r w:rsidRPr="002C0610">
              <w:rPr>
                <w:rFonts w:ascii="Times New Roman" w:hAnsi="Times New Roman" w:cs="Times New Roman"/>
                <w:sz w:val="28"/>
                <w:szCs w:val="28"/>
              </w:rPr>
              <w:t>Nav</w:t>
            </w:r>
          </w:p>
        </w:tc>
      </w:tr>
      <w:tr w14:paraId="07FB37E8" w14:textId="77777777" w:rsidTr="00F9539A">
        <w:tblPrEx>
          <w:tblW w:w="5000" w:type="pct"/>
          <w:jc w:val="center"/>
          <w:tblCellMar>
            <w:top w:w="30" w:type="dxa"/>
            <w:left w:w="30" w:type="dxa"/>
            <w:bottom w:w="30" w:type="dxa"/>
            <w:right w:w="30" w:type="dxa"/>
          </w:tblCellMar>
          <w:tblLook w:val="04A0"/>
        </w:tblPrEx>
        <w:trPr>
          <w:jc w:val="center"/>
        </w:trPr>
        <w:tc>
          <w:tcPr>
            <w:tcW w:w="1626" w:type="pct"/>
            <w:gridSpan w:val="2"/>
            <w:tcBorders>
              <w:top w:val="outset" w:sz="6" w:space="0" w:color="414142"/>
              <w:left w:val="outset" w:sz="6" w:space="0" w:color="414142"/>
              <w:bottom w:val="outset" w:sz="6" w:space="0" w:color="414142"/>
              <w:right w:val="outset" w:sz="6" w:space="0" w:color="414142"/>
            </w:tcBorders>
            <w:hideMark/>
          </w:tcPr>
          <w:p w:rsidR="00F9539A" w:rsidRPr="002C0610" w:rsidP="00F9539A" w14:paraId="69893C08" w14:textId="77777777">
            <w:pPr>
              <w:rPr>
                <w:rFonts w:ascii="Times New Roman" w:hAnsi="Times New Roman" w:cs="Times New Roman"/>
                <w:sz w:val="28"/>
                <w:szCs w:val="28"/>
              </w:rPr>
            </w:pPr>
            <w:r w:rsidRPr="002C0610">
              <w:rPr>
                <w:rFonts w:ascii="Times New Roman" w:hAnsi="Times New Roman" w:cs="Times New Roman"/>
                <w:sz w:val="28"/>
                <w:szCs w:val="28"/>
              </w:rPr>
              <w:t>Cita informācija</w:t>
            </w:r>
          </w:p>
        </w:tc>
        <w:tc>
          <w:tcPr>
            <w:tcW w:w="3374" w:type="pct"/>
            <w:gridSpan w:val="4"/>
            <w:tcBorders>
              <w:top w:val="outset" w:sz="6" w:space="0" w:color="414142"/>
              <w:left w:val="outset" w:sz="6" w:space="0" w:color="414142"/>
              <w:bottom w:val="outset" w:sz="6" w:space="0" w:color="414142"/>
              <w:right w:val="outset" w:sz="6" w:space="0" w:color="414142"/>
            </w:tcBorders>
            <w:hideMark/>
          </w:tcPr>
          <w:p w:rsidR="00F9539A" w:rsidRPr="002C0610" w:rsidP="00F9539A" w14:paraId="7C6D4BA0" w14:textId="380115B9">
            <w:pPr>
              <w:pStyle w:val="tvhtml"/>
              <w:spacing w:line="293" w:lineRule="atLeast"/>
              <w:rPr>
                <w:sz w:val="28"/>
                <w:szCs w:val="28"/>
              </w:rPr>
            </w:pPr>
            <w:r w:rsidRPr="002C0610">
              <w:rPr>
                <w:sz w:val="28"/>
                <w:szCs w:val="28"/>
              </w:rPr>
              <w:t>Nav</w:t>
            </w:r>
          </w:p>
        </w:tc>
      </w:tr>
    </w:tbl>
    <w:p w:rsidR="00390169" w:rsidRPr="002C0610" w:rsidP="002C0610" w14:paraId="76A948D8" w14:textId="39CF0DCE">
      <w:pPr>
        <w:pStyle w:val="tvhtml"/>
        <w:shd w:val="clear" w:color="auto" w:fill="FFFFFF"/>
        <w:spacing w:before="0" w:beforeAutospacing="0" w:after="0" w:afterAutospacing="0"/>
        <w:rPr>
          <w:rFonts w:ascii="Arial" w:hAnsi="Arial" w:cs="Arial"/>
          <w:sz w:val="20"/>
          <w:szCs w:val="20"/>
        </w:rPr>
      </w:pPr>
    </w:p>
    <w:p w:rsidR="0090367D" w:rsidRPr="004541BF" w:rsidP="002C0610" w14:paraId="5D63B76A" w14:textId="16AEDEDF">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3"/>
        <w:gridCol w:w="2628"/>
        <w:gridCol w:w="5944"/>
      </w:tblGrid>
      <w:tr w14:paraId="2060D847"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541BF" w:rsidP="00816C11" w14:paraId="4682BB86"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541BF">
              <w:rPr>
                <w:rFonts w:ascii="Times New Roman" w:eastAsia="Times New Roman" w:hAnsi="Times New Roman" w:cs="Times New Roman"/>
                <w:b/>
                <w:bCs/>
                <w:sz w:val="28"/>
                <w:szCs w:val="28"/>
                <w:lang w:eastAsia="lv-LV"/>
              </w:rPr>
              <w:t>VI.</w:t>
            </w:r>
            <w:r w:rsidRPr="004541BF" w:rsidR="00816C11">
              <w:rPr>
                <w:rFonts w:ascii="Times New Roman" w:eastAsia="Times New Roman" w:hAnsi="Times New Roman" w:cs="Times New Roman"/>
                <w:b/>
                <w:bCs/>
                <w:sz w:val="28"/>
                <w:szCs w:val="28"/>
                <w:lang w:eastAsia="lv-LV"/>
              </w:rPr>
              <w:t> </w:t>
            </w:r>
            <w:r w:rsidRPr="004541BF">
              <w:rPr>
                <w:rFonts w:ascii="Times New Roman" w:eastAsia="Times New Roman" w:hAnsi="Times New Roman" w:cs="Times New Roman"/>
                <w:b/>
                <w:bCs/>
                <w:sz w:val="28"/>
                <w:szCs w:val="28"/>
                <w:lang w:eastAsia="lv-LV"/>
              </w:rPr>
              <w:t>Sabiedrības līdzdalība un komunikācijas aktivitātes</w:t>
            </w:r>
          </w:p>
        </w:tc>
      </w:tr>
      <w:tr w14:paraId="23AEC79A" w14:textId="77777777" w:rsidTr="00E439DF">
        <w:tblPrEx>
          <w:tblW w:w="5000" w:type="pct"/>
          <w:jc w:val="center"/>
          <w:tblCellMar>
            <w:top w:w="24" w:type="dxa"/>
            <w:left w:w="24" w:type="dxa"/>
            <w:bottom w:w="24" w:type="dxa"/>
            <w:right w:w="24" w:type="dxa"/>
          </w:tblCellMar>
          <w:tblLook w:val="04A0"/>
        </w:tblPrEx>
        <w:trPr>
          <w:trHeight w:val="432"/>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3E55D20B"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1.</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7D67B6F3"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D66528" w:rsidP="009153A3" w14:paraId="0EE28902" w14:textId="6520E159">
            <w:pPr>
              <w:spacing w:after="0" w:line="240" w:lineRule="auto"/>
              <w:jc w:val="both"/>
              <w:rPr>
                <w:rFonts w:ascii="Times New Roman" w:hAnsi="Times New Roman" w:cs="Times New Roman"/>
                <w:sz w:val="28"/>
                <w:szCs w:val="28"/>
              </w:rPr>
            </w:pPr>
            <w:r w:rsidRPr="00F97FF1">
              <w:rPr>
                <w:rFonts w:ascii="Times New Roman" w:eastAsia="Times New Roman" w:hAnsi="Times New Roman" w:cs="Times New Roman"/>
                <w:sz w:val="28"/>
                <w:szCs w:val="28"/>
                <w:lang w:eastAsia="lv-LV"/>
              </w:rPr>
              <w:t>Ņemot vērā steidzamību, neno</w:t>
            </w:r>
            <w:r w:rsidRPr="00F97FF1" w:rsidR="008C4EA6">
              <w:rPr>
                <w:rFonts w:ascii="Times New Roman" w:eastAsia="Times New Roman" w:hAnsi="Times New Roman" w:cs="Times New Roman"/>
                <w:sz w:val="28"/>
                <w:szCs w:val="28"/>
                <w:lang w:eastAsia="lv-LV"/>
              </w:rPr>
              <w:t xml:space="preserve">tika </w:t>
            </w:r>
            <w:r w:rsidRPr="00F97FF1">
              <w:rPr>
                <w:rFonts w:ascii="Times New Roman" w:eastAsia="Times New Roman" w:hAnsi="Times New Roman" w:cs="Times New Roman"/>
                <w:sz w:val="28"/>
                <w:szCs w:val="28"/>
                <w:lang w:eastAsia="lv-LV"/>
              </w:rPr>
              <w:t xml:space="preserve">likumprojekta sabiedriskā apspriede vai publiskā apspriešana. Taču par </w:t>
            </w:r>
            <w:r w:rsidRPr="00F97FF1" w:rsidR="00B13BBC">
              <w:rPr>
                <w:rFonts w:ascii="Times New Roman" w:eastAsia="Times New Roman" w:hAnsi="Times New Roman" w:cs="Times New Roman"/>
                <w:sz w:val="28"/>
                <w:szCs w:val="28"/>
                <w:lang w:eastAsia="lv-LV"/>
              </w:rPr>
              <w:t xml:space="preserve">minēto likumprojektu </w:t>
            </w:r>
            <w:r w:rsidRPr="00F97FF1" w:rsidR="002A48A5">
              <w:rPr>
                <w:rFonts w:ascii="Times New Roman" w:eastAsia="Times New Roman" w:hAnsi="Times New Roman" w:cs="Times New Roman"/>
                <w:sz w:val="28"/>
                <w:szCs w:val="28"/>
                <w:lang w:eastAsia="lv-LV"/>
              </w:rPr>
              <w:t xml:space="preserve">tika organizēta tikšanas 2017. gada 28. septembrī, aicinot </w:t>
            </w:r>
            <w:r w:rsidRPr="00F97FF1" w:rsidR="00145469">
              <w:rPr>
                <w:rFonts w:ascii="Times New Roman" w:eastAsia="Times New Roman" w:hAnsi="Times New Roman" w:cs="Times New Roman"/>
                <w:sz w:val="28"/>
                <w:szCs w:val="28"/>
                <w:lang w:eastAsia="lv-LV"/>
              </w:rPr>
              <w:t>diskutēt</w:t>
            </w:r>
            <w:r w:rsidRPr="00F97FF1" w:rsidR="00B13BBC">
              <w:rPr>
                <w:rFonts w:ascii="Times New Roman" w:eastAsia="Times New Roman" w:hAnsi="Times New Roman" w:cs="Times New Roman"/>
                <w:sz w:val="28"/>
                <w:szCs w:val="28"/>
                <w:lang w:eastAsia="lv-LV"/>
              </w:rPr>
              <w:t xml:space="preserve"> nozares pārstāvj</w:t>
            </w:r>
            <w:r w:rsidRPr="00F97FF1" w:rsidR="002A48A5">
              <w:rPr>
                <w:rFonts w:ascii="Times New Roman" w:eastAsia="Times New Roman" w:hAnsi="Times New Roman" w:cs="Times New Roman"/>
                <w:sz w:val="28"/>
                <w:szCs w:val="28"/>
                <w:lang w:eastAsia="lv-LV"/>
              </w:rPr>
              <w:t>us</w:t>
            </w:r>
            <w:r w:rsidRPr="00F97FF1" w:rsidR="00B13BBC">
              <w:rPr>
                <w:rFonts w:ascii="Times New Roman" w:eastAsia="Times New Roman" w:hAnsi="Times New Roman" w:cs="Times New Roman"/>
                <w:sz w:val="28"/>
                <w:szCs w:val="28"/>
                <w:lang w:eastAsia="lv-LV"/>
              </w:rPr>
              <w:t xml:space="preserve">, piemēram, </w:t>
            </w:r>
            <w:r w:rsidRPr="00F97FF1" w:rsidR="002A48A5">
              <w:rPr>
                <w:rFonts w:ascii="Times New Roman" w:eastAsia="Times New Roman" w:hAnsi="Times New Roman" w:cs="Times New Roman"/>
                <w:sz w:val="28"/>
                <w:szCs w:val="28"/>
                <w:lang w:eastAsia="lv-LV"/>
              </w:rPr>
              <w:t xml:space="preserve">Izglītības un zinātnes ministrijas, </w:t>
            </w:r>
            <w:r w:rsidRPr="00F97FF1" w:rsidR="00C6245D">
              <w:rPr>
                <w:rFonts w:ascii="Times New Roman" w:hAnsi="Times New Roman" w:cs="Times New Roman"/>
                <w:color w:val="000000"/>
                <w:sz w:val="28"/>
                <w:szCs w:val="28"/>
              </w:rPr>
              <w:t>Latvijas Ā</w:t>
            </w:r>
            <w:r w:rsidRPr="00F97FF1" w:rsidR="00D50360">
              <w:rPr>
                <w:rFonts w:ascii="Times New Roman" w:hAnsi="Times New Roman" w:cs="Times New Roman"/>
                <w:color w:val="000000"/>
                <w:sz w:val="28"/>
                <w:szCs w:val="28"/>
              </w:rPr>
              <w:t xml:space="preserve">rstu biedrības, </w:t>
            </w:r>
            <w:r w:rsidRPr="00F97FF1" w:rsidR="00D50360">
              <w:rPr>
                <w:rFonts w:ascii="Times New Roman" w:hAnsi="Times New Roman" w:cs="Times New Roman"/>
                <w:bCs/>
                <w:sz w:val="28"/>
                <w:szCs w:val="28"/>
              </w:rPr>
              <w:t xml:space="preserve">biedrības </w:t>
            </w:r>
            <w:r w:rsidRPr="00F97FF1" w:rsidR="00D50360">
              <w:rPr>
                <w:rFonts w:ascii="Times New Roman" w:hAnsi="Times New Roman" w:cs="Times New Roman"/>
                <w:sz w:val="28"/>
                <w:szCs w:val="28"/>
              </w:rPr>
              <w:t>"</w:t>
            </w:r>
            <w:r w:rsidRPr="00F97FF1" w:rsidR="00D50360">
              <w:rPr>
                <w:rFonts w:ascii="Times New Roman" w:hAnsi="Times New Roman" w:cs="Times New Roman"/>
                <w:bCs/>
                <w:sz w:val="28"/>
                <w:szCs w:val="28"/>
              </w:rPr>
              <w:t>Latvijas Olimpiskā komiteja</w:t>
            </w:r>
            <w:r w:rsidRPr="00F97FF1" w:rsidR="00D50360">
              <w:rPr>
                <w:rFonts w:ascii="Times New Roman" w:hAnsi="Times New Roman" w:cs="Times New Roman"/>
                <w:sz w:val="28"/>
                <w:szCs w:val="28"/>
              </w:rPr>
              <w:t>"</w:t>
            </w:r>
            <w:r w:rsidRPr="00F97FF1" w:rsidR="00D50360">
              <w:rPr>
                <w:rFonts w:ascii="Times New Roman" w:hAnsi="Times New Roman" w:cs="Times New Roman"/>
                <w:color w:val="000000"/>
                <w:sz w:val="28"/>
                <w:szCs w:val="28"/>
              </w:rPr>
              <w:t xml:space="preserve">, </w:t>
            </w:r>
            <w:r w:rsidRPr="00F97FF1" w:rsidR="00D50360">
              <w:rPr>
                <w:rFonts w:ascii="Times New Roman" w:hAnsi="Times New Roman" w:cs="Times New Roman"/>
                <w:bCs/>
                <w:sz w:val="28"/>
                <w:szCs w:val="28"/>
              </w:rPr>
              <w:t xml:space="preserve">biedrības </w:t>
            </w:r>
            <w:r w:rsidRPr="00F97FF1" w:rsidR="00D50360">
              <w:rPr>
                <w:rFonts w:ascii="Times New Roman" w:hAnsi="Times New Roman" w:cs="Times New Roman"/>
                <w:sz w:val="28"/>
                <w:szCs w:val="28"/>
              </w:rPr>
              <w:t>"</w:t>
            </w:r>
            <w:r w:rsidRPr="00F97FF1" w:rsidR="00D50360">
              <w:rPr>
                <w:rFonts w:ascii="Times New Roman" w:hAnsi="Times New Roman" w:cs="Times New Roman"/>
                <w:bCs/>
                <w:sz w:val="28"/>
                <w:szCs w:val="28"/>
              </w:rPr>
              <w:t>Latvijas Sporta federāciju padome</w:t>
            </w:r>
            <w:r w:rsidRPr="00F97FF1" w:rsidR="00D50360">
              <w:rPr>
                <w:rFonts w:ascii="Times New Roman" w:hAnsi="Times New Roman" w:cs="Times New Roman"/>
                <w:sz w:val="28"/>
                <w:szCs w:val="28"/>
              </w:rPr>
              <w:t>",</w:t>
            </w:r>
            <w:r w:rsidRPr="00F97FF1" w:rsidR="00D50360">
              <w:rPr>
                <w:rFonts w:ascii="Times New Roman" w:hAnsi="Times New Roman" w:cs="Times New Roman"/>
                <w:color w:val="000000"/>
                <w:sz w:val="28"/>
                <w:szCs w:val="28"/>
              </w:rPr>
              <w:t xml:space="preserve"> </w:t>
            </w:r>
            <w:r w:rsidRPr="00F97FF1" w:rsidR="00D50360">
              <w:rPr>
                <w:rFonts w:ascii="Times New Roman" w:hAnsi="Times New Roman" w:cs="Times New Roman"/>
                <w:bCs/>
                <w:sz w:val="28"/>
                <w:szCs w:val="28"/>
              </w:rPr>
              <w:t xml:space="preserve">biedrības </w:t>
            </w:r>
            <w:r w:rsidRPr="00F97FF1" w:rsidR="00D50360">
              <w:rPr>
                <w:rFonts w:ascii="Times New Roman" w:hAnsi="Times New Roman" w:cs="Times New Roman"/>
                <w:sz w:val="28"/>
                <w:szCs w:val="28"/>
              </w:rPr>
              <w:t>"</w:t>
            </w:r>
            <w:r w:rsidRPr="00F97FF1" w:rsidR="00D50360">
              <w:rPr>
                <w:rFonts w:ascii="Times New Roman" w:hAnsi="Times New Roman" w:cs="Times New Roman"/>
                <w:color w:val="000000"/>
                <w:sz w:val="28"/>
                <w:szCs w:val="28"/>
              </w:rPr>
              <w:t>Latvijas sporta medicīnas asociācija</w:t>
            </w:r>
            <w:r w:rsidRPr="00F97FF1" w:rsidR="002A48A5">
              <w:rPr>
                <w:rFonts w:ascii="Times New Roman" w:hAnsi="Times New Roman" w:cs="Times New Roman"/>
                <w:sz w:val="28"/>
                <w:szCs w:val="28"/>
              </w:rPr>
              <w:t xml:space="preserve">" un </w:t>
            </w:r>
            <w:r w:rsidRPr="00F97FF1" w:rsidR="00D50360">
              <w:rPr>
                <w:rFonts w:ascii="Times New Roman" w:hAnsi="Times New Roman" w:cs="Times New Roman"/>
                <w:sz w:val="28"/>
                <w:szCs w:val="28"/>
              </w:rPr>
              <w:t xml:space="preserve">Latvijas Sporta pedagoģijas akadēmijas </w:t>
            </w:r>
            <w:r w:rsidRPr="00F97FF1" w:rsidR="002A48A5">
              <w:rPr>
                <w:rFonts w:ascii="Times New Roman" w:eastAsia="Times New Roman" w:hAnsi="Times New Roman" w:cs="Times New Roman"/>
                <w:sz w:val="28"/>
                <w:szCs w:val="28"/>
                <w:lang w:eastAsia="lv-LV"/>
              </w:rPr>
              <w:t>pārstāvjus</w:t>
            </w:r>
            <w:r w:rsidRPr="00F97FF1" w:rsidR="003A0860">
              <w:rPr>
                <w:rFonts w:ascii="Times New Roman" w:eastAsia="Times New Roman" w:hAnsi="Times New Roman" w:cs="Times New Roman"/>
                <w:sz w:val="28"/>
                <w:szCs w:val="28"/>
                <w:lang w:eastAsia="lv-LV"/>
              </w:rPr>
              <w:t>.</w:t>
            </w:r>
            <w:r w:rsidRPr="00F97FF1" w:rsidR="0036787E">
              <w:rPr>
                <w:rFonts w:ascii="Times New Roman" w:eastAsia="Times New Roman" w:hAnsi="Times New Roman" w:cs="Times New Roman"/>
                <w:sz w:val="28"/>
                <w:szCs w:val="28"/>
                <w:lang w:eastAsia="lv-LV"/>
              </w:rPr>
              <w:t xml:space="preserve"> Tāpat </w:t>
            </w:r>
            <w:r w:rsidRPr="00F97FF1" w:rsidR="00B84066">
              <w:rPr>
                <w:rFonts w:ascii="Times New Roman" w:eastAsia="Times New Roman" w:hAnsi="Times New Roman" w:cs="Times New Roman"/>
                <w:sz w:val="28"/>
                <w:szCs w:val="28"/>
                <w:lang w:eastAsia="lv-LV"/>
              </w:rPr>
              <w:t>2017. gada</w:t>
            </w:r>
            <w:r w:rsidRPr="00F97FF1" w:rsidR="00B84066">
              <w:rPr>
                <w:rFonts w:ascii="Times New Roman" w:hAnsi="Times New Roman" w:cs="Times New Roman"/>
                <w:sz w:val="28"/>
                <w:szCs w:val="28"/>
              </w:rPr>
              <w:t xml:space="preserve"> 21. septembrī notika starpinstitūciju sanāksme, kurā tika panākta vienošanās par konceptuālajā ziņojumā "</w:t>
            </w:r>
            <w:r w:rsidRPr="00F97FF1" w:rsidR="00B84066">
              <w:rPr>
                <w:rFonts w:ascii="Times New Roman" w:eastAsia="Times New Roman" w:hAnsi="Times New Roman" w:cs="Times New Roman"/>
                <w:sz w:val="28"/>
                <w:szCs w:val="28"/>
                <w:lang w:eastAsia="lv-LV"/>
              </w:rPr>
              <w:t>Par situāciju antidopinga jomā Latvijā un nepieciešamajām izmaiņām</w:t>
            </w:r>
            <w:r w:rsidRPr="00F97FF1" w:rsidR="00B84066">
              <w:rPr>
                <w:rFonts w:ascii="Times New Roman" w:hAnsi="Times New Roman" w:cs="Times New Roman"/>
                <w:sz w:val="28"/>
                <w:szCs w:val="28"/>
              </w:rPr>
              <w:t>" ietvertā risinājuma atbalstīšanu, t.i., Latvijas Antidopinga biroja izveidi.</w:t>
            </w:r>
          </w:p>
        </w:tc>
      </w:tr>
      <w:tr w14:paraId="07F63CF7" w14:textId="77777777" w:rsidTr="00E439DF">
        <w:tblPrEx>
          <w:tblW w:w="5000" w:type="pct"/>
          <w:jc w:val="center"/>
          <w:tblCellMar>
            <w:top w:w="24" w:type="dxa"/>
            <w:left w:w="24" w:type="dxa"/>
            <w:bottom w:w="24" w:type="dxa"/>
            <w:right w:w="24" w:type="dxa"/>
          </w:tblCellMar>
          <w:tblLook w:val="04A0"/>
        </w:tblPrEx>
        <w:trPr>
          <w:trHeight w:val="264"/>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032C296E"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2.</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503E0334"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rsidR="00A31619" w:rsidRPr="00F97FF1" w:rsidP="00304B63" w14:paraId="760DBC1B" w14:textId="0112E2A8">
            <w:pPr>
              <w:spacing w:after="0" w:line="240" w:lineRule="auto"/>
              <w:jc w:val="both"/>
              <w:rPr>
                <w:rFonts w:ascii="Times New Roman" w:eastAsia="Times New Roman" w:hAnsi="Times New Roman" w:cs="Times New Roman"/>
                <w:sz w:val="28"/>
                <w:szCs w:val="28"/>
                <w:lang w:eastAsia="lv-LV"/>
              </w:rPr>
            </w:pPr>
            <w:r w:rsidRPr="00F97FF1">
              <w:rPr>
                <w:rFonts w:ascii="Times New Roman" w:eastAsia="Times New Roman" w:hAnsi="Times New Roman" w:cs="Times New Roman"/>
                <w:sz w:val="28"/>
                <w:szCs w:val="28"/>
                <w:lang w:eastAsia="lv-LV"/>
              </w:rPr>
              <w:t>2017. gada 28. septembrī tikšanās laikā p</w:t>
            </w:r>
            <w:r w:rsidRPr="00F97FF1" w:rsidR="00145469">
              <w:rPr>
                <w:rFonts w:ascii="Times New Roman" w:eastAsia="Times New Roman" w:hAnsi="Times New Roman" w:cs="Times New Roman"/>
                <w:sz w:val="28"/>
                <w:szCs w:val="28"/>
                <w:lang w:eastAsia="lv-LV"/>
              </w:rPr>
              <w:t>ar m</w:t>
            </w:r>
            <w:r w:rsidRPr="00F97FF1" w:rsidR="00B13BBC">
              <w:rPr>
                <w:rFonts w:ascii="Times New Roman" w:eastAsia="Times New Roman" w:hAnsi="Times New Roman" w:cs="Times New Roman"/>
                <w:sz w:val="28"/>
                <w:szCs w:val="28"/>
                <w:lang w:eastAsia="lv-LV"/>
              </w:rPr>
              <w:t xml:space="preserve">inēto likumprojektu </w:t>
            </w:r>
            <w:r w:rsidRPr="00F97FF1">
              <w:rPr>
                <w:rFonts w:ascii="Times New Roman" w:eastAsia="Times New Roman" w:hAnsi="Times New Roman" w:cs="Times New Roman"/>
                <w:sz w:val="28"/>
                <w:szCs w:val="28"/>
                <w:lang w:eastAsia="lv-LV"/>
              </w:rPr>
              <w:t xml:space="preserve">Izglītības un zinātnes ministrijas, </w:t>
            </w:r>
            <w:r w:rsidRPr="00F97FF1" w:rsidR="00BD62C9">
              <w:rPr>
                <w:rFonts w:ascii="Times New Roman" w:hAnsi="Times New Roman" w:cs="Times New Roman"/>
                <w:bCs/>
                <w:sz w:val="28"/>
                <w:szCs w:val="28"/>
              </w:rPr>
              <w:t xml:space="preserve">biedrības </w:t>
            </w:r>
            <w:r w:rsidRPr="00F97FF1" w:rsidR="00BD62C9">
              <w:rPr>
                <w:rFonts w:ascii="Times New Roman" w:hAnsi="Times New Roman" w:cs="Times New Roman"/>
                <w:sz w:val="28"/>
                <w:szCs w:val="28"/>
              </w:rPr>
              <w:t>"</w:t>
            </w:r>
            <w:r w:rsidRPr="00F97FF1" w:rsidR="00BD62C9">
              <w:rPr>
                <w:rFonts w:ascii="Times New Roman" w:hAnsi="Times New Roman" w:cs="Times New Roman"/>
                <w:bCs/>
                <w:sz w:val="28"/>
                <w:szCs w:val="28"/>
              </w:rPr>
              <w:t>Latvijas Olimpiskā komiteja</w:t>
            </w:r>
            <w:r w:rsidRPr="00F97FF1" w:rsidR="00BD62C9">
              <w:rPr>
                <w:rFonts w:ascii="Times New Roman" w:hAnsi="Times New Roman" w:cs="Times New Roman"/>
                <w:sz w:val="28"/>
                <w:szCs w:val="28"/>
              </w:rPr>
              <w:t>"</w:t>
            </w:r>
            <w:r w:rsidRPr="00F97FF1" w:rsidR="00BD62C9">
              <w:rPr>
                <w:rFonts w:ascii="Times New Roman" w:hAnsi="Times New Roman" w:cs="Times New Roman"/>
                <w:color w:val="000000"/>
                <w:sz w:val="28"/>
                <w:szCs w:val="28"/>
              </w:rPr>
              <w:t xml:space="preserve">, </w:t>
            </w:r>
            <w:r w:rsidRPr="00F97FF1" w:rsidR="00BD62C9">
              <w:rPr>
                <w:rFonts w:ascii="Times New Roman" w:hAnsi="Times New Roman" w:cs="Times New Roman"/>
                <w:bCs/>
                <w:sz w:val="28"/>
                <w:szCs w:val="28"/>
              </w:rPr>
              <w:t xml:space="preserve">biedrības </w:t>
            </w:r>
            <w:r w:rsidRPr="00F97FF1" w:rsidR="00BD62C9">
              <w:rPr>
                <w:rFonts w:ascii="Times New Roman" w:hAnsi="Times New Roman" w:cs="Times New Roman"/>
                <w:sz w:val="28"/>
                <w:szCs w:val="28"/>
              </w:rPr>
              <w:t>"</w:t>
            </w:r>
            <w:r w:rsidRPr="00F97FF1" w:rsidR="00BD62C9">
              <w:rPr>
                <w:rFonts w:ascii="Times New Roman" w:hAnsi="Times New Roman" w:cs="Times New Roman"/>
                <w:bCs/>
                <w:sz w:val="28"/>
                <w:szCs w:val="28"/>
              </w:rPr>
              <w:t>Latvijas Sporta federāciju padome</w:t>
            </w:r>
            <w:r w:rsidRPr="00F97FF1" w:rsidR="00BD62C9">
              <w:rPr>
                <w:rFonts w:ascii="Times New Roman" w:hAnsi="Times New Roman" w:cs="Times New Roman"/>
                <w:sz w:val="28"/>
                <w:szCs w:val="28"/>
              </w:rPr>
              <w:t>",</w:t>
            </w:r>
            <w:r w:rsidRPr="00F97FF1" w:rsidR="00BD62C9">
              <w:rPr>
                <w:rFonts w:ascii="Times New Roman" w:hAnsi="Times New Roman" w:cs="Times New Roman"/>
                <w:color w:val="000000"/>
                <w:sz w:val="28"/>
                <w:szCs w:val="28"/>
              </w:rPr>
              <w:t xml:space="preserve"> </w:t>
            </w:r>
            <w:r w:rsidRPr="00F97FF1" w:rsidR="00BD62C9">
              <w:rPr>
                <w:rFonts w:ascii="Times New Roman" w:hAnsi="Times New Roman" w:cs="Times New Roman"/>
                <w:bCs/>
                <w:sz w:val="28"/>
                <w:szCs w:val="28"/>
              </w:rPr>
              <w:t xml:space="preserve">biedrības </w:t>
            </w:r>
            <w:r w:rsidRPr="00F97FF1" w:rsidR="00BD62C9">
              <w:rPr>
                <w:rFonts w:ascii="Times New Roman" w:hAnsi="Times New Roman" w:cs="Times New Roman"/>
                <w:sz w:val="28"/>
                <w:szCs w:val="28"/>
              </w:rPr>
              <w:t>"</w:t>
            </w:r>
            <w:r w:rsidRPr="00F97FF1" w:rsidR="00BD62C9">
              <w:rPr>
                <w:rFonts w:ascii="Times New Roman" w:hAnsi="Times New Roman" w:cs="Times New Roman"/>
                <w:color w:val="000000"/>
                <w:sz w:val="28"/>
                <w:szCs w:val="28"/>
              </w:rPr>
              <w:t>Latvijas sporta medicīnas asociācija</w:t>
            </w:r>
            <w:r w:rsidRPr="00F97FF1" w:rsidR="00BD62C9">
              <w:rPr>
                <w:rFonts w:ascii="Times New Roman" w:hAnsi="Times New Roman" w:cs="Times New Roman"/>
                <w:sz w:val="28"/>
                <w:szCs w:val="28"/>
              </w:rPr>
              <w:t>" un Latvijas Sporta pedagoģijas akadēmijas</w:t>
            </w:r>
            <w:r w:rsidRPr="00F97FF1" w:rsidR="00B13BBC">
              <w:rPr>
                <w:rFonts w:ascii="Times New Roman" w:eastAsia="Times New Roman" w:hAnsi="Times New Roman" w:cs="Times New Roman"/>
                <w:sz w:val="28"/>
                <w:szCs w:val="28"/>
                <w:lang w:eastAsia="lv-LV"/>
              </w:rPr>
              <w:t xml:space="preserve"> </w:t>
            </w:r>
            <w:r w:rsidRPr="00F97FF1" w:rsidR="00BD62C9">
              <w:rPr>
                <w:rFonts w:ascii="Times New Roman" w:eastAsia="Times New Roman" w:hAnsi="Times New Roman" w:cs="Times New Roman"/>
                <w:sz w:val="28"/>
                <w:szCs w:val="28"/>
                <w:lang w:eastAsia="lv-LV"/>
              </w:rPr>
              <w:t>pārstāvji</w:t>
            </w:r>
            <w:r w:rsidRPr="00F97FF1">
              <w:rPr>
                <w:rFonts w:ascii="Times New Roman" w:eastAsia="Times New Roman" w:hAnsi="Times New Roman" w:cs="Times New Roman"/>
                <w:sz w:val="28"/>
                <w:szCs w:val="28"/>
                <w:lang w:eastAsia="lv-LV"/>
              </w:rPr>
              <w:t xml:space="preserve"> pauda atbalstu.</w:t>
            </w:r>
          </w:p>
        </w:tc>
      </w:tr>
      <w:tr w14:paraId="35844A59" w14:textId="77777777" w:rsidTr="00E439DF">
        <w:tblPrEx>
          <w:tblW w:w="5000" w:type="pct"/>
          <w:jc w:val="center"/>
          <w:tblCellMar>
            <w:top w:w="24" w:type="dxa"/>
            <w:left w:w="24" w:type="dxa"/>
            <w:bottom w:w="24" w:type="dxa"/>
            <w:right w:w="24" w:type="dxa"/>
          </w:tblCellMar>
          <w:tblLook w:val="04A0"/>
        </w:tblPrEx>
        <w:trPr>
          <w:trHeight w:val="372"/>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0C8D8B9A"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3.</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2D314B71"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rsidR="00A31619" w:rsidRPr="00D66528" w:rsidP="00A154E9" w14:paraId="5728063E" w14:textId="21FBEC48">
            <w:pPr>
              <w:spacing w:after="0" w:line="240" w:lineRule="auto"/>
              <w:jc w:val="both"/>
              <w:rPr>
                <w:rFonts w:ascii="Times New Roman" w:hAnsi="Times New Roman" w:cs="Times New Roman"/>
                <w:sz w:val="28"/>
                <w:szCs w:val="28"/>
              </w:rPr>
            </w:pPr>
            <w:r w:rsidRPr="00A90B18">
              <w:rPr>
                <w:rFonts w:ascii="Times New Roman" w:hAnsi="Times New Roman" w:cs="Times New Roman"/>
                <w:color w:val="000000"/>
                <w:sz w:val="28"/>
                <w:szCs w:val="28"/>
              </w:rPr>
              <w:t>Pēc tikšanās tika saņemti elektroniski precizējumi no Izglītības un zinātnes ministrijas</w:t>
            </w:r>
            <w:r>
              <w:rPr>
                <w:rFonts w:ascii="Times New Roman" w:hAnsi="Times New Roman" w:cs="Times New Roman"/>
                <w:color w:val="000000"/>
                <w:sz w:val="28"/>
                <w:szCs w:val="28"/>
              </w:rPr>
              <w:t xml:space="preserve"> un </w:t>
            </w:r>
            <w:r w:rsidRPr="004541BF">
              <w:rPr>
                <w:rFonts w:ascii="Times New Roman" w:hAnsi="Times New Roman" w:cs="Times New Roman"/>
                <w:bCs/>
                <w:sz w:val="28"/>
                <w:szCs w:val="28"/>
              </w:rPr>
              <w:t xml:space="preserve">biedrības </w:t>
            </w:r>
            <w:r w:rsidRPr="004541BF">
              <w:rPr>
                <w:rFonts w:ascii="Times New Roman" w:hAnsi="Times New Roman" w:cs="Times New Roman"/>
                <w:sz w:val="28"/>
                <w:szCs w:val="28"/>
              </w:rPr>
              <w:t>"</w:t>
            </w:r>
            <w:r w:rsidRPr="004541BF">
              <w:rPr>
                <w:rFonts w:ascii="Times New Roman" w:hAnsi="Times New Roman" w:cs="Times New Roman"/>
                <w:color w:val="000000"/>
                <w:sz w:val="28"/>
                <w:szCs w:val="28"/>
              </w:rPr>
              <w:t>Latvijas sporta medicīnas asociācija</w:t>
            </w:r>
            <w:r w:rsidRPr="004541BF">
              <w:rPr>
                <w:rFonts w:ascii="Times New Roman" w:hAnsi="Times New Roman" w:cs="Times New Roman"/>
                <w:sz w:val="28"/>
                <w:szCs w:val="28"/>
              </w:rPr>
              <w:t>"</w:t>
            </w:r>
            <w:r>
              <w:rPr>
                <w:rFonts w:ascii="Times New Roman" w:hAnsi="Times New Roman" w:cs="Times New Roman"/>
                <w:sz w:val="28"/>
                <w:szCs w:val="28"/>
              </w:rPr>
              <w:t>,</w:t>
            </w:r>
            <w:r w:rsidRPr="004541BF">
              <w:rPr>
                <w:rFonts w:ascii="Times New Roman" w:hAnsi="Times New Roman" w:cs="Times New Roman"/>
                <w:sz w:val="28"/>
                <w:szCs w:val="28"/>
              </w:rPr>
              <w:t xml:space="preserve"> </w:t>
            </w:r>
            <w:r w:rsidRPr="00A90B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kā arī saņemts saskaņojums no </w:t>
            </w:r>
            <w:r w:rsidRPr="004541BF">
              <w:rPr>
                <w:rFonts w:ascii="Times New Roman" w:hAnsi="Times New Roman" w:cs="Times New Roman"/>
                <w:bCs/>
                <w:sz w:val="28"/>
                <w:szCs w:val="28"/>
              </w:rPr>
              <w:t xml:space="preserve">biedrības </w:t>
            </w:r>
            <w:r w:rsidRPr="004541BF">
              <w:rPr>
                <w:rFonts w:ascii="Times New Roman" w:hAnsi="Times New Roman" w:cs="Times New Roman"/>
                <w:sz w:val="28"/>
                <w:szCs w:val="28"/>
              </w:rPr>
              <w:t>"</w:t>
            </w:r>
            <w:r w:rsidRPr="004541BF">
              <w:rPr>
                <w:rFonts w:ascii="Times New Roman" w:hAnsi="Times New Roman" w:cs="Times New Roman"/>
                <w:bCs/>
                <w:sz w:val="28"/>
                <w:szCs w:val="28"/>
              </w:rPr>
              <w:t>Latvijas Sporta federāciju padome</w:t>
            </w:r>
            <w:r w:rsidRPr="004541BF">
              <w:rPr>
                <w:rFonts w:ascii="Times New Roman" w:hAnsi="Times New Roman" w:cs="Times New Roman"/>
                <w:sz w:val="28"/>
                <w:szCs w:val="28"/>
              </w:rPr>
              <w:t>"</w:t>
            </w:r>
            <w:r>
              <w:rPr>
                <w:rFonts w:ascii="Times New Roman" w:hAnsi="Times New Roman" w:cs="Times New Roman"/>
                <w:sz w:val="28"/>
                <w:szCs w:val="28"/>
              </w:rPr>
              <w:t>.</w:t>
            </w:r>
          </w:p>
        </w:tc>
      </w:tr>
      <w:tr w14:paraId="7B64F323" w14:textId="77777777" w:rsidTr="00E439DF">
        <w:tblPrEx>
          <w:tblW w:w="5000" w:type="pct"/>
          <w:jc w:val="center"/>
          <w:tblCellMar>
            <w:top w:w="24" w:type="dxa"/>
            <w:left w:w="24" w:type="dxa"/>
            <w:bottom w:w="24" w:type="dxa"/>
            <w:right w:w="24" w:type="dxa"/>
          </w:tblCellMar>
          <w:tblLook w:val="04A0"/>
        </w:tblPrEx>
        <w:trPr>
          <w:trHeight w:val="372"/>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2F24F94C"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4.</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387C9E98"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4541BF" w:rsidP="00F57B0C" w14:paraId="1FDCF9B9" w14:textId="77777777">
            <w:pPr>
              <w:spacing w:before="100" w:beforeAutospacing="1" w:after="100" w:afterAutospacing="1" w:line="293" w:lineRule="atLeast"/>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Nav.</w:t>
            </w:r>
          </w:p>
        </w:tc>
      </w:tr>
    </w:tbl>
    <w:p w:rsidR="00DB13C3" w:rsidP="00F177DF" w14:paraId="0CD173AA" w14:textId="03B51348">
      <w:pPr>
        <w:shd w:val="clear" w:color="auto" w:fill="FFFFFF"/>
        <w:spacing w:after="0" w:line="240" w:lineRule="auto"/>
        <w:rPr>
          <w:rFonts w:ascii="Times New Roman" w:eastAsia="Times New Roman" w:hAnsi="Times New Roman" w:cs="Times New Roman"/>
          <w:sz w:val="24"/>
          <w:szCs w:val="24"/>
          <w:lang w:eastAsia="lv-LV"/>
        </w:rPr>
      </w:pPr>
    </w:p>
    <w:p w:rsidR="00714DDB" w:rsidRPr="004541BF" w:rsidP="00F177DF" w14:paraId="491897E8" w14:textId="77777777">
      <w:pPr>
        <w:shd w:val="clear" w:color="auto" w:fill="FFFFFF"/>
        <w:spacing w:after="0" w:line="240" w:lineRule="auto"/>
        <w:rPr>
          <w:rFonts w:ascii="Times New Roman" w:eastAsia="Times New Roman" w:hAnsi="Times New Roman" w:cs="Times New Roman"/>
          <w:sz w:val="24"/>
          <w:szCs w:val="24"/>
          <w:lang w:eastAsia="lv-LV"/>
        </w:rPr>
      </w:pPr>
    </w:p>
    <w:p w:rsidR="00F177DF" w:rsidRPr="004541BF" w:rsidP="00F177DF" w14:paraId="71A81A5D"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68"/>
        <w:gridCol w:w="5935"/>
      </w:tblGrid>
      <w:tr w14:paraId="472B3B3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541BF" w:rsidP="00816C11" w14:paraId="5D4F52E0"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541BF">
              <w:rPr>
                <w:rFonts w:ascii="Times New Roman" w:eastAsia="Times New Roman" w:hAnsi="Times New Roman" w:cs="Times New Roman"/>
                <w:b/>
                <w:bCs/>
                <w:sz w:val="28"/>
                <w:szCs w:val="28"/>
                <w:lang w:eastAsia="lv-LV"/>
              </w:rPr>
              <w:t>VII.</w:t>
            </w:r>
            <w:r w:rsidRPr="004541BF" w:rsidR="00816C11">
              <w:rPr>
                <w:rFonts w:ascii="Times New Roman" w:eastAsia="Times New Roman" w:hAnsi="Times New Roman" w:cs="Times New Roman"/>
                <w:b/>
                <w:bCs/>
                <w:sz w:val="28"/>
                <w:szCs w:val="28"/>
                <w:lang w:eastAsia="lv-LV"/>
              </w:rPr>
              <w:t> </w:t>
            </w:r>
            <w:r w:rsidRPr="004541BF">
              <w:rPr>
                <w:rFonts w:ascii="Times New Roman" w:eastAsia="Times New Roman" w:hAnsi="Times New Roman" w:cs="Times New Roman"/>
                <w:b/>
                <w:bCs/>
                <w:sz w:val="28"/>
                <w:szCs w:val="28"/>
                <w:lang w:eastAsia="lv-LV"/>
              </w:rPr>
              <w:t>Tiesību akta projekta izpildes nodrošināšana un tās ietekme uz institūcijām</w:t>
            </w:r>
          </w:p>
        </w:tc>
      </w:tr>
      <w:tr w14:paraId="3DC78583" w14:textId="77777777" w:rsidTr="0015436A">
        <w:tblPrEx>
          <w:tblW w:w="5000" w:type="pct"/>
          <w:jc w:val="center"/>
          <w:tblCellMar>
            <w:top w:w="24" w:type="dxa"/>
            <w:left w:w="24" w:type="dxa"/>
            <w:bottom w:w="24" w:type="dxa"/>
            <w:right w:w="24" w:type="dxa"/>
          </w:tblCellMar>
          <w:tblLook w:val="04A0"/>
        </w:tblPrEx>
        <w:trPr>
          <w:trHeight w:val="172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608B464E"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5A15074F"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B95BC5" w:rsidRPr="00F97FF1" w:rsidP="002559B6" w14:paraId="5B2D8517" w14:textId="649722C4">
            <w:pPr>
              <w:pStyle w:val="NoSpacing"/>
              <w:jc w:val="both"/>
              <w:rPr>
                <w:sz w:val="28"/>
                <w:szCs w:val="28"/>
                <w:lang w:val="lv-LV"/>
              </w:rPr>
            </w:pPr>
            <w:r w:rsidRPr="00F97FF1">
              <w:rPr>
                <w:sz w:val="28"/>
                <w:szCs w:val="28"/>
                <w:lang w:val="lv-LV"/>
              </w:rPr>
              <w:t>Projekta</w:t>
            </w:r>
            <w:r w:rsidRPr="00F97FF1" w:rsidR="00145469">
              <w:rPr>
                <w:sz w:val="28"/>
                <w:szCs w:val="28"/>
                <w:lang w:val="lv-LV"/>
              </w:rPr>
              <w:t xml:space="preserve"> izpildē</w:t>
            </w:r>
            <w:r w:rsidRPr="00F97FF1" w:rsidR="00A03979">
              <w:rPr>
                <w:sz w:val="28"/>
                <w:szCs w:val="28"/>
                <w:lang w:val="lv-LV"/>
              </w:rPr>
              <w:t xml:space="preserve"> iesaistītās institūcijas ir</w:t>
            </w:r>
            <w:r w:rsidRPr="00F97FF1" w:rsidR="0015436A">
              <w:rPr>
                <w:sz w:val="28"/>
                <w:szCs w:val="28"/>
                <w:lang w:val="lv-LV"/>
              </w:rPr>
              <w:t xml:space="preserve"> VSMC,  </w:t>
            </w:r>
            <w:r w:rsidRPr="00F97FF1" w:rsidR="00A03979">
              <w:rPr>
                <w:sz w:val="28"/>
                <w:szCs w:val="28"/>
                <w:lang w:val="lv-LV"/>
              </w:rPr>
              <w:t xml:space="preserve"> </w:t>
            </w:r>
            <w:r w:rsidRPr="00F97FF1" w:rsidR="00145469">
              <w:rPr>
                <w:sz w:val="28"/>
                <w:szCs w:val="28"/>
                <w:lang w:val="lv-LV"/>
              </w:rPr>
              <w:t>Izgl</w:t>
            </w:r>
            <w:r w:rsidRPr="00F97FF1" w:rsidR="0015436A">
              <w:rPr>
                <w:sz w:val="28"/>
                <w:szCs w:val="28"/>
                <w:lang w:val="lv-LV"/>
              </w:rPr>
              <w:t>ītī</w:t>
            </w:r>
            <w:r w:rsidRPr="00F97FF1" w:rsidR="00145469">
              <w:rPr>
                <w:sz w:val="28"/>
                <w:szCs w:val="28"/>
                <w:lang w:val="lv-LV"/>
              </w:rPr>
              <w:t>bas un zinātnes ministrija</w:t>
            </w:r>
            <w:r w:rsidRPr="00F97FF1" w:rsidR="000011A5">
              <w:rPr>
                <w:sz w:val="28"/>
                <w:szCs w:val="28"/>
                <w:lang w:val="lv-LV"/>
              </w:rPr>
              <w:t xml:space="preserve"> un</w:t>
            </w:r>
            <w:r w:rsidRPr="00F97FF1" w:rsidR="00A03979">
              <w:rPr>
                <w:sz w:val="28"/>
                <w:szCs w:val="28"/>
                <w:lang w:val="lv-LV"/>
              </w:rPr>
              <w:t xml:space="preserve"> </w:t>
            </w:r>
            <w:r w:rsidRPr="00F97FF1" w:rsidR="0015436A">
              <w:rPr>
                <w:sz w:val="28"/>
                <w:szCs w:val="28"/>
                <w:lang w:val="lv-LV"/>
              </w:rPr>
              <w:t>jaunizveidojamais</w:t>
            </w:r>
            <w:r w:rsidRPr="00F97FF1" w:rsidR="0015436A">
              <w:rPr>
                <w:sz w:val="28"/>
                <w:szCs w:val="28"/>
                <w:lang w:val="lv-LV"/>
              </w:rPr>
              <w:t xml:space="preserve"> </w:t>
            </w:r>
            <w:r w:rsidRPr="00F97FF1" w:rsidR="009F22FE">
              <w:rPr>
                <w:sz w:val="28"/>
                <w:szCs w:val="28"/>
                <w:lang w:val="lv-LV"/>
              </w:rPr>
              <w:t xml:space="preserve">Latvijas </w:t>
            </w:r>
            <w:r w:rsidRPr="00F97FF1" w:rsidR="0015436A">
              <w:rPr>
                <w:sz w:val="28"/>
                <w:szCs w:val="28"/>
                <w:lang w:val="lv-LV"/>
              </w:rPr>
              <w:t xml:space="preserve">Antidopinga birojs. </w:t>
            </w:r>
          </w:p>
          <w:p w:rsidR="00AD7D06" w:rsidRPr="00F97FF1" w:rsidP="0015436A" w14:paraId="19A72F1F" w14:textId="15D83917">
            <w:pPr>
              <w:pStyle w:val="NoSpacing"/>
              <w:jc w:val="both"/>
              <w:rPr>
                <w:sz w:val="28"/>
                <w:szCs w:val="28"/>
                <w:lang w:val="lv-LV"/>
              </w:rPr>
            </w:pPr>
          </w:p>
        </w:tc>
      </w:tr>
      <w:tr w14:paraId="02F966DF" w14:textId="77777777" w:rsidTr="009F7FF6">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2A59D6D8"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5393F7A8"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Projekta izpildes ietekme uz pārvaldes funkcijām un institucionālo struktūru.</w:t>
            </w:r>
          </w:p>
          <w:p w:rsidR="00894C55" w:rsidRPr="004541BF" w:rsidP="00894C55" w14:paraId="6E90C40A" w14:textId="77777777">
            <w:pPr>
              <w:spacing w:before="100" w:beforeAutospacing="1" w:after="100" w:afterAutospacing="1" w:line="293" w:lineRule="atLeast"/>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41030D" w:rsidRPr="00F97FF1" w:rsidP="0041030D" w14:paraId="42BDB5EF" w14:textId="5119E5AF">
            <w:pPr>
              <w:spacing w:after="0" w:line="240" w:lineRule="auto"/>
              <w:jc w:val="both"/>
              <w:rPr>
                <w:rFonts w:ascii="Times New Roman" w:eastAsia="Times New Roman" w:hAnsi="Times New Roman" w:cs="Times New Roman"/>
                <w:sz w:val="28"/>
                <w:szCs w:val="28"/>
                <w:lang w:eastAsia="lv-LV"/>
              </w:rPr>
            </w:pPr>
            <w:r w:rsidRPr="00F97FF1">
              <w:rPr>
                <w:rFonts w:ascii="Times New Roman" w:eastAsia="Times New Roman" w:hAnsi="Times New Roman" w:cs="Times New Roman"/>
                <w:sz w:val="28"/>
                <w:szCs w:val="28"/>
                <w:lang w:eastAsia="lv-LV"/>
              </w:rPr>
              <w:t xml:space="preserve">Likumprojekts nosaka, ka tiek izveidots Latvijas Antidopinga birojs kā valsts </w:t>
            </w:r>
            <w:r w:rsidRPr="00F97FF1">
              <w:rPr>
                <w:rFonts w:ascii="Times New Roman" w:hAnsi="Times New Roman" w:cs="Times New Roman"/>
                <w:sz w:val="28"/>
                <w:szCs w:val="28"/>
              </w:rPr>
              <w:t xml:space="preserve">tiešās </w:t>
            </w:r>
            <w:r w:rsidRPr="00F97FF1">
              <w:rPr>
                <w:rFonts w:ascii="Times New Roman" w:eastAsia="Times New Roman" w:hAnsi="Times New Roman" w:cs="Times New Roman"/>
                <w:sz w:val="28"/>
                <w:szCs w:val="28"/>
                <w:lang w:eastAsia="lv-LV"/>
              </w:rPr>
              <w:t>pārvaldes iestāde veselības ministra pārraudzībā pārņemot no Valsts sporta medicīnas centra antidopinga jomas funkciju</w:t>
            </w:r>
            <w:r>
              <w:rPr>
                <w:rStyle w:val="FootnoteReference"/>
                <w:rFonts w:ascii="Times New Roman" w:eastAsia="Times New Roman" w:hAnsi="Times New Roman" w:cs="Times New Roman"/>
                <w:sz w:val="28"/>
                <w:szCs w:val="28"/>
                <w:lang w:eastAsia="lv-LV"/>
              </w:rPr>
              <w:footnoteReference w:id="13"/>
            </w:r>
            <w:r w:rsidRPr="00F97FF1">
              <w:rPr>
                <w:rFonts w:ascii="Times New Roman" w:eastAsia="Times New Roman" w:hAnsi="Times New Roman" w:cs="Times New Roman"/>
                <w:sz w:val="28"/>
                <w:szCs w:val="28"/>
                <w:lang w:eastAsia="lv-LV"/>
              </w:rPr>
              <w:t>,</w:t>
            </w:r>
            <w:r w:rsidRPr="00F97FF1">
              <w:rPr>
                <w:rFonts w:ascii="Times New Roman" w:hAnsi="Times New Roman" w:cs="Times New Roman"/>
                <w:sz w:val="28"/>
                <w:szCs w:val="28"/>
              </w:rPr>
              <w:t xml:space="preserve"> piešķirot birojam savu personālu (10 amata vietas) un finanšu līdzekļus tā darbības īstenošanai.</w:t>
            </w:r>
          </w:p>
        </w:tc>
      </w:tr>
      <w:tr w14:paraId="7DC33B2A" w14:textId="77777777" w:rsidTr="009F7FF6">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34EC32B5"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4541BF" w:rsidP="00894C55" w14:paraId="64621E59" w14:textId="77777777">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4541BF" w:rsidP="00886DE0" w14:paraId="23332FF3" w14:textId="087ACC20">
            <w:pPr>
              <w:spacing w:after="0" w:line="240" w:lineRule="auto"/>
              <w:rPr>
                <w:rFonts w:ascii="Times New Roman" w:eastAsia="Times New Roman" w:hAnsi="Times New Roman" w:cs="Times New Roman"/>
                <w:sz w:val="28"/>
                <w:szCs w:val="28"/>
                <w:lang w:eastAsia="lv-LV"/>
              </w:rPr>
            </w:pPr>
            <w:r w:rsidRPr="004541BF">
              <w:rPr>
                <w:rFonts w:ascii="Times New Roman" w:eastAsia="Times New Roman" w:hAnsi="Times New Roman" w:cs="Times New Roman"/>
                <w:sz w:val="28"/>
                <w:szCs w:val="28"/>
                <w:lang w:eastAsia="lv-LV"/>
              </w:rPr>
              <w:t xml:space="preserve">Tiesību akta projekta izpildes nodrošināšana tiks īstenota </w:t>
            </w:r>
            <w:r w:rsidRPr="004541BF" w:rsidR="001C379E">
              <w:rPr>
                <w:rFonts w:ascii="Times New Roman" w:eastAsia="Times New Roman" w:hAnsi="Times New Roman" w:cs="Times New Roman"/>
                <w:sz w:val="28"/>
                <w:szCs w:val="28"/>
                <w:lang w:eastAsia="lv-LV"/>
              </w:rPr>
              <w:t xml:space="preserve"> piešķirto </w:t>
            </w:r>
            <w:r w:rsidRPr="004541BF">
              <w:rPr>
                <w:rFonts w:ascii="Times New Roman" w:eastAsia="Times New Roman" w:hAnsi="Times New Roman" w:cs="Times New Roman"/>
                <w:sz w:val="28"/>
                <w:szCs w:val="28"/>
                <w:lang w:eastAsia="lv-LV"/>
              </w:rPr>
              <w:t xml:space="preserve">valsts </w:t>
            </w:r>
            <w:r w:rsidRPr="004541BF" w:rsidR="001C379E">
              <w:rPr>
                <w:rFonts w:ascii="Times New Roman" w:eastAsia="Times New Roman" w:hAnsi="Times New Roman" w:cs="Times New Roman"/>
                <w:sz w:val="28"/>
                <w:szCs w:val="28"/>
                <w:lang w:eastAsia="lv-LV"/>
              </w:rPr>
              <w:t>budžeta līdzekļu ietvaros.</w:t>
            </w:r>
          </w:p>
        </w:tc>
      </w:tr>
    </w:tbl>
    <w:p w:rsidR="00720585" w:rsidRPr="004541BF" w:rsidP="00894C55" w14:paraId="45C1BBCF" w14:textId="77777777">
      <w:pPr>
        <w:spacing w:after="0" w:line="240" w:lineRule="auto"/>
        <w:rPr>
          <w:rFonts w:ascii="Times New Roman" w:hAnsi="Times New Roman" w:cs="Times New Roman"/>
          <w:sz w:val="28"/>
          <w:szCs w:val="28"/>
        </w:rPr>
      </w:pPr>
      <w:bookmarkStart w:id="2" w:name="_GoBack"/>
      <w:bookmarkEnd w:id="2"/>
    </w:p>
    <w:p w:rsidR="0015436A" w:rsidRPr="005A3298" w:rsidP="00300329" w14:paraId="53C94597" w14:textId="4A2EE954">
      <w:pPr>
        <w:tabs>
          <w:tab w:val="left" w:pos="6237"/>
        </w:tabs>
        <w:spacing w:after="0" w:line="240" w:lineRule="auto"/>
        <w:rPr>
          <w:rFonts w:ascii="Times New Roman" w:hAnsi="Times New Roman" w:cs="Times New Roman"/>
          <w:sz w:val="28"/>
          <w:szCs w:val="28"/>
        </w:rPr>
      </w:pPr>
    </w:p>
    <w:p w:rsidR="00192F52" w:rsidRPr="00192F52" w:rsidP="00192F52" w14:paraId="470F1C68" w14:textId="77777777">
      <w:pPr>
        <w:spacing w:after="0" w:line="240" w:lineRule="auto"/>
        <w:rPr>
          <w:rFonts w:ascii="Times New Roman" w:hAnsi="Times New Roman" w:cs="Times New Roman"/>
          <w:sz w:val="28"/>
          <w:szCs w:val="28"/>
        </w:rPr>
      </w:pPr>
      <w:r w:rsidRPr="00192F52">
        <w:rPr>
          <w:rFonts w:ascii="Times New Roman" w:hAnsi="Times New Roman" w:cs="Times New Roman"/>
          <w:sz w:val="28"/>
          <w:szCs w:val="28"/>
        </w:rPr>
        <w:t>Ministru prezidents,</w:t>
      </w:r>
    </w:p>
    <w:p w:rsidR="00192F52" w:rsidRPr="00192F52" w:rsidP="00192F52" w14:paraId="29C19FF8" w14:textId="13D59AD0">
      <w:pPr>
        <w:spacing w:after="0" w:line="240" w:lineRule="auto"/>
        <w:rPr>
          <w:rFonts w:ascii="Times New Roman" w:hAnsi="Times New Roman" w:cs="Times New Roman"/>
          <w:sz w:val="28"/>
          <w:szCs w:val="28"/>
        </w:rPr>
      </w:pPr>
      <w:r w:rsidRPr="00192F52">
        <w:rPr>
          <w:rFonts w:ascii="Times New Roman" w:hAnsi="Times New Roman" w:cs="Times New Roman"/>
          <w:sz w:val="28"/>
          <w:szCs w:val="28"/>
        </w:rPr>
        <w:t>veselības ministra pienākumu izpildītājs</w:t>
      </w:r>
      <w:r w:rsidRPr="00192F52">
        <w:rPr>
          <w:rFonts w:ascii="Times New Roman" w:hAnsi="Times New Roman" w:cs="Times New Roman"/>
          <w:sz w:val="28"/>
          <w:szCs w:val="28"/>
        </w:rPr>
        <w:tab/>
      </w:r>
      <w:r w:rsidRPr="00192F5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92F52">
        <w:rPr>
          <w:rFonts w:ascii="Times New Roman" w:hAnsi="Times New Roman" w:cs="Times New Roman"/>
          <w:sz w:val="28"/>
          <w:szCs w:val="28"/>
        </w:rPr>
        <w:t>Māris Kučinskis</w:t>
      </w:r>
    </w:p>
    <w:p w:rsidR="00D95B3D" w:rsidP="00D95B3D" w14:paraId="42DFD4AF" w14:textId="3C425DDF">
      <w:pPr>
        <w:spacing w:after="0" w:line="240" w:lineRule="auto"/>
        <w:rPr>
          <w:rFonts w:ascii="Times New Roman" w:hAnsi="Times New Roman" w:cs="Times New Roman"/>
          <w:sz w:val="28"/>
          <w:szCs w:val="28"/>
        </w:rPr>
      </w:pPr>
    </w:p>
    <w:p w:rsidR="00192F52" w:rsidRPr="00D95B3D" w:rsidP="00D95B3D" w14:paraId="591800BD" w14:textId="77777777">
      <w:pPr>
        <w:spacing w:after="0" w:line="240" w:lineRule="auto"/>
        <w:rPr>
          <w:rFonts w:ascii="Times New Roman" w:hAnsi="Times New Roman" w:cs="Times New Roman"/>
          <w:sz w:val="28"/>
          <w:szCs w:val="28"/>
        </w:rPr>
      </w:pPr>
    </w:p>
    <w:p w:rsidR="00D95B3D" w:rsidRPr="00D95B3D" w:rsidP="00D95B3D" w14:paraId="1FEF1D69" w14:textId="77777777">
      <w:pPr>
        <w:tabs>
          <w:tab w:val="right" w:pos="9072"/>
        </w:tabs>
        <w:spacing w:after="0" w:line="240" w:lineRule="auto"/>
        <w:ind w:right="-17"/>
        <w:rPr>
          <w:rFonts w:ascii="Times New Roman" w:hAnsi="Times New Roman" w:cs="Times New Roman"/>
          <w:color w:val="000000"/>
          <w:sz w:val="28"/>
          <w:szCs w:val="28"/>
          <w:shd w:val="clear" w:color="auto" w:fill="FFFFFF"/>
        </w:rPr>
      </w:pPr>
      <w:r w:rsidRPr="00D95B3D">
        <w:rPr>
          <w:rFonts w:ascii="Times New Roman" w:hAnsi="Times New Roman" w:cs="Times New Roman"/>
          <w:sz w:val="28"/>
          <w:szCs w:val="28"/>
        </w:rPr>
        <w:t xml:space="preserve">Vīza: Valsts sekretārs                                                                       </w:t>
      </w:r>
      <w:r w:rsidRPr="00D95B3D">
        <w:rPr>
          <w:rFonts w:ascii="Times New Roman" w:hAnsi="Times New Roman" w:cs="Times New Roman"/>
          <w:color w:val="000000"/>
          <w:sz w:val="28"/>
          <w:szCs w:val="28"/>
          <w:shd w:val="clear" w:color="auto" w:fill="FFFFFF"/>
        </w:rPr>
        <w:t>Aivars Lapiņš</w:t>
      </w:r>
    </w:p>
    <w:p w:rsidR="00714DDB" w:rsidP="00300329" w14:paraId="04BA2338" w14:textId="74084815">
      <w:pPr>
        <w:tabs>
          <w:tab w:val="left" w:pos="6237"/>
        </w:tabs>
        <w:spacing w:after="0" w:line="240" w:lineRule="auto"/>
        <w:rPr>
          <w:rFonts w:ascii="Times New Roman" w:hAnsi="Times New Roman" w:cs="Times New Roman"/>
          <w:sz w:val="28"/>
          <w:szCs w:val="28"/>
        </w:rPr>
      </w:pPr>
    </w:p>
    <w:p w:rsidR="00714DDB" w:rsidP="00300329" w14:paraId="7CC24B81" w14:textId="6BF96B13">
      <w:pPr>
        <w:tabs>
          <w:tab w:val="left" w:pos="6237"/>
        </w:tabs>
        <w:spacing w:after="0" w:line="240" w:lineRule="auto"/>
        <w:rPr>
          <w:rFonts w:ascii="Times New Roman" w:hAnsi="Times New Roman" w:cs="Times New Roman"/>
          <w:sz w:val="28"/>
          <w:szCs w:val="28"/>
        </w:rPr>
      </w:pPr>
    </w:p>
    <w:p w:rsidR="00714DDB" w:rsidP="00300329" w14:paraId="5A8DB6E8" w14:textId="516E31F9">
      <w:pPr>
        <w:tabs>
          <w:tab w:val="left" w:pos="6237"/>
        </w:tabs>
        <w:spacing w:after="0" w:line="240" w:lineRule="auto"/>
        <w:rPr>
          <w:rFonts w:ascii="Times New Roman" w:hAnsi="Times New Roman" w:cs="Times New Roman"/>
          <w:sz w:val="28"/>
          <w:szCs w:val="28"/>
        </w:rPr>
      </w:pPr>
    </w:p>
    <w:p w:rsidR="00714DDB" w:rsidRPr="004541BF" w:rsidP="00300329" w14:paraId="0B7FF9EC" w14:textId="77777777">
      <w:pPr>
        <w:tabs>
          <w:tab w:val="left" w:pos="6237"/>
        </w:tabs>
        <w:spacing w:after="0" w:line="240" w:lineRule="auto"/>
        <w:rPr>
          <w:rFonts w:ascii="Times New Roman" w:hAnsi="Times New Roman" w:cs="Times New Roman"/>
          <w:sz w:val="28"/>
          <w:szCs w:val="28"/>
        </w:rPr>
      </w:pPr>
    </w:p>
    <w:p w:rsidR="00894C55" w:rsidRPr="004541BF" w:rsidP="00894C55" w14:paraId="3A6DA333" w14:textId="77777777">
      <w:pPr>
        <w:tabs>
          <w:tab w:val="left" w:pos="6237"/>
        </w:tabs>
        <w:spacing w:after="0" w:line="240" w:lineRule="auto"/>
        <w:rPr>
          <w:rFonts w:ascii="Times New Roman" w:hAnsi="Times New Roman" w:cs="Times New Roman"/>
          <w:sz w:val="24"/>
          <w:szCs w:val="28"/>
        </w:rPr>
      </w:pPr>
      <w:r w:rsidRPr="004541BF">
        <w:rPr>
          <w:rFonts w:ascii="Times New Roman" w:hAnsi="Times New Roman" w:cs="Times New Roman"/>
          <w:sz w:val="24"/>
          <w:szCs w:val="28"/>
        </w:rPr>
        <w:t>Timša</w:t>
      </w:r>
      <w:r w:rsidRPr="004541BF" w:rsidR="0060099B">
        <w:rPr>
          <w:rFonts w:ascii="Times New Roman" w:hAnsi="Times New Roman" w:cs="Times New Roman"/>
          <w:sz w:val="24"/>
          <w:szCs w:val="28"/>
        </w:rPr>
        <w:t xml:space="preserve"> </w:t>
      </w:r>
      <w:r w:rsidRPr="004541BF">
        <w:rPr>
          <w:rFonts w:ascii="Times New Roman" w:hAnsi="Times New Roman" w:cs="Times New Roman"/>
          <w:sz w:val="24"/>
          <w:szCs w:val="28"/>
        </w:rPr>
        <w:t>67</w:t>
      </w:r>
      <w:r w:rsidRPr="004541BF" w:rsidR="00831AAF">
        <w:rPr>
          <w:rFonts w:ascii="Times New Roman" w:hAnsi="Times New Roman" w:cs="Times New Roman"/>
          <w:sz w:val="24"/>
          <w:szCs w:val="28"/>
        </w:rPr>
        <w:t>876</w:t>
      </w:r>
      <w:r w:rsidRPr="004541BF">
        <w:rPr>
          <w:rFonts w:ascii="Times New Roman" w:hAnsi="Times New Roman" w:cs="Times New Roman"/>
          <w:sz w:val="24"/>
          <w:szCs w:val="28"/>
        </w:rPr>
        <w:t>081</w:t>
      </w:r>
    </w:p>
    <w:p w:rsidR="00894C55" w:rsidRPr="00CE46AC" w:rsidP="00894C55" w14:paraId="1B1A9FA4" w14:textId="77777777">
      <w:pPr>
        <w:tabs>
          <w:tab w:val="left" w:pos="6237"/>
        </w:tabs>
        <w:spacing w:after="0" w:line="240" w:lineRule="auto"/>
        <w:rPr>
          <w:rFonts w:ascii="Times New Roman" w:hAnsi="Times New Roman" w:cs="Times New Roman"/>
          <w:sz w:val="24"/>
          <w:szCs w:val="28"/>
        </w:rPr>
      </w:pPr>
      <w:r w:rsidRPr="004541BF">
        <w:rPr>
          <w:rFonts w:ascii="Times New Roman" w:hAnsi="Times New Roman" w:cs="Times New Roman"/>
          <w:sz w:val="24"/>
          <w:szCs w:val="28"/>
        </w:rPr>
        <w:t>Liga</w:t>
      </w:r>
      <w:r w:rsidRPr="004541BF" w:rsidR="0060099B">
        <w:rPr>
          <w:rFonts w:ascii="Times New Roman" w:hAnsi="Times New Roman" w:cs="Times New Roman"/>
          <w:sz w:val="24"/>
          <w:szCs w:val="28"/>
        </w:rPr>
        <w:t>.</w:t>
      </w:r>
      <w:r w:rsidRPr="004541BF">
        <w:rPr>
          <w:rFonts w:ascii="Times New Roman" w:hAnsi="Times New Roman" w:cs="Times New Roman"/>
          <w:sz w:val="24"/>
          <w:szCs w:val="28"/>
        </w:rPr>
        <w:t>Timsa@vm.gov.lv</w:t>
      </w:r>
    </w:p>
    <w:sectPr w:rsidSect="00B23E38">
      <w:headerReference w:type="default" r:id="rId6"/>
      <w:footerReference w:type="default" r:id="rId7"/>
      <w:footerReference w:type="first" r:id="rId8"/>
      <w:pgSz w:w="11906" w:h="16838"/>
      <w:pgMar w:top="1418" w:right="1134" w:bottom="1134" w:left="1701" w:header="709" w:footer="5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38E" w:rsidRPr="00C70C1D" w:rsidP="00C70C1D" w14:paraId="6C85AE51" w14:textId="205CE2F8">
    <w:pPr>
      <w:rPr>
        <w:rFonts w:ascii="Times New Roman" w:hAnsi="Times New Roman" w:cs="Times New Roman"/>
        <w:sz w:val="20"/>
        <w:szCs w:val="20"/>
      </w:rPr>
    </w:pPr>
    <w:r>
      <w:rPr>
        <w:rFonts w:ascii="Times New Roman" w:hAnsi="Times New Roman" w:cs="Times New Roman"/>
        <w:sz w:val="20"/>
        <w:szCs w:val="20"/>
      </w:rPr>
      <w:t>VManot_030118_SportaL</w:t>
    </w:r>
    <w:r w:rsidRPr="00833F5B">
      <w:rPr>
        <w:rFonts w:ascii="Times New Roman" w:hAnsi="Times New Roman" w:cs="Times New Roman"/>
        <w:sz w:val="20"/>
        <w:szCs w:val="20"/>
      </w:rPr>
      <w:t>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38E" w:rsidRPr="00833F5B" w:rsidP="00833F5B" w14:paraId="6720A471" w14:textId="490D4105">
    <w:pPr>
      <w:rPr>
        <w:rFonts w:ascii="Times New Roman" w:hAnsi="Times New Roman" w:cs="Times New Roman"/>
        <w:sz w:val="20"/>
        <w:szCs w:val="20"/>
      </w:rPr>
    </w:pPr>
    <w:r>
      <w:rPr>
        <w:rFonts w:ascii="Times New Roman" w:hAnsi="Times New Roman" w:cs="Times New Roman"/>
        <w:sz w:val="20"/>
        <w:szCs w:val="20"/>
      </w:rPr>
      <w:t>VManot_030118_SportaL</w:t>
    </w:r>
    <w:r w:rsidRPr="00833F5B">
      <w:rPr>
        <w:rFonts w:ascii="Times New Roman" w:hAnsi="Times New Roman" w:cs="Times New Roman"/>
        <w:sz w:val="20"/>
        <w:szCs w:val="20"/>
      </w:rPr>
      <w:t>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438E" w:rsidP="00894C55" w14:paraId="4C30046A" w14:textId="77777777">
      <w:pPr>
        <w:spacing w:after="0" w:line="240" w:lineRule="auto"/>
      </w:pPr>
      <w:r>
        <w:separator/>
      </w:r>
    </w:p>
  </w:footnote>
  <w:footnote w:type="continuationSeparator" w:id="1">
    <w:p w:rsidR="003A438E" w:rsidP="00894C55" w14:paraId="77114F69" w14:textId="77777777">
      <w:pPr>
        <w:spacing w:after="0" w:line="240" w:lineRule="auto"/>
      </w:pPr>
      <w:r>
        <w:continuationSeparator/>
      </w:r>
    </w:p>
  </w:footnote>
  <w:footnote w:id="2">
    <w:p w:rsidR="003A438E" w:rsidRPr="00CD59A3" w:rsidP="00CC2528" w14:paraId="429D9C93" w14:textId="0490FDB7">
      <w:pPr>
        <w:pStyle w:val="FootnoteText"/>
        <w:rPr>
          <w:rFonts w:ascii="Times New Roman" w:hAnsi="Times New Roman" w:cs="Times New Roman"/>
          <w:lang w:val="lv-LV"/>
        </w:rPr>
      </w:pPr>
      <w:r w:rsidRPr="00CD59A3">
        <w:rPr>
          <w:rStyle w:val="FootnoteReference"/>
        </w:rPr>
        <w:footnoteRef/>
      </w:r>
      <w:r w:rsidRPr="00061B48">
        <w:rPr>
          <w:rFonts w:ascii="Times New Roman" w:hAnsi="Times New Roman" w:cs="Times New Roman"/>
          <w:lang w:val="lv-LV"/>
        </w:rPr>
        <w:t xml:space="preserve"> </w:t>
      </w:r>
      <w:r>
        <w:rPr>
          <w:rFonts w:ascii="Times New Roman" w:hAnsi="Times New Roman" w:cs="Times New Roman"/>
          <w:lang w:val="lv-LV"/>
        </w:rPr>
        <w:t>Pasaules Antidopinga k</w:t>
      </w:r>
      <w:r w:rsidRPr="00CD59A3">
        <w:rPr>
          <w:rFonts w:ascii="Times New Roman" w:hAnsi="Times New Roman" w:cs="Times New Roman"/>
          <w:lang w:val="lv-LV"/>
        </w:rPr>
        <w:t>odeksa 22.6. punkts</w:t>
      </w:r>
    </w:p>
  </w:footnote>
  <w:footnote w:id="3">
    <w:p w:rsidR="003A438E" w:rsidRPr="0087731C" w14:paraId="0ACA2EE4" w14:textId="1EA3F559">
      <w:pPr>
        <w:pStyle w:val="FootnoteText"/>
        <w:rPr>
          <w:lang w:val="lv-LV"/>
        </w:rPr>
      </w:pPr>
      <w:r w:rsidRPr="0087731C">
        <w:rPr>
          <w:rStyle w:val="FootnoteReference"/>
          <w:lang w:val="lv-LV"/>
        </w:rPr>
        <w:footnoteRef/>
      </w:r>
      <w:r w:rsidRPr="0087731C">
        <w:rPr>
          <w:lang w:val="lv-LV"/>
        </w:rPr>
        <w:t xml:space="preserve"> </w:t>
      </w:r>
      <w:r w:rsidRPr="000604BA">
        <w:rPr>
          <w:rFonts w:ascii="Times New Roman" w:hAnsi="Times New Roman" w:cs="Times New Roman"/>
          <w:color w:val="414142"/>
        </w:rPr>
        <w:t xml:space="preserve">2005.gada </w:t>
      </w:r>
      <w:r w:rsidRPr="000604BA">
        <w:rPr>
          <w:rFonts w:ascii="Times New Roman" w:hAnsi="Times New Roman" w:cs="Times New Roman"/>
          <w:color w:val="414142"/>
        </w:rPr>
        <w:t>19.oktobra</w:t>
      </w:r>
      <w:r w:rsidRPr="000604BA">
        <w:rPr>
          <w:rFonts w:ascii="Times New Roman" w:hAnsi="Times New Roman" w:cs="Times New Roman"/>
          <w:color w:val="414142"/>
        </w:rPr>
        <w:t xml:space="preserve"> </w:t>
      </w:r>
      <w:r w:rsidRPr="000604BA">
        <w:rPr>
          <w:rFonts w:ascii="Times New Roman" w:hAnsi="Times New Roman" w:cs="Times New Roman"/>
          <w:color w:val="414142"/>
        </w:rPr>
        <w:t>Starptautiskā</w:t>
      </w:r>
      <w:r w:rsidRPr="000604BA">
        <w:rPr>
          <w:rFonts w:ascii="Times New Roman" w:hAnsi="Times New Roman" w:cs="Times New Roman"/>
          <w:color w:val="414142"/>
        </w:rPr>
        <w:t xml:space="preserve"> </w:t>
      </w:r>
      <w:r w:rsidRPr="000604BA">
        <w:rPr>
          <w:rFonts w:ascii="Times New Roman" w:hAnsi="Times New Roman" w:cs="Times New Roman"/>
          <w:color w:val="414142"/>
        </w:rPr>
        <w:t>konvencija</w:t>
      </w:r>
      <w:r w:rsidRPr="000604BA">
        <w:rPr>
          <w:rFonts w:ascii="Times New Roman" w:hAnsi="Times New Roman" w:cs="Times New Roman"/>
          <w:color w:val="414142"/>
        </w:rPr>
        <w:t xml:space="preserve"> </w:t>
      </w:r>
      <w:r w:rsidRPr="000604BA">
        <w:rPr>
          <w:rFonts w:ascii="Times New Roman" w:hAnsi="Times New Roman" w:cs="Times New Roman"/>
          <w:color w:val="414142"/>
        </w:rPr>
        <w:t>pret</w:t>
      </w:r>
      <w:r w:rsidRPr="000604BA">
        <w:rPr>
          <w:rFonts w:ascii="Times New Roman" w:hAnsi="Times New Roman" w:cs="Times New Roman"/>
          <w:color w:val="414142"/>
        </w:rPr>
        <w:t xml:space="preserve"> </w:t>
      </w:r>
      <w:r w:rsidRPr="000604BA">
        <w:rPr>
          <w:rFonts w:ascii="Times New Roman" w:hAnsi="Times New Roman" w:cs="Times New Roman"/>
          <w:color w:val="414142"/>
        </w:rPr>
        <w:t>dopingu</w:t>
      </w:r>
      <w:r w:rsidRPr="000604BA">
        <w:rPr>
          <w:rFonts w:ascii="Times New Roman" w:hAnsi="Times New Roman" w:cs="Times New Roman"/>
          <w:color w:val="414142"/>
        </w:rPr>
        <w:t xml:space="preserve"> </w:t>
      </w:r>
      <w:r w:rsidRPr="000604BA">
        <w:rPr>
          <w:rFonts w:ascii="Times New Roman" w:hAnsi="Times New Roman" w:cs="Times New Roman"/>
          <w:color w:val="414142"/>
        </w:rPr>
        <w:t>sportā</w:t>
      </w:r>
      <w:r w:rsidRPr="000604BA">
        <w:rPr>
          <w:rFonts w:ascii="Times New Roman" w:hAnsi="Times New Roman" w:cs="Times New Roman"/>
          <w:lang w:val="lv-LV"/>
        </w:rPr>
        <w:t xml:space="preserve"> un </w:t>
      </w:r>
      <w:r w:rsidRPr="000604BA">
        <w:rPr>
          <w:rFonts w:ascii="Times New Roman" w:hAnsi="Times New Roman" w:cs="Times New Roman"/>
          <w:color w:val="414142"/>
        </w:rPr>
        <w:t xml:space="preserve">1989.gada 16.novembra </w:t>
      </w:r>
      <w:r w:rsidRPr="000604BA">
        <w:rPr>
          <w:rFonts w:ascii="Times New Roman" w:hAnsi="Times New Roman" w:cs="Times New Roman"/>
          <w:lang w:val="lv-LV"/>
        </w:rPr>
        <w:t>Eiropas Padomes Antidopinga konvencija Nr.135.</w:t>
      </w:r>
      <w:r w:rsidRPr="0087731C">
        <w:rPr>
          <w:rFonts w:ascii="Times New Roman" w:hAnsi="Times New Roman" w:cs="Times New Roman"/>
          <w:sz w:val="28"/>
          <w:szCs w:val="28"/>
          <w:lang w:val="lv-LV"/>
        </w:rPr>
        <w:t xml:space="preserve">  </w:t>
      </w:r>
    </w:p>
  </w:footnote>
  <w:footnote w:id="4">
    <w:p w:rsidR="003A438E" w:rsidRPr="0087731C" w:rsidP="008E59DD" w14:paraId="7A790C67" w14:textId="36B09938">
      <w:pPr>
        <w:pStyle w:val="FootnoteText"/>
        <w:rPr>
          <w:lang w:val="lv-LV"/>
        </w:rPr>
      </w:pPr>
      <w:r w:rsidRPr="0087731C">
        <w:rPr>
          <w:rStyle w:val="FootnoteReference"/>
          <w:lang w:val="lv-LV"/>
        </w:rPr>
        <w:footnoteRef/>
      </w:r>
      <w:r w:rsidRPr="0087731C">
        <w:rPr>
          <w:lang w:val="lv-LV"/>
        </w:rPr>
        <w:t xml:space="preserve"> </w:t>
      </w:r>
      <w:r w:rsidRPr="000604BA">
        <w:rPr>
          <w:rFonts w:ascii="Times New Roman" w:hAnsi="Times New Roman" w:cs="Times New Roman"/>
          <w:color w:val="414142"/>
        </w:rPr>
        <w:t xml:space="preserve">2005.gada </w:t>
      </w:r>
      <w:r w:rsidRPr="000604BA">
        <w:rPr>
          <w:rFonts w:ascii="Times New Roman" w:hAnsi="Times New Roman" w:cs="Times New Roman"/>
          <w:color w:val="414142"/>
        </w:rPr>
        <w:t>19.oktobra</w:t>
      </w:r>
      <w:r w:rsidRPr="000604BA">
        <w:rPr>
          <w:rFonts w:ascii="Times New Roman" w:hAnsi="Times New Roman" w:cs="Times New Roman"/>
          <w:color w:val="414142"/>
        </w:rPr>
        <w:t xml:space="preserve"> </w:t>
      </w:r>
      <w:r w:rsidRPr="000604BA">
        <w:rPr>
          <w:rFonts w:ascii="Times New Roman" w:hAnsi="Times New Roman" w:cs="Times New Roman"/>
          <w:color w:val="414142"/>
        </w:rPr>
        <w:t>Starptautiskā</w:t>
      </w:r>
      <w:r w:rsidRPr="000604BA">
        <w:rPr>
          <w:rFonts w:ascii="Times New Roman" w:hAnsi="Times New Roman" w:cs="Times New Roman"/>
          <w:color w:val="414142"/>
        </w:rPr>
        <w:t xml:space="preserve"> </w:t>
      </w:r>
      <w:r w:rsidRPr="000604BA">
        <w:rPr>
          <w:rFonts w:ascii="Times New Roman" w:hAnsi="Times New Roman" w:cs="Times New Roman"/>
          <w:color w:val="414142"/>
        </w:rPr>
        <w:t>konvencija</w:t>
      </w:r>
      <w:r w:rsidRPr="000604BA">
        <w:rPr>
          <w:rFonts w:ascii="Times New Roman" w:hAnsi="Times New Roman" w:cs="Times New Roman"/>
          <w:color w:val="414142"/>
        </w:rPr>
        <w:t xml:space="preserve"> </w:t>
      </w:r>
      <w:r w:rsidRPr="000604BA">
        <w:rPr>
          <w:rFonts w:ascii="Times New Roman" w:hAnsi="Times New Roman" w:cs="Times New Roman"/>
          <w:color w:val="414142"/>
        </w:rPr>
        <w:t>pret</w:t>
      </w:r>
      <w:r w:rsidRPr="000604BA">
        <w:rPr>
          <w:rFonts w:ascii="Times New Roman" w:hAnsi="Times New Roman" w:cs="Times New Roman"/>
          <w:color w:val="414142"/>
        </w:rPr>
        <w:t xml:space="preserve"> </w:t>
      </w:r>
      <w:r w:rsidRPr="000604BA">
        <w:rPr>
          <w:rFonts w:ascii="Times New Roman" w:hAnsi="Times New Roman" w:cs="Times New Roman"/>
          <w:color w:val="414142"/>
        </w:rPr>
        <w:t>dopingu</w:t>
      </w:r>
      <w:r w:rsidRPr="000604BA">
        <w:rPr>
          <w:rFonts w:ascii="Times New Roman" w:hAnsi="Times New Roman" w:cs="Times New Roman"/>
          <w:color w:val="414142"/>
        </w:rPr>
        <w:t xml:space="preserve"> </w:t>
      </w:r>
      <w:r w:rsidRPr="000604BA">
        <w:rPr>
          <w:rFonts w:ascii="Times New Roman" w:hAnsi="Times New Roman" w:cs="Times New Roman"/>
          <w:color w:val="414142"/>
        </w:rPr>
        <w:t>sportā</w:t>
      </w:r>
      <w:r w:rsidRPr="000604BA">
        <w:rPr>
          <w:rFonts w:ascii="Times New Roman" w:hAnsi="Times New Roman" w:cs="Times New Roman"/>
          <w:lang w:val="lv-LV"/>
        </w:rPr>
        <w:t xml:space="preserve"> un </w:t>
      </w:r>
      <w:r w:rsidRPr="000604BA">
        <w:rPr>
          <w:rFonts w:ascii="Times New Roman" w:hAnsi="Times New Roman" w:cs="Times New Roman"/>
          <w:color w:val="414142"/>
        </w:rPr>
        <w:t xml:space="preserve">1989.gada 16.novembra </w:t>
      </w:r>
      <w:r w:rsidRPr="000604BA">
        <w:rPr>
          <w:rFonts w:ascii="Times New Roman" w:hAnsi="Times New Roman" w:cs="Times New Roman"/>
          <w:lang w:val="lv-LV"/>
        </w:rPr>
        <w:t>Eiropas Padomes Antidopinga konvencija Nr.135.</w:t>
      </w:r>
      <w:r w:rsidRPr="0087731C">
        <w:rPr>
          <w:rFonts w:ascii="Times New Roman" w:hAnsi="Times New Roman" w:cs="Times New Roman"/>
          <w:sz w:val="28"/>
          <w:szCs w:val="28"/>
          <w:lang w:val="lv-LV"/>
        </w:rPr>
        <w:t xml:space="preserve">  </w:t>
      </w:r>
    </w:p>
  </w:footnote>
  <w:footnote w:id="5">
    <w:p w:rsidR="003A438E" w:rsidRPr="00BC58A8" w14:paraId="3587F064" w14:textId="2EF6EFEA">
      <w:pPr>
        <w:pStyle w:val="FootnoteText"/>
        <w:rPr>
          <w:rFonts w:ascii="Times New Roman" w:hAnsi="Times New Roman" w:cs="Times New Roman"/>
          <w:lang w:val="lv-LV"/>
        </w:rPr>
      </w:pPr>
      <w:r w:rsidRPr="00BC58A8">
        <w:rPr>
          <w:rStyle w:val="FootnoteReference"/>
          <w:rFonts w:ascii="Times New Roman" w:hAnsi="Times New Roman" w:cs="Times New Roman"/>
        </w:rPr>
        <w:footnoteRef/>
      </w:r>
      <w:r w:rsidRPr="00BC58A8">
        <w:rPr>
          <w:rFonts w:ascii="Times New Roman" w:hAnsi="Times New Roman" w:cs="Times New Roman"/>
          <w:lang w:val="lv-LV"/>
        </w:rPr>
        <w:t xml:space="preserve"> Visos trijos gados par valsts budžeta līdzekļiem veiktas 150 analīzes, pārēj</w:t>
      </w:r>
      <w:r>
        <w:rPr>
          <w:rFonts w:ascii="Times New Roman" w:hAnsi="Times New Roman" w:cs="Times New Roman"/>
          <w:lang w:val="lv-LV"/>
        </w:rPr>
        <w:t>ās</w:t>
      </w:r>
      <w:r w:rsidRPr="00BC58A8">
        <w:rPr>
          <w:rFonts w:ascii="Times New Roman" w:hAnsi="Times New Roman" w:cs="Times New Roman"/>
          <w:lang w:val="lv-LV"/>
        </w:rPr>
        <w:t xml:space="preserve"> ir maksas pakalpojums.</w:t>
      </w:r>
    </w:p>
  </w:footnote>
  <w:footnote w:id="6">
    <w:p w:rsidR="003A438E" w:rsidRPr="002466BC" w:rsidP="008F32C4" w14:paraId="24B58218" w14:textId="77777777">
      <w:pPr>
        <w:pStyle w:val="FootnoteText"/>
        <w:rPr>
          <w:rFonts w:ascii="Times New Roman" w:hAnsi="Times New Roman" w:cs="Times New Roman"/>
          <w:lang w:val="lv-LV"/>
        </w:rPr>
      </w:pPr>
      <w:r w:rsidRPr="002466BC">
        <w:rPr>
          <w:rStyle w:val="FootnoteReference"/>
          <w:rFonts w:ascii="Times New Roman" w:hAnsi="Times New Roman" w:cs="Times New Roman"/>
        </w:rPr>
        <w:footnoteRef/>
      </w:r>
      <w:r w:rsidRPr="002466BC">
        <w:rPr>
          <w:rFonts w:ascii="Times New Roman" w:hAnsi="Times New Roman" w:cs="Times New Roman"/>
        </w:rPr>
        <w:t xml:space="preserve"> </w:t>
      </w:r>
      <w:r w:rsidRPr="002466BC">
        <w:rPr>
          <w:rFonts w:ascii="Times New Roman" w:hAnsi="Times New Roman" w:cs="Times New Roman"/>
          <w:lang w:val="lv-LV"/>
        </w:rPr>
        <w:t>Pieejams: http://www.izm.gov.lv/lv/sports/sporta-nozares-struktura</w:t>
      </w:r>
    </w:p>
  </w:footnote>
  <w:footnote w:id="7">
    <w:p w:rsidR="003A438E" w:rsidRPr="00EB16A4" w:rsidP="00ED104E" w14:paraId="286A0DEA" w14:textId="4205BF4A">
      <w:pPr>
        <w:pStyle w:val="FootnoteText"/>
      </w:pPr>
      <w:r>
        <w:rPr>
          <w:rStyle w:val="FootnoteReference"/>
        </w:rPr>
        <w:footnoteRef/>
      </w:r>
      <w:r>
        <w:t xml:space="preserve"> </w:t>
      </w:r>
      <w:r w:rsidRPr="00EB16A4">
        <w:rPr>
          <w:rFonts w:ascii="Times New Roman" w:hAnsi="Times New Roman" w:cs="Times New Roman"/>
          <w:lang w:val="lv-LV"/>
        </w:rPr>
        <w:t>Pasaules Antidopinga kodeksa</w:t>
      </w:r>
      <w:r w:rsidRPr="00EB16A4">
        <w:rPr>
          <w:rFonts w:ascii="Times New Roman" w:eastAsia="Times New Roman" w:hAnsi="Times New Roman" w:cs="Times New Roman"/>
          <w:color w:val="212121"/>
          <w:lang w:val="lv-LV" w:eastAsia="lv-LV"/>
        </w:rPr>
        <w:t>13</w:t>
      </w:r>
      <w:r>
        <w:rPr>
          <w:rFonts w:ascii="Times New Roman" w:eastAsia="Times New Roman" w:hAnsi="Times New Roman" w:cs="Times New Roman"/>
          <w:color w:val="212121"/>
          <w:lang w:val="lv-LV" w:eastAsia="lv-LV"/>
        </w:rPr>
        <w:t>. panta 2. punkta 2</w:t>
      </w:r>
      <w:r w:rsidRPr="00EB16A4">
        <w:rPr>
          <w:rFonts w:ascii="Times New Roman" w:eastAsia="Times New Roman" w:hAnsi="Times New Roman" w:cs="Times New Roman"/>
          <w:color w:val="212121"/>
          <w:lang w:val="lv-LV" w:eastAsia="lv-LV"/>
        </w:rPr>
        <w:t>. apakšpunkts.</w:t>
      </w:r>
    </w:p>
  </w:footnote>
  <w:footnote w:id="8">
    <w:p w:rsidR="003A438E" w:rsidRPr="00EB16A4" w14:paraId="5A039287" w14:textId="41AB0F7B">
      <w:pPr>
        <w:pStyle w:val="FootnoteText"/>
      </w:pPr>
      <w:r>
        <w:rPr>
          <w:rStyle w:val="FootnoteReference"/>
        </w:rPr>
        <w:footnoteRef/>
      </w:r>
      <w:r>
        <w:t xml:space="preserve"> </w:t>
      </w:r>
      <w:r w:rsidRPr="00EB16A4">
        <w:rPr>
          <w:rFonts w:ascii="Times New Roman" w:hAnsi="Times New Roman" w:cs="Times New Roman"/>
          <w:lang w:val="lv-LV"/>
        </w:rPr>
        <w:t>Pasaules Antidopinga kodeksa</w:t>
      </w:r>
      <w:r w:rsidRPr="00EB16A4">
        <w:rPr>
          <w:rFonts w:ascii="Times New Roman" w:eastAsia="Times New Roman" w:hAnsi="Times New Roman" w:cs="Times New Roman"/>
          <w:color w:val="212121"/>
          <w:lang w:val="lv-LV" w:eastAsia="lv-LV"/>
        </w:rPr>
        <w:t>13. panta 2. punkta 1. apakšpunkts.</w:t>
      </w:r>
    </w:p>
  </w:footnote>
  <w:footnote w:id="9">
    <w:p w:rsidR="003A438E" w:rsidRPr="0087731C" w:rsidP="001832D5" w14:paraId="45D87F55" w14:textId="77777777">
      <w:pPr>
        <w:pStyle w:val="FootnoteText"/>
        <w:rPr>
          <w:lang w:val="lv-LV"/>
        </w:rPr>
      </w:pPr>
      <w:r w:rsidRPr="0087731C">
        <w:rPr>
          <w:rStyle w:val="FootnoteReference"/>
          <w:lang w:val="lv-LV"/>
        </w:rPr>
        <w:footnoteRef/>
      </w:r>
      <w:r w:rsidRPr="0087731C">
        <w:rPr>
          <w:lang w:val="lv-LV"/>
        </w:rPr>
        <w:t xml:space="preserve"> </w:t>
      </w:r>
      <w:r w:rsidRPr="000604BA">
        <w:rPr>
          <w:rFonts w:ascii="Times New Roman" w:hAnsi="Times New Roman" w:cs="Times New Roman"/>
          <w:color w:val="414142"/>
        </w:rPr>
        <w:t xml:space="preserve">2005.gada </w:t>
      </w:r>
      <w:r w:rsidRPr="000604BA">
        <w:rPr>
          <w:rFonts w:ascii="Times New Roman" w:hAnsi="Times New Roman" w:cs="Times New Roman"/>
          <w:color w:val="414142"/>
        </w:rPr>
        <w:t>19.oktobra</w:t>
      </w:r>
      <w:r w:rsidRPr="000604BA">
        <w:rPr>
          <w:rFonts w:ascii="Times New Roman" w:hAnsi="Times New Roman" w:cs="Times New Roman"/>
          <w:color w:val="414142"/>
        </w:rPr>
        <w:t xml:space="preserve"> </w:t>
      </w:r>
      <w:r w:rsidRPr="000604BA">
        <w:rPr>
          <w:rFonts w:ascii="Times New Roman" w:hAnsi="Times New Roman" w:cs="Times New Roman"/>
          <w:color w:val="414142"/>
        </w:rPr>
        <w:t>Starptautiskā</w:t>
      </w:r>
      <w:r w:rsidRPr="000604BA">
        <w:rPr>
          <w:rFonts w:ascii="Times New Roman" w:hAnsi="Times New Roman" w:cs="Times New Roman"/>
          <w:color w:val="414142"/>
        </w:rPr>
        <w:t xml:space="preserve"> </w:t>
      </w:r>
      <w:r w:rsidRPr="000604BA">
        <w:rPr>
          <w:rFonts w:ascii="Times New Roman" w:hAnsi="Times New Roman" w:cs="Times New Roman"/>
          <w:color w:val="414142"/>
        </w:rPr>
        <w:t>konvencija</w:t>
      </w:r>
      <w:r w:rsidRPr="000604BA">
        <w:rPr>
          <w:rFonts w:ascii="Times New Roman" w:hAnsi="Times New Roman" w:cs="Times New Roman"/>
          <w:color w:val="414142"/>
        </w:rPr>
        <w:t xml:space="preserve"> </w:t>
      </w:r>
      <w:r w:rsidRPr="000604BA">
        <w:rPr>
          <w:rFonts w:ascii="Times New Roman" w:hAnsi="Times New Roman" w:cs="Times New Roman"/>
          <w:color w:val="414142"/>
        </w:rPr>
        <w:t>pret</w:t>
      </w:r>
      <w:r w:rsidRPr="000604BA">
        <w:rPr>
          <w:rFonts w:ascii="Times New Roman" w:hAnsi="Times New Roman" w:cs="Times New Roman"/>
          <w:color w:val="414142"/>
        </w:rPr>
        <w:t xml:space="preserve"> </w:t>
      </w:r>
      <w:r w:rsidRPr="000604BA">
        <w:rPr>
          <w:rFonts w:ascii="Times New Roman" w:hAnsi="Times New Roman" w:cs="Times New Roman"/>
          <w:color w:val="414142"/>
        </w:rPr>
        <w:t>dopingu</w:t>
      </w:r>
      <w:r w:rsidRPr="000604BA">
        <w:rPr>
          <w:rFonts w:ascii="Times New Roman" w:hAnsi="Times New Roman" w:cs="Times New Roman"/>
          <w:color w:val="414142"/>
        </w:rPr>
        <w:t xml:space="preserve"> </w:t>
      </w:r>
      <w:r w:rsidRPr="000604BA">
        <w:rPr>
          <w:rFonts w:ascii="Times New Roman" w:hAnsi="Times New Roman" w:cs="Times New Roman"/>
          <w:color w:val="414142"/>
        </w:rPr>
        <w:t>sportā</w:t>
      </w:r>
      <w:r w:rsidRPr="000604BA">
        <w:rPr>
          <w:rFonts w:ascii="Times New Roman" w:hAnsi="Times New Roman" w:cs="Times New Roman"/>
          <w:lang w:val="lv-LV"/>
        </w:rPr>
        <w:t xml:space="preserve"> un </w:t>
      </w:r>
      <w:r w:rsidRPr="000604BA">
        <w:rPr>
          <w:rFonts w:ascii="Times New Roman" w:hAnsi="Times New Roman" w:cs="Times New Roman"/>
          <w:color w:val="414142"/>
        </w:rPr>
        <w:t xml:space="preserve">1989.gada 16.novembra </w:t>
      </w:r>
      <w:r w:rsidRPr="000604BA">
        <w:rPr>
          <w:rFonts w:ascii="Times New Roman" w:hAnsi="Times New Roman" w:cs="Times New Roman"/>
          <w:lang w:val="lv-LV"/>
        </w:rPr>
        <w:t>Eiropas Padomes Antidopinga konvencija Nr.135.</w:t>
      </w:r>
      <w:r w:rsidRPr="0087731C">
        <w:rPr>
          <w:rFonts w:ascii="Times New Roman" w:hAnsi="Times New Roman" w:cs="Times New Roman"/>
          <w:sz w:val="28"/>
          <w:szCs w:val="28"/>
          <w:lang w:val="lv-LV"/>
        </w:rPr>
        <w:t xml:space="preserve">  </w:t>
      </w:r>
    </w:p>
  </w:footnote>
  <w:footnote w:id="10">
    <w:p w:rsidR="003A438E" w:rsidRPr="00CD59A3" w:rsidP="00A451D2" w14:paraId="4B40C7C8" w14:textId="546F5116">
      <w:pPr>
        <w:pStyle w:val="FootnoteText"/>
        <w:rPr>
          <w:rFonts w:ascii="Times New Roman" w:hAnsi="Times New Roman" w:cs="Times New Roman"/>
          <w:lang w:val="lv-LV"/>
        </w:rPr>
      </w:pPr>
      <w:r w:rsidRPr="00CD59A3">
        <w:rPr>
          <w:rStyle w:val="FootnoteReference"/>
        </w:rPr>
        <w:footnoteRef/>
      </w:r>
      <w:r w:rsidRPr="00061B48">
        <w:rPr>
          <w:rFonts w:ascii="Times New Roman" w:hAnsi="Times New Roman" w:cs="Times New Roman"/>
          <w:lang w:val="lv-LV"/>
        </w:rPr>
        <w:t xml:space="preserve"> </w:t>
      </w:r>
      <w:r>
        <w:rPr>
          <w:rFonts w:ascii="Times New Roman" w:hAnsi="Times New Roman" w:cs="Times New Roman"/>
          <w:lang w:val="lv-LV"/>
        </w:rPr>
        <w:t>Pasaules A</w:t>
      </w:r>
      <w:r w:rsidRPr="00A451D2">
        <w:rPr>
          <w:rFonts w:ascii="Times New Roman" w:hAnsi="Times New Roman" w:cs="Times New Roman"/>
          <w:lang w:val="lv-LV"/>
        </w:rPr>
        <w:t xml:space="preserve">ntidopinga kodeksa </w:t>
      </w:r>
      <w:r w:rsidRPr="00A451D2">
        <w:rPr>
          <w:rFonts w:ascii="Times New Roman" w:hAnsi="Times New Roman" w:cs="Times New Roman"/>
        </w:rPr>
        <w:t>10.12.4.</w:t>
      </w:r>
      <w:r w:rsidRPr="00A451D2">
        <w:rPr>
          <w:rFonts w:ascii="Times New Roman" w:hAnsi="Times New Roman" w:cs="Times New Roman"/>
          <w:lang w:val="lv-LV"/>
        </w:rPr>
        <w:t xml:space="preserve"> punkts</w:t>
      </w:r>
    </w:p>
  </w:footnote>
  <w:footnote w:id="11">
    <w:p w:rsidR="003A438E" w:rsidRPr="0087731C" w:rsidP="001832D5" w14:paraId="40C0FEC5" w14:textId="77777777">
      <w:pPr>
        <w:pStyle w:val="FootnoteText"/>
        <w:rPr>
          <w:lang w:val="lv-LV"/>
        </w:rPr>
      </w:pPr>
      <w:r w:rsidRPr="0087731C">
        <w:rPr>
          <w:rStyle w:val="FootnoteReference"/>
          <w:lang w:val="lv-LV"/>
        </w:rPr>
        <w:footnoteRef/>
      </w:r>
      <w:r w:rsidRPr="0087731C">
        <w:rPr>
          <w:lang w:val="lv-LV"/>
        </w:rPr>
        <w:t xml:space="preserve"> </w:t>
      </w:r>
      <w:r w:rsidRPr="000604BA">
        <w:rPr>
          <w:rFonts w:ascii="Times New Roman" w:hAnsi="Times New Roman" w:cs="Times New Roman"/>
          <w:color w:val="414142"/>
        </w:rPr>
        <w:t xml:space="preserve">2005.gada </w:t>
      </w:r>
      <w:r w:rsidRPr="000604BA">
        <w:rPr>
          <w:rFonts w:ascii="Times New Roman" w:hAnsi="Times New Roman" w:cs="Times New Roman"/>
          <w:color w:val="414142"/>
        </w:rPr>
        <w:t>19.oktobra</w:t>
      </w:r>
      <w:r w:rsidRPr="000604BA">
        <w:rPr>
          <w:rFonts w:ascii="Times New Roman" w:hAnsi="Times New Roman" w:cs="Times New Roman"/>
          <w:color w:val="414142"/>
        </w:rPr>
        <w:t xml:space="preserve"> </w:t>
      </w:r>
      <w:r w:rsidRPr="000604BA">
        <w:rPr>
          <w:rFonts w:ascii="Times New Roman" w:hAnsi="Times New Roman" w:cs="Times New Roman"/>
          <w:color w:val="414142"/>
        </w:rPr>
        <w:t>Starptautiskā</w:t>
      </w:r>
      <w:r w:rsidRPr="000604BA">
        <w:rPr>
          <w:rFonts w:ascii="Times New Roman" w:hAnsi="Times New Roman" w:cs="Times New Roman"/>
          <w:color w:val="414142"/>
        </w:rPr>
        <w:t xml:space="preserve"> </w:t>
      </w:r>
      <w:r w:rsidRPr="000604BA">
        <w:rPr>
          <w:rFonts w:ascii="Times New Roman" w:hAnsi="Times New Roman" w:cs="Times New Roman"/>
          <w:color w:val="414142"/>
        </w:rPr>
        <w:t>konvencija</w:t>
      </w:r>
      <w:r w:rsidRPr="000604BA">
        <w:rPr>
          <w:rFonts w:ascii="Times New Roman" w:hAnsi="Times New Roman" w:cs="Times New Roman"/>
          <w:color w:val="414142"/>
        </w:rPr>
        <w:t xml:space="preserve"> </w:t>
      </w:r>
      <w:r w:rsidRPr="000604BA">
        <w:rPr>
          <w:rFonts w:ascii="Times New Roman" w:hAnsi="Times New Roman" w:cs="Times New Roman"/>
          <w:color w:val="414142"/>
        </w:rPr>
        <w:t>pret</w:t>
      </w:r>
      <w:r w:rsidRPr="000604BA">
        <w:rPr>
          <w:rFonts w:ascii="Times New Roman" w:hAnsi="Times New Roman" w:cs="Times New Roman"/>
          <w:color w:val="414142"/>
        </w:rPr>
        <w:t xml:space="preserve"> </w:t>
      </w:r>
      <w:r w:rsidRPr="000604BA">
        <w:rPr>
          <w:rFonts w:ascii="Times New Roman" w:hAnsi="Times New Roman" w:cs="Times New Roman"/>
          <w:color w:val="414142"/>
        </w:rPr>
        <w:t>dopingu</w:t>
      </w:r>
      <w:r w:rsidRPr="000604BA">
        <w:rPr>
          <w:rFonts w:ascii="Times New Roman" w:hAnsi="Times New Roman" w:cs="Times New Roman"/>
          <w:color w:val="414142"/>
        </w:rPr>
        <w:t xml:space="preserve"> </w:t>
      </w:r>
      <w:r w:rsidRPr="000604BA">
        <w:rPr>
          <w:rFonts w:ascii="Times New Roman" w:hAnsi="Times New Roman" w:cs="Times New Roman"/>
          <w:color w:val="414142"/>
        </w:rPr>
        <w:t>sportā</w:t>
      </w:r>
      <w:r w:rsidRPr="000604BA">
        <w:rPr>
          <w:rFonts w:ascii="Times New Roman" w:hAnsi="Times New Roman" w:cs="Times New Roman"/>
          <w:lang w:val="lv-LV"/>
        </w:rPr>
        <w:t xml:space="preserve"> un </w:t>
      </w:r>
      <w:r w:rsidRPr="000604BA">
        <w:rPr>
          <w:rFonts w:ascii="Times New Roman" w:hAnsi="Times New Roman" w:cs="Times New Roman"/>
          <w:color w:val="414142"/>
        </w:rPr>
        <w:t xml:space="preserve">1989.gada 16.novembra </w:t>
      </w:r>
      <w:r w:rsidRPr="000604BA">
        <w:rPr>
          <w:rFonts w:ascii="Times New Roman" w:hAnsi="Times New Roman" w:cs="Times New Roman"/>
          <w:lang w:val="lv-LV"/>
        </w:rPr>
        <w:t>Eiropas Padomes Antidopinga konvencija Nr.135.</w:t>
      </w:r>
      <w:r w:rsidRPr="0087731C">
        <w:rPr>
          <w:rFonts w:ascii="Times New Roman" w:hAnsi="Times New Roman" w:cs="Times New Roman"/>
          <w:sz w:val="28"/>
          <w:szCs w:val="28"/>
          <w:lang w:val="lv-LV"/>
        </w:rPr>
        <w:t xml:space="preserve">  </w:t>
      </w:r>
    </w:p>
  </w:footnote>
  <w:footnote w:id="12">
    <w:p w:rsidR="003A438E" w:rsidRPr="0087731C" w:rsidP="001832D5" w14:paraId="10095D90" w14:textId="77777777">
      <w:pPr>
        <w:pStyle w:val="FootnoteText"/>
        <w:rPr>
          <w:lang w:val="lv-LV"/>
        </w:rPr>
      </w:pPr>
      <w:r w:rsidRPr="0087731C">
        <w:rPr>
          <w:rStyle w:val="FootnoteReference"/>
          <w:lang w:val="lv-LV"/>
        </w:rPr>
        <w:footnoteRef/>
      </w:r>
      <w:r w:rsidRPr="0087731C">
        <w:rPr>
          <w:lang w:val="lv-LV"/>
        </w:rPr>
        <w:t xml:space="preserve"> </w:t>
      </w:r>
      <w:r w:rsidRPr="000604BA">
        <w:rPr>
          <w:rFonts w:ascii="Times New Roman" w:hAnsi="Times New Roman" w:cs="Times New Roman"/>
          <w:color w:val="414142"/>
        </w:rPr>
        <w:t xml:space="preserve">2005.gada </w:t>
      </w:r>
      <w:r w:rsidRPr="000604BA">
        <w:rPr>
          <w:rFonts w:ascii="Times New Roman" w:hAnsi="Times New Roman" w:cs="Times New Roman"/>
          <w:color w:val="414142"/>
        </w:rPr>
        <w:t>19.oktobra</w:t>
      </w:r>
      <w:r w:rsidRPr="000604BA">
        <w:rPr>
          <w:rFonts w:ascii="Times New Roman" w:hAnsi="Times New Roman" w:cs="Times New Roman"/>
          <w:color w:val="414142"/>
        </w:rPr>
        <w:t xml:space="preserve"> </w:t>
      </w:r>
      <w:r w:rsidRPr="000604BA">
        <w:rPr>
          <w:rFonts w:ascii="Times New Roman" w:hAnsi="Times New Roman" w:cs="Times New Roman"/>
          <w:color w:val="414142"/>
        </w:rPr>
        <w:t>Starptautiskā</w:t>
      </w:r>
      <w:r w:rsidRPr="000604BA">
        <w:rPr>
          <w:rFonts w:ascii="Times New Roman" w:hAnsi="Times New Roman" w:cs="Times New Roman"/>
          <w:color w:val="414142"/>
        </w:rPr>
        <w:t xml:space="preserve"> </w:t>
      </w:r>
      <w:r w:rsidRPr="000604BA">
        <w:rPr>
          <w:rFonts w:ascii="Times New Roman" w:hAnsi="Times New Roman" w:cs="Times New Roman"/>
          <w:color w:val="414142"/>
        </w:rPr>
        <w:t>konvencija</w:t>
      </w:r>
      <w:r w:rsidRPr="000604BA">
        <w:rPr>
          <w:rFonts w:ascii="Times New Roman" w:hAnsi="Times New Roman" w:cs="Times New Roman"/>
          <w:color w:val="414142"/>
        </w:rPr>
        <w:t xml:space="preserve"> </w:t>
      </w:r>
      <w:r w:rsidRPr="000604BA">
        <w:rPr>
          <w:rFonts w:ascii="Times New Roman" w:hAnsi="Times New Roman" w:cs="Times New Roman"/>
          <w:color w:val="414142"/>
        </w:rPr>
        <w:t>pret</w:t>
      </w:r>
      <w:r w:rsidRPr="000604BA">
        <w:rPr>
          <w:rFonts w:ascii="Times New Roman" w:hAnsi="Times New Roman" w:cs="Times New Roman"/>
          <w:color w:val="414142"/>
        </w:rPr>
        <w:t xml:space="preserve"> </w:t>
      </w:r>
      <w:r w:rsidRPr="000604BA">
        <w:rPr>
          <w:rFonts w:ascii="Times New Roman" w:hAnsi="Times New Roman" w:cs="Times New Roman"/>
          <w:color w:val="414142"/>
        </w:rPr>
        <w:t>dopingu</w:t>
      </w:r>
      <w:r w:rsidRPr="000604BA">
        <w:rPr>
          <w:rFonts w:ascii="Times New Roman" w:hAnsi="Times New Roman" w:cs="Times New Roman"/>
          <w:color w:val="414142"/>
        </w:rPr>
        <w:t xml:space="preserve"> </w:t>
      </w:r>
      <w:r w:rsidRPr="000604BA">
        <w:rPr>
          <w:rFonts w:ascii="Times New Roman" w:hAnsi="Times New Roman" w:cs="Times New Roman"/>
          <w:color w:val="414142"/>
        </w:rPr>
        <w:t>sportā</w:t>
      </w:r>
      <w:r w:rsidRPr="000604BA">
        <w:rPr>
          <w:rFonts w:ascii="Times New Roman" w:hAnsi="Times New Roman" w:cs="Times New Roman"/>
          <w:lang w:val="lv-LV"/>
        </w:rPr>
        <w:t xml:space="preserve"> un </w:t>
      </w:r>
      <w:r w:rsidRPr="000604BA">
        <w:rPr>
          <w:rFonts w:ascii="Times New Roman" w:hAnsi="Times New Roman" w:cs="Times New Roman"/>
          <w:color w:val="414142"/>
        </w:rPr>
        <w:t xml:space="preserve">1989.gada 16.novembra </w:t>
      </w:r>
      <w:r w:rsidRPr="000604BA">
        <w:rPr>
          <w:rFonts w:ascii="Times New Roman" w:hAnsi="Times New Roman" w:cs="Times New Roman"/>
          <w:lang w:val="lv-LV"/>
        </w:rPr>
        <w:t>Eiropas Padomes Antidopinga konvencija Nr.135.</w:t>
      </w:r>
      <w:r w:rsidRPr="0087731C">
        <w:rPr>
          <w:rFonts w:ascii="Times New Roman" w:hAnsi="Times New Roman" w:cs="Times New Roman"/>
          <w:sz w:val="28"/>
          <w:szCs w:val="28"/>
          <w:lang w:val="lv-LV"/>
        </w:rPr>
        <w:t xml:space="preserve">  </w:t>
      </w:r>
    </w:p>
  </w:footnote>
  <w:footnote w:id="13">
    <w:p w:rsidR="003A438E" w:rsidRPr="00952D90" w14:paraId="698D48C2" w14:textId="1FB7D4B2">
      <w:pPr>
        <w:pStyle w:val="FootnoteText"/>
        <w:rPr>
          <w:rFonts w:ascii="Times New Roman" w:hAnsi="Times New Roman" w:cs="Times New Roman"/>
          <w:lang w:val="lv-LV"/>
        </w:rPr>
      </w:pPr>
      <w:r w:rsidRPr="00952D90">
        <w:rPr>
          <w:rStyle w:val="FootnoteReference"/>
          <w:rFonts w:ascii="Times New Roman" w:hAnsi="Times New Roman" w:cs="Times New Roman"/>
          <w:lang w:val="lv-LV"/>
        </w:rPr>
        <w:footnoteRef/>
      </w:r>
      <w:r w:rsidRPr="00952D90">
        <w:rPr>
          <w:rFonts w:ascii="Times New Roman" w:hAnsi="Times New Roman" w:cs="Times New Roman"/>
          <w:lang w:val="lv-LV"/>
        </w:rPr>
        <w:t xml:space="preserve"> Valsts sporta medicīnas centra nolikums. 3.3. punkts "veikt </w:t>
      </w:r>
      <w:r w:rsidRPr="00952D90">
        <w:rPr>
          <w:rFonts w:ascii="Times New Roman" w:hAnsi="Times New Roman" w:cs="Times New Roman"/>
          <w:color w:val="414142"/>
          <w:lang w:val="lv-LV"/>
        </w:rPr>
        <w:t>dopinga kontroli un citus pasākumus saskaņā ar antidopinga konvencijām</w:t>
      </w:r>
      <w:r w:rsidRPr="00952D90">
        <w:rPr>
          <w:rFonts w:ascii="Times New Roman" w:hAnsi="Times New Roman" w:cs="Times New Roman"/>
          <w:lang w:val="lv-LV"/>
        </w:rPr>
        <w:t>"</w:t>
      </w:r>
      <w:r w:rsidRPr="00952D90">
        <w:rPr>
          <w:rFonts w:ascii="Times New Roman" w:hAnsi="Times New Roman" w:cs="Times New Roman"/>
          <w:color w:val="414142"/>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szCs w:val="20"/>
      </w:rPr>
      <w:id w:val="876927975"/>
      <w:docPartObj>
        <w:docPartGallery w:val="Page Numbers (Top of Page)"/>
        <w:docPartUnique/>
      </w:docPartObj>
    </w:sdtPr>
    <w:sdtEndPr>
      <w:rPr>
        <w:rFonts w:ascii="Times New Roman" w:hAnsi="Times New Roman" w:cs="Times New Roman"/>
        <w:noProof/>
        <w:sz w:val="24"/>
        <w:szCs w:val="24"/>
      </w:rPr>
    </w:sdtEndPr>
    <w:sdtContent>
      <w:p w:rsidR="003A438E" w:rsidRPr="001C0AF2" w14:paraId="4C93282B" w14:textId="0159F53B">
        <w:pPr>
          <w:pStyle w:val="Header"/>
          <w:jc w:val="center"/>
          <w:rPr>
            <w:rFonts w:ascii="Times New Roman" w:hAnsi="Times New Roman" w:cs="Times New Roman"/>
            <w:sz w:val="24"/>
            <w:szCs w:val="24"/>
          </w:rPr>
        </w:pPr>
        <w:r w:rsidRPr="001C0AF2">
          <w:rPr>
            <w:rFonts w:ascii="Times New Roman" w:hAnsi="Times New Roman" w:cs="Times New Roman"/>
            <w:sz w:val="24"/>
            <w:szCs w:val="24"/>
          </w:rPr>
          <w:fldChar w:fldCharType="begin"/>
        </w:r>
        <w:r w:rsidRPr="001C0AF2">
          <w:rPr>
            <w:rFonts w:ascii="Times New Roman" w:hAnsi="Times New Roman" w:cs="Times New Roman"/>
            <w:sz w:val="24"/>
            <w:szCs w:val="24"/>
          </w:rPr>
          <w:instrText xml:space="preserve"> PAGE   \* MERGEFORMAT </w:instrText>
        </w:r>
        <w:r w:rsidRPr="001C0AF2">
          <w:rPr>
            <w:rFonts w:ascii="Times New Roman" w:hAnsi="Times New Roman" w:cs="Times New Roman"/>
            <w:sz w:val="24"/>
            <w:szCs w:val="24"/>
          </w:rPr>
          <w:fldChar w:fldCharType="separate"/>
        </w:r>
        <w:r w:rsidR="008734C2">
          <w:rPr>
            <w:rFonts w:ascii="Times New Roman" w:hAnsi="Times New Roman" w:cs="Times New Roman"/>
            <w:noProof/>
            <w:sz w:val="24"/>
            <w:szCs w:val="24"/>
          </w:rPr>
          <w:t>22</w:t>
        </w:r>
        <w:r w:rsidRPr="001C0AF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80326D"/>
    <w:multiLevelType w:val="multilevel"/>
    <w:tmpl w:val="8A706780"/>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1">
    <w:nsid w:val="0A2C63CD"/>
    <w:multiLevelType w:val="hybridMultilevel"/>
    <w:tmpl w:val="0B4A5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BDC30D2"/>
    <w:multiLevelType w:val="hybridMultilevel"/>
    <w:tmpl w:val="A31844C0"/>
    <w:lvl w:ilvl="0">
      <w:start w:val="1"/>
      <w:numFmt w:val="bullet"/>
      <w:lvlText w:val=""/>
      <w:lvlJc w:val="left"/>
      <w:pPr>
        <w:ind w:left="755" w:hanging="360"/>
      </w:pPr>
      <w:rPr>
        <w:rFonts w:ascii="Symbol" w:hAnsi="Symbol" w:hint="default"/>
      </w:rPr>
    </w:lvl>
    <w:lvl w:ilvl="1" w:tentative="1">
      <w:start w:val="1"/>
      <w:numFmt w:val="bullet"/>
      <w:lvlText w:val="o"/>
      <w:lvlJc w:val="left"/>
      <w:pPr>
        <w:ind w:left="1475" w:hanging="360"/>
      </w:pPr>
      <w:rPr>
        <w:rFonts w:ascii="Courier New" w:hAnsi="Courier New" w:cs="Courier New" w:hint="default"/>
      </w:rPr>
    </w:lvl>
    <w:lvl w:ilvl="2" w:tentative="1">
      <w:start w:val="1"/>
      <w:numFmt w:val="bullet"/>
      <w:lvlText w:val=""/>
      <w:lvlJc w:val="left"/>
      <w:pPr>
        <w:ind w:left="2195" w:hanging="360"/>
      </w:pPr>
      <w:rPr>
        <w:rFonts w:ascii="Wingdings" w:hAnsi="Wingdings" w:hint="default"/>
      </w:rPr>
    </w:lvl>
    <w:lvl w:ilvl="3" w:tentative="1">
      <w:start w:val="1"/>
      <w:numFmt w:val="bullet"/>
      <w:lvlText w:val=""/>
      <w:lvlJc w:val="left"/>
      <w:pPr>
        <w:ind w:left="2915" w:hanging="360"/>
      </w:pPr>
      <w:rPr>
        <w:rFonts w:ascii="Symbol" w:hAnsi="Symbol" w:hint="default"/>
      </w:rPr>
    </w:lvl>
    <w:lvl w:ilvl="4" w:tentative="1">
      <w:start w:val="1"/>
      <w:numFmt w:val="bullet"/>
      <w:lvlText w:val="o"/>
      <w:lvlJc w:val="left"/>
      <w:pPr>
        <w:ind w:left="3635" w:hanging="360"/>
      </w:pPr>
      <w:rPr>
        <w:rFonts w:ascii="Courier New" w:hAnsi="Courier New" w:cs="Courier New" w:hint="default"/>
      </w:rPr>
    </w:lvl>
    <w:lvl w:ilvl="5" w:tentative="1">
      <w:start w:val="1"/>
      <w:numFmt w:val="bullet"/>
      <w:lvlText w:val=""/>
      <w:lvlJc w:val="left"/>
      <w:pPr>
        <w:ind w:left="4355" w:hanging="360"/>
      </w:pPr>
      <w:rPr>
        <w:rFonts w:ascii="Wingdings" w:hAnsi="Wingdings" w:hint="default"/>
      </w:rPr>
    </w:lvl>
    <w:lvl w:ilvl="6" w:tentative="1">
      <w:start w:val="1"/>
      <w:numFmt w:val="bullet"/>
      <w:lvlText w:val=""/>
      <w:lvlJc w:val="left"/>
      <w:pPr>
        <w:ind w:left="5075" w:hanging="360"/>
      </w:pPr>
      <w:rPr>
        <w:rFonts w:ascii="Symbol" w:hAnsi="Symbol" w:hint="default"/>
      </w:rPr>
    </w:lvl>
    <w:lvl w:ilvl="7" w:tentative="1">
      <w:start w:val="1"/>
      <w:numFmt w:val="bullet"/>
      <w:lvlText w:val="o"/>
      <w:lvlJc w:val="left"/>
      <w:pPr>
        <w:ind w:left="5795" w:hanging="360"/>
      </w:pPr>
      <w:rPr>
        <w:rFonts w:ascii="Courier New" w:hAnsi="Courier New" w:cs="Courier New" w:hint="default"/>
      </w:rPr>
    </w:lvl>
    <w:lvl w:ilvl="8" w:tentative="1">
      <w:start w:val="1"/>
      <w:numFmt w:val="bullet"/>
      <w:lvlText w:val=""/>
      <w:lvlJc w:val="left"/>
      <w:pPr>
        <w:ind w:left="6515" w:hanging="360"/>
      </w:pPr>
      <w:rPr>
        <w:rFonts w:ascii="Wingdings" w:hAnsi="Wingdings" w:hint="default"/>
      </w:rPr>
    </w:lvl>
  </w:abstractNum>
  <w:abstractNum w:abstractNumId="3" w15:restartNumberingAfterBreak="1">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15:restartNumberingAfterBreak="1">
    <w:nsid w:val="101E074A"/>
    <w:multiLevelType w:val="hybridMultilevel"/>
    <w:tmpl w:val="221835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369471C"/>
    <w:multiLevelType w:val="hybridMultilevel"/>
    <w:tmpl w:val="807EE8E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1">
    <w:nsid w:val="13AD1895"/>
    <w:multiLevelType w:val="hybridMultilevel"/>
    <w:tmpl w:val="A5786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6754DD9"/>
    <w:multiLevelType w:val="hybridMultilevel"/>
    <w:tmpl w:val="8B1ACDBC"/>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9" w15:restartNumberingAfterBreak="1">
    <w:nsid w:val="17CD4D93"/>
    <w:multiLevelType w:val="multilevel"/>
    <w:tmpl w:val="7B2E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20F91ABA"/>
    <w:multiLevelType w:val="hybridMultilevel"/>
    <w:tmpl w:val="FBD4A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2BE94DF2"/>
    <w:multiLevelType w:val="hybridMultilevel"/>
    <w:tmpl w:val="FD0A1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0125037"/>
    <w:multiLevelType w:val="hybridMultilevel"/>
    <w:tmpl w:val="42423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30AE423A"/>
    <w:multiLevelType w:val="hybridMultilevel"/>
    <w:tmpl w:val="69B85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22C0CD7"/>
    <w:multiLevelType w:val="hybridMultilevel"/>
    <w:tmpl w:val="DE9ED6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34950145"/>
    <w:multiLevelType w:val="hybridMultilevel"/>
    <w:tmpl w:val="E91A3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7D51E99"/>
    <w:multiLevelType w:val="hybridMultilevel"/>
    <w:tmpl w:val="2A74FA02"/>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55D22CFC"/>
    <w:multiLevelType w:val="hybridMultilevel"/>
    <w:tmpl w:val="096255BC"/>
    <w:lvl w:ilvl="0">
      <w:start w:val="2"/>
      <w:numFmt w:val="bullet"/>
      <w:lvlText w:val="-"/>
      <w:lvlJc w:val="left"/>
      <w:pPr>
        <w:ind w:left="1434" w:hanging="360"/>
      </w:pPr>
      <w:rPr>
        <w:rFonts w:ascii="Times New Roman" w:eastAsia="Calibri" w:hAnsi="Times New Roman" w:cs="Times New Roman" w:hint="default"/>
      </w:rPr>
    </w:lvl>
    <w:lvl w:ilvl="1" w:tentative="1">
      <w:start w:val="1"/>
      <w:numFmt w:val="bullet"/>
      <w:lvlText w:val="o"/>
      <w:lvlJc w:val="left"/>
      <w:pPr>
        <w:ind w:left="2154" w:hanging="360"/>
      </w:pPr>
      <w:rPr>
        <w:rFonts w:ascii="Courier New" w:hAnsi="Courier New" w:cs="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18" w15:restartNumberingAfterBreak="1">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1">
    <w:nsid w:val="720B5F25"/>
    <w:multiLevelType w:val="hybridMultilevel"/>
    <w:tmpl w:val="F18C1168"/>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2BB442F"/>
    <w:multiLevelType w:val="hybridMultilevel"/>
    <w:tmpl w:val="D0F045C0"/>
    <w:lvl w:ilvl="0">
      <w:start w:val="1"/>
      <w:numFmt w:val="decimal"/>
      <w:lvlText w:val="%1)"/>
      <w:lvlJc w:val="left"/>
      <w:pPr>
        <w:ind w:left="644"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73222542"/>
    <w:multiLevelType w:val="hybridMultilevel"/>
    <w:tmpl w:val="0442AD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5744421"/>
    <w:multiLevelType w:val="hybridMultilevel"/>
    <w:tmpl w:val="C64CC98E"/>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3" w15:restartNumberingAfterBreak="1">
    <w:nsid w:val="7A7D730E"/>
    <w:multiLevelType w:val="hybridMultilevel"/>
    <w:tmpl w:val="41B0712E"/>
    <w:lvl w:ilvl="0">
      <w:start w:val="1"/>
      <w:numFmt w:val="decimal"/>
      <w:lvlText w:val="%1)"/>
      <w:lvlJc w:val="left"/>
      <w:pPr>
        <w:ind w:left="810" w:hanging="450"/>
      </w:pPr>
      <w:rPr>
        <w:rFonts w:ascii="Times New Roman" w:hAnsi="Times New Roman" w:cstheme="minorBidi" w:hint="default"/>
        <w:b w:val="0"/>
        <w:color w:val="00000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BF953CF"/>
    <w:multiLevelType w:val="hybridMultilevel"/>
    <w:tmpl w:val="F77ABFCA"/>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15:restartNumberingAfterBreak="1">
    <w:nsid w:val="7C2D11CE"/>
    <w:multiLevelType w:val="hybridMultilevel"/>
    <w:tmpl w:val="CCE65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9"/>
  </w:num>
  <w:num w:numId="5">
    <w:abstractNumId w:val="1"/>
  </w:num>
  <w:num w:numId="6">
    <w:abstractNumId w:val="17"/>
  </w:num>
  <w:num w:numId="7">
    <w:abstractNumId w:val="2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4"/>
  </w:num>
  <w:num w:numId="14">
    <w:abstractNumId w:val="3"/>
  </w:num>
  <w:num w:numId="15">
    <w:abstractNumId w:val="13"/>
  </w:num>
  <w:num w:numId="16">
    <w:abstractNumId w:val="2"/>
  </w:num>
  <w:num w:numId="17">
    <w:abstractNumId w:val="10"/>
  </w:num>
  <w:num w:numId="18">
    <w:abstractNumId w:val="15"/>
  </w:num>
  <w:num w:numId="19">
    <w:abstractNumId w:val="11"/>
  </w:num>
  <w:num w:numId="20">
    <w:abstractNumId w:val="21"/>
  </w:num>
  <w:num w:numId="21">
    <w:abstractNumId w:val="0"/>
  </w:num>
  <w:num w:numId="22">
    <w:abstractNumId w:val="25"/>
  </w:num>
  <w:num w:numId="23">
    <w:abstractNumId w:val="22"/>
  </w:num>
  <w:num w:numId="24">
    <w:abstractNumId w:val="20"/>
  </w:num>
  <w:num w:numId="25">
    <w:abstractNumId w:val="18"/>
  </w:num>
  <w:num w:numId="26">
    <w:abstractNumId w:val="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BE"/>
    <w:rsid w:val="000011A5"/>
    <w:rsid w:val="0000224B"/>
    <w:rsid w:val="00004D34"/>
    <w:rsid w:val="00006918"/>
    <w:rsid w:val="0000758A"/>
    <w:rsid w:val="00010501"/>
    <w:rsid w:val="000112CF"/>
    <w:rsid w:val="00016820"/>
    <w:rsid w:val="00016B55"/>
    <w:rsid w:val="00016F98"/>
    <w:rsid w:val="00022160"/>
    <w:rsid w:val="00023203"/>
    <w:rsid w:val="000235F8"/>
    <w:rsid w:val="00023CF4"/>
    <w:rsid w:val="000245D6"/>
    <w:rsid w:val="000308C2"/>
    <w:rsid w:val="00033ADE"/>
    <w:rsid w:val="00033C30"/>
    <w:rsid w:val="00034519"/>
    <w:rsid w:val="00034BAA"/>
    <w:rsid w:val="00035A22"/>
    <w:rsid w:val="00037521"/>
    <w:rsid w:val="0004016E"/>
    <w:rsid w:val="0004166A"/>
    <w:rsid w:val="00042B47"/>
    <w:rsid w:val="000430EA"/>
    <w:rsid w:val="00043107"/>
    <w:rsid w:val="000444A8"/>
    <w:rsid w:val="00045557"/>
    <w:rsid w:val="00051328"/>
    <w:rsid w:val="00053FB8"/>
    <w:rsid w:val="0005491D"/>
    <w:rsid w:val="00055CE4"/>
    <w:rsid w:val="00056D30"/>
    <w:rsid w:val="00056D60"/>
    <w:rsid w:val="00057307"/>
    <w:rsid w:val="000577B0"/>
    <w:rsid w:val="000604BA"/>
    <w:rsid w:val="000606F3"/>
    <w:rsid w:val="00061703"/>
    <w:rsid w:val="00061B48"/>
    <w:rsid w:val="00062926"/>
    <w:rsid w:val="000631F5"/>
    <w:rsid w:val="00063946"/>
    <w:rsid w:val="00063B20"/>
    <w:rsid w:val="00064143"/>
    <w:rsid w:val="000648A2"/>
    <w:rsid w:val="00067F4E"/>
    <w:rsid w:val="00072E3F"/>
    <w:rsid w:val="000730DC"/>
    <w:rsid w:val="000753A0"/>
    <w:rsid w:val="00077B0C"/>
    <w:rsid w:val="0008105D"/>
    <w:rsid w:val="00087F17"/>
    <w:rsid w:val="00091101"/>
    <w:rsid w:val="0009233D"/>
    <w:rsid w:val="00097B70"/>
    <w:rsid w:val="000A4D6E"/>
    <w:rsid w:val="000A6EA9"/>
    <w:rsid w:val="000B417A"/>
    <w:rsid w:val="000B4E04"/>
    <w:rsid w:val="000B6241"/>
    <w:rsid w:val="000B6AE9"/>
    <w:rsid w:val="000B7CAE"/>
    <w:rsid w:val="000C776E"/>
    <w:rsid w:val="000D042A"/>
    <w:rsid w:val="000D3F57"/>
    <w:rsid w:val="000D58E5"/>
    <w:rsid w:val="000D6528"/>
    <w:rsid w:val="000D6C79"/>
    <w:rsid w:val="000D7A17"/>
    <w:rsid w:val="000E0667"/>
    <w:rsid w:val="000E0C55"/>
    <w:rsid w:val="000E230C"/>
    <w:rsid w:val="000E5D62"/>
    <w:rsid w:val="000E6BBB"/>
    <w:rsid w:val="000E7357"/>
    <w:rsid w:val="000F0189"/>
    <w:rsid w:val="000F031D"/>
    <w:rsid w:val="000F0CA5"/>
    <w:rsid w:val="000F2558"/>
    <w:rsid w:val="000F2E2A"/>
    <w:rsid w:val="000F3166"/>
    <w:rsid w:val="000F3CE3"/>
    <w:rsid w:val="000F5A3B"/>
    <w:rsid w:val="000F6CE7"/>
    <w:rsid w:val="000F7BCD"/>
    <w:rsid w:val="00100D68"/>
    <w:rsid w:val="001048AD"/>
    <w:rsid w:val="001049CE"/>
    <w:rsid w:val="00104CF6"/>
    <w:rsid w:val="00106B72"/>
    <w:rsid w:val="0010705B"/>
    <w:rsid w:val="00107357"/>
    <w:rsid w:val="00107941"/>
    <w:rsid w:val="001139CC"/>
    <w:rsid w:val="001144B5"/>
    <w:rsid w:val="00114E5D"/>
    <w:rsid w:val="0012227E"/>
    <w:rsid w:val="00123FBD"/>
    <w:rsid w:val="00127334"/>
    <w:rsid w:val="00131D7D"/>
    <w:rsid w:val="00131FFE"/>
    <w:rsid w:val="00140020"/>
    <w:rsid w:val="001417E1"/>
    <w:rsid w:val="00141BB6"/>
    <w:rsid w:val="00141BD6"/>
    <w:rsid w:val="00142294"/>
    <w:rsid w:val="00143630"/>
    <w:rsid w:val="00145469"/>
    <w:rsid w:val="00147741"/>
    <w:rsid w:val="00153BEB"/>
    <w:rsid w:val="001541F0"/>
    <w:rsid w:val="0015436A"/>
    <w:rsid w:val="001558BA"/>
    <w:rsid w:val="00155D75"/>
    <w:rsid w:val="001604FB"/>
    <w:rsid w:val="00160B08"/>
    <w:rsid w:val="001611FD"/>
    <w:rsid w:val="00170E27"/>
    <w:rsid w:val="0017505A"/>
    <w:rsid w:val="0017644F"/>
    <w:rsid w:val="00176AB8"/>
    <w:rsid w:val="00177708"/>
    <w:rsid w:val="0018019C"/>
    <w:rsid w:val="00182DFF"/>
    <w:rsid w:val="001832D5"/>
    <w:rsid w:val="00185827"/>
    <w:rsid w:val="001913BE"/>
    <w:rsid w:val="00192F52"/>
    <w:rsid w:val="00193409"/>
    <w:rsid w:val="00193A95"/>
    <w:rsid w:val="00194FE4"/>
    <w:rsid w:val="00195A71"/>
    <w:rsid w:val="00195EA8"/>
    <w:rsid w:val="001A0EEE"/>
    <w:rsid w:val="001A11A5"/>
    <w:rsid w:val="001A2786"/>
    <w:rsid w:val="001A361D"/>
    <w:rsid w:val="001A4388"/>
    <w:rsid w:val="001A5F4F"/>
    <w:rsid w:val="001A6D82"/>
    <w:rsid w:val="001A7218"/>
    <w:rsid w:val="001B154A"/>
    <w:rsid w:val="001B15B7"/>
    <w:rsid w:val="001B2999"/>
    <w:rsid w:val="001B2F93"/>
    <w:rsid w:val="001B41C4"/>
    <w:rsid w:val="001C04EB"/>
    <w:rsid w:val="001C0AF2"/>
    <w:rsid w:val="001C379E"/>
    <w:rsid w:val="001C5FDB"/>
    <w:rsid w:val="001C6122"/>
    <w:rsid w:val="001C6959"/>
    <w:rsid w:val="001C78CA"/>
    <w:rsid w:val="001D020D"/>
    <w:rsid w:val="001D32B0"/>
    <w:rsid w:val="001D5B8A"/>
    <w:rsid w:val="001D6B14"/>
    <w:rsid w:val="001E3CF8"/>
    <w:rsid w:val="001E5C60"/>
    <w:rsid w:val="001E6D3C"/>
    <w:rsid w:val="001E74F5"/>
    <w:rsid w:val="001F18AA"/>
    <w:rsid w:val="001F2FA0"/>
    <w:rsid w:val="001F396E"/>
    <w:rsid w:val="00200E29"/>
    <w:rsid w:val="0020157D"/>
    <w:rsid w:val="00204311"/>
    <w:rsid w:val="00204D38"/>
    <w:rsid w:val="00205EB2"/>
    <w:rsid w:val="00207924"/>
    <w:rsid w:val="00207F04"/>
    <w:rsid w:val="0021049E"/>
    <w:rsid w:val="00212155"/>
    <w:rsid w:val="00212825"/>
    <w:rsid w:val="00212F66"/>
    <w:rsid w:val="00214175"/>
    <w:rsid w:val="002144DE"/>
    <w:rsid w:val="00215E5A"/>
    <w:rsid w:val="00217851"/>
    <w:rsid w:val="0022013F"/>
    <w:rsid w:val="00221447"/>
    <w:rsid w:val="0022226A"/>
    <w:rsid w:val="002240A8"/>
    <w:rsid w:val="00230F8E"/>
    <w:rsid w:val="00231349"/>
    <w:rsid w:val="0023274C"/>
    <w:rsid w:val="002354D2"/>
    <w:rsid w:val="002378BF"/>
    <w:rsid w:val="00240A99"/>
    <w:rsid w:val="00240FA4"/>
    <w:rsid w:val="00243426"/>
    <w:rsid w:val="002438DF"/>
    <w:rsid w:val="00244FEA"/>
    <w:rsid w:val="002466BC"/>
    <w:rsid w:val="00250B25"/>
    <w:rsid w:val="00250C0C"/>
    <w:rsid w:val="002521DD"/>
    <w:rsid w:val="00252DC9"/>
    <w:rsid w:val="00254BBC"/>
    <w:rsid w:val="002556BE"/>
    <w:rsid w:val="002559B6"/>
    <w:rsid w:val="00256DE9"/>
    <w:rsid w:val="00257109"/>
    <w:rsid w:val="0026110A"/>
    <w:rsid w:val="0026250F"/>
    <w:rsid w:val="00265435"/>
    <w:rsid w:val="00265851"/>
    <w:rsid w:val="00265C5D"/>
    <w:rsid w:val="00266100"/>
    <w:rsid w:val="00271590"/>
    <w:rsid w:val="00273DEB"/>
    <w:rsid w:val="00274AD4"/>
    <w:rsid w:val="00275FAA"/>
    <w:rsid w:val="00280885"/>
    <w:rsid w:val="00284425"/>
    <w:rsid w:val="002849CA"/>
    <w:rsid w:val="00285A40"/>
    <w:rsid w:val="002861DB"/>
    <w:rsid w:val="002868B7"/>
    <w:rsid w:val="00291F59"/>
    <w:rsid w:val="002938F1"/>
    <w:rsid w:val="002943D4"/>
    <w:rsid w:val="00294F30"/>
    <w:rsid w:val="002959BC"/>
    <w:rsid w:val="002964DC"/>
    <w:rsid w:val="002A48A5"/>
    <w:rsid w:val="002A52A3"/>
    <w:rsid w:val="002A6C75"/>
    <w:rsid w:val="002B2CF6"/>
    <w:rsid w:val="002B3566"/>
    <w:rsid w:val="002B4655"/>
    <w:rsid w:val="002B6BDA"/>
    <w:rsid w:val="002C0610"/>
    <w:rsid w:val="002C3827"/>
    <w:rsid w:val="002C3892"/>
    <w:rsid w:val="002C3E37"/>
    <w:rsid w:val="002C7165"/>
    <w:rsid w:val="002D2203"/>
    <w:rsid w:val="002D515A"/>
    <w:rsid w:val="002D7476"/>
    <w:rsid w:val="002E45BD"/>
    <w:rsid w:val="002E6687"/>
    <w:rsid w:val="002F02D0"/>
    <w:rsid w:val="002F1F5E"/>
    <w:rsid w:val="002F2597"/>
    <w:rsid w:val="002F5AA9"/>
    <w:rsid w:val="002F63C1"/>
    <w:rsid w:val="002F78B0"/>
    <w:rsid w:val="00300329"/>
    <w:rsid w:val="00300D27"/>
    <w:rsid w:val="00301BD2"/>
    <w:rsid w:val="00303695"/>
    <w:rsid w:val="00303A76"/>
    <w:rsid w:val="00304440"/>
    <w:rsid w:val="00304725"/>
    <w:rsid w:val="00304B63"/>
    <w:rsid w:val="00307A6C"/>
    <w:rsid w:val="00307DC6"/>
    <w:rsid w:val="0031117F"/>
    <w:rsid w:val="00313707"/>
    <w:rsid w:val="00313ACC"/>
    <w:rsid w:val="003162A4"/>
    <w:rsid w:val="00317C97"/>
    <w:rsid w:val="00317F66"/>
    <w:rsid w:val="0032127D"/>
    <w:rsid w:val="00321CD8"/>
    <w:rsid w:val="00322003"/>
    <w:rsid w:val="003237D3"/>
    <w:rsid w:val="0033778D"/>
    <w:rsid w:val="00340B1B"/>
    <w:rsid w:val="00341B01"/>
    <w:rsid w:val="00342148"/>
    <w:rsid w:val="0034277D"/>
    <w:rsid w:val="00344881"/>
    <w:rsid w:val="003508A5"/>
    <w:rsid w:val="00351B1C"/>
    <w:rsid w:val="00351C24"/>
    <w:rsid w:val="00353143"/>
    <w:rsid w:val="003540CC"/>
    <w:rsid w:val="003547AD"/>
    <w:rsid w:val="0035517F"/>
    <w:rsid w:val="00355C90"/>
    <w:rsid w:val="00356221"/>
    <w:rsid w:val="003601B4"/>
    <w:rsid w:val="00364093"/>
    <w:rsid w:val="00364C48"/>
    <w:rsid w:val="003677D2"/>
    <w:rsid w:val="0036787E"/>
    <w:rsid w:val="00367ACA"/>
    <w:rsid w:val="00374355"/>
    <w:rsid w:val="00374B3C"/>
    <w:rsid w:val="00374FA2"/>
    <w:rsid w:val="00380F7A"/>
    <w:rsid w:val="00382166"/>
    <w:rsid w:val="00385547"/>
    <w:rsid w:val="00386F6F"/>
    <w:rsid w:val="00390169"/>
    <w:rsid w:val="00390CB3"/>
    <w:rsid w:val="0039257E"/>
    <w:rsid w:val="00393858"/>
    <w:rsid w:val="0039483B"/>
    <w:rsid w:val="00395922"/>
    <w:rsid w:val="003970DA"/>
    <w:rsid w:val="00397F83"/>
    <w:rsid w:val="003A07D4"/>
    <w:rsid w:val="003A0860"/>
    <w:rsid w:val="003A2D89"/>
    <w:rsid w:val="003A2DA0"/>
    <w:rsid w:val="003A438E"/>
    <w:rsid w:val="003A607A"/>
    <w:rsid w:val="003A6B10"/>
    <w:rsid w:val="003A6BB4"/>
    <w:rsid w:val="003B0BF9"/>
    <w:rsid w:val="003B23A4"/>
    <w:rsid w:val="003B33F3"/>
    <w:rsid w:val="003C36E5"/>
    <w:rsid w:val="003C654C"/>
    <w:rsid w:val="003C7506"/>
    <w:rsid w:val="003D076B"/>
    <w:rsid w:val="003D2A10"/>
    <w:rsid w:val="003D5384"/>
    <w:rsid w:val="003E0032"/>
    <w:rsid w:val="003E0791"/>
    <w:rsid w:val="003E292F"/>
    <w:rsid w:val="003E62F4"/>
    <w:rsid w:val="003F28AC"/>
    <w:rsid w:val="003F5AC3"/>
    <w:rsid w:val="003F664F"/>
    <w:rsid w:val="0040040C"/>
    <w:rsid w:val="00401517"/>
    <w:rsid w:val="0040329F"/>
    <w:rsid w:val="004049B4"/>
    <w:rsid w:val="004049D4"/>
    <w:rsid w:val="0041030D"/>
    <w:rsid w:val="00410B6E"/>
    <w:rsid w:val="00415F59"/>
    <w:rsid w:val="0042183E"/>
    <w:rsid w:val="00421F06"/>
    <w:rsid w:val="00422615"/>
    <w:rsid w:val="004260E0"/>
    <w:rsid w:val="00426E72"/>
    <w:rsid w:val="00430B6C"/>
    <w:rsid w:val="00431D50"/>
    <w:rsid w:val="00432744"/>
    <w:rsid w:val="0043281C"/>
    <w:rsid w:val="00433281"/>
    <w:rsid w:val="004378EE"/>
    <w:rsid w:val="00437A6D"/>
    <w:rsid w:val="00442F64"/>
    <w:rsid w:val="00443175"/>
    <w:rsid w:val="00443C9C"/>
    <w:rsid w:val="004454FE"/>
    <w:rsid w:val="0044655E"/>
    <w:rsid w:val="00446C3D"/>
    <w:rsid w:val="00447C9B"/>
    <w:rsid w:val="00450641"/>
    <w:rsid w:val="00451079"/>
    <w:rsid w:val="004541BF"/>
    <w:rsid w:val="00460EA6"/>
    <w:rsid w:val="004633BA"/>
    <w:rsid w:val="00465F51"/>
    <w:rsid w:val="0046671D"/>
    <w:rsid w:val="00467520"/>
    <w:rsid w:val="00471505"/>
    <w:rsid w:val="00471F27"/>
    <w:rsid w:val="00474B7F"/>
    <w:rsid w:val="004760C4"/>
    <w:rsid w:val="004773F3"/>
    <w:rsid w:val="00480A56"/>
    <w:rsid w:val="00481F51"/>
    <w:rsid w:val="00484EC6"/>
    <w:rsid w:val="004864D5"/>
    <w:rsid w:val="00491546"/>
    <w:rsid w:val="00491F27"/>
    <w:rsid w:val="004922DD"/>
    <w:rsid w:val="004965E7"/>
    <w:rsid w:val="00497142"/>
    <w:rsid w:val="004A2DFA"/>
    <w:rsid w:val="004A3A9F"/>
    <w:rsid w:val="004A3BD4"/>
    <w:rsid w:val="004A6D1A"/>
    <w:rsid w:val="004B1911"/>
    <w:rsid w:val="004B33CA"/>
    <w:rsid w:val="004B37DA"/>
    <w:rsid w:val="004B483D"/>
    <w:rsid w:val="004B7709"/>
    <w:rsid w:val="004C4E68"/>
    <w:rsid w:val="004D534E"/>
    <w:rsid w:val="004D6591"/>
    <w:rsid w:val="004E0BFF"/>
    <w:rsid w:val="004E431F"/>
    <w:rsid w:val="004E4634"/>
    <w:rsid w:val="004E5010"/>
    <w:rsid w:val="004E57B8"/>
    <w:rsid w:val="004E6184"/>
    <w:rsid w:val="004F0749"/>
    <w:rsid w:val="004F3CF0"/>
    <w:rsid w:val="004F3E34"/>
    <w:rsid w:val="004F4281"/>
    <w:rsid w:val="004F5644"/>
    <w:rsid w:val="004F6A75"/>
    <w:rsid w:val="004F6F05"/>
    <w:rsid w:val="0050178F"/>
    <w:rsid w:val="00503D5E"/>
    <w:rsid w:val="005054A5"/>
    <w:rsid w:val="00506168"/>
    <w:rsid w:val="00507B8A"/>
    <w:rsid w:val="00511658"/>
    <w:rsid w:val="00512A61"/>
    <w:rsid w:val="00512C31"/>
    <w:rsid w:val="00513A36"/>
    <w:rsid w:val="00517274"/>
    <w:rsid w:val="00517362"/>
    <w:rsid w:val="0051793F"/>
    <w:rsid w:val="00521185"/>
    <w:rsid w:val="0052179A"/>
    <w:rsid w:val="00521CA8"/>
    <w:rsid w:val="00521D41"/>
    <w:rsid w:val="00522AE2"/>
    <w:rsid w:val="0052388B"/>
    <w:rsid w:val="005247CA"/>
    <w:rsid w:val="00525A46"/>
    <w:rsid w:val="005266DA"/>
    <w:rsid w:val="005321C5"/>
    <w:rsid w:val="00532D6C"/>
    <w:rsid w:val="00541462"/>
    <w:rsid w:val="00542330"/>
    <w:rsid w:val="005432C4"/>
    <w:rsid w:val="00543C8C"/>
    <w:rsid w:val="00544231"/>
    <w:rsid w:val="005453AB"/>
    <w:rsid w:val="005457BC"/>
    <w:rsid w:val="00551863"/>
    <w:rsid w:val="00552871"/>
    <w:rsid w:val="00552FE0"/>
    <w:rsid w:val="00554573"/>
    <w:rsid w:val="0055596F"/>
    <w:rsid w:val="0055707C"/>
    <w:rsid w:val="0056113A"/>
    <w:rsid w:val="00562D04"/>
    <w:rsid w:val="00562E0E"/>
    <w:rsid w:val="00565BCD"/>
    <w:rsid w:val="0057120B"/>
    <w:rsid w:val="0057282F"/>
    <w:rsid w:val="0057511D"/>
    <w:rsid w:val="00576B35"/>
    <w:rsid w:val="00581E12"/>
    <w:rsid w:val="00583332"/>
    <w:rsid w:val="00583BB5"/>
    <w:rsid w:val="00585CEF"/>
    <w:rsid w:val="005864A0"/>
    <w:rsid w:val="0058661E"/>
    <w:rsid w:val="00586BB5"/>
    <w:rsid w:val="00591E4A"/>
    <w:rsid w:val="0059217D"/>
    <w:rsid w:val="00592CE1"/>
    <w:rsid w:val="00594F9A"/>
    <w:rsid w:val="00595D4F"/>
    <w:rsid w:val="005A1B27"/>
    <w:rsid w:val="005A3298"/>
    <w:rsid w:val="005A4305"/>
    <w:rsid w:val="005A4F86"/>
    <w:rsid w:val="005A532A"/>
    <w:rsid w:val="005A5370"/>
    <w:rsid w:val="005A6FCC"/>
    <w:rsid w:val="005B148B"/>
    <w:rsid w:val="005B2BF4"/>
    <w:rsid w:val="005B3519"/>
    <w:rsid w:val="005B51EB"/>
    <w:rsid w:val="005B52FE"/>
    <w:rsid w:val="005B6F66"/>
    <w:rsid w:val="005B7C7C"/>
    <w:rsid w:val="005C0BDA"/>
    <w:rsid w:val="005C15C8"/>
    <w:rsid w:val="005C27C9"/>
    <w:rsid w:val="005C2DDC"/>
    <w:rsid w:val="005C42F8"/>
    <w:rsid w:val="005C6FA8"/>
    <w:rsid w:val="005D12F8"/>
    <w:rsid w:val="005D37FF"/>
    <w:rsid w:val="005D63C5"/>
    <w:rsid w:val="005E2DAB"/>
    <w:rsid w:val="005E3409"/>
    <w:rsid w:val="005E3646"/>
    <w:rsid w:val="005E3BD7"/>
    <w:rsid w:val="005E3ECC"/>
    <w:rsid w:val="005E5000"/>
    <w:rsid w:val="005E5FB1"/>
    <w:rsid w:val="005F13C8"/>
    <w:rsid w:val="005F19E4"/>
    <w:rsid w:val="005F322F"/>
    <w:rsid w:val="005F39B7"/>
    <w:rsid w:val="005F61E4"/>
    <w:rsid w:val="005F6930"/>
    <w:rsid w:val="0060099B"/>
    <w:rsid w:val="00600E53"/>
    <w:rsid w:val="006064B4"/>
    <w:rsid w:val="00606525"/>
    <w:rsid w:val="00606AA1"/>
    <w:rsid w:val="00606B50"/>
    <w:rsid w:val="006108AB"/>
    <w:rsid w:val="00610B25"/>
    <w:rsid w:val="00612C60"/>
    <w:rsid w:val="00613DCD"/>
    <w:rsid w:val="006152CB"/>
    <w:rsid w:val="006153D5"/>
    <w:rsid w:val="00615613"/>
    <w:rsid w:val="00615B62"/>
    <w:rsid w:val="00616319"/>
    <w:rsid w:val="00616493"/>
    <w:rsid w:val="006166D9"/>
    <w:rsid w:val="00617914"/>
    <w:rsid w:val="00620109"/>
    <w:rsid w:val="0062137D"/>
    <w:rsid w:val="006228EE"/>
    <w:rsid w:val="00622A27"/>
    <w:rsid w:val="0062573B"/>
    <w:rsid w:val="00627A30"/>
    <w:rsid w:val="006306BE"/>
    <w:rsid w:val="006308F1"/>
    <w:rsid w:val="00632A9E"/>
    <w:rsid w:val="00633AF9"/>
    <w:rsid w:val="00637F12"/>
    <w:rsid w:val="00641122"/>
    <w:rsid w:val="006431AC"/>
    <w:rsid w:val="00643BF1"/>
    <w:rsid w:val="00644842"/>
    <w:rsid w:val="00646187"/>
    <w:rsid w:val="00646E76"/>
    <w:rsid w:val="006505E3"/>
    <w:rsid w:val="0065070A"/>
    <w:rsid w:val="006518C1"/>
    <w:rsid w:val="006527BF"/>
    <w:rsid w:val="006569EB"/>
    <w:rsid w:val="00657477"/>
    <w:rsid w:val="006574E8"/>
    <w:rsid w:val="00660AE2"/>
    <w:rsid w:val="00661C57"/>
    <w:rsid w:val="00662378"/>
    <w:rsid w:val="00662D69"/>
    <w:rsid w:val="006647A6"/>
    <w:rsid w:val="00667008"/>
    <w:rsid w:val="0066750E"/>
    <w:rsid w:val="00667D74"/>
    <w:rsid w:val="006710CE"/>
    <w:rsid w:val="00677F06"/>
    <w:rsid w:val="00680839"/>
    <w:rsid w:val="0068271E"/>
    <w:rsid w:val="00684BCF"/>
    <w:rsid w:val="00685289"/>
    <w:rsid w:val="00687285"/>
    <w:rsid w:val="006909BF"/>
    <w:rsid w:val="00692180"/>
    <w:rsid w:val="00693247"/>
    <w:rsid w:val="006944E0"/>
    <w:rsid w:val="00694882"/>
    <w:rsid w:val="006959E9"/>
    <w:rsid w:val="006966FA"/>
    <w:rsid w:val="006A318B"/>
    <w:rsid w:val="006A3AD3"/>
    <w:rsid w:val="006A4AA8"/>
    <w:rsid w:val="006A5035"/>
    <w:rsid w:val="006A5505"/>
    <w:rsid w:val="006B0184"/>
    <w:rsid w:val="006B2440"/>
    <w:rsid w:val="006B30A2"/>
    <w:rsid w:val="006C3DD2"/>
    <w:rsid w:val="006C46A1"/>
    <w:rsid w:val="006D0637"/>
    <w:rsid w:val="006D1485"/>
    <w:rsid w:val="006D2466"/>
    <w:rsid w:val="006D24C5"/>
    <w:rsid w:val="006D4425"/>
    <w:rsid w:val="006D5CF1"/>
    <w:rsid w:val="006D5D39"/>
    <w:rsid w:val="006D7B89"/>
    <w:rsid w:val="006E0740"/>
    <w:rsid w:val="006E1081"/>
    <w:rsid w:val="006E201E"/>
    <w:rsid w:val="006E2761"/>
    <w:rsid w:val="006E2842"/>
    <w:rsid w:val="006E2E5D"/>
    <w:rsid w:val="006E3E40"/>
    <w:rsid w:val="006E3FEE"/>
    <w:rsid w:val="006E4D28"/>
    <w:rsid w:val="006F3527"/>
    <w:rsid w:val="006F475F"/>
    <w:rsid w:val="006F4D88"/>
    <w:rsid w:val="007001DB"/>
    <w:rsid w:val="0070022A"/>
    <w:rsid w:val="007010DF"/>
    <w:rsid w:val="007079C1"/>
    <w:rsid w:val="00711C46"/>
    <w:rsid w:val="00714DDB"/>
    <w:rsid w:val="007175EF"/>
    <w:rsid w:val="00717928"/>
    <w:rsid w:val="00720585"/>
    <w:rsid w:val="00722F90"/>
    <w:rsid w:val="00723FFF"/>
    <w:rsid w:val="0073119B"/>
    <w:rsid w:val="00732093"/>
    <w:rsid w:val="007331D2"/>
    <w:rsid w:val="0073386F"/>
    <w:rsid w:val="007453CC"/>
    <w:rsid w:val="00745B93"/>
    <w:rsid w:val="00746185"/>
    <w:rsid w:val="00746776"/>
    <w:rsid w:val="0074767D"/>
    <w:rsid w:val="0075501F"/>
    <w:rsid w:val="00755049"/>
    <w:rsid w:val="00756993"/>
    <w:rsid w:val="0076650A"/>
    <w:rsid w:val="00770946"/>
    <w:rsid w:val="00770D92"/>
    <w:rsid w:val="00771897"/>
    <w:rsid w:val="00773AF6"/>
    <w:rsid w:val="00774AD5"/>
    <w:rsid w:val="007817EC"/>
    <w:rsid w:val="00781A37"/>
    <w:rsid w:val="00784696"/>
    <w:rsid w:val="00784AA7"/>
    <w:rsid w:val="0078500B"/>
    <w:rsid w:val="007878E8"/>
    <w:rsid w:val="00791DF8"/>
    <w:rsid w:val="00791ECA"/>
    <w:rsid w:val="00792D10"/>
    <w:rsid w:val="00792E24"/>
    <w:rsid w:val="00796CC0"/>
    <w:rsid w:val="007A4620"/>
    <w:rsid w:val="007A58E8"/>
    <w:rsid w:val="007B022A"/>
    <w:rsid w:val="007B0633"/>
    <w:rsid w:val="007B0B97"/>
    <w:rsid w:val="007B3DBD"/>
    <w:rsid w:val="007B6C4B"/>
    <w:rsid w:val="007B7326"/>
    <w:rsid w:val="007C09B1"/>
    <w:rsid w:val="007C0E18"/>
    <w:rsid w:val="007C34BD"/>
    <w:rsid w:val="007C6EFD"/>
    <w:rsid w:val="007D1AF8"/>
    <w:rsid w:val="007D2C51"/>
    <w:rsid w:val="007D46EE"/>
    <w:rsid w:val="007D4855"/>
    <w:rsid w:val="007D5233"/>
    <w:rsid w:val="007D6DB7"/>
    <w:rsid w:val="007D7227"/>
    <w:rsid w:val="007D7A7B"/>
    <w:rsid w:val="007E09E3"/>
    <w:rsid w:val="007E5133"/>
    <w:rsid w:val="007E5D9D"/>
    <w:rsid w:val="007F1D71"/>
    <w:rsid w:val="00802468"/>
    <w:rsid w:val="0080464C"/>
    <w:rsid w:val="00804CC4"/>
    <w:rsid w:val="0080537B"/>
    <w:rsid w:val="00805A22"/>
    <w:rsid w:val="00807917"/>
    <w:rsid w:val="00810008"/>
    <w:rsid w:val="00811855"/>
    <w:rsid w:val="00815618"/>
    <w:rsid w:val="00815ED6"/>
    <w:rsid w:val="00816C11"/>
    <w:rsid w:val="00821155"/>
    <w:rsid w:val="008221F1"/>
    <w:rsid w:val="00824FF4"/>
    <w:rsid w:val="00825502"/>
    <w:rsid w:val="00825801"/>
    <w:rsid w:val="00827655"/>
    <w:rsid w:val="00831AAF"/>
    <w:rsid w:val="00832426"/>
    <w:rsid w:val="0083258C"/>
    <w:rsid w:val="0083312F"/>
    <w:rsid w:val="00833F5B"/>
    <w:rsid w:val="00834D77"/>
    <w:rsid w:val="00836B4A"/>
    <w:rsid w:val="0083725F"/>
    <w:rsid w:val="00841352"/>
    <w:rsid w:val="00842318"/>
    <w:rsid w:val="00843E83"/>
    <w:rsid w:val="00846506"/>
    <w:rsid w:val="008476CF"/>
    <w:rsid w:val="00847D8F"/>
    <w:rsid w:val="00851C98"/>
    <w:rsid w:val="00853277"/>
    <w:rsid w:val="00855578"/>
    <w:rsid w:val="0085680E"/>
    <w:rsid w:val="0086001B"/>
    <w:rsid w:val="00860168"/>
    <w:rsid w:val="00860271"/>
    <w:rsid w:val="00860979"/>
    <w:rsid w:val="00865C48"/>
    <w:rsid w:val="00865CB6"/>
    <w:rsid w:val="00865F27"/>
    <w:rsid w:val="008734C2"/>
    <w:rsid w:val="008760C1"/>
    <w:rsid w:val="0087731C"/>
    <w:rsid w:val="00880655"/>
    <w:rsid w:val="008829A6"/>
    <w:rsid w:val="00885213"/>
    <w:rsid w:val="00886610"/>
    <w:rsid w:val="00886DE0"/>
    <w:rsid w:val="00893AA1"/>
    <w:rsid w:val="00894C55"/>
    <w:rsid w:val="0089529E"/>
    <w:rsid w:val="00895E6C"/>
    <w:rsid w:val="008974C7"/>
    <w:rsid w:val="008A2411"/>
    <w:rsid w:val="008A2B54"/>
    <w:rsid w:val="008A3CA0"/>
    <w:rsid w:val="008A49E7"/>
    <w:rsid w:val="008A4AAE"/>
    <w:rsid w:val="008A57B9"/>
    <w:rsid w:val="008A596D"/>
    <w:rsid w:val="008A6993"/>
    <w:rsid w:val="008B5213"/>
    <w:rsid w:val="008B5F15"/>
    <w:rsid w:val="008C101F"/>
    <w:rsid w:val="008C18D7"/>
    <w:rsid w:val="008C4EA6"/>
    <w:rsid w:val="008D2A94"/>
    <w:rsid w:val="008D337A"/>
    <w:rsid w:val="008D71DC"/>
    <w:rsid w:val="008E0DA8"/>
    <w:rsid w:val="008E2053"/>
    <w:rsid w:val="008E549F"/>
    <w:rsid w:val="008E59DD"/>
    <w:rsid w:val="008F1DE2"/>
    <w:rsid w:val="008F2F58"/>
    <w:rsid w:val="008F32C4"/>
    <w:rsid w:val="008F3F22"/>
    <w:rsid w:val="008F50E6"/>
    <w:rsid w:val="008F53DE"/>
    <w:rsid w:val="008F5C88"/>
    <w:rsid w:val="008F74A9"/>
    <w:rsid w:val="008F7BE7"/>
    <w:rsid w:val="0090209F"/>
    <w:rsid w:val="0090367D"/>
    <w:rsid w:val="009036FB"/>
    <w:rsid w:val="0090761D"/>
    <w:rsid w:val="0091236A"/>
    <w:rsid w:val="0091401C"/>
    <w:rsid w:val="00915043"/>
    <w:rsid w:val="009153A3"/>
    <w:rsid w:val="009223D4"/>
    <w:rsid w:val="00922478"/>
    <w:rsid w:val="00923CBA"/>
    <w:rsid w:val="00926603"/>
    <w:rsid w:val="00926E01"/>
    <w:rsid w:val="00931830"/>
    <w:rsid w:val="00934853"/>
    <w:rsid w:val="009377D3"/>
    <w:rsid w:val="009424F2"/>
    <w:rsid w:val="00947860"/>
    <w:rsid w:val="00947B41"/>
    <w:rsid w:val="00952A24"/>
    <w:rsid w:val="00952D90"/>
    <w:rsid w:val="00952DE8"/>
    <w:rsid w:val="00952E6C"/>
    <w:rsid w:val="00953289"/>
    <w:rsid w:val="00960E67"/>
    <w:rsid w:val="00960E9D"/>
    <w:rsid w:val="009616BD"/>
    <w:rsid w:val="00961B2E"/>
    <w:rsid w:val="00965581"/>
    <w:rsid w:val="009711BB"/>
    <w:rsid w:val="009747C5"/>
    <w:rsid w:val="00977D5C"/>
    <w:rsid w:val="00977FBB"/>
    <w:rsid w:val="00981842"/>
    <w:rsid w:val="00982DC8"/>
    <w:rsid w:val="00983B18"/>
    <w:rsid w:val="00987E63"/>
    <w:rsid w:val="00993544"/>
    <w:rsid w:val="009951F7"/>
    <w:rsid w:val="009A1EC7"/>
    <w:rsid w:val="009A35CD"/>
    <w:rsid w:val="009B0DA2"/>
    <w:rsid w:val="009B2952"/>
    <w:rsid w:val="009B36D5"/>
    <w:rsid w:val="009B7964"/>
    <w:rsid w:val="009C292C"/>
    <w:rsid w:val="009C5440"/>
    <w:rsid w:val="009C5AF0"/>
    <w:rsid w:val="009D0C20"/>
    <w:rsid w:val="009D2192"/>
    <w:rsid w:val="009D5B35"/>
    <w:rsid w:val="009D62CE"/>
    <w:rsid w:val="009D7B6F"/>
    <w:rsid w:val="009E413C"/>
    <w:rsid w:val="009E6566"/>
    <w:rsid w:val="009F22FE"/>
    <w:rsid w:val="009F23FD"/>
    <w:rsid w:val="009F7FF6"/>
    <w:rsid w:val="00A03979"/>
    <w:rsid w:val="00A07EE9"/>
    <w:rsid w:val="00A14A3B"/>
    <w:rsid w:val="00A154E9"/>
    <w:rsid w:val="00A15555"/>
    <w:rsid w:val="00A1556D"/>
    <w:rsid w:val="00A1592B"/>
    <w:rsid w:val="00A16F93"/>
    <w:rsid w:val="00A177C6"/>
    <w:rsid w:val="00A20824"/>
    <w:rsid w:val="00A2250F"/>
    <w:rsid w:val="00A232E0"/>
    <w:rsid w:val="00A24B88"/>
    <w:rsid w:val="00A25E59"/>
    <w:rsid w:val="00A27975"/>
    <w:rsid w:val="00A31619"/>
    <w:rsid w:val="00A33988"/>
    <w:rsid w:val="00A35CB4"/>
    <w:rsid w:val="00A37708"/>
    <w:rsid w:val="00A40D8E"/>
    <w:rsid w:val="00A40E34"/>
    <w:rsid w:val="00A41E12"/>
    <w:rsid w:val="00A42A46"/>
    <w:rsid w:val="00A44A77"/>
    <w:rsid w:val="00A45083"/>
    <w:rsid w:val="00A451D2"/>
    <w:rsid w:val="00A4591F"/>
    <w:rsid w:val="00A464F6"/>
    <w:rsid w:val="00A53FC2"/>
    <w:rsid w:val="00A541E5"/>
    <w:rsid w:val="00A545E7"/>
    <w:rsid w:val="00A55616"/>
    <w:rsid w:val="00A57FBF"/>
    <w:rsid w:val="00A6293B"/>
    <w:rsid w:val="00A64401"/>
    <w:rsid w:val="00A648F3"/>
    <w:rsid w:val="00A65B4F"/>
    <w:rsid w:val="00A65FB6"/>
    <w:rsid w:val="00A66C26"/>
    <w:rsid w:val="00A678BC"/>
    <w:rsid w:val="00A705DB"/>
    <w:rsid w:val="00A71FDF"/>
    <w:rsid w:val="00A72769"/>
    <w:rsid w:val="00A7615F"/>
    <w:rsid w:val="00A803A7"/>
    <w:rsid w:val="00A8063C"/>
    <w:rsid w:val="00A82FA9"/>
    <w:rsid w:val="00A87197"/>
    <w:rsid w:val="00A90B18"/>
    <w:rsid w:val="00A91425"/>
    <w:rsid w:val="00A92284"/>
    <w:rsid w:val="00A93F40"/>
    <w:rsid w:val="00A9580D"/>
    <w:rsid w:val="00AA071A"/>
    <w:rsid w:val="00AA2FE0"/>
    <w:rsid w:val="00AA3C1F"/>
    <w:rsid w:val="00AA497D"/>
    <w:rsid w:val="00AA4C86"/>
    <w:rsid w:val="00AA6D8C"/>
    <w:rsid w:val="00AA7654"/>
    <w:rsid w:val="00AA7BDB"/>
    <w:rsid w:val="00AB229E"/>
    <w:rsid w:val="00AC1F5E"/>
    <w:rsid w:val="00AC226C"/>
    <w:rsid w:val="00AC5D5D"/>
    <w:rsid w:val="00AD04D7"/>
    <w:rsid w:val="00AD0C3B"/>
    <w:rsid w:val="00AD331F"/>
    <w:rsid w:val="00AD3C92"/>
    <w:rsid w:val="00AD5DF6"/>
    <w:rsid w:val="00AD7D06"/>
    <w:rsid w:val="00AE1098"/>
    <w:rsid w:val="00AE1D32"/>
    <w:rsid w:val="00AE2F58"/>
    <w:rsid w:val="00AE5567"/>
    <w:rsid w:val="00AE5774"/>
    <w:rsid w:val="00AE6208"/>
    <w:rsid w:val="00AF086C"/>
    <w:rsid w:val="00AF41B8"/>
    <w:rsid w:val="00B02038"/>
    <w:rsid w:val="00B0307D"/>
    <w:rsid w:val="00B03361"/>
    <w:rsid w:val="00B045EF"/>
    <w:rsid w:val="00B05706"/>
    <w:rsid w:val="00B06A8D"/>
    <w:rsid w:val="00B07CBF"/>
    <w:rsid w:val="00B11D9F"/>
    <w:rsid w:val="00B1362A"/>
    <w:rsid w:val="00B13BBC"/>
    <w:rsid w:val="00B15B65"/>
    <w:rsid w:val="00B2165C"/>
    <w:rsid w:val="00B22F05"/>
    <w:rsid w:val="00B23E38"/>
    <w:rsid w:val="00B24D1A"/>
    <w:rsid w:val="00B26990"/>
    <w:rsid w:val="00B2772B"/>
    <w:rsid w:val="00B32E74"/>
    <w:rsid w:val="00B3326C"/>
    <w:rsid w:val="00B3460E"/>
    <w:rsid w:val="00B34DEF"/>
    <w:rsid w:val="00B3579B"/>
    <w:rsid w:val="00B360FC"/>
    <w:rsid w:val="00B37485"/>
    <w:rsid w:val="00B37D6D"/>
    <w:rsid w:val="00B41BE2"/>
    <w:rsid w:val="00B46CEF"/>
    <w:rsid w:val="00B51548"/>
    <w:rsid w:val="00B52725"/>
    <w:rsid w:val="00B531FF"/>
    <w:rsid w:val="00B5353D"/>
    <w:rsid w:val="00B556E3"/>
    <w:rsid w:val="00B57E5C"/>
    <w:rsid w:val="00B641D6"/>
    <w:rsid w:val="00B643EE"/>
    <w:rsid w:val="00B757E5"/>
    <w:rsid w:val="00B81070"/>
    <w:rsid w:val="00B82973"/>
    <w:rsid w:val="00B82C30"/>
    <w:rsid w:val="00B84066"/>
    <w:rsid w:val="00B84519"/>
    <w:rsid w:val="00B84DB5"/>
    <w:rsid w:val="00B850B5"/>
    <w:rsid w:val="00B87816"/>
    <w:rsid w:val="00B9084D"/>
    <w:rsid w:val="00B91481"/>
    <w:rsid w:val="00B95BC5"/>
    <w:rsid w:val="00B9673F"/>
    <w:rsid w:val="00B97762"/>
    <w:rsid w:val="00BA0788"/>
    <w:rsid w:val="00BA0BA9"/>
    <w:rsid w:val="00BA4315"/>
    <w:rsid w:val="00BA6493"/>
    <w:rsid w:val="00BA667C"/>
    <w:rsid w:val="00BB1338"/>
    <w:rsid w:val="00BB25B1"/>
    <w:rsid w:val="00BB57D2"/>
    <w:rsid w:val="00BB670F"/>
    <w:rsid w:val="00BB7994"/>
    <w:rsid w:val="00BC0802"/>
    <w:rsid w:val="00BC0B22"/>
    <w:rsid w:val="00BC23AD"/>
    <w:rsid w:val="00BC27A7"/>
    <w:rsid w:val="00BC3327"/>
    <w:rsid w:val="00BC43C6"/>
    <w:rsid w:val="00BC4714"/>
    <w:rsid w:val="00BC58A8"/>
    <w:rsid w:val="00BC592E"/>
    <w:rsid w:val="00BD3887"/>
    <w:rsid w:val="00BD4425"/>
    <w:rsid w:val="00BD4632"/>
    <w:rsid w:val="00BD4E6C"/>
    <w:rsid w:val="00BD5EE9"/>
    <w:rsid w:val="00BD62C9"/>
    <w:rsid w:val="00BD6854"/>
    <w:rsid w:val="00BE2937"/>
    <w:rsid w:val="00BE5D6A"/>
    <w:rsid w:val="00BE6539"/>
    <w:rsid w:val="00BE7632"/>
    <w:rsid w:val="00BE7B44"/>
    <w:rsid w:val="00BF12CF"/>
    <w:rsid w:val="00BF2789"/>
    <w:rsid w:val="00BF5543"/>
    <w:rsid w:val="00BF5CD1"/>
    <w:rsid w:val="00BF7E99"/>
    <w:rsid w:val="00C00A08"/>
    <w:rsid w:val="00C01791"/>
    <w:rsid w:val="00C0768B"/>
    <w:rsid w:val="00C07AF2"/>
    <w:rsid w:val="00C1099A"/>
    <w:rsid w:val="00C12248"/>
    <w:rsid w:val="00C1262D"/>
    <w:rsid w:val="00C1265F"/>
    <w:rsid w:val="00C13DE2"/>
    <w:rsid w:val="00C13E2D"/>
    <w:rsid w:val="00C14144"/>
    <w:rsid w:val="00C15F59"/>
    <w:rsid w:val="00C16F81"/>
    <w:rsid w:val="00C22FE2"/>
    <w:rsid w:val="00C25B49"/>
    <w:rsid w:val="00C26759"/>
    <w:rsid w:val="00C26A43"/>
    <w:rsid w:val="00C366BE"/>
    <w:rsid w:val="00C42F5B"/>
    <w:rsid w:val="00C43BD1"/>
    <w:rsid w:val="00C45B9B"/>
    <w:rsid w:val="00C46AA8"/>
    <w:rsid w:val="00C46AC3"/>
    <w:rsid w:val="00C478F6"/>
    <w:rsid w:val="00C52E11"/>
    <w:rsid w:val="00C53973"/>
    <w:rsid w:val="00C6100F"/>
    <w:rsid w:val="00C61C5D"/>
    <w:rsid w:val="00C6245D"/>
    <w:rsid w:val="00C6392A"/>
    <w:rsid w:val="00C64DA8"/>
    <w:rsid w:val="00C655F5"/>
    <w:rsid w:val="00C65988"/>
    <w:rsid w:val="00C65A6D"/>
    <w:rsid w:val="00C661B9"/>
    <w:rsid w:val="00C67353"/>
    <w:rsid w:val="00C70C1D"/>
    <w:rsid w:val="00C719B4"/>
    <w:rsid w:val="00C73A8D"/>
    <w:rsid w:val="00C75756"/>
    <w:rsid w:val="00C76070"/>
    <w:rsid w:val="00C76345"/>
    <w:rsid w:val="00C76DB8"/>
    <w:rsid w:val="00C7765C"/>
    <w:rsid w:val="00C821FE"/>
    <w:rsid w:val="00C82489"/>
    <w:rsid w:val="00C83836"/>
    <w:rsid w:val="00C83FFE"/>
    <w:rsid w:val="00C8638E"/>
    <w:rsid w:val="00C9070C"/>
    <w:rsid w:val="00C9089E"/>
    <w:rsid w:val="00C9222E"/>
    <w:rsid w:val="00C92559"/>
    <w:rsid w:val="00C93AEA"/>
    <w:rsid w:val="00C95737"/>
    <w:rsid w:val="00C95B10"/>
    <w:rsid w:val="00C96C51"/>
    <w:rsid w:val="00CA0436"/>
    <w:rsid w:val="00CA63B3"/>
    <w:rsid w:val="00CA7210"/>
    <w:rsid w:val="00CB098A"/>
    <w:rsid w:val="00CB3269"/>
    <w:rsid w:val="00CB3935"/>
    <w:rsid w:val="00CB3CF5"/>
    <w:rsid w:val="00CB4B09"/>
    <w:rsid w:val="00CB61B6"/>
    <w:rsid w:val="00CC041B"/>
    <w:rsid w:val="00CC0971"/>
    <w:rsid w:val="00CC0C4C"/>
    <w:rsid w:val="00CC2528"/>
    <w:rsid w:val="00CC2664"/>
    <w:rsid w:val="00CC39D4"/>
    <w:rsid w:val="00CC4F20"/>
    <w:rsid w:val="00CC62BA"/>
    <w:rsid w:val="00CC680C"/>
    <w:rsid w:val="00CC7A7D"/>
    <w:rsid w:val="00CC7BD4"/>
    <w:rsid w:val="00CD1954"/>
    <w:rsid w:val="00CD2962"/>
    <w:rsid w:val="00CD4FCD"/>
    <w:rsid w:val="00CD57D7"/>
    <w:rsid w:val="00CD59A3"/>
    <w:rsid w:val="00CD6000"/>
    <w:rsid w:val="00CE25DD"/>
    <w:rsid w:val="00CE46AC"/>
    <w:rsid w:val="00CE5657"/>
    <w:rsid w:val="00CF272F"/>
    <w:rsid w:val="00CF2B09"/>
    <w:rsid w:val="00CF5029"/>
    <w:rsid w:val="00CF7CA7"/>
    <w:rsid w:val="00D00C63"/>
    <w:rsid w:val="00D00D3B"/>
    <w:rsid w:val="00D031D1"/>
    <w:rsid w:val="00D06ADC"/>
    <w:rsid w:val="00D07A33"/>
    <w:rsid w:val="00D07CC5"/>
    <w:rsid w:val="00D105FE"/>
    <w:rsid w:val="00D10733"/>
    <w:rsid w:val="00D110C7"/>
    <w:rsid w:val="00D12152"/>
    <w:rsid w:val="00D12C7E"/>
    <w:rsid w:val="00D13446"/>
    <w:rsid w:val="00D14368"/>
    <w:rsid w:val="00D14415"/>
    <w:rsid w:val="00D15B7F"/>
    <w:rsid w:val="00D16E59"/>
    <w:rsid w:val="00D20B98"/>
    <w:rsid w:val="00D24524"/>
    <w:rsid w:val="00D2597E"/>
    <w:rsid w:val="00D25A9A"/>
    <w:rsid w:val="00D369A7"/>
    <w:rsid w:val="00D42B0F"/>
    <w:rsid w:val="00D42BDE"/>
    <w:rsid w:val="00D4682E"/>
    <w:rsid w:val="00D4697C"/>
    <w:rsid w:val="00D50360"/>
    <w:rsid w:val="00D51A76"/>
    <w:rsid w:val="00D52724"/>
    <w:rsid w:val="00D539FD"/>
    <w:rsid w:val="00D549CB"/>
    <w:rsid w:val="00D54E04"/>
    <w:rsid w:val="00D55AE1"/>
    <w:rsid w:val="00D640D6"/>
    <w:rsid w:val="00D65164"/>
    <w:rsid w:val="00D654B8"/>
    <w:rsid w:val="00D66528"/>
    <w:rsid w:val="00D722AD"/>
    <w:rsid w:val="00D729BF"/>
    <w:rsid w:val="00D7320B"/>
    <w:rsid w:val="00D73770"/>
    <w:rsid w:val="00D743D4"/>
    <w:rsid w:val="00D76245"/>
    <w:rsid w:val="00D76A1C"/>
    <w:rsid w:val="00D83158"/>
    <w:rsid w:val="00D832A4"/>
    <w:rsid w:val="00D8389F"/>
    <w:rsid w:val="00D838AB"/>
    <w:rsid w:val="00D851C7"/>
    <w:rsid w:val="00D91348"/>
    <w:rsid w:val="00D91A1F"/>
    <w:rsid w:val="00D91A25"/>
    <w:rsid w:val="00D932E4"/>
    <w:rsid w:val="00D93CB9"/>
    <w:rsid w:val="00D93E83"/>
    <w:rsid w:val="00D95640"/>
    <w:rsid w:val="00D95A08"/>
    <w:rsid w:val="00D95B3D"/>
    <w:rsid w:val="00D97D68"/>
    <w:rsid w:val="00DA0F40"/>
    <w:rsid w:val="00DA2B07"/>
    <w:rsid w:val="00DA39C1"/>
    <w:rsid w:val="00DA3A28"/>
    <w:rsid w:val="00DB0BBF"/>
    <w:rsid w:val="00DB13C3"/>
    <w:rsid w:val="00DB3DF8"/>
    <w:rsid w:val="00DB4918"/>
    <w:rsid w:val="00DB4949"/>
    <w:rsid w:val="00DB5C24"/>
    <w:rsid w:val="00DC056C"/>
    <w:rsid w:val="00DC167B"/>
    <w:rsid w:val="00DC2298"/>
    <w:rsid w:val="00DC2A2B"/>
    <w:rsid w:val="00DC5688"/>
    <w:rsid w:val="00DD2411"/>
    <w:rsid w:val="00DD26D9"/>
    <w:rsid w:val="00DD4687"/>
    <w:rsid w:val="00DD4C38"/>
    <w:rsid w:val="00DD6771"/>
    <w:rsid w:val="00DE22F9"/>
    <w:rsid w:val="00DE41FC"/>
    <w:rsid w:val="00DE5522"/>
    <w:rsid w:val="00DE6A48"/>
    <w:rsid w:val="00DF657C"/>
    <w:rsid w:val="00E0005C"/>
    <w:rsid w:val="00E0116E"/>
    <w:rsid w:val="00E014BE"/>
    <w:rsid w:val="00E01BB9"/>
    <w:rsid w:val="00E02D54"/>
    <w:rsid w:val="00E02FF5"/>
    <w:rsid w:val="00E055EA"/>
    <w:rsid w:val="00E06E5B"/>
    <w:rsid w:val="00E10A2F"/>
    <w:rsid w:val="00E10D91"/>
    <w:rsid w:val="00E10F17"/>
    <w:rsid w:val="00E11E43"/>
    <w:rsid w:val="00E12EC0"/>
    <w:rsid w:val="00E134A7"/>
    <w:rsid w:val="00E13686"/>
    <w:rsid w:val="00E137B8"/>
    <w:rsid w:val="00E152DA"/>
    <w:rsid w:val="00E16A66"/>
    <w:rsid w:val="00E1788C"/>
    <w:rsid w:val="00E22C62"/>
    <w:rsid w:val="00E25206"/>
    <w:rsid w:val="00E2674D"/>
    <w:rsid w:val="00E30108"/>
    <w:rsid w:val="00E3111D"/>
    <w:rsid w:val="00E31B38"/>
    <w:rsid w:val="00E324E4"/>
    <w:rsid w:val="00E33FFD"/>
    <w:rsid w:val="00E35DA7"/>
    <w:rsid w:val="00E3713D"/>
    <w:rsid w:val="00E41B06"/>
    <w:rsid w:val="00E4235F"/>
    <w:rsid w:val="00E439DF"/>
    <w:rsid w:val="00E44116"/>
    <w:rsid w:val="00E446DA"/>
    <w:rsid w:val="00E46BA0"/>
    <w:rsid w:val="00E51771"/>
    <w:rsid w:val="00E53656"/>
    <w:rsid w:val="00E53D08"/>
    <w:rsid w:val="00E57888"/>
    <w:rsid w:val="00E5799F"/>
    <w:rsid w:val="00E64E61"/>
    <w:rsid w:val="00E6538E"/>
    <w:rsid w:val="00E7022D"/>
    <w:rsid w:val="00E745C1"/>
    <w:rsid w:val="00E74F95"/>
    <w:rsid w:val="00E81632"/>
    <w:rsid w:val="00E82E42"/>
    <w:rsid w:val="00E83693"/>
    <w:rsid w:val="00E83A65"/>
    <w:rsid w:val="00E84185"/>
    <w:rsid w:val="00E86CC3"/>
    <w:rsid w:val="00E90C01"/>
    <w:rsid w:val="00E96312"/>
    <w:rsid w:val="00E9647D"/>
    <w:rsid w:val="00E97C1B"/>
    <w:rsid w:val="00EA0E69"/>
    <w:rsid w:val="00EA161B"/>
    <w:rsid w:val="00EA2C9E"/>
    <w:rsid w:val="00EA486E"/>
    <w:rsid w:val="00EB16A4"/>
    <w:rsid w:val="00EB2E01"/>
    <w:rsid w:val="00EC1372"/>
    <w:rsid w:val="00EC55F9"/>
    <w:rsid w:val="00EC5DE5"/>
    <w:rsid w:val="00ED0A56"/>
    <w:rsid w:val="00ED104E"/>
    <w:rsid w:val="00ED169F"/>
    <w:rsid w:val="00ED4658"/>
    <w:rsid w:val="00ED480E"/>
    <w:rsid w:val="00ED48BB"/>
    <w:rsid w:val="00ED5205"/>
    <w:rsid w:val="00EE128C"/>
    <w:rsid w:val="00EE3477"/>
    <w:rsid w:val="00EE53A8"/>
    <w:rsid w:val="00EF1BF1"/>
    <w:rsid w:val="00EF1F45"/>
    <w:rsid w:val="00EF4661"/>
    <w:rsid w:val="00EF5160"/>
    <w:rsid w:val="00F00A2A"/>
    <w:rsid w:val="00F01167"/>
    <w:rsid w:val="00F05B53"/>
    <w:rsid w:val="00F131E6"/>
    <w:rsid w:val="00F1761F"/>
    <w:rsid w:val="00F177DF"/>
    <w:rsid w:val="00F17B21"/>
    <w:rsid w:val="00F209C6"/>
    <w:rsid w:val="00F23831"/>
    <w:rsid w:val="00F24732"/>
    <w:rsid w:val="00F26F44"/>
    <w:rsid w:val="00F3002E"/>
    <w:rsid w:val="00F30777"/>
    <w:rsid w:val="00F31AC5"/>
    <w:rsid w:val="00F31CC2"/>
    <w:rsid w:val="00F33744"/>
    <w:rsid w:val="00F33C49"/>
    <w:rsid w:val="00F36963"/>
    <w:rsid w:val="00F37C35"/>
    <w:rsid w:val="00F37F6D"/>
    <w:rsid w:val="00F41A94"/>
    <w:rsid w:val="00F42434"/>
    <w:rsid w:val="00F437F6"/>
    <w:rsid w:val="00F4560C"/>
    <w:rsid w:val="00F45D11"/>
    <w:rsid w:val="00F47ED2"/>
    <w:rsid w:val="00F5002E"/>
    <w:rsid w:val="00F50B48"/>
    <w:rsid w:val="00F51377"/>
    <w:rsid w:val="00F515BA"/>
    <w:rsid w:val="00F52FCB"/>
    <w:rsid w:val="00F54C49"/>
    <w:rsid w:val="00F57296"/>
    <w:rsid w:val="00F57B0C"/>
    <w:rsid w:val="00F72577"/>
    <w:rsid w:val="00F76A2C"/>
    <w:rsid w:val="00F76B02"/>
    <w:rsid w:val="00F82A55"/>
    <w:rsid w:val="00F863D4"/>
    <w:rsid w:val="00F8752A"/>
    <w:rsid w:val="00F92BAD"/>
    <w:rsid w:val="00F9539A"/>
    <w:rsid w:val="00F95417"/>
    <w:rsid w:val="00F976AE"/>
    <w:rsid w:val="00F97FF1"/>
    <w:rsid w:val="00FA0C5E"/>
    <w:rsid w:val="00FA0E70"/>
    <w:rsid w:val="00FA1BB7"/>
    <w:rsid w:val="00FA2114"/>
    <w:rsid w:val="00FA41A5"/>
    <w:rsid w:val="00FA516C"/>
    <w:rsid w:val="00FA61A9"/>
    <w:rsid w:val="00FA7DCD"/>
    <w:rsid w:val="00FB1E94"/>
    <w:rsid w:val="00FB30E5"/>
    <w:rsid w:val="00FB5D2F"/>
    <w:rsid w:val="00FB7B10"/>
    <w:rsid w:val="00FB7D0D"/>
    <w:rsid w:val="00FC1591"/>
    <w:rsid w:val="00FC51C9"/>
    <w:rsid w:val="00FC6D73"/>
    <w:rsid w:val="00FD7AF2"/>
    <w:rsid w:val="00FD7C47"/>
    <w:rsid w:val="00FD7E1F"/>
    <w:rsid w:val="00FE23DA"/>
    <w:rsid w:val="00FE25E6"/>
    <w:rsid w:val="00FE290E"/>
    <w:rsid w:val="00FE2A5C"/>
    <w:rsid w:val="00FE6F21"/>
    <w:rsid w:val="00FE7385"/>
    <w:rsid w:val="00FF09D3"/>
    <w:rsid w:val="00FF205C"/>
    <w:rsid w:val="00FF3DA4"/>
    <w:rsid w:val="00FF5255"/>
    <w:rsid w:val="00FF553E"/>
    <w:rsid w:val="00FF7F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073F65E-E93E-4B83-A78B-4BF72AA0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FA"/>
  </w:style>
  <w:style w:type="paragraph" w:styleId="Heading1">
    <w:name w:val="heading 1"/>
    <w:basedOn w:val="Normal"/>
    <w:link w:val="Heading1Char"/>
    <w:uiPriority w:val="99"/>
    <w:qFormat/>
    <w:rsid w:val="00BC0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0B22"/>
    <w:rPr>
      <w:rFonts w:ascii="Times New Roman" w:eastAsia="Times New Roman" w:hAnsi="Times New Roman" w:cs="Times New Roman"/>
      <w:b/>
      <w:bCs/>
      <w:kern w:val="36"/>
      <w:sz w:val="48"/>
      <w:szCs w:val="48"/>
      <w:lang w:eastAsia="lv-LV"/>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nhideWhenUsed/>
    <w:rsid w:val="00CD6000"/>
    <w:rPr>
      <w:sz w:val="16"/>
      <w:szCs w:val="16"/>
    </w:rPr>
  </w:style>
  <w:style w:type="paragraph" w:styleId="CommentText">
    <w:name w:val="annotation text"/>
    <w:basedOn w:val="Normal"/>
    <w:link w:val="CommentTextChar"/>
    <w:unhideWhenUsed/>
    <w:rsid w:val="00CD6000"/>
    <w:pPr>
      <w:spacing w:line="240" w:lineRule="auto"/>
    </w:pPr>
    <w:rPr>
      <w:sz w:val="20"/>
      <w:szCs w:val="20"/>
    </w:rPr>
  </w:style>
  <w:style w:type="character" w:customStyle="1" w:styleId="CommentTextChar">
    <w:name w:val="Comment Text Char"/>
    <w:basedOn w:val="DefaultParagraphFont"/>
    <w:link w:val="CommentText"/>
    <w:rsid w:val="00CD6000"/>
    <w:rPr>
      <w:sz w:val="20"/>
      <w:szCs w:val="20"/>
    </w:rPr>
  </w:style>
  <w:style w:type="paragraph" w:styleId="CommentSubject">
    <w:name w:val="annotation subject"/>
    <w:basedOn w:val="CommentText"/>
    <w:next w:val="CommentText"/>
    <w:link w:val="CommentSubjectChar"/>
    <w:uiPriority w:val="99"/>
    <w:semiHidden/>
    <w:unhideWhenUsed/>
    <w:rsid w:val="00CD6000"/>
    <w:rPr>
      <w:b/>
      <w:bCs/>
    </w:rPr>
  </w:style>
  <w:style w:type="character" w:customStyle="1" w:styleId="CommentSubjectChar">
    <w:name w:val="Comment Subject Char"/>
    <w:basedOn w:val="CommentTextChar"/>
    <w:link w:val="CommentSubject"/>
    <w:uiPriority w:val="99"/>
    <w:semiHidden/>
    <w:rsid w:val="00CD6000"/>
    <w:rPr>
      <w:b/>
      <w:bCs/>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CD6000"/>
    <w:rPr>
      <w:vertAlign w:val="superscript"/>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F5002E"/>
    <w:pPr>
      <w:spacing w:after="0" w:line="240" w:lineRule="auto"/>
    </w:pPr>
    <w:rPr>
      <w:rFonts w:eastAsiaTheme="minorEastAsia"/>
      <w:sz w:val="20"/>
      <w:szCs w:val="20"/>
      <w:lang w:val="en-US" w:eastAsia="zh-CN"/>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ft Char"/>
    <w:basedOn w:val="DefaultParagraphFont"/>
    <w:link w:val="FootnoteText"/>
    <w:uiPriority w:val="99"/>
    <w:rsid w:val="00F5002E"/>
    <w:rPr>
      <w:rFonts w:eastAsiaTheme="minorEastAsia"/>
      <w:sz w:val="20"/>
      <w:szCs w:val="20"/>
      <w:lang w:val="en-US" w:eastAsia="zh-CN"/>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5002E"/>
    <w:pPr>
      <w:ind w:left="720"/>
      <w:contextualSpacing/>
    </w:pPr>
  </w:style>
  <w:style w:type="paragraph" w:styleId="NoSpacing">
    <w:name w:val="No Spacing"/>
    <w:link w:val="NoSpacingChar"/>
    <w:uiPriority w:val="1"/>
    <w:qFormat/>
    <w:rsid w:val="00064143"/>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521185"/>
    <w:rPr>
      <w:rFonts w:ascii="Times New Roman" w:eastAsia="Times New Roman" w:hAnsi="Times New Roman" w:cs="Times New Roman"/>
      <w:sz w:val="24"/>
      <w:szCs w:val="24"/>
      <w:lang w:val="en-US" w:eastAsia="lv-LV"/>
    </w:rPr>
  </w:style>
  <w:style w:type="character" w:customStyle="1" w:styleId="reftitle">
    <w:name w:val="ref_title"/>
    <w:basedOn w:val="DefaultParagraphFont"/>
    <w:rsid w:val="0091401C"/>
  </w:style>
  <w:style w:type="paragraph" w:customStyle="1" w:styleId="naisc">
    <w:name w:val="naisc"/>
    <w:basedOn w:val="Normal"/>
    <w:rsid w:val="00BC0B22"/>
    <w:pPr>
      <w:spacing w:before="75" w:after="75" w:line="240" w:lineRule="auto"/>
      <w:jc w:val="center"/>
    </w:pPr>
    <w:rPr>
      <w:rFonts w:ascii="Times New Roman" w:eastAsia="Times New Roman" w:hAnsi="Times New Roman" w:cs="Times New Roman"/>
      <w:sz w:val="24"/>
      <w:szCs w:val="24"/>
      <w:lang w:val="en-US" w:eastAsia="lv-LV"/>
    </w:rPr>
  </w:style>
  <w:style w:type="paragraph" w:customStyle="1" w:styleId="naisf">
    <w:name w:val="naisf"/>
    <w:basedOn w:val="Normal"/>
    <w:rsid w:val="00BC0B22"/>
    <w:pPr>
      <w:spacing w:before="75" w:after="75" w:line="240" w:lineRule="auto"/>
      <w:ind w:firstLine="375"/>
      <w:jc w:val="both"/>
    </w:pPr>
    <w:rPr>
      <w:rFonts w:ascii="Times New Roman" w:eastAsia="Times New Roman" w:hAnsi="Times New Roman" w:cs="Times New Roman"/>
      <w:sz w:val="24"/>
      <w:szCs w:val="24"/>
      <w:lang w:val="en-US" w:eastAsia="lv-LV"/>
    </w:rPr>
  </w:style>
  <w:style w:type="paragraph" w:customStyle="1" w:styleId="tv213">
    <w:name w:val="tv213"/>
    <w:basedOn w:val="Normal"/>
    <w:rsid w:val="00BC0B2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iskr">
    <w:name w:val="naiskr"/>
    <w:basedOn w:val="Normal"/>
    <w:rsid w:val="00BC0B22"/>
    <w:pPr>
      <w:spacing w:before="75" w:after="75" w:line="240" w:lineRule="auto"/>
    </w:pPr>
    <w:rPr>
      <w:rFonts w:ascii="Times New Roman" w:eastAsia="Times New Roman" w:hAnsi="Times New Roman" w:cs="Times New Roman"/>
      <w:sz w:val="24"/>
      <w:szCs w:val="24"/>
      <w:lang w:val="en-US" w:eastAsia="lv-LV"/>
    </w:rPr>
  </w:style>
  <w:style w:type="paragraph" w:customStyle="1" w:styleId="Default">
    <w:name w:val="Default"/>
    <w:rsid w:val="00BC0B22"/>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NormalWeb">
    <w:name w:val="Normal (Web)"/>
    <w:basedOn w:val="Normal"/>
    <w:uiPriority w:val="99"/>
    <w:unhideWhenUsed/>
    <w:rsid w:val="00BC0B22"/>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Bodytext">
    <w:name w:val="Body text_"/>
    <w:basedOn w:val="DefaultParagraphFont"/>
    <w:link w:val="BodyText1"/>
    <w:rsid w:val="00BC0B22"/>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BC0B22"/>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13ptBold">
    <w:name w:val="Body text + 13 pt;Bold"/>
    <w:basedOn w:val="Bodytext"/>
    <w:rsid w:val="00BC0B22"/>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BC0B22"/>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BC0B22"/>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character" w:customStyle="1" w:styleId="Bodytext3">
    <w:name w:val="Body text (3)_"/>
    <w:basedOn w:val="DefaultParagraphFont"/>
    <w:link w:val="Bodytext30"/>
    <w:rsid w:val="00BC0B22"/>
    <w:rPr>
      <w:rFonts w:ascii="Times New Roman" w:eastAsia="Times New Roman" w:hAnsi="Times New Roman" w:cs="Times New Roman"/>
      <w:i/>
      <w:iCs/>
      <w:sz w:val="23"/>
      <w:szCs w:val="23"/>
      <w:shd w:val="clear" w:color="auto" w:fill="FFFFFF"/>
    </w:rPr>
  </w:style>
  <w:style w:type="paragraph" w:customStyle="1" w:styleId="Bodytext30">
    <w:name w:val="Body text (3)"/>
    <w:basedOn w:val="Normal"/>
    <w:link w:val="Bodytext3"/>
    <w:rsid w:val="00BC0B22"/>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3NotItalic">
    <w:name w:val="Body text (3) + Not Italic"/>
    <w:basedOn w:val="Bodytext3"/>
    <w:rsid w:val="00BC0B22"/>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character" w:customStyle="1" w:styleId="Bodytext13ptItalicSpacing1pt">
    <w:name w:val="Body text + 13 pt;Italic;Spacing 1 pt"/>
    <w:basedOn w:val="Bodytext"/>
    <w:rsid w:val="00BC0B22"/>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BC0B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2">
    <w:name w:val="Body Text2"/>
    <w:basedOn w:val="Normal"/>
    <w:rsid w:val="00BC0B22"/>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fontsize2">
    <w:name w:val="fontsize2"/>
    <w:basedOn w:val="DefaultParagraphFont"/>
    <w:rsid w:val="00BC0B22"/>
  </w:style>
  <w:style w:type="paragraph" w:customStyle="1" w:styleId="tv2131">
    <w:name w:val="tv2131"/>
    <w:basedOn w:val="Normal"/>
    <w:uiPriority w:val="99"/>
    <w:rsid w:val="00BC0B22"/>
    <w:pPr>
      <w:spacing w:after="0" w:line="360" w:lineRule="auto"/>
      <w:ind w:firstLine="335"/>
    </w:pPr>
    <w:rPr>
      <w:rFonts w:ascii="Times New Roman" w:eastAsia="SimSun" w:hAnsi="Times New Roman" w:cs="Times New Roman"/>
      <w:color w:val="414142"/>
      <w:lang w:val="en-US"/>
    </w:rPr>
  </w:style>
  <w:style w:type="character" w:customStyle="1" w:styleId="t3">
    <w:name w:val="t3"/>
    <w:basedOn w:val="DefaultParagraphFont"/>
    <w:rsid w:val="00B37485"/>
  </w:style>
  <w:style w:type="character" w:customStyle="1" w:styleId="fwn">
    <w:name w:val="fwn"/>
    <w:basedOn w:val="DefaultParagraphFont"/>
    <w:rsid w:val="00B37485"/>
  </w:style>
  <w:style w:type="paragraph" w:customStyle="1" w:styleId="Normal1">
    <w:name w:val="Normal1"/>
    <w:basedOn w:val="Normal"/>
    <w:rsid w:val="00E02D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2D54"/>
    <w:pPr>
      <w:spacing w:after="0" w:line="240" w:lineRule="auto"/>
    </w:pPr>
  </w:style>
  <w:style w:type="paragraph" w:styleId="BodyText31">
    <w:name w:val="Body Text 3"/>
    <w:basedOn w:val="Normal"/>
    <w:link w:val="BodyText3Char"/>
    <w:rsid w:val="0091236A"/>
    <w:pPr>
      <w:spacing w:after="0" w:line="240" w:lineRule="auto"/>
    </w:pPr>
    <w:rPr>
      <w:rFonts w:ascii="Times New Roman" w:eastAsia="Times New Roman" w:hAnsi="Times New Roman" w:cs="Times New Roman"/>
      <w:b/>
      <w:i/>
      <w:sz w:val="24"/>
      <w:szCs w:val="20"/>
      <w:lang w:eastAsia="lv-LV"/>
    </w:rPr>
  </w:style>
  <w:style w:type="character" w:customStyle="1" w:styleId="BodyText3Char">
    <w:name w:val="Body Text 3 Char"/>
    <w:basedOn w:val="DefaultParagraphFont"/>
    <w:link w:val="BodyText31"/>
    <w:rsid w:val="0091236A"/>
    <w:rPr>
      <w:rFonts w:ascii="Times New Roman" w:eastAsia="Times New Roman" w:hAnsi="Times New Roman" w:cs="Times New Roman"/>
      <w:b/>
      <w:i/>
      <w:sz w:val="24"/>
      <w:szCs w:val="20"/>
      <w:lang w:eastAsia="lv-LV"/>
    </w:rPr>
  </w:style>
  <w:style w:type="paragraph" w:styleId="BodyTextIndent">
    <w:name w:val="Body Text Indent"/>
    <w:basedOn w:val="Normal"/>
    <w:link w:val="BodyTextIndentChar"/>
    <w:uiPriority w:val="99"/>
    <w:unhideWhenUsed/>
    <w:rsid w:val="00B91481"/>
    <w:pPr>
      <w:spacing w:after="120"/>
      <w:ind w:left="283"/>
    </w:pPr>
  </w:style>
  <w:style w:type="character" w:customStyle="1" w:styleId="BodyTextIndentChar">
    <w:name w:val="Body Text Indent Char"/>
    <w:basedOn w:val="DefaultParagraphFont"/>
    <w:link w:val="BodyTextIndent"/>
    <w:uiPriority w:val="99"/>
    <w:rsid w:val="00B91481"/>
  </w:style>
  <w:style w:type="character" w:customStyle="1" w:styleId="Mention1">
    <w:name w:val="Mention1"/>
    <w:basedOn w:val="DefaultParagraphFont"/>
    <w:uiPriority w:val="99"/>
    <w:semiHidden/>
    <w:unhideWhenUsed/>
    <w:rsid w:val="009B0DA2"/>
    <w:rPr>
      <w:color w:val="2B579A"/>
      <w:shd w:val="clear" w:color="auto" w:fill="E6E6E6"/>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C4714"/>
  </w:style>
  <w:style w:type="paragraph" w:customStyle="1" w:styleId="CharCharCharChar">
    <w:name w:val="Char Char Char Char"/>
    <w:aliases w:val="Char2"/>
    <w:basedOn w:val="Normal"/>
    <w:next w:val="Normal"/>
    <w:link w:val="FootnoteReference"/>
    <w:uiPriority w:val="99"/>
    <w:rsid w:val="00CC2528"/>
    <w:pPr>
      <w:spacing w:line="240" w:lineRule="exact"/>
      <w:jc w:val="both"/>
    </w:pPr>
    <w:rPr>
      <w:vertAlign w:val="superscript"/>
    </w:rPr>
  </w:style>
  <w:style w:type="paragraph" w:customStyle="1" w:styleId="akadmij">
    <w:name w:val="akadēmij"/>
    <w:basedOn w:val="Normal"/>
    <w:qFormat/>
    <w:rsid w:val="00DB3DF8"/>
    <w:pPr>
      <w:framePr w:hSpace="180" w:wrap="around" w:vAnchor="text" w:hAnchor="margin" w:xAlign="center" w:y="149"/>
      <w:spacing w:after="0" w:line="240" w:lineRule="auto"/>
      <w:jc w:val="both"/>
    </w:pPr>
    <w:rPr>
      <w:rFonts w:ascii="Times New Roman" w:hAnsi="Times New Roman"/>
      <w:sz w:val="28"/>
      <w:szCs w:val="28"/>
    </w:rPr>
  </w:style>
  <w:style w:type="paragraph" w:customStyle="1" w:styleId="Op">
    <w:name w:val="Op"/>
    <w:basedOn w:val="Normal"/>
    <w:rsid w:val="00860979"/>
    <w:pPr>
      <w:numPr>
        <w:numId w:val="25"/>
      </w:numPr>
      <w:spacing w:before="120" w:after="0" w:line="240" w:lineRule="auto"/>
      <w:jc w:val="both"/>
    </w:pPr>
    <w:rPr>
      <w:rFonts w:ascii="Verdana" w:eastAsia="Times New Roman" w:hAnsi="Verdana" w:cs="Times New Roman"/>
      <w:b/>
      <w:lang w:eastAsia="lv-LV"/>
    </w:rPr>
  </w:style>
  <w:style w:type="paragraph" w:customStyle="1" w:styleId="Otr">
    <w:name w:val="Otr"/>
    <w:basedOn w:val="Normal"/>
    <w:rsid w:val="00860979"/>
    <w:pPr>
      <w:numPr>
        <w:ilvl w:val="1"/>
        <w:numId w:val="25"/>
      </w:numPr>
      <w:tabs>
        <w:tab w:val="num" w:pos="792"/>
        <w:tab w:val="clear" w:pos="1332"/>
      </w:tabs>
      <w:spacing w:before="120" w:after="0" w:line="240" w:lineRule="auto"/>
      <w:ind w:left="792"/>
      <w:jc w:val="both"/>
    </w:pPr>
    <w:rPr>
      <w:rFonts w:ascii="Verdana" w:eastAsia="Times New Roman" w:hAnsi="Verdana" w:cs="Times New Roman"/>
      <w:b/>
      <w:lang w:eastAsia="lv-LV"/>
    </w:rPr>
  </w:style>
  <w:style w:type="paragraph" w:customStyle="1" w:styleId="tres">
    <w:name w:val="tres"/>
    <w:basedOn w:val="Normal"/>
    <w:rsid w:val="00860979"/>
    <w:pPr>
      <w:numPr>
        <w:ilvl w:val="2"/>
        <w:numId w:val="25"/>
      </w:numPr>
      <w:spacing w:before="120" w:after="0" w:line="240" w:lineRule="auto"/>
      <w:jc w:val="both"/>
    </w:pPr>
    <w:rPr>
      <w:rFonts w:ascii="Verdana" w:eastAsia="Times New Roman" w:hAnsi="Verdana" w:cs="Times New Roman"/>
      <w:lang w:eastAsia="lv-LV"/>
    </w:rPr>
  </w:style>
  <w:style w:type="table" w:styleId="TableGrid">
    <w:name w:val="Table Grid"/>
    <w:basedOn w:val="TableNormal"/>
    <w:uiPriority w:val="59"/>
    <w:rsid w:val="0013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2D7CF-3E2E-4D22-88A8-06490205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24202</Words>
  <Characters>13796</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Likumprojekta "Grozījumi Sporta likumā" sākotnējās ietekmes novērtējuma ziņojums (anotācija)</vt:lpstr>
    </vt:vector>
  </TitlesOfParts>
  <Company>Veselības ministrija</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Sporta likumā" sākotnējās ietekmes novērtējuma ziņojums (anotācija)</dc:title>
  <dc:subject>Anotācija</dc:subject>
  <dc:creator>Līga Timša</dc:creator>
  <dc:description>Timša 67876081 Liga.Timsa@vm.gov.lv</dc:description>
  <cp:lastModifiedBy>Līga Timša</cp:lastModifiedBy>
  <cp:revision>19</cp:revision>
  <cp:lastPrinted>2017-12-21T12:08:00Z</cp:lastPrinted>
  <dcterms:created xsi:type="dcterms:W3CDTF">2017-12-22T14:31:00Z</dcterms:created>
  <dcterms:modified xsi:type="dcterms:W3CDTF">2018-01-04T09:29:00Z</dcterms:modified>
</cp:coreProperties>
</file>