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94C55" w:rsidRPr="00006932" w:rsidP="002B22BF">
      <w:pPr>
        <w:shd w:val="clear" w:color="auto" w:fill="FFFFFF"/>
        <w:spacing w:after="120" w:line="240" w:lineRule="auto"/>
        <w:jc w:val="center"/>
        <w:rPr>
          <w:rFonts w:ascii="Times New Roman" w:eastAsia="Times New Roman" w:hAnsi="Times New Roman" w:cs="Times New Roman"/>
          <w:b/>
          <w:bCs/>
          <w:sz w:val="28"/>
          <w:szCs w:val="24"/>
          <w:lang w:eastAsia="lv-LV"/>
        </w:rPr>
      </w:pPr>
      <w:r w:rsidRPr="00006932">
        <w:rPr>
          <w:rFonts w:ascii="Times New Roman" w:eastAsia="Times New Roman" w:hAnsi="Times New Roman" w:cs="Times New Roman"/>
          <w:b/>
          <w:bCs/>
          <w:sz w:val="28"/>
          <w:szCs w:val="24"/>
          <w:lang w:eastAsia="lv-LV"/>
        </w:rPr>
        <w:t>Ministru kabineta noteikumu projekta “Grozījums Ministru kabineta 2006.gada 31.oktobra noteikumos Nr.899 “Ambulatorajai ārstēšanai paredzēto zāļu un medicīnisko ierīču iegādes izdevumu kompensācijas kārtība”” sākotnējās ietekmes novērtējuma ziņojums (anotācija)</w:t>
      </w:r>
    </w:p>
    <w:p w:rsidR="00894C55" w:rsidRPr="00006932" w:rsidP="002B22BF">
      <w:pPr>
        <w:shd w:val="clear" w:color="auto" w:fill="FFFFFF"/>
        <w:spacing w:after="12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I.</w:t>
            </w:r>
            <w:r w:rsidRPr="00006932" w:rsidR="0050178F">
              <w:rPr>
                <w:rFonts w:ascii="Times New Roman" w:eastAsia="Times New Roman" w:hAnsi="Times New Roman" w:cs="Times New Roman"/>
                <w:b/>
                <w:bCs/>
                <w:sz w:val="24"/>
                <w:szCs w:val="24"/>
                <w:lang w:eastAsia="lv-LV"/>
              </w:rPr>
              <w:t> </w:t>
            </w:r>
            <w:r w:rsidRPr="00006932">
              <w:rPr>
                <w:rFonts w:ascii="Times New Roman" w:eastAsia="Times New Roman" w:hAnsi="Times New Roman" w:cs="Times New Roman"/>
                <w:b/>
                <w:bCs/>
                <w:sz w:val="24"/>
                <w:szCs w:val="24"/>
                <w:lang w:eastAsia="lv-LV"/>
              </w:rPr>
              <w:t>Tiesību akta projekta izstrādes nepieciešamība</w:t>
            </w:r>
          </w:p>
        </w:tc>
      </w:tr>
      <w:tr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06932" w:rsidP="00006932">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Ministru kabineta 2017.gada 7.augusta rīkojums Nr.394 “Par konceptuālo ziņojumu “Par veselības aprūpes </w:t>
            </w:r>
            <w:r>
              <w:rPr>
                <w:rFonts w:ascii="Times New Roman" w:eastAsia="Times New Roman" w:hAnsi="Times New Roman" w:cs="Times New Roman"/>
                <w:sz w:val="24"/>
                <w:szCs w:val="24"/>
                <w:lang w:eastAsia="lv-LV"/>
              </w:rPr>
              <w:t>reformu””</w:t>
            </w:r>
            <w:r w:rsidR="00113386">
              <w:rPr>
                <w:rFonts w:ascii="Times New Roman" w:eastAsia="Times New Roman" w:hAnsi="Times New Roman" w:cs="Times New Roman"/>
                <w:sz w:val="24"/>
                <w:szCs w:val="24"/>
                <w:lang w:eastAsia="lv-LV"/>
              </w:rPr>
              <w:t>.</w:t>
            </w:r>
          </w:p>
          <w:p w:rsidR="002C4CA4" w:rsidRPr="00006932" w:rsidP="007C65CB">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Farmācijas likuma 5.panta 20.punkts</w:t>
            </w:r>
            <w:r w:rsidR="00113386">
              <w:rPr>
                <w:rFonts w:ascii="Times New Roman" w:eastAsia="Times New Roman" w:hAnsi="Times New Roman" w:cs="Times New Roman"/>
                <w:sz w:val="24"/>
                <w:szCs w:val="24"/>
                <w:lang w:eastAsia="lv-LV"/>
              </w:rPr>
              <w:t>.</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25C6B"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C25C6B" w:rsidRPr="00006932" w:rsidP="002B22BF">
            <w:pPr>
              <w:spacing w:after="120" w:line="240" w:lineRule="auto"/>
              <w:rPr>
                <w:rFonts w:ascii="Times New Roman" w:eastAsia="Times New Roman" w:hAnsi="Times New Roman" w:cs="Times New Roman"/>
                <w:sz w:val="24"/>
                <w:szCs w:val="24"/>
                <w:lang w:eastAsia="lv-LV"/>
              </w:rPr>
            </w:pPr>
          </w:p>
          <w:p w:rsidR="00894C55" w:rsidRPr="00006932" w:rsidP="002B22BF">
            <w:pPr>
              <w:spacing w:after="120" w:line="240" w:lineRule="auto"/>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F53FD3" w:rsidRPr="00006932" w:rsidP="002B22B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Pr="00006932">
              <w:rPr>
                <w:rFonts w:ascii="Times New Roman" w:eastAsia="Times New Roman" w:hAnsi="Times New Roman" w:cs="Times New Roman"/>
                <w:sz w:val="24"/>
                <w:szCs w:val="24"/>
                <w:lang w:eastAsia="lv-LV"/>
              </w:rPr>
              <w:t xml:space="preserve">Saskaņā ar </w:t>
            </w:r>
            <w:r w:rsidRPr="00006932" w:rsidR="002C4CA4">
              <w:rPr>
                <w:rFonts w:ascii="Times New Roman" w:eastAsia="Times New Roman" w:hAnsi="Times New Roman" w:cs="Times New Roman"/>
                <w:sz w:val="24"/>
                <w:szCs w:val="24"/>
                <w:lang w:eastAsia="lv-LV"/>
              </w:rPr>
              <w:t>Ministru kabineta 2006.gada 31.oktobra noteikum</w:t>
            </w:r>
            <w:r w:rsidRPr="00006932">
              <w:rPr>
                <w:rFonts w:ascii="Times New Roman" w:eastAsia="Times New Roman" w:hAnsi="Times New Roman" w:cs="Times New Roman"/>
                <w:sz w:val="24"/>
                <w:szCs w:val="24"/>
                <w:lang w:eastAsia="lv-LV"/>
              </w:rPr>
              <w:t>u</w:t>
            </w:r>
            <w:r w:rsidRPr="00006932" w:rsidR="00B77888">
              <w:rPr>
                <w:rFonts w:ascii="Times New Roman" w:eastAsia="Times New Roman" w:hAnsi="Times New Roman" w:cs="Times New Roman"/>
                <w:sz w:val="24"/>
                <w:szCs w:val="24"/>
                <w:lang w:eastAsia="lv-LV"/>
              </w:rPr>
              <w:t xml:space="preserve"> Nr.</w:t>
            </w:r>
            <w:r w:rsidRPr="00006932">
              <w:rPr>
                <w:rFonts w:ascii="Times New Roman" w:eastAsia="Times New Roman" w:hAnsi="Times New Roman" w:cs="Times New Roman"/>
                <w:sz w:val="24"/>
                <w:szCs w:val="24"/>
                <w:lang w:eastAsia="lv-LV"/>
              </w:rPr>
              <w:t xml:space="preserve">899 “Ambulatorajai ārstēšanai paredzēto zāļu un medicīnisko ierīču iegādes izdevumu kompensācijas kārtība” (turpmāk – noteikumi Nr.899) 4.punktu zāļu iegādes izdevumus no valsts budžeta līdzekļiem sedz, piemērojot trīs kompensācijas kategorijas – I kategorija (kompensācija 100% apmērā), II kategorija (kompensācija 75% apmērā) un III kategorija (kompensācija 50% apmērā). </w:t>
            </w:r>
          </w:p>
          <w:p w:rsidR="00F53FD3"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Zāļu iegādes izdevumi tiek apmaksāti 100% apmērā, ja pacientam konstatēta hroniska, dzīvību apdraudoša slimība vai slimība, kas izraisa smagu neatgriezenisku invaliditāti un kuras ārstēšanā nepieciešama attiecīgo zāļu lietošana, lai uzturētu pacienta dzīvības funkcijas.</w:t>
            </w:r>
          </w:p>
          <w:p w:rsidR="00EE075B"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Noteikumu Nr.899 1.pielikumā “Slimības, kuru ārstēšanai paredzēto zāļu un medicīnisko ierīču iegādes izdevumi tiek kompensēti” iekļautas diagnozes </w:t>
            </w:r>
            <w:r w:rsidRPr="00006932">
              <w:rPr>
                <w:rFonts w:ascii="Times New Roman" w:eastAsia="Times New Roman" w:hAnsi="Times New Roman" w:cs="Times New Roman"/>
                <w:i/>
                <w:sz w:val="24"/>
                <w:szCs w:val="24"/>
                <w:lang w:eastAsia="lv-LV"/>
              </w:rPr>
              <w:t>K50 Krona (</w:t>
            </w:r>
            <w:r w:rsidRPr="00006932">
              <w:rPr>
                <w:rFonts w:ascii="Times New Roman" w:eastAsia="Times New Roman" w:hAnsi="Times New Roman" w:cs="Times New Roman"/>
                <w:i/>
                <w:sz w:val="24"/>
                <w:szCs w:val="24"/>
                <w:lang w:eastAsia="lv-LV"/>
              </w:rPr>
              <w:t>Crohn</w:t>
            </w:r>
            <w:r w:rsidRPr="00006932">
              <w:rPr>
                <w:rFonts w:ascii="Times New Roman" w:eastAsia="Times New Roman" w:hAnsi="Times New Roman" w:cs="Times New Roman"/>
                <w:i/>
                <w:sz w:val="24"/>
                <w:szCs w:val="24"/>
                <w:lang w:eastAsia="lv-LV"/>
              </w:rPr>
              <w:t>) slimība (reģionālais enterīts)</w:t>
            </w:r>
            <w:r w:rsidRPr="00006932">
              <w:rPr>
                <w:rFonts w:ascii="Times New Roman" w:eastAsia="Times New Roman" w:hAnsi="Times New Roman" w:cs="Times New Roman"/>
                <w:sz w:val="24"/>
                <w:szCs w:val="24"/>
                <w:lang w:eastAsia="lv-LV"/>
              </w:rPr>
              <w:t xml:space="preserve">, </w:t>
            </w:r>
            <w:r w:rsidRPr="00006932">
              <w:rPr>
                <w:rFonts w:ascii="Times New Roman" w:eastAsia="Times New Roman" w:hAnsi="Times New Roman" w:cs="Times New Roman"/>
                <w:i/>
                <w:sz w:val="24"/>
                <w:szCs w:val="24"/>
                <w:lang w:eastAsia="lv-LV"/>
              </w:rPr>
              <w:t>K51 Čūlains (</w:t>
            </w:r>
            <w:r w:rsidRPr="00006932">
              <w:rPr>
                <w:rFonts w:ascii="Times New Roman" w:eastAsia="Times New Roman" w:hAnsi="Times New Roman" w:cs="Times New Roman"/>
                <w:i/>
                <w:sz w:val="24"/>
                <w:szCs w:val="24"/>
                <w:lang w:eastAsia="lv-LV"/>
              </w:rPr>
              <w:t>ulcerozs</w:t>
            </w:r>
            <w:r w:rsidRPr="00006932">
              <w:rPr>
                <w:rFonts w:ascii="Times New Roman" w:eastAsia="Times New Roman" w:hAnsi="Times New Roman" w:cs="Times New Roman"/>
                <w:i/>
                <w:sz w:val="24"/>
                <w:szCs w:val="24"/>
                <w:lang w:eastAsia="lv-LV"/>
              </w:rPr>
              <w:t>) kolīts</w:t>
            </w:r>
            <w:r w:rsidRPr="00006932">
              <w:rPr>
                <w:rFonts w:ascii="Times New Roman" w:eastAsia="Times New Roman" w:hAnsi="Times New Roman" w:cs="Times New Roman"/>
                <w:sz w:val="24"/>
                <w:szCs w:val="24"/>
                <w:lang w:eastAsia="lv-LV"/>
              </w:rPr>
              <w:t xml:space="preserve"> un </w:t>
            </w:r>
            <w:r w:rsidRPr="00006932">
              <w:rPr>
                <w:rFonts w:ascii="Times New Roman" w:eastAsia="Times New Roman" w:hAnsi="Times New Roman" w:cs="Times New Roman"/>
                <w:i/>
                <w:sz w:val="24"/>
                <w:szCs w:val="24"/>
                <w:lang w:eastAsia="lv-LV"/>
              </w:rPr>
              <w:t xml:space="preserve">L40 </w:t>
            </w:r>
            <w:r w:rsidRPr="00006932">
              <w:rPr>
                <w:rFonts w:ascii="Times New Roman" w:eastAsia="Times New Roman" w:hAnsi="Times New Roman" w:cs="Times New Roman"/>
                <w:i/>
                <w:sz w:val="24"/>
                <w:szCs w:val="24"/>
                <w:lang w:eastAsia="lv-LV"/>
              </w:rPr>
              <w:t>Zvīņēde</w:t>
            </w:r>
            <w:r w:rsidRPr="00006932">
              <w:rPr>
                <w:rFonts w:ascii="Times New Roman" w:eastAsia="Times New Roman" w:hAnsi="Times New Roman" w:cs="Times New Roman"/>
                <w:i/>
                <w:sz w:val="24"/>
                <w:szCs w:val="24"/>
                <w:lang w:eastAsia="lv-LV"/>
              </w:rPr>
              <w:t xml:space="preserve"> (</w:t>
            </w:r>
            <w:r w:rsidRPr="00006932">
              <w:rPr>
                <w:rFonts w:ascii="Times New Roman" w:eastAsia="Times New Roman" w:hAnsi="Times New Roman" w:cs="Times New Roman"/>
                <w:i/>
                <w:sz w:val="24"/>
                <w:szCs w:val="24"/>
                <w:lang w:eastAsia="lv-LV"/>
              </w:rPr>
              <w:t>psoriasis</w:t>
            </w:r>
            <w:r w:rsidRPr="00006932">
              <w:rPr>
                <w:rFonts w:ascii="Times New Roman" w:eastAsia="Times New Roman" w:hAnsi="Times New Roman" w:cs="Times New Roman"/>
                <w:i/>
                <w:sz w:val="24"/>
                <w:szCs w:val="24"/>
                <w:lang w:eastAsia="lv-LV"/>
              </w:rPr>
              <w:t>)</w:t>
            </w:r>
            <w:r w:rsidRPr="00006932">
              <w:rPr>
                <w:rFonts w:ascii="Times New Roman" w:eastAsia="Times New Roman" w:hAnsi="Times New Roman" w:cs="Times New Roman"/>
                <w:sz w:val="24"/>
                <w:szCs w:val="24"/>
                <w:lang w:eastAsia="lv-LV"/>
              </w:rPr>
              <w:t>.</w:t>
            </w:r>
            <w:r w:rsidRPr="00006932" w:rsidR="00C25C6B">
              <w:rPr>
                <w:rFonts w:ascii="Times New Roman" w:eastAsia="Times New Roman" w:hAnsi="Times New Roman" w:cs="Times New Roman"/>
                <w:sz w:val="24"/>
                <w:szCs w:val="24"/>
                <w:lang w:eastAsia="lv-LV"/>
              </w:rPr>
              <w:t xml:space="preserve"> </w:t>
            </w:r>
          </w:p>
          <w:p w:rsidR="00EE075B" w:rsidRPr="00006932" w:rsidP="002B22B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006932" w:rsidR="009051DE">
              <w:rPr>
                <w:rFonts w:ascii="Times New Roman" w:eastAsia="Times New Roman" w:hAnsi="Times New Roman" w:cs="Times New Roman"/>
                <w:sz w:val="24"/>
                <w:szCs w:val="24"/>
                <w:lang w:eastAsia="lv-LV"/>
              </w:rPr>
              <w:t>2. </w:t>
            </w:r>
            <w:r w:rsidRPr="00006932" w:rsidR="00082634">
              <w:rPr>
                <w:rFonts w:ascii="Times New Roman" w:eastAsia="Times New Roman" w:hAnsi="Times New Roman" w:cs="Times New Roman"/>
                <w:sz w:val="24"/>
                <w:szCs w:val="24"/>
                <w:lang w:eastAsia="lv-LV"/>
              </w:rPr>
              <w:t>Saskaņā ar Slimību profilakses un kontroles centra sagatavoto informāciju</w:t>
            </w:r>
            <w:r>
              <w:rPr>
                <w:rStyle w:val="FootnoteReference"/>
                <w:rFonts w:ascii="Times New Roman" w:eastAsia="Times New Roman" w:hAnsi="Times New Roman" w:cs="Times New Roman"/>
                <w:sz w:val="24"/>
                <w:szCs w:val="24"/>
                <w:lang w:eastAsia="lv-LV"/>
              </w:rPr>
              <w:footnoteReference w:id="2"/>
            </w:r>
            <w:r w:rsidRPr="00006932" w:rsidR="00082634">
              <w:rPr>
                <w:rFonts w:ascii="Times New Roman" w:eastAsia="Times New Roman" w:hAnsi="Times New Roman" w:cs="Times New Roman"/>
                <w:b/>
                <w:i/>
                <w:sz w:val="24"/>
                <w:szCs w:val="24"/>
                <w:lang w:eastAsia="lv-LV"/>
              </w:rPr>
              <w:t xml:space="preserve"> </w:t>
            </w:r>
            <w:r w:rsidRPr="00006932" w:rsidR="00C25C6B">
              <w:rPr>
                <w:rFonts w:ascii="Times New Roman" w:eastAsia="Times New Roman" w:hAnsi="Times New Roman" w:cs="Times New Roman"/>
                <w:b/>
                <w:i/>
                <w:sz w:val="24"/>
                <w:szCs w:val="24"/>
                <w:lang w:eastAsia="lv-LV"/>
              </w:rPr>
              <w:t>K50 Krona (</w:t>
            </w:r>
            <w:r w:rsidRPr="00006932" w:rsidR="00C25C6B">
              <w:rPr>
                <w:rFonts w:ascii="Times New Roman" w:eastAsia="Times New Roman" w:hAnsi="Times New Roman" w:cs="Times New Roman"/>
                <w:b/>
                <w:i/>
                <w:sz w:val="24"/>
                <w:szCs w:val="24"/>
                <w:lang w:eastAsia="lv-LV"/>
              </w:rPr>
              <w:t>Crohn</w:t>
            </w:r>
            <w:r w:rsidRPr="00006932" w:rsidR="00C25C6B">
              <w:rPr>
                <w:rFonts w:ascii="Times New Roman" w:eastAsia="Times New Roman" w:hAnsi="Times New Roman" w:cs="Times New Roman"/>
                <w:b/>
                <w:i/>
                <w:sz w:val="24"/>
                <w:szCs w:val="24"/>
                <w:lang w:eastAsia="lv-LV"/>
              </w:rPr>
              <w:t>) slimība (reģionālais enterīts</w:t>
            </w:r>
            <w:r w:rsidRPr="00006932" w:rsidR="002B22BF">
              <w:rPr>
                <w:rFonts w:ascii="Times New Roman" w:eastAsia="Times New Roman" w:hAnsi="Times New Roman" w:cs="Times New Roman"/>
                <w:b/>
                <w:i/>
                <w:sz w:val="24"/>
                <w:szCs w:val="24"/>
                <w:lang w:eastAsia="lv-LV"/>
              </w:rPr>
              <w:t>)</w:t>
            </w:r>
            <w:r w:rsidRPr="00006932" w:rsidR="002B22BF">
              <w:rPr>
                <w:rFonts w:ascii="Times New Roman" w:eastAsia="Times New Roman" w:hAnsi="Times New Roman" w:cs="Times New Roman"/>
                <w:b/>
                <w:sz w:val="24"/>
                <w:szCs w:val="24"/>
                <w:lang w:eastAsia="lv-LV"/>
              </w:rPr>
              <w:t xml:space="preserve"> un</w:t>
            </w:r>
            <w:r w:rsidRPr="00006932" w:rsidR="00C25C6B">
              <w:rPr>
                <w:rFonts w:ascii="Times New Roman" w:eastAsia="Times New Roman" w:hAnsi="Times New Roman" w:cs="Times New Roman"/>
                <w:b/>
                <w:sz w:val="24"/>
                <w:szCs w:val="24"/>
                <w:lang w:eastAsia="lv-LV"/>
              </w:rPr>
              <w:t xml:space="preserve"> </w:t>
            </w:r>
            <w:r w:rsidRPr="00006932" w:rsidR="00C25C6B">
              <w:rPr>
                <w:rFonts w:ascii="Times New Roman" w:eastAsia="Times New Roman" w:hAnsi="Times New Roman" w:cs="Times New Roman"/>
                <w:b/>
                <w:i/>
                <w:sz w:val="24"/>
                <w:szCs w:val="24"/>
                <w:lang w:eastAsia="lv-LV"/>
              </w:rPr>
              <w:t>K51 Čūlains (</w:t>
            </w:r>
            <w:r w:rsidRPr="00006932" w:rsidR="00C25C6B">
              <w:rPr>
                <w:rFonts w:ascii="Times New Roman" w:eastAsia="Times New Roman" w:hAnsi="Times New Roman" w:cs="Times New Roman"/>
                <w:b/>
                <w:i/>
                <w:sz w:val="24"/>
                <w:szCs w:val="24"/>
                <w:lang w:eastAsia="lv-LV"/>
              </w:rPr>
              <w:t>ulcerozs</w:t>
            </w:r>
            <w:r w:rsidRPr="00006932" w:rsidR="00C25C6B">
              <w:rPr>
                <w:rFonts w:ascii="Times New Roman" w:eastAsia="Times New Roman" w:hAnsi="Times New Roman" w:cs="Times New Roman"/>
                <w:b/>
                <w:i/>
                <w:sz w:val="24"/>
                <w:szCs w:val="24"/>
                <w:lang w:eastAsia="lv-LV"/>
              </w:rPr>
              <w:t>) kolīts</w:t>
            </w:r>
            <w:r w:rsidRPr="00006932" w:rsidR="00C25C6B">
              <w:rPr>
                <w:rFonts w:ascii="Times New Roman" w:eastAsia="Times New Roman" w:hAnsi="Times New Roman" w:cs="Times New Roman"/>
                <w:sz w:val="24"/>
                <w:szCs w:val="24"/>
                <w:lang w:eastAsia="lv-LV"/>
              </w:rPr>
              <w:t xml:space="preserve"> ir</w:t>
            </w:r>
            <w:r w:rsidRPr="00006932" w:rsidR="00602FC6">
              <w:rPr>
                <w:rFonts w:ascii="Times New Roman" w:eastAsia="Times New Roman" w:hAnsi="Times New Roman" w:cs="Times New Roman"/>
                <w:sz w:val="24"/>
                <w:szCs w:val="24"/>
                <w:lang w:eastAsia="lv-LV"/>
              </w:rPr>
              <w:t xml:space="preserve"> </w:t>
            </w:r>
            <w:r w:rsidRPr="00006932" w:rsidR="00602FC6">
              <w:rPr>
                <w:rFonts w:ascii="Times New Roman" w:eastAsia="Times New Roman" w:hAnsi="Times New Roman" w:cs="Times New Roman"/>
                <w:sz w:val="24"/>
                <w:szCs w:val="24"/>
                <w:lang w:eastAsia="lv-LV"/>
              </w:rPr>
              <w:t>iekaisīgas</w:t>
            </w:r>
            <w:r w:rsidRPr="00006932" w:rsidR="00602FC6">
              <w:rPr>
                <w:rFonts w:ascii="Times New Roman" w:eastAsia="Times New Roman" w:hAnsi="Times New Roman" w:cs="Times New Roman"/>
                <w:sz w:val="24"/>
                <w:szCs w:val="24"/>
                <w:lang w:eastAsia="lv-LV"/>
              </w:rPr>
              <w:t xml:space="preserve"> zarnu slimības</w:t>
            </w:r>
            <w:r w:rsidRPr="00006932" w:rsidR="00486499">
              <w:rPr>
                <w:rFonts w:ascii="Times New Roman" w:eastAsia="Times New Roman" w:hAnsi="Times New Roman" w:cs="Times New Roman"/>
                <w:sz w:val="24"/>
                <w:szCs w:val="24"/>
                <w:lang w:eastAsia="lv-LV"/>
              </w:rPr>
              <w:t xml:space="preserve"> (IZS)</w:t>
            </w:r>
            <w:r w:rsidRPr="00006932" w:rsidR="00602FC6">
              <w:rPr>
                <w:rFonts w:ascii="Times New Roman" w:eastAsia="Times New Roman" w:hAnsi="Times New Roman" w:cs="Times New Roman"/>
                <w:sz w:val="24"/>
                <w:szCs w:val="24"/>
                <w:lang w:eastAsia="lv-LV"/>
              </w:rPr>
              <w:t xml:space="preserve"> (izraisa zarnu trakta orgānu sieniņu iekaisumu)</w:t>
            </w:r>
            <w:r w:rsidRPr="00006932" w:rsidR="00531D3D">
              <w:rPr>
                <w:rFonts w:ascii="Times New Roman" w:eastAsia="Times New Roman" w:hAnsi="Times New Roman" w:cs="Times New Roman"/>
                <w:sz w:val="24"/>
                <w:szCs w:val="24"/>
                <w:lang w:eastAsia="lv-LV"/>
              </w:rPr>
              <w:t xml:space="preserve"> </w:t>
            </w:r>
            <w:r w:rsidRPr="00006932">
              <w:rPr>
                <w:rFonts w:ascii="Times New Roman" w:eastAsia="Times New Roman" w:hAnsi="Times New Roman" w:cs="Times New Roman"/>
                <w:sz w:val="24"/>
                <w:szCs w:val="24"/>
                <w:lang w:eastAsia="lv-LV"/>
              </w:rPr>
              <w:t>ir hroniska</w:t>
            </w:r>
            <w:r w:rsidRPr="00006932" w:rsidR="002B22BF">
              <w:rPr>
                <w:rFonts w:ascii="Times New Roman" w:eastAsia="Times New Roman" w:hAnsi="Times New Roman" w:cs="Times New Roman"/>
                <w:sz w:val="24"/>
                <w:szCs w:val="24"/>
                <w:lang w:eastAsia="lv-LV"/>
              </w:rPr>
              <w:t>s</w:t>
            </w:r>
            <w:r w:rsidRPr="00006932" w:rsidR="00531D3D">
              <w:rPr>
                <w:rFonts w:ascii="Times New Roman" w:eastAsia="Times New Roman" w:hAnsi="Times New Roman" w:cs="Times New Roman"/>
                <w:sz w:val="24"/>
                <w:szCs w:val="24"/>
                <w:lang w:eastAsia="lv-LV"/>
              </w:rPr>
              <w:t xml:space="preserve">, </w:t>
            </w:r>
            <w:r w:rsidRPr="00006932">
              <w:rPr>
                <w:rFonts w:ascii="Times New Roman" w:eastAsia="Times New Roman" w:hAnsi="Times New Roman" w:cs="Times New Roman"/>
                <w:sz w:val="24"/>
                <w:szCs w:val="24"/>
                <w:lang w:eastAsia="lv-LV"/>
              </w:rPr>
              <w:t>bieži progresējoša</w:t>
            </w:r>
            <w:r w:rsidRPr="00006932" w:rsidR="002B22BF">
              <w:rPr>
                <w:rFonts w:ascii="Times New Roman" w:eastAsia="Times New Roman" w:hAnsi="Times New Roman" w:cs="Times New Roman"/>
                <w:sz w:val="24"/>
                <w:szCs w:val="24"/>
                <w:lang w:eastAsia="lv-LV"/>
              </w:rPr>
              <w:t>s</w:t>
            </w:r>
            <w:r w:rsidRPr="00006932">
              <w:rPr>
                <w:rFonts w:ascii="Times New Roman" w:eastAsia="Times New Roman" w:hAnsi="Times New Roman" w:cs="Times New Roman"/>
                <w:sz w:val="24"/>
                <w:szCs w:val="24"/>
                <w:lang w:eastAsia="lv-LV"/>
              </w:rPr>
              <w:t xml:space="preserve"> slimība</w:t>
            </w:r>
            <w:r w:rsidRPr="00006932" w:rsidR="002B22BF">
              <w:rPr>
                <w:rFonts w:ascii="Times New Roman" w:eastAsia="Times New Roman" w:hAnsi="Times New Roman" w:cs="Times New Roman"/>
                <w:sz w:val="24"/>
                <w:szCs w:val="24"/>
                <w:lang w:eastAsia="lv-LV"/>
              </w:rPr>
              <w:t>s</w:t>
            </w:r>
            <w:r w:rsidRPr="00006932" w:rsidR="00531D3D">
              <w:rPr>
                <w:rFonts w:ascii="Times New Roman" w:eastAsia="Times New Roman" w:hAnsi="Times New Roman" w:cs="Times New Roman"/>
                <w:sz w:val="24"/>
                <w:szCs w:val="24"/>
                <w:lang w:eastAsia="lv-LV"/>
              </w:rPr>
              <w:t xml:space="preserve"> ar augstu invaliditātes risku</w:t>
            </w:r>
            <w:r w:rsidRPr="00006932">
              <w:rPr>
                <w:rFonts w:ascii="Times New Roman" w:eastAsia="Times New Roman" w:hAnsi="Times New Roman" w:cs="Times New Roman"/>
                <w:sz w:val="24"/>
                <w:szCs w:val="24"/>
                <w:lang w:eastAsia="lv-LV"/>
              </w:rPr>
              <w:t>, kura</w:t>
            </w:r>
            <w:r w:rsidRPr="00006932" w:rsidR="002B22BF">
              <w:rPr>
                <w:rFonts w:ascii="Times New Roman" w:eastAsia="Times New Roman" w:hAnsi="Times New Roman" w:cs="Times New Roman"/>
                <w:sz w:val="24"/>
                <w:szCs w:val="24"/>
                <w:lang w:eastAsia="lv-LV"/>
              </w:rPr>
              <w:t>s</w:t>
            </w:r>
            <w:r w:rsidRPr="00006932">
              <w:rPr>
                <w:rFonts w:ascii="Times New Roman" w:eastAsia="Times New Roman" w:hAnsi="Times New Roman" w:cs="Times New Roman"/>
                <w:sz w:val="24"/>
                <w:szCs w:val="24"/>
                <w:lang w:eastAsia="lv-LV"/>
              </w:rPr>
              <w:t xml:space="preserve"> var skart jebkuru gremošanas trakta daļu </w:t>
            </w:r>
            <w:r w:rsidRPr="00006932" w:rsidR="00531D3D">
              <w:rPr>
                <w:rFonts w:ascii="Times New Roman" w:eastAsia="Times New Roman" w:hAnsi="Times New Roman" w:cs="Times New Roman"/>
                <w:sz w:val="24"/>
                <w:szCs w:val="24"/>
                <w:lang w:eastAsia="lv-LV"/>
              </w:rPr>
              <w:t xml:space="preserve">no mutes līdz anālajai atverei. </w:t>
            </w:r>
            <w:r w:rsidRPr="00006932">
              <w:rPr>
                <w:rFonts w:ascii="Times New Roman" w:eastAsia="Times New Roman" w:hAnsi="Times New Roman" w:cs="Times New Roman"/>
                <w:sz w:val="24"/>
                <w:szCs w:val="24"/>
                <w:lang w:eastAsia="lv-LV"/>
              </w:rPr>
              <w:t xml:space="preserve">Iekaisums parasti skar zarnu sieniņu visā tās biezumā un var arī izplesties ārpus tās uz blakus esošajiem orgāniem. Slimība parasti sākas kā zarnu sieniņas erozijas, no kurām tālāk izveidojas nelielas čūlas, kas progresē, līdz daudziem dažāda izmēra bojājumiem, sākot ar mazām čūlām līdz lielām un dziļām čūlām ar bojājumiem dažādās zarnu vietās un zarnu sieniņas pietūkumu, un tam sekojošu zarnas sašaurināšanos. </w:t>
            </w:r>
            <w:r w:rsidRPr="00006932" w:rsidR="002B22BF">
              <w:rPr>
                <w:rFonts w:ascii="Times New Roman" w:eastAsia="Times New Roman" w:hAnsi="Times New Roman" w:cs="Times New Roman"/>
                <w:sz w:val="24"/>
                <w:szCs w:val="24"/>
                <w:lang w:eastAsia="lv-LV"/>
              </w:rPr>
              <w:t xml:space="preserve">Slimība </w:t>
            </w:r>
            <w:r w:rsidRPr="00006932">
              <w:rPr>
                <w:rFonts w:ascii="Times New Roman" w:eastAsia="Times New Roman" w:hAnsi="Times New Roman" w:cs="Times New Roman"/>
                <w:sz w:val="24"/>
                <w:szCs w:val="24"/>
                <w:lang w:eastAsia="lv-LV"/>
              </w:rPr>
              <w:t>visbiežāk tiek diagnostic</w:t>
            </w:r>
            <w:r w:rsidRPr="00006932" w:rsidR="002B22BF">
              <w:rPr>
                <w:rFonts w:ascii="Times New Roman" w:eastAsia="Times New Roman" w:hAnsi="Times New Roman" w:cs="Times New Roman"/>
                <w:sz w:val="24"/>
                <w:szCs w:val="24"/>
                <w:lang w:eastAsia="lv-LV"/>
              </w:rPr>
              <w:t xml:space="preserve">ēta vecumā no 15 līdz 29 gadiem, bet </w:t>
            </w:r>
            <w:r w:rsidRPr="00006932">
              <w:rPr>
                <w:rFonts w:ascii="Times New Roman" w:eastAsia="Times New Roman" w:hAnsi="Times New Roman" w:cs="Times New Roman"/>
                <w:sz w:val="24"/>
                <w:szCs w:val="24"/>
                <w:lang w:eastAsia="lv-LV"/>
              </w:rPr>
              <w:t>va</w:t>
            </w:r>
            <w:r w:rsidRPr="00006932" w:rsidR="002B22BF">
              <w:rPr>
                <w:rFonts w:ascii="Times New Roman" w:eastAsia="Times New Roman" w:hAnsi="Times New Roman" w:cs="Times New Roman"/>
                <w:sz w:val="24"/>
                <w:szCs w:val="24"/>
                <w:lang w:eastAsia="lv-LV"/>
              </w:rPr>
              <w:t>r rasties jebkurā dzīves posmā.</w:t>
            </w:r>
          </w:p>
          <w:p w:rsidR="00EE075B"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Biežāk sastopamie </w:t>
            </w:r>
            <w:r w:rsidRPr="00006932" w:rsidR="002B22BF">
              <w:rPr>
                <w:rFonts w:ascii="Times New Roman" w:eastAsia="Times New Roman" w:hAnsi="Times New Roman" w:cs="Times New Roman"/>
                <w:sz w:val="24"/>
                <w:szCs w:val="24"/>
                <w:lang w:eastAsia="lv-LV"/>
              </w:rPr>
              <w:t xml:space="preserve">simptomi ir vēdera sāpes, </w:t>
            </w:r>
            <w:r w:rsidRPr="00006932">
              <w:rPr>
                <w:rFonts w:ascii="Times New Roman" w:eastAsia="Times New Roman" w:hAnsi="Times New Roman" w:cs="Times New Roman"/>
                <w:sz w:val="24"/>
                <w:szCs w:val="24"/>
                <w:lang w:eastAsia="lv-LV"/>
              </w:rPr>
              <w:t xml:space="preserve">nepārejoša caureja. Citi simptomi ir svara zudums, čūlas mutē, samazināta apetīte, drudzis un svīšana naktī. </w:t>
            </w:r>
            <w:r w:rsidRPr="00006932" w:rsidR="002B22BF">
              <w:rPr>
                <w:rFonts w:ascii="Times New Roman" w:eastAsia="Times New Roman" w:hAnsi="Times New Roman" w:cs="Times New Roman"/>
                <w:sz w:val="24"/>
                <w:szCs w:val="24"/>
                <w:lang w:eastAsia="lv-LV"/>
              </w:rPr>
              <w:t xml:space="preserve">Iespējama </w:t>
            </w:r>
            <w:r w:rsidRPr="00006932">
              <w:rPr>
                <w:rFonts w:ascii="Times New Roman" w:eastAsia="Times New Roman" w:hAnsi="Times New Roman" w:cs="Times New Roman"/>
                <w:sz w:val="24"/>
                <w:szCs w:val="24"/>
                <w:lang w:eastAsia="lv-LV"/>
              </w:rPr>
              <w:t>rektāl</w:t>
            </w:r>
            <w:r w:rsidRPr="00006932" w:rsidR="002B22BF">
              <w:rPr>
                <w:rFonts w:ascii="Times New Roman" w:eastAsia="Times New Roman" w:hAnsi="Times New Roman" w:cs="Times New Roman"/>
                <w:sz w:val="24"/>
                <w:szCs w:val="24"/>
                <w:lang w:eastAsia="lv-LV"/>
              </w:rPr>
              <w:t xml:space="preserve">a asiņošana. </w:t>
            </w:r>
            <w:r w:rsidRPr="00006932">
              <w:rPr>
                <w:rFonts w:ascii="Times New Roman" w:eastAsia="Times New Roman" w:hAnsi="Times New Roman" w:cs="Times New Roman"/>
                <w:sz w:val="24"/>
                <w:szCs w:val="24"/>
                <w:lang w:eastAsia="lv-LV"/>
              </w:rPr>
              <w:t xml:space="preserve">Papildus </w:t>
            </w:r>
            <w:r w:rsidRPr="00006932" w:rsidR="002B22BF">
              <w:rPr>
                <w:rFonts w:ascii="Times New Roman" w:eastAsia="Times New Roman" w:hAnsi="Times New Roman" w:cs="Times New Roman"/>
                <w:sz w:val="24"/>
                <w:szCs w:val="24"/>
                <w:lang w:eastAsia="lv-LV"/>
              </w:rPr>
              <w:t xml:space="preserve">var </w:t>
            </w:r>
            <w:r w:rsidRPr="00006932">
              <w:rPr>
                <w:rFonts w:ascii="Times New Roman" w:eastAsia="Times New Roman" w:hAnsi="Times New Roman" w:cs="Times New Roman"/>
                <w:sz w:val="24"/>
                <w:szCs w:val="24"/>
                <w:lang w:eastAsia="lv-LV"/>
              </w:rPr>
              <w:t>novēro</w:t>
            </w:r>
            <w:r w:rsidRPr="00006932" w:rsidR="002B22BF">
              <w:rPr>
                <w:rFonts w:ascii="Times New Roman" w:eastAsia="Times New Roman" w:hAnsi="Times New Roman" w:cs="Times New Roman"/>
                <w:sz w:val="24"/>
                <w:szCs w:val="24"/>
                <w:lang w:eastAsia="lv-LV"/>
              </w:rPr>
              <w:t>t</w:t>
            </w:r>
            <w:r w:rsidRPr="00006932">
              <w:rPr>
                <w:rFonts w:ascii="Times New Roman" w:eastAsia="Times New Roman" w:hAnsi="Times New Roman" w:cs="Times New Roman"/>
                <w:sz w:val="24"/>
                <w:szCs w:val="24"/>
                <w:lang w:eastAsia="lv-LV"/>
              </w:rPr>
              <w:t xml:space="preserve"> nogurumu, mazasinību, nepietiekamu uztura uzņemšanu, kas ilgtermiņā izraisa novājēšanu, iekaisumu, sāpes locītavās, ādas bojājumus un tūsku acīs vai aknās. Ja </w:t>
            </w:r>
            <w:r w:rsidRPr="00006932" w:rsidR="002B22BF">
              <w:rPr>
                <w:rFonts w:ascii="Times New Roman" w:eastAsia="Times New Roman" w:hAnsi="Times New Roman" w:cs="Times New Roman"/>
                <w:sz w:val="24"/>
                <w:szCs w:val="24"/>
                <w:lang w:eastAsia="lv-LV"/>
              </w:rPr>
              <w:t>slimība attīstās</w:t>
            </w:r>
            <w:r w:rsidRPr="00006932">
              <w:rPr>
                <w:rFonts w:ascii="Times New Roman" w:eastAsia="Times New Roman" w:hAnsi="Times New Roman" w:cs="Times New Roman"/>
                <w:sz w:val="24"/>
                <w:szCs w:val="24"/>
                <w:lang w:eastAsia="lv-LV"/>
              </w:rPr>
              <w:t xml:space="preserve"> bērnībā, tā var aizkavēt augšanu un pubertāti.</w:t>
            </w:r>
          </w:p>
          <w:p w:rsidR="00486499"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Eiropas Krona un čūlainā kolīta asociāciju federācija, lai izvērtētu ietekmi uz pacientu sociālajiem, izglītības, nodarbinātības un holistiskajiem aspektiem, veica Eiropas mēroga pacientu aptauju</w:t>
            </w:r>
            <w:r>
              <w:rPr>
                <w:rStyle w:val="FootnoteReference"/>
                <w:rFonts w:ascii="Times New Roman" w:eastAsia="Times New Roman" w:hAnsi="Times New Roman" w:cs="Times New Roman"/>
                <w:sz w:val="24"/>
                <w:szCs w:val="24"/>
                <w:lang w:eastAsia="lv-LV"/>
              </w:rPr>
              <w:footnoteReference w:id="3"/>
            </w:r>
            <w:r w:rsidRPr="00006932">
              <w:rPr>
                <w:rFonts w:ascii="Times New Roman" w:eastAsia="Times New Roman" w:hAnsi="Times New Roman" w:cs="Times New Roman"/>
                <w:sz w:val="24"/>
                <w:szCs w:val="24"/>
                <w:lang w:eastAsia="lv-LV"/>
              </w:rPr>
              <w:t xml:space="preserve">. Aptaujā piedalījās vairāk nekā 6000  cilvēku no 27  valstīm. 48% pacientu raksturo savu slimību kā hroniski aktīvu vai aktīvu ar periodiskiem uzliesmojumiem. Hospitalizācijas skaits ir īpaši liels: pēdējo piecu gadu laikā 85% pacientu ir nokļuvuši slimnīcā IZS dēļ. 40% pacientu ir veikta vismaz viena operācija. </w:t>
            </w:r>
          </w:p>
          <w:p w:rsidR="00082634"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IZS </w:t>
            </w:r>
            <w:r w:rsidRPr="00006932" w:rsidR="00EE075B">
              <w:rPr>
                <w:rFonts w:ascii="Times New Roman" w:eastAsia="Times New Roman" w:hAnsi="Times New Roman" w:cs="Times New Roman"/>
                <w:sz w:val="24"/>
                <w:szCs w:val="24"/>
                <w:lang w:eastAsia="lv-LV"/>
              </w:rPr>
              <w:t xml:space="preserve">ir sistēmiskas slimības, kas ir saistītas ar </w:t>
            </w:r>
            <w:r w:rsidRPr="00006932" w:rsidR="00EE075B">
              <w:rPr>
                <w:rFonts w:ascii="Times New Roman" w:eastAsia="Times New Roman" w:hAnsi="Times New Roman" w:cs="Times New Roman"/>
                <w:sz w:val="24"/>
                <w:szCs w:val="24"/>
                <w:lang w:eastAsia="lv-LV"/>
              </w:rPr>
              <w:t>blakussaslimšanām</w:t>
            </w:r>
            <w:r w:rsidRPr="00006932" w:rsidR="00EE075B">
              <w:rPr>
                <w:rFonts w:ascii="Times New Roman" w:eastAsia="Times New Roman" w:hAnsi="Times New Roman" w:cs="Times New Roman"/>
                <w:sz w:val="24"/>
                <w:szCs w:val="24"/>
                <w:lang w:eastAsia="lv-LV"/>
              </w:rPr>
              <w:t xml:space="preserve">: - 49% pacientu saistītas ar locītavām; - 34% pacientu saistītas ar ādu. Vairākums pacientu galīgā diagnoze tika noteikta laikus, bet 18% novēloti – vairāk nekā pēc pieciem gadiem. 60% pirms diagnozes uzstādīšanas bija nepieciešama neatliekamā palīdzība. Pusei no pacientiem, kuriem diagnosticēta IZS, slimība </w:t>
            </w:r>
            <w:r w:rsidRPr="00006932" w:rsidR="00016040">
              <w:rPr>
                <w:rFonts w:ascii="Times New Roman" w:eastAsia="Times New Roman" w:hAnsi="Times New Roman" w:cs="Times New Roman"/>
                <w:sz w:val="24"/>
                <w:szCs w:val="24"/>
                <w:lang w:eastAsia="lv-LV"/>
              </w:rPr>
              <w:t xml:space="preserve">pašreiz </w:t>
            </w:r>
            <w:r w:rsidRPr="00006932" w:rsidR="00EE075B">
              <w:rPr>
                <w:rFonts w:ascii="Times New Roman" w:eastAsia="Times New Roman" w:hAnsi="Times New Roman" w:cs="Times New Roman"/>
                <w:sz w:val="24"/>
                <w:szCs w:val="24"/>
                <w:lang w:eastAsia="lv-LV"/>
              </w:rPr>
              <w:t xml:space="preserve">ir aktīva  – viņi nav remisijā. Uzliesmojuma laikā 96% pacientu ikdienas dzīvē </w:t>
            </w:r>
            <w:r w:rsidRPr="00006932">
              <w:rPr>
                <w:rFonts w:ascii="Times New Roman" w:eastAsia="Times New Roman" w:hAnsi="Times New Roman" w:cs="Times New Roman"/>
                <w:sz w:val="24"/>
                <w:szCs w:val="24"/>
                <w:lang w:eastAsia="lv-LV"/>
              </w:rPr>
              <w:t>jūt nogurumu</w:t>
            </w:r>
            <w:r w:rsidRPr="00006932" w:rsidR="00EE075B">
              <w:rPr>
                <w:rFonts w:ascii="Times New Roman" w:eastAsia="Times New Roman" w:hAnsi="Times New Roman" w:cs="Times New Roman"/>
                <w:sz w:val="24"/>
                <w:szCs w:val="24"/>
                <w:lang w:eastAsia="lv-LV"/>
              </w:rPr>
              <w:t>; remisijas laikā šis rādītājs samazinās tikai līdz 83%. IZS ietekmē pacienta per</w:t>
            </w:r>
            <w:r w:rsidRPr="00006932">
              <w:rPr>
                <w:rFonts w:ascii="Times New Roman" w:eastAsia="Times New Roman" w:hAnsi="Times New Roman" w:cs="Times New Roman"/>
                <w:sz w:val="24"/>
                <w:szCs w:val="24"/>
                <w:lang w:eastAsia="lv-LV"/>
              </w:rPr>
              <w:t>sonīgās un sociālās attiecības, spēju mācīties, strādāt, daudzi izjutusi diskrimināciju.</w:t>
            </w:r>
            <w:r w:rsidRPr="00006932" w:rsidR="00EE075B">
              <w:rPr>
                <w:rFonts w:ascii="Times New Roman" w:eastAsia="Times New Roman" w:hAnsi="Times New Roman" w:cs="Times New Roman"/>
                <w:sz w:val="24"/>
                <w:szCs w:val="24"/>
                <w:lang w:eastAsia="lv-LV"/>
              </w:rPr>
              <w:t xml:space="preserve"> </w:t>
            </w:r>
            <w:r w:rsidRPr="00006932" w:rsidR="00016040">
              <w:rPr>
                <w:rFonts w:ascii="Times New Roman" w:eastAsia="Times New Roman" w:hAnsi="Times New Roman" w:cs="Times New Roman"/>
                <w:sz w:val="24"/>
                <w:szCs w:val="24"/>
                <w:lang w:eastAsia="lv-LV"/>
              </w:rPr>
              <w:t xml:space="preserve"> </w:t>
            </w:r>
          </w:p>
          <w:p w:rsidR="006D78D3"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Ar </w:t>
            </w:r>
            <w:r w:rsidRPr="00006932" w:rsidR="00082634">
              <w:rPr>
                <w:rFonts w:ascii="Times New Roman" w:eastAsia="Times New Roman" w:hAnsi="Times New Roman" w:cs="Times New Roman"/>
                <w:sz w:val="24"/>
                <w:szCs w:val="24"/>
                <w:lang w:eastAsia="lv-LV"/>
              </w:rPr>
              <w:t>IZS</w:t>
            </w:r>
            <w:r w:rsidRPr="00006932">
              <w:rPr>
                <w:rFonts w:ascii="Times New Roman" w:eastAsia="Times New Roman" w:hAnsi="Times New Roman" w:cs="Times New Roman"/>
                <w:sz w:val="24"/>
                <w:szCs w:val="24"/>
                <w:lang w:eastAsia="lv-LV"/>
              </w:rPr>
              <w:t xml:space="preserve"> Eiropā slimo vairāk nekā 2,2 miljoni cilvēku, Latvijā precīzs šo slimnieku skaits pašreiz nav zināms. Ik gadu kompensējamos medikamentus saņem ~1700 pacientu, bet iespējams, ka vēl daļai pacientu slimības diagnoze nav noteikta. </w:t>
            </w:r>
          </w:p>
          <w:p w:rsidR="00C668A8" w:rsidRPr="00006932" w:rsidP="002B22B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1.</w:t>
            </w:r>
            <w:r w:rsidRPr="00006932" w:rsidR="009051DE">
              <w:rPr>
                <w:rFonts w:ascii="Times New Roman" w:eastAsia="Times New Roman" w:hAnsi="Times New Roman" w:cs="Times New Roman"/>
                <w:bCs/>
                <w:sz w:val="24"/>
                <w:szCs w:val="24"/>
                <w:lang w:eastAsia="lv-LV"/>
              </w:rPr>
              <w:t>3. </w:t>
            </w:r>
            <w:r w:rsidRPr="00006932" w:rsidR="00082634">
              <w:rPr>
                <w:rFonts w:ascii="Times New Roman" w:eastAsia="Times New Roman" w:hAnsi="Times New Roman" w:cs="Times New Roman"/>
                <w:bCs/>
                <w:sz w:val="24"/>
                <w:szCs w:val="24"/>
                <w:lang w:eastAsia="lv-LV"/>
              </w:rPr>
              <w:t xml:space="preserve">Saskaņā ar </w:t>
            </w:r>
            <w:r w:rsidRPr="00006932" w:rsidR="00082634">
              <w:rPr>
                <w:rFonts w:ascii="Times New Roman" w:eastAsia="Times New Roman" w:hAnsi="Times New Roman" w:cs="Times New Roman"/>
                <w:bCs/>
                <w:sz w:val="24"/>
                <w:szCs w:val="24"/>
                <w:lang w:eastAsia="lv-LV"/>
              </w:rPr>
              <w:t>psoriāzes</w:t>
            </w:r>
            <w:r w:rsidRPr="00006932" w:rsidR="00082634">
              <w:rPr>
                <w:rFonts w:ascii="Times New Roman" w:eastAsia="Times New Roman" w:hAnsi="Times New Roman" w:cs="Times New Roman"/>
                <w:bCs/>
                <w:sz w:val="24"/>
                <w:szCs w:val="24"/>
                <w:lang w:eastAsia="lv-LV"/>
              </w:rPr>
              <w:t xml:space="preserve"> klīniskajām vadlīnijām</w:t>
            </w:r>
            <w:r>
              <w:rPr>
                <w:rStyle w:val="FootnoteReference"/>
                <w:rFonts w:ascii="Times New Roman" w:eastAsia="Times New Roman" w:hAnsi="Times New Roman" w:cs="Times New Roman"/>
                <w:bCs/>
                <w:sz w:val="24"/>
                <w:szCs w:val="24"/>
                <w:lang w:eastAsia="lv-LV"/>
              </w:rPr>
              <w:footnoteReference w:id="4"/>
            </w:r>
            <w:r w:rsidRPr="00006932" w:rsidR="00702EA7">
              <w:rPr>
                <w:rFonts w:ascii="Times New Roman" w:eastAsia="Times New Roman" w:hAnsi="Times New Roman" w:cs="Times New Roman"/>
                <w:sz w:val="24"/>
                <w:szCs w:val="24"/>
                <w:lang w:eastAsia="lv-LV"/>
              </w:rPr>
              <w:t xml:space="preserve"> </w:t>
            </w:r>
            <w:r w:rsidRPr="00006932" w:rsidR="00702EA7">
              <w:rPr>
                <w:rFonts w:ascii="Times New Roman" w:eastAsia="Times New Roman" w:hAnsi="Times New Roman" w:cs="Times New Roman"/>
                <w:b/>
                <w:sz w:val="24"/>
                <w:szCs w:val="24"/>
                <w:lang w:eastAsia="lv-LV"/>
              </w:rPr>
              <w:t>z</w:t>
            </w:r>
            <w:r w:rsidRPr="00006932" w:rsidR="002E2726">
              <w:rPr>
                <w:rFonts w:ascii="Times New Roman" w:eastAsia="Times New Roman" w:hAnsi="Times New Roman" w:cs="Times New Roman"/>
                <w:b/>
                <w:sz w:val="24"/>
                <w:szCs w:val="24"/>
                <w:lang w:eastAsia="lv-LV"/>
              </w:rPr>
              <w:t>vīņēde</w:t>
            </w:r>
            <w:r w:rsidRPr="00006932" w:rsidR="002E2726">
              <w:rPr>
                <w:rFonts w:ascii="Times New Roman" w:eastAsia="Times New Roman" w:hAnsi="Times New Roman" w:cs="Times New Roman"/>
                <w:b/>
                <w:sz w:val="24"/>
                <w:szCs w:val="24"/>
                <w:lang w:eastAsia="lv-LV"/>
              </w:rPr>
              <w:t xml:space="preserve"> jeb </w:t>
            </w:r>
            <w:r w:rsidRPr="00006932" w:rsidR="002E2726">
              <w:rPr>
                <w:rFonts w:ascii="Times New Roman" w:eastAsia="Times New Roman" w:hAnsi="Times New Roman" w:cs="Times New Roman"/>
                <w:b/>
                <w:sz w:val="24"/>
                <w:szCs w:val="24"/>
                <w:lang w:eastAsia="lv-LV"/>
              </w:rPr>
              <w:t>psoriāze</w:t>
            </w:r>
            <w:r w:rsidRPr="00006932" w:rsidR="002E2726">
              <w:rPr>
                <w:rFonts w:ascii="Times New Roman" w:eastAsia="Times New Roman" w:hAnsi="Times New Roman" w:cs="Times New Roman"/>
                <w:sz w:val="24"/>
                <w:szCs w:val="24"/>
                <w:lang w:eastAsia="lv-LV"/>
              </w:rPr>
              <w:t xml:space="preserve"> ir viena no visbiežāk sastopamām ādas slimībām</w:t>
            </w:r>
            <w:r w:rsidRPr="00006932" w:rsidR="00702EA7">
              <w:rPr>
                <w:rFonts w:ascii="Times New Roman" w:eastAsia="Times New Roman" w:hAnsi="Times New Roman" w:cs="Times New Roman"/>
                <w:sz w:val="24"/>
                <w:szCs w:val="24"/>
                <w:lang w:eastAsia="lv-LV"/>
              </w:rPr>
              <w:t>, kas i</w:t>
            </w:r>
            <w:r w:rsidRPr="00006932" w:rsidR="002E2726">
              <w:rPr>
                <w:rFonts w:ascii="Times New Roman" w:eastAsia="Times New Roman" w:hAnsi="Times New Roman" w:cs="Times New Roman"/>
                <w:sz w:val="24"/>
                <w:szCs w:val="24"/>
                <w:lang w:eastAsia="lv-LV"/>
              </w:rPr>
              <w:t>ndustriāli attīstītajās valstīs tā skar 1</w:t>
            </w:r>
            <w:r w:rsidRPr="00006932" w:rsidR="00702EA7">
              <w:rPr>
                <w:rFonts w:ascii="Times New Roman" w:eastAsia="Times New Roman" w:hAnsi="Times New Roman" w:cs="Times New Roman"/>
                <w:sz w:val="24"/>
                <w:szCs w:val="24"/>
                <w:lang w:eastAsia="lv-LV"/>
              </w:rPr>
              <w:t>,5–2% iedzīvotāju</w:t>
            </w:r>
            <w:r w:rsidRPr="00006932" w:rsidR="002E2726">
              <w:rPr>
                <w:rFonts w:ascii="Times New Roman" w:eastAsia="Times New Roman" w:hAnsi="Times New Roman" w:cs="Times New Roman"/>
                <w:sz w:val="24"/>
                <w:szCs w:val="24"/>
                <w:lang w:eastAsia="lv-LV"/>
              </w:rPr>
              <w:t xml:space="preserve">. Pacienti slimības dēļ cieš gan fiziski, gan psiholoģiski. </w:t>
            </w:r>
            <w:r w:rsidRPr="00006932" w:rsidR="002E2726">
              <w:rPr>
                <w:rFonts w:ascii="Times New Roman" w:eastAsia="Times New Roman" w:hAnsi="Times New Roman" w:cs="Times New Roman"/>
                <w:sz w:val="24"/>
                <w:szCs w:val="24"/>
                <w:lang w:eastAsia="lv-LV"/>
              </w:rPr>
              <w:t>Psoriāzes</w:t>
            </w:r>
            <w:r w:rsidRPr="00006932" w:rsidR="002E2726">
              <w:rPr>
                <w:rFonts w:ascii="Times New Roman" w:eastAsia="Times New Roman" w:hAnsi="Times New Roman" w:cs="Times New Roman"/>
                <w:sz w:val="24"/>
                <w:szCs w:val="24"/>
                <w:lang w:eastAsia="lv-LV"/>
              </w:rPr>
              <w:t xml:space="preserve"> </w:t>
            </w:r>
            <w:r w:rsidRPr="00006932" w:rsidR="00702EA7">
              <w:rPr>
                <w:rFonts w:ascii="Times New Roman" w:eastAsia="Times New Roman" w:hAnsi="Times New Roman" w:cs="Times New Roman"/>
                <w:sz w:val="24"/>
                <w:szCs w:val="24"/>
                <w:lang w:eastAsia="lv-LV"/>
              </w:rPr>
              <w:t>norise</w:t>
            </w:r>
            <w:r w:rsidRPr="00006932" w:rsidR="002E2726">
              <w:rPr>
                <w:rFonts w:ascii="Times New Roman" w:eastAsia="Times New Roman" w:hAnsi="Times New Roman" w:cs="Times New Roman"/>
                <w:sz w:val="24"/>
                <w:szCs w:val="24"/>
                <w:lang w:eastAsia="lv-LV"/>
              </w:rPr>
              <w:t xml:space="preserve"> ir saistīta ar iespējamu procesa ģeneralizāciju, </w:t>
            </w:r>
            <w:r w:rsidRPr="00006932" w:rsidR="002E2726">
              <w:rPr>
                <w:rFonts w:ascii="Times New Roman" w:eastAsia="Times New Roman" w:hAnsi="Times New Roman" w:cs="Times New Roman"/>
                <w:sz w:val="24"/>
                <w:szCs w:val="24"/>
                <w:lang w:eastAsia="lv-LV"/>
              </w:rPr>
              <w:t>psoriātiskā</w:t>
            </w:r>
            <w:r w:rsidRPr="00006932" w:rsidR="002E2726">
              <w:rPr>
                <w:rFonts w:ascii="Times New Roman" w:eastAsia="Times New Roman" w:hAnsi="Times New Roman" w:cs="Times New Roman"/>
                <w:sz w:val="24"/>
                <w:szCs w:val="24"/>
                <w:lang w:eastAsia="lv-LV"/>
              </w:rPr>
              <w:t xml:space="preserve"> artrīta </w:t>
            </w:r>
            <w:r w:rsidRPr="00006932" w:rsidR="000564C8">
              <w:rPr>
                <w:rFonts w:ascii="Times New Roman" w:eastAsia="Times New Roman" w:hAnsi="Times New Roman" w:cs="Times New Roman"/>
                <w:sz w:val="24"/>
                <w:szCs w:val="24"/>
                <w:lang w:eastAsia="lv-LV"/>
              </w:rPr>
              <w:t xml:space="preserve">un </w:t>
            </w:r>
            <w:r w:rsidRPr="00006932" w:rsidR="000564C8">
              <w:rPr>
                <w:rFonts w:ascii="Times New Roman" w:eastAsia="Times New Roman" w:hAnsi="Times New Roman" w:cs="Times New Roman"/>
                <w:sz w:val="24"/>
                <w:szCs w:val="24"/>
                <w:lang w:eastAsia="lv-LV"/>
              </w:rPr>
              <w:t>metabolā</w:t>
            </w:r>
            <w:r w:rsidRPr="00006932" w:rsidR="000564C8">
              <w:rPr>
                <w:rFonts w:ascii="Times New Roman" w:eastAsia="Times New Roman" w:hAnsi="Times New Roman" w:cs="Times New Roman"/>
                <w:sz w:val="24"/>
                <w:szCs w:val="24"/>
                <w:lang w:eastAsia="lv-LV"/>
              </w:rPr>
              <w:t xml:space="preserve"> sindroma attīstību.</w:t>
            </w:r>
          </w:p>
          <w:p w:rsidR="00016040"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Šķir divu veidu </w:t>
            </w:r>
            <w:r w:rsidRPr="00006932">
              <w:rPr>
                <w:rFonts w:ascii="Times New Roman" w:eastAsia="Times New Roman" w:hAnsi="Times New Roman" w:cs="Times New Roman"/>
                <w:sz w:val="24"/>
                <w:szCs w:val="24"/>
                <w:lang w:eastAsia="lv-LV"/>
              </w:rPr>
              <w:t>psoriāzes</w:t>
            </w:r>
            <w:r w:rsidRPr="00006932">
              <w:rPr>
                <w:rFonts w:ascii="Times New Roman" w:eastAsia="Times New Roman" w:hAnsi="Times New Roman" w:cs="Times New Roman"/>
                <w:sz w:val="24"/>
                <w:szCs w:val="24"/>
                <w:lang w:eastAsia="lv-LV"/>
              </w:rPr>
              <w:t xml:space="preserve"> tipus: 1. tips - slimība manifestējas līdz 40 gadu vecumam, sasniedzot maksimumu mūža otrā pusē. Šā tipa slimniekiem biežāk ir </w:t>
            </w:r>
            <w:r w:rsidRPr="00006932">
              <w:rPr>
                <w:rFonts w:ascii="Times New Roman" w:eastAsia="Times New Roman" w:hAnsi="Times New Roman" w:cs="Times New Roman"/>
                <w:sz w:val="24"/>
                <w:szCs w:val="24"/>
                <w:lang w:eastAsia="lv-LV"/>
              </w:rPr>
              <w:t>psoriātiskais</w:t>
            </w:r>
            <w:r w:rsidRPr="00006932">
              <w:rPr>
                <w:rFonts w:ascii="Times New Roman" w:eastAsia="Times New Roman" w:hAnsi="Times New Roman" w:cs="Times New Roman"/>
                <w:sz w:val="24"/>
                <w:szCs w:val="24"/>
                <w:lang w:eastAsia="lv-LV"/>
              </w:rPr>
              <w:t xml:space="preserve"> artrīts. 2. tips - slimība attīstās pēc 40 gadu vecuma un maksimumu sasniedz 60 gadu vecumā. Slimības gaita parasti ir viegla.</w:t>
            </w:r>
          </w:p>
          <w:p w:rsidR="00016040" w:rsidRPr="00006932" w:rsidP="002B22B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V</w:t>
            </w:r>
            <w:r w:rsidRPr="00006932" w:rsidR="00C05238">
              <w:rPr>
                <w:rFonts w:ascii="Times New Roman" w:eastAsia="Times New Roman" w:hAnsi="Times New Roman" w:cs="Times New Roman"/>
                <w:sz w:val="24"/>
                <w:szCs w:val="24"/>
                <w:lang w:eastAsia="lv-LV"/>
              </w:rPr>
              <w:t>ērtē</w:t>
            </w:r>
            <w:r w:rsidRPr="00006932">
              <w:rPr>
                <w:rFonts w:ascii="Times New Roman" w:eastAsia="Times New Roman" w:hAnsi="Times New Roman" w:cs="Times New Roman"/>
                <w:sz w:val="24"/>
                <w:szCs w:val="24"/>
                <w:lang w:eastAsia="lv-LV"/>
              </w:rPr>
              <w:t>jot</w:t>
            </w:r>
            <w:r w:rsidRPr="00006932" w:rsidR="00C05238">
              <w:rPr>
                <w:rFonts w:ascii="Times New Roman" w:eastAsia="Times New Roman" w:hAnsi="Times New Roman" w:cs="Times New Roman"/>
                <w:sz w:val="24"/>
                <w:szCs w:val="24"/>
                <w:lang w:eastAsia="lv-LV"/>
              </w:rPr>
              <w:t xml:space="preserve"> </w:t>
            </w:r>
            <w:r w:rsidRPr="00006932" w:rsidR="00C05238">
              <w:rPr>
                <w:rFonts w:ascii="Times New Roman" w:eastAsia="Times New Roman" w:hAnsi="Times New Roman" w:cs="Times New Roman"/>
                <w:sz w:val="24"/>
                <w:szCs w:val="24"/>
                <w:lang w:eastAsia="lv-LV"/>
              </w:rPr>
              <w:t>psoriāzes</w:t>
            </w:r>
            <w:r w:rsidRPr="00006932" w:rsidR="00C05238">
              <w:rPr>
                <w:rFonts w:ascii="Times New Roman" w:eastAsia="Times New Roman" w:hAnsi="Times New Roman" w:cs="Times New Roman"/>
                <w:sz w:val="24"/>
                <w:szCs w:val="24"/>
                <w:lang w:eastAsia="lv-LV"/>
              </w:rPr>
              <w:t xml:space="preserve"> ietekmi uz pacienta dzīves kvalitāti</w:t>
            </w:r>
            <w:r w:rsidRPr="00006932">
              <w:rPr>
                <w:rFonts w:ascii="Times New Roman" w:eastAsia="Times New Roman" w:hAnsi="Times New Roman" w:cs="Times New Roman"/>
                <w:sz w:val="24"/>
                <w:szCs w:val="24"/>
                <w:lang w:eastAsia="lv-LV"/>
              </w:rPr>
              <w:t xml:space="preserve"> secināts, ka g</w:t>
            </w:r>
            <w:r w:rsidRPr="00006932" w:rsidR="00C05238">
              <w:rPr>
                <w:rFonts w:ascii="Times New Roman" w:eastAsia="Times New Roman" w:hAnsi="Times New Roman" w:cs="Times New Roman"/>
                <w:sz w:val="24"/>
                <w:szCs w:val="24"/>
                <w:lang w:eastAsia="lv-LV"/>
              </w:rPr>
              <w:t xml:space="preserve">alvenie traumējošie faktori ir sāpes, diskomforts, fiziski bojājumi un stress, nespēja paredzēt un kontrolēt slimības uzliesmojumus. Hroniskā un </w:t>
            </w:r>
            <w:r w:rsidRPr="00006932" w:rsidR="00C05238">
              <w:rPr>
                <w:rFonts w:ascii="Times New Roman" w:eastAsia="Times New Roman" w:hAnsi="Times New Roman" w:cs="Times New Roman"/>
                <w:sz w:val="24"/>
                <w:szCs w:val="24"/>
                <w:lang w:eastAsia="lv-LV"/>
              </w:rPr>
              <w:t>recidivējošā</w:t>
            </w:r>
            <w:r w:rsidRPr="00006932" w:rsidR="00C05238">
              <w:rPr>
                <w:rFonts w:ascii="Times New Roman" w:eastAsia="Times New Roman" w:hAnsi="Times New Roman" w:cs="Times New Roman"/>
                <w:sz w:val="24"/>
                <w:szCs w:val="24"/>
                <w:lang w:eastAsia="lv-LV"/>
              </w:rPr>
              <w:t xml:space="preserve"> slimības gaita var izraisīt bezcerību attiecībā uz ārstēšanas panākumu. Pašnāvnieciskas vēlmes atzīmē līdz pat 9,7% pacientu, kas slimo ar </w:t>
            </w:r>
            <w:r w:rsidRPr="00006932" w:rsidR="00C05238">
              <w:rPr>
                <w:rFonts w:ascii="Times New Roman" w:eastAsia="Times New Roman" w:hAnsi="Times New Roman" w:cs="Times New Roman"/>
                <w:sz w:val="24"/>
                <w:szCs w:val="24"/>
                <w:lang w:eastAsia="lv-LV"/>
              </w:rPr>
              <w:t>psoriāzi</w:t>
            </w:r>
            <w:r w:rsidRPr="00006932" w:rsidR="00C05238">
              <w:rPr>
                <w:rFonts w:ascii="Times New Roman" w:eastAsia="Times New Roman" w:hAnsi="Times New Roman" w:cs="Times New Roman"/>
                <w:sz w:val="24"/>
                <w:szCs w:val="24"/>
                <w:lang w:eastAsia="lv-LV"/>
              </w:rPr>
              <w:t>.</w:t>
            </w:r>
            <w:r w:rsidRPr="00006932">
              <w:rPr>
                <w:rFonts w:ascii="Times New Roman" w:eastAsia="Times New Roman" w:hAnsi="Times New Roman" w:cs="Times New Roman"/>
                <w:sz w:val="24"/>
                <w:szCs w:val="24"/>
                <w:lang w:eastAsia="lv-LV"/>
              </w:rPr>
              <w:t xml:space="preserve"> </w:t>
            </w:r>
          </w:p>
          <w:p w:rsidR="009051DE" w:rsidRPr="00006932" w:rsidP="00082634">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Vieglas un vidēji smagas formas gadījumā </w:t>
            </w:r>
            <w:r w:rsidRPr="00006932">
              <w:rPr>
                <w:rFonts w:ascii="Times New Roman" w:eastAsia="Times New Roman" w:hAnsi="Times New Roman" w:cs="Times New Roman"/>
                <w:sz w:val="24"/>
                <w:szCs w:val="24"/>
                <w:lang w:eastAsia="lv-LV"/>
              </w:rPr>
              <w:t>psoriāzi</w:t>
            </w:r>
            <w:r w:rsidRPr="00006932">
              <w:rPr>
                <w:rFonts w:ascii="Times New Roman" w:eastAsia="Times New Roman" w:hAnsi="Times New Roman" w:cs="Times New Roman"/>
                <w:sz w:val="24"/>
                <w:szCs w:val="24"/>
                <w:lang w:eastAsia="lv-LV"/>
              </w:rPr>
              <w:t xml:space="preserve"> kontrolē ar lokālo terapiju. Smagas formas un komplikāciju gadījumā slimības kontrolei nepieciešama sistēmiskā terapija. </w:t>
            </w:r>
            <w:r w:rsidRPr="00006932" w:rsidR="00C05238">
              <w:rPr>
                <w:rFonts w:ascii="Times New Roman" w:eastAsia="Times New Roman" w:hAnsi="Times New Roman" w:cs="Times New Roman"/>
                <w:sz w:val="24"/>
                <w:szCs w:val="24"/>
                <w:lang w:eastAsia="lv-LV"/>
              </w:rPr>
              <w:t xml:space="preserve">Neārstēta </w:t>
            </w:r>
            <w:r w:rsidRPr="00006932" w:rsidR="00C05238">
              <w:rPr>
                <w:rFonts w:ascii="Times New Roman" w:eastAsia="Times New Roman" w:hAnsi="Times New Roman" w:cs="Times New Roman"/>
                <w:sz w:val="24"/>
                <w:szCs w:val="24"/>
                <w:lang w:eastAsia="lv-LV"/>
              </w:rPr>
              <w:t>psoriātiskā</w:t>
            </w:r>
            <w:r w:rsidRPr="00006932" w:rsidR="00C05238">
              <w:rPr>
                <w:rFonts w:ascii="Times New Roman" w:eastAsia="Times New Roman" w:hAnsi="Times New Roman" w:cs="Times New Roman"/>
                <w:sz w:val="24"/>
                <w:szCs w:val="24"/>
                <w:lang w:eastAsia="lv-LV"/>
              </w:rPr>
              <w:t xml:space="preserve"> artrīta gadījumā mēdz veidoties smagas locītavu deformācijas un locītavu funkcionāli traucējumi. Smagi un komplicēti norisošās slimības formas, īpaši </w:t>
            </w:r>
            <w:r w:rsidRPr="00006932" w:rsidR="00C05238">
              <w:rPr>
                <w:rFonts w:ascii="Times New Roman" w:eastAsia="Times New Roman" w:hAnsi="Times New Roman" w:cs="Times New Roman"/>
                <w:sz w:val="24"/>
                <w:szCs w:val="24"/>
                <w:lang w:eastAsia="lv-LV"/>
              </w:rPr>
              <w:t>eritrodermija</w:t>
            </w:r>
            <w:r w:rsidRPr="00006932" w:rsidR="00C05238">
              <w:rPr>
                <w:rFonts w:ascii="Times New Roman" w:eastAsia="Times New Roman" w:hAnsi="Times New Roman" w:cs="Times New Roman"/>
                <w:sz w:val="24"/>
                <w:szCs w:val="24"/>
                <w:lang w:eastAsia="lv-LV"/>
              </w:rPr>
              <w:t xml:space="preserve">, ievērojami pasliktina vispārējo stāvokli un rada pārmaiņas un funkcionālus traucējumus citos orgānos, var attīstīties kaheksija. </w:t>
            </w:r>
            <w:r w:rsidRPr="00006932" w:rsidR="00C05238">
              <w:rPr>
                <w:rFonts w:ascii="Times New Roman" w:eastAsia="Times New Roman" w:hAnsi="Times New Roman" w:cs="Times New Roman"/>
                <w:sz w:val="24"/>
                <w:szCs w:val="24"/>
                <w:lang w:eastAsia="lv-LV"/>
              </w:rPr>
              <w:t>Eksfoliatīva</w:t>
            </w:r>
            <w:r w:rsidRPr="00006932" w:rsidR="00C05238">
              <w:rPr>
                <w:rFonts w:ascii="Times New Roman" w:eastAsia="Times New Roman" w:hAnsi="Times New Roman" w:cs="Times New Roman"/>
                <w:sz w:val="24"/>
                <w:szCs w:val="24"/>
                <w:lang w:eastAsia="lv-LV"/>
              </w:rPr>
              <w:t xml:space="preserve"> </w:t>
            </w:r>
            <w:r w:rsidRPr="00006932" w:rsidR="00C05238">
              <w:rPr>
                <w:rFonts w:ascii="Times New Roman" w:eastAsia="Times New Roman" w:hAnsi="Times New Roman" w:cs="Times New Roman"/>
                <w:sz w:val="24"/>
                <w:szCs w:val="24"/>
                <w:lang w:eastAsia="lv-LV"/>
              </w:rPr>
              <w:t>psoriātiska</w:t>
            </w:r>
            <w:r w:rsidRPr="00006932" w:rsidR="00C05238">
              <w:rPr>
                <w:rFonts w:ascii="Times New Roman" w:eastAsia="Times New Roman" w:hAnsi="Times New Roman" w:cs="Times New Roman"/>
                <w:sz w:val="24"/>
                <w:szCs w:val="24"/>
                <w:lang w:eastAsia="lv-LV"/>
              </w:rPr>
              <w:t xml:space="preserve"> </w:t>
            </w:r>
            <w:r w:rsidRPr="00006932" w:rsidR="00C05238">
              <w:rPr>
                <w:rFonts w:ascii="Times New Roman" w:eastAsia="Times New Roman" w:hAnsi="Times New Roman" w:cs="Times New Roman"/>
                <w:sz w:val="24"/>
                <w:szCs w:val="24"/>
                <w:lang w:eastAsia="lv-LV"/>
              </w:rPr>
              <w:t>eritrodermija</w:t>
            </w:r>
            <w:r w:rsidRPr="00006932" w:rsidR="00C05238">
              <w:rPr>
                <w:rFonts w:ascii="Times New Roman" w:eastAsia="Times New Roman" w:hAnsi="Times New Roman" w:cs="Times New Roman"/>
                <w:sz w:val="24"/>
                <w:szCs w:val="24"/>
                <w:lang w:eastAsia="lv-LV"/>
              </w:rPr>
              <w:t xml:space="preserve"> var beigties letāli komplikāciju dēļ.</w:t>
            </w:r>
          </w:p>
          <w:p w:rsidR="00082634" w:rsidRPr="00006932" w:rsidP="0008263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006932" w:rsidR="009051DE">
              <w:rPr>
                <w:rFonts w:ascii="Times New Roman" w:eastAsia="Times New Roman" w:hAnsi="Times New Roman" w:cs="Times New Roman"/>
                <w:sz w:val="24"/>
                <w:szCs w:val="24"/>
                <w:lang w:eastAsia="lv-LV"/>
              </w:rPr>
              <w:t>4. </w:t>
            </w:r>
            <w:r w:rsidRPr="00006932">
              <w:rPr>
                <w:rFonts w:ascii="Times New Roman" w:eastAsia="Times New Roman" w:hAnsi="Times New Roman" w:cs="Times New Roman"/>
                <w:sz w:val="24"/>
                <w:szCs w:val="24"/>
                <w:lang w:eastAsia="lv-LV"/>
              </w:rPr>
              <w:t xml:space="preserve">Noteikumu Nr.899 1.pielikumā “Slimības, kuru ārstēšanai paredzēto zāļu un medicīnisko ierīču iegādes izdevumi tiek kompensēti” norādīts katras slimības gadījumā piemērotais kompensācijas apmērs. </w:t>
            </w:r>
            <w:r w:rsidRPr="00006932">
              <w:rPr>
                <w:rFonts w:ascii="Times New Roman" w:eastAsia="Times New Roman" w:hAnsi="Times New Roman" w:cs="Times New Roman"/>
                <w:b/>
                <w:sz w:val="24"/>
                <w:szCs w:val="24"/>
                <w:lang w:eastAsia="lv-LV"/>
              </w:rPr>
              <w:t xml:space="preserve">Diagnozēm </w:t>
            </w:r>
            <w:r w:rsidRPr="00006932">
              <w:rPr>
                <w:rFonts w:ascii="Times New Roman" w:eastAsia="Times New Roman" w:hAnsi="Times New Roman" w:cs="Times New Roman"/>
                <w:b/>
                <w:i/>
                <w:sz w:val="24"/>
                <w:szCs w:val="24"/>
                <w:lang w:eastAsia="lv-LV"/>
              </w:rPr>
              <w:t>K50 Krona (</w:t>
            </w:r>
            <w:r w:rsidRPr="00006932">
              <w:rPr>
                <w:rFonts w:ascii="Times New Roman" w:eastAsia="Times New Roman" w:hAnsi="Times New Roman" w:cs="Times New Roman"/>
                <w:b/>
                <w:i/>
                <w:sz w:val="24"/>
                <w:szCs w:val="24"/>
                <w:lang w:eastAsia="lv-LV"/>
              </w:rPr>
              <w:t>Crohn</w:t>
            </w:r>
            <w:r w:rsidRPr="00006932">
              <w:rPr>
                <w:rFonts w:ascii="Times New Roman" w:eastAsia="Times New Roman" w:hAnsi="Times New Roman" w:cs="Times New Roman"/>
                <w:b/>
                <w:i/>
                <w:sz w:val="24"/>
                <w:szCs w:val="24"/>
                <w:lang w:eastAsia="lv-LV"/>
              </w:rPr>
              <w:t>) slimība (reģionālais enterīts)</w:t>
            </w:r>
            <w:r w:rsidRPr="00006932">
              <w:rPr>
                <w:rFonts w:ascii="Times New Roman" w:eastAsia="Times New Roman" w:hAnsi="Times New Roman" w:cs="Times New Roman"/>
                <w:b/>
                <w:sz w:val="24"/>
                <w:szCs w:val="24"/>
                <w:lang w:eastAsia="lv-LV"/>
              </w:rPr>
              <w:t xml:space="preserve">, </w:t>
            </w:r>
            <w:r w:rsidRPr="00006932">
              <w:rPr>
                <w:rFonts w:ascii="Times New Roman" w:eastAsia="Times New Roman" w:hAnsi="Times New Roman" w:cs="Times New Roman"/>
                <w:b/>
                <w:i/>
                <w:sz w:val="24"/>
                <w:szCs w:val="24"/>
                <w:lang w:eastAsia="lv-LV"/>
              </w:rPr>
              <w:t>K51 Čūlains (</w:t>
            </w:r>
            <w:r w:rsidRPr="00006932">
              <w:rPr>
                <w:rFonts w:ascii="Times New Roman" w:eastAsia="Times New Roman" w:hAnsi="Times New Roman" w:cs="Times New Roman"/>
                <w:b/>
                <w:i/>
                <w:sz w:val="24"/>
                <w:szCs w:val="24"/>
                <w:lang w:eastAsia="lv-LV"/>
              </w:rPr>
              <w:t>ulcerozs</w:t>
            </w:r>
            <w:r w:rsidRPr="00006932">
              <w:rPr>
                <w:rFonts w:ascii="Times New Roman" w:eastAsia="Times New Roman" w:hAnsi="Times New Roman" w:cs="Times New Roman"/>
                <w:b/>
                <w:i/>
                <w:sz w:val="24"/>
                <w:szCs w:val="24"/>
                <w:lang w:eastAsia="lv-LV"/>
              </w:rPr>
              <w:t>) kolīts</w:t>
            </w:r>
            <w:r w:rsidRPr="00006932">
              <w:rPr>
                <w:rFonts w:ascii="Times New Roman" w:eastAsia="Times New Roman" w:hAnsi="Times New Roman" w:cs="Times New Roman"/>
                <w:b/>
                <w:sz w:val="24"/>
                <w:szCs w:val="24"/>
                <w:lang w:eastAsia="lv-LV"/>
              </w:rPr>
              <w:t xml:space="preserve"> un </w:t>
            </w:r>
            <w:r w:rsidRPr="00006932">
              <w:rPr>
                <w:rFonts w:ascii="Times New Roman" w:eastAsia="Times New Roman" w:hAnsi="Times New Roman" w:cs="Times New Roman"/>
                <w:b/>
                <w:i/>
                <w:sz w:val="24"/>
                <w:szCs w:val="24"/>
                <w:lang w:eastAsia="lv-LV"/>
              </w:rPr>
              <w:t xml:space="preserve">L40 </w:t>
            </w:r>
            <w:r w:rsidRPr="00006932">
              <w:rPr>
                <w:rFonts w:ascii="Times New Roman" w:eastAsia="Times New Roman" w:hAnsi="Times New Roman" w:cs="Times New Roman"/>
                <w:b/>
                <w:i/>
                <w:sz w:val="24"/>
                <w:szCs w:val="24"/>
                <w:lang w:eastAsia="lv-LV"/>
              </w:rPr>
              <w:t>Zvīņēde</w:t>
            </w:r>
            <w:r w:rsidRPr="00006932">
              <w:rPr>
                <w:rFonts w:ascii="Times New Roman" w:eastAsia="Times New Roman" w:hAnsi="Times New Roman" w:cs="Times New Roman"/>
                <w:b/>
                <w:i/>
                <w:sz w:val="24"/>
                <w:szCs w:val="24"/>
                <w:lang w:eastAsia="lv-LV"/>
              </w:rPr>
              <w:t xml:space="preserve"> (</w:t>
            </w:r>
            <w:r w:rsidRPr="00006932">
              <w:rPr>
                <w:rFonts w:ascii="Times New Roman" w:eastAsia="Times New Roman" w:hAnsi="Times New Roman" w:cs="Times New Roman"/>
                <w:b/>
                <w:i/>
                <w:sz w:val="24"/>
                <w:szCs w:val="24"/>
                <w:lang w:eastAsia="lv-LV"/>
              </w:rPr>
              <w:t>psoriasis</w:t>
            </w:r>
            <w:r w:rsidRPr="00006932">
              <w:rPr>
                <w:rFonts w:ascii="Times New Roman" w:eastAsia="Times New Roman" w:hAnsi="Times New Roman" w:cs="Times New Roman"/>
                <w:b/>
                <w:i/>
                <w:sz w:val="24"/>
                <w:szCs w:val="24"/>
                <w:lang w:eastAsia="lv-LV"/>
              </w:rPr>
              <w:t>)</w:t>
            </w:r>
            <w:r w:rsidRPr="00006932">
              <w:rPr>
                <w:rFonts w:ascii="Times New Roman" w:eastAsia="Times New Roman" w:hAnsi="Times New Roman" w:cs="Times New Roman"/>
                <w:b/>
                <w:sz w:val="24"/>
                <w:szCs w:val="24"/>
                <w:lang w:eastAsia="lv-LV"/>
              </w:rPr>
              <w:t xml:space="preserve"> pašreiz noteiktais kompensācijas apmērs ir 75%</w:t>
            </w:r>
            <w:r w:rsidRPr="00006932" w:rsidR="009051DE">
              <w:rPr>
                <w:rFonts w:ascii="Times New Roman" w:eastAsia="Times New Roman" w:hAnsi="Times New Roman" w:cs="Times New Roman"/>
                <w:sz w:val="24"/>
                <w:szCs w:val="24"/>
                <w:lang w:eastAsia="lv-LV"/>
              </w:rPr>
              <w:t xml:space="preserve">. Citām noteikumu Nr.899 1.pielikumā iekļautām </w:t>
            </w:r>
            <w:r w:rsidRPr="00006932" w:rsidR="009051DE">
              <w:rPr>
                <w:rFonts w:ascii="Times New Roman" w:eastAsia="Times New Roman" w:hAnsi="Times New Roman" w:cs="Times New Roman"/>
                <w:sz w:val="24"/>
                <w:szCs w:val="24"/>
                <w:lang w:eastAsia="lv-LV"/>
              </w:rPr>
              <w:t>invalidizējošām</w:t>
            </w:r>
            <w:r w:rsidRPr="00006932" w:rsidR="009051DE">
              <w:rPr>
                <w:rFonts w:ascii="Times New Roman" w:eastAsia="Times New Roman" w:hAnsi="Times New Roman" w:cs="Times New Roman"/>
                <w:sz w:val="24"/>
                <w:szCs w:val="24"/>
                <w:lang w:eastAsia="lv-LV"/>
              </w:rPr>
              <w:t xml:space="preserve"> slimībām ar līdzīgu izcelsmes mehānismu (</w:t>
            </w:r>
            <w:r w:rsidRPr="00006932" w:rsidR="009051DE">
              <w:rPr>
                <w:rFonts w:ascii="Times New Roman" w:eastAsia="Times New Roman" w:hAnsi="Times New Roman" w:cs="Times New Roman"/>
                <w:i/>
                <w:sz w:val="24"/>
                <w:szCs w:val="24"/>
                <w:lang w:eastAsia="lv-LV"/>
              </w:rPr>
              <w:t xml:space="preserve">M05 </w:t>
            </w:r>
            <w:r w:rsidRPr="00006932" w:rsidR="009051DE">
              <w:rPr>
                <w:rFonts w:ascii="Times New Roman" w:eastAsia="Times New Roman" w:hAnsi="Times New Roman" w:cs="Times New Roman"/>
                <w:i/>
                <w:sz w:val="24"/>
                <w:szCs w:val="24"/>
                <w:lang w:eastAsia="lv-LV"/>
              </w:rPr>
              <w:t>Seropozitīvs</w:t>
            </w:r>
            <w:r w:rsidRPr="00006932" w:rsidR="009051DE">
              <w:rPr>
                <w:rFonts w:ascii="Times New Roman" w:eastAsia="Times New Roman" w:hAnsi="Times New Roman" w:cs="Times New Roman"/>
                <w:i/>
                <w:sz w:val="24"/>
                <w:szCs w:val="24"/>
                <w:lang w:eastAsia="lv-LV"/>
              </w:rPr>
              <w:t xml:space="preserve"> </w:t>
            </w:r>
            <w:r w:rsidRPr="00006932" w:rsidR="009051DE">
              <w:rPr>
                <w:rFonts w:ascii="Times New Roman" w:eastAsia="Times New Roman" w:hAnsi="Times New Roman" w:cs="Times New Roman"/>
                <w:i/>
                <w:sz w:val="24"/>
                <w:szCs w:val="24"/>
                <w:lang w:eastAsia="lv-LV"/>
              </w:rPr>
              <w:t>reimatoīdais</w:t>
            </w:r>
            <w:r w:rsidRPr="00006932" w:rsidR="009051DE">
              <w:rPr>
                <w:rFonts w:ascii="Times New Roman" w:eastAsia="Times New Roman" w:hAnsi="Times New Roman" w:cs="Times New Roman"/>
                <w:i/>
                <w:sz w:val="24"/>
                <w:szCs w:val="24"/>
                <w:lang w:eastAsia="lv-LV"/>
              </w:rPr>
              <w:t xml:space="preserve"> artrīts, M08 </w:t>
            </w:r>
            <w:r w:rsidRPr="00006932" w:rsidR="009051DE">
              <w:rPr>
                <w:rFonts w:ascii="Times New Roman" w:eastAsia="Times New Roman" w:hAnsi="Times New Roman" w:cs="Times New Roman"/>
                <w:i/>
                <w:sz w:val="24"/>
                <w:szCs w:val="24"/>
                <w:lang w:eastAsia="lv-LV"/>
              </w:rPr>
              <w:t>Juvenilais</w:t>
            </w:r>
            <w:r w:rsidRPr="00006932" w:rsidR="009051DE">
              <w:rPr>
                <w:rFonts w:ascii="Times New Roman" w:eastAsia="Times New Roman" w:hAnsi="Times New Roman" w:cs="Times New Roman"/>
                <w:i/>
                <w:sz w:val="24"/>
                <w:szCs w:val="24"/>
                <w:lang w:eastAsia="lv-LV"/>
              </w:rPr>
              <w:t xml:space="preserve"> artrīts</w:t>
            </w:r>
            <w:r w:rsidRPr="00006932" w:rsidR="009051DE">
              <w:rPr>
                <w:rFonts w:ascii="Times New Roman" w:eastAsia="Times New Roman" w:hAnsi="Times New Roman" w:cs="Times New Roman"/>
                <w:sz w:val="24"/>
                <w:szCs w:val="24"/>
                <w:lang w:eastAsia="lv-LV"/>
              </w:rPr>
              <w:t xml:space="preserve"> u.c.) tiek nodrošināta zāļ</w:t>
            </w:r>
            <w:r w:rsidRPr="00006932" w:rsidR="006B3988">
              <w:rPr>
                <w:rFonts w:ascii="Times New Roman" w:eastAsia="Times New Roman" w:hAnsi="Times New Roman" w:cs="Times New Roman"/>
                <w:sz w:val="24"/>
                <w:szCs w:val="24"/>
                <w:lang w:eastAsia="lv-LV"/>
              </w:rPr>
              <w:t xml:space="preserve">u kompensācija 100% apmērā, </w:t>
            </w:r>
            <w:r w:rsidRPr="00006932" w:rsidR="008B5700">
              <w:rPr>
                <w:rFonts w:ascii="Times New Roman" w:eastAsia="Times New Roman" w:hAnsi="Times New Roman" w:cs="Times New Roman"/>
                <w:sz w:val="24"/>
                <w:szCs w:val="24"/>
                <w:lang w:eastAsia="lv-LV"/>
              </w:rPr>
              <w:t xml:space="preserve">tādējādi salīdzināmu slimību pacienti atrodas nevienlīdzīgā situācijā. </w:t>
            </w:r>
          </w:p>
          <w:p w:rsidR="007F23C7" w:rsidRPr="00006932" w:rsidP="00082634">
            <w:pPr>
              <w:spacing w:after="120" w:line="240" w:lineRule="auto"/>
              <w:jc w:val="both"/>
              <w:rPr>
                <w:rFonts w:ascii="Times New Roman" w:eastAsia="Times New Roman" w:hAnsi="Times New Roman" w:cs="Times New Roman"/>
                <w:bCs/>
                <w:iCs/>
                <w:sz w:val="24"/>
                <w:szCs w:val="24"/>
                <w:lang w:eastAsia="lv-LV"/>
              </w:rPr>
            </w:pPr>
            <w:r w:rsidRPr="00006932">
              <w:rPr>
                <w:rFonts w:ascii="Times New Roman" w:eastAsia="Times New Roman" w:hAnsi="Times New Roman" w:cs="Times New Roman"/>
                <w:sz w:val="24"/>
                <w:szCs w:val="24"/>
                <w:lang w:eastAsia="lv-LV"/>
              </w:rPr>
              <w:t xml:space="preserve">Ārstēšanās izmaksas ir saistītas ar pacientu </w:t>
            </w:r>
            <w:r w:rsidRPr="00006932">
              <w:rPr>
                <w:rFonts w:ascii="Times New Roman" w:eastAsia="Times New Roman" w:hAnsi="Times New Roman" w:cs="Times New Roman"/>
                <w:sz w:val="24"/>
                <w:szCs w:val="24"/>
                <w:lang w:eastAsia="lv-LV"/>
              </w:rPr>
              <w:t>līdzestību</w:t>
            </w:r>
            <w:r w:rsidRPr="00006932">
              <w:rPr>
                <w:rFonts w:ascii="Times New Roman" w:eastAsia="Times New Roman" w:hAnsi="Times New Roman" w:cs="Times New Roman"/>
                <w:sz w:val="24"/>
                <w:szCs w:val="24"/>
                <w:lang w:eastAsia="lv-LV"/>
              </w:rPr>
              <w:t xml:space="preserve"> ārstēšanai. </w:t>
            </w:r>
            <w:r w:rsidRPr="00006932" w:rsidR="007D07D9">
              <w:rPr>
                <w:rFonts w:ascii="Times New Roman" w:eastAsia="Times New Roman" w:hAnsi="Times New Roman" w:cs="Times New Roman"/>
                <w:sz w:val="24"/>
                <w:szCs w:val="24"/>
                <w:lang w:eastAsia="lv-LV"/>
              </w:rPr>
              <w:t xml:space="preserve">Saskaņā ar </w:t>
            </w:r>
            <w:r w:rsidRPr="00006932" w:rsidR="007D07D9">
              <w:rPr>
                <w:rFonts w:ascii="Times New Roman" w:eastAsia="Times New Roman" w:hAnsi="Times New Roman" w:cs="Times New Roman"/>
                <w:bCs/>
                <w:sz w:val="24"/>
                <w:szCs w:val="24"/>
                <w:lang w:eastAsia="lv-LV"/>
              </w:rPr>
              <w:t xml:space="preserve">SKDS aptaujas datiem (2014., zemāk </w:t>
            </w:r>
            <w:r w:rsidRPr="00006932">
              <w:rPr>
                <w:rFonts w:ascii="Times New Roman" w:eastAsia="Times New Roman" w:hAnsi="Times New Roman" w:cs="Times New Roman"/>
                <w:bCs/>
                <w:sz w:val="24"/>
                <w:szCs w:val="24"/>
                <w:lang w:eastAsia="lv-LV"/>
              </w:rPr>
              <w:t xml:space="preserve">skatīt </w:t>
            </w:r>
            <w:r w:rsidRPr="00006932" w:rsidR="007D07D9">
              <w:rPr>
                <w:rFonts w:ascii="Times New Roman" w:eastAsia="Times New Roman" w:hAnsi="Times New Roman" w:cs="Times New Roman"/>
                <w:bCs/>
                <w:sz w:val="24"/>
                <w:szCs w:val="24"/>
                <w:lang w:eastAsia="lv-LV"/>
              </w:rPr>
              <w:t xml:space="preserve">respondentu atbilžu </w:t>
            </w:r>
            <w:r w:rsidRPr="00006932" w:rsidR="007D07D9">
              <w:rPr>
                <w:rFonts w:ascii="Times New Roman" w:eastAsia="Times New Roman" w:hAnsi="Times New Roman" w:cs="Times New Roman"/>
                <w:bCs/>
                <w:sz w:val="24"/>
                <w:szCs w:val="24"/>
                <w:lang w:eastAsia="lv-LV"/>
              </w:rPr>
              <w:t>vizualizāciju</w:t>
            </w:r>
            <w:r w:rsidRPr="00006932" w:rsidR="007D07D9">
              <w:rPr>
                <w:rFonts w:ascii="Times New Roman" w:eastAsia="Times New Roman" w:hAnsi="Times New Roman" w:cs="Times New Roman"/>
                <w:bCs/>
                <w:sz w:val="24"/>
                <w:szCs w:val="24"/>
                <w:lang w:eastAsia="lv-LV"/>
              </w:rPr>
              <w:t xml:space="preserve">) 30% iedzīvotāju vecumā virs 62 gadiem ir apstiprinoši atbildējuši uz jautājumu: </w:t>
            </w:r>
            <w:r w:rsidRPr="00006932" w:rsidR="007D07D9">
              <w:rPr>
                <w:rFonts w:ascii="Times New Roman" w:eastAsia="Times New Roman" w:hAnsi="Times New Roman" w:cs="Times New Roman"/>
                <w:bCs/>
                <w:i/>
                <w:iCs/>
                <w:sz w:val="24"/>
                <w:szCs w:val="24"/>
                <w:lang w:eastAsia="lv-LV"/>
              </w:rPr>
              <w:t>Vai pēdējo 12 mēnešu laikā Jums ir bijuši gadījumi, kad Jūs neesat lietojis/-</w:t>
            </w:r>
            <w:r w:rsidRPr="00006932" w:rsidR="007D07D9">
              <w:rPr>
                <w:rFonts w:ascii="Times New Roman" w:eastAsia="Times New Roman" w:hAnsi="Times New Roman" w:cs="Times New Roman"/>
                <w:bCs/>
                <w:i/>
                <w:iCs/>
                <w:sz w:val="24"/>
                <w:szCs w:val="24"/>
                <w:lang w:eastAsia="lv-LV"/>
              </w:rPr>
              <w:t>usi</w:t>
            </w:r>
            <w:r w:rsidRPr="00006932" w:rsidR="007D07D9">
              <w:rPr>
                <w:rFonts w:ascii="Times New Roman" w:eastAsia="Times New Roman" w:hAnsi="Times New Roman" w:cs="Times New Roman"/>
                <w:bCs/>
                <w:i/>
                <w:iCs/>
                <w:sz w:val="24"/>
                <w:szCs w:val="24"/>
                <w:lang w:eastAsia="lv-LV"/>
              </w:rPr>
              <w:t xml:space="preserve"> kādas Jums izrakstītas zāles (nemaz vai tikai daļējā apjomā) tikai tāpēc, ka šo zāļu iegādi Jūs nevarējāt atļauties – tās bija pārāk dārgas?</w:t>
            </w:r>
            <w:r w:rsidRPr="00006932">
              <w:rPr>
                <w:rFonts w:ascii="Times New Roman" w:eastAsia="Times New Roman" w:hAnsi="Times New Roman" w:cs="Times New Roman"/>
                <w:bCs/>
                <w:iCs/>
                <w:sz w:val="24"/>
                <w:szCs w:val="24"/>
                <w:lang w:eastAsia="lv-LV"/>
              </w:rPr>
              <w:t xml:space="preserve"> </w:t>
            </w:r>
          </w:p>
          <w:p w:rsidR="007F23C7" w:rsidRPr="00006932" w:rsidP="00270DE4">
            <w:pPr>
              <w:spacing w:after="120" w:line="240" w:lineRule="auto"/>
              <w:jc w:val="center"/>
              <w:rPr>
                <w:rFonts w:ascii="Times New Roman" w:eastAsia="Times New Roman" w:hAnsi="Times New Roman" w:cs="Times New Roman"/>
                <w:bCs/>
                <w:iCs/>
                <w:sz w:val="24"/>
                <w:szCs w:val="24"/>
                <w:lang w:eastAsia="lv-LV"/>
              </w:rPr>
            </w:pPr>
            <w:r w:rsidRPr="00006932">
              <w:rPr>
                <w:rFonts w:ascii="Times New Roman" w:eastAsia="Times New Roman" w:hAnsi="Times New Roman" w:cs="Times New Roman"/>
                <w:noProof/>
                <w:sz w:val="24"/>
                <w:szCs w:val="24"/>
                <w:lang w:eastAsia="lv-LV"/>
              </w:rPr>
              <w:drawing>
                <wp:inline distT="0" distB="0" distL="0" distR="0">
                  <wp:extent cx="3209925" cy="18606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30495"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209925" cy="1860691"/>
                          </a:xfrm>
                          <a:prstGeom prst="rect">
                            <a:avLst/>
                          </a:prstGeom>
                          <a:noFill/>
                        </pic:spPr>
                      </pic:pic>
                    </a:graphicData>
                  </a:graphic>
                </wp:inline>
              </w:drawing>
            </w:r>
          </w:p>
          <w:p w:rsidR="006C0C3A" w:rsidRPr="00006932" w:rsidP="00082634">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Iekaisīgu</w:t>
            </w:r>
            <w:r w:rsidRPr="00006932">
              <w:rPr>
                <w:rFonts w:ascii="Times New Roman" w:eastAsia="Times New Roman" w:hAnsi="Times New Roman" w:cs="Times New Roman"/>
                <w:sz w:val="24"/>
                <w:szCs w:val="24"/>
                <w:lang w:eastAsia="lv-LV"/>
              </w:rPr>
              <w:t xml:space="preserve"> zarnu slimību un </w:t>
            </w:r>
            <w:r w:rsidRPr="00006932">
              <w:rPr>
                <w:rFonts w:ascii="Times New Roman" w:eastAsia="Times New Roman" w:hAnsi="Times New Roman" w:cs="Times New Roman"/>
                <w:sz w:val="24"/>
                <w:szCs w:val="24"/>
                <w:lang w:eastAsia="lv-LV"/>
              </w:rPr>
              <w:t>psoriāzes</w:t>
            </w:r>
            <w:r w:rsidRPr="00006932">
              <w:rPr>
                <w:rFonts w:ascii="Times New Roman" w:eastAsia="Times New Roman" w:hAnsi="Times New Roman" w:cs="Times New Roman"/>
                <w:sz w:val="24"/>
                <w:szCs w:val="24"/>
                <w:lang w:eastAsia="lv-LV"/>
              </w:rPr>
              <w:t xml:space="preserve"> smagāko formu gadījumā</w:t>
            </w:r>
            <w:r w:rsidRPr="00006932" w:rsidR="007F23C7">
              <w:rPr>
                <w:rFonts w:ascii="Times New Roman" w:eastAsia="Times New Roman" w:hAnsi="Times New Roman" w:cs="Times New Roman"/>
                <w:sz w:val="24"/>
                <w:szCs w:val="24"/>
                <w:lang w:eastAsia="lv-LV"/>
              </w:rPr>
              <w:t xml:space="preserve"> svarīga ir regulāra zāļu lietošana un parasti vienlaikus jālieto vairākas zāles. Tā kā veselības stāvokļa dēļ var būt traucēta darbspēja un samazināti ienākumi, kompensācijas apmēram var būt izšķiroša nozīme, lai pacients iegādātos un lietotu visas viņam nepieciešamās zāles, novēršot slimības izraisītus neatgriezeniskus veselības traucējumus. </w:t>
            </w:r>
          </w:p>
          <w:p w:rsidR="00DF0AEF" w:rsidRPr="00006932" w:rsidP="00DF0AE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It īpaši tas attiecināms uz pacientiem, kam ir izteikti smagas formas Krona slimība, čūlainais kolīts vai </w:t>
            </w:r>
            <w:r w:rsidRPr="00006932">
              <w:rPr>
                <w:rFonts w:ascii="Times New Roman" w:eastAsia="Times New Roman" w:hAnsi="Times New Roman" w:cs="Times New Roman"/>
                <w:sz w:val="24"/>
                <w:szCs w:val="24"/>
                <w:lang w:eastAsia="lv-LV"/>
              </w:rPr>
              <w:t>psoriāze</w:t>
            </w:r>
            <w:r w:rsidRPr="00006932">
              <w:rPr>
                <w:rFonts w:ascii="Times New Roman" w:eastAsia="Times New Roman" w:hAnsi="Times New Roman" w:cs="Times New Roman"/>
                <w:sz w:val="24"/>
                <w:szCs w:val="24"/>
                <w:lang w:eastAsia="lv-LV"/>
              </w:rPr>
              <w:t xml:space="preserve">, cita lokāla vai sistēmiska terapija nesniedz terapeitisku efektu vai ir </w:t>
            </w:r>
            <w:r w:rsidRPr="00006932">
              <w:rPr>
                <w:rFonts w:ascii="Times New Roman" w:eastAsia="Times New Roman" w:hAnsi="Times New Roman" w:cs="Times New Roman"/>
                <w:sz w:val="24"/>
                <w:szCs w:val="24"/>
                <w:lang w:eastAsia="lv-LV"/>
              </w:rPr>
              <w:t>kontrindicēta</w:t>
            </w:r>
            <w:r w:rsidRPr="00006932">
              <w:rPr>
                <w:rFonts w:ascii="Times New Roman" w:eastAsia="Times New Roman" w:hAnsi="Times New Roman" w:cs="Times New Roman"/>
                <w:sz w:val="24"/>
                <w:szCs w:val="24"/>
                <w:lang w:eastAsia="lv-LV"/>
              </w:rPr>
              <w:t xml:space="preserve">, tādēļ nepieciešama bioloģiskas izcelsmes zāļu lietošana. </w:t>
            </w:r>
          </w:p>
          <w:p w:rsidR="00DF0AEF" w:rsidRPr="00006932" w:rsidP="00DF0AE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No 2014.gada pacientiem ar Krona slimību un čūlaino kolītu KZS ir iekļautas divas bioloģiskās izcelsmes zāles </w:t>
            </w:r>
            <w:r w:rsidRPr="00006932">
              <w:rPr>
                <w:rFonts w:ascii="Times New Roman" w:eastAsia="Times New Roman" w:hAnsi="Times New Roman" w:cs="Times New Roman"/>
                <w:i/>
                <w:iCs/>
                <w:sz w:val="24"/>
                <w:szCs w:val="24"/>
                <w:lang w:eastAsia="lv-LV"/>
              </w:rPr>
              <w:t>Adalimumabum</w:t>
            </w:r>
            <w:r w:rsidRPr="00006932">
              <w:rPr>
                <w:rFonts w:ascii="Times New Roman" w:eastAsia="Times New Roman" w:hAnsi="Times New Roman" w:cs="Times New Roman"/>
                <w:sz w:val="24"/>
                <w:szCs w:val="24"/>
                <w:lang w:eastAsia="lv-LV"/>
              </w:rPr>
              <w:t xml:space="preserve"> un </w:t>
            </w:r>
            <w:r w:rsidRPr="00006932">
              <w:rPr>
                <w:rFonts w:ascii="Times New Roman" w:eastAsia="Times New Roman" w:hAnsi="Times New Roman" w:cs="Times New Roman"/>
                <w:i/>
                <w:iCs/>
                <w:sz w:val="24"/>
                <w:szCs w:val="24"/>
                <w:lang w:eastAsia="lv-LV"/>
              </w:rPr>
              <w:t>Infliximabum</w:t>
            </w:r>
            <w:r w:rsidRPr="00006932">
              <w:rPr>
                <w:rFonts w:ascii="Times New Roman" w:eastAsia="Times New Roman" w:hAnsi="Times New Roman" w:cs="Times New Roman"/>
                <w:sz w:val="24"/>
                <w:szCs w:val="24"/>
                <w:lang w:eastAsia="lv-LV"/>
              </w:rPr>
              <w:t xml:space="preserve">. Zāles saskaņā ar konsīlija slēdzienu var izrakstīt </w:t>
            </w:r>
            <w:r w:rsidRPr="00006932">
              <w:rPr>
                <w:rFonts w:ascii="Times New Roman" w:eastAsia="Times New Roman" w:hAnsi="Times New Roman" w:cs="Times New Roman"/>
                <w:sz w:val="24"/>
                <w:szCs w:val="24"/>
                <w:lang w:eastAsia="lv-LV"/>
              </w:rPr>
              <w:t>gastroentrologs</w:t>
            </w:r>
            <w:r w:rsidRPr="00006932">
              <w:rPr>
                <w:rFonts w:ascii="Times New Roman" w:eastAsia="Times New Roman" w:hAnsi="Times New Roman" w:cs="Times New Roman"/>
                <w:sz w:val="24"/>
                <w:szCs w:val="24"/>
                <w:lang w:eastAsia="lv-LV"/>
              </w:rPr>
              <w:t xml:space="preserve"> bērniem un pieaugušajiem, kuriem nav pietiekama atbildes reakcija pret iepriekšēju terapiju ar </w:t>
            </w:r>
            <w:r w:rsidRPr="00006932">
              <w:rPr>
                <w:rFonts w:ascii="Times New Roman" w:eastAsia="Times New Roman" w:hAnsi="Times New Roman" w:cs="Times New Roman"/>
                <w:sz w:val="24"/>
                <w:szCs w:val="24"/>
                <w:lang w:eastAsia="lv-LV"/>
              </w:rPr>
              <w:t>aminosalicilātiem</w:t>
            </w:r>
            <w:r w:rsidRPr="00006932">
              <w:rPr>
                <w:rFonts w:ascii="Times New Roman" w:eastAsia="Times New Roman" w:hAnsi="Times New Roman" w:cs="Times New Roman"/>
                <w:sz w:val="24"/>
                <w:szCs w:val="24"/>
                <w:lang w:eastAsia="lv-LV"/>
              </w:rPr>
              <w:t xml:space="preserve">, glikokortikoīdiem un </w:t>
            </w:r>
            <w:r w:rsidRPr="00006932">
              <w:rPr>
                <w:rFonts w:ascii="Times New Roman" w:eastAsia="Times New Roman" w:hAnsi="Times New Roman" w:cs="Times New Roman"/>
                <w:sz w:val="24"/>
                <w:szCs w:val="24"/>
                <w:lang w:eastAsia="lv-LV"/>
              </w:rPr>
              <w:t>imunosupresantiem</w:t>
            </w:r>
            <w:r w:rsidRPr="00006932">
              <w:rPr>
                <w:rFonts w:ascii="Times New Roman" w:eastAsia="Times New Roman" w:hAnsi="Times New Roman" w:cs="Times New Roman"/>
                <w:sz w:val="24"/>
                <w:szCs w:val="24"/>
                <w:lang w:eastAsia="lv-LV"/>
              </w:rPr>
              <w:t xml:space="preserve">. Finansējuma trūkuma dēļ KZS šobrīd nav iekļautas bioloģiskās izcelsmes zāles </w:t>
            </w:r>
            <w:r w:rsidRPr="00006932">
              <w:rPr>
                <w:rFonts w:ascii="Times New Roman" w:eastAsia="Times New Roman" w:hAnsi="Times New Roman" w:cs="Times New Roman"/>
                <w:sz w:val="24"/>
                <w:szCs w:val="24"/>
                <w:lang w:eastAsia="lv-LV"/>
              </w:rPr>
              <w:t>psoriāzes</w:t>
            </w:r>
            <w:r w:rsidRPr="00006932">
              <w:rPr>
                <w:rFonts w:ascii="Times New Roman" w:eastAsia="Times New Roman" w:hAnsi="Times New Roman" w:cs="Times New Roman"/>
                <w:sz w:val="24"/>
                <w:szCs w:val="24"/>
                <w:lang w:eastAsia="lv-LV"/>
              </w:rPr>
              <w:t xml:space="preserve"> ārstēšanai. Tomēr arī pacienti ar Krona slimību un čūlaino kolītu nespēj iegādāties KZS iekļautās bioloģiskās terapijas zāles, jo pašreizējais pacienta </w:t>
            </w:r>
            <w:r w:rsidRPr="00006932">
              <w:rPr>
                <w:rFonts w:ascii="Times New Roman" w:eastAsia="Times New Roman" w:hAnsi="Times New Roman" w:cs="Times New Roman"/>
                <w:sz w:val="24"/>
                <w:szCs w:val="24"/>
                <w:lang w:eastAsia="lv-LV"/>
              </w:rPr>
              <w:t>līdzmaksājums</w:t>
            </w:r>
            <w:r w:rsidRPr="00006932">
              <w:rPr>
                <w:rFonts w:ascii="Times New Roman" w:eastAsia="Times New Roman" w:hAnsi="Times New Roman" w:cs="Times New Roman"/>
                <w:sz w:val="24"/>
                <w:szCs w:val="24"/>
                <w:lang w:eastAsia="lv-LV"/>
              </w:rPr>
              <w:t xml:space="preserve"> pie 75% kompensācijas ir ~ 200 eiro mēnesī.</w:t>
            </w:r>
          </w:p>
          <w:p w:rsidR="0071686F" w:rsidRPr="00006932" w:rsidP="0071686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006932" w:rsidR="006C0C3A">
              <w:rPr>
                <w:rFonts w:ascii="Times New Roman" w:eastAsia="Times New Roman" w:hAnsi="Times New Roman" w:cs="Times New Roman"/>
                <w:sz w:val="24"/>
                <w:szCs w:val="24"/>
                <w:lang w:eastAsia="lv-LV"/>
              </w:rPr>
              <w:t xml:space="preserve">5. </w:t>
            </w:r>
            <w:r w:rsidRPr="00006932">
              <w:rPr>
                <w:rFonts w:ascii="Times New Roman" w:eastAsia="Times New Roman" w:hAnsi="Times New Roman" w:cs="Times New Roman"/>
                <w:sz w:val="24"/>
                <w:szCs w:val="24"/>
                <w:lang w:eastAsia="lv-LV"/>
              </w:rPr>
              <w:t>Viens no konceptuālajā ziņojumā “Par veselības aprūpes reformu” iekļautajiem pasākumiem ir kompensācijas apmēra palielināšana zālēm no 75% uz 100%,</w:t>
            </w:r>
            <w:r w:rsidRPr="00006932" w:rsidR="00DF0AEF">
              <w:rPr>
                <w:rFonts w:ascii="Times New Roman" w:eastAsia="Times New Roman" w:hAnsi="Times New Roman" w:cs="Times New Roman"/>
                <w:sz w:val="24"/>
                <w:szCs w:val="24"/>
                <w:lang w:eastAsia="lv-LV"/>
              </w:rPr>
              <w:t xml:space="preserve"> kā arī bioloģiskās terapijas nodrošināšana Krona slimības, čūlainā kolīta un </w:t>
            </w:r>
            <w:r w:rsidRPr="00006932" w:rsidR="00DF0AEF">
              <w:rPr>
                <w:rFonts w:ascii="Times New Roman" w:eastAsia="Times New Roman" w:hAnsi="Times New Roman" w:cs="Times New Roman"/>
                <w:sz w:val="24"/>
                <w:szCs w:val="24"/>
                <w:lang w:eastAsia="lv-LV"/>
              </w:rPr>
              <w:t>psoriāzes</w:t>
            </w:r>
            <w:r w:rsidRPr="00006932" w:rsidR="00DF0AEF">
              <w:rPr>
                <w:rFonts w:ascii="Times New Roman" w:eastAsia="Times New Roman" w:hAnsi="Times New Roman" w:cs="Times New Roman"/>
                <w:sz w:val="24"/>
                <w:szCs w:val="24"/>
                <w:lang w:eastAsia="lv-LV"/>
              </w:rPr>
              <w:t xml:space="preserve"> pacientiem </w:t>
            </w:r>
            <w:r w:rsidRPr="00006932">
              <w:rPr>
                <w:rFonts w:ascii="Times New Roman" w:eastAsia="Times New Roman" w:hAnsi="Times New Roman" w:cs="Times New Roman"/>
                <w:sz w:val="24"/>
                <w:szCs w:val="24"/>
                <w:lang w:eastAsia="lv-LV"/>
              </w:rPr>
              <w:t>(skat. konceptuālā ziņojuma 1</w:t>
            </w:r>
            <w:r>
              <w:rPr>
                <w:rFonts w:ascii="Times New Roman" w:eastAsia="Times New Roman" w:hAnsi="Times New Roman" w:cs="Times New Roman"/>
                <w:sz w:val="24"/>
                <w:szCs w:val="24"/>
                <w:lang w:eastAsia="lv-LV"/>
              </w:rPr>
              <w:t>3.un 14</w:t>
            </w:r>
            <w:r w:rsidRPr="00006932">
              <w:rPr>
                <w:rFonts w:ascii="Times New Roman" w:eastAsia="Times New Roman" w:hAnsi="Times New Roman" w:cs="Times New Roman"/>
                <w:sz w:val="24"/>
                <w:szCs w:val="24"/>
                <w:lang w:eastAsia="lv-LV"/>
              </w:rPr>
              <w:t>. tabul</w:t>
            </w:r>
            <w:r w:rsidRPr="00006932" w:rsidR="00DF0AEF">
              <w:rPr>
                <w:rFonts w:ascii="Times New Roman" w:eastAsia="Times New Roman" w:hAnsi="Times New Roman" w:cs="Times New Roman"/>
                <w:sz w:val="24"/>
                <w:szCs w:val="24"/>
                <w:lang w:eastAsia="lv-LV"/>
              </w:rPr>
              <w:t>u</w:t>
            </w:r>
            <w:r w:rsidRPr="00006932">
              <w:rPr>
                <w:rFonts w:ascii="Times New Roman" w:eastAsia="Times New Roman" w:hAnsi="Times New Roman" w:cs="Times New Roman"/>
                <w:sz w:val="24"/>
                <w:szCs w:val="24"/>
                <w:lang w:eastAsia="lv-LV"/>
              </w:rPr>
              <w:t xml:space="preserve">). </w:t>
            </w:r>
          </w:p>
          <w:p w:rsidR="0071686F" w:rsidRPr="00006932" w:rsidP="0071686F">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Konceptuālajā ziņojumā paredzētās izmaiņas zāļu kompensācijas sistēmā Veselības ministrija (VM) iekļāvusi arī priekšlikumos par nozares prioritārajiem pasākumiem 2018. - 2020. gadam, kas ie</w:t>
            </w:r>
            <w:r w:rsidR="00B800D5">
              <w:rPr>
                <w:rFonts w:ascii="Times New Roman" w:eastAsia="Times New Roman" w:hAnsi="Times New Roman" w:cs="Times New Roman"/>
                <w:sz w:val="24"/>
                <w:szCs w:val="24"/>
                <w:lang w:eastAsia="lv-LV"/>
              </w:rPr>
              <w:t>sniegti Finanšu ministrijā (FM).</w:t>
            </w:r>
          </w:p>
          <w:p w:rsidR="00DA4FE7" w:rsidRPr="00006932" w:rsidP="009303E0">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Ņemot vērā minēto, </w:t>
            </w:r>
            <w:r w:rsidR="00006932">
              <w:rPr>
                <w:rFonts w:ascii="Times New Roman" w:eastAsia="Times New Roman" w:hAnsi="Times New Roman" w:cs="Times New Roman"/>
                <w:sz w:val="24"/>
                <w:szCs w:val="24"/>
                <w:lang w:eastAsia="lv-LV"/>
              </w:rPr>
              <w:t xml:space="preserve">Ministru kabineta </w:t>
            </w:r>
            <w:r w:rsidRPr="00006932">
              <w:rPr>
                <w:rFonts w:ascii="Times New Roman" w:eastAsia="Times New Roman" w:hAnsi="Times New Roman" w:cs="Times New Roman"/>
                <w:sz w:val="24"/>
                <w:szCs w:val="24"/>
                <w:lang w:eastAsia="lv-LV"/>
              </w:rPr>
              <w:t>n</w:t>
            </w:r>
            <w:r w:rsidRPr="00006932" w:rsidR="006C0C3A">
              <w:rPr>
                <w:rFonts w:ascii="Times New Roman" w:eastAsia="Times New Roman" w:hAnsi="Times New Roman" w:cs="Times New Roman"/>
                <w:sz w:val="24"/>
                <w:szCs w:val="24"/>
                <w:lang w:eastAsia="lv-LV"/>
              </w:rPr>
              <w:t>oteikumu projekts “Grozījum</w:t>
            </w:r>
            <w:r w:rsidR="00006932">
              <w:rPr>
                <w:rFonts w:ascii="Times New Roman" w:eastAsia="Times New Roman" w:hAnsi="Times New Roman" w:cs="Times New Roman"/>
                <w:sz w:val="24"/>
                <w:szCs w:val="24"/>
                <w:lang w:eastAsia="lv-LV"/>
              </w:rPr>
              <w:t>i</w:t>
            </w:r>
            <w:r w:rsidRPr="00006932" w:rsidR="006C0C3A">
              <w:rPr>
                <w:rFonts w:ascii="Times New Roman" w:eastAsia="Times New Roman" w:hAnsi="Times New Roman" w:cs="Times New Roman"/>
                <w:sz w:val="24"/>
                <w:szCs w:val="24"/>
                <w:lang w:eastAsia="lv-LV"/>
              </w:rPr>
              <w:t xml:space="preserve"> Ministru kabineta 2006.gada 31.oktobra noteikumos Nr.899 “Ambulatorajai ārstēšanai paredzēto zāļu un medicīnisko ierīču iegādes izdevumu kompensācijas kārtība””</w:t>
            </w:r>
            <w:r w:rsidR="00006932">
              <w:rPr>
                <w:rFonts w:ascii="Times New Roman" w:eastAsia="Times New Roman" w:hAnsi="Times New Roman" w:cs="Times New Roman"/>
                <w:sz w:val="24"/>
                <w:szCs w:val="24"/>
                <w:lang w:eastAsia="lv-LV"/>
              </w:rPr>
              <w:t xml:space="preserve"> (turpmāk – noteikumu projekts)</w:t>
            </w:r>
            <w:r w:rsidRPr="00006932" w:rsidR="006C0C3A">
              <w:rPr>
                <w:rFonts w:ascii="Times New Roman" w:eastAsia="Times New Roman" w:hAnsi="Times New Roman" w:cs="Times New Roman"/>
                <w:sz w:val="24"/>
                <w:szCs w:val="24"/>
                <w:lang w:eastAsia="lv-LV"/>
              </w:rPr>
              <w:t xml:space="preserve"> paredz </w:t>
            </w:r>
            <w:r w:rsidRPr="00006932" w:rsidR="006C0C3A">
              <w:rPr>
                <w:rFonts w:ascii="Times New Roman" w:eastAsia="Times New Roman" w:hAnsi="Times New Roman" w:cs="Times New Roman"/>
                <w:b/>
                <w:sz w:val="24"/>
                <w:szCs w:val="24"/>
                <w:lang w:eastAsia="lv-LV"/>
              </w:rPr>
              <w:t xml:space="preserve">paaugstināt diagnozēm </w:t>
            </w:r>
            <w:r w:rsidRPr="00006932" w:rsidR="006C0C3A">
              <w:rPr>
                <w:rFonts w:ascii="Times New Roman" w:eastAsia="Times New Roman" w:hAnsi="Times New Roman" w:cs="Times New Roman"/>
                <w:b/>
                <w:i/>
                <w:sz w:val="24"/>
                <w:szCs w:val="24"/>
                <w:lang w:eastAsia="lv-LV"/>
              </w:rPr>
              <w:t>K50 Krona (</w:t>
            </w:r>
            <w:r w:rsidRPr="00006932" w:rsidR="006C0C3A">
              <w:rPr>
                <w:rFonts w:ascii="Times New Roman" w:eastAsia="Times New Roman" w:hAnsi="Times New Roman" w:cs="Times New Roman"/>
                <w:b/>
                <w:i/>
                <w:sz w:val="24"/>
                <w:szCs w:val="24"/>
                <w:lang w:eastAsia="lv-LV"/>
              </w:rPr>
              <w:t>Crohn</w:t>
            </w:r>
            <w:r w:rsidRPr="00006932" w:rsidR="006C0C3A">
              <w:rPr>
                <w:rFonts w:ascii="Times New Roman" w:eastAsia="Times New Roman" w:hAnsi="Times New Roman" w:cs="Times New Roman"/>
                <w:b/>
                <w:i/>
                <w:sz w:val="24"/>
                <w:szCs w:val="24"/>
                <w:lang w:eastAsia="lv-LV"/>
              </w:rPr>
              <w:t>) slimība (reģionālais enterīts)</w:t>
            </w:r>
            <w:r w:rsidRPr="00006932" w:rsidR="006C0C3A">
              <w:rPr>
                <w:rFonts w:ascii="Times New Roman" w:eastAsia="Times New Roman" w:hAnsi="Times New Roman" w:cs="Times New Roman"/>
                <w:b/>
                <w:sz w:val="24"/>
                <w:szCs w:val="24"/>
                <w:lang w:eastAsia="lv-LV"/>
              </w:rPr>
              <w:t xml:space="preserve">, </w:t>
            </w:r>
            <w:r w:rsidRPr="00006932" w:rsidR="006C0C3A">
              <w:rPr>
                <w:rFonts w:ascii="Times New Roman" w:eastAsia="Times New Roman" w:hAnsi="Times New Roman" w:cs="Times New Roman"/>
                <w:b/>
                <w:i/>
                <w:sz w:val="24"/>
                <w:szCs w:val="24"/>
                <w:lang w:eastAsia="lv-LV"/>
              </w:rPr>
              <w:t>K51 Čūlains (</w:t>
            </w:r>
            <w:r w:rsidRPr="00006932" w:rsidR="006C0C3A">
              <w:rPr>
                <w:rFonts w:ascii="Times New Roman" w:eastAsia="Times New Roman" w:hAnsi="Times New Roman" w:cs="Times New Roman"/>
                <w:b/>
                <w:i/>
                <w:sz w:val="24"/>
                <w:szCs w:val="24"/>
                <w:lang w:eastAsia="lv-LV"/>
              </w:rPr>
              <w:t>ulcerozs</w:t>
            </w:r>
            <w:r w:rsidRPr="00006932" w:rsidR="006C0C3A">
              <w:rPr>
                <w:rFonts w:ascii="Times New Roman" w:eastAsia="Times New Roman" w:hAnsi="Times New Roman" w:cs="Times New Roman"/>
                <w:b/>
                <w:i/>
                <w:sz w:val="24"/>
                <w:szCs w:val="24"/>
                <w:lang w:eastAsia="lv-LV"/>
              </w:rPr>
              <w:t>) kolīts</w:t>
            </w:r>
            <w:r w:rsidRPr="00006932" w:rsidR="006C0C3A">
              <w:rPr>
                <w:rFonts w:ascii="Times New Roman" w:eastAsia="Times New Roman" w:hAnsi="Times New Roman" w:cs="Times New Roman"/>
                <w:b/>
                <w:sz w:val="24"/>
                <w:szCs w:val="24"/>
                <w:lang w:eastAsia="lv-LV"/>
              </w:rPr>
              <w:t xml:space="preserve"> un </w:t>
            </w:r>
            <w:r w:rsidRPr="00006932" w:rsidR="006C0C3A">
              <w:rPr>
                <w:rFonts w:ascii="Times New Roman" w:eastAsia="Times New Roman" w:hAnsi="Times New Roman" w:cs="Times New Roman"/>
                <w:b/>
                <w:i/>
                <w:sz w:val="24"/>
                <w:szCs w:val="24"/>
                <w:lang w:eastAsia="lv-LV"/>
              </w:rPr>
              <w:t xml:space="preserve">L40 </w:t>
            </w:r>
            <w:r w:rsidRPr="00006932" w:rsidR="006C0C3A">
              <w:rPr>
                <w:rFonts w:ascii="Times New Roman" w:eastAsia="Times New Roman" w:hAnsi="Times New Roman" w:cs="Times New Roman"/>
                <w:b/>
                <w:i/>
                <w:sz w:val="24"/>
                <w:szCs w:val="24"/>
                <w:lang w:eastAsia="lv-LV"/>
              </w:rPr>
              <w:t>Zvīņēde</w:t>
            </w:r>
            <w:r w:rsidRPr="00006932" w:rsidR="006C0C3A">
              <w:rPr>
                <w:rFonts w:ascii="Times New Roman" w:eastAsia="Times New Roman" w:hAnsi="Times New Roman" w:cs="Times New Roman"/>
                <w:b/>
                <w:i/>
                <w:sz w:val="24"/>
                <w:szCs w:val="24"/>
                <w:lang w:eastAsia="lv-LV"/>
              </w:rPr>
              <w:t xml:space="preserve"> (</w:t>
            </w:r>
            <w:r w:rsidRPr="00006932" w:rsidR="006C0C3A">
              <w:rPr>
                <w:rFonts w:ascii="Times New Roman" w:eastAsia="Times New Roman" w:hAnsi="Times New Roman" w:cs="Times New Roman"/>
                <w:b/>
                <w:i/>
                <w:sz w:val="24"/>
                <w:szCs w:val="24"/>
                <w:lang w:eastAsia="lv-LV"/>
              </w:rPr>
              <w:t>psoriasis</w:t>
            </w:r>
            <w:r w:rsidRPr="00006932" w:rsidR="006C0C3A">
              <w:rPr>
                <w:rFonts w:ascii="Times New Roman" w:eastAsia="Times New Roman" w:hAnsi="Times New Roman" w:cs="Times New Roman"/>
                <w:b/>
                <w:i/>
                <w:sz w:val="24"/>
                <w:szCs w:val="24"/>
                <w:lang w:eastAsia="lv-LV"/>
              </w:rPr>
              <w:t>)</w:t>
            </w:r>
            <w:r w:rsidRPr="00006932" w:rsidR="006C0C3A">
              <w:rPr>
                <w:rFonts w:ascii="Times New Roman" w:eastAsia="Times New Roman" w:hAnsi="Times New Roman" w:cs="Times New Roman"/>
                <w:b/>
                <w:sz w:val="24"/>
                <w:szCs w:val="24"/>
                <w:lang w:eastAsia="lv-LV"/>
              </w:rPr>
              <w:t xml:space="preserve"> noteikto komp</w:t>
            </w:r>
            <w:r w:rsidR="00006932">
              <w:rPr>
                <w:rFonts w:ascii="Times New Roman" w:eastAsia="Times New Roman" w:hAnsi="Times New Roman" w:cs="Times New Roman"/>
                <w:b/>
                <w:sz w:val="24"/>
                <w:szCs w:val="24"/>
                <w:lang w:eastAsia="lv-LV"/>
              </w:rPr>
              <w:t>ensācijas apmēru no 75% uz 100%</w:t>
            </w:r>
            <w:r w:rsidR="00006932">
              <w:rPr>
                <w:rFonts w:ascii="Times New Roman" w:eastAsia="Times New Roman" w:hAnsi="Times New Roman" w:cs="Times New Roman"/>
                <w:sz w:val="24"/>
                <w:szCs w:val="24"/>
                <w:lang w:eastAsia="lv-LV"/>
              </w:rPr>
              <w:t>.</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Nacionālais veselības dienests</w:t>
            </w:r>
          </w:p>
        </w:tc>
      </w:tr>
      <w:tr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5261CC">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Nav</w:t>
            </w:r>
          </w:p>
        </w:tc>
      </w:tr>
    </w:tbl>
    <w:p w:rsidR="00894C55" w:rsidRPr="00006932" w:rsidP="002B22BF">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II.</w:t>
            </w:r>
            <w:r w:rsidRPr="00006932" w:rsidR="0050178F">
              <w:rPr>
                <w:rFonts w:ascii="Times New Roman" w:eastAsia="Times New Roman" w:hAnsi="Times New Roman" w:cs="Times New Roman"/>
                <w:b/>
                <w:bCs/>
                <w:sz w:val="24"/>
                <w:szCs w:val="24"/>
                <w:lang w:eastAsia="lv-LV"/>
              </w:rPr>
              <w:t> </w:t>
            </w:r>
            <w:r w:rsidRPr="0000693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Sabiedrības </w:t>
            </w:r>
            <w:r w:rsidRPr="00006932">
              <w:rPr>
                <w:rFonts w:ascii="Times New Roman" w:eastAsia="Times New Roman" w:hAnsi="Times New Roman" w:cs="Times New Roman"/>
                <w:sz w:val="24"/>
                <w:szCs w:val="24"/>
                <w:lang w:eastAsia="lv-LV"/>
              </w:rPr>
              <w:t>mērķgrupas</w:t>
            </w:r>
            <w:r w:rsidRPr="0000693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003F12">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Pacienti ar </w:t>
            </w:r>
            <w:r w:rsidRPr="00006932" w:rsidR="00E951CF">
              <w:rPr>
                <w:rFonts w:ascii="Times New Roman" w:eastAsia="Times New Roman" w:hAnsi="Times New Roman" w:cs="Times New Roman"/>
                <w:sz w:val="24"/>
                <w:szCs w:val="24"/>
                <w:lang w:eastAsia="lv-LV"/>
              </w:rPr>
              <w:t>Krona (</w:t>
            </w:r>
            <w:r w:rsidRPr="00006932" w:rsidR="00E951CF">
              <w:rPr>
                <w:rFonts w:ascii="Times New Roman" w:eastAsia="Times New Roman" w:hAnsi="Times New Roman" w:cs="Times New Roman"/>
                <w:i/>
                <w:sz w:val="24"/>
                <w:szCs w:val="24"/>
                <w:lang w:eastAsia="lv-LV"/>
              </w:rPr>
              <w:t>Crohn</w:t>
            </w:r>
            <w:r w:rsidRPr="00006932" w:rsidR="00E951CF">
              <w:rPr>
                <w:rFonts w:ascii="Times New Roman" w:eastAsia="Times New Roman" w:hAnsi="Times New Roman" w:cs="Times New Roman"/>
                <w:sz w:val="24"/>
                <w:szCs w:val="24"/>
                <w:lang w:eastAsia="lv-LV"/>
              </w:rPr>
              <w:t>) slimīb</w:t>
            </w:r>
            <w:r w:rsidRPr="00006932">
              <w:rPr>
                <w:rFonts w:ascii="Times New Roman" w:eastAsia="Times New Roman" w:hAnsi="Times New Roman" w:cs="Times New Roman"/>
                <w:sz w:val="24"/>
                <w:szCs w:val="24"/>
                <w:lang w:eastAsia="lv-LV"/>
              </w:rPr>
              <w:t>u</w:t>
            </w:r>
            <w:r w:rsidRPr="00006932" w:rsidR="00E951CF">
              <w:rPr>
                <w:rFonts w:ascii="Times New Roman" w:eastAsia="Times New Roman" w:hAnsi="Times New Roman" w:cs="Times New Roman"/>
                <w:sz w:val="24"/>
                <w:szCs w:val="24"/>
                <w:lang w:eastAsia="lv-LV"/>
              </w:rPr>
              <w:t xml:space="preserve"> (reģionālais enterīts), </w:t>
            </w:r>
            <w:r w:rsidRPr="00006932">
              <w:rPr>
                <w:rFonts w:ascii="Times New Roman" w:eastAsia="Times New Roman" w:hAnsi="Times New Roman" w:cs="Times New Roman"/>
                <w:sz w:val="24"/>
                <w:szCs w:val="24"/>
                <w:lang w:eastAsia="lv-LV"/>
              </w:rPr>
              <w:t>č</w:t>
            </w:r>
            <w:r w:rsidRPr="00006932" w:rsidR="00E951CF">
              <w:rPr>
                <w:rFonts w:ascii="Times New Roman" w:eastAsia="Times New Roman" w:hAnsi="Times New Roman" w:cs="Times New Roman"/>
                <w:sz w:val="24"/>
                <w:szCs w:val="24"/>
                <w:lang w:eastAsia="lv-LV"/>
              </w:rPr>
              <w:t>ūlain</w:t>
            </w:r>
            <w:r w:rsidRPr="00006932">
              <w:rPr>
                <w:rFonts w:ascii="Times New Roman" w:eastAsia="Times New Roman" w:hAnsi="Times New Roman" w:cs="Times New Roman"/>
                <w:sz w:val="24"/>
                <w:szCs w:val="24"/>
                <w:lang w:eastAsia="lv-LV"/>
              </w:rPr>
              <w:t>o</w:t>
            </w:r>
            <w:r w:rsidRPr="00006932" w:rsidR="00E951CF">
              <w:rPr>
                <w:rFonts w:ascii="Times New Roman" w:eastAsia="Times New Roman" w:hAnsi="Times New Roman" w:cs="Times New Roman"/>
                <w:sz w:val="24"/>
                <w:szCs w:val="24"/>
                <w:lang w:eastAsia="lv-LV"/>
              </w:rPr>
              <w:t xml:space="preserve"> (</w:t>
            </w:r>
            <w:r w:rsidRPr="00006932" w:rsidR="00E951CF">
              <w:rPr>
                <w:rFonts w:ascii="Times New Roman" w:eastAsia="Times New Roman" w:hAnsi="Times New Roman" w:cs="Times New Roman"/>
                <w:sz w:val="24"/>
                <w:szCs w:val="24"/>
                <w:lang w:eastAsia="lv-LV"/>
              </w:rPr>
              <w:t>ulcerozs</w:t>
            </w:r>
            <w:r w:rsidRPr="00006932" w:rsidR="00E951CF">
              <w:rPr>
                <w:rFonts w:ascii="Times New Roman" w:eastAsia="Times New Roman" w:hAnsi="Times New Roman" w:cs="Times New Roman"/>
                <w:sz w:val="24"/>
                <w:szCs w:val="24"/>
                <w:lang w:eastAsia="lv-LV"/>
              </w:rPr>
              <w:t>) kolīt</w:t>
            </w:r>
            <w:r w:rsidRPr="00006932">
              <w:rPr>
                <w:rFonts w:ascii="Times New Roman" w:eastAsia="Times New Roman" w:hAnsi="Times New Roman" w:cs="Times New Roman"/>
                <w:sz w:val="24"/>
                <w:szCs w:val="24"/>
                <w:lang w:eastAsia="lv-LV"/>
              </w:rPr>
              <w:t>u</w:t>
            </w:r>
            <w:r w:rsidRPr="00006932" w:rsidR="00E951CF">
              <w:rPr>
                <w:rFonts w:ascii="Times New Roman" w:eastAsia="Times New Roman" w:hAnsi="Times New Roman" w:cs="Times New Roman"/>
                <w:sz w:val="24"/>
                <w:szCs w:val="24"/>
                <w:lang w:eastAsia="lv-LV"/>
              </w:rPr>
              <w:t xml:space="preserve"> un </w:t>
            </w:r>
            <w:r w:rsidRPr="00006932">
              <w:rPr>
                <w:rFonts w:ascii="Times New Roman" w:eastAsia="Times New Roman" w:hAnsi="Times New Roman" w:cs="Times New Roman"/>
                <w:sz w:val="24"/>
                <w:szCs w:val="24"/>
                <w:lang w:eastAsia="lv-LV"/>
              </w:rPr>
              <w:t>z</w:t>
            </w:r>
            <w:r w:rsidRPr="00006932" w:rsidR="00E951CF">
              <w:rPr>
                <w:rFonts w:ascii="Times New Roman" w:eastAsia="Times New Roman" w:hAnsi="Times New Roman" w:cs="Times New Roman"/>
                <w:sz w:val="24"/>
                <w:szCs w:val="24"/>
                <w:lang w:eastAsia="lv-LV"/>
              </w:rPr>
              <w:t>vīņēd</w:t>
            </w:r>
            <w:r w:rsidRPr="00006932">
              <w:rPr>
                <w:rFonts w:ascii="Times New Roman" w:eastAsia="Times New Roman" w:hAnsi="Times New Roman" w:cs="Times New Roman"/>
                <w:sz w:val="24"/>
                <w:szCs w:val="24"/>
                <w:lang w:eastAsia="lv-LV"/>
              </w:rPr>
              <w:t>i</w:t>
            </w:r>
            <w:r w:rsidRPr="00006932" w:rsidR="00E951CF">
              <w:rPr>
                <w:rFonts w:ascii="Times New Roman" w:eastAsia="Times New Roman" w:hAnsi="Times New Roman" w:cs="Times New Roman"/>
                <w:sz w:val="24"/>
                <w:szCs w:val="24"/>
                <w:lang w:eastAsia="lv-LV"/>
              </w:rPr>
              <w:t xml:space="preserve"> (</w:t>
            </w:r>
            <w:r w:rsidRPr="00006932" w:rsidR="00E951CF">
              <w:rPr>
                <w:rFonts w:ascii="Times New Roman" w:eastAsia="Times New Roman" w:hAnsi="Times New Roman" w:cs="Times New Roman"/>
                <w:i/>
                <w:sz w:val="24"/>
                <w:szCs w:val="24"/>
                <w:lang w:eastAsia="lv-LV"/>
              </w:rPr>
              <w:t>psoriasis</w:t>
            </w:r>
            <w:r w:rsidRPr="00006932" w:rsidR="00E951CF">
              <w:rPr>
                <w:rFonts w:ascii="Times New Roman" w:eastAsia="Times New Roman" w:hAnsi="Times New Roman" w:cs="Times New Roman"/>
                <w:sz w:val="24"/>
                <w:szCs w:val="24"/>
                <w:lang w:eastAsia="lv-LV"/>
              </w:rPr>
              <w:t>)</w:t>
            </w:r>
            <w:r w:rsidR="00EA49D1">
              <w:rPr>
                <w:rFonts w:ascii="Times New Roman" w:eastAsia="Times New Roman" w:hAnsi="Times New Roman" w:cs="Times New Roman"/>
                <w:sz w:val="24"/>
                <w:szCs w:val="24"/>
                <w:lang w:eastAsia="lv-LV"/>
              </w:rPr>
              <w:t>; minēto pacientu grupu piederīgie, kuru dzīvi ietekmē rūpes par apgādībā esošu smagi slimu cilvēku.</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003F1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nav ietekmes uz tautsaimniecību un administratīvo slogu</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Projekts šo jomu neskar</w:t>
            </w: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06932" w:rsidP="00003F12">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Nav</w:t>
            </w:r>
          </w:p>
        </w:tc>
      </w:tr>
    </w:tbl>
    <w:p w:rsidR="00894C55" w:rsidRPr="00006932" w:rsidP="002B22BF">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390"/>
        <w:gridCol w:w="1608"/>
        <w:gridCol w:w="1337"/>
        <w:gridCol w:w="1228"/>
        <w:gridCol w:w="1226"/>
        <w:gridCol w:w="126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III.</w:t>
            </w:r>
            <w:r w:rsidRPr="00006932" w:rsidR="00BD4425">
              <w:rPr>
                <w:rFonts w:ascii="Times New Roman" w:eastAsia="Times New Roman" w:hAnsi="Times New Roman" w:cs="Times New Roman"/>
                <w:b/>
                <w:bCs/>
                <w:sz w:val="24"/>
                <w:szCs w:val="24"/>
                <w:lang w:eastAsia="lv-LV"/>
              </w:rPr>
              <w:t> </w:t>
            </w:r>
            <w:r w:rsidRPr="00006932">
              <w:rPr>
                <w:rFonts w:ascii="Times New Roman" w:eastAsia="Times New Roman" w:hAnsi="Times New Roman" w:cs="Times New Roman"/>
                <w:b/>
                <w:bCs/>
                <w:sz w:val="24"/>
                <w:szCs w:val="24"/>
                <w:lang w:eastAsia="lv-LV"/>
              </w:rPr>
              <w:t>Tiesību akta projekta ietekme uz valsts budžetu un pašvaldību budžetiem</w:t>
            </w:r>
          </w:p>
        </w:tc>
      </w:tr>
      <w:tr w:rsidTr="00EF08EC">
        <w:tblPrEx>
          <w:tblW w:w="5000" w:type="pct"/>
          <w:jc w:val="center"/>
          <w:tblCellMar>
            <w:top w:w="24" w:type="dxa"/>
            <w:left w:w="24" w:type="dxa"/>
            <w:bottom w:w="24" w:type="dxa"/>
            <w:right w:w="24" w:type="dxa"/>
          </w:tblCellMar>
          <w:tblLook w:val="04A0"/>
        </w:tblPrEx>
        <w:trPr>
          <w:jc w:val="center"/>
        </w:trPr>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Rādītāji</w:t>
            </w:r>
          </w:p>
        </w:tc>
        <w:tc>
          <w:tcPr>
            <w:tcW w:w="162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2054"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Turpmākie trīs gadi (</w:t>
            </w:r>
            <w:r w:rsidRPr="00006932">
              <w:rPr>
                <w:rFonts w:ascii="Times New Roman" w:eastAsia="Times New Roman" w:hAnsi="Times New Roman" w:cs="Times New Roman"/>
                <w:i/>
                <w:iCs/>
                <w:sz w:val="24"/>
                <w:szCs w:val="24"/>
                <w:lang w:eastAsia="lv-LV"/>
              </w:rPr>
              <w:t>euro</w:t>
            </w:r>
            <w:r w:rsidRPr="00006932">
              <w:rPr>
                <w:rFonts w:ascii="Times New Roman" w:eastAsia="Times New Roman" w:hAnsi="Times New Roman" w:cs="Times New Roman"/>
                <w:sz w:val="24"/>
                <w:szCs w:val="24"/>
                <w:lang w:eastAsia="lv-LV"/>
              </w:rPr>
              <w:t>)</w:t>
            </w:r>
          </w:p>
        </w:tc>
      </w:tr>
      <w:tr w:rsidTr="00EF08EC">
        <w:tblPrEx>
          <w:tblW w:w="5000" w:type="pct"/>
          <w:jc w:val="center"/>
          <w:tblCellMar>
            <w:top w:w="24" w:type="dxa"/>
            <w:left w:w="24" w:type="dxa"/>
            <w:bottom w:w="24" w:type="dxa"/>
            <w:right w:w="24" w:type="dxa"/>
          </w:tblCellMar>
          <w:tblLook w:val="04A0"/>
        </w:tblPrEx>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rPr>
                <w:rFonts w:ascii="Times New Roman" w:eastAsia="Times New Roman" w:hAnsi="Times New Roman" w:cs="Times New Roman"/>
                <w:b/>
                <w:bCs/>
                <w:sz w:val="24"/>
                <w:szCs w:val="24"/>
                <w:lang w:eastAsia="lv-LV"/>
              </w:rPr>
            </w:pPr>
          </w:p>
        </w:tc>
        <w:tc>
          <w:tcPr>
            <w:tcW w:w="1626"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rPr>
                <w:rFonts w:ascii="Times New Roman" w:eastAsia="Times New Roman" w:hAnsi="Times New Roman" w:cs="Times New Roman"/>
                <w:b/>
                <w:bCs/>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1</w:t>
            </w:r>
          </w:p>
        </w:tc>
      </w:tr>
      <w:tr w:rsidTr="00EF08EC">
        <w:tblPrEx>
          <w:tblW w:w="5000" w:type="pct"/>
          <w:jc w:val="center"/>
          <w:tblCellMar>
            <w:top w:w="24" w:type="dxa"/>
            <w:left w:w="24" w:type="dxa"/>
            <w:bottom w:w="24" w:type="dxa"/>
            <w:right w:w="24" w:type="dxa"/>
          </w:tblCellMar>
          <w:tblLook w:val="04A0"/>
        </w:tblPrEx>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rPr>
                <w:rFonts w:ascii="Times New Roman" w:eastAsia="Times New Roman" w:hAnsi="Times New Roman" w:cs="Times New Roman"/>
                <w:b/>
                <w:bCs/>
                <w:sz w:val="24"/>
                <w:szCs w:val="24"/>
                <w:lang w:eastAsia="lv-LV"/>
              </w:rPr>
            </w:pPr>
          </w:p>
        </w:tc>
        <w:tc>
          <w:tcPr>
            <w:tcW w:w="88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saskaņā ar valsts budžetu kārtējam gadam</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izmaiņas kārtējā gadā, salīdzinot ar valsts budžetu kārtējam gadam</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izmaiņas, salīdzinot ar kārtējo (n) gadu</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izmaiņas, salīdzinot ar kārtējo (n)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izmaiņas, salīdzinot ar kārtējo (n) gadu</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1</w:t>
            </w:r>
          </w:p>
        </w:tc>
        <w:tc>
          <w:tcPr>
            <w:tcW w:w="88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2</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3</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4</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5</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sz w:val="20"/>
                <w:szCs w:val="24"/>
                <w:lang w:eastAsia="lv-LV"/>
              </w:rPr>
            </w:pPr>
            <w:r w:rsidRPr="00006932">
              <w:rPr>
                <w:rFonts w:ascii="Times New Roman" w:eastAsia="Times New Roman" w:hAnsi="Times New Roman" w:cs="Times New Roman"/>
                <w:sz w:val="20"/>
                <w:szCs w:val="24"/>
                <w:lang w:eastAsia="lv-LV"/>
              </w:rPr>
              <w:t>6</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4720E0" w:rsidRPr="00006932" w:rsidP="004720E0">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 Budžeta ieņēmumi:</w:t>
            </w:r>
          </w:p>
        </w:tc>
        <w:tc>
          <w:tcPr>
            <w:tcW w:w="888" w:type="pct"/>
            <w:tcBorders>
              <w:top w:val="outset" w:sz="6" w:space="0" w:color="414142"/>
              <w:left w:val="outset" w:sz="6" w:space="0" w:color="414142"/>
              <w:bottom w:val="outset" w:sz="6" w:space="0" w:color="414142"/>
              <w:right w:val="outset" w:sz="6" w:space="0" w:color="414142"/>
            </w:tcBorders>
            <w:hideMark/>
          </w:tcPr>
          <w:p w:rsidR="00894C55" w:rsidRPr="00123EEF" w:rsidP="004720E0">
            <w:pPr>
              <w:spacing w:after="12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602 016</w:t>
            </w:r>
          </w:p>
        </w:tc>
        <w:tc>
          <w:tcPr>
            <w:tcW w:w="738" w:type="pct"/>
            <w:tcBorders>
              <w:top w:val="outset" w:sz="6" w:space="0" w:color="414142"/>
              <w:left w:val="outset" w:sz="6" w:space="0" w:color="414142"/>
              <w:bottom w:val="outset" w:sz="6" w:space="0" w:color="414142"/>
              <w:right w:val="outset" w:sz="6" w:space="0" w:color="414142"/>
            </w:tcBorders>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1.1.</w:t>
            </w:r>
            <w:r w:rsidRPr="00006932" w:rsidR="00BD4425">
              <w:rPr>
                <w:rFonts w:ascii="Times New Roman" w:eastAsia="Times New Roman" w:hAnsi="Times New Roman" w:cs="Times New Roman"/>
                <w:sz w:val="24"/>
                <w:szCs w:val="24"/>
                <w:lang w:eastAsia="lv-LV"/>
              </w:rPr>
              <w:t> </w:t>
            </w:r>
            <w:r w:rsidRPr="00006932">
              <w:rPr>
                <w:rFonts w:ascii="Times New Roman" w:eastAsia="Times New Roman" w:hAnsi="Times New Roman" w:cs="Times New Roman"/>
                <w:sz w:val="24"/>
                <w:szCs w:val="24"/>
                <w:lang w:eastAsia="lv-LV"/>
              </w:rPr>
              <w:t>valsts pamatbudžets, tai skaitā ieņēmumi no maksas pakalpojumiem un citi pašu ieņēmumi</w:t>
            </w:r>
          </w:p>
        </w:tc>
        <w:tc>
          <w:tcPr>
            <w:tcW w:w="888" w:type="pct"/>
            <w:tcBorders>
              <w:top w:val="outset" w:sz="6" w:space="0" w:color="414142"/>
              <w:left w:val="outset" w:sz="6" w:space="0" w:color="414142"/>
              <w:bottom w:val="outset" w:sz="6" w:space="0" w:color="414142"/>
              <w:right w:val="outset" w:sz="6" w:space="0" w:color="414142"/>
            </w:tcBorders>
            <w:vAlign w:val="center"/>
            <w:hideMark/>
          </w:tcPr>
          <w:p w:rsidR="00894C55" w:rsidRPr="00B6431E" w:rsidP="009F2D99">
            <w:pPr>
              <w:pStyle w:val="naisf"/>
              <w:spacing w:before="0" w:after="0"/>
              <w:ind w:firstLine="0"/>
              <w:jc w:val="center"/>
              <w:rPr>
                <w:b/>
              </w:rPr>
            </w:pPr>
            <w:r w:rsidRPr="00B6431E">
              <w:rPr>
                <w:b/>
              </w:rPr>
              <w:t>602 016</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4720E0"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894C55" w:rsidRPr="00006932" w:rsidP="004720E0">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tcPr>
          <w:p w:rsidR="00123EEF" w:rsidRPr="008B4761" w:rsidP="00BD7BFE">
            <w:pPr>
              <w:spacing w:after="120" w:line="240" w:lineRule="auto"/>
              <w:ind w:left="112"/>
              <w:rPr>
                <w:rFonts w:ascii="Times New Roman" w:eastAsia="Times New Roman" w:hAnsi="Times New Roman" w:cs="Times New Roman"/>
                <w:color w:val="414142"/>
                <w:sz w:val="24"/>
                <w:szCs w:val="24"/>
                <w:lang w:eastAsia="lv-LV"/>
              </w:rPr>
            </w:pPr>
            <w:r w:rsidRPr="008B4761">
              <w:rPr>
                <w:rFonts w:ascii="Times New Roman" w:hAnsi="Times New Roman" w:cs="Times New Roman"/>
                <w:sz w:val="24"/>
                <w:szCs w:val="24"/>
              </w:rPr>
              <w:t>apakšprogramma 33.03.00 “Kompensējamo medikamentu un materiālu apmaksāšana”</w:t>
            </w:r>
          </w:p>
        </w:tc>
        <w:tc>
          <w:tcPr>
            <w:tcW w:w="888" w:type="pct"/>
            <w:tcBorders>
              <w:top w:val="outset" w:sz="6" w:space="0" w:color="414142"/>
              <w:left w:val="outset" w:sz="6" w:space="0" w:color="414142"/>
              <w:bottom w:val="outset" w:sz="6" w:space="0" w:color="414142"/>
              <w:right w:val="outset" w:sz="6" w:space="0" w:color="414142"/>
            </w:tcBorders>
            <w:vAlign w:val="center"/>
          </w:tcPr>
          <w:p w:rsidR="00123EEF" w:rsidRPr="00B6431E" w:rsidP="002963F0">
            <w:pPr>
              <w:pStyle w:val="naisf"/>
              <w:spacing w:before="0" w:after="0"/>
              <w:ind w:firstLine="0"/>
              <w:jc w:val="center"/>
              <w:rPr>
                <w:b/>
              </w:rPr>
            </w:pPr>
            <w:r w:rsidRPr="00B6431E">
              <w:rPr>
                <w:b/>
              </w:rPr>
              <w:t>602 016</w:t>
            </w:r>
          </w:p>
        </w:tc>
        <w:tc>
          <w:tcPr>
            <w:tcW w:w="738" w:type="pct"/>
            <w:tcBorders>
              <w:top w:val="outset" w:sz="6" w:space="0" w:color="414142"/>
              <w:left w:val="outset" w:sz="6" w:space="0" w:color="414142"/>
              <w:bottom w:val="outset" w:sz="6" w:space="0" w:color="414142"/>
              <w:right w:val="outset" w:sz="6" w:space="0" w:color="414142"/>
            </w:tcBorders>
            <w:vAlign w:val="center"/>
          </w:tcPr>
          <w:p w:rsidR="00123EEF" w:rsidRPr="00006932" w:rsidP="00123EEF">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vAlign w:val="center"/>
          </w:tcPr>
          <w:p w:rsidR="00123EEF" w:rsidRPr="00006932" w:rsidP="00123EEF">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vAlign w:val="center"/>
          </w:tcPr>
          <w:p w:rsidR="00123EEF" w:rsidRPr="00006932" w:rsidP="00123EEF">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rsidR="00123EEF" w:rsidRPr="00006932" w:rsidP="00123EEF">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1.2. valsts speciālais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1.3. 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713864" w:rsidRPr="00006932" w:rsidP="00713864">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 Budžeta izdevumi:</w:t>
            </w:r>
          </w:p>
        </w:tc>
        <w:tc>
          <w:tcPr>
            <w:tcW w:w="888" w:type="pct"/>
            <w:tcBorders>
              <w:top w:val="outset" w:sz="6" w:space="0" w:color="414142"/>
              <w:left w:val="outset" w:sz="6" w:space="0" w:color="414142"/>
              <w:bottom w:val="outset" w:sz="6" w:space="0" w:color="414142"/>
              <w:right w:val="outset" w:sz="6" w:space="0" w:color="414142"/>
            </w:tcBorders>
            <w:hideMark/>
          </w:tcPr>
          <w:p w:rsidR="00713864" w:rsidRPr="00B6431E" w:rsidP="00713864">
            <w:pPr>
              <w:pStyle w:val="naisf"/>
              <w:spacing w:before="0" w:after="0"/>
              <w:ind w:firstLine="0"/>
              <w:jc w:val="center"/>
              <w:rPr>
                <w:b/>
              </w:rPr>
            </w:pPr>
            <w:r w:rsidRPr="00B6431E">
              <w:rPr>
                <w:b/>
              </w:rPr>
              <w:t>602 016</w:t>
            </w:r>
          </w:p>
        </w:tc>
        <w:tc>
          <w:tcPr>
            <w:tcW w:w="738" w:type="pct"/>
            <w:tcBorders>
              <w:top w:val="outset" w:sz="6" w:space="0" w:color="414142"/>
              <w:left w:val="outset" w:sz="6" w:space="0" w:color="414142"/>
              <w:bottom w:val="outset" w:sz="6" w:space="0" w:color="414142"/>
              <w:right w:val="outset" w:sz="6" w:space="0" w:color="414142"/>
            </w:tcBorders>
            <w:hideMark/>
          </w:tcPr>
          <w:p w:rsidR="00713864" w:rsidRPr="00006932" w:rsidP="00713864">
            <w:pPr>
              <w:spacing w:after="120" w:line="240" w:lineRule="auto"/>
              <w:jc w:val="center"/>
              <w:rPr>
                <w:rFonts w:ascii="Times New Roman" w:eastAsia="Times New Roman" w:hAnsi="Times New Roman" w:cs="Times New Roman"/>
                <w:sz w:val="24"/>
                <w:szCs w:val="24"/>
                <w:lang w:eastAsia="lv-LV"/>
              </w:rPr>
            </w:pPr>
            <w:r w:rsidRPr="0031058A">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hideMark/>
          </w:tcPr>
          <w:p w:rsidR="00713864" w:rsidRPr="00EB63C2" w:rsidP="00713864">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tcPr>
          <w:p w:rsidR="00713864" w:rsidRPr="003F2D16" w:rsidP="00713864">
            <w:pPr>
              <w:spacing w:after="120" w:line="240" w:lineRule="auto"/>
              <w:jc w:val="center"/>
              <w:rPr>
                <w:rFonts w:ascii="Times New Roman" w:eastAsia="Times New Roman" w:hAnsi="Times New Roman" w:cs="Times New Roman"/>
                <w:b/>
                <w:sz w:val="24"/>
                <w:szCs w:val="24"/>
                <w:lang w:eastAsia="lv-LV"/>
              </w:rPr>
            </w:pPr>
            <w:r w:rsidRPr="003F2D16">
              <w:rPr>
                <w:rFonts w:ascii="Times New Roman" w:eastAsia="Times New Roman" w:hAnsi="Times New Roman" w:cs="Times New Roman"/>
                <w:b/>
                <w:sz w:val="24"/>
                <w:szCs w:val="24"/>
                <w:lang w:eastAsia="lv-LV"/>
              </w:rPr>
              <w:t>2 </w:t>
            </w:r>
            <w:r>
              <w:rPr>
                <w:rFonts w:ascii="Times New Roman" w:eastAsia="Times New Roman" w:hAnsi="Times New Roman" w:cs="Times New Roman"/>
                <w:b/>
                <w:sz w:val="24"/>
                <w:szCs w:val="24"/>
                <w:lang w:eastAsia="lv-LV"/>
              </w:rPr>
              <w:t>558 748</w:t>
            </w:r>
          </w:p>
        </w:tc>
        <w:tc>
          <w:tcPr>
            <w:tcW w:w="699" w:type="pct"/>
            <w:tcBorders>
              <w:top w:val="outset" w:sz="6" w:space="0" w:color="414142"/>
              <w:left w:val="outset" w:sz="6" w:space="0" w:color="414142"/>
              <w:bottom w:val="outset" w:sz="6" w:space="0" w:color="414142"/>
              <w:right w:val="outset" w:sz="6" w:space="0" w:color="414142"/>
            </w:tcBorders>
          </w:tcPr>
          <w:p w:rsidR="00713864" w:rsidRPr="003F2D16" w:rsidP="00713864">
            <w:pPr>
              <w:spacing w:after="120" w:line="240" w:lineRule="auto"/>
              <w:jc w:val="center"/>
              <w:rPr>
                <w:rFonts w:ascii="Times New Roman" w:eastAsia="Times New Roman" w:hAnsi="Times New Roman" w:cs="Times New Roman"/>
                <w:b/>
                <w:sz w:val="24"/>
                <w:szCs w:val="24"/>
                <w:lang w:eastAsia="lv-LV"/>
              </w:rPr>
            </w:pPr>
            <w:r w:rsidRPr="003F2D16">
              <w:rPr>
                <w:rFonts w:ascii="Times New Roman" w:eastAsia="Times New Roman" w:hAnsi="Times New Roman" w:cs="Times New Roman"/>
                <w:b/>
                <w:sz w:val="24"/>
                <w:szCs w:val="24"/>
                <w:lang w:eastAsia="lv-LV"/>
              </w:rPr>
              <w:t>2 </w:t>
            </w:r>
            <w:r>
              <w:rPr>
                <w:rFonts w:ascii="Times New Roman" w:eastAsia="Times New Roman" w:hAnsi="Times New Roman" w:cs="Times New Roman"/>
                <w:b/>
                <w:sz w:val="24"/>
                <w:szCs w:val="24"/>
                <w:lang w:eastAsia="lv-LV"/>
              </w:rPr>
              <w:t>558 748</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713864" w:rsidRPr="00006932" w:rsidP="00713864">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2.1. valsts pamatbudžets</w:t>
            </w:r>
          </w:p>
        </w:tc>
        <w:tc>
          <w:tcPr>
            <w:tcW w:w="888" w:type="pct"/>
            <w:tcBorders>
              <w:top w:val="outset" w:sz="6" w:space="0" w:color="414142"/>
              <w:left w:val="outset" w:sz="6" w:space="0" w:color="414142"/>
              <w:bottom w:val="outset" w:sz="6" w:space="0" w:color="414142"/>
              <w:right w:val="outset" w:sz="6" w:space="0" w:color="414142"/>
            </w:tcBorders>
            <w:hideMark/>
          </w:tcPr>
          <w:p w:rsidR="00713864" w:rsidRPr="00B6431E" w:rsidP="00713864">
            <w:pPr>
              <w:spacing w:after="120" w:line="240" w:lineRule="auto"/>
              <w:jc w:val="center"/>
              <w:rPr>
                <w:rFonts w:ascii="Times New Roman" w:eastAsia="Times New Roman" w:hAnsi="Times New Roman" w:cs="Times New Roman"/>
                <w:b/>
                <w:color w:val="414142"/>
                <w:sz w:val="24"/>
                <w:szCs w:val="24"/>
                <w:lang w:eastAsia="lv-LV"/>
              </w:rPr>
            </w:pPr>
            <w:r w:rsidRPr="00B6431E">
              <w:rPr>
                <w:rFonts w:ascii="Times New Roman" w:hAnsi="Times New Roman" w:cs="Times New Roman"/>
                <w:b/>
                <w:sz w:val="24"/>
                <w:szCs w:val="24"/>
              </w:rPr>
              <w:t>602 016</w:t>
            </w:r>
          </w:p>
        </w:tc>
        <w:tc>
          <w:tcPr>
            <w:tcW w:w="738" w:type="pct"/>
            <w:tcBorders>
              <w:top w:val="outset" w:sz="6" w:space="0" w:color="414142"/>
              <w:left w:val="outset" w:sz="6" w:space="0" w:color="414142"/>
              <w:bottom w:val="outset" w:sz="6" w:space="0" w:color="414142"/>
              <w:right w:val="outset" w:sz="6" w:space="0" w:color="414142"/>
            </w:tcBorders>
            <w:hideMark/>
          </w:tcPr>
          <w:p w:rsidR="00713864" w:rsidRPr="00006932" w:rsidP="00713864">
            <w:pPr>
              <w:spacing w:after="120" w:line="240" w:lineRule="auto"/>
              <w:jc w:val="center"/>
              <w:rPr>
                <w:rFonts w:ascii="Times New Roman" w:eastAsia="Times New Roman" w:hAnsi="Times New Roman" w:cs="Times New Roman"/>
                <w:sz w:val="24"/>
                <w:szCs w:val="24"/>
                <w:lang w:eastAsia="lv-LV"/>
              </w:rPr>
            </w:pPr>
            <w:r w:rsidRPr="0031058A">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hideMark/>
          </w:tcPr>
          <w:p w:rsidR="00713864" w:rsidRPr="00DB60FE" w:rsidP="00713864">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tcPr>
          <w:p w:rsidR="00713864" w:rsidRPr="006C0AC1" w:rsidP="00713864">
            <w:pPr>
              <w:spacing w:after="120" w:line="240" w:lineRule="auto"/>
              <w:jc w:val="center"/>
              <w:rPr>
                <w:rFonts w:ascii="Times New Roman" w:eastAsia="Times New Roman" w:hAnsi="Times New Roman" w:cs="Times New Roman"/>
                <w:sz w:val="24"/>
                <w:szCs w:val="24"/>
                <w:lang w:eastAsia="lv-LV"/>
              </w:rPr>
            </w:pPr>
            <w:r w:rsidRPr="003F2D16">
              <w:rPr>
                <w:rFonts w:ascii="Times New Roman" w:eastAsia="Times New Roman" w:hAnsi="Times New Roman" w:cs="Times New Roman"/>
                <w:b/>
                <w:sz w:val="24"/>
                <w:szCs w:val="24"/>
                <w:lang w:eastAsia="lv-LV"/>
              </w:rPr>
              <w:t>2 </w:t>
            </w:r>
            <w:r>
              <w:rPr>
                <w:rFonts w:ascii="Times New Roman" w:eastAsia="Times New Roman" w:hAnsi="Times New Roman" w:cs="Times New Roman"/>
                <w:b/>
                <w:sz w:val="24"/>
                <w:szCs w:val="24"/>
                <w:lang w:eastAsia="lv-LV"/>
              </w:rPr>
              <w:t>558 748</w:t>
            </w:r>
          </w:p>
        </w:tc>
        <w:tc>
          <w:tcPr>
            <w:tcW w:w="699" w:type="pct"/>
            <w:tcBorders>
              <w:top w:val="outset" w:sz="6" w:space="0" w:color="414142"/>
              <w:left w:val="outset" w:sz="6" w:space="0" w:color="414142"/>
              <w:bottom w:val="outset" w:sz="6" w:space="0" w:color="414142"/>
              <w:right w:val="outset" w:sz="6" w:space="0" w:color="414142"/>
            </w:tcBorders>
          </w:tcPr>
          <w:p w:rsidR="00713864" w:rsidRPr="00B6431E" w:rsidP="00713864">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2 558 748</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tcPr>
          <w:p w:rsidR="002963F0" w:rsidRPr="008B4761" w:rsidP="002963F0">
            <w:pPr>
              <w:spacing w:after="0" w:line="240" w:lineRule="auto"/>
              <w:ind w:left="112"/>
              <w:rPr>
                <w:rFonts w:ascii="Times New Roman" w:eastAsia="Times New Roman" w:hAnsi="Times New Roman" w:cs="Times New Roman"/>
                <w:color w:val="414142"/>
                <w:sz w:val="24"/>
                <w:szCs w:val="24"/>
                <w:lang w:eastAsia="lv-LV"/>
              </w:rPr>
            </w:pPr>
            <w:r w:rsidRPr="008B4761">
              <w:rPr>
                <w:rFonts w:ascii="Times New Roman" w:hAnsi="Times New Roman" w:cs="Times New Roman"/>
                <w:sz w:val="24"/>
                <w:szCs w:val="24"/>
              </w:rPr>
              <w:t>apakšprogramma 33.03.00 “Kompensējamo medikamentu un materiālu apmaksāšana”</w:t>
            </w:r>
          </w:p>
        </w:tc>
        <w:tc>
          <w:tcPr>
            <w:tcW w:w="888" w:type="pct"/>
            <w:tcBorders>
              <w:top w:val="outset" w:sz="6" w:space="0" w:color="414142"/>
              <w:left w:val="outset" w:sz="6" w:space="0" w:color="414142"/>
              <w:bottom w:val="outset" w:sz="6" w:space="0" w:color="414142"/>
              <w:right w:val="outset" w:sz="6" w:space="0" w:color="414142"/>
            </w:tcBorders>
            <w:vAlign w:val="center"/>
          </w:tcPr>
          <w:p w:rsidR="002963F0" w:rsidRPr="00B6431E" w:rsidP="002963F0">
            <w:pPr>
              <w:pStyle w:val="naisf"/>
              <w:spacing w:before="0" w:after="0"/>
              <w:ind w:firstLine="0"/>
              <w:jc w:val="center"/>
              <w:rPr>
                <w:b/>
              </w:rPr>
            </w:pPr>
            <w:r w:rsidRPr="00B6431E">
              <w:rPr>
                <w:b/>
              </w:rPr>
              <w:t>602 016</w:t>
            </w:r>
          </w:p>
        </w:tc>
        <w:tc>
          <w:tcPr>
            <w:tcW w:w="738" w:type="pct"/>
            <w:tcBorders>
              <w:top w:val="outset" w:sz="6" w:space="0" w:color="414142"/>
              <w:left w:val="outset" w:sz="6" w:space="0" w:color="414142"/>
              <w:bottom w:val="outset" w:sz="6" w:space="0" w:color="414142"/>
              <w:right w:val="outset" w:sz="6" w:space="0" w:color="414142"/>
            </w:tcBorders>
            <w:vAlign w:val="center"/>
          </w:tcPr>
          <w:p w:rsidR="002963F0" w:rsidRPr="00006932" w:rsidP="002963F0">
            <w:pPr>
              <w:spacing w:after="120" w:line="240" w:lineRule="auto"/>
              <w:jc w:val="center"/>
              <w:rPr>
                <w:rFonts w:ascii="Times New Roman" w:eastAsia="Times New Roman" w:hAnsi="Times New Roman" w:cs="Times New Roman"/>
                <w:sz w:val="24"/>
                <w:szCs w:val="24"/>
                <w:lang w:eastAsia="lv-LV"/>
              </w:rPr>
            </w:pPr>
            <w:r w:rsidRPr="0031058A">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vAlign w:val="center"/>
          </w:tcPr>
          <w:p w:rsidR="002963F0" w:rsidRPr="004C5CE1" w:rsidP="002963F0">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vAlign w:val="center"/>
          </w:tcPr>
          <w:p w:rsidR="002963F0" w:rsidRPr="00862AAD" w:rsidP="002963F0">
            <w:pPr>
              <w:spacing w:after="120" w:line="240" w:lineRule="auto"/>
              <w:jc w:val="center"/>
              <w:rPr>
                <w:rFonts w:ascii="Times New Roman" w:eastAsia="Times New Roman" w:hAnsi="Times New Roman" w:cs="Times New Roman"/>
                <w:sz w:val="24"/>
                <w:szCs w:val="24"/>
                <w:lang w:eastAsia="lv-LV"/>
              </w:rPr>
            </w:pPr>
            <w:r w:rsidRPr="003F2D16">
              <w:rPr>
                <w:rFonts w:ascii="Times New Roman" w:eastAsia="Times New Roman" w:hAnsi="Times New Roman" w:cs="Times New Roman"/>
                <w:b/>
                <w:sz w:val="24"/>
                <w:szCs w:val="24"/>
                <w:lang w:eastAsia="lv-LV"/>
              </w:rPr>
              <w:t>2 </w:t>
            </w:r>
            <w:r>
              <w:rPr>
                <w:rFonts w:ascii="Times New Roman" w:eastAsia="Times New Roman" w:hAnsi="Times New Roman" w:cs="Times New Roman"/>
                <w:b/>
                <w:sz w:val="24"/>
                <w:szCs w:val="24"/>
                <w:lang w:eastAsia="lv-LV"/>
              </w:rPr>
              <w:t>558 748</w:t>
            </w:r>
          </w:p>
        </w:tc>
        <w:tc>
          <w:tcPr>
            <w:tcW w:w="699" w:type="pct"/>
            <w:tcBorders>
              <w:top w:val="outset" w:sz="6" w:space="0" w:color="414142"/>
              <w:left w:val="outset" w:sz="6" w:space="0" w:color="414142"/>
              <w:bottom w:val="outset" w:sz="6" w:space="0" w:color="414142"/>
              <w:right w:val="outset" w:sz="6" w:space="0" w:color="414142"/>
            </w:tcBorders>
            <w:vAlign w:val="center"/>
          </w:tcPr>
          <w:p w:rsidR="002963F0" w:rsidRPr="00B6431E" w:rsidP="002963F0">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2 558 748</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2.2. valsts speciālais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2.3. 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9A2751" w:rsidRPr="00006932" w:rsidP="009A2751">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 Finansiālā ietekme:</w:t>
            </w:r>
          </w:p>
        </w:tc>
        <w:tc>
          <w:tcPr>
            <w:tcW w:w="888" w:type="pct"/>
            <w:tcBorders>
              <w:top w:val="outset" w:sz="6" w:space="0" w:color="414142"/>
              <w:left w:val="outset" w:sz="6" w:space="0" w:color="414142"/>
              <w:bottom w:val="outset" w:sz="6" w:space="0" w:color="414142"/>
              <w:right w:val="outset" w:sz="6" w:space="0" w:color="414142"/>
            </w:tcBorders>
            <w:vAlign w:val="center"/>
            <w:hideMark/>
          </w:tcPr>
          <w:p w:rsidR="009A2751" w:rsidRPr="00F21884" w:rsidP="009A2751">
            <w:pPr>
              <w:pStyle w:val="naisf"/>
              <w:spacing w:before="0" w:after="0"/>
              <w:ind w:firstLine="0"/>
              <w:jc w:val="center"/>
              <w:rPr>
                <w:b/>
              </w:rPr>
            </w:pPr>
            <w:r>
              <w:rPr>
                <w:b/>
              </w:rPr>
              <w:t>0</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9A2751" w:rsidRPr="00B6431E" w:rsidP="009A2751">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w:t>
            </w:r>
            <w:r w:rsidRPr="00B6431E" w:rsidR="003F5278">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9A2751" w:rsidRPr="003F2D16" w:rsidP="009A27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w:t>
            </w:r>
            <w:r w:rsidR="003F5278">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vAlign w:val="center"/>
          </w:tcPr>
          <w:p w:rsidR="009A2751" w:rsidRPr="003F2D16" w:rsidP="009A27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w:t>
            </w:r>
            <w:r w:rsidR="003F5278">
              <w:rPr>
                <w:rFonts w:ascii="Times New Roman" w:eastAsia="Times New Roman" w:hAnsi="Times New Roman" w:cs="Times New Roman"/>
                <w:b/>
                <w:sz w:val="24"/>
                <w:szCs w:val="24"/>
                <w:lang w:eastAsia="lv-LV"/>
              </w:rPr>
              <w:t>2 558 748</w:t>
            </w:r>
          </w:p>
        </w:tc>
        <w:tc>
          <w:tcPr>
            <w:tcW w:w="699" w:type="pct"/>
            <w:tcBorders>
              <w:top w:val="outset" w:sz="6" w:space="0" w:color="414142"/>
              <w:left w:val="outset" w:sz="6" w:space="0" w:color="414142"/>
              <w:bottom w:val="outset" w:sz="6" w:space="0" w:color="414142"/>
              <w:right w:val="outset" w:sz="6" w:space="0" w:color="414142"/>
            </w:tcBorders>
            <w:vAlign w:val="center"/>
          </w:tcPr>
          <w:p w:rsidR="009A2751" w:rsidRPr="003F2D16" w:rsidP="00EF08EC">
            <w:pPr>
              <w:spacing w:after="12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-2 588 748</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3F5278" w:rsidRPr="00006932" w:rsidP="003F5278">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3.1. valsts pamatbudžets</w:t>
            </w:r>
          </w:p>
        </w:tc>
        <w:tc>
          <w:tcPr>
            <w:tcW w:w="888" w:type="pct"/>
            <w:tcBorders>
              <w:top w:val="outset" w:sz="6" w:space="0" w:color="414142"/>
              <w:left w:val="outset" w:sz="6" w:space="0" w:color="414142"/>
              <w:bottom w:val="outset" w:sz="6" w:space="0" w:color="414142"/>
              <w:right w:val="outset" w:sz="6" w:space="0" w:color="414142"/>
            </w:tcBorders>
            <w:vAlign w:val="center"/>
            <w:hideMark/>
          </w:tcPr>
          <w:p w:rsidR="003F5278" w:rsidRPr="00F21884" w:rsidP="003F5278">
            <w:pPr>
              <w:pStyle w:val="naisf"/>
              <w:spacing w:before="0" w:after="0"/>
              <w:ind w:firstLine="0"/>
              <w:jc w:val="center"/>
            </w:pPr>
            <w:r>
              <w:t>0</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3F5278" w:rsidRPr="00B6431E" w:rsidP="003F5278">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w:t>
            </w:r>
            <w:r w:rsidRPr="00B6431E">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3F5278" w:rsidRPr="00DB60FE" w:rsidP="003F5278">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vAlign w:val="center"/>
          </w:tcPr>
          <w:p w:rsidR="003F5278" w:rsidRPr="006C0AC1" w:rsidP="003F5278">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2 558 748</w:t>
            </w:r>
          </w:p>
        </w:tc>
        <w:tc>
          <w:tcPr>
            <w:tcW w:w="699" w:type="pct"/>
            <w:tcBorders>
              <w:top w:val="outset" w:sz="6" w:space="0" w:color="414142"/>
              <w:left w:val="outset" w:sz="6" w:space="0" w:color="414142"/>
              <w:bottom w:val="outset" w:sz="6" w:space="0" w:color="414142"/>
              <w:right w:val="outset" w:sz="6" w:space="0" w:color="414142"/>
            </w:tcBorders>
            <w:vAlign w:val="center"/>
          </w:tcPr>
          <w:p w:rsidR="003F5278" w:rsidRPr="00B6431E" w:rsidP="003F5278">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-2 558 748</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tcPr>
          <w:p w:rsidR="003F5278" w:rsidRPr="00894C55" w:rsidP="003F5278">
            <w:pPr>
              <w:spacing w:after="120" w:line="240" w:lineRule="auto"/>
              <w:ind w:left="112"/>
              <w:rPr>
                <w:rFonts w:ascii="Times New Roman" w:eastAsia="Times New Roman" w:hAnsi="Times New Roman" w:cs="Times New Roman"/>
                <w:color w:val="414142"/>
                <w:sz w:val="24"/>
                <w:szCs w:val="24"/>
                <w:lang w:eastAsia="lv-LV"/>
              </w:rPr>
            </w:pPr>
            <w:r w:rsidRPr="008B4761">
              <w:rPr>
                <w:rFonts w:ascii="Times New Roman" w:hAnsi="Times New Roman" w:cs="Times New Roman"/>
                <w:sz w:val="24"/>
                <w:szCs w:val="24"/>
              </w:rPr>
              <w:t>apakšprogramma 33.03.00 “Kompensējamo medikamentu un materiālu apmaksāšana”</w:t>
            </w:r>
          </w:p>
        </w:tc>
        <w:tc>
          <w:tcPr>
            <w:tcW w:w="888" w:type="pct"/>
            <w:tcBorders>
              <w:top w:val="outset" w:sz="6" w:space="0" w:color="414142"/>
              <w:left w:val="outset" w:sz="6" w:space="0" w:color="414142"/>
              <w:bottom w:val="outset" w:sz="6" w:space="0" w:color="414142"/>
              <w:right w:val="outset" w:sz="6" w:space="0" w:color="414142"/>
            </w:tcBorders>
            <w:vAlign w:val="center"/>
          </w:tcPr>
          <w:p w:rsidR="003F5278" w:rsidP="003F5278">
            <w:pPr>
              <w:pStyle w:val="naisf"/>
              <w:spacing w:before="0" w:after="0"/>
              <w:ind w:firstLine="0"/>
              <w:jc w:val="center"/>
            </w:pPr>
            <w:r>
              <w:t>0</w:t>
            </w:r>
          </w:p>
        </w:tc>
        <w:tc>
          <w:tcPr>
            <w:tcW w:w="738" w:type="pct"/>
            <w:tcBorders>
              <w:top w:val="outset" w:sz="6" w:space="0" w:color="414142"/>
              <w:left w:val="outset" w:sz="6" w:space="0" w:color="414142"/>
              <w:bottom w:val="outset" w:sz="6" w:space="0" w:color="414142"/>
              <w:right w:val="outset" w:sz="6" w:space="0" w:color="414142"/>
            </w:tcBorders>
            <w:vAlign w:val="center"/>
          </w:tcPr>
          <w:p w:rsidR="003F5278" w:rsidRPr="00B6431E" w:rsidP="003F5278">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w:t>
            </w:r>
            <w:r w:rsidRPr="00B6431E">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vAlign w:val="center"/>
          </w:tcPr>
          <w:p w:rsidR="003F5278" w:rsidRPr="00DB60FE" w:rsidP="003F5278">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vAlign w:val="center"/>
          </w:tcPr>
          <w:p w:rsidR="003F5278" w:rsidRPr="003F2D16" w:rsidP="003F5278">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2 558 748</w:t>
            </w:r>
          </w:p>
        </w:tc>
        <w:tc>
          <w:tcPr>
            <w:tcW w:w="699" w:type="pct"/>
            <w:tcBorders>
              <w:top w:val="outset" w:sz="6" w:space="0" w:color="414142"/>
              <w:left w:val="outset" w:sz="6" w:space="0" w:color="414142"/>
              <w:bottom w:val="outset" w:sz="6" w:space="0" w:color="414142"/>
              <w:right w:val="outset" w:sz="6" w:space="0" w:color="414142"/>
            </w:tcBorders>
            <w:vAlign w:val="center"/>
          </w:tcPr>
          <w:p w:rsidR="003F5278" w:rsidRPr="003F2D16" w:rsidP="003F5278">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B6431E">
              <w:rPr>
                <w:rFonts w:ascii="Times New Roman" w:eastAsia="Times New Roman" w:hAnsi="Times New Roman" w:cs="Times New Roman"/>
                <w:b/>
                <w:sz w:val="24"/>
                <w:szCs w:val="24"/>
                <w:lang w:eastAsia="lv-LV"/>
              </w:rPr>
              <w:t>2 558 748</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3.2. speciālais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DB60FE" w:rsidP="00123EEF">
            <w:pPr>
              <w:spacing w:after="120" w:line="240" w:lineRule="auto"/>
              <w:jc w:val="center"/>
              <w:rPr>
                <w:rFonts w:ascii="Times New Roman" w:eastAsia="Times New Roman" w:hAnsi="Times New Roman" w:cs="Times New Roman"/>
                <w:sz w:val="24"/>
                <w:szCs w:val="24"/>
                <w:lang w:eastAsia="lv-LV"/>
              </w:rPr>
            </w:pPr>
            <w:r w:rsidRPr="00DB60FE">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3.3. 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DB60FE" w:rsidP="00123EEF">
            <w:pPr>
              <w:spacing w:after="120" w:line="240" w:lineRule="auto"/>
              <w:jc w:val="center"/>
              <w:rPr>
                <w:rFonts w:ascii="Times New Roman" w:eastAsia="Times New Roman" w:hAnsi="Times New Roman" w:cs="Times New Roman"/>
                <w:sz w:val="24"/>
                <w:szCs w:val="24"/>
                <w:lang w:eastAsia="lv-LV"/>
              </w:rPr>
            </w:pPr>
            <w:r w:rsidRPr="00DB60FE">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9F2D99">
        <w:tblPrEx>
          <w:tblW w:w="5000" w:type="pct"/>
          <w:jc w:val="center"/>
          <w:tblCellMar>
            <w:top w:w="24" w:type="dxa"/>
            <w:left w:w="24" w:type="dxa"/>
            <w:bottom w:w="24" w:type="dxa"/>
            <w:right w:w="24" w:type="dxa"/>
          </w:tblCellMar>
          <w:tblLook w:val="04A0"/>
        </w:tblPrEx>
        <w:trPr>
          <w:jc w:val="center"/>
        </w:trPr>
        <w:tc>
          <w:tcPr>
            <w:tcW w:w="1320" w:type="pct"/>
            <w:vMerge w:val="restar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88" w:type="pct"/>
            <w:vMerge w:val="restart"/>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X</w:t>
            </w: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123EEF" w:rsidRPr="00DB60FE" w:rsidP="00123EEF">
            <w:pPr>
              <w:spacing w:after="120" w:line="240" w:lineRule="auto"/>
              <w:jc w:val="center"/>
              <w:rPr>
                <w:rFonts w:ascii="Times New Roman" w:eastAsia="Times New Roman" w:hAnsi="Times New Roman" w:cs="Times New Roman"/>
                <w:sz w:val="24"/>
                <w:szCs w:val="24"/>
                <w:lang w:eastAsia="lv-LV"/>
              </w:rPr>
            </w:pP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r>
      <w:tr w:rsidTr="009F2D99">
        <w:tblPrEx>
          <w:tblW w:w="5000" w:type="pct"/>
          <w:jc w:val="center"/>
          <w:tblCellMar>
            <w:top w:w="24" w:type="dxa"/>
            <w:left w:w="24" w:type="dxa"/>
            <w:bottom w:w="24" w:type="dxa"/>
            <w:right w:w="24" w:type="dxa"/>
          </w:tblCellMar>
          <w:tblLook w:val="04A0"/>
        </w:tblPrEx>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rPr>
                <w:rFonts w:ascii="Times New Roman" w:eastAsia="Times New Roman" w:hAnsi="Times New Roman" w:cs="Times New Roman"/>
                <w:sz w:val="24"/>
                <w:szCs w:val="24"/>
                <w:lang w:eastAsia="lv-LV"/>
              </w:rPr>
            </w:pP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123EEF" w:rsidRPr="00DB60FE" w:rsidP="00123EEF">
            <w:pPr>
              <w:spacing w:after="120" w:line="240" w:lineRule="auto"/>
              <w:jc w:val="center"/>
              <w:rPr>
                <w:rFonts w:ascii="Times New Roman" w:eastAsia="Times New Roman" w:hAnsi="Times New Roman" w:cs="Times New Roman"/>
                <w:sz w:val="24"/>
                <w:szCs w:val="24"/>
                <w:lang w:eastAsia="lv-LV"/>
              </w:rPr>
            </w:pP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r>
      <w:tr w:rsidTr="009F2D99">
        <w:tblPrEx>
          <w:tblW w:w="5000" w:type="pct"/>
          <w:jc w:val="center"/>
          <w:tblCellMar>
            <w:top w:w="24" w:type="dxa"/>
            <w:left w:w="24" w:type="dxa"/>
            <w:bottom w:w="24" w:type="dxa"/>
            <w:right w:w="24" w:type="dxa"/>
          </w:tblCellMar>
          <w:tblLook w:val="04A0"/>
        </w:tblPrEx>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2963F0" w:rsidRPr="00006932" w:rsidP="002963F0">
            <w:pPr>
              <w:spacing w:after="120" w:line="240" w:lineRule="auto"/>
              <w:rPr>
                <w:rFonts w:ascii="Times New Roman" w:eastAsia="Times New Roman" w:hAnsi="Times New Roman" w:cs="Times New Roman"/>
                <w:sz w:val="24"/>
                <w:szCs w:val="24"/>
                <w:lang w:eastAsia="lv-LV"/>
              </w:rPr>
            </w:pP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rsidR="002963F0" w:rsidRPr="00006932" w:rsidP="002963F0">
            <w:pPr>
              <w:spacing w:after="12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2963F0" w:rsidRPr="00B6431E" w:rsidP="002963F0">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1 208 748</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2963F0" w:rsidRPr="00B6431E" w:rsidP="002963F0">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1 883 748</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2963F0" w:rsidRPr="00B6431E" w:rsidP="002963F0">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2 558 748</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2963F0" w:rsidRPr="00B6431E" w:rsidP="002963F0">
            <w:pPr>
              <w:spacing w:after="120" w:line="240" w:lineRule="auto"/>
              <w:jc w:val="center"/>
              <w:rPr>
                <w:rFonts w:ascii="Times New Roman" w:eastAsia="Times New Roman" w:hAnsi="Times New Roman" w:cs="Times New Roman"/>
                <w:b/>
                <w:sz w:val="24"/>
                <w:szCs w:val="24"/>
                <w:lang w:eastAsia="lv-LV"/>
              </w:rPr>
            </w:pPr>
            <w:r w:rsidRPr="00B6431E">
              <w:rPr>
                <w:rFonts w:ascii="Times New Roman" w:eastAsia="Times New Roman" w:hAnsi="Times New Roman" w:cs="Times New Roman"/>
                <w:b/>
                <w:sz w:val="24"/>
                <w:szCs w:val="24"/>
                <w:lang w:eastAsia="lv-LV"/>
              </w:rPr>
              <w:t>2 558 748</w:t>
            </w:r>
          </w:p>
        </w:tc>
      </w:tr>
      <w:tr w:rsidTr="009F2D99">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9A2751" w:rsidRPr="00006932" w:rsidP="009A2751">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5. Precizēta finansiālā ietekme:</w:t>
            </w:r>
          </w:p>
        </w:tc>
        <w:tc>
          <w:tcPr>
            <w:tcW w:w="888" w:type="pct"/>
            <w:vMerge w:val="restart"/>
            <w:tcBorders>
              <w:top w:val="outset" w:sz="6" w:space="0" w:color="414142"/>
              <w:left w:val="outset" w:sz="6" w:space="0" w:color="414142"/>
              <w:bottom w:val="outset" w:sz="6" w:space="0" w:color="414142"/>
              <w:right w:val="outset" w:sz="6" w:space="0" w:color="414142"/>
            </w:tcBorders>
            <w:vAlign w:val="center"/>
            <w:hideMark/>
          </w:tcPr>
          <w:p w:rsidR="009A2751" w:rsidRPr="00006932" w:rsidP="009A2751">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X</w:t>
            </w:r>
          </w:p>
        </w:tc>
        <w:tc>
          <w:tcPr>
            <w:tcW w:w="738" w:type="pct"/>
            <w:tcBorders>
              <w:top w:val="outset" w:sz="6" w:space="0" w:color="414142"/>
              <w:left w:val="outset" w:sz="6" w:space="0" w:color="414142"/>
              <w:bottom w:val="outset" w:sz="6" w:space="0" w:color="414142"/>
              <w:right w:val="outset" w:sz="6" w:space="0" w:color="414142"/>
            </w:tcBorders>
            <w:hideMark/>
          </w:tcPr>
          <w:p w:rsidR="009A2751" w:rsidRPr="00006932" w:rsidP="009A2751">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9A2751" w:rsidRPr="003F2D16" w:rsidP="009A27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tcPr>
          <w:p w:rsidR="009A2751" w:rsidRPr="003F2D16" w:rsidP="009A27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tcPr>
          <w:p w:rsidR="009A2751" w:rsidRPr="003F2D16" w:rsidP="009A27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9A2751" w:rsidRPr="00006932" w:rsidP="009A2751">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5.1. valsts pamatbudžets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rsidR="009A2751" w:rsidRPr="00006932" w:rsidP="009A2751">
            <w:pPr>
              <w:spacing w:after="12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rsidR="009A2751" w:rsidRPr="00006932" w:rsidP="009A2751">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9A2751" w:rsidRPr="00DB60FE" w:rsidP="009A2751">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tcPr>
          <w:p w:rsidR="009A2751" w:rsidRPr="006C0AC1" w:rsidP="009A2751">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tcPr>
          <w:p w:rsidR="009A2751" w:rsidRPr="006C0AC1" w:rsidP="009A2751">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5.2. speciālais 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DB60FE" w:rsidP="00123EEF">
            <w:pPr>
              <w:spacing w:after="120" w:line="240" w:lineRule="auto"/>
              <w:jc w:val="center"/>
              <w:rPr>
                <w:rFonts w:ascii="Times New Roman" w:eastAsia="Times New Roman" w:hAnsi="Times New Roman" w:cs="Times New Roman"/>
                <w:sz w:val="24"/>
                <w:szCs w:val="24"/>
                <w:lang w:eastAsia="lv-LV"/>
              </w:rPr>
            </w:pPr>
            <w:r w:rsidRPr="00DB60FE">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5.3. pašvaldību 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77"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jc w:val="center"/>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0</w:t>
            </w: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w:t>
            </w:r>
            <w:r w:rsidRPr="00006932">
              <w:rPr>
                <w:rFonts w:ascii="Times New Roman" w:eastAsia="Times New Roman" w:hAnsi="Times New Roman" w:cs="Times New Roman"/>
                <w:sz w:val="24"/>
                <w:szCs w:val="24"/>
                <w:lang w:eastAsia="lv-LV"/>
              </w:rPr>
              <w:t>pievienot anotācijas pielikumā):</w:t>
            </w:r>
          </w:p>
        </w:tc>
        <w:tc>
          <w:tcPr>
            <w:tcW w:w="368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10901" w:rsidP="00910901">
            <w:pPr>
              <w:pStyle w:val="naisc"/>
              <w:spacing w:before="120" w:after="120"/>
              <w:jc w:val="both"/>
              <w:rPr>
                <w:noProof/>
              </w:rPr>
            </w:pPr>
            <w:r w:rsidRPr="002B1BF1">
              <w:rPr>
                <w:noProof/>
              </w:rPr>
              <w:t xml:space="preserve">Finansējums ambulatorajai ārstēšanai paredzēto zāļu un medicīnas ierīču kompensācijai tiek plānots Veselības ministrijas budžeta </w:t>
            </w:r>
            <w:r w:rsidR="00E1692B">
              <w:rPr>
                <w:noProof/>
              </w:rPr>
              <w:t>programmas 33.00.00 “</w:t>
            </w:r>
            <w:r w:rsidRPr="00E1692B" w:rsidR="00E1692B">
              <w:rPr>
                <w:noProof/>
              </w:rPr>
              <w:t>Veselības aprūpes nodrošināšana</w:t>
            </w:r>
            <w:r w:rsidR="00E1692B">
              <w:rPr>
                <w:noProof/>
              </w:rPr>
              <w:t xml:space="preserve">” </w:t>
            </w:r>
            <w:r w:rsidRPr="002B1BF1">
              <w:rPr>
                <w:noProof/>
              </w:rPr>
              <w:t>apakšprogrammā 33.03.00 “Kompensējamo medikamentu un materiālu apmaksāšana”</w:t>
            </w:r>
            <w:r>
              <w:rPr>
                <w:noProof/>
              </w:rPr>
              <w:t>.</w:t>
            </w:r>
          </w:p>
          <w:p w:rsidR="00910901" w:rsidRPr="005A3FD8" w:rsidP="003F02A9">
            <w:pPr>
              <w:pStyle w:val="naisc"/>
              <w:spacing w:before="120" w:after="120"/>
              <w:jc w:val="both"/>
              <w:rPr>
                <w:noProof/>
              </w:rPr>
            </w:pPr>
            <w:r>
              <w:rPr>
                <w:b/>
                <w:noProof/>
              </w:rPr>
              <w:t xml:space="preserve">1) </w:t>
            </w:r>
            <w:r w:rsidRPr="005A3FD8" w:rsidR="002963F0">
              <w:rPr>
                <w:b/>
                <w:noProof/>
              </w:rPr>
              <w:t xml:space="preserve">Atbilstoši </w:t>
            </w:r>
            <w:r w:rsidRPr="002C0B3F" w:rsidR="002963F0">
              <w:rPr>
                <w:b/>
                <w:noProof/>
              </w:rPr>
              <w:t>Liku</w:t>
            </w:r>
            <w:r w:rsidR="00911EF1">
              <w:rPr>
                <w:b/>
                <w:noProof/>
              </w:rPr>
              <w:t>mam</w:t>
            </w:r>
            <w:r w:rsidRPr="002C0B3F" w:rsidR="002963F0">
              <w:rPr>
                <w:b/>
                <w:noProof/>
              </w:rPr>
              <w:t xml:space="preserve"> “Par valsts budžetu 2018.gadam”</w:t>
            </w:r>
            <w:r w:rsidR="002963F0">
              <w:rPr>
                <w:noProof/>
              </w:rPr>
              <w:t xml:space="preserve"> </w:t>
            </w:r>
            <w:r w:rsidR="00911EF1">
              <w:rPr>
                <w:noProof/>
              </w:rPr>
              <w:t>(izsludināts 2017.gada 6.decembrī)</w:t>
            </w:r>
            <w:r w:rsidR="002963F0">
              <w:rPr>
                <w:noProof/>
              </w:rPr>
              <w:t>:</w:t>
            </w:r>
          </w:p>
          <w:p w:rsidR="00910901" w:rsidRPr="005A3FD8" w:rsidP="00910901">
            <w:pPr>
              <w:pStyle w:val="naisc"/>
              <w:spacing w:before="0" w:after="0"/>
              <w:ind w:left="28"/>
              <w:jc w:val="both"/>
              <w:rPr>
                <w:noProof/>
              </w:rPr>
            </w:pPr>
            <w:r w:rsidRPr="005A3FD8">
              <w:rPr>
                <w:b/>
                <w:noProof/>
              </w:rPr>
              <w:t xml:space="preserve">Resursi izdevumu segšanai </w:t>
            </w:r>
            <w:r>
              <w:rPr>
                <w:b/>
                <w:noProof/>
              </w:rPr>
              <w:t>129 993 386</w:t>
            </w:r>
            <w:r w:rsidRPr="005A3FD8">
              <w:rPr>
                <w:b/>
                <w:noProof/>
              </w:rPr>
              <w:t xml:space="preserve"> </w:t>
            </w:r>
            <w:r w:rsidRPr="005A3FD8">
              <w:rPr>
                <w:b/>
                <w:i/>
                <w:noProof/>
              </w:rPr>
              <w:t>euro</w:t>
            </w:r>
            <w:r w:rsidRPr="005A3FD8">
              <w:rPr>
                <w:noProof/>
              </w:rPr>
              <w:t>,</w:t>
            </w:r>
          </w:p>
          <w:p w:rsidR="00910901" w:rsidRPr="005A3FD8" w:rsidP="00910901">
            <w:pPr>
              <w:pStyle w:val="naisc"/>
              <w:spacing w:before="0" w:after="0"/>
              <w:ind w:left="311"/>
              <w:jc w:val="both"/>
              <w:rPr>
                <w:noProof/>
              </w:rPr>
            </w:pPr>
            <w:r w:rsidRPr="005A3FD8">
              <w:rPr>
                <w:noProof/>
              </w:rPr>
              <w:t>tai skaitā:</w:t>
            </w:r>
          </w:p>
          <w:p w:rsidR="00910901" w:rsidRPr="005A3FD8" w:rsidP="00910901">
            <w:pPr>
              <w:pStyle w:val="naisc"/>
              <w:spacing w:before="0" w:after="0"/>
              <w:ind w:left="311"/>
              <w:jc w:val="both"/>
              <w:rPr>
                <w:noProof/>
              </w:rPr>
            </w:pPr>
            <w:r w:rsidRPr="005A3FD8">
              <w:rPr>
                <w:noProof/>
              </w:rPr>
              <w:t xml:space="preserve">dotācija no vispārējiem ieņēmumiem </w:t>
            </w:r>
            <w:r>
              <w:rPr>
                <w:noProof/>
              </w:rPr>
              <w:t>122 971 332</w:t>
            </w:r>
            <w:r w:rsidRPr="005A3FD8">
              <w:rPr>
                <w:noProof/>
              </w:rPr>
              <w:t xml:space="preserve"> </w:t>
            </w:r>
            <w:r w:rsidRPr="005A3FD8">
              <w:rPr>
                <w:i/>
                <w:noProof/>
              </w:rPr>
              <w:t>euro</w:t>
            </w:r>
          </w:p>
          <w:p w:rsidR="00910901" w:rsidP="00EF1750">
            <w:pPr>
              <w:pStyle w:val="naisc"/>
              <w:spacing w:before="0" w:after="0"/>
              <w:ind w:left="311"/>
              <w:jc w:val="both"/>
              <w:rPr>
                <w:i/>
                <w:noProof/>
              </w:rPr>
            </w:pPr>
            <w:r w:rsidRPr="005A3FD8">
              <w:rPr>
                <w:noProof/>
              </w:rPr>
              <w:t>pašu ieņēmumi no maksas pakalpojumiem un citi pašu ieņēmumi</w:t>
            </w:r>
            <w:r w:rsidR="00EF1750">
              <w:rPr>
                <w:noProof/>
              </w:rPr>
              <w:t xml:space="preserve"> </w:t>
            </w:r>
            <w:r>
              <w:rPr>
                <w:noProof/>
              </w:rPr>
              <w:t>7 022 054</w:t>
            </w:r>
            <w:r w:rsidRPr="005A3FD8">
              <w:rPr>
                <w:noProof/>
              </w:rPr>
              <w:t xml:space="preserve"> </w:t>
            </w:r>
            <w:r w:rsidRPr="005A3FD8">
              <w:rPr>
                <w:i/>
                <w:noProof/>
              </w:rPr>
              <w:t>euro</w:t>
            </w:r>
          </w:p>
          <w:p w:rsidR="00EF1750" w:rsidRPr="005A3FD8" w:rsidP="00EF1750">
            <w:pPr>
              <w:pStyle w:val="naisc"/>
              <w:spacing w:before="0" w:after="0"/>
              <w:ind w:left="311"/>
              <w:jc w:val="both"/>
              <w:rPr>
                <w:noProof/>
              </w:rPr>
            </w:pPr>
          </w:p>
          <w:p w:rsidR="00910901" w:rsidRPr="005A3FD8" w:rsidP="00910901">
            <w:pPr>
              <w:pStyle w:val="naisc"/>
              <w:spacing w:before="0" w:after="0"/>
              <w:ind w:left="28"/>
              <w:jc w:val="both"/>
              <w:rPr>
                <w:b/>
                <w:i/>
                <w:noProof/>
              </w:rPr>
            </w:pPr>
            <w:r w:rsidRPr="005A3FD8">
              <w:rPr>
                <w:b/>
                <w:noProof/>
              </w:rPr>
              <w:t xml:space="preserve">Izdevumi  </w:t>
            </w:r>
            <w:r>
              <w:rPr>
                <w:b/>
                <w:noProof/>
              </w:rPr>
              <w:t>129 993 386</w:t>
            </w:r>
            <w:r w:rsidRPr="005A3FD8">
              <w:rPr>
                <w:b/>
                <w:noProof/>
              </w:rPr>
              <w:t xml:space="preserve"> </w:t>
            </w:r>
            <w:r w:rsidRPr="005A3FD8">
              <w:rPr>
                <w:b/>
                <w:i/>
                <w:noProof/>
              </w:rPr>
              <w:t>euro</w:t>
            </w:r>
          </w:p>
          <w:p w:rsidR="00910901" w:rsidRPr="005A3FD8" w:rsidP="00910901">
            <w:pPr>
              <w:pStyle w:val="naisc"/>
              <w:spacing w:before="0" w:after="0"/>
              <w:ind w:left="311"/>
              <w:jc w:val="both"/>
              <w:rPr>
                <w:noProof/>
              </w:rPr>
            </w:pPr>
            <w:r w:rsidRPr="005A3FD8">
              <w:rPr>
                <w:noProof/>
              </w:rPr>
              <w:t>tai skaitā:</w:t>
            </w:r>
          </w:p>
          <w:p w:rsidR="00910901" w:rsidP="00910901">
            <w:pPr>
              <w:pStyle w:val="naisc"/>
              <w:spacing w:before="0" w:after="0"/>
              <w:ind w:left="311"/>
              <w:jc w:val="both"/>
              <w:rPr>
                <w:i/>
                <w:noProof/>
              </w:rPr>
            </w:pPr>
            <w:r w:rsidRPr="005A3FD8">
              <w:rPr>
                <w:noProof/>
              </w:rPr>
              <w:t>subsīdijas</w:t>
            </w:r>
            <w:r>
              <w:rPr>
                <w:noProof/>
              </w:rPr>
              <w:t xml:space="preserve"> un </w:t>
            </w:r>
            <w:r w:rsidRPr="005A3FD8">
              <w:rPr>
                <w:noProof/>
              </w:rPr>
              <w:t xml:space="preserve">dotācijas </w:t>
            </w:r>
            <w:r>
              <w:rPr>
                <w:noProof/>
              </w:rPr>
              <w:t>129 993 386</w:t>
            </w:r>
            <w:r w:rsidRPr="005A3FD8">
              <w:rPr>
                <w:noProof/>
              </w:rPr>
              <w:t xml:space="preserve"> </w:t>
            </w:r>
            <w:r w:rsidRPr="005A3FD8">
              <w:rPr>
                <w:i/>
                <w:noProof/>
              </w:rPr>
              <w:t>euro</w:t>
            </w:r>
          </w:p>
          <w:p w:rsidR="00EF1750" w:rsidRPr="005A3FD8" w:rsidP="00910901">
            <w:pPr>
              <w:pStyle w:val="naisc"/>
              <w:spacing w:before="0" w:after="0"/>
              <w:ind w:left="311"/>
              <w:jc w:val="both"/>
              <w:rPr>
                <w:noProof/>
              </w:rPr>
            </w:pPr>
          </w:p>
          <w:p w:rsidR="003F02A9" w:rsidP="00910901">
            <w:pPr>
              <w:pStyle w:val="naisc"/>
              <w:spacing w:before="0" w:after="120"/>
              <w:ind w:left="28"/>
              <w:jc w:val="both"/>
              <w:rPr>
                <w:noProof/>
              </w:rPr>
            </w:pPr>
            <w:r>
              <w:rPr>
                <w:b/>
                <w:noProof/>
              </w:rPr>
              <w:t>2) </w:t>
            </w:r>
            <w:r w:rsidRPr="005A3FD8">
              <w:rPr>
                <w:b/>
                <w:noProof/>
              </w:rPr>
              <w:t xml:space="preserve">Atbilstoši </w:t>
            </w:r>
            <w:r w:rsidRPr="002C0B3F">
              <w:rPr>
                <w:b/>
                <w:noProof/>
              </w:rPr>
              <w:t>Likum</w:t>
            </w:r>
            <w:r>
              <w:rPr>
                <w:b/>
                <w:noProof/>
              </w:rPr>
              <w:t>am</w:t>
            </w:r>
            <w:r w:rsidRPr="002C0B3F">
              <w:rPr>
                <w:b/>
                <w:noProof/>
              </w:rPr>
              <w:t xml:space="preserve"> “Par </w:t>
            </w:r>
            <w:r>
              <w:rPr>
                <w:b/>
                <w:noProof/>
              </w:rPr>
              <w:t>vidēja termiņa budžeta ietvaru</w:t>
            </w:r>
            <w:r w:rsidRPr="002C0B3F">
              <w:rPr>
                <w:b/>
                <w:noProof/>
              </w:rPr>
              <w:t xml:space="preserve"> 2018.</w:t>
            </w:r>
            <w:r>
              <w:rPr>
                <w:b/>
                <w:noProof/>
              </w:rPr>
              <w:t>, 2019. un 2020.</w:t>
            </w:r>
            <w:r w:rsidRPr="002C0B3F">
              <w:rPr>
                <w:b/>
                <w:noProof/>
              </w:rPr>
              <w:t>gadam”</w:t>
            </w:r>
            <w:r>
              <w:rPr>
                <w:noProof/>
              </w:rPr>
              <w:t xml:space="preserve"> izsludināts 2017.gada 6.decembrī:</w:t>
            </w:r>
          </w:p>
          <w:p w:rsidR="00910901" w:rsidRPr="00A92646" w:rsidP="00910901">
            <w:pPr>
              <w:pStyle w:val="naisc"/>
              <w:spacing w:before="0" w:after="120"/>
              <w:ind w:left="28"/>
              <w:jc w:val="both"/>
              <w:rPr>
                <w:b/>
                <w:noProof/>
                <w:u w:val="single"/>
              </w:rPr>
            </w:pPr>
            <w:r w:rsidRPr="00A92646">
              <w:rPr>
                <w:b/>
                <w:noProof/>
                <w:u w:val="single"/>
              </w:rPr>
              <w:t>2019.gadam</w:t>
            </w:r>
          </w:p>
          <w:p w:rsidR="00910901" w:rsidRPr="005A3FD8" w:rsidP="00910901">
            <w:pPr>
              <w:pStyle w:val="naisc"/>
              <w:spacing w:before="0" w:after="0"/>
              <w:ind w:left="28"/>
              <w:jc w:val="both"/>
              <w:rPr>
                <w:noProof/>
              </w:rPr>
            </w:pPr>
            <w:r w:rsidRPr="005A3FD8">
              <w:rPr>
                <w:b/>
                <w:noProof/>
              </w:rPr>
              <w:t xml:space="preserve">Resursi izdevumu segšanai </w:t>
            </w:r>
            <w:r>
              <w:rPr>
                <w:b/>
                <w:noProof/>
              </w:rPr>
              <w:t>122 283 386</w:t>
            </w:r>
            <w:r w:rsidRPr="005A3FD8">
              <w:rPr>
                <w:b/>
                <w:noProof/>
              </w:rPr>
              <w:t xml:space="preserve"> </w:t>
            </w:r>
            <w:r w:rsidRPr="005A3FD8">
              <w:rPr>
                <w:b/>
                <w:i/>
                <w:noProof/>
              </w:rPr>
              <w:t>euro</w:t>
            </w:r>
            <w:r w:rsidRPr="005A3FD8">
              <w:rPr>
                <w:noProof/>
              </w:rPr>
              <w:t>,</w:t>
            </w:r>
          </w:p>
          <w:p w:rsidR="00910901" w:rsidRPr="005A3FD8" w:rsidP="00910901">
            <w:pPr>
              <w:pStyle w:val="naisc"/>
              <w:spacing w:before="0" w:after="0"/>
              <w:ind w:left="311"/>
              <w:jc w:val="both"/>
              <w:rPr>
                <w:noProof/>
              </w:rPr>
            </w:pPr>
            <w:r w:rsidRPr="005A3FD8">
              <w:rPr>
                <w:noProof/>
              </w:rPr>
              <w:t>tai skaitā:</w:t>
            </w:r>
          </w:p>
          <w:p w:rsidR="00910901" w:rsidRPr="005A3FD8" w:rsidP="00910901">
            <w:pPr>
              <w:pStyle w:val="naisc"/>
              <w:spacing w:before="0" w:after="0"/>
              <w:ind w:left="311"/>
              <w:jc w:val="both"/>
              <w:rPr>
                <w:noProof/>
              </w:rPr>
            </w:pPr>
            <w:r w:rsidRPr="005A3FD8">
              <w:rPr>
                <w:noProof/>
              </w:rPr>
              <w:t xml:space="preserve">dotācija no vispārējiem ieņēmumiem </w:t>
            </w:r>
            <w:r>
              <w:rPr>
                <w:noProof/>
              </w:rPr>
              <w:t>122 261 332</w:t>
            </w:r>
            <w:r w:rsidRPr="005A3FD8">
              <w:rPr>
                <w:noProof/>
              </w:rPr>
              <w:t xml:space="preserve"> </w:t>
            </w:r>
            <w:r w:rsidRPr="005A3FD8">
              <w:rPr>
                <w:i/>
                <w:noProof/>
              </w:rPr>
              <w:t>euro</w:t>
            </w:r>
          </w:p>
          <w:p w:rsidR="00910901" w:rsidRPr="005A3FD8" w:rsidP="00910901">
            <w:pPr>
              <w:pStyle w:val="naisc"/>
              <w:spacing w:before="0" w:after="0"/>
              <w:ind w:left="311"/>
              <w:jc w:val="both"/>
              <w:rPr>
                <w:noProof/>
              </w:rPr>
            </w:pPr>
            <w:r w:rsidRPr="005A3FD8">
              <w:rPr>
                <w:noProof/>
              </w:rPr>
              <w:t>pašu ieņēmumi no maksas pakalpojumiem un citi pašu ieņēmumi</w:t>
            </w:r>
            <w:r w:rsidR="00064756">
              <w:rPr>
                <w:noProof/>
              </w:rPr>
              <w:t>22 054</w:t>
            </w:r>
            <w:r w:rsidRPr="005A3FD8" w:rsidR="00064756">
              <w:rPr>
                <w:noProof/>
              </w:rPr>
              <w:t xml:space="preserve"> </w:t>
            </w:r>
            <w:r w:rsidRPr="005A3FD8" w:rsidR="00064756">
              <w:rPr>
                <w:i/>
                <w:noProof/>
              </w:rPr>
              <w:t>euro</w:t>
            </w:r>
          </w:p>
          <w:p w:rsidR="00910901" w:rsidRPr="005A3FD8" w:rsidP="00910901">
            <w:pPr>
              <w:pStyle w:val="naisc"/>
              <w:spacing w:before="0" w:after="0"/>
              <w:ind w:left="311"/>
              <w:jc w:val="both"/>
              <w:rPr>
                <w:noProof/>
              </w:rPr>
            </w:pPr>
            <w:r w:rsidRPr="005A3FD8">
              <w:rPr>
                <w:noProof/>
              </w:rPr>
              <w:tab/>
            </w:r>
            <w:r w:rsidRPr="005A3FD8">
              <w:rPr>
                <w:noProof/>
              </w:rPr>
              <w:tab/>
            </w:r>
            <w:r w:rsidRPr="005A3FD8">
              <w:rPr>
                <w:noProof/>
              </w:rPr>
              <w:tab/>
            </w:r>
            <w:r w:rsidRPr="005A3FD8">
              <w:rPr>
                <w:noProof/>
              </w:rPr>
              <w:tab/>
            </w:r>
            <w:r w:rsidRPr="005A3FD8">
              <w:rPr>
                <w:noProof/>
              </w:rPr>
              <w:tab/>
            </w:r>
            <w:r w:rsidRPr="005A3FD8">
              <w:rPr>
                <w:noProof/>
              </w:rPr>
              <w:tab/>
            </w:r>
          </w:p>
          <w:p w:rsidR="00910901" w:rsidRPr="005A3FD8" w:rsidP="00910901">
            <w:pPr>
              <w:pStyle w:val="naisc"/>
              <w:spacing w:before="0" w:after="0"/>
              <w:ind w:left="28"/>
              <w:jc w:val="both"/>
              <w:rPr>
                <w:b/>
                <w:i/>
                <w:noProof/>
              </w:rPr>
            </w:pPr>
            <w:r w:rsidRPr="005A3FD8">
              <w:rPr>
                <w:b/>
                <w:noProof/>
              </w:rPr>
              <w:t xml:space="preserve">Izdevumi  </w:t>
            </w:r>
            <w:r>
              <w:rPr>
                <w:b/>
                <w:noProof/>
              </w:rPr>
              <w:t>122 283 386</w:t>
            </w:r>
            <w:r w:rsidRPr="005A3FD8">
              <w:rPr>
                <w:b/>
                <w:noProof/>
              </w:rPr>
              <w:t xml:space="preserve"> </w:t>
            </w:r>
            <w:r w:rsidRPr="005A3FD8">
              <w:rPr>
                <w:b/>
                <w:i/>
                <w:noProof/>
              </w:rPr>
              <w:t>euro</w:t>
            </w:r>
          </w:p>
          <w:p w:rsidR="00910901" w:rsidRPr="005A3FD8" w:rsidP="00910901">
            <w:pPr>
              <w:pStyle w:val="naisc"/>
              <w:spacing w:before="0" w:after="0"/>
              <w:ind w:left="311"/>
              <w:jc w:val="both"/>
              <w:rPr>
                <w:noProof/>
              </w:rPr>
            </w:pPr>
            <w:r w:rsidRPr="005A3FD8">
              <w:rPr>
                <w:noProof/>
              </w:rPr>
              <w:t>tai skaitā:</w:t>
            </w:r>
          </w:p>
          <w:p w:rsidR="00910901" w:rsidRPr="005A3FD8" w:rsidP="00910901">
            <w:pPr>
              <w:pStyle w:val="naisc"/>
              <w:spacing w:before="0" w:after="0"/>
              <w:ind w:left="311"/>
              <w:jc w:val="both"/>
              <w:rPr>
                <w:noProof/>
              </w:rPr>
            </w:pPr>
            <w:r w:rsidRPr="005A3FD8">
              <w:rPr>
                <w:noProof/>
              </w:rPr>
              <w:t>subsīdijas</w:t>
            </w:r>
            <w:r>
              <w:rPr>
                <w:noProof/>
              </w:rPr>
              <w:t xml:space="preserve"> un </w:t>
            </w:r>
            <w:r w:rsidRPr="005A3FD8">
              <w:rPr>
                <w:noProof/>
              </w:rPr>
              <w:t xml:space="preserve">dotācijas </w:t>
            </w:r>
            <w:r>
              <w:rPr>
                <w:noProof/>
              </w:rPr>
              <w:t>122 261 332</w:t>
            </w:r>
            <w:r w:rsidRPr="005A3FD8">
              <w:rPr>
                <w:noProof/>
              </w:rPr>
              <w:t xml:space="preserve"> </w:t>
            </w:r>
            <w:r w:rsidRPr="005A3FD8">
              <w:rPr>
                <w:i/>
                <w:noProof/>
              </w:rPr>
              <w:t>euro</w:t>
            </w:r>
          </w:p>
          <w:p w:rsidR="00910901" w:rsidRPr="005A3FD8" w:rsidP="00910901">
            <w:pPr>
              <w:pStyle w:val="naisc"/>
              <w:spacing w:before="120" w:after="0"/>
              <w:ind w:left="28"/>
              <w:jc w:val="both"/>
              <w:rPr>
                <w:noProof/>
              </w:rPr>
            </w:pPr>
          </w:p>
          <w:p w:rsidR="00910901" w:rsidRPr="00A92646" w:rsidP="00910901">
            <w:pPr>
              <w:pStyle w:val="naisc"/>
              <w:spacing w:before="0" w:after="120"/>
              <w:ind w:left="28"/>
              <w:jc w:val="both"/>
              <w:rPr>
                <w:noProof/>
                <w:u w:val="single"/>
              </w:rPr>
            </w:pPr>
            <w:r w:rsidRPr="00A92646">
              <w:rPr>
                <w:b/>
                <w:noProof/>
                <w:u w:val="single"/>
              </w:rPr>
              <w:t>2020.gadam</w:t>
            </w:r>
          </w:p>
          <w:p w:rsidR="00910901" w:rsidRPr="005A3FD8" w:rsidP="00910901">
            <w:pPr>
              <w:pStyle w:val="naisc"/>
              <w:spacing w:before="0" w:after="0"/>
              <w:ind w:left="28"/>
              <w:jc w:val="both"/>
              <w:rPr>
                <w:noProof/>
              </w:rPr>
            </w:pPr>
            <w:r w:rsidRPr="005A3FD8">
              <w:rPr>
                <w:b/>
                <w:noProof/>
              </w:rPr>
              <w:t xml:space="preserve">Resursi izdevumu segšanai </w:t>
            </w:r>
            <w:r>
              <w:rPr>
                <w:b/>
                <w:noProof/>
              </w:rPr>
              <w:t>122 283 386</w:t>
            </w:r>
            <w:r w:rsidRPr="005A3FD8">
              <w:rPr>
                <w:b/>
                <w:noProof/>
              </w:rPr>
              <w:t xml:space="preserve"> </w:t>
            </w:r>
            <w:r w:rsidRPr="005A3FD8">
              <w:rPr>
                <w:b/>
                <w:i/>
                <w:noProof/>
              </w:rPr>
              <w:t>euro</w:t>
            </w:r>
            <w:r w:rsidRPr="005A3FD8">
              <w:rPr>
                <w:noProof/>
              </w:rPr>
              <w:t>,</w:t>
            </w:r>
          </w:p>
          <w:p w:rsidR="00910901" w:rsidRPr="005A3FD8" w:rsidP="00910901">
            <w:pPr>
              <w:pStyle w:val="naisc"/>
              <w:spacing w:before="0" w:after="0"/>
              <w:ind w:left="311"/>
              <w:jc w:val="both"/>
              <w:rPr>
                <w:noProof/>
              </w:rPr>
            </w:pPr>
            <w:r w:rsidRPr="005A3FD8">
              <w:rPr>
                <w:noProof/>
              </w:rPr>
              <w:t>tai skaitā:</w:t>
            </w:r>
          </w:p>
          <w:p w:rsidR="00910901" w:rsidRPr="005A3FD8" w:rsidP="00910901">
            <w:pPr>
              <w:pStyle w:val="naisc"/>
              <w:spacing w:before="0" w:after="0"/>
              <w:ind w:left="311"/>
              <w:jc w:val="both"/>
              <w:rPr>
                <w:noProof/>
              </w:rPr>
            </w:pPr>
            <w:r w:rsidRPr="005A3FD8">
              <w:rPr>
                <w:noProof/>
              </w:rPr>
              <w:t xml:space="preserve">dotācija no vispārējiem ieņēmumiem </w:t>
            </w:r>
            <w:r>
              <w:rPr>
                <w:noProof/>
              </w:rPr>
              <w:t>122 261 332</w:t>
            </w:r>
            <w:r w:rsidRPr="005A3FD8">
              <w:rPr>
                <w:noProof/>
              </w:rPr>
              <w:t xml:space="preserve"> </w:t>
            </w:r>
            <w:r w:rsidRPr="005A3FD8">
              <w:rPr>
                <w:i/>
                <w:noProof/>
              </w:rPr>
              <w:t>euro</w:t>
            </w:r>
          </w:p>
          <w:p w:rsidR="00910901" w:rsidP="00EF1750">
            <w:pPr>
              <w:pStyle w:val="naisc"/>
              <w:spacing w:before="0" w:after="0"/>
              <w:ind w:left="311"/>
              <w:jc w:val="both"/>
              <w:rPr>
                <w:i/>
                <w:noProof/>
              </w:rPr>
            </w:pPr>
            <w:r w:rsidRPr="005A3FD8">
              <w:rPr>
                <w:noProof/>
              </w:rPr>
              <w:t>pašu ieņēmumi no maksas pakalpojumiem un citi pašu ieņēmumi</w:t>
            </w:r>
            <w:r w:rsidR="00EF1750">
              <w:rPr>
                <w:noProof/>
              </w:rPr>
              <w:t xml:space="preserve"> </w:t>
            </w:r>
            <w:r>
              <w:rPr>
                <w:noProof/>
              </w:rPr>
              <w:t>22 054</w:t>
            </w:r>
            <w:r w:rsidRPr="005A3FD8">
              <w:rPr>
                <w:noProof/>
              </w:rPr>
              <w:t xml:space="preserve"> </w:t>
            </w:r>
            <w:r w:rsidRPr="005A3FD8">
              <w:rPr>
                <w:i/>
                <w:noProof/>
              </w:rPr>
              <w:t>euro</w:t>
            </w:r>
          </w:p>
          <w:p w:rsidR="00EF1750" w:rsidRPr="005A3FD8" w:rsidP="00EF1750">
            <w:pPr>
              <w:pStyle w:val="naisc"/>
              <w:spacing w:before="0" w:after="0"/>
              <w:ind w:left="311"/>
              <w:jc w:val="both"/>
              <w:rPr>
                <w:noProof/>
              </w:rPr>
            </w:pPr>
          </w:p>
          <w:p w:rsidR="00910901" w:rsidRPr="005A3FD8" w:rsidP="00910901">
            <w:pPr>
              <w:pStyle w:val="naisc"/>
              <w:spacing w:before="0" w:after="0"/>
              <w:ind w:left="28"/>
              <w:jc w:val="both"/>
              <w:rPr>
                <w:b/>
                <w:i/>
                <w:noProof/>
              </w:rPr>
            </w:pPr>
            <w:r w:rsidRPr="005A3FD8">
              <w:rPr>
                <w:b/>
                <w:noProof/>
              </w:rPr>
              <w:t xml:space="preserve">Izdevumi  </w:t>
            </w:r>
            <w:r>
              <w:rPr>
                <w:b/>
                <w:noProof/>
              </w:rPr>
              <w:t>122 283 386</w:t>
            </w:r>
            <w:r w:rsidRPr="005A3FD8">
              <w:rPr>
                <w:b/>
                <w:noProof/>
              </w:rPr>
              <w:t xml:space="preserve"> </w:t>
            </w:r>
            <w:r w:rsidRPr="005A3FD8">
              <w:rPr>
                <w:b/>
                <w:i/>
                <w:noProof/>
              </w:rPr>
              <w:t>euro</w:t>
            </w:r>
          </w:p>
          <w:p w:rsidR="00910901" w:rsidRPr="005A3FD8" w:rsidP="00910901">
            <w:pPr>
              <w:pStyle w:val="naisc"/>
              <w:spacing w:before="0" w:after="0"/>
              <w:ind w:left="311"/>
              <w:jc w:val="both"/>
              <w:rPr>
                <w:noProof/>
              </w:rPr>
            </w:pPr>
            <w:r w:rsidRPr="005A3FD8">
              <w:rPr>
                <w:noProof/>
              </w:rPr>
              <w:t>tai skaitā:</w:t>
            </w:r>
          </w:p>
          <w:p w:rsidR="00BB5C47" w:rsidP="00805216">
            <w:pPr>
              <w:pStyle w:val="naisc"/>
              <w:spacing w:before="0" w:after="0"/>
              <w:ind w:left="311"/>
              <w:jc w:val="both"/>
              <w:rPr>
                <w:noProof/>
              </w:rPr>
            </w:pPr>
            <w:r w:rsidRPr="005A3FD8">
              <w:rPr>
                <w:noProof/>
              </w:rPr>
              <w:t>subsīdijas</w:t>
            </w:r>
            <w:r>
              <w:rPr>
                <w:noProof/>
              </w:rPr>
              <w:t xml:space="preserve"> un </w:t>
            </w:r>
            <w:r w:rsidRPr="005A3FD8">
              <w:rPr>
                <w:noProof/>
              </w:rPr>
              <w:t xml:space="preserve">dotācijas </w:t>
            </w:r>
            <w:r>
              <w:rPr>
                <w:noProof/>
              </w:rPr>
              <w:t>122 261 332</w:t>
            </w:r>
            <w:r w:rsidRPr="005A3FD8">
              <w:rPr>
                <w:noProof/>
              </w:rPr>
              <w:t xml:space="preserve"> </w:t>
            </w:r>
            <w:r w:rsidRPr="005A3FD8">
              <w:rPr>
                <w:i/>
                <w:noProof/>
              </w:rPr>
              <w:t>euro</w:t>
            </w:r>
            <w:r w:rsidR="00805216">
              <w:rPr>
                <w:noProof/>
              </w:rPr>
              <w:t>.</w:t>
            </w:r>
          </w:p>
          <w:p w:rsidR="00805216" w:rsidRPr="005A3FD8" w:rsidP="00805216">
            <w:pPr>
              <w:pStyle w:val="naisc"/>
              <w:spacing w:before="0" w:after="0"/>
              <w:ind w:left="311"/>
              <w:jc w:val="both"/>
              <w:rPr>
                <w:noProof/>
              </w:rPr>
            </w:pPr>
          </w:p>
          <w:p w:rsidR="00034CBE" w:rsidRPr="005A3FD8" w:rsidP="00270DE4">
            <w:pPr>
              <w:pStyle w:val="naisc"/>
              <w:spacing w:before="120" w:after="0"/>
              <w:jc w:val="both"/>
              <w:rPr>
                <w:noProof/>
              </w:rPr>
            </w:pPr>
            <w:r w:rsidRPr="005A3FD8">
              <w:rPr>
                <w:noProof/>
              </w:rPr>
              <w:t xml:space="preserve">Ministru kabineta 2017.gada 22.augusta sēdē (protokols Nr.40, 43.§) </w:t>
            </w:r>
            <w:r w:rsidRPr="005A3FD8">
              <w:rPr>
                <w:noProof/>
                <w:u w:val="single"/>
              </w:rPr>
              <w:t>akceptēts papildu finansējums budžeta resora 74 “Gadskārtējā valsts budžeta izpildes procesā pārdalāmais finansējums” programmā 08.00.00 “Veselības aprūpes sistēmas reformas ieviešanas finansējums”</w:t>
            </w:r>
            <w:r w:rsidRPr="005A3FD8">
              <w:rPr>
                <w:noProof/>
              </w:rPr>
              <w:t xml:space="preserve">, </w:t>
            </w:r>
            <w:r>
              <w:rPr>
                <w:noProof/>
              </w:rPr>
              <w:t>a</w:t>
            </w:r>
            <w:r w:rsidRPr="005A3FD8">
              <w:rPr>
                <w:noProof/>
              </w:rPr>
              <w:t>tbilstoši Eiropas Komisijas pieļautajai deficīta atkāpei veselības aprūpes sistēmas reformas ieviešanai</w:t>
            </w:r>
            <w:r w:rsidR="00E1692B">
              <w:rPr>
                <w:noProof/>
              </w:rPr>
              <w:t xml:space="preserve"> </w:t>
            </w:r>
            <w:r w:rsidRPr="00CC4410" w:rsidR="00E1692B">
              <w:rPr>
                <w:b/>
                <w:noProof/>
              </w:rPr>
              <w:t xml:space="preserve"> 2018.gadam</w:t>
            </w:r>
            <w:r w:rsidR="00A138CB">
              <w:rPr>
                <w:b/>
                <w:noProof/>
              </w:rPr>
              <w:t xml:space="preserve"> </w:t>
            </w:r>
            <w:r w:rsidRPr="00CC4410" w:rsidR="00E1692B">
              <w:rPr>
                <w:b/>
                <w:noProof/>
              </w:rPr>
              <w:t xml:space="preserve">113 400 000 </w:t>
            </w:r>
            <w:r w:rsidRPr="00CC4410" w:rsidR="00E1692B">
              <w:rPr>
                <w:b/>
                <w:i/>
                <w:noProof/>
              </w:rPr>
              <w:t>euro</w:t>
            </w:r>
            <w:r w:rsidR="00E1692B">
              <w:rPr>
                <w:b/>
                <w:i/>
                <w:noProof/>
              </w:rPr>
              <w:t xml:space="preserve"> </w:t>
            </w:r>
            <w:r w:rsidRPr="005A3FD8" w:rsidR="00E1692B">
              <w:rPr>
                <w:noProof/>
              </w:rPr>
              <w:t>paredzot finanšu ministram tiesības pārdalīt rezervēto finansējumu Veselības ministrijai pēc tam, kad Ministru kabinets ir apstiprinājis finansējumu veselības reformas pasākumu īstenošanai 2018.gadā</w:t>
            </w:r>
            <w:r w:rsidR="003F2D16">
              <w:rPr>
                <w:noProof/>
              </w:rPr>
              <w:t xml:space="preserve">, ja Saeimas Budžeta  un finanšu (nodokļu) </w:t>
            </w:r>
            <w:r w:rsidR="003F2D16">
              <w:rPr>
                <w:noProof/>
              </w:rPr>
              <w:t>komisija piecu dienu laikā no attiecīgās informācijas saņemšanas ir izskatījusi to un nav iebildusi pret apropriācijas pārdali</w:t>
            </w:r>
            <w:r w:rsidR="00E1692B">
              <w:rPr>
                <w:noProof/>
              </w:rPr>
              <w:t xml:space="preserve"> (</w:t>
            </w:r>
            <w:r w:rsidR="008E5A2F">
              <w:rPr>
                <w:noProof/>
              </w:rPr>
              <w:t>Likuma</w:t>
            </w:r>
            <w:r w:rsidR="00E1692B">
              <w:rPr>
                <w:noProof/>
              </w:rPr>
              <w:t xml:space="preserve"> “Par valsts budžetu 2018.gadam</w:t>
            </w:r>
            <w:r w:rsidR="00DA3937">
              <w:rPr>
                <w:noProof/>
              </w:rPr>
              <w:t>”</w:t>
            </w:r>
            <w:r w:rsidR="00E1692B">
              <w:rPr>
                <w:noProof/>
              </w:rPr>
              <w:t xml:space="preserve"> 54.pants, kas </w:t>
            </w:r>
            <w:r w:rsidR="00102584">
              <w:rPr>
                <w:noProof/>
              </w:rPr>
              <w:t>izsludināts 2017.gada 6.decembrī</w:t>
            </w:r>
            <w:r w:rsidR="00CF64FE">
              <w:rPr>
                <w:noProof/>
              </w:rPr>
              <w:t>)</w:t>
            </w:r>
            <w:r w:rsidRPr="005A3FD8" w:rsidR="00E1692B">
              <w:rPr>
                <w:noProof/>
              </w:rPr>
              <w:t>.</w:t>
            </w:r>
          </w:p>
          <w:p w:rsidR="00910901" w:rsidRPr="00270DE4" w:rsidP="00910901">
            <w:pPr>
              <w:spacing w:after="120" w:line="240" w:lineRule="auto"/>
              <w:jc w:val="both"/>
              <w:rPr>
                <w:rFonts w:ascii="Times New Roman" w:eastAsia="Times New Roman" w:hAnsi="Times New Roman" w:cs="Times New Roman"/>
                <w:b/>
                <w:sz w:val="24"/>
                <w:szCs w:val="24"/>
                <w:u w:val="single"/>
                <w:lang w:eastAsia="lv-LV"/>
              </w:rPr>
            </w:pPr>
            <w:r w:rsidRPr="00270DE4">
              <w:rPr>
                <w:rFonts w:ascii="Times New Roman" w:hAnsi="Times New Roman" w:cs="Times New Roman"/>
                <w:noProof/>
                <w:sz w:val="24"/>
                <w:szCs w:val="24"/>
                <w:u w:val="single"/>
              </w:rPr>
              <w:t>No šī finansējuma</w:t>
            </w:r>
            <w:r w:rsidR="00FE3FA6">
              <w:rPr>
                <w:rFonts w:ascii="Times New Roman" w:hAnsi="Times New Roman" w:cs="Times New Roman"/>
                <w:noProof/>
                <w:sz w:val="24"/>
                <w:szCs w:val="24"/>
                <w:u w:val="single"/>
              </w:rPr>
              <w:t xml:space="preserve"> 2018.gadā</w:t>
            </w:r>
            <w:r w:rsidRPr="00270DE4">
              <w:rPr>
                <w:rFonts w:ascii="Times New Roman" w:hAnsi="Times New Roman" w:cs="Times New Roman"/>
                <w:noProof/>
                <w:sz w:val="24"/>
                <w:szCs w:val="24"/>
                <w:u w:val="single"/>
              </w:rPr>
              <w:t xml:space="preserve"> ambulatorajai ārstēšanai paredzēto medikamentu kompensācijai plānots</w:t>
            </w:r>
            <w:r w:rsidRPr="00270DE4" w:rsidR="00C05B4E">
              <w:rPr>
                <w:rFonts w:ascii="Times New Roman" w:hAnsi="Times New Roman" w:cs="Times New Roman"/>
                <w:noProof/>
                <w:sz w:val="24"/>
                <w:szCs w:val="24"/>
                <w:u w:val="single"/>
              </w:rPr>
              <w:t xml:space="preserve"> </w:t>
            </w:r>
            <w:r w:rsidRPr="006653F9" w:rsidR="00034CBE">
              <w:rPr>
                <w:rFonts w:ascii="Times New Roman" w:hAnsi="Times New Roman" w:cs="Times New Roman"/>
                <w:noProof/>
                <w:sz w:val="24"/>
                <w:szCs w:val="24"/>
                <w:u w:val="single"/>
              </w:rPr>
              <w:t xml:space="preserve">novirzīt </w:t>
            </w:r>
            <w:r w:rsidRPr="00270DE4" w:rsidR="00034CBE">
              <w:rPr>
                <w:rFonts w:ascii="Times New Roman" w:hAnsi="Times New Roman" w:cs="Times New Roman"/>
                <w:b/>
                <w:noProof/>
                <w:sz w:val="24"/>
                <w:szCs w:val="24"/>
                <w:u w:val="single"/>
              </w:rPr>
              <w:t xml:space="preserve"> </w:t>
            </w:r>
            <w:r w:rsidRPr="00270DE4" w:rsidR="00E1692B">
              <w:rPr>
                <w:rFonts w:ascii="Times New Roman" w:hAnsi="Times New Roman" w:cs="Times New Roman"/>
                <w:b/>
                <w:noProof/>
                <w:sz w:val="24"/>
                <w:szCs w:val="24"/>
                <w:u w:val="single"/>
              </w:rPr>
              <w:t>1</w:t>
            </w:r>
            <w:r w:rsidR="009303E0">
              <w:rPr>
                <w:rFonts w:ascii="Times New Roman" w:hAnsi="Times New Roman" w:cs="Times New Roman"/>
                <w:b/>
                <w:noProof/>
                <w:sz w:val="24"/>
                <w:szCs w:val="24"/>
                <w:u w:val="single"/>
              </w:rPr>
              <w:t> </w:t>
            </w:r>
            <w:r w:rsidRPr="00270DE4" w:rsidR="00E1692B">
              <w:rPr>
                <w:rFonts w:ascii="Times New Roman" w:hAnsi="Times New Roman" w:cs="Times New Roman"/>
                <w:b/>
                <w:noProof/>
                <w:sz w:val="24"/>
                <w:szCs w:val="24"/>
                <w:u w:val="single"/>
              </w:rPr>
              <w:t>2</w:t>
            </w:r>
            <w:r w:rsidR="009303E0">
              <w:rPr>
                <w:rFonts w:ascii="Times New Roman" w:hAnsi="Times New Roman" w:cs="Times New Roman"/>
                <w:b/>
                <w:noProof/>
                <w:sz w:val="24"/>
                <w:szCs w:val="24"/>
                <w:u w:val="single"/>
              </w:rPr>
              <w:t>08 748</w:t>
            </w:r>
            <w:r w:rsidRPr="006653F9" w:rsidR="00E1692B">
              <w:rPr>
                <w:rFonts w:ascii="Times New Roman" w:hAnsi="Times New Roman" w:cs="Times New Roman"/>
                <w:noProof/>
                <w:sz w:val="24"/>
                <w:szCs w:val="24"/>
                <w:u w:val="single"/>
              </w:rPr>
              <w:t xml:space="preserve"> </w:t>
            </w:r>
            <w:r w:rsidRPr="00270DE4" w:rsidR="00034CBE">
              <w:rPr>
                <w:rFonts w:ascii="Times New Roman" w:hAnsi="Times New Roman" w:cs="Times New Roman"/>
                <w:b/>
                <w:i/>
                <w:noProof/>
                <w:sz w:val="24"/>
                <w:szCs w:val="24"/>
                <w:u w:val="single"/>
              </w:rPr>
              <w:t>euro</w:t>
            </w:r>
            <w:r w:rsidRPr="00270DE4" w:rsidR="00DB60FE">
              <w:rPr>
                <w:rFonts w:ascii="Times New Roman" w:hAnsi="Times New Roman" w:cs="Times New Roman"/>
                <w:b/>
                <w:i/>
                <w:noProof/>
                <w:sz w:val="24"/>
                <w:szCs w:val="24"/>
                <w:u w:val="single"/>
              </w:rPr>
              <w:t xml:space="preserve"> </w:t>
            </w:r>
            <w:r w:rsidR="00034CBE">
              <w:rPr>
                <w:rFonts w:ascii="Times New Roman" w:hAnsi="Times New Roman" w:cs="Times New Roman"/>
                <w:b/>
                <w:noProof/>
                <w:sz w:val="24"/>
                <w:szCs w:val="24"/>
                <w:u w:val="single"/>
              </w:rPr>
              <w:t>t.sk.</w:t>
            </w:r>
            <w:r w:rsidRPr="00270DE4" w:rsidR="00C05B4E">
              <w:rPr>
                <w:rFonts w:ascii="Times New Roman" w:hAnsi="Times New Roman" w:cs="Times New Roman"/>
                <w:b/>
                <w:noProof/>
                <w:sz w:val="24"/>
                <w:szCs w:val="24"/>
                <w:u w:val="single"/>
              </w:rPr>
              <w:t>:</w:t>
            </w:r>
          </w:p>
          <w:p w:rsidR="00123EEF" w:rsidRPr="00EE02B9" w:rsidP="00C53336">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1. Kompensācijas apmēra palielināšana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5999" w:type="dxa"/>
              <w:jc w:val="center"/>
              <w:tblLook w:val="04A0"/>
            </w:tblPr>
            <w:tblGrid>
              <w:gridCol w:w="1063"/>
              <w:gridCol w:w="977"/>
              <w:gridCol w:w="1083"/>
              <w:gridCol w:w="1328"/>
              <w:gridCol w:w="1548"/>
            </w:tblGrid>
            <w:tr w:rsidTr="00270DE4">
              <w:tblPrEx>
                <w:tblW w:w="5999" w:type="dxa"/>
                <w:jc w:val="center"/>
                <w:tblLook w:val="04A0"/>
              </w:tblPrEx>
              <w:trPr>
                <w:jc w:val="center"/>
              </w:trPr>
              <w:tc>
                <w:tcPr>
                  <w:tcW w:w="1063" w:type="dxa"/>
                  <w:vMerge w:val="restart"/>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Diagnoze</w:t>
                  </w:r>
                </w:p>
              </w:tc>
              <w:tc>
                <w:tcPr>
                  <w:tcW w:w="977" w:type="dxa"/>
                  <w:vMerge w:val="restart"/>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Pacientu skaits</w:t>
                  </w:r>
                </w:p>
              </w:tc>
              <w:tc>
                <w:tcPr>
                  <w:tcW w:w="2411" w:type="dxa"/>
                  <w:gridSpan w:val="2"/>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Vidējās izmaksas uz vienu pacientu, </w:t>
                  </w:r>
                  <w:r w:rsidRPr="003F2D16" w:rsidR="00E1692B">
                    <w:rPr>
                      <w:rFonts w:ascii="Times New Roman" w:eastAsia="Times New Roman" w:hAnsi="Times New Roman" w:cs="Times New Roman"/>
                      <w:i/>
                      <w:lang w:eastAsia="lv-LV"/>
                    </w:rPr>
                    <w:t>euro</w:t>
                  </w:r>
                </w:p>
              </w:tc>
              <w:tc>
                <w:tcPr>
                  <w:tcW w:w="1548" w:type="dxa"/>
                  <w:vMerge w:val="restart"/>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Papildu nepieciešamais finansējums, </w:t>
                  </w:r>
                  <w:r w:rsidRPr="003F2D16" w:rsidR="00E1692B">
                    <w:rPr>
                      <w:rFonts w:ascii="Times New Roman" w:eastAsia="Times New Roman" w:hAnsi="Times New Roman" w:cs="Times New Roman"/>
                      <w:i/>
                      <w:lang w:eastAsia="lv-LV"/>
                    </w:rPr>
                    <w:t>euro</w:t>
                  </w:r>
                </w:p>
              </w:tc>
            </w:tr>
            <w:tr w:rsidTr="00270DE4">
              <w:tblPrEx>
                <w:tblW w:w="5999" w:type="dxa"/>
                <w:jc w:val="center"/>
                <w:tblLook w:val="04A0"/>
              </w:tblPrEx>
              <w:trPr>
                <w:jc w:val="center"/>
              </w:trPr>
              <w:tc>
                <w:tcPr>
                  <w:tcW w:w="1063" w:type="dxa"/>
                  <w:vMerge/>
                </w:tcPr>
                <w:p w:rsidR="00123EEF" w:rsidRPr="00EE02B9" w:rsidP="00123EEF">
                  <w:pPr>
                    <w:spacing w:after="120"/>
                    <w:rPr>
                      <w:rFonts w:ascii="Times New Roman" w:eastAsia="Times New Roman" w:hAnsi="Times New Roman" w:cs="Times New Roman"/>
                      <w:lang w:eastAsia="lv-LV"/>
                    </w:rPr>
                  </w:pPr>
                </w:p>
              </w:tc>
              <w:tc>
                <w:tcPr>
                  <w:tcW w:w="977" w:type="dxa"/>
                  <w:vMerge/>
                </w:tcPr>
                <w:p w:rsidR="00123EEF" w:rsidRPr="00EE02B9" w:rsidP="00123EEF">
                  <w:pPr>
                    <w:spacing w:after="120"/>
                    <w:jc w:val="center"/>
                    <w:rPr>
                      <w:rFonts w:ascii="Times New Roman" w:eastAsia="Times New Roman" w:hAnsi="Times New Roman" w:cs="Times New Roman"/>
                      <w:lang w:eastAsia="lv-LV"/>
                    </w:rPr>
                  </w:pPr>
                </w:p>
              </w:tc>
              <w:tc>
                <w:tcPr>
                  <w:tcW w:w="1083"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75%</w:t>
                  </w:r>
                </w:p>
              </w:tc>
              <w:tc>
                <w:tcPr>
                  <w:tcW w:w="1328"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100%</w:t>
                  </w:r>
                </w:p>
              </w:tc>
              <w:tc>
                <w:tcPr>
                  <w:tcW w:w="1548" w:type="dxa"/>
                  <w:vMerge/>
                </w:tcPr>
                <w:p w:rsidR="00123EEF" w:rsidRPr="00EE02B9" w:rsidP="00123EEF">
                  <w:pPr>
                    <w:spacing w:after="120"/>
                    <w:jc w:val="center"/>
                    <w:rPr>
                      <w:rFonts w:ascii="Times New Roman" w:eastAsia="Times New Roman" w:hAnsi="Times New Roman" w:cs="Times New Roman"/>
                      <w:lang w:eastAsia="lv-LV"/>
                    </w:rPr>
                  </w:pPr>
                </w:p>
              </w:tc>
            </w:tr>
            <w:tr w:rsidTr="00270DE4">
              <w:tblPrEx>
                <w:tblW w:w="5999" w:type="dxa"/>
                <w:jc w:val="center"/>
                <w:tblLook w:val="04A0"/>
              </w:tblPrEx>
              <w:trPr>
                <w:jc w:val="center"/>
              </w:trPr>
              <w:tc>
                <w:tcPr>
                  <w:tcW w:w="1063"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K50; K51</w:t>
                  </w:r>
                </w:p>
              </w:tc>
              <w:tc>
                <w:tcPr>
                  <w:tcW w:w="977"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1961</w:t>
                  </w:r>
                </w:p>
              </w:tc>
              <w:tc>
                <w:tcPr>
                  <w:tcW w:w="1083"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224,3</w:t>
                  </w:r>
                  <w:r w:rsidR="007178A8">
                    <w:rPr>
                      <w:rFonts w:ascii="Times New Roman" w:eastAsia="Times New Roman" w:hAnsi="Times New Roman" w:cs="Times New Roman"/>
                      <w:lang w:eastAsia="lv-LV"/>
                    </w:rPr>
                    <w:t>3</w:t>
                  </w:r>
                </w:p>
              </w:tc>
              <w:tc>
                <w:tcPr>
                  <w:tcW w:w="1328"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299,1</w:t>
                  </w:r>
                  <w:r w:rsidR="00DB60FE">
                    <w:rPr>
                      <w:rFonts w:ascii="Times New Roman" w:eastAsia="Times New Roman" w:hAnsi="Times New Roman" w:cs="Times New Roman"/>
                      <w:lang w:eastAsia="lv-LV"/>
                    </w:rPr>
                    <w:t>1</w:t>
                  </w:r>
                </w:p>
              </w:tc>
              <w:tc>
                <w:tcPr>
                  <w:tcW w:w="1548" w:type="dxa"/>
                </w:tcPr>
                <w:p w:rsidR="00123EEF" w:rsidRPr="007178A8" w:rsidP="00123EEF">
                  <w:pPr>
                    <w:spacing w:after="120"/>
                    <w:jc w:val="center"/>
                    <w:rPr>
                      <w:rFonts w:ascii="Times New Roman" w:eastAsia="Times New Roman" w:hAnsi="Times New Roman" w:cs="Times New Roman"/>
                      <w:lang w:eastAsia="lv-LV"/>
                    </w:rPr>
                  </w:pPr>
                  <w:r w:rsidRPr="007178A8">
                    <w:rPr>
                      <w:rFonts w:ascii="Times New Roman" w:eastAsia="Times New Roman" w:hAnsi="Times New Roman" w:cs="Times New Roman"/>
                      <w:lang w:eastAsia="lv-LV"/>
                    </w:rPr>
                    <w:t>146 6</w:t>
                  </w:r>
                  <w:r w:rsidR="00B6564C">
                    <w:rPr>
                      <w:rFonts w:ascii="Times New Roman" w:eastAsia="Times New Roman" w:hAnsi="Times New Roman" w:cs="Times New Roman"/>
                      <w:lang w:eastAsia="lv-LV"/>
                    </w:rPr>
                    <w:t>44</w:t>
                  </w:r>
                </w:p>
              </w:tc>
            </w:tr>
            <w:tr w:rsidTr="00270DE4">
              <w:tblPrEx>
                <w:tblW w:w="5999" w:type="dxa"/>
                <w:jc w:val="center"/>
                <w:tblLook w:val="04A0"/>
              </w:tblPrEx>
              <w:trPr>
                <w:jc w:val="center"/>
              </w:trPr>
              <w:tc>
                <w:tcPr>
                  <w:tcW w:w="1063"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L40</w:t>
                  </w:r>
                </w:p>
              </w:tc>
              <w:tc>
                <w:tcPr>
                  <w:tcW w:w="977"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9736</w:t>
                  </w:r>
                </w:p>
              </w:tc>
              <w:tc>
                <w:tcPr>
                  <w:tcW w:w="1083"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49,97</w:t>
                  </w:r>
                </w:p>
              </w:tc>
              <w:tc>
                <w:tcPr>
                  <w:tcW w:w="1328"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66,6</w:t>
                  </w:r>
                  <w:r w:rsidR="007178A8">
                    <w:rPr>
                      <w:rFonts w:ascii="Times New Roman" w:eastAsia="Times New Roman" w:hAnsi="Times New Roman" w:cs="Times New Roman"/>
                      <w:lang w:eastAsia="lv-LV"/>
                    </w:rPr>
                    <w:t>2</w:t>
                  </w:r>
                </w:p>
              </w:tc>
              <w:tc>
                <w:tcPr>
                  <w:tcW w:w="1548" w:type="dxa"/>
                </w:tcPr>
                <w:p w:rsidR="00123EEF" w:rsidRPr="007178A8" w:rsidP="00123EEF">
                  <w:pPr>
                    <w:spacing w:after="120"/>
                    <w:jc w:val="center"/>
                    <w:rPr>
                      <w:rFonts w:ascii="Times New Roman" w:eastAsia="Times New Roman" w:hAnsi="Times New Roman" w:cs="Times New Roman"/>
                      <w:lang w:eastAsia="lv-LV"/>
                    </w:rPr>
                  </w:pPr>
                  <w:r w:rsidRPr="007178A8">
                    <w:rPr>
                      <w:rFonts w:ascii="Times New Roman" w:eastAsia="Times New Roman" w:hAnsi="Times New Roman" w:cs="Times New Roman"/>
                      <w:lang w:eastAsia="lv-LV"/>
                    </w:rPr>
                    <w:t>162 </w:t>
                  </w:r>
                  <w:r w:rsidR="00EC68AA">
                    <w:rPr>
                      <w:rFonts w:ascii="Times New Roman" w:eastAsia="Times New Roman" w:hAnsi="Times New Roman" w:cs="Times New Roman"/>
                      <w:lang w:eastAsia="lv-LV"/>
                    </w:rPr>
                    <w:t>104</w:t>
                  </w:r>
                </w:p>
              </w:tc>
            </w:tr>
            <w:tr w:rsidTr="00270DE4">
              <w:tblPrEx>
                <w:tblW w:w="5999" w:type="dxa"/>
                <w:jc w:val="center"/>
                <w:tblLook w:val="04A0"/>
              </w:tblPrEx>
              <w:trPr>
                <w:jc w:val="center"/>
              </w:trPr>
              <w:tc>
                <w:tcPr>
                  <w:tcW w:w="1063"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KOPĀ:</w:t>
                  </w:r>
                </w:p>
              </w:tc>
              <w:tc>
                <w:tcPr>
                  <w:tcW w:w="977" w:type="dxa"/>
                </w:tcPr>
                <w:p w:rsidR="00123EEF" w:rsidRPr="00EE02B9" w:rsidP="00123EEF">
                  <w:pPr>
                    <w:spacing w:after="120"/>
                    <w:jc w:val="center"/>
                    <w:rPr>
                      <w:rFonts w:ascii="Times New Roman" w:eastAsia="Times New Roman" w:hAnsi="Times New Roman" w:cs="Times New Roman"/>
                      <w:lang w:eastAsia="lv-LV"/>
                    </w:rPr>
                  </w:pPr>
                </w:p>
              </w:tc>
              <w:tc>
                <w:tcPr>
                  <w:tcW w:w="1083" w:type="dxa"/>
                </w:tcPr>
                <w:p w:rsidR="00123EEF" w:rsidRPr="00EE02B9" w:rsidP="00123EEF">
                  <w:pPr>
                    <w:spacing w:after="120"/>
                    <w:jc w:val="center"/>
                    <w:rPr>
                      <w:rFonts w:ascii="Times New Roman" w:eastAsia="Times New Roman" w:hAnsi="Times New Roman" w:cs="Times New Roman"/>
                      <w:lang w:eastAsia="lv-LV"/>
                    </w:rPr>
                  </w:pPr>
                </w:p>
              </w:tc>
              <w:tc>
                <w:tcPr>
                  <w:tcW w:w="1328" w:type="dxa"/>
                </w:tcPr>
                <w:p w:rsidR="00123EEF" w:rsidRPr="00EE02B9" w:rsidP="00123EEF">
                  <w:pPr>
                    <w:spacing w:after="120"/>
                    <w:jc w:val="center"/>
                    <w:rPr>
                      <w:rFonts w:ascii="Times New Roman" w:eastAsia="Times New Roman" w:hAnsi="Times New Roman" w:cs="Times New Roman"/>
                      <w:lang w:eastAsia="lv-LV"/>
                    </w:rPr>
                  </w:pPr>
                </w:p>
              </w:tc>
              <w:tc>
                <w:tcPr>
                  <w:tcW w:w="1548" w:type="dxa"/>
                </w:tcPr>
                <w:p w:rsidR="00123EEF" w:rsidRPr="007178A8" w:rsidP="00123EEF">
                  <w:pPr>
                    <w:spacing w:after="120"/>
                    <w:jc w:val="center"/>
                    <w:rPr>
                      <w:rFonts w:ascii="Times New Roman" w:eastAsia="Times New Roman" w:hAnsi="Times New Roman" w:cs="Times New Roman"/>
                      <w:b/>
                      <w:lang w:eastAsia="lv-LV"/>
                    </w:rPr>
                  </w:pPr>
                  <w:r w:rsidRPr="007178A8">
                    <w:rPr>
                      <w:rFonts w:ascii="Times New Roman" w:eastAsia="Times New Roman" w:hAnsi="Times New Roman" w:cs="Times New Roman"/>
                      <w:b/>
                      <w:lang w:eastAsia="lv-LV"/>
                    </w:rPr>
                    <w:t>308 </w:t>
                  </w:r>
                  <w:r w:rsidR="00EC68AA">
                    <w:rPr>
                      <w:rFonts w:ascii="Times New Roman" w:eastAsia="Times New Roman" w:hAnsi="Times New Roman" w:cs="Times New Roman"/>
                      <w:b/>
                      <w:lang w:eastAsia="lv-LV"/>
                    </w:rPr>
                    <w:t>748</w:t>
                  </w:r>
                </w:p>
              </w:tc>
            </w:tr>
          </w:tbl>
          <w:p w:rsidR="00261839" w:rsidP="00C53336">
            <w:pPr>
              <w:spacing w:after="120" w:line="240" w:lineRule="auto"/>
              <w:jc w:val="both"/>
              <w:rPr>
                <w:rFonts w:ascii="Times New Roman" w:eastAsia="Times New Roman" w:hAnsi="Times New Roman" w:cs="Times New Roman"/>
                <w:b/>
                <w:lang w:eastAsia="lv-LV"/>
              </w:rPr>
            </w:pPr>
          </w:p>
          <w:p w:rsidR="00123EEF" w:rsidRPr="00EE02B9" w:rsidP="00C53336">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2. Bioloģiskās terapijas nodrošināšana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0" w:type="auto"/>
              <w:jc w:val="center"/>
              <w:tblLook w:val="04A0"/>
            </w:tblPr>
            <w:tblGrid>
              <w:gridCol w:w="1516"/>
              <w:gridCol w:w="1516"/>
              <w:gridCol w:w="1516"/>
              <w:gridCol w:w="1548"/>
            </w:tblGrid>
            <w:tr w:rsidTr="00270DE4">
              <w:tblPrEx>
                <w:tblW w:w="0" w:type="auto"/>
                <w:jc w:val="center"/>
                <w:tblLook w:val="04A0"/>
              </w:tblPrEx>
              <w:trPr>
                <w:jc w:val="center"/>
              </w:trPr>
              <w:tc>
                <w:tcPr>
                  <w:tcW w:w="1516"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Diagnoze</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Pacientu skaits</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Vidējās izmaksas uz vienu pacientu, </w:t>
                  </w:r>
                  <w:r w:rsidRPr="003F2D16" w:rsidR="00E1692B">
                    <w:rPr>
                      <w:rFonts w:ascii="Times New Roman" w:eastAsia="Times New Roman" w:hAnsi="Times New Roman" w:cs="Times New Roman"/>
                      <w:i/>
                      <w:lang w:eastAsia="lv-LV"/>
                    </w:rPr>
                    <w:t>euro</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Papildu nepieciešamais finansējums, </w:t>
                  </w:r>
                  <w:r w:rsidRPr="003F2D16" w:rsidR="00E1692B">
                    <w:rPr>
                      <w:rFonts w:ascii="Times New Roman" w:eastAsia="Times New Roman" w:hAnsi="Times New Roman" w:cs="Times New Roman"/>
                      <w:i/>
                      <w:lang w:eastAsia="lv-LV"/>
                    </w:rPr>
                    <w:t>euro</w:t>
                  </w:r>
                </w:p>
              </w:tc>
            </w:tr>
            <w:tr w:rsidTr="00270DE4">
              <w:tblPrEx>
                <w:tblW w:w="0" w:type="auto"/>
                <w:jc w:val="center"/>
                <w:tblLook w:val="04A0"/>
              </w:tblPrEx>
              <w:trPr>
                <w:jc w:val="center"/>
              </w:trPr>
              <w:tc>
                <w:tcPr>
                  <w:tcW w:w="1516"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K50; K51</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50</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450 000</w:t>
                  </w:r>
                </w:p>
              </w:tc>
            </w:tr>
            <w:tr w:rsidTr="00270DE4">
              <w:tblPrEx>
                <w:tblW w:w="0" w:type="auto"/>
                <w:jc w:val="center"/>
                <w:tblLook w:val="04A0"/>
              </w:tblPrEx>
              <w:trPr>
                <w:jc w:val="center"/>
              </w:trPr>
              <w:tc>
                <w:tcPr>
                  <w:tcW w:w="1516"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L40</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50</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123EEF" w:rsidRPr="00EE02B9" w:rsidP="00123EEF">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450 000</w:t>
                  </w:r>
                </w:p>
              </w:tc>
            </w:tr>
            <w:tr w:rsidTr="00270DE4">
              <w:tblPrEx>
                <w:tblW w:w="0" w:type="auto"/>
                <w:jc w:val="center"/>
                <w:tblLook w:val="04A0"/>
              </w:tblPrEx>
              <w:trPr>
                <w:jc w:val="center"/>
              </w:trPr>
              <w:tc>
                <w:tcPr>
                  <w:tcW w:w="1516" w:type="dxa"/>
                </w:tcPr>
                <w:p w:rsidR="00123EEF" w:rsidRPr="00EE02B9" w:rsidP="00123EEF">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KOPĀ:</w:t>
                  </w:r>
                </w:p>
              </w:tc>
              <w:tc>
                <w:tcPr>
                  <w:tcW w:w="1516" w:type="dxa"/>
                </w:tcPr>
                <w:p w:rsidR="00123EEF" w:rsidRPr="00EE02B9" w:rsidP="00123EEF">
                  <w:pPr>
                    <w:spacing w:after="120"/>
                    <w:jc w:val="center"/>
                    <w:rPr>
                      <w:rFonts w:ascii="Times New Roman" w:eastAsia="Times New Roman" w:hAnsi="Times New Roman" w:cs="Times New Roman"/>
                      <w:lang w:eastAsia="lv-LV"/>
                    </w:rPr>
                  </w:pPr>
                </w:p>
              </w:tc>
              <w:tc>
                <w:tcPr>
                  <w:tcW w:w="1516" w:type="dxa"/>
                </w:tcPr>
                <w:p w:rsidR="00123EEF" w:rsidRPr="00EE02B9" w:rsidP="00123EEF">
                  <w:pPr>
                    <w:spacing w:after="120"/>
                    <w:jc w:val="center"/>
                    <w:rPr>
                      <w:rFonts w:ascii="Times New Roman" w:eastAsia="Times New Roman" w:hAnsi="Times New Roman" w:cs="Times New Roman"/>
                      <w:lang w:eastAsia="lv-LV"/>
                    </w:rPr>
                  </w:pPr>
                </w:p>
              </w:tc>
              <w:tc>
                <w:tcPr>
                  <w:tcW w:w="1516" w:type="dxa"/>
                </w:tcPr>
                <w:p w:rsidR="00123EEF" w:rsidRPr="00EE02B9" w:rsidP="00123EEF">
                  <w:pPr>
                    <w:spacing w:after="12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900 000</w:t>
                  </w:r>
                </w:p>
              </w:tc>
            </w:tr>
          </w:tbl>
          <w:p w:rsidR="00BB5C47" w:rsidP="00C53336">
            <w:pPr>
              <w:spacing w:after="120" w:line="240" w:lineRule="auto"/>
              <w:jc w:val="both"/>
              <w:rPr>
                <w:rFonts w:ascii="Times New Roman" w:eastAsia="Times New Roman" w:hAnsi="Times New Roman" w:cs="Times New Roman"/>
                <w:b/>
                <w:lang w:eastAsia="lv-LV"/>
              </w:rPr>
            </w:pPr>
          </w:p>
          <w:p w:rsidR="009A2751" w:rsidP="009A2751">
            <w:pPr>
              <w:pStyle w:val="naisc"/>
              <w:spacing w:before="120" w:after="0"/>
              <w:ind w:left="49"/>
              <w:jc w:val="both"/>
              <w:rPr>
                <w:noProof/>
              </w:rPr>
            </w:pPr>
            <w:r w:rsidRPr="005A3FD8">
              <w:rPr>
                <w:noProof/>
              </w:rPr>
              <w:t xml:space="preserve">Ministru kabineta 2017.gada 22.augusta sēdē (protokols Nr.40, 43.§) </w:t>
            </w:r>
            <w:r w:rsidRPr="005A3FD8">
              <w:rPr>
                <w:noProof/>
                <w:u w:val="single"/>
              </w:rPr>
              <w:t>akceptēts papildu finansējums budžeta resora 74 “Gadskārtējā valsts budžeta izpildes procesā pārdalāmais finansējums” programmā 08.00.00 “Veselības aprūpes sistēmas reformas ieviešanas finansējums”</w:t>
            </w:r>
            <w:r w:rsidRPr="005A3FD8">
              <w:rPr>
                <w:noProof/>
              </w:rPr>
              <w:t xml:space="preserve">, </w:t>
            </w:r>
            <w:r>
              <w:rPr>
                <w:noProof/>
              </w:rPr>
              <w:t>a</w:t>
            </w:r>
            <w:r w:rsidRPr="005A3FD8">
              <w:rPr>
                <w:noProof/>
              </w:rPr>
              <w:t xml:space="preserve">tbilstoši Eiropas Komisijas pieļautajai deficīta atkāpei veselības aprūpes sistēmas reformas ieviešanai </w:t>
            </w:r>
            <w:r w:rsidRPr="003F2D16">
              <w:rPr>
                <w:b/>
                <w:noProof/>
              </w:rPr>
              <w:t xml:space="preserve">2019.gadam   149 900 000 </w:t>
            </w:r>
            <w:r w:rsidRPr="003F2D16">
              <w:rPr>
                <w:b/>
                <w:i/>
                <w:noProof/>
              </w:rPr>
              <w:t>euro</w:t>
            </w:r>
            <w:r w:rsidRPr="00B42AF9" w:rsidR="00B42AF9">
              <w:rPr>
                <w:b/>
                <w:i/>
                <w:noProof/>
              </w:rPr>
              <w:t>.</w:t>
            </w:r>
          </w:p>
          <w:p w:rsidR="007511B9" w:rsidRPr="005A3FD8" w:rsidP="003F2D16">
            <w:pPr>
              <w:pStyle w:val="naisc"/>
              <w:spacing w:before="120" w:after="0"/>
              <w:jc w:val="both"/>
              <w:rPr>
                <w:noProof/>
              </w:rPr>
            </w:pPr>
          </w:p>
          <w:p w:rsidR="00FE3FA6" w:rsidRPr="00270DE4" w:rsidP="00270DE4">
            <w:pPr>
              <w:spacing w:after="120" w:line="240" w:lineRule="auto"/>
              <w:jc w:val="both"/>
              <w:rPr>
                <w:rFonts w:ascii="Times New Roman" w:eastAsia="Times New Roman" w:hAnsi="Times New Roman" w:cs="Times New Roman"/>
                <w:b/>
                <w:sz w:val="24"/>
                <w:szCs w:val="24"/>
                <w:u w:val="single"/>
                <w:lang w:eastAsia="lv-LV"/>
              </w:rPr>
            </w:pPr>
            <w:r w:rsidRPr="003C794A">
              <w:rPr>
                <w:rFonts w:ascii="Times New Roman" w:hAnsi="Times New Roman" w:cs="Times New Roman"/>
                <w:noProof/>
                <w:sz w:val="24"/>
                <w:szCs w:val="24"/>
                <w:u w:val="single"/>
              </w:rPr>
              <w:t>No šī finansējuma</w:t>
            </w:r>
            <w:r w:rsidR="00F240C1">
              <w:rPr>
                <w:rFonts w:ascii="Times New Roman" w:hAnsi="Times New Roman" w:cs="Times New Roman"/>
                <w:noProof/>
                <w:sz w:val="24"/>
                <w:szCs w:val="24"/>
                <w:u w:val="single"/>
              </w:rPr>
              <w:t xml:space="preserve"> 2019</w:t>
            </w:r>
            <w:r>
              <w:rPr>
                <w:rFonts w:ascii="Times New Roman" w:hAnsi="Times New Roman" w:cs="Times New Roman"/>
                <w:noProof/>
                <w:sz w:val="24"/>
                <w:szCs w:val="24"/>
                <w:u w:val="single"/>
              </w:rPr>
              <w:t>.gadā</w:t>
            </w:r>
            <w:r w:rsidRPr="003C794A">
              <w:rPr>
                <w:rFonts w:ascii="Times New Roman" w:hAnsi="Times New Roman" w:cs="Times New Roman"/>
                <w:noProof/>
                <w:sz w:val="24"/>
                <w:szCs w:val="24"/>
                <w:u w:val="single"/>
              </w:rPr>
              <w:t xml:space="preserve"> ambulatorajai ārstēšanai paredzēto medikamentu kompensācijai plānots </w:t>
            </w:r>
            <w:r w:rsidR="009A2751">
              <w:rPr>
                <w:rFonts w:ascii="Times New Roman" w:hAnsi="Times New Roman" w:cs="Times New Roman"/>
                <w:b/>
                <w:noProof/>
                <w:sz w:val="24"/>
                <w:szCs w:val="24"/>
                <w:u w:val="single"/>
              </w:rPr>
              <w:t>1</w:t>
            </w:r>
            <w:r w:rsidR="009303E0">
              <w:rPr>
                <w:rFonts w:ascii="Times New Roman" w:hAnsi="Times New Roman" w:cs="Times New Roman"/>
                <w:b/>
                <w:noProof/>
                <w:sz w:val="24"/>
                <w:szCs w:val="24"/>
                <w:u w:val="single"/>
              </w:rPr>
              <w:t> 883 748</w:t>
            </w:r>
            <w:r w:rsidRPr="006653F9">
              <w:rPr>
                <w:rFonts w:ascii="Times New Roman" w:hAnsi="Times New Roman" w:cs="Times New Roman"/>
                <w:noProof/>
                <w:sz w:val="24"/>
                <w:szCs w:val="24"/>
                <w:u w:val="single"/>
              </w:rPr>
              <w:t xml:space="preserve"> novirzīt </w:t>
            </w:r>
            <w:r w:rsidRPr="003C794A">
              <w:rPr>
                <w:rFonts w:ascii="Times New Roman" w:hAnsi="Times New Roman" w:cs="Times New Roman"/>
                <w:b/>
                <w:noProof/>
                <w:sz w:val="24"/>
                <w:szCs w:val="24"/>
                <w:u w:val="single"/>
              </w:rPr>
              <w:t xml:space="preserve"> </w:t>
            </w:r>
            <w:r w:rsidRPr="003C794A">
              <w:rPr>
                <w:rFonts w:ascii="Times New Roman" w:hAnsi="Times New Roman" w:cs="Times New Roman"/>
                <w:b/>
                <w:i/>
                <w:noProof/>
                <w:sz w:val="24"/>
                <w:szCs w:val="24"/>
                <w:u w:val="single"/>
              </w:rPr>
              <w:t xml:space="preserve">euro </w:t>
            </w:r>
            <w:r w:rsidRPr="003C794A">
              <w:rPr>
                <w:rFonts w:ascii="Times New Roman" w:hAnsi="Times New Roman" w:cs="Times New Roman"/>
                <w:b/>
                <w:noProof/>
                <w:sz w:val="24"/>
                <w:szCs w:val="24"/>
                <w:u w:val="single"/>
              </w:rPr>
              <w:t>apmērā</w:t>
            </w:r>
            <w:r>
              <w:rPr>
                <w:rFonts w:ascii="Times New Roman" w:hAnsi="Times New Roman" w:cs="Times New Roman"/>
                <w:b/>
                <w:noProof/>
                <w:sz w:val="24"/>
                <w:szCs w:val="24"/>
                <w:u w:val="single"/>
              </w:rPr>
              <w:t xml:space="preserve"> t.sk.</w:t>
            </w:r>
            <w:r w:rsidRPr="003C794A">
              <w:rPr>
                <w:rFonts w:ascii="Times New Roman" w:hAnsi="Times New Roman" w:cs="Times New Roman"/>
                <w:b/>
                <w:noProof/>
                <w:sz w:val="24"/>
                <w:szCs w:val="24"/>
                <w:u w:val="single"/>
              </w:rPr>
              <w:t>:</w:t>
            </w:r>
          </w:p>
          <w:p w:rsidR="00123EEF" w:rsidP="00270DE4">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1. Kompensācijas apmēra palielināšana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5999" w:type="dxa"/>
              <w:jc w:val="center"/>
              <w:tblLook w:val="04A0"/>
            </w:tblPr>
            <w:tblGrid>
              <w:gridCol w:w="1063"/>
              <w:gridCol w:w="977"/>
              <w:gridCol w:w="1083"/>
              <w:gridCol w:w="1328"/>
              <w:gridCol w:w="1548"/>
            </w:tblGrid>
            <w:tr w:rsidTr="00270DE4">
              <w:tblPrEx>
                <w:tblW w:w="5999" w:type="dxa"/>
                <w:jc w:val="center"/>
                <w:tblLook w:val="04A0"/>
              </w:tblPrEx>
              <w:trPr>
                <w:jc w:val="center"/>
              </w:trPr>
              <w:tc>
                <w:tcPr>
                  <w:tcW w:w="1063" w:type="dxa"/>
                  <w:vMerge w:val="restart"/>
                </w:tcPr>
                <w:p w:rsidR="00FE3FA6" w:rsidRPr="00EE1AF6" w:rsidP="00FE3FA6">
                  <w:pPr>
                    <w:spacing w:after="120"/>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Diagnoze</w:t>
                  </w:r>
                </w:p>
              </w:tc>
              <w:tc>
                <w:tcPr>
                  <w:tcW w:w="977" w:type="dxa"/>
                  <w:vMerge w:val="restart"/>
                </w:tcPr>
                <w:p w:rsidR="00FE3FA6" w:rsidRPr="007B7FAB" w:rsidP="00FE3FA6">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Pacientu skaits</w:t>
                  </w:r>
                </w:p>
              </w:tc>
              <w:tc>
                <w:tcPr>
                  <w:tcW w:w="2411" w:type="dxa"/>
                  <w:gridSpan w:val="2"/>
                </w:tcPr>
                <w:p w:rsidR="00FE3FA6" w:rsidRPr="00EE1AF6" w:rsidP="00FE3FA6">
                  <w:pPr>
                    <w:spacing w:after="120"/>
                    <w:jc w:val="center"/>
                    <w:rPr>
                      <w:rFonts w:ascii="Times New Roman" w:eastAsia="Times New Roman" w:hAnsi="Times New Roman" w:cs="Times New Roman"/>
                      <w:lang w:eastAsia="lv-LV"/>
                    </w:rPr>
                  </w:pPr>
                  <w:r w:rsidRPr="00C91511">
                    <w:rPr>
                      <w:rFonts w:ascii="Times New Roman" w:eastAsia="Times New Roman" w:hAnsi="Times New Roman" w:cs="Times New Roman"/>
                      <w:lang w:eastAsia="lv-LV"/>
                    </w:rPr>
                    <w:t xml:space="preserve">Vidējās izmaksas uz vienu pacientu, </w:t>
                  </w:r>
                  <w:r w:rsidRPr="00EE1AF6" w:rsidR="009A2751">
                    <w:rPr>
                      <w:rFonts w:ascii="Times New Roman" w:eastAsia="Times New Roman" w:hAnsi="Times New Roman" w:cs="Times New Roman"/>
                      <w:i/>
                      <w:lang w:eastAsia="lv-LV"/>
                    </w:rPr>
                    <w:t>euro</w:t>
                  </w:r>
                </w:p>
              </w:tc>
              <w:tc>
                <w:tcPr>
                  <w:tcW w:w="1548" w:type="dxa"/>
                  <w:vMerge w:val="restart"/>
                </w:tcPr>
                <w:p w:rsidR="00FE3FA6" w:rsidRPr="00EE1AF6" w:rsidP="00FE3FA6">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 xml:space="preserve">Papildu nepieciešamais finansējums, </w:t>
                  </w:r>
                  <w:r w:rsidRPr="00EE1AF6" w:rsidR="009A2751">
                    <w:rPr>
                      <w:rFonts w:ascii="Times New Roman" w:eastAsia="Times New Roman" w:hAnsi="Times New Roman" w:cs="Times New Roman"/>
                      <w:i/>
                      <w:lang w:eastAsia="lv-LV"/>
                    </w:rPr>
                    <w:t>euro</w:t>
                  </w:r>
                </w:p>
              </w:tc>
            </w:tr>
            <w:tr w:rsidTr="00270DE4">
              <w:tblPrEx>
                <w:tblW w:w="5999" w:type="dxa"/>
                <w:jc w:val="center"/>
                <w:tblLook w:val="04A0"/>
              </w:tblPrEx>
              <w:trPr>
                <w:jc w:val="center"/>
              </w:trPr>
              <w:tc>
                <w:tcPr>
                  <w:tcW w:w="1063" w:type="dxa"/>
                  <w:vMerge/>
                </w:tcPr>
                <w:p w:rsidR="00FE3FA6" w:rsidRPr="00EE1AF6" w:rsidP="00FE3FA6">
                  <w:pPr>
                    <w:spacing w:after="120"/>
                    <w:rPr>
                      <w:rFonts w:ascii="Times New Roman" w:eastAsia="Times New Roman" w:hAnsi="Times New Roman" w:cs="Times New Roman"/>
                      <w:lang w:eastAsia="lv-LV"/>
                    </w:rPr>
                  </w:pPr>
                </w:p>
              </w:tc>
              <w:tc>
                <w:tcPr>
                  <w:tcW w:w="977" w:type="dxa"/>
                  <w:vMerge/>
                </w:tcPr>
                <w:p w:rsidR="00FE3FA6" w:rsidRPr="00EE1AF6" w:rsidP="00FE3FA6">
                  <w:pPr>
                    <w:spacing w:after="120"/>
                    <w:jc w:val="center"/>
                    <w:rPr>
                      <w:rFonts w:ascii="Times New Roman" w:eastAsia="Times New Roman" w:hAnsi="Times New Roman" w:cs="Times New Roman"/>
                      <w:lang w:eastAsia="lv-LV"/>
                    </w:rPr>
                  </w:pPr>
                </w:p>
              </w:tc>
              <w:tc>
                <w:tcPr>
                  <w:tcW w:w="1083" w:type="dxa"/>
                </w:tcPr>
                <w:p w:rsidR="00FE3FA6" w:rsidRPr="00EE1AF6" w:rsidP="00FE3FA6">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75%</w:t>
                  </w:r>
                </w:p>
              </w:tc>
              <w:tc>
                <w:tcPr>
                  <w:tcW w:w="1328" w:type="dxa"/>
                </w:tcPr>
                <w:p w:rsidR="00FE3FA6" w:rsidRPr="00EE1AF6" w:rsidP="00FE3FA6">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100%</w:t>
                  </w:r>
                </w:p>
              </w:tc>
              <w:tc>
                <w:tcPr>
                  <w:tcW w:w="1548" w:type="dxa"/>
                  <w:vMerge/>
                </w:tcPr>
                <w:p w:rsidR="00FE3FA6" w:rsidRPr="00EE1AF6" w:rsidP="00FE3FA6">
                  <w:pPr>
                    <w:spacing w:after="120"/>
                    <w:jc w:val="center"/>
                    <w:rPr>
                      <w:rFonts w:ascii="Times New Roman" w:eastAsia="Times New Roman" w:hAnsi="Times New Roman" w:cs="Times New Roman"/>
                      <w:lang w:eastAsia="lv-LV"/>
                    </w:rPr>
                  </w:pPr>
                </w:p>
              </w:tc>
            </w:tr>
            <w:tr w:rsidTr="00270DE4">
              <w:tblPrEx>
                <w:tblW w:w="5999" w:type="dxa"/>
                <w:jc w:val="center"/>
                <w:tblLook w:val="04A0"/>
              </w:tblPrEx>
              <w:trPr>
                <w:jc w:val="center"/>
              </w:trPr>
              <w:tc>
                <w:tcPr>
                  <w:tcW w:w="1063" w:type="dxa"/>
                </w:tcPr>
                <w:p w:rsidR="007178A8" w:rsidRPr="00EE1AF6" w:rsidP="007178A8">
                  <w:pPr>
                    <w:spacing w:after="120"/>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K50; K51</w:t>
                  </w:r>
                </w:p>
              </w:tc>
              <w:tc>
                <w:tcPr>
                  <w:tcW w:w="977" w:type="dxa"/>
                </w:tcPr>
                <w:p w:rsidR="007178A8" w:rsidRPr="00EE1AF6" w:rsidP="007178A8">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1961</w:t>
                  </w:r>
                </w:p>
              </w:tc>
              <w:tc>
                <w:tcPr>
                  <w:tcW w:w="1083" w:type="dxa"/>
                </w:tcPr>
                <w:p w:rsidR="007178A8" w:rsidRPr="00EE1AF6" w:rsidP="007178A8">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224,3</w:t>
                  </w:r>
                  <w:r w:rsidRPr="00631448" w:rsidR="00EE1AF6">
                    <w:rPr>
                      <w:rFonts w:ascii="Times New Roman" w:eastAsia="Times New Roman" w:hAnsi="Times New Roman" w:cs="Times New Roman"/>
                      <w:lang w:eastAsia="lv-LV"/>
                    </w:rPr>
                    <w:t>3</w:t>
                  </w:r>
                </w:p>
              </w:tc>
              <w:tc>
                <w:tcPr>
                  <w:tcW w:w="1328" w:type="dxa"/>
                </w:tcPr>
                <w:p w:rsidR="007178A8" w:rsidRPr="007B7FAB" w:rsidP="007178A8">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299,11</w:t>
                  </w:r>
                </w:p>
              </w:tc>
              <w:tc>
                <w:tcPr>
                  <w:tcW w:w="1548" w:type="dxa"/>
                </w:tcPr>
                <w:p w:rsidR="007178A8" w:rsidRPr="007B7FAB" w:rsidP="00EE1AF6">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146 644</w:t>
                  </w:r>
                </w:p>
              </w:tc>
            </w:tr>
            <w:tr w:rsidTr="00270DE4">
              <w:tblPrEx>
                <w:tblW w:w="5999" w:type="dxa"/>
                <w:jc w:val="center"/>
                <w:tblLook w:val="04A0"/>
              </w:tblPrEx>
              <w:trPr>
                <w:jc w:val="center"/>
              </w:trPr>
              <w:tc>
                <w:tcPr>
                  <w:tcW w:w="1063" w:type="dxa"/>
                </w:tcPr>
                <w:p w:rsidR="007178A8" w:rsidRPr="00EE1AF6" w:rsidP="007178A8">
                  <w:pPr>
                    <w:spacing w:after="120"/>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L40</w:t>
                  </w:r>
                </w:p>
              </w:tc>
              <w:tc>
                <w:tcPr>
                  <w:tcW w:w="977" w:type="dxa"/>
                </w:tcPr>
                <w:p w:rsidR="007178A8" w:rsidRPr="007B7FAB" w:rsidP="007178A8">
                  <w:pPr>
                    <w:spacing w:after="120"/>
                    <w:jc w:val="center"/>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9736</w:t>
                  </w:r>
                </w:p>
              </w:tc>
              <w:tc>
                <w:tcPr>
                  <w:tcW w:w="1083" w:type="dxa"/>
                </w:tcPr>
                <w:p w:rsidR="007178A8" w:rsidRPr="007B7FAB" w:rsidP="007178A8">
                  <w:pPr>
                    <w:spacing w:after="120"/>
                    <w:jc w:val="center"/>
                    <w:rPr>
                      <w:rFonts w:ascii="Times New Roman" w:eastAsia="Times New Roman" w:hAnsi="Times New Roman" w:cs="Times New Roman"/>
                      <w:lang w:eastAsia="lv-LV"/>
                    </w:rPr>
                  </w:pPr>
                  <w:r w:rsidRPr="007B7FAB">
                    <w:rPr>
                      <w:rFonts w:ascii="Times New Roman" w:eastAsia="Times New Roman" w:hAnsi="Times New Roman" w:cs="Times New Roman"/>
                      <w:lang w:eastAsia="lv-LV"/>
                    </w:rPr>
                    <w:t>49,97</w:t>
                  </w:r>
                </w:p>
              </w:tc>
              <w:tc>
                <w:tcPr>
                  <w:tcW w:w="1328" w:type="dxa"/>
                </w:tcPr>
                <w:p w:rsidR="007178A8" w:rsidRPr="00EE1AF6" w:rsidP="007178A8">
                  <w:pPr>
                    <w:spacing w:after="120"/>
                    <w:jc w:val="center"/>
                    <w:rPr>
                      <w:rFonts w:ascii="Times New Roman" w:eastAsia="Times New Roman" w:hAnsi="Times New Roman" w:cs="Times New Roman"/>
                      <w:lang w:eastAsia="lv-LV"/>
                    </w:rPr>
                  </w:pPr>
                  <w:r w:rsidRPr="007B7FAB">
                    <w:rPr>
                      <w:rFonts w:ascii="Times New Roman" w:eastAsia="Times New Roman" w:hAnsi="Times New Roman" w:cs="Times New Roman"/>
                      <w:lang w:eastAsia="lv-LV"/>
                    </w:rPr>
                    <w:t>66,6</w:t>
                  </w:r>
                  <w:r w:rsidRPr="00631448" w:rsidR="00EE1AF6">
                    <w:rPr>
                      <w:rFonts w:ascii="Times New Roman" w:eastAsia="Times New Roman" w:hAnsi="Times New Roman" w:cs="Times New Roman"/>
                      <w:lang w:eastAsia="lv-LV"/>
                    </w:rPr>
                    <w:t>2</w:t>
                  </w:r>
                </w:p>
              </w:tc>
              <w:tc>
                <w:tcPr>
                  <w:tcW w:w="1548" w:type="dxa"/>
                </w:tcPr>
                <w:p w:rsidR="007178A8" w:rsidRPr="007B7FAB" w:rsidP="00EE1AF6">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162 104</w:t>
                  </w:r>
                </w:p>
              </w:tc>
            </w:tr>
            <w:tr w:rsidTr="00270DE4">
              <w:tblPrEx>
                <w:tblW w:w="5999" w:type="dxa"/>
                <w:jc w:val="center"/>
                <w:tblLook w:val="04A0"/>
              </w:tblPrEx>
              <w:trPr>
                <w:jc w:val="center"/>
              </w:trPr>
              <w:tc>
                <w:tcPr>
                  <w:tcW w:w="1063" w:type="dxa"/>
                </w:tcPr>
                <w:p w:rsidR="007178A8" w:rsidRPr="00EE1AF6" w:rsidP="007178A8">
                  <w:pPr>
                    <w:spacing w:after="120"/>
                    <w:rPr>
                      <w:rFonts w:ascii="Times New Roman" w:eastAsia="Times New Roman" w:hAnsi="Times New Roman" w:cs="Times New Roman"/>
                      <w:lang w:eastAsia="lv-LV"/>
                    </w:rPr>
                  </w:pPr>
                  <w:r w:rsidRPr="00EE1AF6">
                    <w:rPr>
                      <w:rFonts w:ascii="Times New Roman" w:eastAsia="Times New Roman" w:hAnsi="Times New Roman" w:cs="Times New Roman"/>
                      <w:lang w:eastAsia="lv-LV"/>
                    </w:rPr>
                    <w:t>KOPĀ:</w:t>
                  </w:r>
                </w:p>
              </w:tc>
              <w:tc>
                <w:tcPr>
                  <w:tcW w:w="977" w:type="dxa"/>
                </w:tcPr>
                <w:p w:rsidR="007178A8" w:rsidRPr="00EE1AF6" w:rsidP="007178A8">
                  <w:pPr>
                    <w:spacing w:after="120"/>
                    <w:jc w:val="center"/>
                    <w:rPr>
                      <w:rFonts w:ascii="Times New Roman" w:eastAsia="Times New Roman" w:hAnsi="Times New Roman" w:cs="Times New Roman"/>
                      <w:lang w:eastAsia="lv-LV"/>
                    </w:rPr>
                  </w:pPr>
                </w:p>
              </w:tc>
              <w:tc>
                <w:tcPr>
                  <w:tcW w:w="1083" w:type="dxa"/>
                </w:tcPr>
                <w:p w:rsidR="007178A8" w:rsidRPr="007B7FAB" w:rsidP="007178A8">
                  <w:pPr>
                    <w:spacing w:after="120"/>
                    <w:jc w:val="center"/>
                    <w:rPr>
                      <w:rFonts w:ascii="Times New Roman" w:eastAsia="Times New Roman" w:hAnsi="Times New Roman" w:cs="Times New Roman"/>
                      <w:lang w:eastAsia="lv-LV"/>
                    </w:rPr>
                  </w:pPr>
                </w:p>
              </w:tc>
              <w:tc>
                <w:tcPr>
                  <w:tcW w:w="1328" w:type="dxa"/>
                </w:tcPr>
                <w:p w:rsidR="007178A8" w:rsidRPr="007B7FAB" w:rsidP="007178A8">
                  <w:pPr>
                    <w:spacing w:after="120"/>
                    <w:jc w:val="center"/>
                    <w:rPr>
                      <w:rFonts w:ascii="Times New Roman" w:eastAsia="Times New Roman" w:hAnsi="Times New Roman" w:cs="Times New Roman"/>
                      <w:lang w:eastAsia="lv-LV"/>
                    </w:rPr>
                  </w:pPr>
                </w:p>
              </w:tc>
              <w:tc>
                <w:tcPr>
                  <w:tcW w:w="1548" w:type="dxa"/>
                </w:tcPr>
                <w:p w:rsidR="007178A8" w:rsidRPr="007B7FAB" w:rsidP="00EE1AF6">
                  <w:pPr>
                    <w:spacing w:after="12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308 748</w:t>
                  </w:r>
                </w:p>
              </w:tc>
            </w:tr>
          </w:tbl>
          <w:p w:rsidR="00FE3FA6" w:rsidP="00270DE4">
            <w:pPr>
              <w:spacing w:after="120" w:line="240" w:lineRule="auto"/>
              <w:jc w:val="both"/>
              <w:rPr>
                <w:rFonts w:ascii="Times New Roman" w:eastAsia="Times New Roman" w:hAnsi="Times New Roman" w:cs="Times New Roman"/>
                <w:lang w:eastAsia="lv-LV"/>
              </w:rPr>
            </w:pPr>
          </w:p>
          <w:p w:rsidR="00F240C1" w:rsidRPr="00EE02B9" w:rsidP="00F240C1">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2. Bioloģiskās terapijas nodrošināšana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0" w:type="auto"/>
              <w:jc w:val="center"/>
              <w:tblLook w:val="04A0"/>
            </w:tblPr>
            <w:tblGrid>
              <w:gridCol w:w="1516"/>
              <w:gridCol w:w="1516"/>
              <w:gridCol w:w="1516"/>
              <w:gridCol w:w="1548"/>
            </w:tblGrid>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Diagnoze</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Pacientu skaits</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Vidējās izmaksas uz vienu pacientu, </w:t>
                  </w:r>
                  <w:r w:rsidRPr="00166693" w:rsidR="009A2751">
                    <w:rPr>
                      <w:rFonts w:ascii="Times New Roman" w:eastAsia="Times New Roman" w:hAnsi="Times New Roman" w:cs="Times New Roman"/>
                      <w:i/>
                      <w:lang w:eastAsia="lv-LV"/>
                    </w:rPr>
                    <w:t>euro</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Papildu nepieciešamais finansējums, </w:t>
                  </w:r>
                  <w:r w:rsidRPr="00166693" w:rsidR="009A2751">
                    <w:rPr>
                      <w:rFonts w:ascii="Times New Roman" w:eastAsia="Times New Roman" w:hAnsi="Times New Roman" w:cs="Times New Roman"/>
                      <w:i/>
                      <w:lang w:eastAsia="lv-LV"/>
                    </w:rPr>
                    <w:t>euro</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K50; K51</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75</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675</w:t>
                  </w:r>
                  <w:r w:rsidRPr="00EE02B9">
                    <w:rPr>
                      <w:rFonts w:ascii="Times New Roman" w:eastAsia="Times New Roman" w:hAnsi="Times New Roman" w:cs="Times New Roman"/>
                      <w:lang w:eastAsia="lv-LV"/>
                    </w:rPr>
                    <w:t> 000</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L40</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F240C1" w:rsidRPr="00EE02B9" w:rsidP="00531FA9">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900</w:t>
                  </w:r>
                  <w:r w:rsidRPr="00EE02B9">
                    <w:rPr>
                      <w:rFonts w:ascii="Times New Roman" w:eastAsia="Times New Roman" w:hAnsi="Times New Roman" w:cs="Times New Roman"/>
                      <w:lang w:eastAsia="lv-LV"/>
                    </w:rPr>
                    <w:t> 000</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KOPĀ:</w:t>
                  </w:r>
                </w:p>
              </w:tc>
              <w:tc>
                <w:tcPr>
                  <w:tcW w:w="1516" w:type="dxa"/>
                </w:tcPr>
                <w:p w:rsidR="00F240C1" w:rsidRPr="00EE02B9" w:rsidP="00F240C1">
                  <w:pPr>
                    <w:spacing w:after="120"/>
                    <w:jc w:val="center"/>
                    <w:rPr>
                      <w:rFonts w:ascii="Times New Roman" w:eastAsia="Times New Roman" w:hAnsi="Times New Roman" w:cs="Times New Roman"/>
                      <w:lang w:eastAsia="lv-LV"/>
                    </w:rPr>
                  </w:pPr>
                </w:p>
              </w:tc>
              <w:tc>
                <w:tcPr>
                  <w:tcW w:w="1516" w:type="dxa"/>
                </w:tcPr>
                <w:p w:rsidR="00F240C1" w:rsidRPr="00EE02B9" w:rsidP="00F240C1">
                  <w:pPr>
                    <w:spacing w:after="120"/>
                    <w:jc w:val="center"/>
                    <w:rPr>
                      <w:rFonts w:ascii="Times New Roman" w:eastAsia="Times New Roman" w:hAnsi="Times New Roman" w:cs="Times New Roman"/>
                      <w:lang w:eastAsia="lv-LV"/>
                    </w:rPr>
                  </w:pPr>
                </w:p>
              </w:tc>
              <w:tc>
                <w:tcPr>
                  <w:tcW w:w="1516" w:type="dxa"/>
                </w:tcPr>
                <w:p w:rsidR="00F240C1" w:rsidRPr="00EE02B9" w:rsidP="00531FA9">
                  <w:pPr>
                    <w:spacing w:after="12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1 575 000</w:t>
                  </w:r>
                </w:p>
              </w:tc>
            </w:tr>
          </w:tbl>
          <w:p w:rsidR="00367249" w:rsidP="00270DE4">
            <w:pPr>
              <w:spacing w:after="120" w:line="240" w:lineRule="auto"/>
              <w:jc w:val="both"/>
              <w:rPr>
                <w:rFonts w:ascii="Times New Roman" w:hAnsi="Times New Roman" w:cs="Times New Roman"/>
                <w:noProof/>
                <w:sz w:val="24"/>
                <w:szCs w:val="24"/>
                <w:u w:val="single"/>
              </w:rPr>
            </w:pPr>
          </w:p>
          <w:p w:rsidR="00F240C1" w:rsidRPr="006965F6" w:rsidP="00270DE4">
            <w:pPr>
              <w:spacing w:after="120" w:line="240" w:lineRule="auto"/>
              <w:jc w:val="both"/>
              <w:rPr>
                <w:rFonts w:ascii="Times New Roman" w:eastAsia="Times New Roman" w:hAnsi="Times New Roman" w:cs="Times New Roman"/>
                <w:b/>
                <w:sz w:val="24"/>
                <w:szCs w:val="24"/>
                <w:u w:val="single"/>
                <w:lang w:eastAsia="lv-LV"/>
              </w:rPr>
            </w:pPr>
            <w:r>
              <w:rPr>
                <w:rFonts w:ascii="Times New Roman" w:hAnsi="Times New Roman" w:cs="Times New Roman"/>
                <w:noProof/>
                <w:sz w:val="24"/>
                <w:szCs w:val="24"/>
                <w:u w:val="single"/>
              </w:rPr>
              <w:t>A</w:t>
            </w:r>
            <w:r w:rsidRPr="003C794A" w:rsidR="007511B9">
              <w:rPr>
                <w:rFonts w:ascii="Times New Roman" w:hAnsi="Times New Roman" w:cs="Times New Roman"/>
                <w:noProof/>
                <w:sz w:val="24"/>
                <w:szCs w:val="24"/>
                <w:u w:val="single"/>
              </w:rPr>
              <w:t>mbulatorajai ārstēšanai paredzēto medikamentu kompensācijai</w:t>
            </w:r>
            <w:r w:rsidR="004765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plānotais</w:t>
            </w:r>
            <w:r w:rsidR="004765C0">
              <w:rPr>
                <w:rFonts w:ascii="Times New Roman" w:eastAsia="Times New Roman" w:hAnsi="Times New Roman" w:cs="Times New Roman"/>
                <w:sz w:val="24"/>
                <w:szCs w:val="24"/>
                <w:lang w:eastAsia="lv-LV"/>
              </w:rPr>
              <w:t xml:space="preserve"> finansējums </w:t>
            </w:r>
            <w:r w:rsidRPr="004D4EC0">
              <w:rPr>
                <w:rFonts w:ascii="Times New Roman" w:eastAsia="Times New Roman" w:hAnsi="Times New Roman" w:cs="Times New Roman"/>
                <w:b/>
                <w:sz w:val="24"/>
                <w:szCs w:val="24"/>
                <w:lang w:eastAsia="lv-LV"/>
              </w:rPr>
              <w:t>2</w:t>
            </w:r>
            <w:r w:rsidR="009303E0">
              <w:rPr>
                <w:rFonts w:ascii="Times New Roman" w:eastAsia="Times New Roman" w:hAnsi="Times New Roman" w:cs="Times New Roman"/>
                <w:b/>
                <w:sz w:val="24"/>
                <w:szCs w:val="24"/>
                <w:lang w:eastAsia="lv-LV"/>
              </w:rPr>
              <w:t> 558 748</w:t>
            </w:r>
            <w:r w:rsidRPr="004D4EC0">
              <w:rPr>
                <w:rFonts w:ascii="Times New Roman" w:eastAsia="Times New Roman" w:hAnsi="Times New Roman" w:cs="Times New Roman"/>
                <w:b/>
                <w:sz w:val="24"/>
                <w:szCs w:val="24"/>
                <w:lang w:eastAsia="lv-LV"/>
              </w:rPr>
              <w:t xml:space="preserve"> </w:t>
            </w:r>
            <w:r w:rsidRPr="003F2D16">
              <w:rPr>
                <w:rFonts w:ascii="Times New Roman" w:eastAsia="Times New Roman" w:hAnsi="Times New Roman" w:cs="Times New Roman"/>
                <w:b/>
                <w:i/>
                <w:sz w:val="24"/>
                <w:szCs w:val="24"/>
                <w:lang w:eastAsia="lv-LV"/>
              </w:rPr>
              <w:t>euro</w:t>
            </w:r>
            <w:r>
              <w:rPr>
                <w:rFonts w:ascii="Times New Roman" w:eastAsia="Times New Roman" w:hAnsi="Times New Roman" w:cs="Times New Roman"/>
                <w:sz w:val="24"/>
                <w:szCs w:val="24"/>
                <w:lang w:eastAsia="lv-LV"/>
              </w:rPr>
              <w:t xml:space="preserve"> </w:t>
            </w:r>
            <w:r w:rsidR="004765C0">
              <w:rPr>
                <w:rFonts w:ascii="Times New Roman" w:eastAsia="Times New Roman" w:hAnsi="Times New Roman" w:cs="Times New Roman"/>
                <w:sz w:val="24"/>
                <w:szCs w:val="24"/>
                <w:lang w:eastAsia="lv-LV"/>
              </w:rPr>
              <w:t>2020.gadam tiks nodrošināts no likumprojektā “Par vidēja termiņa budžeta ietvaru 2018., 2019. un 2020.gadam”</w:t>
            </w:r>
            <w:r w:rsidR="00EE1AF6">
              <w:rPr>
                <w:rFonts w:ascii="Times New Roman" w:eastAsia="Times New Roman" w:hAnsi="Times New Roman" w:cs="Times New Roman"/>
                <w:sz w:val="24"/>
                <w:szCs w:val="24"/>
                <w:lang w:eastAsia="lv-LV"/>
              </w:rPr>
              <w:t xml:space="preserve"> </w:t>
            </w:r>
            <w:r w:rsidR="004765C0">
              <w:rPr>
                <w:rFonts w:ascii="Times New Roman" w:eastAsia="Times New Roman" w:hAnsi="Times New Roman" w:cs="Times New Roman"/>
                <w:sz w:val="24"/>
                <w:szCs w:val="24"/>
                <w:lang w:eastAsia="lv-LV"/>
              </w:rPr>
              <w:t>budžeta resor</w:t>
            </w:r>
            <w:r w:rsidR="00EE1AF6">
              <w:rPr>
                <w:rFonts w:ascii="Times New Roman" w:eastAsia="Times New Roman" w:hAnsi="Times New Roman" w:cs="Times New Roman"/>
                <w:sz w:val="24"/>
                <w:szCs w:val="24"/>
                <w:lang w:eastAsia="lv-LV"/>
              </w:rPr>
              <w:t>ā</w:t>
            </w:r>
            <w:r w:rsidR="004765C0">
              <w:rPr>
                <w:rFonts w:ascii="Times New Roman" w:eastAsia="Times New Roman" w:hAnsi="Times New Roman" w:cs="Times New Roman"/>
                <w:sz w:val="24"/>
                <w:szCs w:val="24"/>
                <w:lang w:eastAsia="lv-LV"/>
              </w:rPr>
              <w:t xml:space="preserve"> “74.Gadskārtējā valsts budžeta izpildes procesā pārdalāmais finansējums”</w:t>
            </w:r>
            <w:r w:rsidR="00EE1AF6">
              <w:rPr>
                <w:rFonts w:ascii="Times New Roman" w:eastAsia="Times New Roman" w:hAnsi="Times New Roman" w:cs="Times New Roman"/>
                <w:sz w:val="24"/>
                <w:szCs w:val="24"/>
                <w:lang w:eastAsia="lv-LV"/>
              </w:rPr>
              <w:t xml:space="preserve"> Veselības ministrijai veselības finansējuma nodrošināšanai rezervētiem līdzekļiem 144 000 000 </w:t>
            </w:r>
            <w:r w:rsidRPr="00631448" w:rsidR="00EE1AF6">
              <w:rPr>
                <w:rFonts w:ascii="Times New Roman" w:eastAsia="Times New Roman" w:hAnsi="Times New Roman" w:cs="Times New Roman"/>
                <w:i/>
                <w:sz w:val="24"/>
                <w:szCs w:val="24"/>
                <w:lang w:eastAsia="lv-LV"/>
              </w:rPr>
              <w:t>euro</w:t>
            </w:r>
            <w:r w:rsidR="00EE1AF6">
              <w:rPr>
                <w:rFonts w:ascii="Times New Roman" w:eastAsia="Times New Roman" w:hAnsi="Times New Roman" w:cs="Times New Roman"/>
                <w:sz w:val="24"/>
                <w:szCs w:val="24"/>
                <w:lang w:eastAsia="lv-LV"/>
              </w:rPr>
              <w:t xml:space="preserve"> </w:t>
            </w:r>
            <w:r w:rsidR="00EE1AF6">
              <w:rPr>
                <w:rFonts w:ascii="Times New Roman" w:eastAsia="Times New Roman" w:hAnsi="Times New Roman" w:cs="Times New Roman"/>
                <w:sz w:val="24"/>
                <w:szCs w:val="24"/>
                <w:lang w:eastAsia="lv-LV"/>
              </w:rPr>
              <w:t>apmērā.</w:t>
            </w:r>
            <w:r w:rsidR="00B42AF9">
              <w:rPr>
                <w:rFonts w:ascii="Times New Roman" w:eastAsia="Times New Roman" w:hAnsi="Times New Roman" w:cs="Times New Roman"/>
                <w:sz w:val="24"/>
                <w:szCs w:val="24"/>
                <w:lang w:eastAsia="lv-LV"/>
              </w:rPr>
              <w:t>.</w:t>
            </w:r>
            <w:r w:rsidRPr="004D4EC0" w:rsidR="007511B9">
              <w:rPr>
                <w:rFonts w:ascii="Times New Roman" w:hAnsi="Times New Roman" w:cs="Times New Roman"/>
                <w:noProof/>
                <w:sz w:val="24"/>
                <w:szCs w:val="24"/>
              </w:rPr>
              <w:t>t.sk</w:t>
            </w:r>
            <w:r w:rsidRPr="004D4EC0" w:rsidR="007511B9">
              <w:rPr>
                <w:rFonts w:ascii="Times New Roman" w:hAnsi="Times New Roman" w:cs="Times New Roman"/>
                <w:noProof/>
                <w:sz w:val="24"/>
                <w:szCs w:val="24"/>
              </w:rPr>
              <w:t>.:</w:t>
            </w:r>
          </w:p>
          <w:p w:rsidR="00F240C1" w:rsidP="00270DE4">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1. Kompensācijas apmēra palielināšana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5999" w:type="dxa"/>
              <w:jc w:val="center"/>
              <w:tblLook w:val="04A0"/>
            </w:tblPr>
            <w:tblGrid>
              <w:gridCol w:w="1063"/>
              <w:gridCol w:w="977"/>
              <w:gridCol w:w="1083"/>
              <w:gridCol w:w="1328"/>
              <w:gridCol w:w="1548"/>
            </w:tblGrid>
            <w:tr w:rsidTr="00270DE4">
              <w:tblPrEx>
                <w:tblW w:w="5999" w:type="dxa"/>
                <w:jc w:val="center"/>
                <w:tblLook w:val="04A0"/>
              </w:tblPrEx>
              <w:trPr>
                <w:jc w:val="center"/>
              </w:trPr>
              <w:tc>
                <w:tcPr>
                  <w:tcW w:w="1063" w:type="dxa"/>
                  <w:vMerge w:val="restart"/>
                </w:tcPr>
                <w:p w:rsidR="00FE3FA6" w:rsidRPr="00EE02B9" w:rsidP="00FE3FA6">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Diagnoze</w:t>
                  </w:r>
                </w:p>
              </w:tc>
              <w:tc>
                <w:tcPr>
                  <w:tcW w:w="977" w:type="dxa"/>
                  <w:vMerge w:val="restart"/>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Pacientu skaits</w:t>
                  </w:r>
                </w:p>
              </w:tc>
              <w:tc>
                <w:tcPr>
                  <w:tcW w:w="2411" w:type="dxa"/>
                  <w:gridSpan w:val="2"/>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Vidējās izmaksas uz vienu pacientu, </w:t>
                  </w:r>
                  <w:r w:rsidRPr="00166693" w:rsidR="009A2751">
                    <w:rPr>
                      <w:rFonts w:ascii="Times New Roman" w:eastAsia="Times New Roman" w:hAnsi="Times New Roman" w:cs="Times New Roman"/>
                      <w:i/>
                      <w:lang w:eastAsia="lv-LV"/>
                    </w:rPr>
                    <w:t>euro</w:t>
                  </w:r>
                </w:p>
              </w:tc>
              <w:tc>
                <w:tcPr>
                  <w:tcW w:w="1548" w:type="dxa"/>
                  <w:vMerge w:val="restart"/>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Papildu nepieciešamais finansējums, </w:t>
                  </w:r>
                  <w:r w:rsidRPr="00166693" w:rsidR="009A2751">
                    <w:rPr>
                      <w:rFonts w:ascii="Times New Roman" w:eastAsia="Times New Roman" w:hAnsi="Times New Roman" w:cs="Times New Roman"/>
                      <w:i/>
                      <w:lang w:eastAsia="lv-LV"/>
                    </w:rPr>
                    <w:t>euro</w:t>
                  </w:r>
                </w:p>
              </w:tc>
            </w:tr>
            <w:tr w:rsidTr="00270DE4">
              <w:tblPrEx>
                <w:tblW w:w="5999" w:type="dxa"/>
                <w:jc w:val="center"/>
                <w:tblLook w:val="04A0"/>
              </w:tblPrEx>
              <w:trPr>
                <w:jc w:val="center"/>
              </w:trPr>
              <w:tc>
                <w:tcPr>
                  <w:tcW w:w="1063" w:type="dxa"/>
                  <w:vMerge/>
                </w:tcPr>
                <w:p w:rsidR="00FE3FA6" w:rsidRPr="00EE02B9" w:rsidP="00FE3FA6">
                  <w:pPr>
                    <w:spacing w:after="120"/>
                    <w:rPr>
                      <w:rFonts w:ascii="Times New Roman" w:eastAsia="Times New Roman" w:hAnsi="Times New Roman" w:cs="Times New Roman"/>
                      <w:lang w:eastAsia="lv-LV"/>
                    </w:rPr>
                  </w:pPr>
                </w:p>
              </w:tc>
              <w:tc>
                <w:tcPr>
                  <w:tcW w:w="977" w:type="dxa"/>
                  <w:vMerge/>
                </w:tcPr>
                <w:p w:rsidR="00FE3FA6" w:rsidRPr="00EE02B9" w:rsidP="00FE3FA6">
                  <w:pPr>
                    <w:spacing w:after="120"/>
                    <w:jc w:val="center"/>
                    <w:rPr>
                      <w:rFonts w:ascii="Times New Roman" w:eastAsia="Times New Roman" w:hAnsi="Times New Roman" w:cs="Times New Roman"/>
                      <w:lang w:eastAsia="lv-LV"/>
                    </w:rPr>
                  </w:pPr>
                </w:p>
              </w:tc>
              <w:tc>
                <w:tcPr>
                  <w:tcW w:w="1083"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75%</w:t>
                  </w:r>
                </w:p>
              </w:tc>
              <w:tc>
                <w:tcPr>
                  <w:tcW w:w="1328"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100%</w:t>
                  </w:r>
                </w:p>
              </w:tc>
              <w:tc>
                <w:tcPr>
                  <w:tcW w:w="1548" w:type="dxa"/>
                  <w:vMerge/>
                </w:tcPr>
                <w:p w:rsidR="00FE3FA6" w:rsidRPr="00EE02B9" w:rsidP="00FE3FA6">
                  <w:pPr>
                    <w:spacing w:after="120"/>
                    <w:jc w:val="center"/>
                    <w:rPr>
                      <w:rFonts w:ascii="Times New Roman" w:eastAsia="Times New Roman" w:hAnsi="Times New Roman" w:cs="Times New Roman"/>
                      <w:lang w:eastAsia="lv-LV"/>
                    </w:rPr>
                  </w:pPr>
                </w:p>
              </w:tc>
            </w:tr>
            <w:tr w:rsidTr="00270DE4">
              <w:tblPrEx>
                <w:tblW w:w="5999" w:type="dxa"/>
                <w:jc w:val="center"/>
                <w:tblLook w:val="04A0"/>
              </w:tblPrEx>
              <w:trPr>
                <w:jc w:val="center"/>
              </w:trPr>
              <w:tc>
                <w:tcPr>
                  <w:tcW w:w="1063" w:type="dxa"/>
                </w:tcPr>
                <w:p w:rsidR="00FE3FA6" w:rsidRPr="00EE02B9" w:rsidP="00FE3FA6">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K50; K51</w:t>
                  </w:r>
                </w:p>
              </w:tc>
              <w:tc>
                <w:tcPr>
                  <w:tcW w:w="977"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1961</w:t>
                  </w:r>
                </w:p>
              </w:tc>
              <w:tc>
                <w:tcPr>
                  <w:tcW w:w="1083"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224,3</w:t>
                  </w:r>
                  <w:r w:rsidR="007178A8">
                    <w:rPr>
                      <w:rFonts w:ascii="Times New Roman" w:eastAsia="Times New Roman" w:hAnsi="Times New Roman" w:cs="Times New Roman"/>
                      <w:lang w:eastAsia="lv-LV"/>
                    </w:rPr>
                    <w:t>3</w:t>
                  </w:r>
                </w:p>
              </w:tc>
              <w:tc>
                <w:tcPr>
                  <w:tcW w:w="1328"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299,1</w:t>
                  </w:r>
                  <w:r>
                    <w:rPr>
                      <w:rFonts w:ascii="Times New Roman" w:eastAsia="Times New Roman" w:hAnsi="Times New Roman" w:cs="Times New Roman"/>
                      <w:lang w:eastAsia="lv-LV"/>
                    </w:rPr>
                    <w:t>1</w:t>
                  </w:r>
                </w:p>
              </w:tc>
              <w:tc>
                <w:tcPr>
                  <w:tcW w:w="1548" w:type="dxa"/>
                </w:tcPr>
                <w:p w:rsidR="00FE3FA6" w:rsidRPr="007178A8" w:rsidP="00FE3FA6">
                  <w:pPr>
                    <w:spacing w:after="120"/>
                    <w:jc w:val="center"/>
                    <w:rPr>
                      <w:rFonts w:ascii="Times New Roman" w:eastAsia="Times New Roman" w:hAnsi="Times New Roman" w:cs="Times New Roman"/>
                      <w:lang w:eastAsia="lv-LV"/>
                    </w:rPr>
                  </w:pPr>
                  <w:r w:rsidRPr="007178A8">
                    <w:rPr>
                      <w:rFonts w:ascii="Times New Roman" w:eastAsia="Times New Roman" w:hAnsi="Times New Roman" w:cs="Times New Roman"/>
                      <w:lang w:eastAsia="lv-LV"/>
                    </w:rPr>
                    <w:t>146 644</w:t>
                  </w:r>
                </w:p>
              </w:tc>
            </w:tr>
            <w:tr w:rsidTr="00270DE4">
              <w:tblPrEx>
                <w:tblW w:w="5999" w:type="dxa"/>
                <w:jc w:val="center"/>
                <w:tblLook w:val="04A0"/>
              </w:tblPrEx>
              <w:trPr>
                <w:jc w:val="center"/>
              </w:trPr>
              <w:tc>
                <w:tcPr>
                  <w:tcW w:w="1063" w:type="dxa"/>
                </w:tcPr>
                <w:p w:rsidR="00FE3FA6" w:rsidRPr="00EE02B9" w:rsidP="00FE3FA6">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L40</w:t>
                  </w:r>
                </w:p>
              </w:tc>
              <w:tc>
                <w:tcPr>
                  <w:tcW w:w="977"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9736</w:t>
                  </w:r>
                </w:p>
              </w:tc>
              <w:tc>
                <w:tcPr>
                  <w:tcW w:w="1083"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49,97</w:t>
                  </w:r>
                </w:p>
              </w:tc>
              <w:tc>
                <w:tcPr>
                  <w:tcW w:w="1328" w:type="dxa"/>
                </w:tcPr>
                <w:p w:rsidR="00FE3FA6" w:rsidRPr="00EE02B9" w:rsidP="00FE3FA6">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66,6</w:t>
                  </w:r>
                  <w:r w:rsidR="007178A8">
                    <w:rPr>
                      <w:rFonts w:ascii="Times New Roman" w:eastAsia="Times New Roman" w:hAnsi="Times New Roman" w:cs="Times New Roman"/>
                      <w:lang w:eastAsia="lv-LV"/>
                    </w:rPr>
                    <w:t>2</w:t>
                  </w:r>
                </w:p>
              </w:tc>
              <w:tc>
                <w:tcPr>
                  <w:tcW w:w="1548" w:type="dxa"/>
                </w:tcPr>
                <w:p w:rsidR="00FE3FA6" w:rsidRPr="007178A8" w:rsidP="00FE3FA6">
                  <w:pPr>
                    <w:spacing w:after="120"/>
                    <w:jc w:val="center"/>
                    <w:rPr>
                      <w:rFonts w:ascii="Times New Roman" w:eastAsia="Times New Roman" w:hAnsi="Times New Roman" w:cs="Times New Roman"/>
                      <w:lang w:eastAsia="lv-LV"/>
                    </w:rPr>
                  </w:pPr>
                  <w:r w:rsidRPr="007178A8">
                    <w:rPr>
                      <w:rFonts w:ascii="Times New Roman" w:eastAsia="Times New Roman" w:hAnsi="Times New Roman" w:cs="Times New Roman"/>
                      <w:lang w:eastAsia="lv-LV"/>
                    </w:rPr>
                    <w:t>162 104</w:t>
                  </w:r>
                </w:p>
              </w:tc>
            </w:tr>
            <w:tr w:rsidTr="00270DE4">
              <w:tblPrEx>
                <w:tblW w:w="5999" w:type="dxa"/>
                <w:jc w:val="center"/>
                <w:tblLook w:val="04A0"/>
              </w:tblPrEx>
              <w:trPr>
                <w:jc w:val="center"/>
              </w:trPr>
              <w:tc>
                <w:tcPr>
                  <w:tcW w:w="1063" w:type="dxa"/>
                </w:tcPr>
                <w:p w:rsidR="00FE3FA6" w:rsidRPr="00EE02B9" w:rsidP="00FE3FA6">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KOPĀ:</w:t>
                  </w:r>
                </w:p>
              </w:tc>
              <w:tc>
                <w:tcPr>
                  <w:tcW w:w="977" w:type="dxa"/>
                </w:tcPr>
                <w:p w:rsidR="00FE3FA6" w:rsidRPr="00EE02B9" w:rsidP="00FE3FA6">
                  <w:pPr>
                    <w:spacing w:after="120"/>
                    <w:jc w:val="center"/>
                    <w:rPr>
                      <w:rFonts w:ascii="Times New Roman" w:eastAsia="Times New Roman" w:hAnsi="Times New Roman" w:cs="Times New Roman"/>
                      <w:lang w:eastAsia="lv-LV"/>
                    </w:rPr>
                  </w:pPr>
                </w:p>
              </w:tc>
              <w:tc>
                <w:tcPr>
                  <w:tcW w:w="1083" w:type="dxa"/>
                </w:tcPr>
                <w:p w:rsidR="00FE3FA6" w:rsidRPr="00EE02B9" w:rsidP="00FE3FA6">
                  <w:pPr>
                    <w:spacing w:after="120"/>
                    <w:jc w:val="center"/>
                    <w:rPr>
                      <w:rFonts w:ascii="Times New Roman" w:eastAsia="Times New Roman" w:hAnsi="Times New Roman" w:cs="Times New Roman"/>
                      <w:lang w:eastAsia="lv-LV"/>
                    </w:rPr>
                  </w:pPr>
                </w:p>
              </w:tc>
              <w:tc>
                <w:tcPr>
                  <w:tcW w:w="1328" w:type="dxa"/>
                </w:tcPr>
                <w:p w:rsidR="00FE3FA6" w:rsidRPr="00EE02B9" w:rsidP="00FE3FA6">
                  <w:pPr>
                    <w:spacing w:after="120"/>
                    <w:jc w:val="center"/>
                    <w:rPr>
                      <w:rFonts w:ascii="Times New Roman" w:eastAsia="Times New Roman" w:hAnsi="Times New Roman" w:cs="Times New Roman"/>
                      <w:lang w:eastAsia="lv-LV"/>
                    </w:rPr>
                  </w:pPr>
                </w:p>
              </w:tc>
              <w:tc>
                <w:tcPr>
                  <w:tcW w:w="1548" w:type="dxa"/>
                </w:tcPr>
                <w:p w:rsidR="00FE3FA6" w:rsidRPr="007178A8" w:rsidP="00FE3FA6">
                  <w:pPr>
                    <w:spacing w:after="120"/>
                    <w:jc w:val="center"/>
                    <w:rPr>
                      <w:rFonts w:ascii="Times New Roman" w:eastAsia="Times New Roman" w:hAnsi="Times New Roman" w:cs="Times New Roman"/>
                      <w:b/>
                      <w:lang w:eastAsia="lv-LV"/>
                    </w:rPr>
                  </w:pPr>
                  <w:r w:rsidRPr="007178A8">
                    <w:rPr>
                      <w:rFonts w:ascii="Times New Roman" w:eastAsia="Times New Roman" w:hAnsi="Times New Roman" w:cs="Times New Roman"/>
                      <w:b/>
                      <w:lang w:eastAsia="lv-LV"/>
                    </w:rPr>
                    <w:t>308 748</w:t>
                  </w:r>
                </w:p>
              </w:tc>
            </w:tr>
          </w:tbl>
          <w:p w:rsidR="00F240C1" w:rsidP="00F240C1">
            <w:pPr>
              <w:spacing w:after="120" w:line="240" w:lineRule="auto"/>
              <w:jc w:val="both"/>
              <w:rPr>
                <w:rFonts w:ascii="Times New Roman" w:eastAsia="Times New Roman" w:hAnsi="Times New Roman" w:cs="Times New Roman"/>
                <w:b/>
                <w:lang w:eastAsia="lv-LV"/>
              </w:rPr>
            </w:pPr>
          </w:p>
          <w:p w:rsidR="00F240C1" w:rsidRPr="00EE02B9" w:rsidP="00F240C1">
            <w:pPr>
              <w:spacing w:after="120" w:line="240" w:lineRule="auto"/>
              <w:jc w:val="both"/>
              <w:rPr>
                <w:rFonts w:ascii="Times New Roman" w:eastAsia="Times New Roman" w:hAnsi="Times New Roman" w:cs="Times New Roman"/>
                <w:lang w:eastAsia="lv-LV"/>
              </w:rPr>
            </w:pPr>
            <w:r w:rsidRPr="00EE02B9">
              <w:rPr>
                <w:rFonts w:ascii="Times New Roman" w:eastAsia="Times New Roman" w:hAnsi="Times New Roman" w:cs="Times New Roman"/>
                <w:b/>
                <w:lang w:eastAsia="lv-LV"/>
              </w:rPr>
              <w:t xml:space="preserve">2. Bioloģiskās terapijas nodrošināšana Krona slimībai (K50), čūlainajam kolītam (K51) un </w:t>
            </w:r>
            <w:r w:rsidRPr="00EE02B9">
              <w:rPr>
                <w:rFonts w:ascii="Times New Roman" w:eastAsia="Times New Roman" w:hAnsi="Times New Roman" w:cs="Times New Roman"/>
                <w:b/>
                <w:lang w:eastAsia="lv-LV"/>
              </w:rPr>
              <w:t>psoriāzei</w:t>
            </w:r>
            <w:r w:rsidRPr="00EE02B9">
              <w:rPr>
                <w:rFonts w:ascii="Times New Roman" w:eastAsia="Times New Roman" w:hAnsi="Times New Roman" w:cs="Times New Roman"/>
                <w:b/>
                <w:lang w:eastAsia="lv-LV"/>
              </w:rPr>
              <w:t xml:space="preserve"> (L40)</w:t>
            </w:r>
            <w:r w:rsidRPr="00EE02B9">
              <w:rPr>
                <w:rFonts w:ascii="Times New Roman" w:eastAsia="Times New Roman" w:hAnsi="Times New Roman" w:cs="Times New Roman"/>
                <w:lang w:eastAsia="lv-LV"/>
              </w:rPr>
              <w:t>:</w:t>
            </w:r>
          </w:p>
          <w:tbl>
            <w:tblPr>
              <w:tblStyle w:val="TableGrid"/>
              <w:tblW w:w="0" w:type="auto"/>
              <w:jc w:val="center"/>
              <w:tblLook w:val="04A0"/>
            </w:tblPr>
            <w:tblGrid>
              <w:gridCol w:w="1516"/>
              <w:gridCol w:w="1516"/>
              <w:gridCol w:w="1516"/>
              <w:gridCol w:w="1548"/>
            </w:tblGrid>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Diagnoze</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Pacientu skaits</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Vidējās izmaksas uz vienu pacientu, </w:t>
                  </w:r>
                  <w:r w:rsidRPr="00166693" w:rsidR="009A2751">
                    <w:rPr>
                      <w:rFonts w:ascii="Times New Roman" w:eastAsia="Times New Roman" w:hAnsi="Times New Roman" w:cs="Times New Roman"/>
                      <w:i/>
                      <w:lang w:eastAsia="lv-LV"/>
                    </w:rPr>
                    <w:t>euro</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 xml:space="preserve">Papildu nepieciešamais finansējums, </w:t>
                  </w:r>
                  <w:r w:rsidRPr="00166693" w:rsidR="009A2751">
                    <w:rPr>
                      <w:rFonts w:ascii="Times New Roman" w:eastAsia="Times New Roman" w:hAnsi="Times New Roman" w:cs="Times New Roman"/>
                      <w:i/>
                      <w:lang w:eastAsia="lv-LV"/>
                    </w:rPr>
                    <w:t>euro</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K50; K51</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Pr="00EE02B9">
                    <w:rPr>
                      <w:rFonts w:ascii="Times New Roman" w:eastAsia="Times New Roman" w:hAnsi="Times New Roman" w:cs="Times New Roman"/>
                      <w:lang w:eastAsia="lv-LV"/>
                    </w:rPr>
                    <w:t>0</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90</w:t>
                  </w:r>
                  <w:r w:rsidRPr="00EE02B9">
                    <w:rPr>
                      <w:rFonts w:ascii="Times New Roman" w:eastAsia="Times New Roman" w:hAnsi="Times New Roman" w:cs="Times New Roman"/>
                      <w:lang w:eastAsia="lv-LV"/>
                    </w:rPr>
                    <w:t>0 000</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L40</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EE02B9">
                    <w:rPr>
                      <w:rFonts w:ascii="Times New Roman" w:eastAsia="Times New Roman" w:hAnsi="Times New Roman" w:cs="Times New Roman"/>
                      <w:lang w:eastAsia="lv-LV"/>
                    </w:rPr>
                    <w:t>50</w:t>
                  </w:r>
                </w:p>
              </w:tc>
              <w:tc>
                <w:tcPr>
                  <w:tcW w:w="1516" w:type="dxa"/>
                </w:tcPr>
                <w:p w:rsidR="00F240C1" w:rsidRPr="00EE02B9" w:rsidP="00F240C1">
                  <w:pPr>
                    <w:spacing w:after="120"/>
                    <w:jc w:val="center"/>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9 000</w:t>
                  </w:r>
                </w:p>
              </w:tc>
              <w:tc>
                <w:tcPr>
                  <w:tcW w:w="1516" w:type="dxa"/>
                </w:tcPr>
                <w:p w:rsidR="00F240C1" w:rsidRPr="00EE02B9" w:rsidP="00F240C1">
                  <w:pPr>
                    <w:spacing w:after="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1 3</w:t>
                  </w:r>
                  <w:r w:rsidRPr="00EE02B9">
                    <w:rPr>
                      <w:rFonts w:ascii="Times New Roman" w:eastAsia="Times New Roman" w:hAnsi="Times New Roman" w:cs="Times New Roman"/>
                      <w:lang w:eastAsia="lv-LV"/>
                    </w:rPr>
                    <w:t>50 000</w:t>
                  </w:r>
                </w:p>
              </w:tc>
            </w:tr>
            <w:tr w:rsidTr="00270DE4">
              <w:tblPrEx>
                <w:tblW w:w="0" w:type="auto"/>
                <w:jc w:val="center"/>
                <w:tblLook w:val="04A0"/>
              </w:tblPrEx>
              <w:trPr>
                <w:jc w:val="center"/>
              </w:trPr>
              <w:tc>
                <w:tcPr>
                  <w:tcW w:w="1516" w:type="dxa"/>
                </w:tcPr>
                <w:p w:rsidR="00F240C1" w:rsidRPr="00EE02B9" w:rsidP="00F240C1">
                  <w:pPr>
                    <w:spacing w:after="120"/>
                    <w:rPr>
                      <w:rFonts w:ascii="Times New Roman" w:eastAsia="Times New Roman" w:hAnsi="Times New Roman" w:cs="Times New Roman"/>
                      <w:lang w:eastAsia="lv-LV"/>
                    </w:rPr>
                  </w:pPr>
                  <w:r w:rsidRPr="00EE02B9">
                    <w:rPr>
                      <w:rFonts w:ascii="Times New Roman" w:eastAsia="Times New Roman" w:hAnsi="Times New Roman" w:cs="Times New Roman"/>
                      <w:lang w:eastAsia="lv-LV"/>
                    </w:rPr>
                    <w:t>KOPĀ:</w:t>
                  </w:r>
                </w:p>
              </w:tc>
              <w:tc>
                <w:tcPr>
                  <w:tcW w:w="1516" w:type="dxa"/>
                </w:tcPr>
                <w:p w:rsidR="00F240C1" w:rsidRPr="00EE02B9" w:rsidP="00F240C1">
                  <w:pPr>
                    <w:spacing w:after="120"/>
                    <w:jc w:val="center"/>
                    <w:rPr>
                      <w:rFonts w:ascii="Times New Roman" w:eastAsia="Times New Roman" w:hAnsi="Times New Roman" w:cs="Times New Roman"/>
                      <w:lang w:eastAsia="lv-LV"/>
                    </w:rPr>
                  </w:pPr>
                </w:p>
              </w:tc>
              <w:tc>
                <w:tcPr>
                  <w:tcW w:w="1516" w:type="dxa"/>
                </w:tcPr>
                <w:p w:rsidR="00F240C1" w:rsidRPr="00EE02B9" w:rsidP="00F240C1">
                  <w:pPr>
                    <w:spacing w:after="120"/>
                    <w:jc w:val="center"/>
                    <w:rPr>
                      <w:rFonts w:ascii="Times New Roman" w:eastAsia="Times New Roman" w:hAnsi="Times New Roman" w:cs="Times New Roman"/>
                      <w:lang w:eastAsia="lv-LV"/>
                    </w:rPr>
                  </w:pPr>
                </w:p>
              </w:tc>
              <w:tc>
                <w:tcPr>
                  <w:tcW w:w="1516" w:type="dxa"/>
                </w:tcPr>
                <w:p w:rsidR="00F240C1" w:rsidRPr="00EE02B9" w:rsidP="00F240C1">
                  <w:pPr>
                    <w:spacing w:after="12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2 250 000</w:t>
                  </w:r>
                </w:p>
              </w:tc>
            </w:tr>
          </w:tbl>
          <w:p w:rsidR="00A138CB" w:rsidRPr="003F2D16" w:rsidP="00270DE4">
            <w:pPr>
              <w:spacing w:after="120" w:line="240" w:lineRule="auto"/>
              <w:jc w:val="both"/>
              <w:rPr>
                <w:rFonts w:ascii="Times New Roman" w:eastAsia="Times New Roman" w:hAnsi="Times New Roman" w:cs="Times New Roman"/>
                <w:b/>
                <w:sz w:val="24"/>
                <w:szCs w:val="24"/>
                <w:u w:val="single"/>
                <w:lang w:eastAsia="lv-LV"/>
              </w:rPr>
            </w:pP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6.1. detalizēts ieņēmumu aprēķins</w:t>
            </w:r>
          </w:p>
        </w:tc>
        <w:tc>
          <w:tcPr>
            <w:tcW w:w="3680" w:type="pct"/>
            <w:gridSpan w:val="5"/>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rPr>
                <w:rFonts w:ascii="Times New Roman" w:eastAsia="Times New Roman" w:hAnsi="Times New Roman" w:cs="Times New Roman"/>
                <w:sz w:val="24"/>
                <w:szCs w:val="24"/>
                <w:lang w:eastAsia="lv-LV"/>
              </w:rPr>
            </w:pPr>
          </w:p>
        </w:tc>
      </w:tr>
      <w:tr w:rsidTr="00EF08EC">
        <w:tblPrEx>
          <w:tblW w:w="5000" w:type="pct"/>
          <w:jc w:val="center"/>
          <w:tblCellMar>
            <w:top w:w="24" w:type="dxa"/>
            <w:left w:w="24" w:type="dxa"/>
            <w:bottom w:w="24" w:type="dxa"/>
            <w:right w:w="24" w:type="dxa"/>
          </w:tblCellMar>
          <w:tblLook w:val="04A0"/>
        </w:tblPrEx>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6.2. detalizēts izdevumu aprēķins</w:t>
            </w:r>
          </w:p>
        </w:tc>
        <w:tc>
          <w:tcPr>
            <w:tcW w:w="3680" w:type="pct"/>
            <w:gridSpan w:val="5"/>
            <w:vMerge/>
            <w:tcBorders>
              <w:top w:val="outset" w:sz="6" w:space="0" w:color="414142"/>
              <w:left w:val="outset" w:sz="6" w:space="0" w:color="414142"/>
              <w:bottom w:val="outset" w:sz="6" w:space="0" w:color="414142"/>
              <w:right w:val="outset" w:sz="6" w:space="0" w:color="414142"/>
            </w:tcBorders>
            <w:vAlign w:val="center"/>
            <w:hideMark/>
          </w:tcPr>
          <w:p w:rsidR="00123EEF" w:rsidRPr="00006932" w:rsidP="00123EEF">
            <w:pPr>
              <w:spacing w:after="120" w:line="240" w:lineRule="auto"/>
              <w:rPr>
                <w:rFonts w:ascii="Times New Roman" w:eastAsia="Times New Roman" w:hAnsi="Times New Roman" w:cs="Times New Roman"/>
                <w:sz w:val="24"/>
                <w:szCs w:val="24"/>
                <w:lang w:eastAsia="lv-LV"/>
              </w:rPr>
            </w:pPr>
          </w:p>
        </w:tc>
      </w:tr>
      <w:tr w:rsidTr="00EF08EC">
        <w:tblPrEx>
          <w:tblW w:w="5000" w:type="pct"/>
          <w:jc w:val="center"/>
          <w:tblCellMar>
            <w:top w:w="24" w:type="dxa"/>
            <w:left w:w="24" w:type="dxa"/>
            <w:bottom w:w="24" w:type="dxa"/>
            <w:right w:w="24" w:type="dxa"/>
          </w:tblCellMar>
          <w:tblLook w:val="04A0"/>
        </w:tblPrEx>
        <w:trPr>
          <w:trHeight w:val="444"/>
          <w:jc w:val="center"/>
        </w:trPr>
        <w:tc>
          <w:tcPr>
            <w:tcW w:w="1320" w:type="pct"/>
            <w:tcBorders>
              <w:top w:val="outset" w:sz="6" w:space="0" w:color="414142"/>
              <w:left w:val="outset" w:sz="6" w:space="0" w:color="414142"/>
              <w:bottom w:val="outset" w:sz="6" w:space="0" w:color="414142"/>
              <w:right w:val="outset" w:sz="6" w:space="0" w:color="414142"/>
            </w:tcBorders>
            <w:hideMark/>
          </w:tcPr>
          <w:p w:rsidR="00123EEF" w:rsidRPr="00006932" w:rsidP="00123EE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7. Cita informācija</w:t>
            </w:r>
          </w:p>
        </w:tc>
        <w:tc>
          <w:tcPr>
            <w:tcW w:w="3680" w:type="pct"/>
            <w:gridSpan w:val="5"/>
            <w:tcBorders>
              <w:top w:val="outset" w:sz="6" w:space="0" w:color="414142"/>
              <w:left w:val="outset" w:sz="6" w:space="0" w:color="414142"/>
              <w:bottom w:val="outset" w:sz="6" w:space="0" w:color="414142"/>
              <w:right w:val="outset" w:sz="6" w:space="0" w:color="414142"/>
            </w:tcBorders>
            <w:hideMark/>
          </w:tcPr>
          <w:p w:rsidR="00911EF1" w:rsidRPr="00631448" w:rsidP="00911EF1">
            <w:pPr>
              <w:shd w:val="clear" w:color="auto" w:fill="FFFFFF"/>
              <w:spacing w:after="0" w:line="240" w:lineRule="auto"/>
              <w:jc w:val="both"/>
              <w:rPr>
                <w:rFonts w:ascii="Times New Roman" w:hAnsi="Times New Roman"/>
                <w:sz w:val="24"/>
                <w:szCs w:val="24"/>
              </w:rPr>
            </w:pPr>
            <w:r w:rsidRPr="00631448">
              <w:rPr>
                <w:rFonts w:ascii="Times New Roman" w:hAnsi="Times New Roman"/>
                <w:sz w:val="24"/>
                <w:szCs w:val="24"/>
              </w:rPr>
              <w:t xml:space="preserve">Likuma “Par valsts budžetu 2018.gadam” (izsludināts 2017.gada 6.decembrī) 54.pants  nosaka, ka veselības aprūpes finansēšanai budžeta resora “74. Gadskārtējā valsts budžeta izpildes procesā pārdalāmais finansējums” 08.00.00 programmā “Veselības aprūpes sistēmas reformas ieviešanas finansējums” rezervēto finansējumu 113 400 000 </w:t>
            </w:r>
            <w:r w:rsidRPr="00631448">
              <w:rPr>
                <w:rFonts w:ascii="Times New Roman" w:hAnsi="Times New Roman"/>
                <w:i/>
                <w:sz w:val="24"/>
                <w:szCs w:val="24"/>
              </w:rPr>
              <w:t>euro</w:t>
            </w:r>
            <w:r w:rsidRPr="00631448">
              <w:rPr>
                <w:rFonts w:ascii="Times New Roman" w:hAnsi="Times New Roman"/>
                <w:i/>
                <w:sz w:val="24"/>
                <w:szCs w:val="24"/>
              </w:rPr>
              <w:t xml:space="preserve"> </w:t>
            </w:r>
            <w:r w:rsidRPr="00631448">
              <w:rPr>
                <w:rFonts w:ascii="Times New Roman" w:hAnsi="Times New Roman"/>
                <w:sz w:val="24"/>
                <w:szCs w:val="24"/>
              </w:rPr>
              <w:t>apmērā finanšu ministrs pārdala Veselības ministrijai atbilstoši Ministru kabineta pieņemtam lēmumam, ja Saeimas Budžeta un finanšu (nodokļu) komisija piecu darba dienu laikā no attiecīgās informācijas saņemšanas ir izskatījusi to un nav iebildusi pret apropriācijas pārdali.</w:t>
            </w:r>
            <w:r w:rsidR="00C53D6F">
              <w:rPr>
                <w:rFonts w:ascii="Times New Roman" w:hAnsi="Times New Roman"/>
                <w:sz w:val="24"/>
                <w:szCs w:val="24"/>
              </w:rPr>
              <w:t xml:space="preserve"> </w:t>
            </w:r>
            <w:r w:rsidR="005236F9">
              <w:rPr>
                <w:rFonts w:ascii="Times New Roman" w:hAnsi="Times New Roman"/>
                <w:sz w:val="24"/>
                <w:szCs w:val="24"/>
              </w:rPr>
              <w:t xml:space="preserve">2017.gada </w:t>
            </w:r>
            <w:r w:rsidR="00807217">
              <w:rPr>
                <w:rFonts w:ascii="Times New Roman" w:hAnsi="Times New Roman"/>
                <w:sz w:val="24"/>
                <w:szCs w:val="24"/>
              </w:rPr>
              <w:t xml:space="preserve">19.decembra Ministru kabineta sēdē tika saņemta atļauja no </w:t>
            </w:r>
            <w:r w:rsidRPr="00631448" w:rsidR="00807217">
              <w:rPr>
                <w:rFonts w:ascii="Times New Roman" w:hAnsi="Times New Roman"/>
                <w:sz w:val="24"/>
                <w:szCs w:val="24"/>
              </w:rPr>
              <w:t>budžeta resora “74. Gadskārtējā valsts budžeta izpildes procesā pārdalāmais finansējums” 08.00.00 programmā “Veselības aprūpes sistēmas reformas i</w:t>
            </w:r>
            <w:r w:rsidR="00807217">
              <w:rPr>
                <w:rFonts w:ascii="Times New Roman" w:hAnsi="Times New Roman"/>
                <w:sz w:val="24"/>
                <w:szCs w:val="24"/>
              </w:rPr>
              <w:t>eviešanas finansējums” rezervētā finansējuma</w:t>
            </w:r>
            <w:r w:rsidRPr="00631448" w:rsidR="00807217">
              <w:rPr>
                <w:rFonts w:ascii="Times New Roman" w:hAnsi="Times New Roman"/>
                <w:sz w:val="24"/>
                <w:szCs w:val="24"/>
              </w:rPr>
              <w:t xml:space="preserve"> 113 400 000 </w:t>
            </w:r>
            <w:r w:rsidRPr="00631448" w:rsidR="00807217">
              <w:rPr>
                <w:rFonts w:ascii="Times New Roman" w:hAnsi="Times New Roman"/>
                <w:i/>
                <w:sz w:val="24"/>
                <w:szCs w:val="24"/>
              </w:rPr>
              <w:t>euro</w:t>
            </w:r>
            <w:r w:rsidRPr="00631448" w:rsidR="00807217">
              <w:rPr>
                <w:rFonts w:ascii="Times New Roman" w:hAnsi="Times New Roman"/>
                <w:i/>
                <w:sz w:val="24"/>
                <w:szCs w:val="24"/>
              </w:rPr>
              <w:t xml:space="preserve"> </w:t>
            </w:r>
            <w:r w:rsidRPr="00631448" w:rsidR="00807217">
              <w:rPr>
                <w:rFonts w:ascii="Times New Roman" w:hAnsi="Times New Roman"/>
                <w:sz w:val="24"/>
                <w:szCs w:val="24"/>
              </w:rPr>
              <w:t>apmērā</w:t>
            </w:r>
            <w:r w:rsidR="00807217">
              <w:rPr>
                <w:rFonts w:ascii="Times New Roman" w:hAnsi="Times New Roman"/>
                <w:sz w:val="24"/>
                <w:szCs w:val="24"/>
              </w:rPr>
              <w:t xml:space="preserve">, lai nodrošinātu nepieciešamās reformas veselības aprūpes pakalpojumu pieejamības uzlabošanai, tai skaitā: 1 208 748 </w:t>
            </w:r>
            <w:r w:rsidR="00807217">
              <w:rPr>
                <w:rFonts w:ascii="Times New Roman" w:hAnsi="Times New Roman"/>
                <w:sz w:val="24"/>
                <w:szCs w:val="24"/>
              </w:rPr>
              <w:t>euro</w:t>
            </w:r>
            <w:r w:rsidR="00807217">
              <w:rPr>
                <w:rFonts w:ascii="Times New Roman" w:hAnsi="Times New Roman"/>
                <w:sz w:val="24"/>
                <w:szCs w:val="24"/>
              </w:rPr>
              <w:t xml:space="preserve">, lai nodrošinātu bioloģiskās terapijas medikamentu Krona slimībai, čūlainajam kolītam un </w:t>
            </w:r>
            <w:r w:rsidR="00807217">
              <w:rPr>
                <w:rFonts w:ascii="Times New Roman" w:hAnsi="Times New Roman"/>
                <w:sz w:val="24"/>
                <w:szCs w:val="24"/>
              </w:rPr>
              <w:t>psoriāzei</w:t>
            </w:r>
            <w:r w:rsidR="00807217">
              <w:rPr>
                <w:rFonts w:ascii="Times New Roman" w:hAnsi="Times New Roman"/>
                <w:sz w:val="24"/>
                <w:szCs w:val="24"/>
              </w:rPr>
              <w:t xml:space="preserve"> iekļaušanu kompensējamo zāļu sarakstā un kompensācijas apmēra palielināšanu no 75% uz 100% Krona slimībai, čūlainajam kolītam un </w:t>
            </w:r>
            <w:r w:rsidR="00807217">
              <w:rPr>
                <w:rFonts w:ascii="Times New Roman" w:hAnsi="Times New Roman"/>
                <w:sz w:val="24"/>
                <w:szCs w:val="24"/>
              </w:rPr>
              <w:t>psoriāzei</w:t>
            </w:r>
            <w:r w:rsidR="001D5CFA">
              <w:rPr>
                <w:rFonts w:ascii="Times New Roman" w:hAnsi="Times New Roman"/>
                <w:sz w:val="24"/>
                <w:szCs w:val="24"/>
              </w:rPr>
              <w:t xml:space="preserve"> (Protokols Nr. 6</w:t>
            </w:r>
            <w:r w:rsidR="0035039B">
              <w:rPr>
                <w:rFonts w:ascii="Times New Roman" w:hAnsi="Times New Roman"/>
                <w:sz w:val="24"/>
                <w:szCs w:val="24"/>
              </w:rPr>
              <w:t>3</w:t>
            </w:r>
            <w:r w:rsidR="001D5CFA">
              <w:rPr>
                <w:rFonts w:ascii="Times New Roman" w:hAnsi="Times New Roman"/>
                <w:sz w:val="24"/>
                <w:szCs w:val="24"/>
              </w:rPr>
              <w:t xml:space="preserve">, 66 </w:t>
            </w:r>
            <w:r w:rsidRPr="00EF08EC" w:rsidR="001D5CFA">
              <w:rPr>
                <w:rFonts w:ascii="Times New Roman" w:hAnsi="Times New Roman" w:cs="Times New Roman"/>
                <w:noProof/>
                <w:sz w:val="24"/>
                <w:szCs w:val="24"/>
              </w:rPr>
              <w:t>§</w:t>
            </w:r>
            <w:r w:rsidR="001D5CFA">
              <w:rPr>
                <w:rFonts w:ascii="Times New Roman" w:hAnsi="Times New Roman" w:cs="Times New Roman"/>
                <w:noProof/>
                <w:sz w:val="24"/>
                <w:szCs w:val="24"/>
              </w:rPr>
              <w:t xml:space="preserve"> 2.punkts</w:t>
            </w:r>
            <w:r w:rsidR="001D5CFA">
              <w:rPr>
                <w:rFonts w:ascii="Times New Roman" w:hAnsi="Times New Roman"/>
                <w:sz w:val="24"/>
                <w:szCs w:val="24"/>
              </w:rPr>
              <w:t>)</w:t>
            </w:r>
            <w:r w:rsidR="00807217">
              <w:rPr>
                <w:rFonts w:ascii="Times New Roman" w:hAnsi="Times New Roman"/>
                <w:sz w:val="24"/>
                <w:szCs w:val="24"/>
              </w:rPr>
              <w:t xml:space="preserve">. Papildus </w:t>
            </w:r>
            <w:r w:rsidR="00C53D6F">
              <w:rPr>
                <w:rFonts w:ascii="Times New Roman" w:hAnsi="Times New Roman"/>
                <w:sz w:val="24"/>
                <w:szCs w:val="24"/>
              </w:rPr>
              <w:t xml:space="preserve">2017.gada 20.decembrī Saeimas Budžeta un finanšu (nodokļu) komisija ir apstiprinājusi apropriācijas pārdali </w:t>
            </w:r>
            <w:r w:rsidRPr="00631448" w:rsidR="00C53D6F">
              <w:rPr>
                <w:rFonts w:ascii="Times New Roman" w:hAnsi="Times New Roman"/>
                <w:sz w:val="24"/>
                <w:szCs w:val="24"/>
              </w:rPr>
              <w:t xml:space="preserve">veselības aprūpes finansēšanai </w:t>
            </w:r>
            <w:r w:rsidR="00C53D6F">
              <w:rPr>
                <w:rFonts w:ascii="Times New Roman" w:hAnsi="Times New Roman"/>
                <w:sz w:val="24"/>
                <w:szCs w:val="24"/>
              </w:rPr>
              <w:t xml:space="preserve">no </w:t>
            </w:r>
            <w:r w:rsidRPr="00631448" w:rsidR="00C53D6F">
              <w:rPr>
                <w:rFonts w:ascii="Times New Roman" w:hAnsi="Times New Roman"/>
                <w:sz w:val="24"/>
                <w:szCs w:val="24"/>
              </w:rPr>
              <w:t xml:space="preserve">budžeta resora “74. Gadskārtējā valsts budžeta izpildes procesā pārdalāmais finansējums” 08.00.00 programmā “Veselības aprūpes sistēmas reformas ieviešanas finansējums” rezervēto finansējumu 113 400 000 </w:t>
            </w:r>
            <w:r w:rsidRPr="00631448" w:rsidR="00C53D6F">
              <w:rPr>
                <w:rFonts w:ascii="Times New Roman" w:hAnsi="Times New Roman"/>
                <w:i/>
                <w:sz w:val="24"/>
                <w:szCs w:val="24"/>
              </w:rPr>
              <w:t>euro</w:t>
            </w:r>
            <w:r w:rsidRPr="00631448" w:rsidR="00C53D6F">
              <w:rPr>
                <w:rFonts w:ascii="Times New Roman" w:hAnsi="Times New Roman"/>
                <w:i/>
                <w:sz w:val="24"/>
                <w:szCs w:val="24"/>
              </w:rPr>
              <w:t xml:space="preserve"> </w:t>
            </w:r>
            <w:r w:rsidRPr="00631448" w:rsidR="00C53D6F">
              <w:rPr>
                <w:rFonts w:ascii="Times New Roman" w:hAnsi="Times New Roman"/>
                <w:sz w:val="24"/>
                <w:szCs w:val="24"/>
              </w:rPr>
              <w:t>apmērā</w:t>
            </w:r>
            <w:r w:rsidR="00C53D6F">
              <w:rPr>
                <w:rFonts w:ascii="Times New Roman" w:hAnsi="Times New Roman"/>
                <w:sz w:val="24"/>
                <w:szCs w:val="24"/>
              </w:rPr>
              <w:t>.</w:t>
            </w:r>
          </w:p>
          <w:p w:rsidR="00123EEF" w:rsidRPr="00911EF1" w:rsidP="00911EF1">
            <w:pPr>
              <w:spacing w:after="120" w:line="240" w:lineRule="auto"/>
              <w:jc w:val="both"/>
              <w:rPr>
                <w:rFonts w:ascii="Times New Roman" w:eastAsia="Times New Roman" w:hAnsi="Times New Roman" w:cs="Times New Roman"/>
                <w:sz w:val="24"/>
                <w:szCs w:val="24"/>
                <w:lang w:eastAsia="lv-LV"/>
              </w:rPr>
            </w:pPr>
            <w:r w:rsidRPr="00911EF1">
              <w:rPr>
                <w:rFonts w:ascii="Times New Roman" w:eastAsia="Times New Roman" w:hAnsi="Times New Roman" w:cs="Times New Roman"/>
                <w:bCs/>
                <w:sz w:val="24"/>
                <w:szCs w:val="24"/>
                <w:lang w:eastAsia="lv-LV"/>
              </w:rPr>
              <w:t xml:space="preserve">Noteikumu projekts īstenojams atbilstoši </w:t>
            </w:r>
            <w:r w:rsidRPr="00911EF1" w:rsidR="00A138CB">
              <w:rPr>
                <w:rFonts w:ascii="Times New Roman" w:eastAsia="Times New Roman" w:hAnsi="Times New Roman" w:cs="Times New Roman"/>
                <w:bCs/>
                <w:sz w:val="24"/>
                <w:szCs w:val="24"/>
                <w:lang w:eastAsia="lv-LV"/>
              </w:rPr>
              <w:t>“Plānam reto slimību jomā 2017.-2020.gadam”</w:t>
            </w:r>
            <w:r w:rsidRPr="00911EF1" w:rsidR="00910901">
              <w:rPr>
                <w:rFonts w:ascii="Times New Roman" w:eastAsia="Times New Roman" w:hAnsi="Times New Roman" w:cs="Times New Roman"/>
                <w:bCs/>
                <w:sz w:val="24"/>
                <w:szCs w:val="24"/>
                <w:lang w:eastAsia="lv-LV"/>
              </w:rPr>
              <w:t>.</w:t>
            </w:r>
            <w:r w:rsidRPr="00911EF1" w:rsidR="004D13C9">
              <w:rPr>
                <w:rFonts w:ascii="Times New Roman" w:eastAsia="Times New Roman" w:hAnsi="Times New Roman" w:cs="Times New Roman"/>
                <w:bCs/>
                <w:sz w:val="24"/>
                <w:szCs w:val="24"/>
                <w:lang w:eastAsia="lv-LV"/>
              </w:rPr>
              <w:t xml:space="preserve"> </w:t>
            </w:r>
          </w:p>
        </w:tc>
      </w:tr>
    </w:tbl>
    <w:p w:rsidR="00894C55" w:rsidRPr="00006932" w:rsidP="0041093A">
      <w:pPr>
        <w:shd w:val="clear" w:color="auto" w:fill="FFFFFF"/>
        <w:spacing w:after="12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225"/>
        <w:gridCol w:w="5377"/>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VI.</w:t>
            </w:r>
            <w:r w:rsidRPr="00006932" w:rsidR="00816C11">
              <w:rPr>
                <w:rFonts w:ascii="Times New Roman" w:eastAsia="Times New Roman" w:hAnsi="Times New Roman" w:cs="Times New Roman"/>
                <w:b/>
                <w:bCs/>
                <w:sz w:val="24"/>
                <w:szCs w:val="24"/>
                <w:lang w:eastAsia="lv-LV"/>
              </w:rPr>
              <w:t> </w:t>
            </w:r>
            <w:r w:rsidRPr="00006932">
              <w:rPr>
                <w:rFonts w:ascii="Times New Roman" w:eastAsia="Times New Roman" w:hAnsi="Times New Roman" w:cs="Times New Roman"/>
                <w:b/>
                <w:bCs/>
                <w:sz w:val="24"/>
                <w:szCs w:val="24"/>
                <w:lang w:eastAsia="lv-LV"/>
              </w:rPr>
              <w:t>Sabiedrības līdzdalība un komunikācijas aktivitātes</w:t>
            </w:r>
          </w:p>
        </w:tc>
      </w:tr>
      <w:tr w:rsidTr="00910901">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Plānotās sabiedrības līdzdalības un komunikācijas aktivitātes saistībā ar projektu</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146D9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Priekšlikums par </w:t>
            </w:r>
            <w:r w:rsidR="001A5544">
              <w:rPr>
                <w:rFonts w:ascii="Times New Roman" w:eastAsia="Times New Roman" w:hAnsi="Times New Roman" w:cs="Times New Roman"/>
                <w:sz w:val="24"/>
                <w:szCs w:val="24"/>
                <w:lang w:eastAsia="lv-LV"/>
              </w:rPr>
              <w:t>zāļu kompensācijas uzlabošan</w:t>
            </w:r>
            <w:r>
              <w:rPr>
                <w:rFonts w:ascii="Times New Roman" w:eastAsia="Times New Roman" w:hAnsi="Times New Roman" w:cs="Times New Roman"/>
                <w:sz w:val="24"/>
                <w:szCs w:val="24"/>
                <w:lang w:eastAsia="lv-LV"/>
              </w:rPr>
              <w:t>u</w:t>
            </w:r>
            <w:r w:rsidR="001A5544">
              <w:rPr>
                <w:rFonts w:ascii="Times New Roman" w:eastAsia="Times New Roman" w:hAnsi="Times New Roman" w:cs="Times New Roman"/>
                <w:sz w:val="24"/>
                <w:szCs w:val="24"/>
                <w:lang w:eastAsia="lv-LV"/>
              </w:rPr>
              <w:t xml:space="preserve"> </w:t>
            </w:r>
            <w:r w:rsidRPr="001A5544" w:rsidR="001A5544">
              <w:rPr>
                <w:rFonts w:ascii="Times New Roman" w:eastAsia="Times New Roman" w:hAnsi="Times New Roman" w:cs="Times New Roman"/>
                <w:sz w:val="24"/>
                <w:szCs w:val="24"/>
                <w:lang w:eastAsia="lv-LV"/>
              </w:rPr>
              <w:t xml:space="preserve">Krona slimības, čūlainā kolīta un </w:t>
            </w:r>
            <w:r w:rsidRPr="001A5544" w:rsidR="001A5544">
              <w:rPr>
                <w:rFonts w:ascii="Times New Roman" w:eastAsia="Times New Roman" w:hAnsi="Times New Roman" w:cs="Times New Roman"/>
                <w:sz w:val="24"/>
                <w:szCs w:val="24"/>
                <w:lang w:eastAsia="lv-LV"/>
              </w:rPr>
              <w:t>psoriāzes</w:t>
            </w:r>
            <w:r w:rsidRPr="001A5544" w:rsidR="001A5544">
              <w:rPr>
                <w:rFonts w:ascii="Times New Roman" w:eastAsia="Times New Roman" w:hAnsi="Times New Roman" w:cs="Times New Roman"/>
                <w:sz w:val="24"/>
                <w:szCs w:val="24"/>
                <w:lang w:eastAsia="lv-LV"/>
              </w:rPr>
              <w:t xml:space="preserve"> pacientiem</w:t>
            </w:r>
            <w:r>
              <w:rPr>
                <w:rFonts w:ascii="Times New Roman" w:eastAsia="Times New Roman" w:hAnsi="Times New Roman" w:cs="Times New Roman"/>
                <w:sz w:val="24"/>
                <w:szCs w:val="24"/>
                <w:lang w:eastAsia="lv-LV"/>
              </w:rPr>
              <w:t xml:space="preserve"> lielā mērā bijis pacientu un ārstu iniciēts. </w:t>
            </w:r>
            <w:r w:rsidR="001A5544">
              <w:rPr>
                <w:rFonts w:ascii="Times New Roman" w:eastAsia="Times New Roman" w:hAnsi="Times New Roman" w:cs="Times New Roman"/>
                <w:sz w:val="24"/>
                <w:szCs w:val="24"/>
                <w:lang w:eastAsia="lv-LV"/>
              </w:rPr>
              <w:t xml:space="preserve">Veselības ministrija sarakstē </w:t>
            </w:r>
            <w:r w:rsidRPr="00006932" w:rsidR="007230A5">
              <w:rPr>
                <w:rFonts w:ascii="Times New Roman" w:eastAsia="Times New Roman" w:hAnsi="Times New Roman" w:cs="Times New Roman"/>
                <w:sz w:val="24"/>
                <w:szCs w:val="24"/>
                <w:lang w:eastAsia="lv-LV"/>
              </w:rPr>
              <w:t>ar pacientu un ārstu organizācijām</w:t>
            </w:r>
            <w:r w:rsidR="001A5544">
              <w:rPr>
                <w:rFonts w:ascii="Times New Roman" w:eastAsia="Times New Roman" w:hAnsi="Times New Roman" w:cs="Times New Roman"/>
                <w:sz w:val="24"/>
                <w:szCs w:val="24"/>
                <w:lang w:eastAsia="lv-LV"/>
              </w:rPr>
              <w:t xml:space="preserve"> sniegusi informāciju par iespējām nodrošināt </w:t>
            </w:r>
            <w:r w:rsidRPr="00006932" w:rsidR="007230A5">
              <w:rPr>
                <w:rFonts w:ascii="Times New Roman" w:eastAsia="Times New Roman" w:hAnsi="Times New Roman" w:cs="Times New Roman"/>
                <w:sz w:val="24"/>
                <w:szCs w:val="24"/>
                <w:lang w:eastAsia="lv-LV"/>
              </w:rPr>
              <w:t xml:space="preserve">Krona slimības, čūlainā kolīta un </w:t>
            </w:r>
            <w:r w:rsidRPr="00006932" w:rsidR="007230A5">
              <w:rPr>
                <w:rFonts w:ascii="Times New Roman" w:eastAsia="Times New Roman" w:hAnsi="Times New Roman" w:cs="Times New Roman"/>
                <w:sz w:val="24"/>
                <w:szCs w:val="24"/>
                <w:lang w:eastAsia="lv-LV"/>
              </w:rPr>
              <w:t>psoriāzes</w:t>
            </w:r>
            <w:r w:rsidRPr="00006932" w:rsidR="007230A5">
              <w:rPr>
                <w:rFonts w:ascii="Times New Roman" w:eastAsia="Times New Roman" w:hAnsi="Times New Roman" w:cs="Times New Roman"/>
                <w:sz w:val="24"/>
                <w:szCs w:val="24"/>
                <w:lang w:eastAsia="lv-LV"/>
              </w:rPr>
              <w:t xml:space="preserve"> pacientiem iespēju iegādā</w:t>
            </w:r>
            <w:r w:rsidR="00BF7E00">
              <w:rPr>
                <w:rFonts w:ascii="Times New Roman" w:eastAsia="Times New Roman" w:hAnsi="Times New Roman" w:cs="Times New Roman"/>
                <w:sz w:val="24"/>
                <w:szCs w:val="24"/>
                <w:lang w:eastAsia="lv-LV"/>
              </w:rPr>
              <w:t xml:space="preserve">ties zāles </w:t>
            </w:r>
            <w:r w:rsidR="001A5544">
              <w:rPr>
                <w:rFonts w:ascii="Times New Roman" w:eastAsia="Times New Roman" w:hAnsi="Times New Roman" w:cs="Times New Roman"/>
                <w:sz w:val="24"/>
                <w:szCs w:val="24"/>
                <w:lang w:eastAsia="lv-LV"/>
              </w:rPr>
              <w:t>ar 100% kompensāciju, izvirzītajām prioritātēm un likuma par valsts budžetu kār</w:t>
            </w:r>
            <w:r>
              <w:rPr>
                <w:rFonts w:ascii="Times New Roman" w:eastAsia="Times New Roman" w:hAnsi="Times New Roman" w:cs="Times New Roman"/>
                <w:sz w:val="24"/>
                <w:szCs w:val="24"/>
                <w:lang w:eastAsia="lv-LV"/>
              </w:rPr>
              <w:t>tējam gadam izskatīšanas gaitu. J</w:t>
            </w:r>
            <w:r w:rsidRPr="00006932" w:rsidR="007230A5">
              <w:rPr>
                <w:rFonts w:ascii="Times New Roman" w:eastAsia="Times New Roman" w:hAnsi="Times New Roman" w:cs="Times New Roman"/>
                <w:sz w:val="24"/>
                <w:szCs w:val="24"/>
                <w:lang w:eastAsia="lv-LV"/>
              </w:rPr>
              <w:t>au vairāku gadu garumā</w:t>
            </w:r>
            <w:r>
              <w:rPr>
                <w:rFonts w:ascii="Times New Roman" w:eastAsia="Times New Roman" w:hAnsi="Times New Roman" w:cs="Times New Roman"/>
                <w:sz w:val="24"/>
                <w:szCs w:val="24"/>
                <w:lang w:eastAsia="lv-LV"/>
              </w:rPr>
              <w:t xml:space="preserve"> kompensācijas apmēra palielināšana </w:t>
            </w:r>
            <w:r w:rsidRPr="00926BC5">
              <w:rPr>
                <w:rFonts w:ascii="Times New Roman" w:eastAsia="Times New Roman" w:hAnsi="Times New Roman" w:cs="Times New Roman"/>
                <w:sz w:val="24"/>
                <w:szCs w:val="24"/>
                <w:lang w:eastAsia="lv-LV"/>
              </w:rPr>
              <w:t xml:space="preserve">Krona slimības, čūlainā kolīta un </w:t>
            </w:r>
            <w:r w:rsidRPr="00926BC5">
              <w:rPr>
                <w:rFonts w:ascii="Times New Roman" w:eastAsia="Times New Roman" w:hAnsi="Times New Roman" w:cs="Times New Roman"/>
                <w:sz w:val="24"/>
                <w:szCs w:val="24"/>
                <w:lang w:eastAsia="lv-LV"/>
              </w:rPr>
              <w:t>psoriāzes</w:t>
            </w:r>
            <w:r w:rsidRPr="00926BC5">
              <w:rPr>
                <w:rFonts w:ascii="Times New Roman" w:eastAsia="Times New Roman" w:hAnsi="Times New Roman" w:cs="Times New Roman"/>
                <w:sz w:val="24"/>
                <w:szCs w:val="24"/>
                <w:lang w:eastAsia="lv-LV"/>
              </w:rPr>
              <w:t xml:space="preserve"> pacientiem</w:t>
            </w:r>
            <w:r>
              <w:rPr>
                <w:rFonts w:ascii="Times New Roman" w:eastAsia="Times New Roman" w:hAnsi="Times New Roman" w:cs="Times New Roman"/>
                <w:sz w:val="24"/>
                <w:szCs w:val="24"/>
                <w:lang w:eastAsia="lv-LV"/>
              </w:rPr>
              <w:t xml:space="preserve"> ir viena no Veselības ministrijas prioritātēm. </w:t>
            </w:r>
          </w:p>
        </w:tc>
      </w:tr>
      <w:tr w:rsidTr="00910901">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Sabiedrības līdzdalība projekta izstrādē</w:t>
            </w:r>
          </w:p>
        </w:tc>
        <w:tc>
          <w:tcPr>
            <w:tcW w:w="2969" w:type="pct"/>
            <w:tcBorders>
              <w:top w:val="outset" w:sz="6" w:space="0" w:color="414142"/>
              <w:left w:val="outset" w:sz="6" w:space="0" w:color="414142"/>
              <w:bottom w:val="outset" w:sz="6" w:space="0" w:color="414142"/>
              <w:right w:val="outset" w:sz="6" w:space="0" w:color="414142"/>
            </w:tcBorders>
            <w:hideMark/>
          </w:tcPr>
          <w:p w:rsidR="009C5EC9" w:rsidP="00D735A2">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Latvijas Krona un kolīta slimnieku biedrība (LKKSB), </w:t>
            </w:r>
            <w:r w:rsidRPr="00006932">
              <w:rPr>
                <w:rFonts w:ascii="Times New Roman" w:eastAsia="Times New Roman" w:hAnsi="Times New Roman" w:cs="Times New Roman"/>
                <w:sz w:val="24"/>
                <w:szCs w:val="24"/>
                <w:lang w:eastAsia="lv-LV"/>
              </w:rPr>
              <w:t>psoriāzes</w:t>
            </w:r>
            <w:r w:rsidRPr="00006932">
              <w:rPr>
                <w:rFonts w:ascii="Times New Roman" w:eastAsia="Times New Roman" w:hAnsi="Times New Roman" w:cs="Times New Roman"/>
                <w:sz w:val="24"/>
                <w:szCs w:val="24"/>
                <w:lang w:eastAsia="lv-LV"/>
              </w:rPr>
              <w:t xml:space="preserve"> pacientu iniciatīvas pārstāvji,</w:t>
            </w:r>
            <w:r w:rsidRPr="00006932" w:rsidR="00656A8F">
              <w:rPr>
                <w:rFonts w:ascii="Times New Roman" w:eastAsia="Times New Roman" w:hAnsi="Times New Roman" w:cs="Times New Roman"/>
                <w:sz w:val="24"/>
                <w:szCs w:val="24"/>
                <w:lang w:eastAsia="lv-LV"/>
              </w:rPr>
              <w:t xml:space="preserve"> </w:t>
            </w:r>
            <w:r w:rsidRPr="00006932">
              <w:rPr>
                <w:rFonts w:ascii="Times New Roman" w:eastAsia="Times New Roman" w:hAnsi="Times New Roman" w:cs="Times New Roman"/>
                <w:sz w:val="24"/>
                <w:szCs w:val="24"/>
                <w:lang w:eastAsia="lv-LV"/>
              </w:rPr>
              <w:t xml:space="preserve">Latvijas </w:t>
            </w:r>
            <w:r w:rsidRPr="00006932">
              <w:rPr>
                <w:rFonts w:ascii="Times New Roman" w:eastAsia="Times New Roman" w:hAnsi="Times New Roman" w:cs="Times New Roman"/>
                <w:sz w:val="24"/>
                <w:szCs w:val="24"/>
                <w:lang w:eastAsia="lv-LV"/>
              </w:rPr>
              <w:t>Gastroenterologu</w:t>
            </w:r>
            <w:r w:rsidRPr="00006932">
              <w:rPr>
                <w:rFonts w:ascii="Times New Roman" w:eastAsia="Times New Roman" w:hAnsi="Times New Roman" w:cs="Times New Roman"/>
                <w:sz w:val="24"/>
                <w:szCs w:val="24"/>
                <w:lang w:eastAsia="lv-LV"/>
              </w:rPr>
              <w:t xml:space="preserve"> biedrība</w:t>
            </w:r>
            <w:r w:rsidRPr="00006932" w:rsidR="00656A8F">
              <w:rPr>
                <w:rFonts w:ascii="Times New Roman" w:eastAsia="Times New Roman" w:hAnsi="Times New Roman" w:cs="Times New Roman"/>
                <w:sz w:val="24"/>
                <w:szCs w:val="24"/>
                <w:lang w:eastAsia="lv-LV"/>
              </w:rPr>
              <w:t xml:space="preserve">, kā arī </w:t>
            </w:r>
            <w:r w:rsidRPr="00006932" w:rsidR="00656A8F">
              <w:rPr>
                <w:rFonts w:ascii="Times New Roman" w:eastAsia="Times New Roman" w:hAnsi="Times New Roman" w:cs="Times New Roman"/>
                <w:sz w:val="24"/>
                <w:szCs w:val="24"/>
                <w:lang w:eastAsia="lv-LV"/>
              </w:rPr>
              <w:t>P.Stradiņa</w:t>
            </w:r>
            <w:r w:rsidRPr="00006932" w:rsidR="00656A8F">
              <w:rPr>
                <w:rFonts w:ascii="Times New Roman" w:eastAsia="Times New Roman" w:hAnsi="Times New Roman" w:cs="Times New Roman"/>
                <w:sz w:val="24"/>
                <w:szCs w:val="24"/>
                <w:lang w:eastAsia="lv-LV"/>
              </w:rPr>
              <w:t xml:space="preserve"> KUS Gastroenteroloģijas, </w:t>
            </w:r>
            <w:r w:rsidRPr="00006932" w:rsidR="00656A8F">
              <w:rPr>
                <w:rFonts w:ascii="Times New Roman" w:eastAsia="Times New Roman" w:hAnsi="Times New Roman" w:cs="Times New Roman"/>
                <w:sz w:val="24"/>
                <w:szCs w:val="24"/>
                <w:lang w:eastAsia="lv-LV"/>
              </w:rPr>
              <w:t>hepatoloģijas</w:t>
            </w:r>
            <w:r w:rsidRPr="00006932" w:rsidR="00656A8F">
              <w:rPr>
                <w:rFonts w:ascii="Times New Roman" w:eastAsia="Times New Roman" w:hAnsi="Times New Roman" w:cs="Times New Roman"/>
                <w:sz w:val="24"/>
                <w:szCs w:val="24"/>
                <w:lang w:eastAsia="lv-LV"/>
              </w:rPr>
              <w:t xml:space="preserve"> un uztura terapijas centrs</w:t>
            </w:r>
            <w:r w:rsidRPr="00006932">
              <w:rPr>
                <w:rFonts w:ascii="Times New Roman" w:eastAsia="Times New Roman" w:hAnsi="Times New Roman" w:cs="Times New Roman"/>
                <w:sz w:val="24"/>
                <w:szCs w:val="24"/>
                <w:lang w:eastAsia="lv-LV"/>
              </w:rPr>
              <w:t xml:space="preserve"> jau vairāku gadu garumā vērsuš</w:t>
            </w:r>
            <w:r w:rsidRPr="00006932" w:rsidR="00656A8F">
              <w:rPr>
                <w:rFonts w:ascii="Times New Roman" w:eastAsia="Times New Roman" w:hAnsi="Times New Roman" w:cs="Times New Roman"/>
                <w:sz w:val="24"/>
                <w:szCs w:val="24"/>
                <w:lang w:eastAsia="lv-LV"/>
              </w:rPr>
              <w:t>ie</w:t>
            </w:r>
            <w:r w:rsidRPr="00006932">
              <w:rPr>
                <w:rFonts w:ascii="Times New Roman" w:eastAsia="Times New Roman" w:hAnsi="Times New Roman" w:cs="Times New Roman"/>
                <w:sz w:val="24"/>
                <w:szCs w:val="24"/>
                <w:lang w:eastAsia="lv-LV"/>
              </w:rPr>
              <w:t xml:space="preserve">s Veselības ministrijā, Saeimas Sociālo un darba lietu komisijā un citās valsts institūcijās ar lūgumu paaugstināt zāļu </w:t>
            </w:r>
            <w:r w:rsidRPr="00006932">
              <w:rPr>
                <w:rFonts w:ascii="Times New Roman" w:eastAsia="Times New Roman" w:hAnsi="Times New Roman" w:cs="Times New Roman"/>
                <w:sz w:val="24"/>
                <w:szCs w:val="24"/>
                <w:lang w:eastAsia="lv-LV"/>
              </w:rPr>
              <w:t>kompensācijas apmēru Krona slimības, čūlainā kolīt</w:t>
            </w:r>
            <w:r w:rsidRPr="00006932" w:rsidR="00656A8F">
              <w:rPr>
                <w:rFonts w:ascii="Times New Roman" w:eastAsia="Times New Roman" w:hAnsi="Times New Roman" w:cs="Times New Roman"/>
                <w:sz w:val="24"/>
                <w:szCs w:val="24"/>
                <w:lang w:eastAsia="lv-LV"/>
              </w:rPr>
              <w:t>a</w:t>
            </w:r>
            <w:r w:rsidRPr="00006932">
              <w:rPr>
                <w:rFonts w:ascii="Times New Roman" w:eastAsia="Times New Roman" w:hAnsi="Times New Roman" w:cs="Times New Roman"/>
                <w:sz w:val="24"/>
                <w:szCs w:val="24"/>
                <w:lang w:eastAsia="lv-LV"/>
              </w:rPr>
              <w:t xml:space="preserve"> un </w:t>
            </w:r>
            <w:r w:rsidRPr="00006932">
              <w:rPr>
                <w:rFonts w:ascii="Times New Roman" w:eastAsia="Times New Roman" w:hAnsi="Times New Roman" w:cs="Times New Roman"/>
                <w:sz w:val="24"/>
                <w:szCs w:val="24"/>
                <w:lang w:eastAsia="lv-LV"/>
              </w:rPr>
              <w:t>psoriāzes</w:t>
            </w:r>
            <w:r w:rsidRPr="00006932">
              <w:rPr>
                <w:rFonts w:ascii="Times New Roman" w:eastAsia="Times New Roman" w:hAnsi="Times New Roman" w:cs="Times New Roman"/>
                <w:sz w:val="24"/>
                <w:szCs w:val="24"/>
                <w:lang w:eastAsia="lv-LV"/>
              </w:rPr>
              <w:t xml:space="preserve"> gadījumā no 75% uz 100%.</w:t>
            </w:r>
          </w:p>
          <w:p w:rsidR="00C70A8F" w:rsidP="00D735A2">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Piemēram, 2017.gada 2.maija vēstulē LKKSB lūdz izdarīt grozījumus </w:t>
            </w:r>
            <w:r w:rsidRPr="00006932" w:rsidR="00A70C6C">
              <w:rPr>
                <w:rFonts w:ascii="Times New Roman" w:eastAsia="Times New Roman" w:hAnsi="Times New Roman" w:cs="Times New Roman"/>
                <w:sz w:val="24"/>
                <w:szCs w:val="24"/>
                <w:lang w:eastAsia="lv-LV"/>
              </w:rPr>
              <w:t>Ministru kabineta</w:t>
            </w:r>
            <w:r w:rsidR="009C5EC9">
              <w:rPr>
                <w:rFonts w:ascii="Times New Roman" w:eastAsia="Times New Roman" w:hAnsi="Times New Roman" w:cs="Times New Roman"/>
                <w:sz w:val="24"/>
                <w:szCs w:val="24"/>
                <w:lang w:eastAsia="lv-LV"/>
              </w:rPr>
              <w:t xml:space="preserve"> 2006.gada 31.oktobra </w:t>
            </w:r>
            <w:r w:rsidRPr="00006932" w:rsidR="00A70C6C">
              <w:rPr>
                <w:rFonts w:ascii="Times New Roman" w:eastAsia="Times New Roman" w:hAnsi="Times New Roman" w:cs="Times New Roman"/>
                <w:sz w:val="24"/>
                <w:szCs w:val="24"/>
                <w:lang w:eastAsia="lv-LV"/>
              </w:rPr>
              <w:t xml:space="preserve"> noteikumos</w:t>
            </w:r>
            <w:r w:rsidR="009C5EC9">
              <w:rPr>
                <w:rFonts w:ascii="Times New Roman" w:eastAsia="Times New Roman" w:hAnsi="Times New Roman" w:cs="Times New Roman"/>
                <w:sz w:val="24"/>
                <w:szCs w:val="24"/>
                <w:lang w:eastAsia="lv-LV"/>
              </w:rPr>
              <w:t xml:space="preserve"> Nr.899 “Ambulatorajai ārstēšanai paredzēto zāļu un medicīnisko ierīču iegādes izdevumu kompensācijas kārtība”</w:t>
            </w:r>
            <w:r w:rsidRPr="00006932" w:rsidR="00A70C6C">
              <w:rPr>
                <w:rFonts w:ascii="Times New Roman" w:eastAsia="Times New Roman" w:hAnsi="Times New Roman" w:cs="Times New Roman"/>
                <w:sz w:val="24"/>
                <w:szCs w:val="24"/>
                <w:lang w:eastAsia="lv-LV"/>
              </w:rPr>
              <w:t xml:space="preserve">, nosakot medikamentu cenas kompensāciju 100% apjomā </w:t>
            </w:r>
            <w:r w:rsidRPr="00006932" w:rsidR="00A70C6C">
              <w:rPr>
                <w:rFonts w:ascii="Times New Roman" w:eastAsia="Times New Roman" w:hAnsi="Times New Roman" w:cs="Times New Roman"/>
                <w:sz w:val="24"/>
                <w:szCs w:val="24"/>
                <w:lang w:eastAsia="lv-LV"/>
              </w:rPr>
              <w:t>iekaisīgu</w:t>
            </w:r>
            <w:r w:rsidRPr="00006932" w:rsidR="00A70C6C">
              <w:rPr>
                <w:rFonts w:ascii="Times New Roman" w:eastAsia="Times New Roman" w:hAnsi="Times New Roman" w:cs="Times New Roman"/>
                <w:sz w:val="24"/>
                <w:szCs w:val="24"/>
                <w:lang w:eastAsia="lv-LV"/>
              </w:rPr>
              <w:t xml:space="preserve"> zarnu slimī</w:t>
            </w:r>
            <w:r w:rsidR="009C5EC9">
              <w:rPr>
                <w:rFonts w:ascii="Times New Roman" w:eastAsia="Times New Roman" w:hAnsi="Times New Roman" w:cs="Times New Roman"/>
                <w:sz w:val="24"/>
                <w:szCs w:val="24"/>
                <w:lang w:eastAsia="lv-LV"/>
              </w:rPr>
              <w:t xml:space="preserve">bu, kā arī </w:t>
            </w:r>
            <w:r w:rsidR="009C5EC9">
              <w:rPr>
                <w:rFonts w:ascii="Times New Roman" w:eastAsia="Times New Roman" w:hAnsi="Times New Roman" w:cs="Times New Roman"/>
                <w:sz w:val="24"/>
                <w:szCs w:val="24"/>
                <w:lang w:eastAsia="lv-LV"/>
              </w:rPr>
              <w:t>psoriāzes</w:t>
            </w:r>
            <w:r w:rsidR="009C5EC9">
              <w:rPr>
                <w:rFonts w:ascii="Times New Roman" w:eastAsia="Times New Roman" w:hAnsi="Times New Roman" w:cs="Times New Roman"/>
                <w:sz w:val="24"/>
                <w:szCs w:val="24"/>
                <w:lang w:eastAsia="lv-LV"/>
              </w:rPr>
              <w:t xml:space="preserve"> ārstēšanai:</w:t>
            </w:r>
            <w:r w:rsidRPr="00006932">
              <w:rPr>
                <w:rFonts w:ascii="Times New Roman" w:eastAsia="Times New Roman" w:hAnsi="Times New Roman" w:cs="Times New Roman"/>
                <w:sz w:val="24"/>
                <w:szCs w:val="24"/>
                <w:lang w:eastAsia="lv-LV"/>
              </w:rPr>
              <w:t xml:space="preserve"> “</w:t>
            </w:r>
            <w:r w:rsidRPr="00006932" w:rsidR="00A70C6C">
              <w:rPr>
                <w:rFonts w:ascii="Times New Roman" w:eastAsia="Times New Roman" w:hAnsi="Times New Roman" w:cs="Times New Roman"/>
                <w:sz w:val="24"/>
                <w:szCs w:val="24"/>
                <w:lang w:eastAsia="lv-LV"/>
              </w:rPr>
              <w:t xml:space="preserve">Kā jau vairākkārt pēdējo gadu laikā esam norādījuši, nodrošinot medikamentu cenas 100% kompensāciju </w:t>
            </w:r>
            <w:r w:rsidRPr="00006932" w:rsidR="00A70C6C">
              <w:rPr>
                <w:rFonts w:ascii="Times New Roman" w:eastAsia="Times New Roman" w:hAnsi="Times New Roman" w:cs="Times New Roman"/>
                <w:sz w:val="24"/>
                <w:szCs w:val="24"/>
                <w:lang w:eastAsia="lv-LV"/>
              </w:rPr>
              <w:t>iekaisīgu</w:t>
            </w:r>
            <w:r w:rsidRPr="00006932" w:rsidR="00A70C6C">
              <w:rPr>
                <w:rFonts w:ascii="Times New Roman" w:eastAsia="Times New Roman" w:hAnsi="Times New Roman" w:cs="Times New Roman"/>
                <w:sz w:val="24"/>
                <w:szCs w:val="24"/>
                <w:lang w:eastAsia="lv-LV"/>
              </w:rPr>
              <w:t xml:space="preserve"> zarnu slimību un </w:t>
            </w:r>
            <w:r w:rsidRPr="00006932" w:rsidR="00A70C6C">
              <w:rPr>
                <w:rFonts w:ascii="Times New Roman" w:eastAsia="Times New Roman" w:hAnsi="Times New Roman" w:cs="Times New Roman"/>
                <w:sz w:val="24"/>
                <w:szCs w:val="24"/>
                <w:lang w:eastAsia="lv-LV"/>
              </w:rPr>
              <w:t>psoriāzes</w:t>
            </w:r>
            <w:r w:rsidRPr="00006932" w:rsidR="00A70C6C">
              <w:rPr>
                <w:rFonts w:ascii="Times New Roman" w:eastAsia="Times New Roman" w:hAnsi="Times New Roman" w:cs="Times New Roman"/>
                <w:sz w:val="24"/>
                <w:szCs w:val="24"/>
                <w:lang w:eastAsia="lv-LV"/>
              </w:rPr>
              <w:t xml:space="preserve"> pacientiem:</w:t>
            </w:r>
            <w:r w:rsidRPr="00006932">
              <w:rPr>
                <w:rFonts w:ascii="Times New Roman" w:eastAsia="Times New Roman" w:hAnsi="Times New Roman" w:cs="Times New Roman"/>
                <w:sz w:val="24"/>
                <w:szCs w:val="24"/>
                <w:lang w:eastAsia="lv-LV"/>
              </w:rPr>
              <w:t xml:space="preserve"> </w:t>
            </w:r>
          </w:p>
          <w:p w:rsidR="00C70A8F" w:rsidP="00D735A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006932" w:rsidR="00A70C6C">
              <w:rPr>
                <w:rFonts w:ascii="Times New Roman" w:eastAsia="Times New Roman" w:hAnsi="Times New Roman" w:cs="Times New Roman"/>
                <w:sz w:val="24"/>
                <w:szCs w:val="24"/>
                <w:lang w:eastAsia="lv-LV"/>
              </w:rPr>
              <w:t>tiks panākts labāks slimnieku ārstēšanas rezultāts;</w:t>
            </w:r>
            <w:r w:rsidRPr="00006932" w:rsidR="00D735A2">
              <w:rPr>
                <w:rFonts w:ascii="Times New Roman" w:eastAsia="Times New Roman" w:hAnsi="Times New Roman" w:cs="Times New Roman"/>
                <w:sz w:val="24"/>
                <w:szCs w:val="24"/>
                <w:lang w:eastAsia="lv-LV"/>
              </w:rPr>
              <w:t xml:space="preserve"> </w:t>
            </w:r>
          </w:p>
          <w:p w:rsidR="00C70A8F" w:rsidP="00D735A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Pr="00006932" w:rsidR="00A70C6C">
              <w:rPr>
                <w:rFonts w:ascii="Times New Roman" w:eastAsia="Times New Roman" w:hAnsi="Times New Roman" w:cs="Times New Roman"/>
                <w:sz w:val="24"/>
                <w:szCs w:val="24"/>
                <w:lang w:eastAsia="lv-LV"/>
              </w:rPr>
              <w:t xml:space="preserve">tiks novērsta </w:t>
            </w:r>
            <w:r w:rsidRPr="00006932" w:rsidR="00A70C6C">
              <w:rPr>
                <w:rFonts w:ascii="Times New Roman" w:eastAsia="Times New Roman" w:hAnsi="Times New Roman" w:cs="Times New Roman"/>
                <w:sz w:val="24"/>
                <w:szCs w:val="24"/>
                <w:lang w:eastAsia="lv-LV"/>
              </w:rPr>
              <w:t>iekaisīgu</w:t>
            </w:r>
            <w:r w:rsidRPr="00006932" w:rsidR="00A70C6C">
              <w:rPr>
                <w:rFonts w:ascii="Times New Roman" w:eastAsia="Times New Roman" w:hAnsi="Times New Roman" w:cs="Times New Roman"/>
                <w:sz w:val="24"/>
                <w:szCs w:val="24"/>
                <w:lang w:eastAsia="lv-LV"/>
              </w:rPr>
              <w:t xml:space="preserve"> zarnu slimību un </w:t>
            </w:r>
            <w:r w:rsidRPr="00006932" w:rsidR="00A70C6C">
              <w:rPr>
                <w:rFonts w:ascii="Times New Roman" w:eastAsia="Times New Roman" w:hAnsi="Times New Roman" w:cs="Times New Roman"/>
                <w:sz w:val="24"/>
                <w:szCs w:val="24"/>
                <w:lang w:eastAsia="lv-LV"/>
              </w:rPr>
              <w:t>psoriāzes</w:t>
            </w:r>
            <w:r w:rsidRPr="00006932" w:rsidR="00A70C6C">
              <w:rPr>
                <w:rFonts w:ascii="Times New Roman" w:eastAsia="Times New Roman" w:hAnsi="Times New Roman" w:cs="Times New Roman"/>
                <w:sz w:val="24"/>
                <w:szCs w:val="24"/>
                <w:lang w:eastAsia="lv-LV"/>
              </w:rPr>
              <w:t xml:space="preserve"> slimnieku diskriminācija salīdzinājuma ar vairāku citu hronisku </w:t>
            </w:r>
            <w:r w:rsidRPr="00006932" w:rsidR="00A70C6C">
              <w:rPr>
                <w:rFonts w:ascii="Times New Roman" w:eastAsia="Times New Roman" w:hAnsi="Times New Roman" w:cs="Times New Roman"/>
                <w:sz w:val="24"/>
                <w:szCs w:val="24"/>
                <w:lang w:eastAsia="lv-LV"/>
              </w:rPr>
              <w:t>autoimūno</w:t>
            </w:r>
            <w:r w:rsidRPr="00006932" w:rsidR="00A70C6C">
              <w:rPr>
                <w:rFonts w:ascii="Times New Roman" w:eastAsia="Times New Roman" w:hAnsi="Times New Roman" w:cs="Times New Roman"/>
                <w:sz w:val="24"/>
                <w:szCs w:val="24"/>
                <w:lang w:eastAsia="lv-LV"/>
              </w:rPr>
              <w:t xml:space="preserve"> slimību pacientiem, kuriem ir pieejami medikamenti ar 100% cenas kompensāciju;</w:t>
            </w:r>
            <w:r w:rsidRPr="00006932" w:rsidR="00D735A2">
              <w:rPr>
                <w:rFonts w:ascii="Times New Roman" w:eastAsia="Times New Roman" w:hAnsi="Times New Roman" w:cs="Times New Roman"/>
                <w:sz w:val="24"/>
                <w:szCs w:val="24"/>
                <w:lang w:eastAsia="lv-LV"/>
              </w:rPr>
              <w:t xml:space="preserve"> </w:t>
            </w:r>
          </w:p>
          <w:p w:rsidR="00631D23" w:rsidRPr="00006932" w:rsidP="00D735A2">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 xml:space="preserve">3) </w:t>
            </w:r>
            <w:r w:rsidRPr="00006932" w:rsidR="00A70C6C">
              <w:rPr>
                <w:rFonts w:ascii="Times New Roman" w:eastAsia="Times New Roman" w:hAnsi="Times New Roman" w:cs="Times New Roman"/>
                <w:sz w:val="24"/>
                <w:szCs w:val="24"/>
                <w:lang w:eastAsia="lv-LV"/>
              </w:rPr>
              <w:t>tiks samazināti invaliditātes un darba nespējas izdevumi, jo slimnieki atgūst darbspēju un atgriežas darba tirgū.</w:t>
            </w:r>
            <w:r w:rsidRPr="00006932">
              <w:rPr>
                <w:rFonts w:ascii="Times New Roman" w:eastAsia="Times New Roman" w:hAnsi="Times New Roman" w:cs="Times New Roman"/>
                <w:sz w:val="24"/>
                <w:szCs w:val="24"/>
                <w:lang w:eastAsia="lv-LV"/>
              </w:rPr>
              <w:t xml:space="preserve"> </w:t>
            </w:r>
            <w:r w:rsidRPr="00006932" w:rsidR="00A70C6C">
              <w:rPr>
                <w:rFonts w:ascii="Times New Roman" w:eastAsia="Times New Roman" w:hAnsi="Times New Roman" w:cs="Times New Roman"/>
                <w:sz w:val="24"/>
                <w:szCs w:val="24"/>
                <w:lang w:eastAsia="lv-LV"/>
              </w:rPr>
              <w:t>Mūsuprāt, medikamentu kompensācijas paaugstināšana ir uzskatāma par veselības aprūpes reformas sastāvdaļu, jo palielinās ārstēšanas pieejamību un nodrošinās pacientiem iespēju izmantot efektīvākus medikamentus, tādējādi mazinot citus valsts budžeta izdevumus.</w:t>
            </w:r>
            <w:r w:rsidRPr="00006932">
              <w:rPr>
                <w:rFonts w:ascii="Times New Roman" w:eastAsia="Times New Roman" w:hAnsi="Times New Roman" w:cs="Times New Roman"/>
                <w:sz w:val="24"/>
                <w:szCs w:val="24"/>
                <w:lang w:eastAsia="lv-LV"/>
              </w:rPr>
              <w:t>”.</w:t>
            </w:r>
          </w:p>
        </w:tc>
      </w:tr>
      <w:tr w:rsidTr="0091090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Sabiedrības līdzdalības rezultāti</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3859B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w:t>
            </w:r>
            <w:r w:rsidR="009C5EC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C70A8F">
              <w:rPr>
                <w:rFonts w:ascii="Times New Roman" w:eastAsia="Times New Roman" w:hAnsi="Times New Roman" w:cs="Times New Roman"/>
                <w:sz w:val="24"/>
                <w:szCs w:val="24"/>
                <w:lang w:eastAsia="lv-LV"/>
              </w:rPr>
              <w:t xml:space="preserve">Krona slimības, čūlainā kolīta un </w:t>
            </w:r>
            <w:r w:rsidRPr="00C70A8F">
              <w:rPr>
                <w:rFonts w:ascii="Times New Roman" w:eastAsia="Times New Roman" w:hAnsi="Times New Roman" w:cs="Times New Roman"/>
                <w:sz w:val="24"/>
                <w:szCs w:val="24"/>
                <w:lang w:eastAsia="lv-LV"/>
              </w:rPr>
              <w:t>psoriāzes</w:t>
            </w:r>
            <w:r w:rsidRPr="00C70A8F">
              <w:rPr>
                <w:rFonts w:ascii="Times New Roman" w:eastAsia="Times New Roman" w:hAnsi="Times New Roman" w:cs="Times New Roman"/>
                <w:sz w:val="24"/>
                <w:szCs w:val="24"/>
                <w:lang w:eastAsia="lv-LV"/>
              </w:rPr>
              <w:t xml:space="preserve"> pacien</w:t>
            </w:r>
            <w:r>
              <w:rPr>
                <w:rFonts w:ascii="Times New Roman" w:eastAsia="Times New Roman" w:hAnsi="Times New Roman" w:cs="Times New Roman"/>
                <w:sz w:val="24"/>
                <w:szCs w:val="24"/>
                <w:lang w:eastAsia="lv-LV"/>
              </w:rPr>
              <w:t xml:space="preserve">tu un minēto slimību speciālistu) </w:t>
            </w:r>
            <w:r w:rsidRPr="00006932" w:rsidR="007230A5">
              <w:rPr>
                <w:rFonts w:ascii="Times New Roman" w:eastAsia="Times New Roman" w:hAnsi="Times New Roman" w:cs="Times New Roman"/>
                <w:sz w:val="24"/>
                <w:szCs w:val="24"/>
                <w:lang w:eastAsia="lv-LV"/>
              </w:rPr>
              <w:t>projektu atbalsta</w:t>
            </w:r>
            <w:r w:rsidR="009C5EC9">
              <w:rPr>
                <w:rFonts w:ascii="Times New Roman" w:eastAsia="Times New Roman" w:hAnsi="Times New Roman" w:cs="Times New Roman"/>
                <w:sz w:val="24"/>
                <w:szCs w:val="24"/>
                <w:lang w:eastAsia="lv-LV"/>
              </w:rPr>
              <w:t>, jo projektā pilnībā ņemti vērā sab</w:t>
            </w:r>
            <w:r w:rsidR="0044552A">
              <w:rPr>
                <w:rFonts w:ascii="Times New Roman" w:eastAsia="Times New Roman" w:hAnsi="Times New Roman" w:cs="Times New Roman"/>
                <w:sz w:val="24"/>
                <w:szCs w:val="24"/>
                <w:lang w:eastAsia="lv-LV"/>
              </w:rPr>
              <w:t>iedrības pārstāvju priekšlikumi.</w:t>
            </w:r>
          </w:p>
        </w:tc>
      </w:tr>
      <w:tr w:rsidTr="0091090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4.</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E111C3">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Nav</w:t>
            </w:r>
          </w:p>
        </w:tc>
      </w:tr>
    </w:tbl>
    <w:p w:rsidR="00894C55" w:rsidRPr="00006932" w:rsidP="002B22BF">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225"/>
        <w:gridCol w:w="5377"/>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06932" w:rsidP="002B22BF">
            <w:pPr>
              <w:spacing w:after="120" w:line="240" w:lineRule="auto"/>
              <w:jc w:val="center"/>
              <w:rPr>
                <w:rFonts w:ascii="Times New Roman" w:eastAsia="Times New Roman" w:hAnsi="Times New Roman" w:cs="Times New Roman"/>
                <w:b/>
                <w:bCs/>
                <w:sz w:val="24"/>
                <w:szCs w:val="24"/>
                <w:lang w:eastAsia="lv-LV"/>
              </w:rPr>
            </w:pPr>
            <w:r w:rsidRPr="00006932">
              <w:rPr>
                <w:rFonts w:ascii="Times New Roman" w:eastAsia="Times New Roman" w:hAnsi="Times New Roman" w:cs="Times New Roman"/>
                <w:b/>
                <w:bCs/>
                <w:sz w:val="24"/>
                <w:szCs w:val="24"/>
                <w:lang w:eastAsia="lv-LV"/>
              </w:rPr>
              <w:t>VII.</w:t>
            </w:r>
            <w:r w:rsidRPr="00006932" w:rsidR="00816C11">
              <w:rPr>
                <w:rFonts w:ascii="Times New Roman" w:eastAsia="Times New Roman" w:hAnsi="Times New Roman" w:cs="Times New Roman"/>
                <w:b/>
                <w:bCs/>
                <w:sz w:val="24"/>
                <w:szCs w:val="24"/>
                <w:lang w:eastAsia="lv-LV"/>
              </w:rPr>
              <w:t> </w:t>
            </w:r>
            <w:r w:rsidRPr="00006932">
              <w:rPr>
                <w:rFonts w:ascii="Times New Roman" w:eastAsia="Times New Roman" w:hAnsi="Times New Roman" w:cs="Times New Roman"/>
                <w:b/>
                <w:bCs/>
                <w:sz w:val="24"/>
                <w:szCs w:val="24"/>
                <w:lang w:eastAsia="lv-LV"/>
              </w:rPr>
              <w:t>Tiesību akta projekta izpildes nodrošināšana un tās ietekme uz institūcijām</w:t>
            </w:r>
          </w:p>
        </w:tc>
      </w:tr>
      <w:tr w:rsidTr="00910901">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F851FA">
            <w:pPr>
              <w:spacing w:after="120" w:line="240" w:lineRule="auto"/>
              <w:jc w:val="both"/>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Nacionālais veselības dienests</w:t>
            </w:r>
          </w:p>
        </w:tc>
      </w:tr>
      <w:tr w:rsidTr="00910901">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Projekta izpildes ietekme uz pārvaldes funkcijām un institucionālo struktūru.</w:t>
            </w:r>
          </w:p>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3859B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 neprasa jaunu funkciju ieviešanu, struktūras vai cilvēkresursu izmaiņas Nacionālajā veselības dienestā.</w:t>
            </w:r>
          </w:p>
        </w:tc>
      </w:tr>
      <w:tr w:rsidTr="0091090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rsidR="00894C55" w:rsidRPr="00006932" w:rsidP="002B22BF">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rsidR="00894C55" w:rsidRPr="00006932" w:rsidP="00184D82">
            <w:pPr>
              <w:spacing w:after="120" w:line="240" w:lineRule="auto"/>
              <w:rPr>
                <w:rFonts w:ascii="Times New Roman" w:eastAsia="Times New Roman" w:hAnsi="Times New Roman" w:cs="Times New Roman"/>
                <w:sz w:val="24"/>
                <w:szCs w:val="24"/>
                <w:lang w:eastAsia="lv-LV"/>
              </w:rPr>
            </w:pPr>
            <w:r w:rsidRPr="00006932">
              <w:rPr>
                <w:rFonts w:ascii="Times New Roman" w:eastAsia="Times New Roman" w:hAnsi="Times New Roman" w:cs="Times New Roman"/>
                <w:sz w:val="24"/>
                <w:szCs w:val="24"/>
                <w:lang w:eastAsia="lv-LV"/>
              </w:rPr>
              <w:t>Nav</w:t>
            </w:r>
          </w:p>
        </w:tc>
      </w:tr>
    </w:tbl>
    <w:p w:rsidR="00720585" w:rsidRPr="00006932" w:rsidP="002B22BF">
      <w:pPr>
        <w:spacing w:after="120" w:line="240" w:lineRule="auto"/>
        <w:rPr>
          <w:rFonts w:ascii="Times New Roman" w:hAnsi="Times New Roman" w:cs="Times New Roman"/>
          <w:sz w:val="28"/>
          <w:szCs w:val="28"/>
        </w:rPr>
      </w:pPr>
    </w:p>
    <w:p w:rsidR="00483A10" w:rsidRPr="00006932" w:rsidP="00483A10">
      <w:pPr>
        <w:spacing w:after="120" w:line="240" w:lineRule="auto"/>
        <w:rPr>
          <w:rFonts w:ascii="Times New Roman" w:hAnsi="Times New Roman" w:cs="Times New Roman"/>
          <w:sz w:val="24"/>
          <w:szCs w:val="24"/>
        </w:rPr>
      </w:pPr>
      <w:r w:rsidRPr="00006932">
        <w:rPr>
          <w:rFonts w:ascii="Times New Roman" w:hAnsi="Times New Roman" w:cs="Times New Roman"/>
          <w:sz w:val="24"/>
          <w:szCs w:val="24"/>
        </w:rPr>
        <w:t>Anotācijas IV un V sadaļa – projekts šo jomu neskar</w:t>
      </w:r>
      <w:r w:rsidRPr="00006932" w:rsidR="00DF0AEF">
        <w:rPr>
          <w:rFonts w:ascii="Times New Roman" w:hAnsi="Times New Roman" w:cs="Times New Roman"/>
          <w:sz w:val="24"/>
          <w:szCs w:val="24"/>
        </w:rPr>
        <w:t>.</w:t>
      </w:r>
    </w:p>
    <w:p w:rsidR="00483A10" w:rsidRPr="00006932" w:rsidP="002B22BF">
      <w:pPr>
        <w:spacing w:after="120" w:line="240" w:lineRule="auto"/>
        <w:rPr>
          <w:rFonts w:ascii="Times New Roman" w:hAnsi="Times New Roman" w:cs="Times New Roman"/>
          <w:sz w:val="28"/>
          <w:szCs w:val="28"/>
        </w:rPr>
      </w:pPr>
    </w:p>
    <w:p w:rsidR="00C25B49" w:rsidRPr="00006932" w:rsidP="002B22BF">
      <w:pPr>
        <w:spacing w:after="120" w:line="240" w:lineRule="auto"/>
        <w:rPr>
          <w:rFonts w:ascii="Times New Roman" w:hAnsi="Times New Roman" w:cs="Times New Roman"/>
          <w:sz w:val="28"/>
          <w:szCs w:val="28"/>
        </w:rPr>
      </w:pPr>
    </w:p>
    <w:p w:rsidR="004E6C83" w:rsidRPr="00006932" w:rsidP="002B22BF">
      <w:pPr>
        <w:tabs>
          <w:tab w:val="right" w:pos="8931"/>
        </w:tabs>
        <w:spacing w:after="12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Veselības ministra vietā Labklājības ministrs</w:t>
      </w:r>
      <w:r w:rsidRPr="00006932" w:rsidR="002963F0">
        <w:rPr>
          <w:rFonts w:ascii="Times New Roman" w:eastAsia="Calibri" w:hAnsi="Times New Roman" w:cs="Times New Roman"/>
          <w:sz w:val="28"/>
          <w:szCs w:val="28"/>
        </w:rPr>
        <w:tab/>
      </w:r>
      <w:r>
        <w:rPr>
          <w:rFonts w:ascii="Times New Roman" w:eastAsia="Calibri" w:hAnsi="Times New Roman" w:cs="Times New Roman"/>
          <w:sz w:val="28"/>
          <w:szCs w:val="28"/>
        </w:rPr>
        <w:t>Jānis Reirs</w:t>
      </w:r>
      <w:r w:rsidRPr="00006932" w:rsidR="002963F0">
        <w:rPr>
          <w:rFonts w:ascii="Times New Roman" w:eastAsia="Calibri" w:hAnsi="Times New Roman" w:cs="Times New Roman"/>
          <w:sz w:val="28"/>
          <w:szCs w:val="28"/>
        </w:rPr>
        <w:tab/>
      </w:r>
    </w:p>
    <w:p w:rsidR="00483A10" w:rsidRPr="00006932" w:rsidP="002B22BF">
      <w:pPr>
        <w:tabs>
          <w:tab w:val="right" w:pos="9072"/>
        </w:tabs>
        <w:spacing w:after="120" w:line="240" w:lineRule="auto"/>
        <w:ind w:right="-1"/>
        <w:rPr>
          <w:rFonts w:ascii="Times New Roman" w:eastAsia="Calibri" w:hAnsi="Times New Roman" w:cs="Times New Roman"/>
          <w:sz w:val="28"/>
          <w:szCs w:val="28"/>
        </w:rPr>
      </w:pPr>
    </w:p>
    <w:p w:rsidR="004E6C83" w:rsidRPr="00006932" w:rsidP="002B22BF">
      <w:pPr>
        <w:tabs>
          <w:tab w:val="right" w:pos="9072"/>
        </w:tabs>
        <w:spacing w:after="1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sekretāra </w:t>
      </w:r>
      <w:r>
        <w:rPr>
          <w:rFonts w:ascii="Times New Roman" w:eastAsia="Calibri" w:hAnsi="Times New Roman" w:cs="Times New Roman"/>
          <w:sz w:val="28"/>
          <w:szCs w:val="28"/>
        </w:rPr>
        <w:t>p.i</w:t>
      </w:r>
      <w:r>
        <w:rPr>
          <w:rFonts w:ascii="Times New Roman" w:eastAsia="Calibri" w:hAnsi="Times New Roman" w:cs="Times New Roman"/>
          <w:sz w:val="28"/>
          <w:szCs w:val="28"/>
        </w:rPr>
        <w:t>.</w:t>
      </w:r>
      <w:r w:rsidRPr="00006932" w:rsidR="00C25C6B">
        <w:rPr>
          <w:rFonts w:ascii="Times New Roman" w:eastAsia="Calibri" w:hAnsi="Times New Roman" w:cs="Times New Roman"/>
          <w:sz w:val="28"/>
          <w:szCs w:val="28"/>
        </w:rPr>
        <w:tab/>
      </w:r>
      <w:r>
        <w:rPr>
          <w:rFonts w:ascii="Times New Roman" w:eastAsia="Calibri" w:hAnsi="Times New Roman" w:cs="Times New Roman"/>
          <w:sz w:val="28"/>
          <w:szCs w:val="28"/>
        </w:rPr>
        <w:t xml:space="preserve">Daina </w:t>
      </w:r>
      <w:r>
        <w:rPr>
          <w:rFonts w:ascii="Times New Roman" w:eastAsia="Calibri" w:hAnsi="Times New Roman" w:cs="Times New Roman"/>
          <w:sz w:val="28"/>
          <w:szCs w:val="28"/>
        </w:rPr>
        <w:t>Mūrmane</w:t>
      </w: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t>Umbraško</w:t>
      </w:r>
      <w:r w:rsidRPr="00006932" w:rsidR="002963F0">
        <w:rPr>
          <w:rFonts w:ascii="Times New Roman" w:eastAsia="Calibri" w:hAnsi="Times New Roman" w:cs="Times New Roman"/>
          <w:sz w:val="28"/>
          <w:szCs w:val="28"/>
        </w:rPr>
        <w:t xml:space="preserve"> </w:t>
      </w:r>
    </w:p>
    <w:p w:rsidR="004E6C83" w:rsidRPr="00006932" w:rsidP="002B22BF">
      <w:pPr>
        <w:tabs>
          <w:tab w:val="right" w:pos="9072"/>
        </w:tabs>
        <w:spacing w:after="120" w:line="240" w:lineRule="auto"/>
        <w:ind w:right="-766"/>
        <w:rPr>
          <w:rFonts w:ascii="Times New Roman" w:eastAsia="Calibri" w:hAnsi="Times New Roman" w:cs="Times New Roman"/>
          <w:sz w:val="28"/>
          <w:szCs w:val="28"/>
        </w:rPr>
      </w:pPr>
    </w:p>
    <w:p w:rsidR="00631D23" w:rsidP="00184D82">
      <w:pPr>
        <w:tabs>
          <w:tab w:val="left" w:pos="6237"/>
        </w:tabs>
        <w:spacing w:after="0" w:line="240" w:lineRule="auto"/>
        <w:rPr>
          <w:rFonts w:ascii="Times New Roman" w:eastAsia="Calibri" w:hAnsi="Times New Roman" w:cs="Times New Roman"/>
          <w:sz w:val="24"/>
          <w:szCs w:val="24"/>
        </w:rPr>
      </w:pPr>
    </w:p>
    <w:p w:rsidR="00631D23" w:rsidP="00184D82">
      <w:pPr>
        <w:tabs>
          <w:tab w:val="left" w:pos="6237"/>
        </w:tabs>
        <w:spacing w:after="0" w:line="240" w:lineRule="auto"/>
        <w:rPr>
          <w:rFonts w:ascii="Times New Roman" w:eastAsia="Calibri" w:hAnsi="Times New Roman" w:cs="Times New Roman"/>
          <w:sz w:val="24"/>
          <w:szCs w:val="24"/>
        </w:rPr>
      </w:pPr>
    </w:p>
    <w:p w:rsidR="00631D23" w:rsidP="00184D82">
      <w:pPr>
        <w:tabs>
          <w:tab w:val="left" w:pos="6237"/>
        </w:tabs>
        <w:spacing w:after="0" w:line="240" w:lineRule="auto"/>
        <w:rPr>
          <w:rFonts w:ascii="Times New Roman" w:eastAsia="Calibri" w:hAnsi="Times New Roman" w:cs="Times New Roman"/>
          <w:sz w:val="24"/>
          <w:szCs w:val="24"/>
        </w:rPr>
      </w:pPr>
    </w:p>
    <w:p w:rsidR="004E6C83" w:rsidRPr="00631D23" w:rsidP="00910901">
      <w:pPr>
        <w:tabs>
          <w:tab w:val="left" w:pos="6237"/>
        </w:tabs>
        <w:spacing w:after="0" w:line="240" w:lineRule="auto"/>
        <w:rPr>
          <w:rFonts w:ascii="Times New Roman" w:eastAsia="Calibri" w:hAnsi="Times New Roman" w:cs="Times New Roman"/>
          <w:sz w:val="24"/>
          <w:szCs w:val="24"/>
        </w:rPr>
      </w:pPr>
      <w:r w:rsidRPr="00631D23">
        <w:rPr>
          <w:rFonts w:ascii="Times New Roman" w:eastAsia="Calibri" w:hAnsi="Times New Roman" w:cs="Times New Roman"/>
          <w:sz w:val="24"/>
          <w:szCs w:val="24"/>
        </w:rPr>
        <w:t xml:space="preserve">Brūvere </w:t>
      </w:r>
      <w:r w:rsidRPr="00631D23" w:rsidR="00184D82">
        <w:rPr>
          <w:rFonts w:ascii="Times New Roman" w:eastAsia="Times New Roman" w:hAnsi="Times New Roman" w:cs="Times New Roman"/>
          <w:sz w:val="24"/>
          <w:szCs w:val="24"/>
        </w:rPr>
        <w:t>67876191</w:t>
      </w:r>
    </w:p>
    <w:p w:rsidR="004E6C83" w:rsidRPr="00631D23" w:rsidP="00910901">
      <w:pPr>
        <w:tabs>
          <w:tab w:val="left" w:pos="6237"/>
        </w:tabs>
        <w:spacing w:after="0" w:line="240" w:lineRule="auto"/>
        <w:rPr>
          <w:rFonts w:ascii="Times New Roman" w:eastAsia="Calibri" w:hAnsi="Times New Roman" w:cs="Times New Roman"/>
          <w:sz w:val="24"/>
          <w:szCs w:val="24"/>
        </w:rPr>
      </w:pPr>
      <w:r w:rsidRPr="00631D23">
        <w:rPr>
          <w:rFonts w:ascii="Times New Roman" w:eastAsia="Calibri" w:hAnsi="Times New Roman" w:cs="Times New Roman"/>
          <w:sz w:val="24"/>
          <w:szCs w:val="24"/>
          <w:u w:val="single"/>
        </w:rPr>
        <w:t>Kristina.Bruvere@vm.gov.lv</w:t>
      </w:r>
    </w:p>
    <w:p w:rsidR="004E6C83" w:rsidP="00910901">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 67876041</w:t>
      </w:r>
    </w:p>
    <w:p w:rsidR="00910901" w:rsidRPr="00910901" w:rsidP="00910901">
      <w:pPr>
        <w:tabs>
          <w:tab w:val="left" w:pos="6237"/>
        </w:tabs>
        <w:spacing w:after="0" w:line="240" w:lineRule="auto"/>
        <w:rPr>
          <w:rFonts w:ascii="Times New Roman" w:hAnsi="Times New Roman" w:cs="Times New Roman"/>
          <w:sz w:val="24"/>
          <w:szCs w:val="28"/>
          <w:u w:val="single"/>
        </w:rPr>
      </w:pPr>
      <w:r w:rsidRPr="00910901">
        <w:rPr>
          <w:rFonts w:ascii="Times New Roman" w:hAnsi="Times New Roman" w:cs="Times New Roman"/>
          <w:sz w:val="24"/>
          <w:szCs w:val="28"/>
          <w:u w:val="single"/>
        </w:rPr>
        <w:t>Lasma.Zandberga@vm.gov.lv</w:t>
      </w:r>
    </w:p>
    <w:sectPr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3F0" w:rsidRPr="00894C55">
    <w:pPr>
      <w:pStyle w:val="Footer"/>
      <w:rPr>
        <w:rFonts w:ascii="Times New Roman" w:hAnsi="Times New Roman" w:cs="Times New Roman"/>
        <w:sz w:val="20"/>
        <w:szCs w:val="20"/>
      </w:rPr>
    </w:pPr>
    <w:r>
      <w:rPr>
        <w:rFonts w:ascii="Times New Roman" w:hAnsi="Times New Roman" w:cs="Times New Roman"/>
        <w:sz w:val="20"/>
        <w:szCs w:val="20"/>
      </w:rPr>
      <w:t>VManot_</w:t>
    </w:r>
    <w:r w:rsidR="009F3B12">
      <w:rPr>
        <w:rFonts w:ascii="Times New Roman" w:hAnsi="Times New Roman" w:cs="Times New Roman"/>
        <w:sz w:val="20"/>
        <w:szCs w:val="20"/>
      </w:rPr>
      <w:t>2</w:t>
    </w:r>
    <w:r w:rsidR="00CA5B9C">
      <w:rPr>
        <w:rFonts w:ascii="Times New Roman" w:hAnsi="Times New Roman" w:cs="Times New Roman"/>
        <w:sz w:val="20"/>
        <w:szCs w:val="20"/>
      </w:rPr>
      <w:t>8</w:t>
    </w:r>
    <w:r>
      <w:rPr>
        <w:rFonts w:ascii="Times New Roman" w:hAnsi="Times New Roman" w:cs="Times New Roman"/>
        <w:sz w:val="20"/>
        <w:szCs w:val="20"/>
      </w:rPr>
      <w:t>1217_krons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3F0" w:rsidRPr="00DD38AF" w:rsidP="00DD38AF">
    <w:pPr>
      <w:pStyle w:val="Footer"/>
    </w:pPr>
    <w:r w:rsidRPr="00DD38AF">
      <w:rPr>
        <w:rFonts w:ascii="Times New Roman" w:hAnsi="Times New Roman" w:cs="Times New Roman"/>
        <w:sz w:val="20"/>
        <w:szCs w:val="20"/>
      </w:rPr>
      <w:t>VManot_</w:t>
    </w:r>
    <w:r w:rsidR="009F3B12">
      <w:rPr>
        <w:rFonts w:ascii="Times New Roman" w:hAnsi="Times New Roman" w:cs="Times New Roman"/>
        <w:sz w:val="20"/>
        <w:szCs w:val="20"/>
      </w:rPr>
      <w:t>2</w:t>
    </w:r>
    <w:r w:rsidR="00CA5B9C">
      <w:rPr>
        <w:rFonts w:ascii="Times New Roman" w:hAnsi="Times New Roman" w:cs="Times New Roman"/>
        <w:sz w:val="20"/>
        <w:szCs w:val="20"/>
      </w:rPr>
      <w:t>8</w:t>
    </w:r>
    <w:r w:rsidRPr="00DD38AF">
      <w:rPr>
        <w:rFonts w:ascii="Times New Roman" w:hAnsi="Times New Roman" w:cs="Times New Roman"/>
        <w:sz w:val="20"/>
        <w:szCs w:val="20"/>
      </w:rPr>
      <w:t>1</w:t>
    </w:r>
    <w:r>
      <w:rPr>
        <w:rFonts w:ascii="Times New Roman" w:hAnsi="Times New Roman" w:cs="Times New Roman"/>
        <w:sz w:val="20"/>
        <w:szCs w:val="20"/>
      </w:rPr>
      <w:t>2</w:t>
    </w:r>
    <w:r w:rsidRPr="00DD38AF">
      <w:rPr>
        <w:rFonts w:ascii="Times New Roman" w:hAnsi="Times New Roman" w:cs="Times New Roman"/>
        <w:sz w:val="20"/>
        <w:szCs w:val="20"/>
      </w:rPr>
      <w:t>17_krons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3F0" w:rsidP="00894C55">
      <w:pPr>
        <w:spacing w:after="0" w:line="240" w:lineRule="auto"/>
      </w:pPr>
      <w:r>
        <w:separator/>
      </w:r>
    </w:p>
  </w:footnote>
  <w:footnote w:type="continuationSeparator" w:id="1">
    <w:p w:rsidR="002963F0" w:rsidP="00894C55">
      <w:pPr>
        <w:spacing w:after="0" w:line="240" w:lineRule="auto"/>
      </w:pPr>
      <w:r>
        <w:continuationSeparator/>
      </w:r>
    </w:p>
  </w:footnote>
  <w:footnote w:id="2">
    <w:p w:rsidR="002963F0" w:rsidRPr="00702EA7">
      <w:pPr>
        <w:pStyle w:val="FootnoteText"/>
        <w:rPr>
          <w:rFonts w:ascii="Times New Roman" w:hAnsi="Times New Roman" w:cs="Times New Roman"/>
          <w:sz w:val="22"/>
          <w:szCs w:val="22"/>
        </w:rPr>
      </w:pPr>
      <w:r>
        <w:rPr>
          <w:rStyle w:val="FootnoteReference"/>
        </w:rPr>
        <w:footnoteRef/>
      </w:r>
      <w:r>
        <w:t xml:space="preserve"> </w:t>
      </w:r>
      <w:r w:rsidRPr="00702EA7">
        <w:rPr>
          <w:rFonts w:ascii="Times New Roman" w:hAnsi="Times New Roman" w:cs="Times New Roman"/>
          <w:sz w:val="22"/>
          <w:szCs w:val="22"/>
        </w:rPr>
        <w:t>https://s</w:t>
      </w:r>
      <w:bookmarkStart w:id="0" w:name="_GoBack"/>
      <w:bookmarkEnd w:id="0"/>
      <w:r w:rsidRPr="00702EA7">
        <w:rPr>
          <w:rFonts w:ascii="Times New Roman" w:hAnsi="Times New Roman" w:cs="Times New Roman"/>
          <w:sz w:val="22"/>
          <w:szCs w:val="22"/>
        </w:rPr>
        <w:t>pkc.gov.lv/upload/Bukleti/buklets_iekaisigas_zarnu_slimibas.pdf</w:t>
      </w:r>
    </w:p>
  </w:footnote>
  <w:footnote w:id="3">
    <w:p w:rsidR="002963F0" w:rsidRPr="00702EA7">
      <w:pPr>
        <w:pStyle w:val="FootnoteText"/>
        <w:rPr>
          <w:rFonts w:ascii="Times New Roman" w:hAnsi="Times New Roman" w:cs="Times New Roman"/>
          <w:sz w:val="22"/>
          <w:szCs w:val="22"/>
        </w:rPr>
      </w:pPr>
      <w:r>
        <w:rPr>
          <w:rStyle w:val="FootnoteReference"/>
        </w:rPr>
        <w:footnoteRef/>
      </w:r>
      <w:r>
        <w:t xml:space="preserve"> </w:t>
      </w:r>
      <w:r w:rsidRPr="00702EA7">
        <w:rPr>
          <w:rFonts w:ascii="Times New Roman" w:hAnsi="Times New Roman" w:cs="Times New Roman"/>
          <w:sz w:val="22"/>
          <w:szCs w:val="22"/>
        </w:rPr>
        <w:t>http://www.efcca.org/en/projects/impact-survey</w:t>
      </w:r>
    </w:p>
  </w:footnote>
  <w:footnote w:id="4">
    <w:p w:rsidR="002963F0" w:rsidRPr="00702EA7">
      <w:pPr>
        <w:pStyle w:val="FootnoteText"/>
        <w:rPr>
          <w:rFonts w:ascii="Times New Roman" w:hAnsi="Times New Roman" w:cs="Times New Roman"/>
          <w:sz w:val="22"/>
          <w:szCs w:val="22"/>
        </w:rPr>
      </w:pPr>
      <w:r w:rsidRPr="00702EA7">
        <w:rPr>
          <w:rStyle w:val="FootnoteReference"/>
          <w:rFonts w:ascii="Times New Roman" w:hAnsi="Times New Roman" w:cs="Times New Roman"/>
          <w:sz w:val="22"/>
          <w:szCs w:val="22"/>
        </w:rPr>
        <w:footnoteRef/>
      </w:r>
      <w:r w:rsidRPr="00702EA7">
        <w:rPr>
          <w:rFonts w:ascii="Times New Roman" w:hAnsi="Times New Roman" w:cs="Times New Roman"/>
          <w:sz w:val="22"/>
          <w:szCs w:val="22"/>
        </w:rPr>
        <w:t xml:space="preserve"> http://www.vmnvd.gov.lv/uploads/files/5178cc7540dc9.pdf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8300838"/>
      <w:docPartObj>
        <w:docPartGallery w:val="Page Numbers (Top of Page)"/>
        <w:docPartUnique/>
      </w:docPartObj>
    </w:sdtPr>
    <w:sdtEndPr>
      <w:rPr>
        <w:rFonts w:ascii="Times New Roman" w:hAnsi="Times New Roman" w:cs="Times New Roman"/>
        <w:noProof/>
        <w:sz w:val="24"/>
        <w:szCs w:val="20"/>
      </w:rPr>
    </w:sdtEndPr>
    <w:sdtContent>
      <w:p w:rsidR="002963F0"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5B9C">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AC65159"/>
    <w:multiLevelType w:val="hybridMultilevel"/>
    <w:tmpl w:val="B93CC078"/>
    <w:lvl w:ilvl="0">
      <w:start w:val="1"/>
      <w:numFmt w:val="bullet"/>
      <w:lvlText w:val=""/>
      <w:lvlJc w:val="left"/>
      <w:pPr>
        <w:ind w:left="748" w:hanging="360"/>
      </w:pPr>
      <w:rPr>
        <w:rFonts w:ascii="Symbol" w:hAnsi="Symbol" w:hint="default"/>
      </w:rPr>
    </w:lvl>
    <w:lvl w:ilvl="1" w:tentative="1">
      <w:start w:val="1"/>
      <w:numFmt w:val="bullet"/>
      <w:lvlText w:val="o"/>
      <w:lvlJc w:val="left"/>
      <w:pPr>
        <w:ind w:left="1468" w:hanging="360"/>
      </w:pPr>
      <w:rPr>
        <w:rFonts w:ascii="Courier New" w:hAnsi="Courier New" w:cs="Courier New" w:hint="default"/>
      </w:rPr>
    </w:lvl>
    <w:lvl w:ilvl="2" w:tentative="1">
      <w:start w:val="1"/>
      <w:numFmt w:val="bullet"/>
      <w:lvlText w:val=""/>
      <w:lvlJc w:val="left"/>
      <w:pPr>
        <w:ind w:left="2188" w:hanging="360"/>
      </w:pPr>
      <w:rPr>
        <w:rFonts w:ascii="Wingdings" w:hAnsi="Wingdings" w:hint="default"/>
      </w:rPr>
    </w:lvl>
    <w:lvl w:ilvl="3" w:tentative="1">
      <w:start w:val="1"/>
      <w:numFmt w:val="bullet"/>
      <w:lvlText w:val=""/>
      <w:lvlJc w:val="left"/>
      <w:pPr>
        <w:ind w:left="2908" w:hanging="360"/>
      </w:pPr>
      <w:rPr>
        <w:rFonts w:ascii="Symbol" w:hAnsi="Symbol" w:hint="default"/>
      </w:rPr>
    </w:lvl>
    <w:lvl w:ilvl="4" w:tentative="1">
      <w:start w:val="1"/>
      <w:numFmt w:val="bullet"/>
      <w:lvlText w:val="o"/>
      <w:lvlJc w:val="left"/>
      <w:pPr>
        <w:ind w:left="3628" w:hanging="360"/>
      </w:pPr>
      <w:rPr>
        <w:rFonts w:ascii="Courier New" w:hAnsi="Courier New" w:cs="Courier New" w:hint="default"/>
      </w:rPr>
    </w:lvl>
    <w:lvl w:ilvl="5" w:tentative="1">
      <w:start w:val="1"/>
      <w:numFmt w:val="bullet"/>
      <w:lvlText w:val=""/>
      <w:lvlJc w:val="left"/>
      <w:pPr>
        <w:ind w:left="4348" w:hanging="360"/>
      </w:pPr>
      <w:rPr>
        <w:rFonts w:ascii="Wingdings" w:hAnsi="Wingdings" w:hint="default"/>
      </w:rPr>
    </w:lvl>
    <w:lvl w:ilvl="6" w:tentative="1">
      <w:start w:val="1"/>
      <w:numFmt w:val="bullet"/>
      <w:lvlText w:val=""/>
      <w:lvlJc w:val="left"/>
      <w:pPr>
        <w:ind w:left="5068" w:hanging="360"/>
      </w:pPr>
      <w:rPr>
        <w:rFonts w:ascii="Symbol" w:hAnsi="Symbol" w:hint="default"/>
      </w:rPr>
    </w:lvl>
    <w:lvl w:ilvl="7" w:tentative="1">
      <w:start w:val="1"/>
      <w:numFmt w:val="bullet"/>
      <w:lvlText w:val="o"/>
      <w:lvlJc w:val="left"/>
      <w:pPr>
        <w:ind w:left="5788" w:hanging="360"/>
      </w:pPr>
      <w:rPr>
        <w:rFonts w:ascii="Courier New" w:hAnsi="Courier New" w:cs="Courier New" w:hint="default"/>
      </w:rPr>
    </w:lvl>
    <w:lvl w:ilvl="8" w:tentative="1">
      <w:start w:val="1"/>
      <w:numFmt w:val="bullet"/>
      <w:lvlText w:val=""/>
      <w:lvlJc w:val="left"/>
      <w:pPr>
        <w:ind w:left="6508" w:hanging="360"/>
      </w:pPr>
      <w:rPr>
        <w:rFonts w:ascii="Wingdings" w:hAnsi="Wingdings" w:hint="default"/>
      </w:rPr>
    </w:lvl>
  </w:abstractNum>
  <w:abstractNum w:abstractNumId="1" w15:restartNumberingAfterBreak="1">
    <w:nsid w:val="55F135E5"/>
    <w:multiLevelType w:val="multilevel"/>
    <w:tmpl w:val="A1A6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7DF"/>
    <w:rsid w:val="00003F12"/>
    <w:rsid w:val="00006932"/>
    <w:rsid w:val="00016040"/>
    <w:rsid w:val="00034CBE"/>
    <w:rsid w:val="000564C8"/>
    <w:rsid w:val="00064756"/>
    <w:rsid w:val="00082634"/>
    <w:rsid w:val="000A25E8"/>
    <w:rsid w:val="000B2847"/>
    <w:rsid w:val="000B38A7"/>
    <w:rsid w:val="000B44FD"/>
    <w:rsid w:val="000C0AFD"/>
    <w:rsid w:val="000D3848"/>
    <w:rsid w:val="000E3448"/>
    <w:rsid w:val="000E5F56"/>
    <w:rsid w:val="000E70F0"/>
    <w:rsid w:val="00102584"/>
    <w:rsid w:val="00107243"/>
    <w:rsid w:val="00113386"/>
    <w:rsid w:val="00123EEF"/>
    <w:rsid w:val="00131D0A"/>
    <w:rsid w:val="00137290"/>
    <w:rsid w:val="00142AB4"/>
    <w:rsid w:val="00146D98"/>
    <w:rsid w:val="00151199"/>
    <w:rsid w:val="00152889"/>
    <w:rsid w:val="00163D91"/>
    <w:rsid w:val="00166693"/>
    <w:rsid w:val="001744C3"/>
    <w:rsid w:val="001834C0"/>
    <w:rsid w:val="001842A2"/>
    <w:rsid w:val="00184D82"/>
    <w:rsid w:val="00190147"/>
    <w:rsid w:val="001A5544"/>
    <w:rsid w:val="001A61EA"/>
    <w:rsid w:val="001B5ADA"/>
    <w:rsid w:val="001C2F6C"/>
    <w:rsid w:val="001D49B0"/>
    <w:rsid w:val="001D4C54"/>
    <w:rsid w:val="001D5CFA"/>
    <w:rsid w:val="001F5542"/>
    <w:rsid w:val="001F56C4"/>
    <w:rsid w:val="00211EAC"/>
    <w:rsid w:val="00226E09"/>
    <w:rsid w:val="00243426"/>
    <w:rsid w:val="00255A6B"/>
    <w:rsid w:val="00261839"/>
    <w:rsid w:val="00266D5C"/>
    <w:rsid w:val="00270DE4"/>
    <w:rsid w:val="002963F0"/>
    <w:rsid w:val="002A6944"/>
    <w:rsid w:val="002B1BF1"/>
    <w:rsid w:val="002B22BF"/>
    <w:rsid w:val="002B2937"/>
    <w:rsid w:val="002B3CFF"/>
    <w:rsid w:val="002C0B3F"/>
    <w:rsid w:val="002C4CA4"/>
    <w:rsid w:val="002C5988"/>
    <w:rsid w:val="002D71A9"/>
    <w:rsid w:val="002D7B49"/>
    <w:rsid w:val="002E1C05"/>
    <w:rsid w:val="002E2726"/>
    <w:rsid w:val="002E32D9"/>
    <w:rsid w:val="002E4D17"/>
    <w:rsid w:val="0031058A"/>
    <w:rsid w:val="00344186"/>
    <w:rsid w:val="00344D54"/>
    <w:rsid w:val="0035039B"/>
    <w:rsid w:val="003507A7"/>
    <w:rsid w:val="00367249"/>
    <w:rsid w:val="003770BB"/>
    <w:rsid w:val="003859B1"/>
    <w:rsid w:val="00393B71"/>
    <w:rsid w:val="003B0BF9"/>
    <w:rsid w:val="003C7656"/>
    <w:rsid w:val="003C794A"/>
    <w:rsid w:val="003D1CC0"/>
    <w:rsid w:val="003E0791"/>
    <w:rsid w:val="003F02A9"/>
    <w:rsid w:val="003F28AC"/>
    <w:rsid w:val="003F2D16"/>
    <w:rsid w:val="003F5278"/>
    <w:rsid w:val="0041093A"/>
    <w:rsid w:val="00433CC2"/>
    <w:rsid w:val="004454FE"/>
    <w:rsid w:val="0044552A"/>
    <w:rsid w:val="00460391"/>
    <w:rsid w:val="0046308E"/>
    <w:rsid w:val="00471F27"/>
    <w:rsid w:val="004720E0"/>
    <w:rsid w:val="004765C0"/>
    <w:rsid w:val="00476D43"/>
    <w:rsid w:val="00483A10"/>
    <w:rsid w:val="00486499"/>
    <w:rsid w:val="00486781"/>
    <w:rsid w:val="00487979"/>
    <w:rsid w:val="004C5CE1"/>
    <w:rsid w:val="004D13C9"/>
    <w:rsid w:val="004D4EC0"/>
    <w:rsid w:val="004E6C83"/>
    <w:rsid w:val="004E6CBC"/>
    <w:rsid w:val="004F044D"/>
    <w:rsid w:val="0050178F"/>
    <w:rsid w:val="00504CFC"/>
    <w:rsid w:val="00517770"/>
    <w:rsid w:val="005236F9"/>
    <w:rsid w:val="005261CC"/>
    <w:rsid w:val="00530783"/>
    <w:rsid w:val="00531D3D"/>
    <w:rsid w:val="00531FA9"/>
    <w:rsid w:val="00537BF4"/>
    <w:rsid w:val="005643E0"/>
    <w:rsid w:val="00580F38"/>
    <w:rsid w:val="005859FE"/>
    <w:rsid w:val="005A3FD8"/>
    <w:rsid w:val="005B0D51"/>
    <w:rsid w:val="005B278D"/>
    <w:rsid w:val="005C08B3"/>
    <w:rsid w:val="005C2E8B"/>
    <w:rsid w:val="005E3391"/>
    <w:rsid w:val="00602FC6"/>
    <w:rsid w:val="00605697"/>
    <w:rsid w:val="006137AE"/>
    <w:rsid w:val="00631448"/>
    <w:rsid w:val="00631D23"/>
    <w:rsid w:val="0065635A"/>
    <w:rsid w:val="00656A8F"/>
    <w:rsid w:val="006653F9"/>
    <w:rsid w:val="00681B53"/>
    <w:rsid w:val="006965F6"/>
    <w:rsid w:val="006A5B71"/>
    <w:rsid w:val="006B3988"/>
    <w:rsid w:val="006C0AC1"/>
    <w:rsid w:val="006C0C3A"/>
    <w:rsid w:val="006C4D82"/>
    <w:rsid w:val="006D78D3"/>
    <w:rsid w:val="006E1081"/>
    <w:rsid w:val="006E111D"/>
    <w:rsid w:val="00702EA7"/>
    <w:rsid w:val="00713864"/>
    <w:rsid w:val="0071686F"/>
    <w:rsid w:val="007178A8"/>
    <w:rsid w:val="00720585"/>
    <w:rsid w:val="007230A5"/>
    <w:rsid w:val="00725ED8"/>
    <w:rsid w:val="007275E1"/>
    <w:rsid w:val="007356BF"/>
    <w:rsid w:val="007511B9"/>
    <w:rsid w:val="00752561"/>
    <w:rsid w:val="00754711"/>
    <w:rsid w:val="00757AE9"/>
    <w:rsid w:val="00764439"/>
    <w:rsid w:val="00773140"/>
    <w:rsid w:val="00773AF6"/>
    <w:rsid w:val="0077478F"/>
    <w:rsid w:val="007872AA"/>
    <w:rsid w:val="0079111B"/>
    <w:rsid w:val="007958F0"/>
    <w:rsid w:val="00795F71"/>
    <w:rsid w:val="007B07F9"/>
    <w:rsid w:val="007B5CAD"/>
    <w:rsid w:val="007B7FAB"/>
    <w:rsid w:val="007C65CB"/>
    <w:rsid w:val="007D07D9"/>
    <w:rsid w:val="007E73AB"/>
    <w:rsid w:val="007E744D"/>
    <w:rsid w:val="007F199F"/>
    <w:rsid w:val="007F23C7"/>
    <w:rsid w:val="00805216"/>
    <w:rsid w:val="00807217"/>
    <w:rsid w:val="00810537"/>
    <w:rsid w:val="00816C11"/>
    <w:rsid w:val="00821056"/>
    <w:rsid w:val="008267C8"/>
    <w:rsid w:val="0085426B"/>
    <w:rsid w:val="00862AAD"/>
    <w:rsid w:val="008750B5"/>
    <w:rsid w:val="00882D56"/>
    <w:rsid w:val="00894C55"/>
    <w:rsid w:val="008B4761"/>
    <w:rsid w:val="008B5700"/>
    <w:rsid w:val="008C669F"/>
    <w:rsid w:val="008C6E29"/>
    <w:rsid w:val="008E5A2F"/>
    <w:rsid w:val="009051DE"/>
    <w:rsid w:val="00910901"/>
    <w:rsid w:val="00911EF1"/>
    <w:rsid w:val="00917128"/>
    <w:rsid w:val="0091719C"/>
    <w:rsid w:val="00924140"/>
    <w:rsid w:val="00926BC5"/>
    <w:rsid w:val="009303E0"/>
    <w:rsid w:val="0094060C"/>
    <w:rsid w:val="00956579"/>
    <w:rsid w:val="009727AD"/>
    <w:rsid w:val="0097295A"/>
    <w:rsid w:val="009739B7"/>
    <w:rsid w:val="0098091E"/>
    <w:rsid w:val="00994B2B"/>
    <w:rsid w:val="009A2654"/>
    <w:rsid w:val="009A2751"/>
    <w:rsid w:val="009C5EC9"/>
    <w:rsid w:val="009D4BC7"/>
    <w:rsid w:val="009E3346"/>
    <w:rsid w:val="009E4B39"/>
    <w:rsid w:val="009F2D99"/>
    <w:rsid w:val="009F3B12"/>
    <w:rsid w:val="009F6A96"/>
    <w:rsid w:val="00A138CB"/>
    <w:rsid w:val="00A16842"/>
    <w:rsid w:val="00A4576B"/>
    <w:rsid w:val="00A6073E"/>
    <w:rsid w:val="00A70C6C"/>
    <w:rsid w:val="00A758DD"/>
    <w:rsid w:val="00A870D8"/>
    <w:rsid w:val="00A92646"/>
    <w:rsid w:val="00AA7080"/>
    <w:rsid w:val="00AC18A8"/>
    <w:rsid w:val="00AE5567"/>
    <w:rsid w:val="00B16480"/>
    <w:rsid w:val="00B2165C"/>
    <w:rsid w:val="00B37A9A"/>
    <w:rsid w:val="00B42AF9"/>
    <w:rsid w:val="00B42F5E"/>
    <w:rsid w:val="00B521B5"/>
    <w:rsid w:val="00B6431E"/>
    <w:rsid w:val="00B6564C"/>
    <w:rsid w:val="00B77888"/>
    <w:rsid w:val="00B800D5"/>
    <w:rsid w:val="00B84917"/>
    <w:rsid w:val="00B87F69"/>
    <w:rsid w:val="00BA20AA"/>
    <w:rsid w:val="00BB5C47"/>
    <w:rsid w:val="00BB75BA"/>
    <w:rsid w:val="00BC7626"/>
    <w:rsid w:val="00BD4425"/>
    <w:rsid w:val="00BD7BFE"/>
    <w:rsid w:val="00BF41DB"/>
    <w:rsid w:val="00BF7E00"/>
    <w:rsid w:val="00C02AE9"/>
    <w:rsid w:val="00C05238"/>
    <w:rsid w:val="00C05B4E"/>
    <w:rsid w:val="00C1183C"/>
    <w:rsid w:val="00C25B49"/>
    <w:rsid w:val="00C25C6B"/>
    <w:rsid w:val="00C33F10"/>
    <w:rsid w:val="00C53336"/>
    <w:rsid w:val="00C53D6F"/>
    <w:rsid w:val="00C5564A"/>
    <w:rsid w:val="00C668A8"/>
    <w:rsid w:val="00C70A8F"/>
    <w:rsid w:val="00C83E1B"/>
    <w:rsid w:val="00C91511"/>
    <w:rsid w:val="00CA5B9C"/>
    <w:rsid w:val="00CC4410"/>
    <w:rsid w:val="00CE41C3"/>
    <w:rsid w:val="00CE5657"/>
    <w:rsid w:val="00CF64FE"/>
    <w:rsid w:val="00D113B1"/>
    <w:rsid w:val="00D133F8"/>
    <w:rsid w:val="00D14A3E"/>
    <w:rsid w:val="00D14E6C"/>
    <w:rsid w:val="00D16245"/>
    <w:rsid w:val="00D21343"/>
    <w:rsid w:val="00D310F0"/>
    <w:rsid w:val="00D735A2"/>
    <w:rsid w:val="00D875B3"/>
    <w:rsid w:val="00D93653"/>
    <w:rsid w:val="00DA3937"/>
    <w:rsid w:val="00DA4FE7"/>
    <w:rsid w:val="00DB60FE"/>
    <w:rsid w:val="00DD1314"/>
    <w:rsid w:val="00DD14A3"/>
    <w:rsid w:val="00DD38AF"/>
    <w:rsid w:val="00DE07C1"/>
    <w:rsid w:val="00DF0AEF"/>
    <w:rsid w:val="00E111C3"/>
    <w:rsid w:val="00E1692B"/>
    <w:rsid w:val="00E1742C"/>
    <w:rsid w:val="00E26511"/>
    <w:rsid w:val="00E3716B"/>
    <w:rsid w:val="00E474A9"/>
    <w:rsid w:val="00E760EA"/>
    <w:rsid w:val="00E8749E"/>
    <w:rsid w:val="00E90C01"/>
    <w:rsid w:val="00E90DF7"/>
    <w:rsid w:val="00E9467D"/>
    <w:rsid w:val="00E951CF"/>
    <w:rsid w:val="00EA486E"/>
    <w:rsid w:val="00EA49D1"/>
    <w:rsid w:val="00EB63C2"/>
    <w:rsid w:val="00EC350F"/>
    <w:rsid w:val="00EC68AA"/>
    <w:rsid w:val="00ED49ED"/>
    <w:rsid w:val="00EE02B9"/>
    <w:rsid w:val="00EE075B"/>
    <w:rsid w:val="00EE1AF6"/>
    <w:rsid w:val="00EF08EC"/>
    <w:rsid w:val="00EF1750"/>
    <w:rsid w:val="00F21884"/>
    <w:rsid w:val="00F240C1"/>
    <w:rsid w:val="00F32B06"/>
    <w:rsid w:val="00F37AE6"/>
    <w:rsid w:val="00F41097"/>
    <w:rsid w:val="00F47FBE"/>
    <w:rsid w:val="00F53FD3"/>
    <w:rsid w:val="00F57B0C"/>
    <w:rsid w:val="00F65079"/>
    <w:rsid w:val="00F80C61"/>
    <w:rsid w:val="00F849CB"/>
    <w:rsid w:val="00F851FA"/>
    <w:rsid w:val="00FD695B"/>
    <w:rsid w:val="00FE3FA6"/>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EE0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75B"/>
    <w:rPr>
      <w:sz w:val="20"/>
      <w:szCs w:val="20"/>
    </w:rPr>
  </w:style>
  <w:style w:type="character" w:styleId="FootnoteReference">
    <w:name w:val="footnote reference"/>
    <w:basedOn w:val="DefaultParagraphFont"/>
    <w:uiPriority w:val="99"/>
    <w:semiHidden/>
    <w:unhideWhenUsed/>
    <w:rsid w:val="00EE075B"/>
    <w:rPr>
      <w:vertAlign w:val="superscript"/>
    </w:rPr>
  </w:style>
  <w:style w:type="table" w:styleId="TableGrid">
    <w:name w:val="Table Grid"/>
    <w:basedOn w:val="TableNormal"/>
    <w:uiPriority w:val="39"/>
    <w:rsid w:val="00E1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23EE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910901"/>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34CBE"/>
    <w:rPr>
      <w:sz w:val="16"/>
      <w:szCs w:val="16"/>
    </w:rPr>
  </w:style>
  <w:style w:type="paragraph" w:styleId="CommentText">
    <w:name w:val="annotation text"/>
    <w:basedOn w:val="Normal"/>
    <w:link w:val="CommentTextChar"/>
    <w:uiPriority w:val="99"/>
    <w:semiHidden/>
    <w:unhideWhenUsed/>
    <w:rsid w:val="00034CBE"/>
    <w:pPr>
      <w:spacing w:line="240" w:lineRule="auto"/>
    </w:pPr>
    <w:rPr>
      <w:sz w:val="20"/>
      <w:szCs w:val="20"/>
    </w:rPr>
  </w:style>
  <w:style w:type="character" w:customStyle="1" w:styleId="CommentTextChar">
    <w:name w:val="Comment Text Char"/>
    <w:basedOn w:val="DefaultParagraphFont"/>
    <w:link w:val="CommentText"/>
    <w:uiPriority w:val="99"/>
    <w:semiHidden/>
    <w:rsid w:val="00034CBE"/>
    <w:rPr>
      <w:sz w:val="20"/>
      <w:szCs w:val="20"/>
    </w:rPr>
  </w:style>
  <w:style w:type="paragraph" w:styleId="CommentSubject">
    <w:name w:val="annotation subject"/>
    <w:basedOn w:val="CommentText"/>
    <w:next w:val="CommentText"/>
    <w:link w:val="CommentSubjectChar"/>
    <w:uiPriority w:val="99"/>
    <w:semiHidden/>
    <w:unhideWhenUsed/>
    <w:rsid w:val="00034CBE"/>
    <w:rPr>
      <w:b/>
      <w:bCs/>
    </w:rPr>
  </w:style>
  <w:style w:type="character" w:customStyle="1" w:styleId="CommentSubjectChar">
    <w:name w:val="Comment Subject Char"/>
    <w:basedOn w:val="CommentTextChar"/>
    <w:link w:val="CommentSubject"/>
    <w:uiPriority w:val="99"/>
    <w:semiHidden/>
    <w:rsid w:val="00034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FDEF-3E7C-496E-993C-56D065F3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14116</Words>
  <Characters>8047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2006.gada 31.oktobra noteikumos Nr.899 "Ambulatorajai ārstēšanai paredzēto zāļu un medicīnisko ierīču iegādes izdevumu kompensācijas kārtība" sākotnējās ietekmes novērtējuma ziņojums (anotā</vt:lpstr>
    </vt:vector>
  </TitlesOfParts>
  <Company>Veselības ministrija</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31.oktobra noteikumos Nr.899 "Ambulatorajai ārstēšanai paredzēto zāļu un medicīnisko ierīču iegādes izdevumu kompensācijas kārtība" sākotnējās ietekmes novērtējuma ziņojums (anotācija)</dc:title>
  <dc:subject>Anotācija</dc:subject>
  <dc:creator>Kristīna Brūvere, Lāsma Zandberga</dc:creator>
  <dc:description>67876191, Kristina.Bruvere@vm.gov.lv_x000D_
67876041, Lasma.Zandberga@vm.gov.lv</dc:description>
  <cp:lastModifiedBy>Lāsma Zandberga</cp:lastModifiedBy>
  <cp:revision>4</cp:revision>
  <cp:lastPrinted>2017-12-21T09:20:00Z</cp:lastPrinted>
  <dcterms:created xsi:type="dcterms:W3CDTF">2017-12-27T11:36:00Z</dcterms:created>
  <dcterms:modified xsi:type="dcterms:W3CDTF">2017-12-28T06:56:00Z</dcterms:modified>
</cp:coreProperties>
</file>