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E04BC" w14:textId="62395DE6" w:rsidR="009F7D8B" w:rsidRPr="009F7D8B" w:rsidRDefault="009F7D8B" w:rsidP="009F7D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3</w:t>
      </w:r>
      <w:r w:rsidRPr="009F7D8B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02389185" w14:textId="77777777" w:rsidR="009F7D8B" w:rsidRPr="009F7D8B" w:rsidRDefault="009F7D8B" w:rsidP="009F7D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9F7D8B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4F333A1D" w14:textId="77777777" w:rsidR="009F7D8B" w:rsidRPr="009F7D8B" w:rsidRDefault="009F7D8B" w:rsidP="009F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9F7D8B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9F7D8B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9F7D8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9F7D8B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</w:p>
    <w:p w14:paraId="7B49371C" w14:textId="77777777" w:rsidR="009F7D8B" w:rsidRPr="009F7D8B" w:rsidRDefault="009F7D8B" w:rsidP="009F7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D8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04CC4085" w14:textId="77777777" w:rsidR="00F35A22" w:rsidRPr="00F35A22" w:rsidRDefault="00F35A22" w:rsidP="00F35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CF36FAF" w14:textId="77777777" w:rsidR="00F35A22" w:rsidRPr="00F35A22" w:rsidRDefault="00F35A22" w:rsidP="00F35A22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0EBD0A" w14:textId="5528BD0F" w:rsidR="00C55E6E" w:rsidRPr="00F35A22" w:rsidRDefault="00F35A22" w:rsidP="00F35A22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3. </w:t>
      </w:r>
      <w:r w:rsidR="00C55E6E"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pielikums </w:t>
      </w:r>
      <w:r w:rsidR="00C55E6E"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="00C55E6E"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2016. gada 24. maija </w:t>
      </w:r>
      <w:r w:rsidR="00C55E6E"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 320</w:t>
      </w:r>
    </w:p>
    <w:p w14:paraId="755DF762" w14:textId="79264948" w:rsidR="00C55E6E" w:rsidRPr="00F35A22" w:rsidRDefault="00C55E6E" w:rsidP="00F35A22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Projektu atlases kritēriji atbalsta piešķiršanai tūrisma aktivitāšu veicināšanai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9"/>
        <w:gridCol w:w="2035"/>
        <w:gridCol w:w="2364"/>
        <w:gridCol w:w="1680"/>
        <w:gridCol w:w="1462"/>
      </w:tblGrid>
      <w:tr w:rsidR="00F35A22" w:rsidRPr="00F35A22" w14:paraId="5884BB03" w14:textId="77777777" w:rsidTr="000978FB">
        <w:trPr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86CD4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DA8E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Kritēriju grupa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55C0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A6A43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 kritērijā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5911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Maksimāli iespējamais punktu skaits grupā</w:t>
            </w:r>
          </w:p>
        </w:tc>
      </w:tr>
      <w:tr w:rsidR="00F35A22" w:rsidRPr="00F35A22" w14:paraId="736345BA" w14:textId="77777777" w:rsidTr="000978FB">
        <w:trPr>
          <w:tblCellSpacing w:w="15" w:type="dxa"/>
        </w:trPr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7075A1F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0195703" w14:textId="39F8FD93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nozare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C02C2" w14:textId="2024B903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Izmitināšana </w:t>
            </w:r>
            <w:proofErr w:type="gramStart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F3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I sadaļas 55. nodaļa)</w:t>
            </w:r>
          </w:p>
        </w:tc>
        <w:tc>
          <w:tcPr>
            <w:tcW w:w="9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E7278EA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55178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F35A22" w:rsidRPr="00F35A22" w14:paraId="42FC6A9F" w14:textId="77777777" w:rsidTr="000978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276E84E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6BADC5D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4C86F" w14:textId="4305FAB3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Ēdināšanas pakalpojumi </w:t>
            </w:r>
            <w:proofErr w:type="gramStart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F3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I sadaļas 56. nodaļa), izņemot bāru darbīb</w:t>
            </w:r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AA0C56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81A0E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1DC37F22" w14:textId="77777777" w:rsidTr="000978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8931FF0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F3D33A5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32BA4" w14:textId="576F902C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nodarbības, izklaides un atpūtas darbība </w:t>
            </w:r>
            <w:proofErr w:type="gramStart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F3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R sadaļas 93. nodaļa)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DDFF3B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4D4D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42E62235" w14:textId="77777777" w:rsidTr="000978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FF0EE13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8EA4DFC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E726C" w14:textId="6DFADE72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Lauksaimnieciskā darbība (</w:t>
            </w:r>
            <w:r w:rsidRPr="00F35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NACE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red. A sadaļas 1.</w:t>
            </w:r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nodaļa), izņemot medniecīb</w:t>
            </w:r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ar to saistītās palīgdarbības</w:t>
            </w:r>
          </w:p>
        </w:tc>
        <w:tc>
          <w:tcPr>
            <w:tcW w:w="9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863B6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2C16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66DA26D1" w14:textId="77777777" w:rsidTr="000978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B1968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A6F91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6DDC6" w14:textId="4C349BEC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Citas darbības nozares, kā </w:t>
            </w:r>
            <w:proofErr w:type="gramStart"/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 regulas</w:t>
            </w:r>
            <w:proofErr w:type="gramEnd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 </w:t>
            </w:r>
            <w:hyperlink r:id="rId6" w:tgtFrame="_blank" w:history="1">
              <w:r w:rsidRPr="00F35A22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651/2014</w:t>
              </w:r>
            </w:hyperlink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 panta 47. punktā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6D571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0701BA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04A7AA12" w14:textId="77777777" w:rsidTr="000978FB">
        <w:trPr>
          <w:tblCellSpacing w:w="15" w:type="dxa"/>
        </w:trPr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00F7E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405F" w14:textId="194E84C7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paredzēta būvniecība, pārbūve vai būves atjaunošana (punktu skaitu reizina ar attiecīgo būvniecības izdevumu proporciju no kopējiem projekta attiecināmajiem izdevumiem)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500E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Būvprojekts ar atzīmi būvatļaujā par projektēšanas nosacījumu izpildi ir iesniegts kopā ar projekta iesniegumu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D173B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0CE0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F35A22" w:rsidRPr="00F35A22" w14:paraId="2D639A6D" w14:textId="77777777" w:rsidTr="000978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2CF6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DAA96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38CC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Būvatļauja vai paskaidrojuma raksts (apliecinājuma karte) ar būvvaldes atzīmi par būvniecības ieceres akceptu ir iesniegts kopā ar projekta iesniegumu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DD124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FC30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62C104AA" w14:textId="77777777" w:rsidTr="000978FB">
        <w:trPr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80B08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C1E07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darbība nozarē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D082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pretendents sniedz tūrisma pakalpojumus ilgāk nekā trīs gadus un ir guvis ieņēmumus no tūrisma pakalpojuma sniegšanas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B62A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01FCE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35A22" w:rsidRPr="00F35A22" w14:paraId="6BC33EAC" w14:textId="77777777" w:rsidTr="000978FB">
        <w:trPr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CDE01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D8396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Saņemtais publiskais finansējums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DE650" w14:textId="1DE9CFEB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 2007.–2013. gada pasākum</w:t>
            </w:r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"Tūrisma aktivitāšu veicināšana" vai LAP 2014.–2020. gada pasākuma "Lauku saimniecību un uzņēmējdarbības 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attīstība" </w:t>
            </w:r>
            <w:proofErr w:type="spellStart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apakšpasākum</w:t>
            </w:r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proofErr w:type="spellEnd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"Atbalsts ieguldījumiem ar lauksaimniecību nesaistītu darbību radīšanā un attīstīšanā" plānošanas periodā atbalsta pretendents nav saņēmis publisko finansējumu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5638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D5CEF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F35A22" w:rsidRPr="00F35A22" w14:paraId="7EEC4BC0" w14:textId="77777777" w:rsidTr="000978FB">
        <w:trPr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84472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69BE9" w14:textId="2DDA2FAE" w:rsidR="00C55E6E" w:rsidRPr="00F35A22" w:rsidRDefault="00A061AF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Samaksā</w:t>
            </w:r>
            <w:r w:rsidR="00C55E6E"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tās nodokļu iemaksas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12F5" w14:textId="657CA33B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pretendenta pēdējā noslēgtajā gadā </w:t>
            </w:r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samaksā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tās valsts sociālās apdrošināšanas iemaksas vidēji uz vienu pēdējā noslēgtajā gadā nodarbināto (t. sk. pašnodarbinātu personu), dalītas ar simts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2E9F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8001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F35A22" w:rsidRPr="00F35A22" w14:paraId="449E0FF1" w14:textId="77777777" w:rsidTr="000978FB">
        <w:trPr>
          <w:tblCellSpacing w:w="15" w:type="dxa"/>
        </w:trPr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2F717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E0E63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Darbavietu radīšana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CE6C" w14:textId="798EE918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Izveido trīs un vairāk darbavietas (normāla darba laika)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DD2A3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6830A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F35A22" w:rsidRPr="00F35A22" w14:paraId="4DFB708B" w14:textId="77777777" w:rsidTr="000978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6D62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4AD5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752A" w14:textId="7A9135AD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 </w:t>
            </w:r>
            <w:proofErr w:type="gramStart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 darbavietas (normāla darba laika)</w:t>
            </w:r>
            <w:proofErr w:type="gramEnd"/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9B769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F7E2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7764ECB5" w14:textId="77777777" w:rsidTr="000978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5D5C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7C98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BBBD1" w14:textId="2FC526B5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 </w:t>
            </w:r>
            <w:proofErr w:type="gramStart"/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vienu darbavietu (normāla darba laika)</w:t>
            </w:r>
            <w:proofErr w:type="gramEnd"/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130A6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3FD2F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639570F6" w14:textId="77777777" w:rsidTr="000978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9C6AC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7BC7B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6883C" w14:textId="396AC725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Saglabā esošās darbavietas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53F8F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4205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6CD3F60A" w14:textId="77777777" w:rsidTr="000978FB">
        <w:trPr>
          <w:tblCellSpacing w:w="15" w:type="dxa"/>
        </w:trPr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8ED2" w14:textId="0C77EE98" w:rsidR="00C55E6E" w:rsidRPr="00F35A22" w:rsidRDefault="007A15D7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C55E6E"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CB8ED" w14:textId="5066A4AA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Apgrozījuma palielinājums pēc projekta īstenošanas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F1D22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Palielina neto apgrozījumu īstenošanas nozarē līdz 10 procentiem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D94AA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2C93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35A22" w:rsidRPr="00F35A22" w14:paraId="04BDD39D" w14:textId="77777777" w:rsidTr="000978F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DA8A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6B22F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E6494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Palielina neto apgrozījumu īstenošanas nozarē vairāk nekā par 10 procentiem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561BF" w14:textId="0CC7FFE1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katru procentpunktu virs 10 procentiem</w:t>
            </w:r>
            <w:r w:rsidR="00A061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viens punkts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D05F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2AD7857D" w14:textId="77777777" w:rsidTr="000978FB">
        <w:trPr>
          <w:trHeight w:val="825"/>
          <w:tblCellSpacing w:w="15" w:type="dxa"/>
        </w:trPr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6BCE55" w14:textId="23E0F900" w:rsidR="00C55E6E" w:rsidRPr="00F35A22" w:rsidRDefault="007A15D7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C55E6E"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FD7515F" w14:textId="6FB0005A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 ilgums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596FB9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Ilgāk par 24 mēnešiem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C1FD2C0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E4FD55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F35A22" w:rsidRPr="00F35A22" w14:paraId="7279CD1B" w14:textId="77777777" w:rsidTr="000978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928DD8F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FC885ED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699CE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12 līdz 24 mēnešiem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6354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67A7226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77D1D92A" w14:textId="77777777" w:rsidTr="000978FB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294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75A7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5200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12 mēnešiem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84AC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7694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5A22" w:rsidRPr="00F35A22" w14:paraId="67F2CABE" w14:textId="77777777" w:rsidTr="000978FB">
        <w:trPr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1273" w14:textId="5D4D9067" w:rsidR="00C55E6E" w:rsidRPr="00F35A22" w:rsidRDefault="007A15D7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C55E6E"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198B9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iesnieguma iesniegšana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CDF9" w14:textId="77777777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iesniegums iesniegts Lauku atbalsta dienesta Elektroniskās pieteikšanās sistēmā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77FD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5F708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F35A22" w:rsidRPr="00F35A22" w14:paraId="4A4CC03A" w14:textId="77777777" w:rsidTr="000978FB">
        <w:trPr>
          <w:tblCellSpacing w:w="15" w:type="dxa"/>
        </w:trPr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B6E2" w14:textId="1E96F190" w:rsidR="00C55E6E" w:rsidRPr="00F35A22" w:rsidRDefault="00C55E6E" w:rsidP="007A15D7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7A15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F077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attīstības indekss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E271" w14:textId="4E0A5D94" w:rsidR="00C55E6E" w:rsidRPr="00F35A22" w:rsidRDefault="00C55E6E" w:rsidP="000978F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projekta īstenošanas vietas (tikai par būvniecības un stacionāru iekārtu projektiem) teritorijas attīstības indekss novadam (ja tas ir negatīvs)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8E163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9915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F35A22" w:rsidRPr="00F35A22" w14:paraId="10EF4267" w14:textId="77777777" w:rsidTr="000978FB">
        <w:trPr>
          <w:tblCellSpacing w:w="15" w:type="dxa"/>
        </w:trPr>
        <w:tc>
          <w:tcPr>
            <w:tcW w:w="40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745D0" w14:textId="7EB4CB5B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7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E271C" w14:textId="77777777" w:rsidR="00C55E6E" w:rsidRPr="00F35A22" w:rsidRDefault="00C55E6E" w:rsidP="003759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207</w:t>
            </w:r>
          </w:p>
        </w:tc>
      </w:tr>
      <w:tr w:rsidR="00F35A22" w:rsidRPr="00F35A22" w14:paraId="514FD49C" w14:textId="77777777" w:rsidTr="000978F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2C1B" w14:textId="77777777" w:rsidR="00C55E6E" w:rsidRPr="00F35A22" w:rsidRDefault="00C55E6E" w:rsidP="00AC3913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Minimālais punktu skaits, lai pretendētu uz atbalstu, ir 85 punkti</w:t>
            </w:r>
          </w:p>
        </w:tc>
      </w:tr>
    </w:tbl>
    <w:p w14:paraId="7E9C457A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4C224D3C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 Piesakoties uz atbalstu vairākās nozarēs, punktus nesummē, bet piešķir lielāko punktu skaitu no projektu īstenošanas nozarēm.</w:t>
      </w:r>
    </w:p>
    <w:p w14:paraId="5AF9D0A2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 Kritēriju aprēķina, izmantojot šādu formulu: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534"/>
        <w:gridCol w:w="815"/>
      </w:tblGrid>
      <w:tr w:rsidR="00F35A22" w:rsidRPr="00F35A22" w14:paraId="171938C6" w14:textId="77777777" w:rsidTr="0037593C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3CC5CEE3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 B 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14:paraId="0B9EB3DC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266A6C8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</w:p>
        </w:tc>
      </w:tr>
      <w:tr w:rsidR="00F35A22" w:rsidRPr="00F35A22" w14:paraId="32DB82F0" w14:textId="77777777" w:rsidTr="0037593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A3CFE8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06BD82A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14:paraId="545097C7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A3AFC44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A – punktu skaits, kas aprēķināts, ņemot vērā būvniecības proporciju pret kopējiem attiecināmiem projekta izdevumiem;</w:t>
      </w:r>
    </w:p>
    <w:p w14:paraId="33EC96B1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B – punktu skaits kritērijā pēc iesniegto dokumentu veida;</w:t>
      </w:r>
    </w:p>
    <w:p w14:paraId="165DE3EA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 – projektā paredzētie būvniecības izdevumi ( </w:t>
      </w:r>
      <w:r w:rsidRPr="00F35A2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AFD32CB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 – projekta kopējie attiecināmie izdevumi ( </w:t>
      </w:r>
      <w:r w:rsidRPr="00F35A2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E9264B8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Punktus piešķir par vienu kritēriju grupā.</w:t>
      </w:r>
    </w:p>
    <w:p w14:paraId="612ED1EA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 Kritēriju aprēķina, izmantojot šādu formulu: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521"/>
        <w:gridCol w:w="1362"/>
      </w:tblGrid>
      <w:tr w:rsidR="00F35A22" w:rsidRPr="00F35A22" w14:paraId="10E78571" w14:textId="77777777" w:rsidTr="0037593C">
        <w:trPr>
          <w:tblCellSpacing w:w="15" w:type="dxa"/>
          <w:jc w:val="center"/>
        </w:trPr>
        <w:tc>
          <w:tcPr>
            <w:tcW w:w="0" w:type="auto"/>
            <w:vMerge w:val="restart"/>
            <w:noWrap/>
            <w:vAlign w:val="center"/>
            <w:hideMark/>
          </w:tcPr>
          <w:p w14:paraId="5C37ED80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14:paraId="689F2C20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3D6CC5A8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/ 100, kur</w:t>
            </w:r>
          </w:p>
        </w:tc>
      </w:tr>
      <w:tr w:rsidR="00F35A22" w:rsidRPr="00F35A22" w14:paraId="10530FFD" w14:textId="77777777" w:rsidTr="0037593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F6F780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981ACDC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A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0ED15914" w14:textId="77777777" w:rsidR="00C55E6E" w:rsidRPr="00F35A22" w:rsidRDefault="00C55E6E" w:rsidP="00F35A22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D990778" w14:textId="5F917882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A – punktu skaits, kas aprēķināts, ņemot vērā pretendenta (zemnieku saimniecībai</w:t>
      </w:r>
      <w:r w:rsidR="00A061A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arī zemnieku saimniecības īpašnieka par sevi </w:t>
      </w:r>
      <w:r w:rsidR="00A061AF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samaksā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iemaksas) pēdējā noslēgtajā gadā </w:t>
      </w:r>
      <w:r w:rsidR="00A061AF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samaksā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tās valsts sociālās apdrošināšanas iemaksas vidēji uz vienu pēdējā noslēgtajā gadā nodarbināto (t. sk. pašnodarbināto);</w:t>
      </w:r>
    </w:p>
    <w:p w14:paraId="52C06707" w14:textId="6AC8F648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 – pretendenta pēdējā noslēgtajā gadā </w:t>
      </w:r>
      <w:r w:rsidR="00A061AF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samaksā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tās valsts sociālās apdrošināšanas iemaksas;</w:t>
      </w:r>
    </w:p>
    <w:p w14:paraId="3A3D489E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C – vidējais pēdējā noslēgtajā gadā nodarbināto skaits (t. sk. pašnodarbinātie).</w:t>
      </w:r>
    </w:p>
    <w:p w14:paraId="5C179D67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Kritērija aprēķinā izmanto VID datubāzes datus.</w:t>
      </w:r>
    </w:p>
    <w:p w14:paraId="10FE679D" w14:textId="06745F71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4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Atbalsta pretendents salīdzinājumā ar pēdējo noslēgto gadu pirms projekta iesniegšanas trešajā gadā pēc projekta ieviešanas palielina neto apgrozījumu atbalstāmajā nozarē un nodrošina to visu projekta uzraudzības laiku. </w:t>
      </w:r>
      <w:r w:rsidR="00A061AF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a apgrozījumu plānots palielināt vairāk nekā par 20 %, piemēro 10 punktu.</w:t>
      </w:r>
    </w:p>
    <w:p w14:paraId="0AD9BACB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5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Laikposms, kurā pirms lēmuma pieņemšanas par projekta iesnieguma apstiprināšanu atbalsta pretendents ir lauku teritorijā reģistrējis uzņēmumu vai reģistrējies kā saimnieciskās darbības veicējs un ir guvis ieņēmumus no saimnieciskās darbības.</w:t>
      </w:r>
    </w:p>
    <w:p w14:paraId="5DDFBF88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6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 Kritēriju aprēķina, izmantojot šādu formulu:</w:t>
      </w:r>
    </w:p>
    <w:p w14:paraId="6BC3B0AD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A = B x (–10), kur</w:t>
      </w:r>
    </w:p>
    <w:p w14:paraId="4D5DC8BE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A – punktu skaits, kas aprēķināts, ņemot vērā teritorijas attīstības indeksu;</w:t>
      </w:r>
    </w:p>
    <w:p w14:paraId="21EB1072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>B – teritorijas attīstības indekss novadā, kurā notiks projekta īstenošana (būvniecība, iekārtu uzstādīšana esošā būvē).</w:t>
      </w:r>
    </w:p>
    <w:p w14:paraId="51E29CB6" w14:textId="77777777" w:rsidR="00C55E6E" w:rsidRPr="00F35A22" w:rsidRDefault="00C55E6E" w:rsidP="00F35A2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5A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7</w:t>
      </w:r>
      <w:r w:rsidRPr="00F35A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 punktu skaits ir vienāds, priekšroka pretendentam, kurš projektu īsteno teritorijā ar zemāku attīstības indeksu.</w:t>
      </w:r>
    </w:p>
    <w:p w14:paraId="7DA2CDE7" w14:textId="77777777" w:rsidR="00F83815" w:rsidRPr="00F35A22" w:rsidRDefault="00F83815" w:rsidP="00F3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51DC2" w14:textId="77777777" w:rsidR="009F7D8B" w:rsidRDefault="009F7D8B" w:rsidP="00A83E20">
      <w:pPr>
        <w:jc w:val="both"/>
        <w:rPr>
          <w:rFonts w:ascii="Times New Roman" w:eastAsia="Arial Unicode MS" w:hAnsi="Times New Roman" w:cs="Times New Roman"/>
          <w:bCs/>
          <w:sz w:val="28"/>
          <w:szCs w:val="24"/>
        </w:rPr>
      </w:pPr>
    </w:p>
    <w:p w14:paraId="6AA41516" w14:textId="25355AB2" w:rsidR="00F35A22" w:rsidRPr="009F7D8B" w:rsidRDefault="009F7D8B" w:rsidP="009F7D8B">
      <w:pPr>
        <w:ind w:firstLine="300"/>
        <w:jc w:val="both"/>
        <w:rPr>
          <w:rFonts w:ascii="Times New Roman" w:eastAsia="Arial Unicode MS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sz w:val="28"/>
          <w:szCs w:val="24"/>
        </w:rPr>
        <w:t xml:space="preserve">Zemkopības ministrs </w:t>
      </w:r>
      <w:r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="00F35A22" w:rsidRPr="009F7D8B">
        <w:rPr>
          <w:rFonts w:ascii="Times New Roman" w:eastAsia="Arial Unicode MS" w:hAnsi="Times New Roman" w:cs="Times New Roman"/>
          <w:bCs/>
          <w:sz w:val="28"/>
          <w:szCs w:val="24"/>
        </w:rPr>
        <w:tab/>
      </w:r>
      <w:r w:rsidR="00F35A22" w:rsidRPr="009F7D8B">
        <w:rPr>
          <w:rFonts w:ascii="Times New Roman" w:hAnsi="Times New Roman" w:cs="Times New Roman"/>
          <w:sz w:val="28"/>
          <w:szCs w:val="24"/>
        </w:rPr>
        <w:t>Jānis Dūklavs</w:t>
      </w:r>
    </w:p>
    <w:p w14:paraId="1CA35C73" w14:textId="294540F6" w:rsidR="00F35A22" w:rsidRPr="00A83E20" w:rsidRDefault="00F35A22" w:rsidP="000978FB">
      <w:pPr>
        <w:pStyle w:val="naisf"/>
        <w:spacing w:before="0" w:after="0"/>
        <w:ind w:firstLine="0"/>
        <w:rPr>
          <w:sz w:val="16"/>
          <w:szCs w:val="16"/>
          <w:u w:val="single"/>
        </w:rPr>
      </w:pPr>
    </w:p>
    <w:sectPr w:rsidR="00F35A22" w:rsidRPr="00A83E20" w:rsidSect="009F7D8B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F3684" w14:textId="77777777" w:rsidR="0033276E" w:rsidRDefault="0033276E" w:rsidP="00282893">
      <w:pPr>
        <w:spacing w:after="0" w:line="240" w:lineRule="auto"/>
      </w:pPr>
      <w:r>
        <w:separator/>
      </w:r>
    </w:p>
  </w:endnote>
  <w:endnote w:type="continuationSeparator" w:id="0">
    <w:p w14:paraId="36822FF0" w14:textId="77777777" w:rsidR="0033276E" w:rsidRDefault="0033276E" w:rsidP="0028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13283" w14:textId="4D5C074B" w:rsidR="00282893" w:rsidRPr="009F7D8B" w:rsidRDefault="009F7D8B" w:rsidP="009F7D8B">
    <w:pPr>
      <w:pStyle w:val="Kjene"/>
    </w:pPr>
    <w:r w:rsidRPr="009F7D8B">
      <w:rPr>
        <w:rFonts w:ascii="Times New Roman" w:hAnsi="Times New Roman" w:cs="Times New Roman"/>
        <w:sz w:val="20"/>
        <w:szCs w:val="20"/>
      </w:rPr>
      <w:t>ZMNotp3_291217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7D8A" w14:textId="643390C2" w:rsidR="009F7D8B" w:rsidRDefault="009F7D8B">
    <w:pPr>
      <w:pStyle w:val="Kjene"/>
    </w:pPr>
    <w:r w:rsidRPr="009F7D8B">
      <w:rPr>
        <w:rFonts w:ascii="Times New Roman" w:hAnsi="Times New Roman" w:cs="Times New Roman"/>
        <w:sz w:val="20"/>
        <w:szCs w:val="20"/>
      </w:rPr>
      <w:t>ZMNotp3_291217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2EA26" w14:textId="77777777" w:rsidR="0033276E" w:rsidRDefault="0033276E" w:rsidP="00282893">
      <w:pPr>
        <w:spacing w:after="0" w:line="240" w:lineRule="auto"/>
      </w:pPr>
      <w:r>
        <w:separator/>
      </w:r>
    </w:p>
  </w:footnote>
  <w:footnote w:type="continuationSeparator" w:id="0">
    <w:p w14:paraId="2D1E2838" w14:textId="77777777" w:rsidR="0033276E" w:rsidRDefault="0033276E" w:rsidP="0028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5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A84686" w14:textId="6EB7AB5B" w:rsidR="009F7D8B" w:rsidRPr="009F7D8B" w:rsidRDefault="009F7D8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9F7D8B">
          <w:rPr>
            <w:rFonts w:ascii="Times New Roman" w:hAnsi="Times New Roman" w:cs="Times New Roman"/>
            <w:sz w:val="24"/>
          </w:rPr>
          <w:fldChar w:fldCharType="begin"/>
        </w:r>
        <w:r w:rsidRPr="009F7D8B">
          <w:rPr>
            <w:rFonts w:ascii="Times New Roman" w:hAnsi="Times New Roman" w:cs="Times New Roman"/>
            <w:sz w:val="24"/>
          </w:rPr>
          <w:instrText>PAGE   \* MERGEFORMAT</w:instrText>
        </w:r>
        <w:r w:rsidRPr="009F7D8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9F7D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612AB13" w14:textId="77777777" w:rsidR="009F7D8B" w:rsidRDefault="009F7D8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C"/>
    <w:rsid w:val="000978FB"/>
    <w:rsid w:val="00282893"/>
    <w:rsid w:val="002B3DE3"/>
    <w:rsid w:val="002D4CE0"/>
    <w:rsid w:val="0033276E"/>
    <w:rsid w:val="004F13AC"/>
    <w:rsid w:val="007A15D7"/>
    <w:rsid w:val="008F61E0"/>
    <w:rsid w:val="009A71B9"/>
    <w:rsid w:val="009F7D8B"/>
    <w:rsid w:val="00A061AF"/>
    <w:rsid w:val="00A80AD6"/>
    <w:rsid w:val="00A83E20"/>
    <w:rsid w:val="00AC3913"/>
    <w:rsid w:val="00B0700D"/>
    <w:rsid w:val="00C55E6E"/>
    <w:rsid w:val="00CA4EE4"/>
    <w:rsid w:val="00D77380"/>
    <w:rsid w:val="00E27DD3"/>
    <w:rsid w:val="00EB1206"/>
    <w:rsid w:val="00F35A22"/>
    <w:rsid w:val="00F83815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8E6"/>
  <w15:chartTrackingRefBased/>
  <w15:docId w15:val="{8EB22600-9F0F-49F7-A383-812F2957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5E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55E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5E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5E6E"/>
    <w:rPr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C55E6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5E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5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f">
    <w:name w:val="naisf"/>
    <w:basedOn w:val="Parasts"/>
    <w:rsid w:val="00F35A2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282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2893"/>
  </w:style>
  <w:style w:type="paragraph" w:styleId="Kjene">
    <w:name w:val="footer"/>
    <w:basedOn w:val="Parasts"/>
    <w:link w:val="KjeneRakstz"/>
    <w:uiPriority w:val="99"/>
    <w:unhideWhenUsed/>
    <w:rsid w:val="00282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14/651/oj/?locale=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3364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3</dc:subject>
  <dc:creator>Lasma Zelca</dc:creator>
  <cp:keywords/>
  <dc:description>Zelča 67027650 _x000d_
lasma.zelca@zm.gov.lv</dc:description>
  <cp:lastModifiedBy>Sanita Žagare</cp:lastModifiedBy>
  <cp:revision>5</cp:revision>
  <dcterms:created xsi:type="dcterms:W3CDTF">2017-12-29T09:42:00Z</dcterms:created>
  <dcterms:modified xsi:type="dcterms:W3CDTF">2018-01-09T07:37:00Z</dcterms:modified>
</cp:coreProperties>
</file>