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59" w:rsidRPr="000C7259" w:rsidRDefault="00D22E24" w:rsidP="000C7259">
      <w:pPr>
        <w:jc w:val="center"/>
        <w:rPr>
          <w:rFonts w:ascii="Times New Roman" w:hAnsi="Times New Roman" w:cs="Times New Roman"/>
          <w:b/>
          <w:sz w:val="28"/>
          <w:szCs w:val="28"/>
          <w:lang w:eastAsia="lv-LV"/>
        </w:rPr>
      </w:pPr>
      <w:bookmarkStart w:id="0" w:name="_GoBack"/>
      <w:bookmarkEnd w:id="0"/>
      <w:r>
        <w:rPr>
          <w:rFonts w:ascii="Times New Roman" w:hAnsi="Times New Roman" w:cs="Times New Roman"/>
          <w:b/>
          <w:sz w:val="28"/>
          <w:szCs w:val="28"/>
          <w:lang w:eastAsia="lv-LV"/>
        </w:rPr>
        <w:t>Likumprojekta “Grozījums</w:t>
      </w:r>
      <w:r w:rsidR="000C7259" w:rsidRPr="000C7259">
        <w:rPr>
          <w:rFonts w:ascii="Times New Roman" w:hAnsi="Times New Roman" w:cs="Times New Roman"/>
          <w:b/>
          <w:sz w:val="28"/>
          <w:szCs w:val="28"/>
          <w:lang w:eastAsia="lv-LV"/>
        </w:rPr>
        <w:t xml:space="preserve"> </w:t>
      </w:r>
      <w:r w:rsidR="00DA5DEC">
        <w:rPr>
          <w:rFonts w:ascii="Times New Roman" w:hAnsi="Times New Roman" w:cs="Times New Roman"/>
          <w:b/>
          <w:sz w:val="28"/>
          <w:szCs w:val="28"/>
          <w:lang w:eastAsia="lv-LV"/>
        </w:rPr>
        <w:t>Militārā dienesta likumā</w:t>
      </w:r>
      <w:r w:rsidR="000C7259" w:rsidRPr="000C7259">
        <w:rPr>
          <w:rFonts w:ascii="Times New Roman" w:hAnsi="Times New Roman" w:cs="Times New Roman"/>
          <w:b/>
          <w:sz w:val="28"/>
          <w:szCs w:val="28"/>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C7259" w:rsidRPr="000C7259"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Tiesību akta projekta anotācijas kopsavilkums</w:t>
            </w:r>
          </w:p>
        </w:tc>
      </w:tr>
      <w:tr w:rsidR="000C7259" w:rsidRPr="000C7259" w:rsidTr="00D636E7">
        <w:tc>
          <w:tcPr>
            <w:tcW w:w="20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624181">
            <w:pPr>
              <w:rPr>
                <w:rFonts w:ascii="Times New Roman" w:hAnsi="Times New Roman" w:cs="Times New Roman"/>
                <w:sz w:val="28"/>
                <w:szCs w:val="28"/>
              </w:rPr>
            </w:pPr>
            <w:r w:rsidRPr="000C7259">
              <w:rPr>
                <w:rFonts w:ascii="Times New Roman" w:hAnsi="Times New Roman" w:cs="Times New Roman"/>
                <w:sz w:val="28"/>
                <w:szCs w:val="28"/>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rsidR="005A67EE" w:rsidRPr="005A67EE" w:rsidRDefault="00D22E24" w:rsidP="005A67EE">
            <w:pPr>
              <w:spacing w:after="0" w:line="240" w:lineRule="auto"/>
              <w:ind w:right="102" w:firstLine="307"/>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Ar likumprojektu “Grozījums</w:t>
            </w:r>
            <w:r w:rsidR="005A67EE" w:rsidRPr="005A67EE">
              <w:rPr>
                <w:rFonts w:ascii="Times New Roman" w:eastAsia="Times New Roman" w:hAnsi="Times New Roman" w:cs="Times New Roman"/>
                <w:sz w:val="28"/>
                <w:szCs w:val="28"/>
                <w:lang w:eastAsia="lv-LV"/>
              </w:rPr>
              <w:t xml:space="preserve"> </w:t>
            </w:r>
            <w:r w:rsidR="005A67EE">
              <w:rPr>
                <w:rFonts w:ascii="Times New Roman" w:eastAsia="Times New Roman" w:hAnsi="Times New Roman" w:cs="Times New Roman"/>
                <w:sz w:val="28"/>
                <w:szCs w:val="28"/>
                <w:lang w:eastAsia="lv-LV"/>
              </w:rPr>
              <w:t>Militārā dienesta</w:t>
            </w:r>
            <w:r w:rsidR="005A67EE" w:rsidRPr="005A67EE">
              <w:rPr>
                <w:rFonts w:ascii="Times New Roman" w:eastAsia="Times New Roman" w:hAnsi="Times New Roman" w:cs="Times New Roman"/>
                <w:sz w:val="28"/>
                <w:szCs w:val="28"/>
                <w:lang w:eastAsia="lv-LV"/>
              </w:rPr>
              <w:t xml:space="preserve"> likumā” (turpmāk – Likumprojekts) paredzēts</w:t>
            </w:r>
            <w:r w:rsidR="005A67EE" w:rsidRPr="005A67EE">
              <w:rPr>
                <w:rFonts w:ascii="Times New Roman" w:hAnsi="Times New Roman" w:cs="Times New Roman"/>
                <w:bCs/>
                <w:sz w:val="28"/>
                <w:szCs w:val="28"/>
              </w:rPr>
              <w:t xml:space="preserve"> precizēt </w:t>
            </w:r>
            <w:r w:rsidR="001E42EB">
              <w:rPr>
                <w:rFonts w:ascii="Times New Roman" w:eastAsia="Times New Roman" w:hAnsi="Times New Roman" w:cs="Times New Roman"/>
                <w:sz w:val="28"/>
                <w:szCs w:val="28"/>
                <w:lang w:eastAsia="lv-LV"/>
              </w:rPr>
              <w:t>Militārā dienesta</w:t>
            </w:r>
            <w:r w:rsidR="005A67EE" w:rsidRPr="005A67EE">
              <w:rPr>
                <w:rFonts w:ascii="Times New Roman" w:hAnsi="Times New Roman" w:cs="Times New Roman"/>
                <w:bCs/>
                <w:sz w:val="28"/>
                <w:szCs w:val="28"/>
              </w:rPr>
              <w:t xml:space="preserve"> likuma </w:t>
            </w:r>
            <w:r w:rsidR="001E42EB">
              <w:rPr>
                <w:rFonts w:ascii="Times New Roman" w:hAnsi="Times New Roman" w:cs="Times New Roman"/>
                <w:bCs/>
                <w:sz w:val="28"/>
                <w:szCs w:val="28"/>
              </w:rPr>
              <w:t>66</w:t>
            </w:r>
            <w:r w:rsidR="005A67EE" w:rsidRPr="005A67EE">
              <w:rPr>
                <w:rFonts w:ascii="Times New Roman" w:hAnsi="Times New Roman" w:cs="Times New Roman"/>
                <w:bCs/>
                <w:sz w:val="28"/>
                <w:szCs w:val="28"/>
              </w:rPr>
              <w:t xml:space="preserve">.pantā  ietverto </w:t>
            </w:r>
            <w:r w:rsidR="005A67EE">
              <w:rPr>
                <w:rFonts w:ascii="Times New Roman" w:hAnsi="Times New Roman" w:cs="Times New Roman"/>
                <w:bCs/>
                <w:sz w:val="28"/>
                <w:szCs w:val="28"/>
              </w:rPr>
              <w:t>regulējumu, nosakot</w:t>
            </w:r>
            <w:r w:rsidR="001E42EB">
              <w:rPr>
                <w:rFonts w:ascii="Times New Roman" w:hAnsi="Times New Roman" w:cs="Times New Roman"/>
                <w:bCs/>
                <w:sz w:val="28"/>
                <w:szCs w:val="28"/>
              </w:rPr>
              <w:t xml:space="preserve">, ka </w:t>
            </w:r>
            <w:r w:rsidR="005A67EE">
              <w:rPr>
                <w:rFonts w:ascii="Times New Roman" w:hAnsi="Times New Roman" w:cs="Times New Roman"/>
                <w:bCs/>
                <w:sz w:val="28"/>
                <w:szCs w:val="28"/>
              </w:rPr>
              <w:t xml:space="preserve"> </w:t>
            </w:r>
            <w:r w:rsidR="005A67EE" w:rsidRPr="005A67EE">
              <w:rPr>
                <w:rFonts w:ascii="Times New Roman" w:hAnsi="Times New Roman" w:cs="Times New Roman"/>
                <w:bCs/>
                <w:sz w:val="28"/>
                <w:szCs w:val="28"/>
              </w:rPr>
              <w:t xml:space="preserve">darba devējs pēc savas izvēles var izmaksāt </w:t>
            </w:r>
            <w:r w:rsidR="005A67EE" w:rsidRPr="005A67EE">
              <w:rPr>
                <w:rFonts w:ascii="Times New Roman" w:hAnsi="Times New Roman" w:cs="Times New Roman"/>
                <w:sz w:val="28"/>
                <w:szCs w:val="28"/>
              </w:rPr>
              <w:t xml:space="preserve">darbiniekam atlīdzību (darba samaksu vai vidējo izpeļņu), kurš iepriekš par to paziņojot darba devējam, neveic darbu sakarā ar </w:t>
            </w:r>
            <w:r w:rsidR="001E42EB">
              <w:rPr>
                <w:rFonts w:ascii="Times New Roman" w:hAnsi="Times New Roman" w:cs="Times New Roman"/>
                <w:sz w:val="28"/>
                <w:szCs w:val="28"/>
              </w:rPr>
              <w:t>rezerves karavīra militārajām</w:t>
            </w:r>
            <w:r w:rsidR="005A67EE" w:rsidRPr="005A67EE">
              <w:rPr>
                <w:rFonts w:ascii="Times New Roman" w:hAnsi="Times New Roman" w:cs="Times New Roman"/>
                <w:sz w:val="28"/>
                <w:szCs w:val="28"/>
              </w:rPr>
              <w:t xml:space="preserve"> </w:t>
            </w:r>
            <w:r w:rsidR="001E42EB">
              <w:rPr>
                <w:rFonts w:ascii="Times New Roman" w:hAnsi="Times New Roman" w:cs="Times New Roman"/>
                <w:sz w:val="28"/>
                <w:szCs w:val="28"/>
              </w:rPr>
              <w:t>mācībām</w:t>
            </w:r>
            <w:r w:rsidR="005A67EE" w:rsidRPr="005A67EE">
              <w:rPr>
                <w:rFonts w:ascii="Times New Roman" w:hAnsi="Times New Roman" w:cs="Times New Roman"/>
                <w:sz w:val="28"/>
                <w:szCs w:val="28"/>
              </w:rPr>
              <w:t>.</w:t>
            </w:r>
          </w:p>
          <w:p w:rsidR="005A67EE" w:rsidRPr="005A67EE" w:rsidRDefault="005A67EE" w:rsidP="005A67EE">
            <w:pPr>
              <w:spacing w:after="0" w:line="240" w:lineRule="auto"/>
              <w:ind w:right="102" w:firstLine="307"/>
              <w:jc w:val="both"/>
              <w:rPr>
                <w:rFonts w:ascii="Times New Roman" w:hAnsi="Times New Roman" w:cs="Times New Roman"/>
                <w:sz w:val="28"/>
                <w:szCs w:val="28"/>
              </w:rPr>
            </w:pPr>
            <w:r w:rsidRPr="005A67EE">
              <w:rPr>
                <w:rFonts w:ascii="Times New Roman" w:eastAsia="Times New Roman" w:hAnsi="Times New Roman" w:cs="Times New Roman"/>
                <w:sz w:val="28"/>
                <w:szCs w:val="28"/>
                <w:lang w:eastAsia="lv-LV"/>
              </w:rPr>
              <w:t xml:space="preserve">Likumprojekta mērķis ir </w:t>
            </w:r>
            <w:r w:rsidR="001E42EB">
              <w:rPr>
                <w:rFonts w:ascii="Times New Roman" w:eastAsia="Times New Roman" w:hAnsi="Times New Roman" w:cs="Times New Roman"/>
                <w:sz w:val="28"/>
                <w:szCs w:val="28"/>
                <w:lang w:eastAsia="lv-LV"/>
              </w:rPr>
              <w:t>Militārā dienesta</w:t>
            </w:r>
            <w:r w:rsidRPr="005A67EE">
              <w:rPr>
                <w:rFonts w:ascii="Times New Roman" w:eastAsia="Times New Roman" w:hAnsi="Times New Roman" w:cs="Times New Roman"/>
                <w:sz w:val="28"/>
                <w:szCs w:val="28"/>
                <w:lang w:eastAsia="lv-LV"/>
              </w:rPr>
              <w:t xml:space="preserve"> likumā </w:t>
            </w:r>
            <w:r w:rsidR="005D6295">
              <w:rPr>
                <w:rFonts w:ascii="Times New Roman" w:eastAsia="Times New Roman" w:hAnsi="Times New Roman" w:cs="Times New Roman"/>
                <w:sz w:val="28"/>
                <w:szCs w:val="28"/>
                <w:lang w:eastAsia="lv-LV"/>
              </w:rPr>
              <w:t>skaidri noteikt, ka darba devējam ir pienākums atbrīvot no darba pienākumu veikšanas</w:t>
            </w:r>
            <w:r w:rsidRPr="005A67EE">
              <w:rPr>
                <w:rFonts w:ascii="Times New Roman" w:eastAsia="Times New Roman" w:hAnsi="Times New Roman" w:cs="Times New Roman"/>
                <w:sz w:val="28"/>
                <w:szCs w:val="28"/>
                <w:lang w:eastAsia="lv-LV"/>
              </w:rPr>
              <w:t xml:space="preserve"> darbinieku, kurš </w:t>
            </w:r>
            <w:r w:rsidR="001E42EB">
              <w:rPr>
                <w:rFonts w:ascii="Times New Roman" w:eastAsia="Times New Roman" w:hAnsi="Times New Roman" w:cs="Times New Roman"/>
                <w:sz w:val="28"/>
                <w:szCs w:val="28"/>
                <w:lang w:eastAsia="lv-LV"/>
              </w:rPr>
              <w:t xml:space="preserve">darba laikā </w:t>
            </w:r>
            <w:r w:rsidRPr="005A67EE">
              <w:rPr>
                <w:rFonts w:ascii="Times New Roman" w:eastAsia="Times New Roman" w:hAnsi="Times New Roman" w:cs="Times New Roman"/>
                <w:sz w:val="28"/>
                <w:szCs w:val="28"/>
                <w:lang w:eastAsia="lv-LV"/>
              </w:rPr>
              <w:t xml:space="preserve">tiek iesaistīts </w:t>
            </w:r>
            <w:r w:rsidR="001E42EB">
              <w:rPr>
                <w:rFonts w:ascii="Times New Roman" w:eastAsia="Times New Roman" w:hAnsi="Times New Roman" w:cs="Times New Roman"/>
                <w:sz w:val="28"/>
                <w:szCs w:val="28"/>
                <w:lang w:eastAsia="lv-LV"/>
              </w:rPr>
              <w:t>rezerves karavīru militārajās</w:t>
            </w:r>
            <w:r w:rsidRPr="005A67EE">
              <w:rPr>
                <w:rFonts w:ascii="Times New Roman" w:eastAsia="Times New Roman" w:hAnsi="Times New Roman" w:cs="Times New Roman"/>
                <w:sz w:val="28"/>
                <w:szCs w:val="28"/>
                <w:lang w:eastAsia="lv-LV"/>
              </w:rPr>
              <w:t xml:space="preserve"> mācībā</w:t>
            </w:r>
            <w:r w:rsidR="001E42EB">
              <w:rPr>
                <w:rFonts w:ascii="Times New Roman" w:eastAsia="Times New Roman" w:hAnsi="Times New Roman" w:cs="Times New Roman"/>
                <w:sz w:val="28"/>
                <w:szCs w:val="28"/>
                <w:lang w:eastAsia="lv-LV"/>
              </w:rPr>
              <w:t>s</w:t>
            </w:r>
            <w:r w:rsidRPr="005A67EE">
              <w:rPr>
                <w:rFonts w:ascii="Times New Roman" w:eastAsia="Times New Roman" w:hAnsi="Times New Roman" w:cs="Times New Roman"/>
                <w:sz w:val="28"/>
                <w:szCs w:val="28"/>
                <w:lang w:eastAsia="lv-LV"/>
              </w:rPr>
              <w:t>, attaisnojoša iemesla dēļ, kas ir noteikts Darba likuma 74.pantā, jo šis gadījums ir raksturojams kā darbinieka darbības visas sabiedrības interesēs, proti, šajā gadījumā valsts aizsardzības interesēs. Tāpat šie grozījumi paredz iespēju darba devējam savu finansiālo iespēju un brīvas izvēles, kā arī iekšējas pārliecības ietvaros darbiniekam, kurš neveic darbu sakarā ar zemessarga apmācību, izmaksāt atlīdzību.</w:t>
            </w:r>
          </w:p>
          <w:p w:rsidR="001039BA" w:rsidRPr="00C275E5" w:rsidRDefault="005A67EE" w:rsidP="005A67EE">
            <w:pPr>
              <w:spacing w:after="0" w:line="240" w:lineRule="auto"/>
              <w:ind w:right="102"/>
              <w:jc w:val="both"/>
              <w:rPr>
                <w:rFonts w:ascii="Times New Roman" w:hAnsi="Times New Roman" w:cs="Times New Roman"/>
                <w:color w:val="000000" w:themeColor="text1"/>
                <w:sz w:val="28"/>
                <w:szCs w:val="28"/>
              </w:rPr>
            </w:pPr>
            <w:r w:rsidRPr="005A67EE">
              <w:rPr>
                <w:rFonts w:ascii="Times New Roman" w:hAnsi="Times New Roman" w:cs="Times New Roman"/>
                <w:sz w:val="28"/>
                <w:szCs w:val="28"/>
              </w:rPr>
              <w:t>Likumprojekta spēkā stāšanās paredzēta normatīvajos aktos noteiktajā vispārējā kārtībā, neparedzot konkrētu spēkā stāšanās datumu.</w:t>
            </w:r>
          </w:p>
        </w:tc>
      </w:tr>
    </w:tbl>
    <w:p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I. Tiesību akta projekta izstrādes nepieciešamība</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517203" w:rsidRDefault="00D636E7">
            <w:pPr>
              <w:rPr>
                <w:rFonts w:ascii="Times New Roman" w:hAnsi="Times New Roman" w:cs="Times New Roman"/>
                <w:sz w:val="28"/>
                <w:szCs w:val="28"/>
              </w:rPr>
            </w:pPr>
            <w:r w:rsidRPr="000C7259">
              <w:rPr>
                <w:rFonts w:ascii="Times New Roman" w:hAnsi="Times New Roman" w:cs="Times New Roman"/>
                <w:sz w:val="28"/>
                <w:szCs w:val="28"/>
              </w:rPr>
              <w:t>Pamatojums</w:t>
            </w:r>
          </w:p>
          <w:p w:rsidR="00517203" w:rsidRPr="00517203" w:rsidRDefault="00517203" w:rsidP="00517203">
            <w:pPr>
              <w:rPr>
                <w:rFonts w:ascii="Times New Roman" w:hAnsi="Times New Roman" w:cs="Times New Roman"/>
                <w:sz w:val="28"/>
                <w:szCs w:val="28"/>
              </w:rPr>
            </w:pPr>
          </w:p>
          <w:p w:rsidR="00517203" w:rsidRPr="00517203" w:rsidRDefault="00517203" w:rsidP="00517203">
            <w:pPr>
              <w:rPr>
                <w:rFonts w:ascii="Times New Roman" w:hAnsi="Times New Roman" w:cs="Times New Roman"/>
                <w:sz w:val="28"/>
                <w:szCs w:val="28"/>
              </w:rPr>
            </w:pPr>
          </w:p>
          <w:p w:rsidR="00517203" w:rsidRPr="00517203" w:rsidRDefault="00517203" w:rsidP="00517203">
            <w:pPr>
              <w:rPr>
                <w:rFonts w:ascii="Times New Roman" w:hAnsi="Times New Roman" w:cs="Times New Roman"/>
                <w:sz w:val="28"/>
                <w:szCs w:val="28"/>
              </w:rPr>
            </w:pPr>
          </w:p>
          <w:p w:rsidR="00517203" w:rsidRPr="00517203" w:rsidRDefault="00517203" w:rsidP="00517203">
            <w:pPr>
              <w:rPr>
                <w:rFonts w:ascii="Times New Roman" w:hAnsi="Times New Roman" w:cs="Times New Roman"/>
                <w:sz w:val="28"/>
                <w:szCs w:val="28"/>
              </w:rPr>
            </w:pPr>
          </w:p>
          <w:p w:rsidR="00517203" w:rsidRPr="00517203" w:rsidRDefault="00517203" w:rsidP="00517203">
            <w:pPr>
              <w:rPr>
                <w:rFonts w:ascii="Times New Roman" w:hAnsi="Times New Roman" w:cs="Times New Roman"/>
                <w:sz w:val="28"/>
                <w:szCs w:val="28"/>
              </w:rPr>
            </w:pPr>
          </w:p>
          <w:p w:rsidR="00D636E7" w:rsidRPr="00517203" w:rsidRDefault="00D636E7" w:rsidP="00517203">
            <w:pPr>
              <w:ind w:firstLine="720"/>
              <w:rPr>
                <w:rFonts w:ascii="Times New Roman" w:hAnsi="Times New Roman" w:cs="Times New Roman"/>
                <w:sz w:val="28"/>
                <w:szCs w:val="28"/>
              </w:rPr>
            </w:pPr>
          </w:p>
        </w:tc>
        <w:tc>
          <w:tcPr>
            <w:tcW w:w="3000" w:type="pct"/>
            <w:tcBorders>
              <w:top w:val="outset" w:sz="6" w:space="0" w:color="414142"/>
              <w:left w:val="outset" w:sz="6" w:space="0" w:color="414142"/>
              <w:bottom w:val="outset" w:sz="6" w:space="0" w:color="414142"/>
              <w:right w:val="outset" w:sz="6" w:space="0" w:color="414142"/>
            </w:tcBorders>
            <w:hideMark/>
          </w:tcPr>
          <w:p w:rsidR="006B3C6A" w:rsidRPr="000C7259" w:rsidRDefault="002714AA" w:rsidP="00083F56">
            <w:pPr>
              <w:spacing w:after="0" w:line="240" w:lineRule="auto"/>
              <w:ind w:right="102"/>
              <w:jc w:val="both"/>
              <w:rPr>
                <w:rFonts w:ascii="Times New Roman" w:hAnsi="Times New Roman" w:cs="Times New Roman"/>
                <w:sz w:val="28"/>
                <w:szCs w:val="28"/>
              </w:rPr>
            </w:pPr>
            <w:r w:rsidRPr="00E41851">
              <w:rPr>
                <w:rFonts w:ascii="Times New Roman" w:eastAsia="Times New Roman" w:hAnsi="Times New Roman" w:cs="Times New Roman"/>
                <w:sz w:val="28"/>
                <w:szCs w:val="28"/>
                <w:lang w:eastAsia="lv-LV"/>
              </w:rPr>
              <w:lastRenderedPageBreak/>
              <w:t xml:space="preserve">Ministru kabineta 2017.gada 19.decembra protokollēmuma Nr.63 63.§ (TA-1511) “Informatīvais ziņojums “Par valdības rīcības plāna 2016.gadam 77.punkta “Izstrādāt priekšlikumus ekonomiskajiem stimuliem uzņēmējiem, lai motivētu viņu darbinieku regulāru piedalīšanos Zemessardzes mācībās” izpildes organizēšanu”” (turpmāk – Ministru kabineta 2017.gada 19.decembra protokollēmums) 2. punkts paredz </w:t>
            </w:r>
            <w:r w:rsidRPr="00E41851">
              <w:rPr>
                <w:rFonts w:ascii="Times New Roman" w:eastAsia="Times New Roman" w:hAnsi="Times New Roman" w:cs="Times New Roman"/>
                <w:sz w:val="28"/>
                <w:szCs w:val="28"/>
                <w:lang w:eastAsia="lv-LV"/>
              </w:rPr>
              <w:lastRenderedPageBreak/>
              <w:t>Aizsardzības ministrijai līdz 2018.gada 1.martam sagatavot nepieciešamos grozījumus Militārā dienesta likumā, Latvijas Republikas Zemessardzes likumā, Darba likumā un Valsts un pašvaldību institūciju amatpersonu un darbinieku atlīdzības likumā, lai darba devējiem nodrošinātu iespēju piešķirt uz militāro mācību laiku apmaksātu mācību atvaļinājumu vai papildus atvaļinājumu rezerves karavīriem un zemessargiem. Ar nosacījumu, ka grozījumi Valsts un pašvaldību institūciju amatpersonu un darbinieku atlīdzības likumā īstenojami institūcijām piešķirto resursu ietvaros un tas nav pamats papildu finansējuma pieprasīšanai konkrēto pasākumu īstenošanai.</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rPr>
                <w:rFonts w:ascii="Times New Roman" w:hAnsi="Times New Roman" w:cs="Times New Roman"/>
                <w:sz w:val="28"/>
                <w:szCs w:val="28"/>
              </w:rPr>
            </w:pPr>
            <w:r w:rsidRPr="000C7259">
              <w:rPr>
                <w:rFonts w:ascii="Times New Roman" w:hAnsi="Times New Roman" w:cs="Times New Roman"/>
                <w:sz w:val="28"/>
                <w:szCs w:val="28"/>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827743" w:rsidRPr="00827743" w:rsidRDefault="00827743" w:rsidP="00827743">
            <w:pPr>
              <w:spacing w:after="0" w:line="240" w:lineRule="auto"/>
              <w:ind w:right="102" w:firstLine="536"/>
              <w:jc w:val="both"/>
              <w:rPr>
                <w:rFonts w:ascii="Times New Roman" w:eastAsia="Times New Roman" w:hAnsi="Times New Roman" w:cs="Times New Roman"/>
                <w:sz w:val="28"/>
                <w:szCs w:val="28"/>
                <w:lang w:eastAsia="lv-LV"/>
              </w:rPr>
            </w:pPr>
            <w:r w:rsidRPr="00827743">
              <w:rPr>
                <w:rFonts w:ascii="Times New Roman" w:eastAsia="Times New Roman" w:hAnsi="Times New Roman" w:cs="Times New Roman"/>
                <w:sz w:val="28"/>
                <w:szCs w:val="28"/>
                <w:lang w:eastAsia="lv-LV"/>
              </w:rPr>
              <w:t>Aizsardzības ministrija jau ilgstoši un mērķtiecīgi strādā pie Nacionālo bruņoto spēku (turpmāk – NBS), tajā skaitā - Zemessardzes attīstības, attiecīgi reflektējot  uz zemessargu un rezerves karavīru sagatavotības līmeņa uzlabošanu un paaugstināšanu. Šis process tiek nodrošināts uzlabojot un aktīvāk iesaistot zemessargus un rezerves karavīrus militārajās mācībās. Lai paaugstinātu NBS kaujas spējas un nodrošinātu plānveida militāro apmācību norisi, nepieciešams uzsākt visaptverošu un ilgtspējīgu darba devēju un darba ņēmēju interešu sabalansēšanu, sākotnēji definējot un strukturizējot zemessargu un rezerves karavīru militāro mācību statusu un lomu darba devēja un darbinieka savstarpējās tiesiskajās attiecībās, nosakot šī brīža ekonomiskajai situācijai pusēm pieņemamu un akceptējamu risinājumu. Izveidojot tiesisku platformu nākotnē iespējamai darba devēju, pie kuriem strādā zemessargi un rezerves karavīri, motivēšanai, izmantojot gan finanšu, gan cita veida instrumentus. Tas pats ir attiecināms uz zemessargu un rezerves karavīru motivēšanu aktīvāk piedalīties militārajās mācībās.</w:t>
            </w:r>
          </w:p>
          <w:p w:rsidR="00827743" w:rsidRPr="00827743" w:rsidRDefault="00D4092F" w:rsidP="00827743">
            <w:pPr>
              <w:spacing w:after="0" w:line="240" w:lineRule="auto"/>
              <w:ind w:right="102" w:firstLine="5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Militārā dienesta likuma 66.panta septītajā daļā ir noteikts, ka</w:t>
            </w:r>
            <w:r w:rsidR="00827743" w:rsidRPr="00827743">
              <w:rPr>
                <w:rFonts w:ascii="Times New Roman" w:eastAsia="Times New Roman" w:hAnsi="Times New Roman" w:cs="Times New Roman"/>
                <w:sz w:val="28"/>
                <w:szCs w:val="28"/>
                <w:lang w:eastAsia="lv-LV"/>
              </w:rPr>
              <w:t xml:space="preserve"> </w:t>
            </w:r>
            <w:r w:rsidR="00827743">
              <w:rPr>
                <w:rFonts w:ascii="Times New Roman" w:eastAsia="Times New Roman" w:hAnsi="Times New Roman" w:cs="Times New Roman"/>
                <w:sz w:val="28"/>
                <w:szCs w:val="28"/>
                <w:lang w:eastAsia="lv-LV"/>
              </w:rPr>
              <w:t>rezerves karavīr</w:t>
            </w:r>
            <w:r>
              <w:rPr>
                <w:rFonts w:ascii="Times New Roman" w:eastAsia="Times New Roman" w:hAnsi="Times New Roman" w:cs="Times New Roman"/>
                <w:sz w:val="28"/>
                <w:szCs w:val="28"/>
                <w:lang w:eastAsia="lv-LV"/>
              </w:rPr>
              <w:t>a</w:t>
            </w:r>
            <w:r w:rsidR="00827743">
              <w:rPr>
                <w:rFonts w:ascii="Times New Roman" w:eastAsia="Times New Roman" w:hAnsi="Times New Roman" w:cs="Times New Roman"/>
                <w:sz w:val="28"/>
                <w:szCs w:val="28"/>
                <w:lang w:eastAsia="lv-LV"/>
              </w:rPr>
              <w:t>m</w:t>
            </w:r>
            <w:r w:rsidR="00827743" w:rsidRPr="00827743">
              <w:rPr>
                <w:rFonts w:ascii="Times New Roman" w:eastAsia="Times New Roman" w:hAnsi="Times New Roman" w:cs="Times New Roman"/>
                <w:sz w:val="28"/>
                <w:szCs w:val="28"/>
                <w:lang w:eastAsia="lv-LV"/>
              </w:rPr>
              <w:t>, kur</w:t>
            </w:r>
            <w:r>
              <w:rPr>
                <w:rFonts w:ascii="Times New Roman" w:eastAsia="Times New Roman" w:hAnsi="Times New Roman" w:cs="Times New Roman"/>
                <w:sz w:val="28"/>
                <w:szCs w:val="28"/>
                <w:lang w:eastAsia="lv-LV"/>
              </w:rPr>
              <w:t xml:space="preserve">š </w:t>
            </w:r>
            <w:r w:rsidR="00827743">
              <w:rPr>
                <w:rFonts w:ascii="Times New Roman" w:eastAsia="Times New Roman" w:hAnsi="Times New Roman" w:cs="Times New Roman"/>
                <w:sz w:val="28"/>
                <w:szCs w:val="28"/>
                <w:lang w:eastAsia="lv-LV"/>
              </w:rPr>
              <w:t>ti</w:t>
            </w:r>
            <w:r>
              <w:rPr>
                <w:rFonts w:ascii="Times New Roman" w:eastAsia="Times New Roman" w:hAnsi="Times New Roman" w:cs="Times New Roman"/>
                <w:sz w:val="28"/>
                <w:szCs w:val="28"/>
                <w:lang w:eastAsia="lv-LV"/>
              </w:rPr>
              <w:t>ek</w:t>
            </w:r>
            <w:r w:rsidR="00827743">
              <w:rPr>
                <w:rFonts w:ascii="Times New Roman" w:eastAsia="Times New Roman" w:hAnsi="Times New Roman" w:cs="Times New Roman"/>
                <w:sz w:val="28"/>
                <w:szCs w:val="28"/>
                <w:lang w:eastAsia="lv-LV"/>
              </w:rPr>
              <w:t xml:space="preserve"> </w:t>
            </w:r>
            <w:r w:rsidR="00827743">
              <w:rPr>
                <w:rFonts w:ascii="Times New Roman" w:eastAsia="Times New Roman" w:hAnsi="Times New Roman" w:cs="Times New Roman"/>
                <w:sz w:val="28"/>
                <w:szCs w:val="28"/>
                <w:lang w:eastAsia="lv-LV"/>
              </w:rPr>
              <w:lastRenderedPageBreak/>
              <w:t>iesaist</w:t>
            </w:r>
            <w:r>
              <w:rPr>
                <w:rFonts w:ascii="Times New Roman" w:eastAsia="Times New Roman" w:hAnsi="Times New Roman" w:cs="Times New Roman"/>
                <w:sz w:val="28"/>
                <w:szCs w:val="28"/>
                <w:lang w:eastAsia="lv-LV"/>
              </w:rPr>
              <w:t>īts</w:t>
            </w:r>
            <w:r w:rsidR="00827743">
              <w:rPr>
                <w:rFonts w:ascii="Times New Roman" w:eastAsia="Times New Roman" w:hAnsi="Times New Roman" w:cs="Times New Roman"/>
                <w:sz w:val="28"/>
                <w:szCs w:val="28"/>
                <w:lang w:eastAsia="lv-LV"/>
              </w:rPr>
              <w:t xml:space="preserve"> militārajās mācībās</w:t>
            </w:r>
            <w:r w:rsidR="00827743" w:rsidRPr="00827743">
              <w:rPr>
                <w:rFonts w:ascii="Times New Roman" w:eastAsia="Times New Roman" w:hAnsi="Times New Roman" w:cs="Times New Roman"/>
                <w:sz w:val="28"/>
                <w:szCs w:val="28"/>
                <w:lang w:eastAsia="lv-LV"/>
              </w:rPr>
              <w:t xml:space="preserve">, darba devējs </w:t>
            </w:r>
            <w:r>
              <w:rPr>
                <w:rFonts w:ascii="Times New Roman" w:eastAsia="Times New Roman" w:hAnsi="Times New Roman" w:cs="Times New Roman"/>
                <w:sz w:val="28"/>
                <w:szCs w:val="28"/>
                <w:lang w:eastAsia="lv-LV"/>
              </w:rPr>
              <w:t xml:space="preserve">uz mācību laiku </w:t>
            </w:r>
            <w:r w:rsidR="00827743" w:rsidRPr="00827743">
              <w:rPr>
                <w:rFonts w:ascii="Times New Roman" w:eastAsia="Times New Roman" w:hAnsi="Times New Roman" w:cs="Times New Roman"/>
                <w:sz w:val="28"/>
                <w:szCs w:val="28"/>
                <w:lang w:eastAsia="lv-LV"/>
              </w:rPr>
              <w:t xml:space="preserve">piešķir atvaļinājumu bez darba samaksas saglabāšanas. Tāpat darba devējam </w:t>
            </w:r>
            <w:r w:rsidR="00227982">
              <w:rPr>
                <w:rFonts w:ascii="Times New Roman" w:eastAsia="Times New Roman" w:hAnsi="Times New Roman" w:cs="Times New Roman"/>
                <w:sz w:val="28"/>
                <w:szCs w:val="28"/>
                <w:lang w:eastAsia="lv-LV"/>
              </w:rPr>
              <w:t>ir</w:t>
            </w:r>
            <w:r w:rsidR="00827743" w:rsidRPr="00827743">
              <w:rPr>
                <w:rFonts w:ascii="Times New Roman" w:eastAsia="Times New Roman" w:hAnsi="Times New Roman" w:cs="Times New Roman"/>
                <w:sz w:val="28"/>
                <w:szCs w:val="28"/>
                <w:lang w:eastAsia="lv-LV"/>
              </w:rPr>
              <w:t xml:space="preserve"> saistošs pienākums uz </w:t>
            </w:r>
            <w:r w:rsidR="00227982">
              <w:rPr>
                <w:rFonts w:ascii="Times New Roman" w:eastAsia="Times New Roman" w:hAnsi="Times New Roman" w:cs="Times New Roman"/>
                <w:sz w:val="28"/>
                <w:szCs w:val="28"/>
                <w:lang w:eastAsia="lv-LV"/>
              </w:rPr>
              <w:t xml:space="preserve">šo </w:t>
            </w:r>
            <w:r w:rsidR="00827743" w:rsidRPr="00827743">
              <w:rPr>
                <w:rFonts w:ascii="Times New Roman" w:eastAsia="Times New Roman" w:hAnsi="Times New Roman" w:cs="Times New Roman"/>
                <w:sz w:val="28"/>
                <w:szCs w:val="28"/>
                <w:lang w:eastAsia="lv-LV"/>
              </w:rPr>
              <w:t>atvaļinājuma laiku sagla</w:t>
            </w:r>
            <w:r w:rsidR="00227982">
              <w:rPr>
                <w:rFonts w:ascii="Times New Roman" w:eastAsia="Times New Roman" w:hAnsi="Times New Roman" w:cs="Times New Roman"/>
                <w:sz w:val="28"/>
                <w:szCs w:val="28"/>
                <w:lang w:eastAsia="lv-LV"/>
              </w:rPr>
              <w:t>bāt darbinieka iepriekšējo darba vietu un amatu.</w:t>
            </w:r>
            <w:r w:rsidR="00827743" w:rsidRPr="00827743">
              <w:rPr>
                <w:rFonts w:ascii="Times New Roman" w:eastAsia="Times New Roman" w:hAnsi="Times New Roman" w:cs="Times New Roman"/>
                <w:sz w:val="28"/>
                <w:szCs w:val="28"/>
                <w:lang w:eastAsia="lv-LV"/>
              </w:rPr>
              <w:t xml:space="preserve"> Šāds regulējums ir spēkā arī šobrīd.</w:t>
            </w:r>
          </w:p>
          <w:p w:rsidR="00C9762C" w:rsidRDefault="00C9762C" w:rsidP="00827743">
            <w:pPr>
              <w:spacing w:after="0" w:line="240" w:lineRule="auto"/>
              <w:ind w:right="102" w:firstLine="53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Darba likums šobrīd neregulē jautājumu par to, kādā veidā darba devējam būtu jāatbrīvo rezerves karavīrs no darba pienākumu pildīšanas, ja militārās mācības ir ieplānotas arī darba dienās. Savukārt Militārā dienesta likuma 66.panta septītajā daļā ir noteikts, ka uz militārajām mācībām iesauktajam rezerves karavīram darba devējs piešķir atvaļinājumu bez darba samaksas saglabāšanas, no kā ir secināms, ka šis noteikums ir attiecināms arī uz militārajām mācībām, kas noris darba dienās. Militārā dienesta likumā atsevišķi nav nodalīti ierobežojumi militāro mācību norisei darba dienās, tādēļ ir prezumējams, ka tās var notikt Militārā dienesta likuma 66.panta trešajā daļā noteikto laika vienību ietvaros, proti, virsnieka sastāva karavīriem līdz 60 dienām gada laikā, savukārt, instruktoru un kareivju sastāva karavīriem līdz 30 dienām gada laikā.</w:t>
            </w:r>
          </w:p>
          <w:p w:rsidR="00827743" w:rsidRPr="00827743" w:rsidRDefault="00827743" w:rsidP="00827743">
            <w:pPr>
              <w:spacing w:after="0" w:line="240" w:lineRule="auto"/>
              <w:ind w:right="102" w:firstLine="536"/>
              <w:jc w:val="both"/>
              <w:rPr>
                <w:rFonts w:ascii="Times New Roman" w:eastAsia="Times New Roman" w:hAnsi="Times New Roman" w:cs="Times New Roman"/>
                <w:sz w:val="28"/>
                <w:szCs w:val="28"/>
                <w:lang w:eastAsia="lv-LV"/>
              </w:rPr>
            </w:pPr>
            <w:r w:rsidRPr="00827743">
              <w:rPr>
                <w:rFonts w:ascii="Times New Roman" w:eastAsia="Times New Roman" w:hAnsi="Times New Roman" w:cs="Times New Roman"/>
                <w:sz w:val="28"/>
                <w:szCs w:val="28"/>
                <w:lang w:eastAsia="lv-LV"/>
              </w:rPr>
              <w:t xml:space="preserve">Ar Ministru kabineta 2017.gada 19.decembra protokollēmumu pieņemtajā informatīvajā ziņojumā Aizsardzības ministrija norāda, ka Militārā dienesta likumā noteiktais dienu skaits rezerves karavīru militārai apmācībai ir pietiekams, lai nodrošinātu kvalitatīvu apmācību, tādēļ neviens no likumprojektiem, kas tiek izstrādāts atsaucoties uz Ministru kabineta 2017.gada 19.decembra protokollēmuma 2.punktu,  neparedz palielināt apmācībai paredzēto darba dienu skaitu, bet mainīt tā </w:t>
            </w:r>
            <w:proofErr w:type="spellStart"/>
            <w:r w:rsidRPr="00827743">
              <w:rPr>
                <w:rFonts w:ascii="Times New Roman" w:eastAsia="Times New Roman" w:hAnsi="Times New Roman" w:cs="Times New Roman"/>
                <w:sz w:val="28"/>
                <w:szCs w:val="28"/>
                <w:lang w:eastAsia="lv-LV"/>
              </w:rPr>
              <w:t>attaisnojamības</w:t>
            </w:r>
            <w:proofErr w:type="spellEnd"/>
            <w:r w:rsidRPr="00827743">
              <w:rPr>
                <w:rFonts w:ascii="Times New Roman" w:eastAsia="Times New Roman" w:hAnsi="Times New Roman" w:cs="Times New Roman"/>
                <w:sz w:val="28"/>
                <w:szCs w:val="28"/>
                <w:lang w:eastAsia="lv-LV"/>
              </w:rPr>
              <w:t xml:space="preserve"> pamatu.</w:t>
            </w:r>
          </w:p>
          <w:p w:rsidR="00827743" w:rsidRPr="00827743" w:rsidRDefault="00827743" w:rsidP="00827743">
            <w:pPr>
              <w:spacing w:after="0" w:line="240" w:lineRule="auto"/>
              <w:ind w:right="102" w:firstLine="536"/>
              <w:jc w:val="both"/>
              <w:rPr>
                <w:rFonts w:ascii="Times New Roman" w:eastAsia="Times New Roman" w:hAnsi="Times New Roman" w:cs="Times New Roman"/>
                <w:sz w:val="28"/>
                <w:szCs w:val="28"/>
                <w:lang w:eastAsia="lv-LV"/>
              </w:rPr>
            </w:pPr>
            <w:r w:rsidRPr="00827743">
              <w:rPr>
                <w:rFonts w:ascii="Times New Roman" w:eastAsia="Times New Roman" w:hAnsi="Times New Roman" w:cs="Times New Roman"/>
                <w:sz w:val="28"/>
                <w:szCs w:val="28"/>
                <w:lang w:eastAsia="lv-LV"/>
              </w:rPr>
              <w:t xml:space="preserve">Darba likumā konceptuāli ir vērojams darba kavējumu </w:t>
            </w:r>
            <w:proofErr w:type="spellStart"/>
            <w:r w:rsidRPr="00827743">
              <w:rPr>
                <w:rFonts w:ascii="Times New Roman" w:eastAsia="Times New Roman" w:hAnsi="Times New Roman" w:cs="Times New Roman"/>
                <w:sz w:val="28"/>
                <w:szCs w:val="28"/>
                <w:lang w:eastAsia="lv-LV"/>
              </w:rPr>
              <w:t>attaisnojamības</w:t>
            </w:r>
            <w:proofErr w:type="spellEnd"/>
            <w:r w:rsidRPr="00827743">
              <w:rPr>
                <w:rFonts w:ascii="Times New Roman" w:eastAsia="Times New Roman" w:hAnsi="Times New Roman" w:cs="Times New Roman"/>
                <w:sz w:val="28"/>
                <w:szCs w:val="28"/>
                <w:lang w:eastAsia="lv-LV"/>
              </w:rPr>
              <w:t xml:space="preserve"> sadalījums atbilstoši interešu aizsardzības subjektam, proti, var izšķirt tos gadījumus, kad likums aizsargā darbiniekus kā subjektus dažādos sociāli apdrošinātos vai atsevišķi likumā atzītos gadījumos, kas saistāmi ar darbinieka vai tā </w:t>
            </w:r>
            <w:r w:rsidRPr="00827743">
              <w:rPr>
                <w:rFonts w:ascii="Times New Roman" w:eastAsia="Times New Roman" w:hAnsi="Times New Roman" w:cs="Times New Roman"/>
                <w:sz w:val="28"/>
                <w:szCs w:val="28"/>
                <w:lang w:eastAsia="lv-LV"/>
              </w:rPr>
              <w:lastRenderedPageBreak/>
              <w:t xml:space="preserve">ģimenes locekļu noteiktu statusu. Piemēram, darbinieks attaisnoti var neveikt savus darba pienākumus pārejošas darbnespējas laikā, grūtniecības un dzemdību atvaļinājuma laikā, kā arī aprūpējot citas personas bērnu audžuģimenes vai aizbildņa statusā, diplomdarba izstrādāšanas un valsts pārbaudījumu kārtošanas laikā un citos gadījumos. Šie gadījumi ir konkrēti uzskaitīti likumā un tiem ir piemēroti dažādi noteikumi kā tiek noformēti šie darba pienākumu neveikšanas periodi, tajā skaitā, atlīdzības izmaksāšanas jautājumi. Visi iepriekšminētie gadījumi ir saistīti ar darbinieka kā privātpersonas tiesību aizsardzību, savukārt, Darba likuma 74.pantā uzskaitītie darba pienākumu neveikšanas attaisnojošie gadījumi gandrīz visi ir vērsti uz visas sabiedrības vai atsevišķu to grupu interešu aizsardzību, piemēram, piedalīšanās nepārvaramas varas, nejauša notikuma vai citu ārkārtējo apstākļu izraisītu seku novēršanā, kuras apdraud vai var apdraudēt sabiedrisko drošību vai kārtību, ierašanās izziņas iestādē, prokuratūrā vai tiesā, atbilstoši izsaukumam uz to, kā arī piedalīšanās asinsdonoru kustībā, nododot asinis vai asins komponentus. Uzskaitītie gadījumi ir vērsti uz visas sabiedrības interešu aizsardzību, kas tiek īstenoti caur valstij piekrītošu funkciju realizēšanu, sabiedriskās drošības un kārtības nodrošināšanu, privātpersonu tiesību uz veselību un tiesību uz taisnīgu tiesu nodrošināšanu. Pēc mērķa arī zemessarga vai rezerves karavīra piedalīšanās apmācībā ir pielīdzināma uzskaitītajiem gadījumiem, tādēļ tiesiski pareizi būtu to atrunāt tiesību normā Darba likumā 74.pantā.  </w:t>
            </w:r>
          </w:p>
          <w:p w:rsidR="00827743" w:rsidRPr="00827743" w:rsidRDefault="00827743" w:rsidP="00827743">
            <w:pPr>
              <w:spacing w:after="0" w:line="240" w:lineRule="auto"/>
              <w:ind w:right="102" w:firstLine="536"/>
              <w:jc w:val="both"/>
              <w:rPr>
                <w:rFonts w:ascii="Times New Roman" w:eastAsia="Times New Roman" w:hAnsi="Times New Roman" w:cs="Times New Roman"/>
                <w:sz w:val="28"/>
                <w:szCs w:val="28"/>
                <w:lang w:eastAsia="lv-LV"/>
              </w:rPr>
            </w:pPr>
            <w:r w:rsidRPr="00827743">
              <w:rPr>
                <w:rFonts w:ascii="Times New Roman" w:eastAsia="Times New Roman" w:hAnsi="Times New Roman" w:cs="Times New Roman"/>
                <w:sz w:val="28"/>
                <w:szCs w:val="28"/>
                <w:lang w:eastAsia="lv-LV"/>
              </w:rPr>
              <w:t xml:space="preserve">  Ar Likumprojektu paredzēts precizēt un papildināt </w:t>
            </w:r>
            <w:r w:rsidR="00C9762C">
              <w:rPr>
                <w:rFonts w:ascii="Times New Roman" w:eastAsia="Times New Roman" w:hAnsi="Times New Roman" w:cs="Times New Roman"/>
                <w:sz w:val="28"/>
                <w:szCs w:val="28"/>
                <w:lang w:eastAsia="lv-LV"/>
              </w:rPr>
              <w:t xml:space="preserve">Militārā dienesta likuma </w:t>
            </w:r>
            <w:r w:rsidRPr="00827743">
              <w:rPr>
                <w:rFonts w:ascii="Times New Roman" w:eastAsia="Times New Roman" w:hAnsi="Times New Roman" w:cs="Times New Roman"/>
                <w:sz w:val="28"/>
                <w:szCs w:val="28"/>
                <w:lang w:eastAsia="lv-LV"/>
              </w:rPr>
              <w:t xml:space="preserve"> </w:t>
            </w:r>
            <w:r w:rsidR="00C9762C">
              <w:rPr>
                <w:rFonts w:ascii="Times New Roman" w:eastAsia="Times New Roman" w:hAnsi="Times New Roman" w:cs="Times New Roman"/>
                <w:sz w:val="28"/>
                <w:szCs w:val="28"/>
                <w:lang w:eastAsia="lv-LV"/>
              </w:rPr>
              <w:t>66.panta septītajā daļā</w:t>
            </w:r>
            <w:r w:rsidRPr="00827743">
              <w:rPr>
                <w:rFonts w:ascii="Times New Roman" w:eastAsia="Times New Roman" w:hAnsi="Times New Roman" w:cs="Times New Roman"/>
                <w:sz w:val="28"/>
                <w:szCs w:val="28"/>
                <w:lang w:eastAsia="lv-LV"/>
              </w:rPr>
              <w:t xml:space="preserve">  ietverto regulējumu, nosakot, ka darba devējs </w:t>
            </w:r>
            <w:r w:rsidR="001804CA">
              <w:rPr>
                <w:rFonts w:ascii="Times New Roman" w:eastAsia="Times New Roman" w:hAnsi="Times New Roman" w:cs="Times New Roman"/>
                <w:sz w:val="28"/>
                <w:szCs w:val="28"/>
                <w:lang w:eastAsia="lv-LV"/>
              </w:rPr>
              <w:t xml:space="preserve">atbrīvo darbinieku no darba pienākumu pildīšanas, ja tas ir iesaukts rezerves karavīru militārajās mācībās, atsaucoties uz Darba likuma 74.panta regulējumu. Tāpat </w:t>
            </w:r>
            <w:r w:rsidR="001804CA">
              <w:rPr>
                <w:rFonts w:ascii="Times New Roman" w:eastAsia="Times New Roman" w:hAnsi="Times New Roman" w:cs="Times New Roman"/>
                <w:sz w:val="28"/>
                <w:szCs w:val="28"/>
                <w:lang w:eastAsia="lv-LV"/>
              </w:rPr>
              <w:lastRenderedPageBreak/>
              <w:t xml:space="preserve">Likumprojekts paredz iespēju darba devējam </w:t>
            </w:r>
            <w:r w:rsidRPr="00827743">
              <w:rPr>
                <w:rFonts w:ascii="Times New Roman" w:eastAsia="Times New Roman" w:hAnsi="Times New Roman" w:cs="Times New Roman"/>
                <w:sz w:val="28"/>
                <w:szCs w:val="28"/>
                <w:lang w:eastAsia="lv-LV"/>
              </w:rPr>
              <w:t xml:space="preserve">pēc savas izvēles izmaksāt darbiniekam atlīdzību (darba samaksu vai vidējo izpeļņu), kurš iepriekš par to paziņojot, neveic darbu sakarā ar </w:t>
            </w:r>
            <w:r w:rsidR="00C9762C">
              <w:rPr>
                <w:rFonts w:ascii="Times New Roman" w:eastAsia="Times New Roman" w:hAnsi="Times New Roman" w:cs="Times New Roman"/>
                <w:sz w:val="28"/>
                <w:szCs w:val="28"/>
                <w:lang w:eastAsia="lv-LV"/>
              </w:rPr>
              <w:t>rezerves karavīra militārajām mācībām</w:t>
            </w:r>
            <w:r w:rsidRPr="00827743">
              <w:rPr>
                <w:rFonts w:ascii="Times New Roman" w:eastAsia="Times New Roman" w:hAnsi="Times New Roman" w:cs="Times New Roman"/>
                <w:sz w:val="28"/>
                <w:szCs w:val="28"/>
                <w:lang w:eastAsia="lv-LV"/>
              </w:rPr>
              <w:t>.</w:t>
            </w:r>
          </w:p>
          <w:p w:rsidR="00E1616E" w:rsidRPr="005A67EE" w:rsidRDefault="00E1616E" w:rsidP="00E1616E">
            <w:pPr>
              <w:spacing w:after="0" w:line="240" w:lineRule="auto"/>
              <w:ind w:right="102" w:firstLine="307"/>
              <w:jc w:val="both"/>
              <w:rPr>
                <w:rFonts w:ascii="Times New Roman" w:hAnsi="Times New Roman" w:cs="Times New Roman"/>
                <w:sz w:val="28"/>
                <w:szCs w:val="28"/>
              </w:rPr>
            </w:pPr>
            <w:r w:rsidRPr="005A67EE">
              <w:rPr>
                <w:rFonts w:ascii="Times New Roman" w:eastAsia="Times New Roman" w:hAnsi="Times New Roman" w:cs="Times New Roman"/>
                <w:sz w:val="28"/>
                <w:szCs w:val="28"/>
                <w:lang w:eastAsia="lv-LV"/>
              </w:rPr>
              <w:t xml:space="preserve">Likumprojekta mērķis ir </w:t>
            </w:r>
            <w:r>
              <w:rPr>
                <w:rFonts w:ascii="Times New Roman" w:eastAsia="Times New Roman" w:hAnsi="Times New Roman" w:cs="Times New Roman"/>
                <w:sz w:val="28"/>
                <w:szCs w:val="28"/>
                <w:lang w:eastAsia="lv-LV"/>
              </w:rPr>
              <w:t>Militārā dienesta</w:t>
            </w:r>
            <w:r w:rsidRPr="005A67EE">
              <w:rPr>
                <w:rFonts w:ascii="Times New Roman" w:eastAsia="Times New Roman" w:hAnsi="Times New Roman" w:cs="Times New Roman"/>
                <w:sz w:val="28"/>
                <w:szCs w:val="28"/>
                <w:lang w:eastAsia="lv-LV"/>
              </w:rPr>
              <w:t xml:space="preserve"> likumā skaidri noteikt, ka darba devējs darbinieku, kurš </w:t>
            </w:r>
            <w:r>
              <w:rPr>
                <w:rFonts w:ascii="Times New Roman" w:eastAsia="Times New Roman" w:hAnsi="Times New Roman" w:cs="Times New Roman"/>
                <w:sz w:val="28"/>
                <w:szCs w:val="28"/>
                <w:lang w:eastAsia="lv-LV"/>
              </w:rPr>
              <w:t xml:space="preserve">darba laikā </w:t>
            </w:r>
            <w:r w:rsidRPr="005A67EE">
              <w:rPr>
                <w:rFonts w:ascii="Times New Roman" w:eastAsia="Times New Roman" w:hAnsi="Times New Roman" w:cs="Times New Roman"/>
                <w:sz w:val="28"/>
                <w:szCs w:val="28"/>
                <w:lang w:eastAsia="lv-LV"/>
              </w:rPr>
              <w:t xml:space="preserve">tiek iesaistīts </w:t>
            </w:r>
            <w:r>
              <w:rPr>
                <w:rFonts w:ascii="Times New Roman" w:eastAsia="Times New Roman" w:hAnsi="Times New Roman" w:cs="Times New Roman"/>
                <w:sz w:val="28"/>
                <w:szCs w:val="28"/>
                <w:lang w:eastAsia="lv-LV"/>
              </w:rPr>
              <w:t>rezerves karavīru militārajās</w:t>
            </w:r>
            <w:r w:rsidRPr="005A67EE">
              <w:rPr>
                <w:rFonts w:ascii="Times New Roman" w:eastAsia="Times New Roman" w:hAnsi="Times New Roman" w:cs="Times New Roman"/>
                <w:sz w:val="28"/>
                <w:szCs w:val="28"/>
                <w:lang w:eastAsia="lv-LV"/>
              </w:rPr>
              <w:t xml:space="preserve"> mācībā</w:t>
            </w:r>
            <w:r>
              <w:rPr>
                <w:rFonts w:ascii="Times New Roman" w:eastAsia="Times New Roman" w:hAnsi="Times New Roman" w:cs="Times New Roman"/>
                <w:sz w:val="28"/>
                <w:szCs w:val="28"/>
                <w:lang w:eastAsia="lv-LV"/>
              </w:rPr>
              <w:t>s</w:t>
            </w:r>
            <w:r w:rsidRPr="005A67EE">
              <w:rPr>
                <w:rFonts w:ascii="Times New Roman" w:eastAsia="Times New Roman" w:hAnsi="Times New Roman" w:cs="Times New Roman"/>
                <w:sz w:val="28"/>
                <w:szCs w:val="28"/>
                <w:lang w:eastAsia="lv-LV"/>
              </w:rPr>
              <w:t>, atbrīvo no darba pienākumu veikšanas attaisnojoša iemesla dēļ, kas ir noteikts Darba likuma 74.pantā, jo šis gadījums ir raksturojams kā darbinieka darbības visas sabiedrības interesēs, proti, šajā gadījumā valsts aizsardzības interesēs. Tāpat šie grozījumi paredz iespēju darba devējam savu finansiālo iespēju un brīvas izvēles, kā arī iekšējas pārliecības ietvaros darbiniekam, kurš neveic darbu sakarā ar zemessarga apmācību, izmaksāt atlīdzību.</w:t>
            </w:r>
          </w:p>
          <w:p w:rsidR="005B749A" w:rsidRPr="00DF516D" w:rsidRDefault="00E1616E" w:rsidP="00E1616E">
            <w:pPr>
              <w:spacing w:after="0" w:line="240" w:lineRule="auto"/>
              <w:ind w:right="108" w:firstLine="680"/>
              <w:jc w:val="both"/>
              <w:rPr>
                <w:rFonts w:ascii="Times New Roman" w:hAnsi="Times New Roman" w:cs="Times New Roman"/>
                <w:sz w:val="28"/>
                <w:szCs w:val="28"/>
              </w:rPr>
            </w:pPr>
            <w:r w:rsidRPr="005A67EE">
              <w:rPr>
                <w:rFonts w:ascii="Times New Roman" w:hAnsi="Times New Roman" w:cs="Times New Roman"/>
                <w:sz w:val="28"/>
                <w:szCs w:val="28"/>
              </w:rPr>
              <w:t>Likumprojekta spēkā stāšanās paredzēta normatīvajos aktos noteiktajā vispārējā kārtībā, neparedzot konkrētu spēkā stāšanās datumu.</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6C4F2A">
            <w:pPr>
              <w:pStyle w:val="tvhtml"/>
              <w:spacing w:line="293" w:lineRule="atLeast"/>
              <w:rPr>
                <w:sz w:val="28"/>
                <w:szCs w:val="28"/>
              </w:rPr>
            </w:pP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25764A" w:rsidRPr="007B62F9" w:rsidRDefault="000B4F5A" w:rsidP="000B4F5A">
            <w:pPr>
              <w:spacing w:after="0" w:line="240" w:lineRule="auto"/>
              <w:jc w:val="both"/>
              <w:rPr>
                <w:rFonts w:ascii="Times New Roman" w:hAnsi="Times New Roman" w:cs="Times New Roman"/>
                <w:sz w:val="28"/>
                <w:szCs w:val="28"/>
              </w:rPr>
            </w:pPr>
            <w:r w:rsidRPr="000B4F5A">
              <w:rPr>
                <w:rFonts w:ascii="Times New Roman" w:eastAsia="Times New Roman" w:hAnsi="Times New Roman" w:cs="Times New Roman"/>
                <w:sz w:val="28"/>
                <w:szCs w:val="28"/>
                <w:lang w:eastAsia="lv-LV"/>
              </w:rPr>
              <w:t>Latvijas Darba devēju konfederācija, Valsts kontrole, Ekonomikas ministrija un Finanšu ministrija.</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7B62F9" w:rsidP="00B2248B">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rsidR="00D636E7"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p w:rsidR="00070FDF" w:rsidRPr="000C7259" w:rsidRDefault="00070FDF" w:rsidP="00D636E7">
      <w:pPr>
        <w:shd w:val="clear" w:color="auto" w:fill="FFFFFF"/>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II. Tiesību akta projekta ietekme uz sabiedrību, tautsaimniecības attīstību un administratīvo slogu</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5B749A" w:rsidRPr="00C458EC" w:rsidRDefault="00BE1156" w:rsidP="00497F35">
            <w:pPr>
              <w:spacing w:after="0" w:line="240" w:lineRule="auto"/>
              <w:ind w:right="102"/>
              <w:jc w:val="both"/>
              <w:rPr>
                <w:rFonts w:ascii="Times New Roman" w:hAnsi="Times New Roman" w:cs="Times New Roman"/>
                <w:color w:val="C00000"/>
                <w:sz w:val="28"/>
                <w:szCs w:val="28"/>
              </w:rPr>
            </w:pPr>
            <w:r w:rsidRPr="00BA73CB">
              <w:rPr>
                <w:rFonts w:ascii="Times New Roman" w:eastAsia="Times New Roman" w:hAnsi="Times New Roman" w:cs="Times New Roman"/>
                <w:sz w:val="28"/>
                <w:szCs w:val="28"/>
                <w:lang w:eastAsia="lv-LV"/>
              </w:rPr>
              <w:t>Likumprojekts gan tiešā, gan netiešā veidā varētu skart to darba devēju intereses, pienākumus un finanses, kuri nodarbina rezerves karavīrus, kā arī pašus rezerves karavīrus.</w:t>
            </w:r>
            <w:r w:rsidR="005D6295">
              <w:rPr>
                <w:rFonts w:ascii="Times New Roman" w:eastAsia="Times New Roman" w:hAnsi="Times New Roman" w:cs="Times New Roman"/>
                <w:sz w:val="28"/>
                <w:szCs w:val="28"/>
                <w:lang w:eastAsia="lv-LV"/>
              </w:rPr>
              <w:t xml:space="preserve"> Uz Likumprojekta izstrādes brīdi Aizsardzības ministrijas rīcībā nav datu par rezerves karavīru darba devējiem. </w:t>
            </w:r>
            <w:r w:rsidR="005D6295">
              <w:rPr>
                <w:rFonts w:ascii="Times New Roman" w:hAnsi="Times New Roman" w:cs="Times New Roman"/>
                <w:sz w:val="28"/>
                <w:szCs w:val="28"/>
              </w:rPr>
              <w:t xml:space="preserve">Saskaņā ar Aizsardzības ministrijas rīcībā esošo informāciju Likumprojekts varētu skart </w:t>
            </w:r>
            <w:r w:rsidR="00497F35">
              <w:rPr>
                <w:rFonts w:ascii="Times New Roman" w:hAnsi="Times New Roman" w:cs="Times New Roman"/>
                <w:sz w:val="28"/>
                <w:szCs w:val="28"/>
              </w:rPr>
              <w:t>7970</w:t>
            </w:r>
            <w:r w:rsidR="005D6295">
              <w:rPr>
                <w:rFonts w:ascii="Times New Roman" w:hAnsi="Times New Roman" w:cs="Times New Roman"/>
                <w:sz w:val="28"/>
                <w:szCs w:val="28"/>
              </w:rPr>
              <w:t xml:space="preserve"> </w:t>
            </w:r>
            <w:r w:rsidR="00497F35">
              <w:rPr>
                <w:rFonts w:ascii="Times New Roman" w:hAnsi="Times New Roman" w:cs="Times New Roman"/>
                <w:sz w:val="28"/>
                <w:szCs w:val="28"/>
              </w:rPr>
              <w:lastRenderedPageBreak/>
              <w:t>rezerves karavīrus</w:t>
            </w:r>
            <w:r w:rsidR="005D6295">
              <w:rPr>
                <w:rFonts w:ascii="Times New Roman" w:hAnsi="Times New Roman" w:cs="Times New Roman"/>
                <w:sz w:val="28"/>
                <w:szCs w:val="28"/>
              </w:rPr>
              <w:t xml:space="preserve"> (dati par 2017.gada decembri).</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F4310" w:rsidRPr="001F4310" w:rsidRDefault="005071F3" w:rsidP="005071F3">
            <w:pPr>
              <w:spacing w:after="0" w:line="240" w:lineRule="auto"/>
              <w:jc w:val="both"/>
              <w:rPr>
                <w:rFonts w:ascii="Times New Roman" w:hAnsi="Times New Roman" w:cs="Times New Roman"/>
                <w:sz w:val="28"/>
                <w:szCs w:val="28"/>
              </w:rPr>
            </w:pPr>
            <w:r w:rsidRPr="0072166E">
              <w:rPr>
                <w:rFonts w:ascii="Times New Roman" w:eastAsia="Times New Roman" w:hAnsi="Times New Roman" w:cs="Times New Roman"/>
                <w:sz w:val="28"/>
                <w:szCs w:val="28"/>
                <w:lang w:eastAsia="lv-LV"/>
              </w:rPr>
              <w:t>Likumprojekta ietekmi uz tautsaimniecību un administratīvo slogu šobrīd nav iespējams noteikt, jo nav zināms cik darba devēji izmantos iespēju atlīdzināt darbiniekiem rezerves karavīra militārajās mācībās pavadīto laiku.</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7B62F9" w:rsidP="00B2248B">
            <w:pPr>
              <w:spacing w:after="0" w:line="240" w:lineRule="auto"/>
              <w:rPr>
                <w:rFonts w:ascii="Times New Roman" w:hAnsi="Times New Roman" w:cs="Times New Roman"/>
                <w:sz w:val="28"/>
                <w:szCs w:val="28"/>
              </w:rPr>
            </w:pPr>
            <w:r w:rsidRPr="001F4310">
              <w:rPr>
                <w:rFonts w:ascii="Times New Roman" w:eastAsia="Times New Roman" w:hAnsi="Times New Roman" w:cs="Times New Roman"/>
                <w:sz w:val="28"/>
                <w:szCs w:val="28"/>
                <w:lang w:eastAsia="lv-LV"/>
              </w:rPr>
              <w:t>Likumprojekts šo jomu neskar</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7B62F9" w:rsidP="00B2248B">
            <w:pPr>
              <w:spacing w:after="0" w:line="240" w:lineRule="auto"/>
              <w:rPr>
                <w:rFonts w:ascii="Times New Roman" w:hAnsi="Times New Roman" w:cs="Times New Roman"/>
                <w:sz w:val="28"/>
                <w:szCs w:val="28"/>
              </w:rPr>
            </w:pPr>
            <w:r w:rsidRPr="001F4310">
              <w:rPr>
                <w:rFonts w:ascii="Times New Roman" w:eastAsia="Times New Roman" w:hAnsi="Times New Roman" w:cs="Times New Roman"/>
                <w:sz w:val="28"/>
                <w:szCs w:val="28"/>
                <w:lang w:eastAsia="lv-LV"/>
              </w:rPr>
              <w:t>Likumprojekts šo jomu neskar</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5.</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7B62F9" w:rsidP="00B2248B">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rsidR="00070FDF"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0C7259"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III. Tiesību akta projekta ietekme uz valsts budžetu un pašvaldību budžetiem</w:t>
            </w:r>
          </w:p>
        </w:tc>
      </w:tr>
      <w:tr w:rsidR="0025764A" w:rsidRPr="000C7259" w:rsidTr="0025764A">
        <w:trPr>
          <w:trHeight w:val="322"/>
        </w:trPr>
        <w:tc>
          <w:tcPr>
            <w:tcW w:w="5000" w:type="pct"/>
            <w:tcBorders>
              <w:top w:val="outset" w:sz="6" w:space="0" w:color="414142"/>
              <w:left w:val="outset" w:sz="6" w:space="0" w:color="414142"/>
              <w:right w:val="outset" w:sz="6" w:space="0" w:color="414142"/>
            </w:tcBorders>
            <w:vAlign w:val="center"/>
          </w:tcPr>
          <w:p w:rsidR="0025764A" w:rsidRPr="000C7259" w:rsidRDefault="0025764A" w:rsidP="0025764A">
            <w:pPr>
              <w:pStyle w:val="tvhtml"/>
              <w:spacing w:before="0" w:beforeAutospacing="0" w:after="0" w:afterAutospacing="0"/>
              <w:jc w:val="center"/>
              <w:rPr>
                <w:sz w:val="28"/>
                <w:szCs w:val="28"/>
              </w:rPr>
            </w:pPr>
            <w:r w:rsidRPr="00F9332A">
              <w:rPr>
                <w:bCs/>
                <w:sz w:val="28"/>
                <w:szCs w:val="28"/>
              </w:rPr>
              <w:t>Likumprojekts šo jomu neskar</w:t>
            </w:r>
          </w:p>
        </w:tc>
      </w:tr>
    </w:tbl>
    <w:p w:rsidR="00070FDF"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5071F3" w:rsidRPr="005071F3" w:rsidTr="00913F34">
        <w:tc>
          <w:tcPr>
            <w:tcW w:w="8365" w:type="dxa"/>
            <w:gridSpan w:val="3"/>
            <w:vAlign w:val="center"/>
            <w:hideMark/>
          </w:tcPr>
          <w:p w:rsidR="005071F3" w:rsidRPr="005071F3" w:rsidRDefault="005071F3" w:rsidP="005071F3">
            <w:pPr>
              <w:shd w:val="clear" w:color="auto" w:fill="FFFFFF"/>
              <w:rPr>
                <w:rFonts w:ascii="Times New Roman" w:hAnsi="Times New Roman" w:cs="Times New Roman"/>
                <w:b/>
                <w:bCs/>
                <w:sz w:val="28"/>
                <w:szCs w:val="28"/>
              </w:rPr>
            </w:pPr>
            <w:r w:rsidRPr="005071F3">
              <w:rPr>
                <w:rFonts w:ascii="Times New Roman" w:hAnsi="Times New Roman" w:cs="Times New Roman"/>
                <w:b/>
                <w:bCs/>
                <w:sz w:val="28"/>
                <w:szCs w:val="28"/>
              </w:rPr>
              <w:t>IV. Tiesību akta projekta ietekme uz spēkā esošo tiesību normu sistēmu</w:t>
            </w:r>
          </w:p>
        </w:tc>
      </w:tr>
      <w:tr w:rsidR="005071F3" w:rsidRPr="005071F3" w:rsidTr="00913F34">
        <w:tc>
          <w:tcPr>
            <w:tcW w:w="527" w:type="dxa"/>
            <w:hideMark/>
          </w:tcPr>
          <w:p w:rsidR="005071F3" w:rsidRPr="005071F3" w:rsidRDefault="005071F3" w:rsidP="005071F3">
            <w:pPr>
              <w:shd w:val="clear" w:color="auto" w:fill="FFFFFF"/>
              <w:rPr>
                <w:rFonts w:ascii="Times New Roman" w:hAnsi="Times New Roman" w:cs="Times New Roman"/>
                <w:sz w:val="28"/>
                <w:szCs w:val="28"/>
              </w:rPr>
            </w:pPr>
            <w:r w:rsidRPr="005071F3">
              <w:rPr>
                <w:rFonts w:ascii="Times New Roman" w:hAnsi="Times New Roman" w:cs="Times New Roman"/>
                <w:sz w:val="28"/>
                <w:szCs w:val="28"/>
              </w:rPr>
              <w:t>1.</w:t>
            </w:r>
          </w:p>
        </w:tc>
        <w:tc>
          <w:tcPr>
            <w:tcW w:w="2461" w:type="dxa"/>
            <w:hideMark/>
          </w:tcPr>
          <w:p w:rsidR="005071F3" w:rsidRPr="005071F3" w:rsidRDefault="005071F3" w:rsidP="005071F3">
            <w:pPr>
              <w:shd w:val="clear" w:color="auto" w:fill="FFFFFF"/>
              <w:rPr>
                <w:rFonts w:ascii="Times New Roman" w:hAnsi="Times New Roman" w:cs="Times New Roman"/>
                <w:sz w:val="28"/>
                <w:szCs w:val="28"/>
              </w:rPr>
            </w:pPr>
            <w:r w:rsidRPr="005071F3">
              <w:rPr>
                <w:rFonts w:ascii="Times New Roman" w:hAnsi="Times New Roman" w:cs="Times New Roman"/>
                <w:sz w:val="28"/>
                <w:szCs w:val="28"/>
              </w:rPr>
              <w:t>Saistītie tiesību aktu projekti</w:t>
            </w:r>
          </w:p>
        </w:tc>
        <w:tc>
          <w:tcPr>
            <w:tcW w:w="5377" w:type="dxa"/>
            <w:hideMark/>
          </w:tcPr>
          <w:p w:rsidR="005071F3" w:rsidRPr="005071F3" w:rsidRDefault="005071F3" w:rsidP="005071F3">
            <w:pPr>
              <w:shd w:val="clear" w:color="auto" w:fill="FFFFFF"/>
              <w:jc w:val="both"/>
              <w:rPr>
                <w:rFonts w:ascii="Times New Roman" w:hAnsi="Times New Roman" w:cs="Times New Roman"/>
                <w:iCs/>
                <w:sz w:val="28"/>
                <w:szCs w:val="28"/>
              </w:rPr>
            </w:pPr>
            <w:r w:rsidRPr="005071F3">
              <w:rPr>
                <w:rFonts w:ascii="Times New Roman" w:hAnsi="Times New Roman" w:cs="Times New Roman"/>
                <w:iCs/>
                <w:sz w:val="28"/>
                <w:szCs w:val="28"/>
              </w:rPr>
              <w:t xml:space="preserve">Likumprojekts ir izstrādāts un tiek virzīts apstiprināšanai kopā ar šādiem tiesību aktu projektiem: </w:t>
            </w:r>
          </w:p>
          <w:p w:rsidR="005071F3" w:rsidRPr="005071F3" w:rsidRDefault="005071F3" w:rsidP="005071F3">
            <w:pPr>
              <w:shd w:val="clear" w:color="auto" w:fill="FFFFFF"/>
              <w:jc w:val="both"/>
              <w:rPr>
                <w:rFonts w:ascii="Times New Roman" w:hAnsi="Times New Roman" w:cs="Times New Roman"/>
                <w:iCs/>
                <w:sz w:val="28"/>
                <w:szCs w:val="28"/>
              </w:rPr>
            </w:pPr>
            <w:r w:rsidRPr="005071F3">
              <w:rPr>
                <w:rFonts w:ascii="Times New Roman" w:hAnsi="Times New Roman" w:cs="Times New Roman"/>
                <w:iCs/>
                <w:sz w:val="28"/>
                <w:szCs w:val="28"/>
              </w:rPr>
              <w:t>1) Grozījumi Darba likumā;</w:t>
            </w:r>
          </w:p>
          <w:p w:rsidR="005071F3" w:rsidRPr="005071F3" w:rsidRDefault="005071F3" w:rsidP="005071F3">
            <w:pPr>
              <w:shd w:val="clear" w:color="auto" w:fill="FFFFFF"/>
              <w:jc w:val="both"/>
              <w:rPr>
                <w:rFonts w:ascii="Times New Roman" w:hAnsi="Times New Roman" w:cs="Times New Roman"/>
                <w:iCs/>
                <w:sz w:val="28"/>
                <w:szCs w:val="28"/>
              </w:rPr>
            </w:pPr>
            <w:r w:rsidRPr="005071F3">
              <w:rPr>
                <w:rFonts w:ascii="Times New Roman" w:hAnsi="Times New Roman" w:cs="Times New Roman"/>
                <w:iCs/>
                <w:sz w:val="28"/>
                <w:szCs w:val="28"/>
              </w:rPr>
              <w:t xml:space="preserve">2) Grozījumi </w:t>
            </w:r>
            <w:r>
              <w:rPr>
                <w:rFonts w:ascii="Times New Roman" w:hAnsi="Times New Roman" w:cs="Times New Roman"/>
                <w:iCs/>
                <w:sz w:val="28"/>
                <w:szCs w:val="28"/>
              </w:rPr>
              <w:t>Latvijas Republikas Zemessardzes</w:t>
            </w:r>
            <w:r w:rsidRPr="005071F3">
              <w:rPr>
                <w:rFonts w:ascii="Times New Roman" w:hAnsi="Times New Roman" w:cs="Times New Roman"/>
                <w:iCs/>
                <w:sz w:val="28"/>
                <w:szCs w:val="28"/>
              </w:rPr>
              <w:t xml:space="preserve"> likumā;</w:t>
            </w:r>
          </w:p>
          <w:p w:rsidR="005071F3" w:rsidRPr="005071F3" w:rsidRDefault="005071F3" w:rsidP="005071F3">
            <w:pPr>
              <w:shd w:val="clear" w:color="auto" w:fill="FFFFFF"/>
              <w:jc w:val="both"/>
              <w:rPr>
                <w:rFonts w:ascii="Times New Roman" w:hAnsi="Times New Roman" w:cs="Times New Roman"/>
                <w:iCs/>
                <w:sz w:val="28"/>
                <w:szCs w:val="28"/>
              </w:rPr>
            </w:pPr>
            <w:r w:rsidRPr="005071F3">
              <w:rPr>
                <w:rFonts w:ascii="Times New Roman" w:hAnsi="Times New Roman" w:cs="Times New Roman"/>
                <w:iCs/>
                <w:sz w:val="28"/>
                <w:szCs w:val="28"/>
              </w:rPr>
              <w:t>3) Grozījumi Ministru kabineta 2007.gada 20.novembra noteikumos Nr.779 "Kārtība, kādā rezerves karavīrus un rezervistus reģistrē un uzskaita, rezerves karavīrus iesauc aktīvajā dienestā, kā arī pieprasa un izsniedz informāciju par rezerves karavīriem un rezervistiem";</w:t>
            </w:r>
          </w:p>
          <w:p w:rsidR="005071F3" w:rsidRPr="005071F3" w:rsidRDefault="005071F3" w:rsidP="005071F3">
            <w:pPr>
              <w:shd w:val="clear" w:color="auto" w:fill="FFFFFF"/>
              <w:jc w:val="both"/>
              <w:rPr>
                <w:rFonts w:ascii="Times New Roman" w:hAnsi="Times New Roman" w:cs="Times New Roman"/>
                <w:iCs/>
                <w:sz w:val="28"/>
                <w:szCs w:val="28"/>
              </w:rPr>
            </w:pPr>
            <w:r w:rsidRPr="005071F3">
              <w:rPr>
                <w:rFonts w:ascii="Times New Roman" w:hAnsi="Times New Roman" w:cs="Times New Roman"/>
                <w:iCs/>
                <w:sz w:val="28"/>
                <w:szCs w:val="28"/>
              </w:rPr>
              <w:t>4) Grozījumi Ministru kabineta 2010.gada 14.septembra noteikumos Nr.863 "Kārtība, kādā zemessargu iesaista Zemessardzes uzdevumu izpildē un apmācībā".</w:t>
            </w:r>
          </w:p>
        </w:tc>
      </w:tr>
      <w:tr w:rsidR="005071F3" w:rsidRPr="005071F3" w:rsidTr="00913F34">
        <w:tc>
          <w:tcPr>
            <w:tcW w:w="527" w:type="dxa"/>
            <w:hideMark/>
          </w:tcPr>
          <w:p w:rsidR="005071F3" w:rsidRPr="005071F3" w:rsidRDefault="005071F3" w:rsidP="005071F3">
            <w:pPr>
              <w:shd w:val="clear" w:color="auto" w:fill="FFFFFF"/>
              <w:rPr>
                <w:rFonts w:ascii="Times New Roman" w:hAnsi="Times New Roman" w:cs="Times New Roman"/>
                <w:sz w:val="28"/>
                <w:szCs w:val="28"/>
              </w:rPr>
            </w:pPr>
            <w:r w:rsidRPr="005071F3">
              <w:rPr>
                <w:rFonts w:ascii="Times New Roman" w:hAnsi="Times New Roman" w:cs="Times New Roman"/>
                <w:sz w:val="28"/>
                <w:szCs w:val="28"/>
              </w:rPr>
              <w:t>2.</w:t>
            </w:r>
          </w:p>
        </w:tc>
        <w:tc>
          <w:tcPr>
            <w:tcW w:w="2461" w:type="dxa"/>
            <w:hideMark/>
          </w:tcPr>
          <w:p w:rsidR="005071F3" w:rsidRPr="005071F3" w:rsidRDefault="005071F3" w:rsidP="005071F3">
            <w:pPr>
              <w:shd w:val="clear" w:color="auto" w:fill="FFFFFF"/>
              <w:rPr>
                <w:rFonts w:ascii="Times New Roman" w:hAnsi="Times New Roman" w:cs="Times New Roman"/>
                <w:sz w:val="28"/>
                <w:szCs w:val="28"/>
              </w:rPr>
            </w:pPr>
            <w:r w:rsidRPr="005071F3">
              <w:rPr>
                <w:rFonts w:ascii="Times New Roman" w:hAnsi="Times New Roman" w:cs="Times New Roman"/>
                <w:sz w:val="28"/>
                <w:szCs w:val="28"/>
              </w:rPr>
              <w:t>Atbildīgā institūcija</w:t>
            </w:r>
          </w:p>
        </w:tc>
        <w:tc>
          <w:tcPr>
            <w:tcW w:w="5377" w:type="dxa"/>
            <w:hideMark/>
          </w:tcPr>
          <w:p w:rsidR="005071F3" w:rsidRPr="005071F3" w:rsidRDefault="005071F3" w:rsidP="005071F3">
            <w:pPr>
              <w:shd w:val="clear" w:color="auto" w:fill="FFFFFF"/>
              <w:rPr>
                <w:rFonts w:ascii="Times New Roman" w:hAnsi="Times New Roman" w:cs="Times New Roman"/>
                <w:sz w:val="28"/>
                <w:szCs w:val="28"/>
              </w:rPr>
            </w:pPr>
            <w:r w:rsidRPr="005071F3">
              <w:rPr>
                <w:rFonts w:ascii="Times New Roman" w:hAnsi="Times New Roman" w:cs="Times New Roman"/>
                <w:sz w:val="28"/>
                <w:szCs w:val="28"/>
              </w:rPr>
              <w:t>Aizsardzības ministrija.</w:t>
            </w:r>
          </w:p>
        </w:tc>
      </w:tr>
      <w:tr w:rsidR="005071F3" w:rsidRPr="005071F3" w:rsidTr="00913F34">
        <w:tc>
          <w:tcPr>
            <w:tcW w:w="527" w:type="dxa"/>
            <w:hideMark/>
          </w:tcPr>
          <w:p w:rsidR="005071F3" w:rsidRPr="005071F3" w:rsidRDefault="005071F3" w:rsidP="005071F3">
            <w:pPr>
              <w:shd w:val="clear" w:color="auto" w:fill="FFFFFF"/>
              <w:rPr>
                <w:rFonts w:ascii="Times New Roman" w:hAnsi="Times New Roman" w:cs="Times New Roman"/>
                <w:sz w:val="28"/>
                <w:szCs w:val="28"/>
              </w:rPr>
            </w:pPr>
            <w:r w:rsidRPr="005071F3">
              <w:rPr>
                <w:rFonts w:ascii="Times New Roman" w:hAnsi="Times New Roman" w:cs="Times New Roman"/>
                <w:sz w:val="28"/>
                <w:szCs w:val="28"/>
              </w:rPr>
              <w:lastRenderedPageBreak/>
              <w:t>3.</w:t>
            </w:r>
          </w:p>
        </w:tc>
        <w:tc>
          <w:tcPr>
            <w:tcW w:w="2461" w:type="dxa"/>
            <w:hideMark/>
          </w:tcPr>
          <w:p w:rsidR="005071F3" w:rsidRPr="005071F3" w:rsidRDefault="005071F3" w:rsidP="005071F3">
            <w:pPr>
              <w:shd w:val="clear" w:color="auto" w:fill="FFFFFF"/>
              <w:rPr>
                <w:rFonts w:ascii="Times New Roman" w:hAnsi="Times New Roman" w:cs="Times New Roman"/>
                <w:sz w:val="28"/>
                <w:szCs w:val="28"/>
              </w:rPr>
            </w:pPr>
            <w:r w:rsidRPr="005071F3">
              <w:rPr>
                <w:rFonts w:ascii="Times New Roman" w:hAnsi="Times New Roman" w:cs="Times New Roman"/>
                <w:sz w:val="28"/>
                <w:szCs w:val="28"/>
              </w:rPr>
              <w:t>Cita informācija</w:t>
            </w:r>
          </w:p>
        </w:tc>
        <w:tc>
          <w:tcPr>
            <w:tcW w:w="5377" w:type="dxa"/>
            <w:hideMark/>
          </w:tcPr>
          <w:p w:rsidR="005071F3" w:rsidRPr="005071F3" w:rsidRDefault="005071F3" w:rsidP="005071F3">
            <w:pPr>
              <w:shd w:val="clear" w:color="auto" w:fill="FFFFFF"/>
              <w:rPr>
                <w:rFonts w:ascii="Times New Roman" w:hAnsi="Times New Roman" w:cs="Times New Roman"/>
                <w:sz w:val="28"/>
                <w:szCs w:val="28"/>
              </w:rPr>
            </w:pPr>
            <w:r w:rsidRPr="005071F3">
              <w:rPr>
                <w:rFonts w:ascii="Times New Roman" w:hAnsi="Times New Roman" w:cs="Times New Roman"/>
                <w:sz w:val="28"/>
                <w:szCs w:val="28"/>
              </w:rPr>
              <w:t>Nav.</w:t>
            </w:r>
          </w:p>
        </w:tc>
      </w:tr>
    </w:tbl>
    <w:p w:rsidR="00070FDF"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0C7259"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V. Tiesību akta projekta atbilstība Latvijas Republikas starptautiskajām saistībām</w:t>
            </w:r>
          </w:p>
        </w:tc>
      </w:tr>
      <w:tr w:rsidR="0025764A" w:rsidRPr="000C7259" w:rsidTr="0025764A">
        <w:trPr>
          <w:trHeight w:val="350"/>
        </w:trPr>
        <w:tc>
          <w:tcPr>
            <w:tcW w:w="5000" w:type="pct"/>
            <w:tcBorders>
              <w:top w:val="outset" w:sz="6" w:space="0" w:color="414142"/>
              <w:left w:val="outset" w:sz="6" w:space="0" w:color="414142"/>
              <w:bottom w:val="outset" w:sz="6" w:space="0" w:color="414142"/>
              <w:right w:val="outset" w:sz="6" w:space="0" w:color="414142"/>
            </w:tcBorders>
          </w:tcPr>
          <w:p w:rsidR="0025764A" w:rsidRPr="000C7259" w:rsidRDefault="0025764A" w:rsidP="0025764A">
            <w:pPr>
              <w:spacing w:after="0" w:line="240" w:lineRule="auto"/>
              <w:jc w:val="center"/>
              <w:rPr>
                <w:rFonts w:ascii="Times New Roman" w:hAnsi="Times New Roman" w:cs="Times New Roman"/>
                <w:sz w:val="28"/>
                <w:szCs w:val="28"/>
              </w:rPr>
            </w:pPr>
            <w:r w:rsidRPr="00F9332A">
              <w:rPr>
                <w:rFonts w:ascii="Times New Roman" w:eastAsia="Times New Roman" w:hAnsi="Times New Roman" w:cs="Times New Roman"/>
                <w:bCs/>
                <w:sz w:val="28"/>
                <w:szCs w:val="28"/>
                <w:lang w:eastAsia="lv-LV"/>
              </w:rPr>
              <w:t>Likumprojekts šo jomu neskar</w:t>
            </w:r>
          </w:p>
        </w:tc>
      </w:tr>
    </w:tbl>
    <w:p w:rsidR="00D636E7"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p w:rsidR="00070FDF" w:rsidRPr="000C7259" w:rsidRDefault="00070FDF" w:rsidP="00D636E7">
      <w:pPr>
        <w:shd w:val="clear" w:color="auto" w:fill="FFFFFF"/>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976"/>
        <w:gridCol w:w="5661"/>
      </w:tblGrid>
      <w:tr w:rsidR="000C7259" w:rsidRPr="000C7259" w:rsidTr="005D6295">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VI. Sabiedrības līdzdalība un komunikācijas aktivitātes</w:t>
            </w:r>
          </w:p>
        </w:tc>
      </w:tr>
      <w:tr w:rsidR="000C7259" w:rsidRPr="000C7259" w:rsidTr="005D6295">
        <w:tc>
          <w:tcPr>
            <w:tcW w:w="418" w:type="dxa"/>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1.</w:t>
            </w:r>
          </w:p>
        </w:tc>
        <w:tc>
          <w:tcPr>
            <w:tcW w:w="2976" w:type="dxa"/>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Plānotās sabiedrības līdzdalības un komunikācijas aktivitātes saistībā ar projektu</w:t>
            </w:r>
          </w:p>
        </w:tc>
        <w:tc>
          <w:tcPr>
            <w:tcW w:w="5661" w:type="dxa"/>
            <w:tcBorders>
              <w:top w:val="outset" w:sz="6" w:space="0" w:color="414142"/>
              <w:left w:val="outset" w:sz="6" w:space="0" w:color="414142"/>
              <w:bottom w:val="outset" w:sz="6" w:space="0" w:color="414142"/>
              <w:right w:val="outset" w:sz="6" w:space="0" w:color="414142"/>
            </w:tcBorders>
            <w:hideMark/>
          </w:tcPr>
          <w:p w:rsidR="005071F3" w:rsidRPr="005071F3" w:rsidRDefault="005071F3" w:rsidP="005071F3">
            <w:pPr>
              <w:spacing w:after="0" w:line="240" w:lineRule="auto"/>
              <w:ind w:right="102"/>
              <w:jc w:val="both"/>
              <w:rPr>
                <w:rFonts w:ascii="Times New Roman" w:hAnsi="Times New Roman" w:cs="Times New Roman"/>
                <w:sz w:val="28"/>
                <w:szCs w:val="28"/>
              </w:rPr>
            </w:pPr>
            <w:r w:rsidRPr="005071F3">
              <w:rPr>
                <w:rFonts w:ascii="Times New Roman" w:hAnsi="Times New Roman" w:cs="Times New Roman"/>
                <w:sz w:val="28"/>
                <w:szCs w:val="28"/>
              </w:rPr>
              <w:t>Par Likumprojektu tiks informēta sabiedrība, informāciju publicējot Aizsardzības  ministrijas tīmekļa vietnē</w:t>
            </w:r>
            <w:r w:rsidR="005D6295">
              <w:rPr>
                <w:rFonts w:ascii="Times New Roman" w:hAnsi="Times New Roman" w:cs="Times New Roman"/>
                <w:sz w:val="28"/>
                <w:szCs w:val="28"/>
              </w:rPr>
              <w:t>,</w:t>
            </w:r>
            <w:r w:rsidR="005D6295" w:rsidRPr="005071F3">
              <w:rPr>
                <w:rFonts w:ascii="Times New Roman" w:hAnsi="Times New Roman" w:cs="Times New Roman"/>
                <w:sz w:val="28"/>
                <w:szCs w:val="28"/>
              </w:rPr>
              <w:t xml:space="preserve"> adrese: </w:t>
            </w:r>
            <w:hyperlink r:id="rId8" w:history="1">
              <w:r w:rsidR="005D6295" w:rsidRPr="005071F3">
                <w:rPr>
                  <w:rFonts w:ascii="Times New Roman" w:hAnsi="Times New Roman" w:cs="Times New Roman"/>
                  <w:color w:val="0000FF"/>
                  <w:sz w:val="28"/>
                  <w:szCs w:val="28"/>
                  <w:u w:val="single"/>
                </w:rPr>
                <w:t>www.mod.gov.lv</w:t>
              </w:r>
            </w:hyperlink>
            <w:r w:rsidRPr="005071F3">
              <w:rPr>
                <w:rFonts w:ascii="Times New Roman" w:hAnsi="Times New Roman" w:cs="Times New Roman"/>
                <w:sz w:val="28"/>
                <w:szCs w:val="28"/>
              </w:rPr>
              <w:t>.</w:t>
            </w:r>
          </w:p>
          <w:p w:rsidR="00F9332A" w:rsidRPr="00AD0F29" w:rsidRDefault="005071F3" w:rsidP="005071F3">
            <w:pPr>
              <w:spacing w:after="0" w:line="240" w:lineRule="auto"/>
              <w:ind w:right="102"/>
              <w:jc w:val="both"/>
              <w:rPr>
                <w:rFonts w:ascii="Times New Roman" w:hAnsi="Times New Roman" w:cs="Times New Roman"/>
                <w:sz w:val="28"/>
                <w:szCs w:val="28"/>
              </w:rPr>
            </w:pPr>
            <w:r w:rsidRPr="005071F3">
              <w:rPr>
                <w:rFonts w:ascii="Times New Roman" w:eastAsia="Times New Roman" w:hAnsi="Times New Roman" w:cs="Times New Roman"/>
                <w:sz w:val="28"/>
                <w:szCs w:val="28"/>
                <w:lang w:eastAsia="lv-LV"/>
              </w:rPr>
              <w:t xml:space="preserve">Pēc Likumprojekta izsludināšanas Valsts sekretāru sanāksmē tas būs pieejams Ministru kabineta </w:t>
            </w:r>
            <w:r w:rsidRPr="005071F3">
              <w:rPr>
                <w:rFonts w:ascii="Times New Roman" w:hAnsi="Times New Roman" w:cs="Times New Roman"/>
                <w:sz w:val="28"/>
                <w:szCs w:val="28"/>
              </w:rPr>
              <w:t>tīmekļa vietnē</w:t>
            </w:r>
            <w:r w:rsidR="005D6295">
              <w:rPr>
                <w:rFonts w:ascii="Times New Roman" w:hAnsi="Times New Roman" w:cs="Times New Roman"/>
                <w:sz w:val="28"/>
                <w:szCs w:val="28"/>
              </w:rPr>
              <w:t>,</w:t>
            </w:r>
            <w:r w:rsidR="005D6295" w:rsidRPr="005071F3">
              <w:rPr>
                <w:rFonts w:ascii="Times New Roman" w:hAnsi="Times New Roman" w:cs="Times New Roman"/>
                <w:sz w:val="28"/>
                <w:szCs w:val="28"/>
              </w:rPr>
              <w:t xml:space="preserve"> adrese: </w:t>
            </w:r>
            <w:hyperlink r:id="rId9" w:history="1">
              <w:r w:rsidR="005D6295" w:rsidRPr="005071F3">
                <w:rPr>
                  <w:rFonts w:ascii="Times New Roman" w:hAnsi="Times New Roman" w:cs="Times New Roman"/>
                  <w:color w:val="0000FF"/>
                  <w:sz w:val="28"/>
                  <w:szCs w:val="28"/>
                  <w:u w:val="single"/>
                </w:rPr>
                <w:t>www.mk.gov.lv</w:t>
              </w:r>
            </w:hyperlink>
            <w:r w:rsidRPr="005071F3">
              <w:rPr>
                <w:rFonts w:ascii="Times New Roman" w:eastAsia="Times New Roman" w:hAnsi="Times New Roman" w:cs="Times New Roman"/>
                <w:sz w:val="28"/>
                <w:szCs w:val="28"/>
                <w:lang w:eastAsia="lv-LV"/>
              </w:rPr>
              <w:t>.</w:t>
            </w:r>
          </w:p>
        </w:tc>
      </w:tr>
      <w:tr w:rsidR="000C7259" w:rsidRPr="000C7259" w:rsidTr="005D6295">
        <w:tc>
          <w:tcPr>
            <w:tcW w:w="418" w:type="dxa"/>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2.</w:t>
            </w:r>
          </w:p>
        </w:tc>
        <w:tc>
          <w:tcPr>
            <w:tcW w:w="2976" w:type="dxa"/>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Sabiedrības līdzdalība projekta izstrādē</w:t>
            </w:r>
          </w:p>
        </w:tc>
        <w:tc>
          <w:tcPr>
            <w:tcW w:w="5661" w:type="dxa"/>
            <w:tcBorders>
              <w:top w:val="outset" w:sz="6" w:space="0" w:color="414142"/>
              <w:left w:val="outset" w:sz="6" w:space="0" w:color="414142"/>
              <w:bottom w:val="outset" w:sz="6" w:space="0" w:color="414142"/>
              <w:right w:val="outset" w:sz="6" w:space="0" w:color="414142"/>
            </w:tcBorders>
            <w:hideMark/>
          </w:tcPr>
          <w:p w:rsidR="005D6295" w:rsidRPr="00C469E2" w:rsidRDefault="005D6295" w:rsidP="005D6295">
            <w:pPr>
              <w:spacing w:after="0" w:line="240" w:lineRule="auto"/>
              <w:ind w:right="102"/>
              <w:jc w:val="both"/>
              <w:rPr>
                <w:rFonts w:ascii="Times New Roman" w:hAnsi="Times New Roman" w:cs="Times New Roman"/>
                <w:sz w:val="28"/>
                <w:szCs w:val="28"/>
              </w:rPr>
            </w:pPr>
            <w:r w:rsidRPr="00C469E2">
              <w:rPr>
                <w:rFonts w:ascii="Times New Roman" w:hAnsi="Times New Roman" w:cs="Times New Roman"/>
                <w:sz w:val="28"/>
                <w:szCs w:val="28"/>
              </w:rPr>
              <w:t xml:space="preserve">Likumprojekts 2018.gada 31.janvārī tika publicēts Aizsardzības ministrijas tīmekļvietnē, adrese: </w:t>
            </w:r>
            <w:hyperlink r:id="rId10" w:history="1">
              <w:r w:rsidRPr="00C469E2">
                <w:rPr>
                  <w:rStyle w:val="Hyperlink"/>
                  <w:rFonts w:ascii="Times New Roman" w:eastAsia="Times New Roman" w:hAnsi="Times New Roman" w:cs="Times New Roman"/>
                  <w:sz w:val="28"/>
                  <w:szCs w:val="28"/>
                </w:rPr>
                <w:t>http://www.mod.gov.lv/Ministrija/Sab_lidzdaliba/Sa_Pa.aspx</w:t>
              </w:r>
            </w:hyperlink>
            <w:r>
              <w:rPr>
                <w:rFonts w:ascii="Times New Roman" w:eastAsia="Times New Roman" w:hAnsi="Times New Roman" w:cs="Times New Roman"/>
                <w:color w:val="000000"/>
                <w:sz w:val="28"/>
                <w:szCs w:val="28"/>
              </w:rPr>
              <w:t>,</w:t>
            </w:r>
            <w:r w:rsidRPr="00C469E2">
              <w:rPr>
                <w:rFonts w:ascii="Times New Roman" w:hAnsi="Times New Roman" w:cs="Times New Roman"/>
                <w:sz w:val="28"/>
                <w:szCs w:val="28"/>
              </w:rPr>
              <w:t>sadaļā “Sabiedrības līdzdalība”, lūdzot sniegt priekšlikumus par likumprojektu līdz 2018.gada 14.februārim.</w:t>
            </w:r>
          </w:p>
          <w:p w:rsidR="00BB46E5" w:rsidRPr="00B2248B" w:rsidRDefault="005D6295" w:rsidP="005D6295">
            <w:pPr>
              <w:spacing w:after="0" w:line="240" w:lineRule="auto"/>
              <w:ind w:right="102"/>
              <w:jc w:val="both"/>
              <w:rPr>
                <w:rFonts w:ascii="Times New Roman" w:hAnsi="Times New Roman" w:cs="Times New Roman"/>
                <w:sz w:val="28"/>
                <w:szCs w:val="28"/>
              </w:rPr>
            </w:pPr>
            <w:r w:rsidRPr="00C469E2">
              <w:rPr>
                <w:rFonts w:ascii="Times New Roman" w:hAnsi="Times New Roman" w:cs="Times New Roman"/>
                <w:sz w:val="28"/>
                <w:szCs w:val="28"/>
              </w:rPr>
              <w:t xml:space="preserve">Tāpat atsaucoties uz Valsts pārvaldes iekārtas likuma 10.panta septītās daļas regulējumu, Atsauce uz likumprojektu 2018.gada 31.janvārī tika publicēta Ministru kabineta tīmekļvietnē, adrese: </w:t>
            </w:r>
            <w:hyperlink r:id="rId11" w:history="1">
              <w:r w:rsidRPr="00C469E2">
                <w:rPr>
                  <w:rStyle w:val="Hyperlink"/>
                  <w:rFonts w:ascii="Times New Roman" w:hAnsi="Times New Roman" w:cs="Times New Roman"/>
                  <w:sz w:val="28"/>
                  <w:szCs w:val="28"/>
                </w:rPr>
                <w:t>https://mk.gov.lv/content/ministru-kabineta-diskusiju-dokumenti</w:t>
              </w:r>
            </w:hyperlink>
            <w:r w:rsidRPr="00C469E2">
              <w:rPr>
                <w:rFonts w:ascii="Times New Roman" w:hAnsi="Times New Roman" w:cs="Times New Roman"/>
                <w:sz w:val="28"/>
                <w:szCs w:val="28"/>
              </w:rPr>
              <w:t>.</w:t>
            </w:r>
          </w:p>
        </w:tc>
      </w:tr>
      <w:tr w:rsidR="000C7259" w:rsidRPr="000C7259" w:rsidTr="005D6295">
        <w:tc>
          <w:tcPr>
            <w:tcW w:w="418" w:type="dxa"/>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3.</w:t>
            </w:r>
          </w:p>
        </w:tc>
        <w:tc>
          <w:tcPr>
            <w:tcW w:w="2976" w:type="dxa"/>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Sabiedrības līdzdalības rezultāti</w:t>
            </w:r>
          </w:p>
        </w:tc>
        <w:tc>
          <w:tcPr>
            <w:tcW w:w="5661" w:type="dxa"/>
            <w:tcBorders>
              <w:top w:val="outset" w:sz="6" w:space="0" w:color="414142"/>
              <w:left w:val="outset" w:sz="6" w:space="0" w:color="414142"/>
              <w:bottom w:val="outset" w:sz="6" w:space="0" w:color="414142"/>
              <w:right w:val="outset" w:sz="6" w:space="0" w:color="414142"/>
            </w:tcBorders>
            <w:hideMark/>
          </w:tcPr>
          <w:p w:rsidR="00D636E7" w:rsidRPr="00AD0F29" w:rsidRDefault="005D6295" w:rsidP="005071F3">
            <w:pPr>
              <w:spacing w:after="0" w:line="240" w:lineRule="auto"/>
              <w:jc w:val="both"/>
              <w:rPr>
                <w:rFonts w:ascii="Times New Roman" w:hAnsi="Times New Roman" w:cs="Times New Roman"/>
                <w:sz w:val="28"/>
                <w:szCs w:val="28"/>
              </w:rPr>
            </w:pPr>
            <w:r>
              <w:rPr>
                <w:rStyle w:val="Emphasis"/>
                <w:rFonts w:ascii="Times New Roman" w:hAnsi="Times New Roman" w:cs="Times New Roman"/>
                <w:bCs/>
                <w:i w:val="0"/>
                <w:sz w:val="28"/>
                <w:szCs w:val="28"/>
              </w:rPr>
              <w:t>S</w:t>
            </w:r>
            <w:r>
              <w:rPr>
                <w:rFonts w:ascii="Times New Roman" w:hAnsi="Times New Roman" w:cs="Times New Roman"/>
                <w:sz w:val="28"/>
                <w:szCs w:val="28"/>
                <w:shd w:val="clear" w:color="auto" w:fill="FFFFFF"/>
              </w:rPr>
              <w:t xml:space="preserve">abiedrības </w:t>
            </w:r>
            <w:r w:rsidRPr="00AD0F29">
              <w:rPr>
                <w:rFonts w:ascii="Times New Roman" w:hAnsi="Times New Roman" w:cs="Times New Roman"/>
                <w:sz w:val="28"/>
                <w:szCs w:val="28"/>
                <w:shd w:val="clear" w:color="auto" w:fill="FFFFFF"/>
              </w:rPr>
              <w:t xml:space="preserve">līdzdalības procesa </w:t>
            </w:r>
            <w:r>
              <w:rPr>
                <w:rFonts w:ascii="Times New Roman" w:hAnsi="Times New Roman" w:cs="Times New Roman"/>
                <w:sz w:val="28"/>
                <w:szCs w:val="28"/>
                <w:shd w:val="clear" w:color="auto" w:fill="FFFFFF"/>
              </w:rPr>
              <w:t>laikā netika saņemti iebildumi vai priekšlikumi par Likumprojektu.</w:t>
            </w:r>
          </w:p>
        </w:tc>
      </w:tr>
      <w:tr w:rsidR="000C7259" w:rsidRPr="000C7259" w:rsidTr="005D6295">
        <w:tc>
          <w:tcPr>
            <w:tcW w:w="418" w:type="dxa"/>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4.</w:t>
            </w:r>
          </w:p>
        </w:tc>
        <w:tc>
          <w:tcPr>
            <w:tcW w:w="2976" w:type="dxa"/>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5661" w:type="dxa"/>
            <w:tcBorders>
              <w:top w:val="outset" w:sz="6" w:space="0" w:color="414142"/>
              <w:left w:val="outset" w:sz="6" w:space="0" w:color="414142"/>
              <w:bottom w:val="outset" w:sz="6" w:space="0" w:color="414142"/>
              <w:right w:val="outset" w:sz="6" w:space="0" w:color="414142"/>
            </w:tcBorders>
            <w:hideMark/>
          </w:tcPr>
          <w:p w:rsidR="00D636E7" w:rsidRPr="000C7259" w:rsidRDefault="001F4310" w:rsidP="00B2248B">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VII. Tiesību akta projekta izpildes nodrošināšana un tās ietekme uz institūcijām</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F9332A" w:rsidRPr="001F4310" w:rsidRDefault="00193875" w:rsidP="0084422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NBS</w:t>
            </w:r>
            <w:r w:rsidRPr="00E3788D">
              <w:rPr>
                <w:rFonts w:ascii="Times New Roman" w:eastAsia="Times New Roman" w:hAnsi="Times New Roman" w:cs="Times New Roman"/>
                <w:sz w:val="28"/>
                <w:szCs w:val="28"/>
                <w:lang w:eastAsia="lv-LV"/>
              </w:rPr>
              <w:t>.</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3B6227"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Projekta izpildes ietekme uz pārvaldes funkcij</w:t>
            </w:r>
            <w:r w:rsidR="00CE3262">
              <w:rPr>
                <w:rFonts w:ascii="Times New Roman" w:hAnsi="Times New Roman" w:cs="Times New Roman"/>
                <w:sz w:val="28"/>
                <w:szCs w:val="28"/>
              </w:rPr>
              <w:t>ām un institucionālo struktūru.</w:t>
            </w:r>
          </w:p>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0A1C61" w:rsidRDefault="000A1C61" w:rsidP="00B2248B">
            <w:pPr>
              <w:spacing w:after="0" w:line="240" w:lineRule="auto"/>
              <w:ind w:right="102"/>
              <w:jc w:val="both"/>
              <w:rPr>
                <w:rFonts w:ascii="Times New Roman" w:eastAsia="Calibri" w:hAnsi="Times New Roman" w:cs="Times New Roman"/>
                <w:iCs/>
                <w:sz w:val="28"/>
                <w:szCs w:val="28"/>
              </w:rPr>
            </w:pPr>
            <w:r>
              <w:rPr>
                <w:rFonts w:ascii="Times New Roman" w:eastAsia="Calibri" w:hAnsi="Times New Roman" w:cs="Times New Roman"/>
                <w:iCs/>
                <w:sz w:val="28"/>
                <w:szCs w:val="28"/>
              </w:rPr>
              <w:t>Likump</w:t>
            </w:r>
            <w:r w:rsidRPr="000A1C61">
              <w:rPr>
                <w:rFonts w:ascii="Times New Roman" w:eastAsia="Calibri" w:hAnsi="Times New Roman" w:cs="Times New Roman"/>
                <w:iCs/>
                <w:sz w:val="28"/>
                <w:szCs w:val="28"/>
              </w:rPr>
              <w:t>rojekta izpildes rezultātā netiks izveidotas jaunas institūcijas un netiks likvidētas vai reorganizētas esošās institūcijas.</w:t>
            </w:r>
          </w:p>
          <w:p w:rsidR="00825675" w:rsidRDefault="00825675" w:rsidP="00B2248B">
            <w:pPr>
              <w:spacing w:after="0" w:line="240" w:lineRule="auto"/>
              <w:ind w:right="102"/>
              <w:jc w:val="both"/>
              <w:rPr>
                <w:rFonts w:ascii="Times New Roman" w:eastAsia="Calibri" w:hAnsi="Times New Roman" w:cs="Times New Roman"/>
                <w:iCs/>
                <w:sz w:val="28"/>
                <w:szCs w:val="28"/>
              </w:rPr>
            </w:pPr>
          </w:p>
          <w:p w:rsidR="00825675" w:rsidRPr="000A1C61" w:rsidRDefault="00825675" w:rsidP="00F9745C">
            <w:pPr>
              <w:pStyle w:val="naisnod"/>
              <w:spacing w:before="0" w:after="0"/>
              <w:ind w:right="57"/>
              <w:jc w:val="both"/>
              <w:rPr>
                <w:sz w:val="28"/>
                <w:szCs w:val="28"/>
              </w:rPr>
            </w:pP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1F4310" w:rsidP="00B2248B">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rsidR="00D636E7" w:rsidRDefault="00D636E7" w:rsidP="007B384B">
      <w:pPr>
        <w:spacing w:after="0" w:line="240" w:lineRule="auto"/>
        <w:rPr>
          <w:rFonts w:ascii="Times New Roman" w:hAnsi="Times New Roman" w:cs="Times New Roman"/>
          <w:sz w:val="28"/>
          <w:szCs w:val="28"/>
        </w:rPr>
      </w:pPr>
    </w:p>
    <w:p w:rsidR="001F4310" w:rsidRDefault="001F4310" w:rsidP="007B384B">
      <w:pPr>
        <w:spacing w:after="0" w:line="240" w:lineRule="auto"/>
        <w:rPr>
          <w:rFonts w:ascii="Times New Roman" w:hAnsi="Times New Roman" w:cs="Times New Roman"/>
          <w:sz w:val="28"/>
          <w:szCs w:val="28"/>
        </w:rPr>
      </w:pPr>
    </w:p>
    <w:p w:rsidR="003F3DF9" w:rsidRDefault="003F3DF9" w:rsidP="003F3DF9">
      <w:pPr>
        <w:spacing w:after="0" w:line="240" w:lineRule="auto"/>
        <w:rPr>
          <w:rFonts w:ascii="Times New Roman" w:hAnsi="Times New Roman" w:cs="Times New Roman"/>
          <w:sz w:val="28"/>
          <w:szCs w:val="28"/>
        </w:rPr>
      </w:pPr>
    </w:p>
    <w:p w:rsidR="003F3DF9" w:rsidRDefault="003F3DF9" w:rsidP="003F3DF9">
      <w:pPr>
        <w:spacing w:after="0" w:line="240" w:lineRule="auto"/>
        <w:rPr>
          <w:rFonts w:ascii="Times New Roman" w:hAnsi="Times New Roman" w:cs="Times New Roman"/>
          <w:sz w:val="28"/>
          <w:szCs w:val="28"/>
        </w:rPr>
      </w:pPr>
    </w:p>
    <w:p w:rsidR="00497F35" w:rsidRDefault="00497F35" w:rsidP="003F3DF9">
      <w:pPr>
        <w:spacing w:after="0" w:line="240" w:lineRule="auto"/>
        <w:rPr>
          <w:rFonts w:ascii="Times New Roman" w:hAnsi="Times New Roman" w:cs="Times New Roman"/>
          <w:sz w:val="28"/>
          <w:szCs w:val="28"/>
        </w:rPr>
      </w:pPr>
    </w:p>
    <w:p w:rsidR="00497F35" w:rsidRDefault="00497F35" w:rsidP="003F3DF9">
      <w:pPr>
        <w:spacing w:after="0" w:line="240" w:lineRule="auto"/>
        <w:rPr>
          <w:rFonts w:ascii="Times New Roman" w:hAnsi="Times New Roman" w:cs="Times New Roman"/>
          <w:sz w:val="28"/>
          <w:szCs w:val="28"/>
        </w:rPr>
      </w:pPr>
    </w:p>
    <w:p w:rsidR="003F3DF9" w:rsidRDefault="003F3DF9" w:rsidP="003F3DF9">
      <w:pPr>
        <w:spacing w:after="0" w:line="240" w:lineRule="auto"/>
        <w:rPr>
          <w:rFonts w:ascii="Times New Roman" w:hAnsi="Times New Roman" w:cs="Times New Roman"/>
          <w:sz w:val="28"/>
          <w:szCs w:val="28"/>
        </w:rPr>
      </w:pPr>
      <w:r>
        <w:rPr>
          <w:rFonts w:ascii="Times New Roman" w:hAnsi="Times New Roman" w:cs="Times New Roman"/>
          <w:sz w:val="28"/>
          <w:szCs w:val="28"/>
        </w:rPr>
        <w:t>Aizsardzības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Raimonds Bergmanis</w:t>
      </w:r>
    </w:p>
    <w:p w:rsidR="003F3DF9" w:rsidRDefault="003F3DF9" w:rsidP="003F3DF9">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3F3DF9" w:rsidRDefault="003F3DF9" w:rsidP="003F3DF9">
      <w:pPr>
        <w:tabs>
          <w:tab w:val="left" w:pos="6237"/>
        </w:tabs>
        <w:spacing w:after="0" w:line="240" w:lineRule="auto"/>
        <w:ind w:firstLine="720"/>
        <w:rPr>
          <w:rFonts w:ascii="Times New Roman" w:hAnsi="Times New Roman" w:cs="Times New Roman"/>
          <w:sz w:val="24"/>
          <w:szCs w:val="24"/>
        </w:rPr>
      </w:pPr>
    </w:p>
    <w:p w:rsidR="003F3DF9" w:rsidRDefault="003F3DF9" w:rsidP="003F3DF9">
      <w:pPr>
        <w:spacing w:after="0" w:line="240" w:lineRule="auto"/>
        <w:rPr>
          <w:rFonts w:ascii="Times New Roman" w:hAnsi="Times New Roman" w:cs="Times New Roman"/>
          <w:sz w:val="28"/>
          <w:szCs w:val="28"/>
        </w:rPr>
      </w:pPr>
    </w:p>
    <w:p w:rsidR="003F3DF9" w:rsidRDefault="003F3DF9" w:rsidP="003F3DF9">
      <w:pPr>
        <w:spacing w:after="0" w:line="240" w:lineRule="auto"/>
        <w:rPr>
          <w:rFonts w:ascii="Times New Roman" w:hAnsi="Times New Roman" w:cs="Times New Roman"/>
          <w:sz w:val="28"/>
          <w:szCs w:val="28"/>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497F35" w:rsidRDefault="00497F35"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spacing w:after="0" w:line="240" w:lineRule="auto"/>
        <w:rPr>
          <w:rFonts w:ascii="Times New Roman" w:hAnsi="Times New Roman" w:cs="Times New Roman"/>
          <w:sz w:val="20"/>
          <w:szCs w:val="20"/>
        </w:rPr>
      </w:pPr>
    </w:p>
    <w:p w:rsidR="003F3DF9" w:rsidRDefault="003F3DF9" w:rsidP="003F3DF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I.Gulbe, </w:t>
      </w:r>
      <w:r>
        <w:rPr>
          <w:rFonts w:ascii="Times New Roman" w:hAnsi="Times New Roman" w:cs="Times New Roman"/>
          <w:sz w:val="20"/>
          <w:szCs w:val="20"/>
          <w:lang w:eastAsia="ar-SA"/>
        </w:rPr>
        <w:t>67335127</w:t>
      </w:r>
    </w:p>
    <w:p w:rsidR="003F3DF9" w:rsidRDefault="000B3027" w:rsidP="003F3DF9">
      <w:pPr>
        <w:spacing w:after="0" w:line="240" w:lineRule="auto"/>
        <w:rPr>
          <w:rStyle w:val="Hyperlink"/>
          <w:lang w:eastAsia="ar-SA"/>
        </w:rPr>
      </w:pPr>
      <w:hyperlink r:id="rId12" w:history="1">
        <w:r w:rsidR="003F3DF9">
          <w:rPr>
            <w:rStyle w:val="Hyperlink"/>
            <w:rFonts w:ascii="Times New Roman" w:hAnsi="Times New Roman" w:cs="Times New Roman"/>
            <w:sz w:val="20"/>
            <w:szCs w:val="20"/>
            <w:lang w:eastAsia="ar-SA"/>
          </w:rPr>
          <w:t>ieva.gulbe@mod.gov.lv</w:t>
        </w:r>
      </w:hyperlink>
    </w:p>
    <w:p w:rsidR="001F4310" w:rsidRPr="000C7259" w:rsidRDefault="001F4310" w:rsidP="003F3DF9">
      <w:pPr>
        <w:spacing w:after="0" w:line="240" w:lineRule="auto"/>
        <w:rPr>
          <w:rFonts w:ascii="Times New Roman" w:hAnsi="Times New Roman" w:cs="Times New Roman"/>
          <w:sz w:val="28"/>
          <w:szCs w:val="28"/>
        </w:rPr>
      </w:pPr>
    </w:p>
    <w:sectPr w:rsidR="001F4310" w:rsidRPr="000C7259" w:rsidSect="00D42871">
      <w:headerReference w:type="default" r:id="rId13"/>
      <w:footerReference w:type="default" r:id="rId14"/>
      <w:footerReference w:type="first" r:id="rId15"/>
      <w:pgSz w:w="11906" w:h="16838"/>
      <w:pgMar w:top="1418" w:right="1134" w:bottom="1134" w:left="1701" w:header="709" w:footer="7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027" w:rsidRDefault="000B3027" w:rsidP="00894C55">
      <w:pPr>
        <w:spacing w:after="0" w:line="240" w:lineRule="auto"/>
      </w:pPr>
      <w:r>
        <w:separator/>
      </w:r>
    </w:p>
  </w:endnote>
  <w:endnote w:type="continuationSeparator" w:id="0">
    <w:p w:rsidR="000B3027" w:rsidRDefault="000B302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DEC" w:rsidRPr="00BC6EB9" w:rsidRDefault="00DA5DEC" w:rsidP="00DA5DEC">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517203">
      <w:rPr>
        <w:rFonts w:ascii="Times New Roman" w:hAnsi="Times New Roman" w:cs="Times New Roman"/>
        <w:color w:val="000000" w:themeColor="text1"/>
        <w:sz w:val="20"/>
        <w:szCs w:val="20"/>
      </w:rPr>
      <w:t>1602</w:t>
    </w:r>
    <w:r>
      <w:rPr>
        <w:rFonts w:ascii="Times New Roman" w:hAnsi="Times New Roman" w:cs="Times New Roman"/>
        <w:color w:val="000000" w:themeColor="text1"/>
        <w:sz w:val="20"/>
        <w:szCs w:val="20"/>
      </w:rPr>
      <w:t>18_Groz.MDL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B9" w:rsidRPr="00BC6EB9" w:rsidRDefault="00DA5DEC" w:rsidP="00BC6EB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517203">
      <w:rPr>
        <w:rFonts w:ascii="Times New Roman" w:hAnsi="Times New Roman" w:cs="Times New Roman"/>
        <w:color w:val="000000" w:themeColor="text1"/>
        <w:sz w:val="20"/>
        <w:szCs w:val="20"/>
      </w:rPr>
      <w:t>1602</w:t>
    </w:r>
    <w:r w:rsidR="001F4310">
      <w:rPr>
        <w:rFonts w:ascii="Times New Roman" w:hAnsi="Times New Roman" w:cs="Times New Roman"/>
        <w:color w:val="000000" w:themeColor="text1"/>
        <w:sz w:val="20"/>
        <w:szCs w:val="20"/>
      </w:rPr>
      <w:t>18</w:t>
    </w:r>
    <w:r w:rsidR="00BC6EB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Groz.MDL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027" w:rsidRDefault="000B3027" w:rsidP="00894C55">
      <w:pPr>
        <w:spacing w:after="0" w:line="240" w:lineRule="auto"/>
      </w:pPr>
      <w:r>
        <w:separator/>
      </w:r>
    </w:p>
  </w:footnote>
  <w:footnote w:type="continuationSeparator" w:id="0">
    <w:p w:rsidR="000B3027" w:rsidRDefault="000B302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8238"/>
      <w:docPartObj>
        <w:docPartGallery w:val="Page Numbers (Top of Page)"/>
        <w:docPartUnique/>
      </w:docPartObj>
    </w:sdtPr>
    <w:sdtEndPr>
      <w:rPr>
        <w:rFonts w:ascii="Times New Roman" w:hAnsi="Times New Roman" w:cs="Times New Roman"/>
        <w:noProof/>
      </w:rPr>
    </w:sdtEndPr>
    <w:sdtContent>
      <w:p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5A45BA">
          <w:rPr>
            <w:rFonts w:ascii="Times New Roman" w:hAnsi="Times New Roman" w:cs="Times New Roman"/>
            <w:noProof/>
          </w:rPr>
          <w:t>8</w:t>
        </w:r>
        <w:r w:rsidRPr="00623336">
          <w:rPr>
            <w:rFonts w:ascii="Times New Roman" w:hAnsi="Times New Roman" w:cs="Times New Roman"/>
            <w:noProof/>
          </w:rPr>
          <w:fldChar w:fldCharType="end"/>
        </w:r>
      </w:p>
    </w:sdtContent>
  </w:sdt>
  <w:p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u2.madsone.com/ad/100101514970199000125/96f95297fff44ea2/mads.gif" style="width:.7pt;height:.7pt;visibility:visible;mso-wrap-style:square" o:bullet="t">
        <v:imagedata r:id="rId1" o:title="mads"/>
      </v:shape>
    </w:pict>
  </w:numPicBullet>
  <w:abstractNum w:abstractNumId="0"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1"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5E9"/>
    <w:rsid w:val="000076B1"/>
    <w:rsid w:val="00015606"/>
    <w:rsid w:val="0001684B"/>
    <w:rsid w:val="000174A1"/>
    <w:rsid w:val="00021713"/>
    <w:rsid w:val="00040DDA"/>
    <w:rsid w:val="000518B9"/>
    <w:rsid w:val="000552BE"/>
    <w:rsid w:val="000576EB"/>
    <w:rsid w:val="000671A1"/>
    <w:rsid w:val="00070FDF"/>
    <w:rsid w:val="000757F3"/>
    <w:rsid w:val="00082436"/>
    <w:rsid w:val="000833ED"/>
    <w:rsid w:val="00083F56"/>
    <w:rsid w:val="00093B81"/>
    <w:rsid w:val="0009549D"/>
    <w:rsid w:val="00095860"/>
    <w:rsid w:val="000A1A0B"/>
    <w:rsid w:val="000A1C61"/>
    <w:rsid w:val="000B3027"/>
    <w:rsid w:val="000B331F"/>
    <w:rsid w:val="000B4F5A"/>
    <w:rsid w:val="000C033B"/>
    <w:rsid w:val="000C7259"/>
    <w:rsid w:val="000E054F"/>
    <w:rsid w:val="000E0EB9"/>
    <w:rsid w:val="000E14A7"/>
    <w:rsid w:val="000E6927"/>
    <w:rsid w:val="000F16D0"/>
    <w:rsid w:val="000F1DC3"/>
    <w:rsid w:val="000F2A75"/>
    <w:rsid w:val="00100D4C"/>
    <w:rsid w:val="001039BA"/>
    <w:rsid w:val="001049A5"/>
    <w:rsid w:val="0010523E"/>
    <w:rsid w:val="00105A29"/>
    <w:rsid w:val="001105E0"/>
    <w:rsid w:val="00116A2A"/>
    <w:rsid w:val="00123356"/>
    <w:rsid w:val="00123E4D"/>
    <w:rsid w:val="00126A05"/>
    <w:rsid w:val="00127F04"/>
    <w:rsid w:val="00131B15"/>
    <w:rsid w:val="0014348D"/>
    <w:rsid w:val="00156B99"/>
    <w:rsid w:val="001620AC"/>
    <w:rsid w:val="00163A46"/>
    <w:rsid w:val="00167D1D"/>
    <w:rsid w:val="00171BBD"/>
    <w:rsid w:val="00173ECC"/>
    <w:rsid w:val="0017680D"/>
    <w:rsid w:val="001804CA"/>
    <w:rsid w:val="00185A92"/>
    <w:rsid w:val="00187BBA"/>
    <w:rsid w:val="00193875"/>
    <w:rsid w:val="00195B81"/>
    <w:rsid w:val="001B7435"/>
    <w:rsid w:val="001C2E7C"/>
    <w:rsid w:val="001D578D"/>
    <w:rsid w:val="001E0601"/>
    <w:rsid w:val="001E31A3"/>
    <w:rsid w:val="001E42EB"/>
    <w:rsid w:val="001E49C3"/>
    <w:rsid w:val="001F4310"/>
    <w:rsid w:val="001F469F"/>
    <w:rsid w:val="00204272"/>
    <w:rsid w:val="00206E64"/>
    <w:rsid w:val="0021218A"/>
    <w:rsid w:val="00216C9D"/>
    <w:rsid w:val="00221B71"/>
    <w:rsid w:val="002226B8"/>
    <w:rsid w:val="00227982"/>
    <w:rsid w:val="0023028E"/>
    <w:rsid w:val="00236544"/>
    <w:rsid w:val="00243426"/>
    <w:rsid w:val="00253E12"/>
    <w:rsid w:val="002553A5"/>
    <w:rsid w:val="00256CBD"/>
    <w:rsid w:val="002573C1"/>
    <w:rsid w:val="0025764A"/>
    <w:rsid w:val="00262B9E"/>
    <w:rsid w:val="00264582"/>
    <w:rsid w:val="00265157"/>
    <w:rsid w:val="002669A8"/>
    <w:rsid w:val="00267272"/>
    <w:rsid w:val="002714AA"/>
    <w:rsid w:val="00271634"/>
    <w:rsid w:val="00273372"/>
    <w:rsid w:val="00280CFA"/>
    <w:rsid w:val="00281E5F"/>
    <w:rsid w:val="0028362B"/>
    <w:rsid w:val="00294E27"/>
    <w:rsid w:val="002A51E2"/>
    <w:rsid w:val="002B4F8B"/>
    <w:rsid w:val="002B5260"/>
    <w:rsid w:val="002D1CD4"/>
    <w:rsid w:val="002D2E2A"/>
    <w:rsid w:val="002D4472"/>
    <w:rsid w:val="002E2C57"/>
    <w:rsid w:val="002E4528"/>
    <w:rsid w:val="003121DC"/>
    <w:rsid w:val="003147DF"/>
    <w:rsid w:val="003156E6"/>
    <w:rsid w:val="00315988"/>
    <w:rsid w:val="00333C01"/>
    <w:rsid w:val="00335983"/>
    <w:rsid w:val="00337672"/>
    <w:rsid w:val="00351722"/>
    <w:rsid w:val="0035368F"/>
    <w:rsid w:val="003571B1"/>
    <w:rsid w:val="0035778E"/>
    <w:rsid w:val="00367387"/>
    <w:rsid w:val="0037347B"/>
    <w:rsid w:val="00375C11"/>
    <w:rsid w:val="0037710D"/>
    <w:rsid w:val="00387718"/>
    <w:rsid w:val="00387F75"/>
    <w:rsid w:val="00391005"/>
    <w:rsid w:val="00397A2A"/>
    <w:rsid w:val="003A0F52"/>
    <w:rsid w:val="003A6678"/>
    <w:rsid w:val="003B0BF9"/>
    <w:rsid w:val="003B0C20"/>
    <w:rsid w:val="003B10B9"/>
    <w:rsid w:val="003B6227"/>
    <w:rsid w:val="003C28B5"/>
    <w:rsid w:val="003C5CB7"/>
    <w:rsid w:val="003D232D"/>
    <w:rsid w:val="003D270A"/>
    <w:rsid w:val="003D3C64"/>
    <w:rsid w:val="003E0791"/>
    <w:rsid w:val="003E3ED5"/>
    <w:rsid w:val="003E47B2"/>
    <w:rsid w:val="003E5D68"/>
    <w:rsid w:val="003F28AC"/>
    <w:rsid w:val="003F3DF9"/>
    <w:rsid w:val="004011F3"/>
    <w:rsid w:val="0041025D"/>
    <w:rsid w:val="004150B2"/>
    <w:rsid w:val="004169F0"/>
    <w:rsid w:val="00426CED"/>
    <w:rsid w:val="004317BE"/>
    <w:rsid w:val="0043544F"/>
    <w:rsid w:val="004454FE"/>
    <w:rsid w:val="004468C9"/>
    <w:rsid w:val="004560C9"/>
    <w:rsid w:val="00462FFB"/>
    <w:rsid w:val="0047017A"/>
    <w:rsid w:val="00471F27"/>
    <w:rsid w:val="004723BD"/>
    <w:rsid w:val="00472806"/>
    <w:rsid w:val="00474F50"/>
    <w:rsid w:val="00477119"/>
    <w:rsid w:val="00490FA5"/>
    <w:rsid w:val="00497664"/>
    <w:rsid w:val="00497F35"/>
    <w:rsid w:val="004A35CA"/>
    <w:rsid w:val="004A4F9C"/>
    <w:rsid w:val="004B1113"/>
    <w:rsid w:val="004B16BF"/>
    <w:rsid w:val="004C20AE"/>
    <w:rsid w:val="004C2B4E"/>
    <w:rsid w:val="004C6E08"/>
    <w:rsid w:val="004D2582"/>
    <w:rsid w:val="004D2958"/>
    <w:rsid w:val="004E3684"/>
    <w:rsid w:val="004E487C"/>
    <w:rsid w:val="004F5DA3"/>
    <w:rsid w:val="004F7106"/>
    <w:rsid w:val="0050178F"/>
    <w:rsid w:val="0050386F"/>
    <w:rsid w:val="005071F3"/>
    <w:rsid w:val="00512405"/>
    <w:rsid w:val="00517203"/>
    <w:rsid w:val="005360B2"/>
    <w:rsid w:val="00541961"/>
    <w:rsid w:val="00552E61"/>
    <w:rsid w:val="00556576"/>
    <w:rsid w:val="00571CD4"/>
    <w:rsid w:val="00591FE3"/>
    <w:rsid w:val="00594C70"/>
    <w:rsid w:val="005A45BA"/>
    <w:rsid w:val="005A4F56"/>
    <w:rsid w:val="005A67EE"/>
    <w:rsid w:val="005B5792"/>
    <w:rsid w:val="005B749A"/>
    <w:rsid w:val="005C0E37"/>
    <w:rsid w:val="005C6107"/>
    <w:rsid w:val="005D0E11"/>
    <w:rsid w:val="005D555E"/>
    <w:rsid w:val="005D6295"/>
    <w:rsid w:val="005E3F8F"/>
    <w:rsid w:val="005E7A4C"/>
    <w:rsid w:val="005F2367"/>
    <w:rsid w:val="00601392"/>
    <w:rsid w:val="006019A2"/>
    <w:rsid w:val="0061570A"/>
    <w:rsid w:val="00623336"/>
    <w:rsid w:val="00624181"/>
    <w:rsid w:val="0064450F"/>
    <w:rsid w:val="00656710"/>
    <w:rsid w:val="00664CE3"/>
    <w:rsid w:val="0069151F"/>
    <w:rsid w:val="00696834"/>
    <w:rsid w:val="006B3C6A"/>
    <w:rsid w:val="006B5893"/>
    <w:rsid w:val="006B6B0F"/>
    <w:rsid w:val="006C124A"/>
    <w:rsid w:val="006C4F2A"/>
    <w:rsid w:val="006E1081"/>
    <w:rsid w:val="006F5968"/>
    <w:rsid w:val="0070142F"/>
    <w:rsid w:val="00707A13"/>
    <w:rsid w:val="00711896"/>
    <w:rsid w:val="00711BFB"/>
    <w:rsid w:val="00720585"/>
    <w:rsid w:val="00733066"/>
    <w:rsid w:val="00735234"/>
    <w:rsid w:val="007379D5"/>
    <w:rsid w:val="00737CA3"/>
    <w:rsid w:val="00742C40"/>
    <w:rsid w:val="00744920"/>
    <w:rsid w:val="00747962"/>
    <w:rsid w:val="00752A2E"/>
    <w:rsid w:val="007560F4"/>
    <w:rsid w:val="00761B0F"/>
    <w:rsid w:val="00762D38"/>
    <w:rsid w:val="007669EB"/>
    <w:rsid w:val="00773AF6"/>
    <w:rsid w:val="00775E54"/>
    <w:rsid w:val="00781EC3"/>
    <w:rsid w:val="007A6767"/>
    <w:rsid w:val="007B384B"/>
    <w:rsid w:val="007B4598"/>
    <w:rsid w:val="007B4E90"/>
    <w:rsid w:val="007B62F9"/>
    <w:rsid w:val="007F5507"/>
    <w:rsid w:val="00803D8A"/>
    <w:rsid w:val="0080697A"/>
    <w:rsid w:val="00806C46"/>
    <w:rsid w:val="008140E8"/>
    <w:rsid w:val="00816C11"/>
    <w:rsid w:val="00820830"/>
    <w:rsid w:val="00823C72"/>
    <w:rsid w:val="00825675"/>
    <w:rsid w:val="00827743"/>
    <w:rsid w:val="00830840"/>
    <w:rsid w:val="00844223"/>
    <w:rsid w:val="008469D7"/>
    <w:rsid w:val="00852341"/>
    <w:rsid w:val="00862F60"/>
    <w:rsid w:val="008636D4"/>
    <w:rsid w:val="0086418A"/>
    <w:rsid w:val="0087471C"/>
    <w:rsid w:val="0088156F"/>
    <w:rsid w:val="00885F7F"/>
    <w:rsid w:val="00894C55"/>
    <w:rsid w:val="008979C9"/>
    <w:rsid w:val="008B6537"/>
    <w:rsid w:val="008B74C5"/>
    <w:rsid w:val="008C1113"/>
    <w:rsid w:val="008E5A7A"/>
    <w:rsid w:val="0090086E"/>
    <w:rsid w:val="009009C2"/>
    <w:rsid w:val="009167A0"/>
    <w:rsid w:val="00922451"/>
    <w:rsid w:val="0092555D"/>
    <w:rsid w:val="00934041"/>
    <w:rsid w:val="0094010B"/>
    <w:rsid w:val="00943674"/>
    <w:rsid w:val="009441F2"/>
    <w:rsid w:val="009452F1"/>
    <w:rsid w:val="00956DA8"/>
    <w:rsid w:val="00966CF6"/>
    <w:rsid w:val="00982496"/>
    <w:rsid w:val="009831C7"/>
    <w:rsid w:val="00984E7E"/>
    <w:rsid w:val="009874A6"/>
    <w:rsid w:val="00994D69"/>
    <w:rsid w:val="009A197D"/>
    <w:rsid w:val="009A4FAB"/>
    <w:rsid w:val="009A5D6B"/>
    <w:rsid w:val="009B1031"/>
    <w:rsid w:val="009C74A0"/>
    <w:rsid w:val="009E00EA"/>
    <w:rsid w:val="009F3690"/>
    <w:rsid w:val="00A0047D"/>
    <w:rsid w:val="00A02E35"/>
    <w:rsid w:val="00A162E9"/>
    <w:rsid w:val="00A25BF8"/>
    <w:rsid w:val="00A36AC1"/>
    <w:rsid w:val="00A409CE"/>
    <w:rsid w:val="00A4229D"/>
    <w:rsid w:val="00A441D0"/>
    <w:rsid w:val="00A552A5"/>
    <w:rsid w:val="00A558AB"/>
    <w:rsid w:val="00A67EE7"/>
    <w:rsid w:val="00A71117"/>
    <w:rsid w:val="00A83378"/>
    <w:rsid w:val="00A853E7"/>
    <w:rsid w:val="00A936CD"/>
    <w:rsid w:val="00A959AB"/>
    <w:rsid w:val="00A978E0"/>
    <w:rsid w:val="00AB3E9E"/>
    <w:rsid w:val="00AB7AAE"/>
    <w:rsid w:val="00AC620C"/>
    <w:rsid w:val="00AD0F29"/>
    <w:rsid w:val="00AD2E74"/>
    <w:rsid w:val="00AD352A"/>
    <w:rsid w:val="00AD41C0"/>
    <w:rsid w:val="00AE1371"/>
    <w:rsid w:val="00AE516C"/>
    <w:rsid w:val="00AE5567"/>
    <w:rsid w:val="00B019F1"/>
    <w:rsid w:val="00B03F17"/>
    <w:rsid w:val="00B2165C"/>
    <w:rsid w:val="00B2248B"/>
    <w:rsid w:val="00B3071C"/>
    <w:rsid w:val="00B46701"/>
    <w:rsid w:val="00B53B6F"/>
    <w:rsid w:val="00B67185"/>
    <w:rsid w:val="00B74D13"/>
    <w:rsid w:val="00B83655"/>
    <w:rsid w:val="00B8769B"/>
    <w:rsid w:val="00B95EF9"/>
    <w:rsid w:val="00BB044D"/>
    <w:rsid w:val="00BB1432"/>
    <w:rsid w:val="00BB46E5"/>
    <w:rsid w:val="00BB5A92"/>
    <w:rsid w:val="00BB680D"/>
    <w:rsid w:val="00BB7C76"/>
    <w:rsid w:val="00BC6EB9"/>
    <w:rsid w:val="00BD2146"/>
    <w:rsid w:val="00BD4425"/>
    <w:rsid w:val="00BE03CA"/>
    <w:rsid w:val="00BE1156"/>
    <w:rsid w:val="00BE4399"/>
    <w:rsid w:val="00BF4AB7"/>
    <w:rsid w:val="00C03E64"/>
    <w:rsid w:val="00C14B1C"/>
    <w:rsid w:val="00C25B49"/>
    <w:rsid w:val="00C275E5"/>
    <w:rsid w:val="00C33FBB"/>
    <w:rsid w:val="00C34C8D"/>
    <w:rsid w:val="00C458EC"/>
    <w:rsid w:val="00C45D1C"/>
    <w:rsid w:val="00C67429"/>
    <w:rsid w:val="00C72747"/>
    <w:rsid w:val="00C763C4"/>
    <w:rsid w:val="00C8269E"/>
    <w:rsid w:val="00C84ADF"/>
    <w:rsid w:val="00C9552F"/>
    <w:rsid w:val="00C9762C"/>
    <w:rsid w:val="00CA0297"/>
    <w:rsid w:val="00CA0C35"/>
    <w:rsid w:val="00CB009A"/>
    <w:rsid w:val="00CB1C4F"/>
    <w:rsid w:val="00CB5248"/>
    <w:rsid w:val="00CC214B"/>
    <w:rsid w:val="00CC7AD9"/>
    <w:rsid w:val="00CE0B30"/>
    <w:rsid w:val="00CE105D"/>
    <w:rsid w:val="00CE3262"/>
    <w:rsid w:val="00CE53AA"/>
    <w:rsid w:val="00CE5657"/>
    <w:rsid w:val="00CF3534"/>
    <w:rsid w:val="00CF58F2"/>
    <w:rsid w:val="00D00313"/>
    <w:rsid w:val="00D005FB"/>
    <w:rsid w:val="00D06DCB"/>
    <w:rsid w:val="00D17F7E"/>
    <w:rsid w:val="00D22E24"/>
    <w:rsid w:val="00D26A49"/>
    <w:rsid w:val="00D272DD"/>
    <w:rsid w:val="00D4092F"/>
    <w:rsid w:val="00D41BAF"/>
    <w:rsid w:val="00D42871"/>
    <w:rsid w:val="00D4347D"/>
    <w:rsid w:val="00D579BE"/>
    <w:rsid w:val="00D619B5"/>
    <w:rsid w:val="00D636E7"/>
    <w:rsid w:val="00D7224C"/>
    <w:rsid w:val="00D76DD4"/>
    <w:rsid w:val="00D776C9"/>
    <w:rsid w:val="00D777A2"/>
    <w:rsid w:val="00D777B6"/>
    <w:rsid w:val="00DA5DEC"/>
    <w:rsid w:val="00DC4A55"/>
    <w:rsid w:val="00DD047F"/>
    <w:rsid w:val="00DD784E"/>
    <w:rsid w:val="00DE467B"/>
    <w:rsid w:val="00DE4E3B"/>
    <w:rsid w:val="00DE7FA0"/>
    <w:rsid w:val="00DF516D"/>
    <w:rsid w:val="00DF5B1D"/>
    <w:rsid w:val="00E05A8E"/>
    <w:rsid w:val="00E11777"/>
    <w:rsid w:val="00E1616E"/>
    <w:rsid w:val="00E265FF"/>
    <w:rsid w:val="00E277C5"/>
    <w:rsid w:val="00E324A1"/>
    <w:rsid w:val="00E33729"/>
    <w:rsid w:val="00E40B1E"/>
    <w:rsid w:val="00E41ACD"/>
    <w:rsid w:val="00E41FB3"/>
    <w:rsid w:val="00E46232"/>
    <w:rsid w:val="00E5079B"/>
    <w:rsid w:val="00E56764"/>
    <w:rsid w:val="00E63576"/>
    <w:rsid w:val="00E64B99"/>
    <w:rsid w:val="00E667F6"/>
    <w:rsid w:val="00E73B54"/>
    <w:rsid w:val="00E76E25"/>
    <w:rsid w:val="00E80D43"/>
    <w:rsid w:val="00E82F5C"/>
    <w:rsid w:val="00E909CD"/>
    <w:rsid w:val="00E90C01"/>
    <w:rsid w:val="00E96007"/>
    <w:rsid w:val="00EA486E"/>
    <w:rsid w:val="00EA4D7C"/>
    <w:rsid w:val="00EA74FF"/>
    <w:rsid w:val="00EB64B0"/>
    <w:rsid w:val="00EB67F6"/>
    <w:rsid w:val="00EC549B"/>
    <w:rsid w:val="00EE16FE"/>
    <w:rsid w:val="00EE1832"/>
    <w:rsid w:val="00EF1EB4"/>
    <w:rsid w:val="00EF73ED"/>
    <w:rsid w:val="00F01347"/>
    <w:rsid w:val="00F05C4C"/>
    <w:rsid w:val="00F259E8"/>
    <w:rsid w:val="00F25AF0"/>
    <w:rsid w:val="00F304E3"/>
    <w:rsid w:val="00F3318F"/>
    <w:rsid w:val="00F504EC"/>
    <w:rsid w:val="00F57044"/>
    <w:rsid w:val="00F57B0C"/>
    <w:rsid w:val="00F6606B"/>
    <w:rsid w:val="00F71E23"/>
    <w:rsid w:val="00F7484E"/>
    <w:rsid w:val="00F8262D"/>
    <w:rsid w:val="00F83253"/>
    <w:rsid w:val="00F9332A"/>
    <w:rsid w:val="00F9745C"/>
    <w:rsid w:val="00FA02B6"/>
    <w:rsid w:val="00FA5E16"/>
    <w:rsid w:val="00FC524A"/>
    <w:rsid w:val="00FC7145"/>
    <w:rsid w:val="00FD0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25675"/>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5689419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gulbe@mo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d.gov.lv/Ministrija/Sab_lidzdaliba/Sa_Pa.aspx"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E558-2D56-4319-8303-A2A17F13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8244</Words>
  <Characters>4700</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Militārā dienesta likumā" sākotnējās ietekmes izvērtēšnas ziņojums (anotācija)</vt:lpstr>
      <vt:lpstr/>
    </vt:vector>
  </TitlesOfParts>
  <Company>Aizsardzības ministrija</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izvērtēšnas ziņojums (anotācija)</dc:title>
  <dc:subject>Anotācija</dc:subject>
  <dc:creator>Ieva Gulbe</dc:creator>
  <dc:description>ieva.gulbe@mod.gov.lv, 67335127</dc:description>
  <cp:lastModifiedBy>Jekaterina Borovika</cp:lastModifiedBy>
  <cp:revision>2</cp:revision>
  <cp:lastPrinted>2018-02-16T13:34:00Z</cp:lastPrinted>
  <dcterms:created xsi:type="dcterms:W3CDTF">2018-02-20T13:14:00Z</dcterms:created>
  <dcterms:modified xsi:type="dcterms:W3CDTF">2018-02-20T13:14:00Z</dcterms:modified>
</cp:coreProperties>
</file>