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57578" w:rsidRPr="00D5202A" w:rsidP="00957578" w14:paraId="456E3E68" w14:textId="77777777">
      <w:pPr>
        <w:spacing w:after="120" w:line="240" w:lineRule="auto"/>
        <w:rPr>
          <w:rFonts w:ascii="Times New Roman" w:eastAsia="Calibri" w:hAnsi="Times New Roman" w:cs="Times New Roman"/>
          <w:sz w:val="24"/>
          <w:szCs w:val="24"/>
          <w:lang w:eastAsia="lv-LV"/>
        </w:rPr>
      </w:pPr>
      <w:r w:rsidRPr="00D5202A">
        <w:rPr>
          <w:rFonts w:ascii="Times New Roman" w:eastAsia="Calibri" w:hAnsi="Times New Roman" w:cs="Times New Roman"/>
          <w:sz w:val="24"/>
          <w:szCs w:val="24"/>
          <w:lang w:eastAsia="lv-LV"/>
        </w:rPr>
        <w:t>2017. gada ___._________</w:t>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t>Noteikumi Nr.</w:t>
      </w:r>
    </w:p>
    <w:p w:rsidR="00957578" w:rsidRPr="00D5202A" w:rsidP="00957578" w14:paraId="315CF612" w14:textId="77777777">
      <w:pPr>
        <w:spacing w:after="120" w:line="240" w:lineRule="auto"/>
        <w:jc w:val="both"/>
        <w:rPr>
          <w:rFonts w:ascii="Times New Roman" w:eastAsia="Calibri" w:hAnsi="Times New Roman" w:cs="Times New Roman"/>
          <w:sz w:val="24"/>
          <w:szCs w:val="24"/>
          <w:lang w:eastAsia="lv-LV"/>
        </w:rPr>
      </w:pPr>
      <w:r w:rsidRPr="00D5202A">
        <w:rPr>
          <w:rFonts w:ascii="Times New Roman" w:eastAsia="Calibri" w:hAnsi="Times New Roman" w:cs="Times New Roman"/>
          <w:sz w:val="24"/>
          <w:szCs w:val="24"/>
          <w:lang w:eastAsia="lv-LV"/>
        </w:rPr>
        <w:t>Rīgā</w:t>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t>(prot.   Nr.   .§)</w:t>
      </w:r>
    </w:p>
    <w:p w:rsidR="00957578" w:rsidRPr="00D5202A" w:rsidP="00957578" w14:paraId="5658E5A8" w14:textId="77777777">
      <w:pPr>
        <w:shd w:val="clear" w:color="auto" w:fill="FFFFFF"/>
        <w:spacing w:line="240" w:lineRule="auto"/>
        <w:jc w:val="center"/>
        <w:rPr>
          <w:rFonts w:ascii="Times New Roman" w:eastAsia="Times New Roman" w:hAnsi="Times New Roman" w:cs="Times New Roman"/>
          <w:b/>
          <w:bCs/>
          <w:sz w:val="24"/>
          <w:szCs w:val="24"/>
          <w:lang w:eastAsia="lv-LV"/>
        </w:rPr>
      </w:pPr>
    </w:p>
    <w:p w:rsidR="00957578" w:rsidRPr="00D5202A" w:rsidP="00957578" w14:paraId="2B6F450F" w14:textId="77777777">
      <w:pPr>
        <w:shd w:val="clear" w:color="auto" w:fill="FFFFFF"/>
        <w:spacing w:line="240" w:lineRule="auto"/>
        <w:jc w:val="center"/>
        <w:rPr>
          <w:rFonts w:ascii="Times New Roman" w:eastAsia="Times New Roman" w:hAnsi="Times New Roman" w:cs="Times New Roman"/>
          <w:b/>
          <w:bCs/>
          <w:sz w:val="24"/>
          <w:szCs w:val="24"/>
          <w:lang w:eastAsia="lv-LV"/>
        </w:rPr>
      </w:pPr>
      <w:bookmarkStart w:id="0" w:name="_Hlk505701676"/>
      <w:r w:rsidRPr="00D5202A">
        <w:rPr>
          <w:rFonts w:ascii="Times New Roman" w:eastAsia="Times New Roman" w:hAnsi="Times New Roman" w:cs="Times New Roman"/>
          <w:b/>
          <w:b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p>
    <w:p w:rsidR="00957578" w:rsidRPr="000E1BC9" w:rsidP="00957578" w14:paraId="66B920EC" w14:textId="77777777">
      <w:pPr>
        <w:shd w:val="clear" w:color="auto" w:fill="FFFFFF"/>
        <w:spacing w:line="240" w:lineRule="auto"/>
        <w:jc w:val="right"/>
        <w:rPr>
          <w:rFonts w:ascii="Times New Roman" w:eastAsia="Times New Roman" w:hAnsi="Times New Roman" w:cs="Times New Roman"/>
          <w:i/>
          <w:iCs/>
          <w:sz w:val="24"/>
          <w:szCs w:val="24"/>
          <w:lang w:eastAsia="lv-LV"/>
        </w:rPr>
      </w:pPr>
      <w:bookmarkEnd w:id="0"/>
      <w:r w:rsidRPr="00D5202A">
        <w:rPr>
          <w:rFonts w:ascii="Times New Roman" w:eastAsia="Times New Roman" w:hAnsi="Times New Roman" w:cs="Times New Roman"/>
          <w:i/>
          <w:iCs/>
          <w:sz w:val="24"/>
          <w:szCs w:val="24"/>
          <w:lang w:eastAsia="lv-LV"/>
        </w:rPr>
        <w:t>Izdoti saskaņā ar </w:t>
      </w:r>
      <w:r>
        <w:fldChar w:fldCharType="begin"/>
      </w:r>
      <w:r>
        <w:instrText xml:space="preserve"> HYPERLINK "https://likumi.lv/ta/id/267471-eiropas-savienibas-strukturfondu-un-kohezijas-fonda-2014-2020-gada-planosanas-perioda-vadibas-likums" \t "_blank" </w:instrText>
      </w:r>
      <w:r>
        <w:fldChar w:fldCharType="separate"/>
      </w:r>
      <w:r w:rsidRPr="00D5202A">
        <w:rPr>
          <w:rFonts w:ascii="Times New Roman" w:eastAsia="Times New Roman" w:hAnsi="Times New Roman" w:cs="Times New Roman"/>
          <w:i/>
          <w:iCs/>
          <w:sz w:val="24"/>
          <w:szCs w:val="24"/>
          <w:lang w:eastAsia="lv-LV"/>
        </w:rPr>
        <w:t>Eiropas Savienības struktūrfondu </w:t>
      </w:r>
      <w:r w:rsidRPr="00D5202A">
        <w:rPr>
          <w:rFonts w:ascii="Times New Roman" w:eastAsia="Times New Roman" w:hAnsi="Times New Roman" w:cs="Times New Roman"/>
          <w:i/>
          <w:iCs/>
          <w:sz w:val="24"/>
          <w:szCs w:val="24"/>
          <w:lang w:eastAsia="lv-LV"/>
        </w:rPr>
        <w:br/>
        <w:t>un Kohēzijas fonda 2014.–2020. gada plānošanas perioda </w:t>
      </w:r>
      <w:r w:rsidRPr="00D5202A">
        <w:rPr>
          <w:rFonts w:ascii="Times New Roman" w:eastAsia="Times New Roman" w:hAnsi="Times New Roman" w:cs="Times New Roman"/>
          <w:i/>
          <w:iCs/>
          <w:sz w:val="24"/>
          <w:szCs w:val="24"/>
          <w:lang w:eastAsia="lv-LV"/>
        </w:rPr>
        <w:br/>
        <w:t>vadības likuma</w:t>
      </w:r>
      <w:r>
        <w:fldChar w:fldCharType="end"/>
      </w:r>
      <w:r w:rsidRPr="000E1BC9">
        <w:rPr>
          <w:rFonts w:ascii="Times New Roman" w:eastAsia="Times New Roman" w:hAnsi="Times New Roman" w:cs="Times New Roman"/>
          <w:i/>
          <w:iCs/>
          <w:sz w:val="24"/>
          <w:szCs w:val="24"/>
          <w:lang w:eastAsia="lv-LV"/>
        </w:rPr>
        <w:t> </w:t>
      </w:r>
      <w:r>
        <w:fldChar w:fldCharType="begin"/>
      </w:r>
      <w:r>
        <w:instrText xml:space="preserve"> HYPERLINK "https://likumi.lv/ta/id/267471-eiropas-savienibas-strukturfondu-un-kohezijas-fonda-2014-2020-gada-planosanas-perioda-vadibas-likums" \l "p20" \t "_blank" </w:instrText>
      </w:r>
      <w:r>
        <w:fldChar w:fldCharType="separate"/>
      </w:r>
      <w:r w:rsidRPr="00D5202A">
        <w:rPr>
          <w:rFonts w:ascii="Times New Roman" w:eastAsia="Times New Roman" w:hAnsi="Times New Roman" w:cs="Times New Roman"/>
          <w:i/>
          <w:iCs/>
          <w:sz w:val="24"/>
          <w:szCs w:val="24"/>
          <w:lang w:eastAsia="lv-LV"/>
        </w:rPr>
        <w:t>20. panta</w:t>
      </w:r>
      <w:r>
        <w:fldChar w:fldCharType="end"/>
      </w:r>
      <w:r w:rsidRPr="000E1BC9">
        <w:rPr>
          <w:rFonts w:ascii="Times New Roman" w:eastAsia="Times New Roman" w:hAnsi="Times New Roman" w:cs="Times New Roman"/>
          <w:i/>
          <w:iCs/>
          <w:sz w:val="24"/>
          <w:szCs w:val="24"/>
          <w:lang w:eastAsia="lv-LV"/>
        </w:rPr>
        <w:t> 13. punktu</w:t>
      </w:r>
    </w:p>
    <w:p w:rsidR="00957578" w:rsidRPr="00D5202A" w:rsidP="00957578" w14:paraId="6730DAB8"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 w:name="n1"/>
      <w:bookmarkStart w:id="2" w:name="n-587303"/>
      <w:bookmarkEnd w:id="1"/>
      <w:bookmarkEnd w:id="2"/>
      <w:r w:rsidRPr="00D5202A">
        <w:rPr>
          <w:rFonts w:ascii="Times New Roman" w:eastAsia="Times New Roman" w:hAnsi="Times New Roman" w:cs="Times New Roman"/>
          <w:b/>
          <w:bCs/>
          <w:sz w:val="24"/>
          <w:szCs w:val="24"/>
          <w:lang w:eastAsia="lv-LV"/>
        </w:rPr>
        <w:t>I. Vispārīgie jautājumi</w:t>
      </w:r>
    </w:p>
    <w:p w:rsidR="00C466B4" w:rsidRPr="00D5202A" w:rsidP="00957578" w14:paraId="5843AEA4"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957578" w:rsidRPr="00BD2E21" w:rsidP="00BD2E21" w14:paraId="378FB5B3" w14:textId="1930B24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3" w:name="p1"/>
      <w:bookmarkStart w:id="4" w:name="p-587304"/>
      <w:bookmarkEnd w:id="3"/>
      <w:bookmarkEnd w:id="4"/>
      <w:r w:rsidRPr="00BD2E21">
        <w:rPr>
          <w:rFonts w:ascii="Times New Roman" w:eastAsia="Times New Roman" w:hAnsi="Times New Roman" w:cs="Times New Roman"/>
          <w:sz w:val="24"/>
          <w:szCs w:val="24"/>
          <w:lang w:eastAsia="lv-LV"/>
        </w:rPr>
        <w:t>Noteikumi nosaka:</w:t>
      </w:r>
    </w:p>
    <w:p w:rsidR="00957578" w:rsidRPr="00BD2E21" w:rsidP="00BD2E21" w14:paraId="1F3A71FD" w14:textId="10E8466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kārtību, kādā īsteno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w:t>
      </w:r>
      <w:r w:rsidRPr="00BD2E21" w:rsidR="00192DF7">
        <w:rPr>
          <w:rFonts w:ascii="Times New Roman" w:eastAsia="Times New Roman" w:hAnsi="Times New Roman" w:cs="Times New Roman"/>
          <w:sz w:val="24"/>
          <w:szCs w:val="24"/>
          <w:lang w:eastAsia="lv-LV"/>
        </w:rPr>
        <w:t xml:space="preserve"> (turpmāk – pasākums)</w:t>
      </w:r>
      <w:r w:rsidRPr="00BD2E21" w:rsidR="00E57517">
        <w:rPr>
          <w:rFonts w:ascii="Times New Roman" w:eastAsia="Times New Roman" w:hAnsi="Times New Roman" w:cs="Times New Roman"/>
          <w:sz w:val="24"/>
          <w:szCs w:val="24"/>
          <w:lang w:eastAsia="lv-LV"/>
        </w:rPr>
        <w:t xml:space="preserve"> otro projektu iesniegumu atlases kārtu</w:t>
      </w:r>
      <w:r w:rsidRPr="00BD2E21">
        <w:rPr>
          <w:rFonts w:ascii="Times New Roman" w:eastAsia="Times New Roman" w:hAnsi="Times New Roman" w:cs="Times New Roman"/>
          <w:sz w:val="24"/>
          <w:szCs w:val="24"/>
          <w:lang w:eastAsia="lv-LV"/>
        </w:rPr>
        <w:t xml:space="preserve"> </w:t>
      </w:r>
      <w:r w:rsidRPr="00BD2E21" w:rsidR="00192DF7">
        <w:rPr>
          <w:rFonts w:ascii="Times New Roman" w:eastAsia="Times New Roman" w:hAnsi="Times New Roman" w:cs="Times New Roman"/>
          <w:sz w:val="24"/>
          <w:szCs w:val="24"/>
          <w:lang w:eastAsia="lv-LV"/>
        </w:rPr>
        <w:t xml:space="preserve">(turpmāk – otrā projektu </w:t>
      </w:r>
      <w:r w:rsidRPr="00BD2E21" w:rsidR="002B008A">
        <w:rPr>
          <w:rFonts w:ascii="Times New Roman" w:eastAsia="Times New Roman" w:hAnsi="Times New Roman" w:cs="Times New Roman"/>
          <w:sz w:val="24"/>
          <w:szCs w:val="24"/>
          <w:lang w:eastAsia="lv-LV"/>
        </w:rPr>
        <w:t xml:space="preserve">iesniegumu atlases kārta); </w:t>
      </w:r>
      <w:r w:rsidRPr="00BD2E21" w:rsidR="00A143B1">
        <w:rPr>
          <w:rFonts w:ascii="Times New Roman" w:eastAsia="Times New Roman" w:hAnsi="Times New Roman" w:cs="Times New Roman"/>
          <w:sz w:val="24"/>
          <w:szCs w:val="24"/>
          <w:lang w:eastAsia="lv-LV"/>
        </w:rPr>
        <w:t xml:space="preserve"> </w:t>
      </w:r>
    </w:p>
    <w:p w:rsidR="00957578" w:rsidRPr="00BD2E21" w:rsidP="00BD2E21" w14:paraId="2033C836" w14:textId="39E2829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pasākuma</w:t>
      </w:r>
      <w:r w:rsidRPr="00BD2E21" w:rsidR="002B008A">
        <w:rPr>
          <w:rFonts w:ascii="Times New Roman" w:eastAsia="Times New Roman" w:hAnsi="Times New Roman" w:cs="Times New Roman"/>
          <w:sz w:val="24"/>
          <w:szCs w:val="24"/>
          <w:lang w:eastAsia="lv-LV"/>
        </w:rPr>
        <w:t xml:space="preserve"> otrās projektu iesniegumu atlases</w:t>
      </w:r>
      <w:r w:rsidRPr="00BD2E21">
        <w:rPr>
          <w:rFonts w:ascii="Times New Roman" w:eastAsia="Times New Roman" w:hAnsi="Times New Roman" w:cs="Times New Roman"/>
          <w:sz w:val="24"/>
          <w:szCs w:val="24"/>
          <w:lang w:eastAsia="lv-LV"/>
        </w:rPr>
        <w:t xml:space="preserve"> kārtas mērķi;</w:t>
      </w:r>
    </w:p>
    <w:p w:rsidR="00957578" w:rsidRPr="00BD2E21" w:rsidP="00BD2E21" w14:paraId="7D947629" w14:textId="0715C4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pasākuma </w:t>
      </w:r>
      <w:r w:rsidRPr="00BD2E21" w:rsidR="002B008A">
        <w:rPr>
          <w:rFonts w:ascii="Times New Roman" w:eastAsia="Times New Roman" w:hAnsi="Times New Roman" w:cs="Times New Roman"/>
          <w:sz w:val="24"/>
          <w:szCs w:val="24"/>
          <w:lang w:eastAsia="lv-LV"/>
        </w:rPr>
        <w:t xml:space="preserve">otrajai projektu iesniegumu atlases kārtai </w:t>
      </w:r>
      <w:r w:rsidRPr="00BD2E21">
        <w:rPr>
          <w:rFonts w:ascii="Times New Roman" w:eastAsia="Times New Roman" w:hAnsi="Times New Roman" w:cs="Times New Roman"/>
          <w:sz w:val="24"/>
          <w:szCs w:val="24"/>
          <w:lang w:eastAsia="lv-LV"/>
        </w:rPr>
        <w:t>pieejamo finansējumu;</w:t>
      </w:r>
    </w:p>
    <w:p w:rsidR="00957578" w:rsidRPr="00BD2E21" w:rsidP="00BD2E21" w14:paraId="43860C17" w14:textId="30C1B90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prasības Eiropas Reģionālās attīstības fonda projekta (turpmāk – projekts) iesniedzējam (turpmāk – projekta iesniedzējs); </w:t>
      </w:r>
    </w:p>
    <w:p w:rsidR="00957578" w:rsidRPr="00BD2E21" w:rsidP="00BD2E21" w14:paraId="088A9850" w14:textId="12E4653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atbalstāmo darbību un izmaksu attiecināmības nosacījumus;</w:t>
      </w:r>
    </w:p>
    <w:p w:rsidR="00957578" w:rsidRPr="00BD2E21" w:rsidP="00BD2E21" w14:paraId="4801F341" w14:textId="5F0AB0E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līguma par projekta īstenošanu vienpusēja uzteikuma nosacījumus.</w:t>
      </w:r>
    </w:p>
    <w:p w:rsidR="00957578" w:rsidRPr="00BD2E21" w:rsidP="00BD2E21" w14:paraId="0DDDD550" w14:textId="3830D52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5" w:name="p2"/>
      <w:bookmarkStart w:id="6" w:name="p-587305"/>
      <w:bookmarkEnd w:id="5"/>
      <w:bookmarkEnd w:id="6"/>
      <w:r w:rsidRPr="00BD2E21">
        <w:rPr>
          <w:rFonts w:ascii="Times New Roman" w:eastAsia="Times New Roman" w:hAnsi="Times New Roman" w:cs="Times New Roman"/>
          <w:sz w:val="24"/>
          <w:szCs w:val="24"/>
          <w:lang w:eastAsia="lv-LV"/>
        </w:rPr>
        <w:t>Noteikumos lietoti šādi termini:</w:t>
      </w:r>
      <w:r w:rsidRPr="00BD2E21" w:rsidR="00416855">
        <w:rPr>
          <w:rFonts w:ascii="Times New Roman" w:eastAsia="Times New Roman" w:hAnsi="Times New Roman" w:cs="Times New Roman"/>
          <w:sz w:val="24"/>
          <w:szCs w:val="24"/>
          <w:lang w:eastAsia="lv-LV"/>
        </w:rPr>
        <w:t xml:space="preserve"> </w:t>
      </w:r>
    </w:p>
    <w:p w:rsidR="00957578" w:rsidRPr="00BD2E21" w:rsidP="00BD2E21" w14:paraId="124D2998" w14:textId="21AFC22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saistītās personas – personas, kuras atbilst Komisijas 2014. gada 17. jūnija Regulas (ES)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ar ko noteiktas atbalsta kategorijas atzīst par saderīgām ar iekšējo tirgu, piemērojot Līguma 107. un 108. pantu (Eiropas Savienības Oficiālais Vēstnesis, 2014. gada 26. jūnijs, Nr. L 187) (turpmāk – Komisijas regula Nr. </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1. pielikuma 3. panta 3. punkt</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957578" w:rsidRPr="00BD2E21" w:rsidP="00BD2E21" w14:paraId="3541634B" w14:textId="3F1AAC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viens vienots uzņēmums – uzņēmums, kas atbilst Eiropas Komisijas 2013. gada 18. decembra Regulas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par Līguma par Eiropas Savienības darbību 107. un 108. panta piemērošanu </w:t>
      </w:r>
      <w:r w:rsidRPr="00BD2E21">
        <w:rPr>
          <w:rFonts w:ascii="Times New Roman" w:eastAsia="Times New Roman" w:hAnsi="Times New Roman" w:cs="Times New Roman"/>
          <w:i/>
          <w:iCs/>
          <w:sz w:val="24"/>
          <w:szCs w:val="24"/>
          <w:lang w:eastAsia="lv-LV"/>
        </w:rPr>
        <w:t>de minimis</w:t>
      </w:r>
      <w:r w:rsidRPr="00BD2E21">
        <w:rPr>
          <w:rFonts w:ascii="Times New Roman" w:eastAsia="Times New Roman" w:hAnsi="Times New Roman" w:cs="Times New Roman"/>
          <w:sz w:val="24"/>
          <w:szCs w:val="24"/>
          <w:lang w:eastAsia="lv-LV"/>
        </w:rPr>
        <w:t> atbalstam (turpmāk – Komisijas regula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2. panta 2. punkt</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957578" w:rsidRPr="00BD2E21" w:rsidP="00BD2E21" w14:paraId="288AFB21" w14:textId="7D6A03D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sīkie (mikro), mazie un vidējie komersanti – komersanti, kas atbilst Komisijas regulas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1. pielikumā noteiktajai definīcijai;</w:t>
      </w:r>
    </w:p>
    <w:p w:rsidR="00DD04CA" w:rsidRPr="00BD2E21" w:rsidP="00BD2E21" w14:paraId="32A03B9E" w14:textId="35BA77B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lielie komersanti – komersanti, kas atbilst Komisijas regulas Nr. </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2. panta 24. punktā noteiktaj</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A14852" w:rsidRPr="000E1BC9" w:rsidP="00F07520" w14:paraId="2C8ECFAC" w14:textId="373B928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augstas pievienotās vērtības nozares – nozares, kas saskaņā ar Ekonomiskās sadarbības un attīstības organizācijas un Eiropas Savienības Statistikas biroja klasifikāciju tiek uzskatītas par augsti tehnoloģiskām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BD2E21">
        <w:rPr>
          <w:rStyle w:val="Hyperlink"/>
          <w:rFonts w:ascii="Times New Roman" w:eastAsia="Times New Roman" w:hAnsi="Times New Roman" w:cs="Times New Roman"/>
          <w:color w:val="auto"/>
          <w:sz w:val="24"/>
          <w:szCs w:val="24"/>
          <w:u w:val="none"/>
          <w:lang w:eastAsia="lv-LV"/>
        </w:rPr>
        <w:t>2. </w:t>
      </w:r>
      <w:r>
        <w:fldChar w:fldCharType="end"/>
      </w:r>
      <w:r w:rsidRPr="00BD2E21">
        <w:rPr>
          <w:rFonts w:ascii="Times New Roman" w:eastAsia="Times New Roman" w:hAnsi="Times New Roman" w:cs="Times New Roman"/>
          <w:sz w:val="24"/>
          <w:szCs w:val="24"/>
          <w:lang w:eastAsia="lv-LV"/>
        </w:rPr>
        <w:t xml:space="preserve">red. C sadaļu "Apstrādes rūpniecība"  - 21.nodaļa “Farmaceitisko pamatvielu un farmaceitisko preparātu ražošana”, 26.nodaļa “Datoru, </w:t>
      </w:r>
      <w:r w:rsidRPr="00BD2E21">
        <w:rPr>
          <w:rFonts w:ascii="Times New Roman" w:eastAsia="Times New Roman" w:hAnsi="Times New Roman" w:cs="Times New Roman"/>
          <w:sz w:val="24"/>
          <w:szCs w:val="24"/>
          <w:lang w:eastAsia="lv-LV"/>
        </w:rPr>
        <w:t>elektronisko un optisko iekārtu ražošana” un 30.nodaļas “Citu transportlīdzekļu ražošana” 30.3.grupa “Lidaparātu, kosmisko aparātu un to iekārtu ražošana”)</w:t>
      </w:r>
      <w:r w:rsidRPr="000E1BC9">
        <w:rPr>
          <w:rFonts w:ascii="Times New Roman" w:eastAsia="Times New Roman" w:hAnsi="Times New Roman" w:cs="Times New Roman"/>
          <w:sz w:val="24"/>
          <w:szCs w:val="24"/>
          <w:lang w:eastAsia="lv-LV"/>
        </w:rPr>
        <w:t>;</w:t>
      </w:r>
    </w:p>
    <w:p w:rsidR="000E6BD8" w:rsidRPr="00BD2E21" w:rsidP="00BD2E21" w14:paraId="2D428A45" w14:textId="0371BC9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0E1BC9">
        <w:rPr>
          <w:rFonts w:ascii="Times New Roman" w:eastAsia="Times New Roman" w:hAnsi="Times New Roman" w:cs="Times New Roman"/>
          <w:sz w:val="24"/>
          <w:szCs w:val="24"/>
          <w:lang w:eastAsia="lv-LV"/>
        </w:rPr>
        <w:t>informācijas un komun</w:t>
      </w:r>
      <w:r w:rsidRPr="00D5202A">
        <w:rPr>
          <w:rFonts w:ascii="Times New Roman" w:eastAsia="Times New Roman" w:hAnsi="Times New Roman" w:cs="Times New Roman"/>
          <w:sz w:val="24"/>
          <w:szCs w:val="24"/>
          <w:lang w:eastAsia="lv-LV"/>
        </w:rPr>
        <w:t>ikāciju tehnoloģiju nozare – nozares saskaņā ar NACE J grupa “Informācijas un komunikācijas pakalpojumi” 62 kodu “Datorprogrammēšana, konsultēšana un saistītās darbības”.</w:t>
      </w:r>
    </w:p>
    <w:p w:rsidR="00957578" w:rsidRPr="00BD2E21" w:rsidP="00BD2E21" w14:paraId="493C33CF" w14:textId="7248E0D6">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7" w:name="p3"/>
      <w:bookmarkStart w:id="8" w:name="p-587306"/>
      <w:bookmarkEnd w:id="7"/>
      <w:bookmarkEnd w:id="8"/>
      <w:r w:rsidRPr="00BD2E21">
        <w:rPr>
          <w:rFonts w:ascii="Times New Roman" w:eastAsia="Times New Roman" w:hAnsi="Times New Roman" w:cs="Times New Roman"/>
          <w:sz w:val="24"/>
          <w:szCs w:val="24"/>
          <w:lang w:eastAsia="lv-LV"/>
        </w:rPr>
        <w:t>Pasākuma</w:t>
      </w:r>
      <w:r w:rsidRPr="00BD2E21" w:rsidR="002B008A">
        <w:rPr>
          <w:rFonts w:ascii="Times New Roman" w:eastAsia="Times New Roman" w:hAnsi="Times New Roman" w:cs="Times New Roman"/>
          <w:sz w:val="24"/>
          <w:szCs w:val="24"/>
          <w:lang w:eastAsia="lv-LV"/>
        </w:rPr>
        <w:t xml:space="preserve"> otrās projektu iesniegumu atlases kārtas </w:t>
      </w:r>
      <w:r w:rsidRPr="00BD2E21">
        <w:rPr>
          <w:rFonts w:ascii="Times New Roman" w:eastAsia="Times New Roman" w:hAnsi="Times New Roman" w:cs="Times New Roman"/>
          <w:sz w:val="24"/>
          <w:szCs w:val="24"/>
          <w:lang w:eastAsia="lv-LV"/>
        </w:rPr>
        <w:t xml:space="preserve">mērķis ir veicināt apstrādes rūpniecības </w:t>
      </w:r>
      <w:r w:rsidRPr="00BD2E21" w:rsidR="004439D9">
        <w:rPr>
          <w:rFonts w:ascii="Times New Roman" w:eastAsia="Times New Roman" w:hAnsi="Times New Roman" w:cs="Times New Roman"/>
          <w:sz w:val="24"/>
          <w:szCs w:val="24"/>
          <w:lang w:eastAsia="lv-LV"/>
        </w:rPr>
        <w:t xml:space="preserve">un </w:t>
      </w:r>
      <w:r w:rsidRPr="00BD2E21" w:rsidR="00580568">
        <w:rPr>
          <w:rFonts w:ascii="Times New Roman" w:eastAsia="Times New Roman" w:hAnsi="Times New Roman" w:cs="Times New Roman"/>
          <w:sz w:val="24"/>
          <w:szCs w:val="24"/>
          <w:lang w:eastAsia="lv-LV"/>
        </w:rPr>
        <w:t>v</w:t>
      </w:r>
      <w:r w:rsidRPr="00BD2E21" w:rsidR="00EC33C3">
        <w:rPr>
          <w:rFonts w:ascii="Times New Roman" w:eastAsia="Times New Roman" w:hAnsi="Times New Roman" w:cs="Times New Roman"/>
          <w:sz w:val="24"/>
          <w:szCs w:val="24"/>
          <w:lang w:eastAsia="lv-LV"/>
        </w:rPr>
        <w:t>iedās specializ</w:t>
      </w:r>
      <w:r w:rsidRPr="00BD2E21" w:rsidR="00F775F5">
        <w:rPr>
          <w:rFonts w:ascii="Times New Roman" w:eastAsia="Times New Roman" w:hAnsi="Times New Roman" w:cs="Times New Roman"/>
          <w:sz w:val="24"/>
          <w:szCs w:val="24"/>
          <w:lang w:eastAsia="lv-LV"/>
        </w:rPr>
        <w:t>ācijas nozar</w:t>
      </w:r>
      <w:r w:rsidRPr="00BD2E21" w:rsidR="00580568">
        <w:rPr>
          <w:rFonts w:ascii="Times New Roman" w:eastAsia="Times New Roman" w:hAnsi="Times New Roman" w:cs="Times New Roman"/>
          <w:sz w:val="24"/>
          <w:szCs w:val="24"/>
          <w:lang w:eastAsia="lv-LV"/>
        </w:rPr>
        <w:t>u</w:t>
      </w:r>
      <w:r w:rsidRPr="00BD2E21" w:rsidR="00EC33C3">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komersantu paplašināšanos un jaunu komersantu veidošanos, atbalstot industriālo</w:t>
      </w:r>
      <w:r w:rsidRPr="00BD2E21" w:rsidR="00280CA0">
        <w:rPr>
          <w:rFonts w:ascii="Times New Roman" w:eastAsia="Times New Roman" w:hAnsi="Times New Roman" w:cs="Times New Roman"/>
          <w:sz w:val="24"/>
          <w:szCs w:val="24"/>
          <w:lang w:eastAsia="lv-LV"/>
        </w:rPr>
        <w:t xml:space="preserve"> telpu</w:t>
      </w:r>
      <w:r w:rsidRPr="00BD2E21">
        <w:rPr>
          <w:rFonts w:ascii="Times New Roman" w:eastAsia="Times New Roman" w:hAnsi="Times New Roman" w:cs="Times New Roman"/>
          <w:sz w:val="24"/>
          <w:szCs w:val="24"/>
          <w:lang w:eastAsia="lv-LV"/>
        </w:rPr>
        <w:t xml:space="preserve"> </w:t>
      </w:r>
      <w:r w:rsidRPr="00BD2E21" w:rsidR="00580568">
        <w:rPr>
          <w:rFonts w:ascii="Times New Roman" w:eastAsia="Times New Roman" w:hAnsi="Times New Roman" w:cs="Times New Roman"/>
          <w:sz w:val="24"/>
          <w:szCs w:val="24"/>
          <w:lang w:eastAsia="lv-LV"/>
        </w:rPr>
        <w:t xml:space="preserve">un biroja </w:t>
      </w:r>
      <w:r w:rsidRPr="00BD2E21">
        <w:rPr>
          <w:rFonts w:ascii="Times New Roman" w:eastAsia="Times New Roman" w:hAnsi="Times New Roman" w:cs="Times New Roman"/>
          <w:sz w:val="24"/>
          <w:szCs w:val="24"/>
          <w:lang w:eastAsia="lv-LV"/>
        </w:rPr>
        <w:t>telpu izveidi reģionos.</w:t>
      </w:r>
    </w:p>
    <w:p w:rsidR="00957578" w:rsidRPr="00BD2E21" w:rsidP="00BD2E21" w14:paraId="259C6EBB" w14:textId="503BAA4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 w:name="p4"/>
      <w:bookmarkStart w:id="10" w:name="p-587307"/>
      <w:bookmarkEnd w:id="9"/>
      <w:bookmarkEnd w:id="10"/>
      <w:r w:rsidRPr="00BD2E21">
        <w:rPr>
          <w:rFonts w:ascii="Times New Roman" w:eastAsia="Times New Roman" w:hAnsi="Times New Roman" w:cs="Times New Roman"/>
          <w:sz w:val="24"/>
          <w:szCs w:val="24"/>
          <w:lang w:eastAsia="lv-LV"/>
        </w:rPr>
        <w:t>Pasākuma</w:t>
      </w:r>
      <w:r w:rsidRPr="00BD2E21" w:rsidR="002B008A">
        <w:rPr>
          <w:rFonts w:ascii="Times New Roman" w:eastAsia="Times New Roman" w:hAnsi="Times New Roman" w:cs="Times New Roman"/>
          <w:sz w:val="24"/>
          <w:szCs w:val="24"/>
          <w:lang w:eastAsia="lv-LV"/>
        </w:rPr>
        <w:t xml:space="preserve"> otrās projektu iesniegumu atlases kārtas </w:t>
      </w:r>
      <w:r w:rsidRPr="00BD2E21">
        <w:rPr>
          <w:rFonts w:ascii="Times New Roman" w:eastAsia="Times New Roman" w:hAnsi="Times New Roman" w:cs="Times New Roman"/>
          <w:sz w:val="24"/>
          <w:szCs w:val="24"/>
          <w:lang w:eastAsia="lv-LV"/>
        </w:rPr>
        <w:t>mērķa grupa ir sīkie (mikro), mazie un vidējie komersanti, kas veic saimniecisko darbību apstrādes rūpniecības nozarēs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BD2E21">
        <w:rPr>
          <w:rFonts w:ascii="Times New Roman" w:eastAsia="Times New Roman" w:hAnsi="Times New Roman" w:cs="Times New Roman"/>
          <w:sz w:val="24"/>
          <w:szCs w:val="24"/>
          <w:lang w:eastAsia="lv-LV"/>
        </w:rPr>
        <w:t>2. </w:t>
      </w:r>
      <w:r>
        <w:fldChar w:fldCharType="end"/>
      </w:r>
      <w:r w:rsidRPr="00BD2E21">
        <w:rPr>
          <w:rFonts w:ascii="Times New Roman" w:eastAsia="Times New Roman" w:hAnsi="Times New Roman" w:cs="Times New Roman"/>
          <w:sz w:val="24"/>
          <w:szCs w:val="24"/>
          <w:lang w:eastAsia="lv-LV"/>
        </w:rPr>
        <w:t>red. C sadaļu "Apstrādes rūpniecība")</w:t>
      </w:r>
      <w:r w:rsidRPr="00BD2E21" w:rsidR="00F775F5">
        <w:rPr>
          <w:rFonts w:ascii="Times New Roman" w:eastAsia="Times New Roman" w:hAnsi="Times New Roman" w:cs="Times New Roman"/>
          <w:sz w:val="24"/>
          <w:szCs w:val="24"/>
          <w:lang w:eastAsia="lv-LV"/>
        </w:rPr>
        <w:t xml:space="preserve"> vai</w:t>
      </w:r>
      <w:r w:rsidRPr="00BD2E21" w:rsidR="00280CA0">
        <w:rPr>
          <w:rFonts w:ascii="Times New Roman" w:eastAsia="Times New Roman" w:hAnsi="Times New Roman" w:cs="Times New Roman"/>
          <w:sz w:val="24"/>
          <w:szCs w:val="24"/>
          <w:lang w:eastAsia="lv-LV"/>
        </w:rPr>
        <w:t xml:space="preserve"> informācijas un komunikācijas tehnoloģiju nozarē</w:t>
      </w:r>
      <w:r w:rsidRPr="00BD2E21">
        <w:rPr>
          <w:rFonts w:ascii="Times New Roman" w:eastAsia="Times New Roman" w:hAnsi="Times New Roman" w:cs="Times New Roman"/>
          <w:sz w:val="24"/>
          <w:szCs w:val="24"/>
          <w:lang w:eastAsia="lv-LV"/>
        </w:rPr>
        <w:t>.</w:t>
      </w:r>
    </w:p>
    <w:p w:rsidR="00957578" w:rsidRPr="00BD2E21" w:rsidP="00BD2E21" w14:paraId="7D50D04D" w14:textId="345F10E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1" w:name="p5"/>
      <w:bookmarkStart w:id="12" w:name="p-622348"/>
      <w:bookmarkEnd w:id="11"/>
      <w:bookmarkEnd w:id="12"/>
      <w:r w:rsidRPr="00BD2E21">
        <w:rPr>
          <w:rFonts w:ascii="Times New Roman" w:eastAsia="Times New Roman" w:hAnsi="Times New Roman" w:cs="Times New Roman"/>
          <w:sz w:val="24"/>
          <w:szCs w:val="24"/>
          <w:lang w:eastAsia="lv-LV"/>
        </w:rPr>
        <w:t>Pasākuma</w:t>
      </w:r>
      <w:r w:rsidRPr="00BD2E21" w:rsidR="00CF5E4C">
        <w:rPr>
          <w:rFonts w:ascii="Times New Roman" w:eastAsia="Times New Roman" w:hAnsi="Times New Roman" w:cs="Times New Roman"/>
          <w:sz w:val="24"/>
          <w:szCs w:val="24"/>
          <w:lang w:eastAsia="lv-LV"/>
        </w:rPr>
        <w:t xml:space="preserve"> otrās projektu iesniegumu atlases kārtas</w:t>
      </w:r>
      <w:r w:rsidRPr="00BD2E21" w:rsidR="0019536F">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ietvaros </w:t>
      </w:r>
      <w:r w:rsidRPr="00BD2E21" w:rsidR="0019536F">
        <w:rPr>
          <w:rFonts w:ascii="Times New Roman" w:eastAsia="Times New Roman" w:hAnsi="Times New Roman" w:cs="Times New Roman"/>
          <w:sz w:val="24"/>
          <w:szCs w:val="24"/>
          <w:lang w:eastAsia="lv-LV"/>
        </w:rPr>
        <w:t>pieejamais Eiropas Reģionālās attīstības fonda</w:t>
      </w:r>
      <w:r w:rsidRPr="00BD2E21">
        <w:rPr>
          <w:rFonts w:ascii="Times New Roman" w:eastAsia="Times New Roman" w:hAnsi="Times New Roman" w:cs="Times New Roman"/>
          <w:sz w:val="24"/>
          <w:szCs w:val="24"/>
          <w:lang w:eastAsia="lv-LV"/>
        </w:rPr>
        <w:t xml:space="preserve"> finansējums ir 25 </w:t>
      </w:r>
      <w:r w:rsidRPr="00BD2E21" w:rsidR="0019536F">
        <w:rPr>
          <w:rFonts w:ascii="Times New Roman" w:eastAsia="Times New Roman" w:hAnsi="Times New Roman" w:cs="Times New Roman"/>
          <w:sz w:val="24"/>
          <w:szCs w:val="24"/>
          <w:lang w:eastAsia="lv-LV"/>
        </w:rPr>
        <w:t>416 515 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xml:space="preserve">, kuru sadala vienlīdzīgās daļās starp pieciem plānošanas reģioniem (tas ir, </w:t>
      </w:r>
      <w:r w:rsidRPr="00BD2E21" w:rsidR="00831E76">
        <w:rPr>
          <w:rFonts w:ascii="Times New Roman" w:eastAsia="Times New Roman" w:hAnsi="Times New Roman" w:cs="Times New Roman"/>
          <w:sz w:val="24"/>
          <w:szCs w:val="24"/>
          <w:lang w:eastAsia="lv-LV"/>
        </w:rPr>
        <w:t>5 083 303</w:t>
      </w:r>
      <w:r w:rsidRPr="00BD2E21" w:rsidR="009F23AE">
        <w:rPr>
          <w:rFonts w:ascii="Times New Roman" w:eastAsia="Times New Roman" w:hAnsi="Times New Roman" w:cs="Times New Roman"/>
          <w:sz w:val="24"/>
          <w:szCs w:val="24"/>
          <w:lang w:eastAsia="lv-LV"/>
        </w:rPr>
        <w:t>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katram reģionam)</w:t>
      </w:r>
      <w:r w:rsidRPr="00BD2E21" w:rsidR="00DB7BC4">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Finansējuma saņēmēji pasākuma</w:t>
      </w:r>
      <w:r w:rsidRPr="00BD2E21" w:rsidR="00020CA7">
        <w:rPr>
          <w:rFonts w:ascii="Times New Roman" w:eastAsia="Times New Roman" w:hAnsi="Times New Roman" w:cs="Times New Roman"/>
          <w:sz w:val="24"/>
          <w:szCs w:val="24"/>
          <w:lang w:eastAsia="lv-LV"/>
        </w:rPr>
        <w:t xml:space="preserve"> otrās projektu iesniegumu atlases kārtas</w:t>
      </w:r>
      <w:r w:rsidRPr="00BD2E21">
        <w:rPr>
          <w:rFonts w:ascii="Times New Roman" w:eastAsia="Times New Roman" w:hAnsi="Times New Roman" w:cs="Times New Roman"/>
          <w:sz w:val="24"/>
          <w:szCs w:val="24"/>
          <w:lang w:eastAsia="lv-LV"/>
        </w:rPr>
        <w:t xml:space="preserve"> ietvaros nodrošina privāto finansējumu vismaz </w:t>
      </w:r>
      <w:r w:rsidRPr="00BD2E21" w:rsidR="00F34CB5">
        <w:rPr>
          <w:rFonts w:ascii="Times New Roman" w:eastAsia="Times New Roman" w:hAnsi="Times New Roman" w:cs="Times New Roman"/>
          <w:sz w:val="24"/>
          <w:szCs w:val="24"/>
          <w:lang w:eastAsia="lv-LV"/>
        </w:rPr>
        <w:t>21 750 000 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xml:space="preserve"> apmērā. </w:t>
      </w:r>
    </w:p>
    <w:p w:rsidR="00957578" w:rsidRPr="00BD2E21" w:rsidP="00BD2E21" w14:paraId="52C56164" w14:textId="2B7AD19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3" w:name="p6"/>
      <w:bookmarkStart w:id="14" w:name="p-587311"/>
      <w:bookmarkEnd w:id="13"/>
      <w:bookmarkEnd w:id="14"/>
      <w:r w:rsidRPr="00BD2E21">
        <w:rPr>
          <w:rFonts w:ascii="Times New Roman" w:eastAsia="Times New Roman" w:hAnsi="Times New Roman" w:cs="Times New Roman"/>
          <w:iCs/>
          <w:sz w:val="24"/>
          <w:szCs w:val="24"/>
          <w:lang w:eastAsia="lv-LV"/>
        </w:rPr>
        <w:t>Līdz</w:t>
      </w:r>
      <w:r w:rsidRPr="000E1BC9">
        <w:rPr>
          <w:rFonts w:ascii="Times New Roman" w:eastAsia="Times New Roman" w:hAnsi="Times New Roman" w:cs="Times New Roman"/>
          <w:iCs/>
          <w:sz w:val="24"/>
          <w:szCs w:val="24"/>
          <w:lang w:eastAsia="lv-LV"/>
        </w:rPr>
        <w:t xml:space="preserve"> 2023. gada 31. decembrim pasākuma otrās proj</w:t>
      </w:r>
      <w:r w:rsidRPr="00D5202A">
        <w:rPr>
          <w:rFonts w:ascii="Times New Roman" w:eastAsia="Times New Roman" w:hAnsi="Times New Roman" w:cs="Times New Roman"/>
          <w:iCs/>
          <w:sz w:val="24"/>
          <w:szCs w:val="24"/>
          <w:lang w:eastAsia="lv-LV"/>
        </w:rPr>
        <w:t>ektu iesniegumu atlases kārtas ietvaros sasniedzamie iznākuma rādītāji:</w:t>
      </w:r>
    </w:p>
    <w:p w:rsidR="00957578" w:rsidRPr="00BD2E21" w:rsidP="00BD2E21" w14:paraId="2B7E7F4D" w14:textId="2D1B158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7 </w:t>
      </w:r>
      <w:r w:rsidRPr="00BD2E21">
        <w:rPr>
          <w:rFonts w:ascii="Times New Roman" w:eastAsia="Times New Roman" w:hAnsi="Times New Roman" w:cs="Times New Roman"/>
          <w:sz w:val="24"/>
          <w:szCs w:val="24"/>
          <w:lang w:eastAsia="lv-LV"/>
        </w:rPr>
        <w:t>komersanti, kas saņēmuši atbalstu (grantu);</w:t>
      </w:r>
    </w:p>
    <w:p w:rsidR="00957578" w:rsidRPr="00BD2E21" w:rsidP="00BD2E21" w14:paraId="2EE6816B" w14:textId="0315ACE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privātais finansējums, kas piesaistīts publiskajam finansējumam, kas ir granti, – 21 750 000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w:t>
      </w:r>
    </w:p>
    <w:p w:rsidR="00846609" w:rsidRPr="00BD2E21" w:rsidP="00BD2E21" w14:paraId="1349048C" w14:textId="75ED870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nodarbinātības pieaugums komersantos, kuri guvuši labumu no investīcijām, – </w:t>
      </w:r>
      <w:r w:rsidRPr="000E1BC9" w:rsidR="0077604B">
        <w:rPr>
          <w:rFonts w:ascii="Times New Roman" w:eastAsia="Times New Roman" w:hAnsi="Times New Roman" w:cs="Times New Roman"/>
          <w:sz w:val="24"/>
          <w:szCs w:val="24"/>
          <w:lang w:eastAsia="lv-LV"/>
        </w:rPr>
        <w:t xml:space="preserve">480 </w:t>
      </w:r>
      <w:r w:rsidRPr="00BD2E21">
        <w:rPr>
          <w:rFonts w:ascii="Times New Roman" w:eastAsia="Times New Roman" w:hAnsi="Times New Roman" w:cs="Times New Roman"/>
          <w:sz w:val="24"/>
          <w:szCs w:val="24"/>
          <w:lang w:eastAsia="lv-LV"/>
        </w:rPr>
        <w:t>(pilnslodzes ekvivalents)</w:t>
      </w:r>
      <w:r w:rsidRPr="00BD2E21">
        <w:rPr>
          <w:rFonts w:ascii="Times New Roman" w:eastAsia="Times New Roman" w:hAnsi="Times New Roman" w:cs="Times New Roman"/>
          <w:sz w:val="24"/>
          <w:szCs w:val="24"/>
          <w:lang w:eastAsia="lv-LV"/>
        </w:rPr>
        <w:t>.</w:t>
      </w:r>
    </w:p>
    <w:p w:rsidR="00957578" w:rsidRPr="00BD2E21" w:rsidP="00BD2E21" w14:paraId="3A192770" w14:textId="0219F0D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5" w:name="p7"/>
      <w:bookmarkStart w:id="16" w:name="p-587312"/>
      <w:bookmarkEnd w:id="15"/>
      <w:bookmarkEnd w:id="16"/>
      <w:r w:rsidRPr="00BD2E21">
        <w:rPr>
          <w:rFonts w:ascii="Times New Roman" w:eastAsia="Times New Roman" w:hAnsi="Times New Roman" w:cs="Times New Roman"/>
          <w:sz w:val="24"/>
          <w:szCs w:val="24"/>
          <w:lang w:eastAsia="lv-LV"/>
        </w:rPr>
        <w:t xml:space="preserve">Pasākuma </w:t>
      </w:r>
      <w:r w:rsidRPr="00BD2E21" w:rsidR="00CF5E4C">
        <w:rPr>
          <w:rFonts w:ascii="Times New Roman" w:eastAsia="Times New Roman" w:hAnsi="Times New Roman" w:cs="Times New Roman"/>
          <w:sz w:val="24"/>
          <w:szCs w:val="24"/>
          <w:lang w:eastAsia="lv-LV"/>
        </w:rPr>
        <w:t xml:space="preserve">otrās projektu iesniegumu atlases kārtas </w:t>
      </w:r>
      <w:r w:rsidRPr="00BD2E21">
        <w:rPr>
          <w:rFonts w:ascii="Times New Roman" w:eastAsia="Times New Roman" w:hAnsi="Times New Roman" w:cs="Times New Roman"/>
          <w:sz w:val="24"/>
          <w:szCs w:val="24"/>
          <w:lang w:eastAsia="lv-LV"/>
        </w:rPr>
        <w:t>īstenošanas veids ir atklāta projektu iesniegumu atlase.</w:t>
      </w:r>
    </w:p>
    <w:p w:rsidR="00957578" w:rsidRPr="00BD2E21" w:rsidP="00BD2E21" w14:paraId="720ACA01" w14:textId="3838722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7" w:name="p8"/>
      <w:bookmarkStart w:id="18" w:name="p-587313"/>
      <w:bookmarkEnd w:id="17"/>
      <w:bookmarkEnd w:id="18"/>
      <w:r w:rsidRPr="00BD2E21">
        <w:rPr>
          <w:rFonts w:ascii="Times New Roman" w:eastAsia="Times New Roman" w:hAnsi="Times New Roman" w:cs="Times New Roman"/>
          <w:sz w:val="24"/>
          <w:szCs w:val="24"/>
          <w:lang w:eastAsia="lv-LV"/>
        </w:rPr>
        <w:t xml:space="preserve">Pasākuma </w:t>
      </w:r>
      <w:r w:rsidRPr="00BD2E21" w:rsidR="00CF5E4C">
        <w:rPr>
          <w:rFonts w:ascii="Times New Roman" w:eastAsia="Times New Roman" w:hAnsi="Times New Roman" w:cs="Times New Roman"/>
          <w:sz w:val="24"/>
          <w:szCs w:val="24"/>
          <w:lang w:eastAsia="lv-LV"/>
        </w:rPr>
        <w:t xml:space="preserve">otrās projektu iesniegumu atlases kārtas </w:t>
      </w:r>
      <w:r w:rsidRPr="00BD2E21">
        <w:rPr>
          <w:rFonts w:ascii="Times New Roman" w:eastAsia="Times New Roman" w:hAnsi="Times New Roman" w:cs="Times New Roman"/>
          <w:sz w:val="24"/>
          <w:szCs w:val="24"/>
          <w:lang w:eastAsia="lv-LV"/>
        </w:rPr>
        <w:t>īstenošanu nodrošina sadarbības iestāde un Ekonomikas ministrija kā atbildīgā iestāde (turpmāk – atbildīgā iestāde).</w:t>
      </w:r>
    </w:p>
    <w:p w:rsidR="00C466B4" w:rsidRPr="000E1BC9" w:rsidP="00957578" w14:paraId="22F46BCC" w14:textId="77777777">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rsidR="00957578" w:rsidRPr="00D5202A" w:rsidP="00957578" w14:paraId="15D82616"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9" w:name="n2"/>
      <w:bookmarkStart w:id="20" w:name="n-587314"/>
      <w:bookmarkEnd w:id="19"/>
      <w:bookmarkEnd w:id="20"/>
      <w:r w:rsidRPr="00D5202A">
        <w:rPr>
          <w:rFonts w:ascii="Times New Roman" w:eastAsia="Times New Roman" w:hAnsi="Times New Roman" w:cs="Times New Roman"/>
          <w:b/>
          <w:bCs/>
          <w:sz w:val="24"/>
          <w:szCs w:val="24"/>
          <w:lang w:eastAsia="lv-LV"/>
        </w:rPr>
        <w:t>II. Projekta iesniedzējam un projekta iesniegumam noteiktās prasības</w:t>
      </w:r>
    </w:p>
    <w:p w:rsidR="00C466B4" w:rsidRPr="00D5202A" w:rsidP="00957578" w14:paraId="2039DD94"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1C20EB" w:rsidRPr="00BD2E21" w:rsidP="00BD2E21" w14:paraId="66F64A75" w14:textId="27184B5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1" w:name="p9"/>
      <w:bookmarkStart w:id="22" w:name="p-587316"/>
      <w:bookmarkEnd w:id="21"/>
      <w:bookmarkEnd w:id="22"/>
      <w:r w:rsidRPr="00BD2E21">
        <w:rPr>
          <w:rFonts w:ascii="Times New Roman" w:eastAsia="Times New Roman" w:hAnsi="Times New Roman" w:cs="Times New Roman"/>
          <w:sz w:val="24"/>
          <w:szCs w:val="24"/>
          <w:lang w:eastAsia="lv-LV"/>
        </w:rPr>
        <w:t>Projekta iesniedzējs p</w:t>
      </w:r>
      <w:r w:rsidRPr="00BD2E21" w:rsidR="00957578">
        <w:rPr>
          <w:rFonts w:ascii="Times New Roman" w:eastAsia="Times New Roman" w:hAnsi="Times New Roman" w:cs="Times New Roman"/>
          <w:sz w:val="24"/>
          <w:szCs w:val="24"/>
          <w:lang w:eastAsia="lv-LV"/>
        </w:rPr>
        <w:t xml:space="preserve">asākuma </w:t>
      </w:r>
      <w:r w:rsidRPr="00BD2E21">
        <w:rPr>
          <w:rFonts w:ascii="Times New Roman" w:eastAsia="Times New Roman" w:hAnsi="Times New Roman" w:cs="Times New Roman"/>
          <w:sz w:val="24"/>
          <w:szCs w:val="24"/>
          <w:lang w:eastAsia="lv-LV"/>
        </w:rPr>
        <w:t xml:space="preserve">otrās projektu iesniegumu atlases kārtas </w:t>
      </w:r>
      <w:r w:rsidRPr="00BD2E21" w:rsidR="00957578">
        <w:rPr>
          <w:rFonts w:ascii="Times New Roman" w:eastAsia="Times New Roman" w:hAnsi="Times New Roman" w:cs="Times New Roman"/>
          <w:sz w:val="24"/>
          <w:szCs w:val="24"/>
          <w:lang w:eastAsia="lv-LV"/>
        </w:rPr>
        <w:t>ietvaros ir Latvijas Republikā reģistrēts</w:t>
      </w:r>
      <w:r w:rsidRPr="00BD2E21" w:rsidR="00D61A71">
        <w:rPr>
          <w:rFonts w:ascii="Times New Roman" w:eastAsia="Times New Roman" w:hAnsi="Times New Roman" w:cs="Times New Roman"/>
          <w:sz w:val="24"/>
          <w:szCs w:val="24"/>
          <w:lang w:eastAsia="lv-LV"/>
        </w:rPr>
        <w:t xml:space="preserve"> komersants, </w:t>
      </w:r>
      <w:r w:rsidRPr="00BD2E21" w:rsidR="009A77C0">
        <w:rPr>
          <w:rFonts w:ascii="Times New Roman" w:eastAsia="Times New Roman" w:hAnsi="Times New Roman" w:cs="Times New Roman"/>
          <w:sz w:val="24"/>
          <w:szCs w:val="24"/>
          <w:lang w:eastAsia="lv-LV"/>
        </w:rPr>
        <w:t xml:space="preserve">tai skaitā pašvaldības kapitālsabiedrība, </w:t>
      </w:r>
      <w:r w:rsidRPr="00BD2E21" w:rsidR="00D61A71">
        <w:rPr>
          <w:rFonts w:ascii="Times New Roman" w:eastAsia="Times New Roman" w:hAnsi="Times New Roman" w:cs="Times New Roman"/>
          <w:sz w:val="24"/>
          <w:szCs w:val="24"/>
          <w:lang w:eastAsia="lv-LV"/>
        </w:rPr>
        <w:t xml:space="preserve">nodibinājums vai ostas pārvalde. </w:t>
      </w:r>
      <w:r w:rsidRPr="00BD2E21" w:rsidR="00D61A71">
        <w:rPr>
          <w:rFonts w:ascii="Times New Roman" w:eastAsia="Times New Roman" w:hAnsi="Times New Roman" w:cs="Times New Roman"/>
          <w:sz w:val="24"/>
          <w:szCs w:val="24"/>
          <w:lang w:eastAsia="lv-LV"/>
        </w:rPr>
        <w:t>Komersants un nodibinājums atbilst šādiem nosacījumiem:</w:t>
      </w:r>
    </w:p>
    <w:p w:rsidR="00D61A71" w:rsidRPr="00BD2E21" w:rsidP="00BD2E21" w14:paraId="11936697" w14:textId="213E1B1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tas</w:t>
      </w:r>
      <w:r w:rsidRPr="00BD2E21" w:rsidR="00D84D42">
        <w:rPr>
          <w:rFonts w:ascii="Times New Roman" w:eastAsia="Times New Roman" w:hAnsi="Times New Roman" w:cs="Times New Roman"/>
          <w:sz w:val="24"/>
          <w:szCs w:val="24"/>
          <w:lang w:eastAsia="lv-LV"/>
        </w:rPr>
        <w:t xml:space="preserve"> darbojas Kurzemes, Latgales, Vidzemes vai Zemgales plānošanas reģionā un tā</w:t>
      </w:r>
      <w:r w:rsidRPr="00BD2E21" w:rsidR="001C20EB">
        <w:rPr>
          <w:rFonts w:ascii="Times New Roman" w:eastAsia="Times New Roman" w:hAnsi="Times New Roman" w:cs="Times New Roman"/>
          <w:sz w:val="24"/>
          <w:szCs w:val="24"/>
          <w:lang w:eastAsia="lv-LV"/>
        </w:rPr>
        <w:t xml:space="preserve"> darbība ir saistīta ar nekustamā īpašuma attīstīšanu ražošanas</w:t>
      </w:r>
      <w:r w:rsidRPr="000E1BC9" w:rsidR="00B423EA">
        <w:rPr>
          <w:rFonts w:ascii="Times New Roman" w:eastAsia="Times New Roman" w:hAnsi="Times New Roman" w:cs="Times New Roman"/>
          <w:sz w:val="24"/>
          <w:szCs w:val="24"/>
          <w:lang w:eastAsia="lv-LV"/>
        </w:rPr>
        <w:t xml:space="preserve"> vai biroja ēku</w:t>
      </w:r>
      <w:r w:rsidRPr="00BD2E21" w:rsidR="001C20EB">
        <w:rPr>
          <w:rFonts w:ascii="Times New Roman" w:eastAsia="Times New Roman" w:hAnsi="Times New Roman" w:cs="Times New Roman"/>
          <w:sz w:val="24"/>
          <w:szCs w:val="24"/>
          <w:lang w:eastAsia="lv-LV"/>
        </w:rPr>
        <w:t xml:space="preserve"> vajadzībām un tālākai iznomāšanai vai tas ir sīkais (mikro), mazais vai vidējais komersants un tā pamatdarbības nozare ir apstrādes rūpniecība</w:t>
      </w:r>
      <w:r w:rsidRPr="00BD2E21" w:rsidR="009A77C0">
        <w:rPr>
          <w:rFonts w:ascii="Times New Roman" w:eastAsia="Times New Roman" w:hAnsi="Times New Roman" w:cs="Times New Roman"/>
          <w:sz w:val="24"/>
          <w:szCs w:val="24"/>
          <w:lang w:eastAsia="lv-LV"/>
        </w:rPr>
        <w:t xml:space="preserve"> vai informācij</w:t>
      </w:r>
      <w:r w:rsidRPr="000E1BC9" w:rsidR="00CC6D95">
        <w:rPr>
          <w:rFonts w:ascii="Times New Roman" w:eastAsia="Times New Roman" w:hAnsi="Times New Roman" w:cs="Times New Roman"/>
          <w:sz w:val="24"/>
          <w:szCs w:val="24"/>
          <w:lang w:eastAsia="lv-LV"/>
        </w:rPr>
        <w:t>as</w:t>
      </w:r>
      <w:r w:rsidRPr="00BD2E21" w:rsidR="009A77C0">
        <w:rPr>
          <w:rFonts w:ascii="Times New Roman" w:eastAsia="Times New Roman" w:hAnsi="Times New Roman" w:cs="Times New Roman"/>
          <w:sz w:val="24"/>
          <w:szCs w:val="24"/>
          <w:lang w:eastAsia="lv-LV"/>
        </w:rPr>
        <w:t xml:space="preserve"> un komunikāciju tehnoloģiju nozare</w:t>
      </w:r>
      <w:r w:rsidRPr="00BD2E21">
        <w:rPr>
          <w:rFonts w:ascii="Times New Roman" w:eastAsia="Times New Roman" w:hAnsi="Times New Roman" w:cs="Times New Roman"/>
          <w:sz w:val="24"/>
          <w:szCs w:val="24"/>
          <w:lang w:eastAsia="lv-LV"/>
        </w:rPr>
        <w:t>;</w:t>
      </w:r>
    </w:p>
    <w:p w:rsidR="0050466D" w:rsidRPr="000E1BC9" w:rsidP="00F07520" w14:paraId="0D4DBD0E" w14:textId="66A3329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tas darbojas Rīgas plānošanas reģionā un tā darbība ir saistīta ar nekustamā īpašuma attīstīšanu ražošanas vajadzībām apstrādes rūpniecības augstas pievienotās vērtības nozares sīkiem (mikro), maziem vai vidējiem </w:t>
      </w:r>
      <w:r w:rsidRPr="00BD2E21">
        <w:rPr>
          <w:rFonts w:ascii="Times New Roman" w:eastAsia="Times New Roman" w:hAnsi="Times New Roman" w:cs="Times New Roman"/>
          <w:sz w:val="24"/>
          <w:szCs w:val="24"/>
          <w:lang w:eastAsia="lv-LV"/>
        </w:rPr>
        <w:t>komersantiem un tālākai iznomāšanai vai tas ir apstrādes rūpniecības augstas pievienotās vērtības nozares sīkais (mikro), mazais vai vidējais komersants</w:t>
      </w:r>
      <w:r w:rsidRPr="000E1BC9">
        <w:rPr>
          <w:rFonts w:ascii="Times New Roman" w:eastAsia="Times New Roman" w:hAnsi="Times New Roman" w:cs="Times New Roman"/>
          <w:sz w:val="24"/>
          <w:szCs w:val="24"/>
          <w:lang w:eastAsia="lv-LV"/>
        </w:rPr>
        <w:t>;</w:t>
      </w:r>
    </w:p>
    <w:p w:rsidR="00584871" w:rsidRPr="00BD2E21" w:rsidP="00BD2E21" w14:paraId="07480F51" w14:textId="1DD91C9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aktivitātes īsteno nozarēs, kas nav noteiktas kā neatbalstāmas nozares saskaņā ar šo noteikumu 15. punktu.</w:t>
      </w:r>
    </w:p>
    <w:p w:rsidR="009A77C0" w:rsidRPr="00BD2E21" w:rsidP="00BD2E21" w14:paraId="52FB2E1F" w14:textId="4AF9969D">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3" w:name="p10"/>
      <w:bookmarkStart w:id="24" w:name="p-587317"/>
      <w:bookmarkEnd w:id="23"/>
      <w:bookmarkEnd w:id="24"/>
      <w:r w:rsidRPr="00BD2E21">
        <w:rPr>
          <w:rFonts w:ascii="Times New Roman" w:eastAsia="Times New Roman" w:hAnsi="Times New Roman" w:cs="Times New Roman"/>
          <w:sz w:val="24"/>
          <w:szCs w:val="24"/>
          <w:lang w:eastAsia="lv-LV"/>
        </w:rPr>
        <w:t>Projekta īstenošanas vieta šo noteikumu izpratnē ir konkrētais funkcionālais zonējums, kurā pieļaujama rūpnieciskās ražošanas</w:t>
      </w:r>
      <w:r w:rsidRPr="00BD2E21">
        <w:rPr>
          <w:rFonts w:ascii="Times New Roman" w:eastAsia="Times New Roman" w:hAnsi="Times New Roman" w:cs="Times New Roman"/>
          <w:sz w:val="24"/>
          <w:szCs w:val="24"/>
          <w:lang w:eastAsia="lv-LV"/>
        </w:rPr>
        <w:t xml:space="preserve"> objektu</w:t>
      </w:r>
      <w:r w:rsidRPr="00BD2E21">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vai biroju ēku </w:t>
      </w:r>
      <w:r w:rsidRPr="00BD2E21">
        <w:rPr>
          <w:rFonts w:ascii="Times New Roman" w:eastAsia="Times New Roman" w:hAnsi="Times New Roman" w:cs="Times New Roman"/>
          <w:sz w:val="24"/>
          <w:szCs w:val="24"/>
          <w:lang w:eastAsia="lv-LV"/>
        </w:rPr>
        <w:t>apbūve</w:t>
      </w:r>
      <w:r w:rsidRPr="00BD2E21">
        <w:rPr>
          <w:rFonts w:ascii="Times New Roman" w:eastAsia="Times New Roman" w:hAnsi="Times New Roman" w:cs="Times New Roman"/>
          <w:sz w:val="24"/>
          <w:szCs w:val="24"/>
          <w:lang w:eastAsia="lv-LV"/>
        </w:rPr>
        <w:t>.</w:t>
      </w:r>
    </w:p>
    <w:p w:rsidR="00F07520" w:rsidRPr="00BD2E21" w:rsidP="00BD2E21" w14:paraId="5633448F" w14:textId="3CAB9D3D">
      <w:pPr>
        <w:pStyle w:val="ListParagraph"/>
        <w:numPr>
          <w:ilvl w:val="0"/>
          <w:numId w:val="2"/>
        </w:numPr>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Ja</w:t>
      </w:r>
      <w:r w:rsidRPr="00BD2E21" w:rsidR="009A77C0">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ēka, kurai </w:t>
      </w:r>
      <w:r w:rsidRPr="00BD2E21" w:rsidR="009A77C0">
        <w:rPr>
          <w:rFonts w:ascii="Times New Roman" w:eastAsia="Times New Roman" w:hAnsi="Times New Roman" w:cs="Times New Roman"/>
          <w:sz w:val="24"/>
          <w:szCs w:val="24"/>
          <w:lang w:eastAsia="lv-LV"/>
        </w:rPr>
        <w:t>projekta ietvaros</w:t>
      </w:r>
      <w:r w:rsidRPr="00BD2E21">
        <w:rPr>
          <w:rFonts w:ascii="Times New Roman" w:eastAsia="Times New Roman" w:hAnsi="Times New Roman" w:cs="Times New Roman"/>
          <w:sz w:val="24"/>
          <w:szCs w:val="24"/>
          <w:lang w:eastAsia="lv-LV"/>
        </w:rPr>
        <w:t xml:space="preserve"> plānots veikt būvniecību,</w:t>
      </w:r>
      <w:r w:rsidRPr="00BD2E21" w:rsidR="009A77C0">
        <w:rPr>
          <w:rFonts w:ascii="Times New Roman" w:eastAsia="Times New Roman" w:hAnsi="Times New Roman" w:cs="Times New Roman"/>
          <w:sz w:val="24"/>
          <w:szCs w:val="24"/>
          <w:lang w:eastAsia="lv-LV"/>
        </w:rPr>
        <w:t xml:space="preserve"> pārbūvi vai atjaunošanu </w:t>
      </w:r>
      <w:r w:rsidRPr="00BD2E21">
        <w:rPr>
          <w:rFonts w:ascii="Times New Roman" w:eastAsia="Times New Roman" w:hAnsi="Times New Roman" w:cs="Times New Roman"/>
          <w:sz w:val="24"/>
          <w:szCs w:val="24"/>
          <w:lang w:eastAsia="lv-LV"/>
        </w:rPr>
        <w:t xml:space="preserve">atrodas </w:t>
      </w:r>
      <w:r w:rsidRPr="000E1BC9" w:rsidR="006F38D8">
        <w:rPr>
          <w:rFonts w:ascii="Times New Roman" w:eastAsia="Times New Roman" w:hAnsi="Times New Roman" w:cs="Times New Roman"/>
          <w:sz w:val="24"/>
          <w:szCs w:val="24"/>
          <w:lang w:eastAsia="lv-LV"/>
        </w:rPr>
        <w:t xml:space="preserve">Kurzemes, Latgales, Vidzemes </w:t>
      </w:r>
      <w:r w:rsidRPr="00D5202A" w:rsidR="006F38D8">
        <w:rPr>
          <w:rFonts w:ascii="Times New Roman" w:eastAsia="Times New Roman" w:hAnsi="Times New Roman" w:cs="Times New Roman"/>
          <w:sz w:val="24"/>
          <w:szCs w:val="24"/>
          <w:lang w:eastAsia="lv-LV"/>
        </w:rPr>
        <w:t>vai Zemgale</w:t>
      </w:r>
      <w:r w:rsidRPr="00BD2E21" w:rsidR="009A77C0">
        <w:rPr>
          <w:rFonts w:ascii="Times New Roman" w:eastAsia="Times New Roman" w:hAnsi="Times New Roman" w:cs="Times New Roman"/>
          <w:sz w:val="24"/>
          <w:szCs w:val="24"/>
          <w:lang w:eastAsia="lv-LV"/>
        </w:rPr>
        <w:t xml:space="preserve"> plānošanas reģionā, pēc būvniecības, pārbūves vai atjaunošanas darbu veikšanas</w:t>
      </w:r>
      <w:r w:rsidRPr="00BD2E21">
        <w:rPr>
          <w:rFonts w:ascii="Times New Roman" w:eastAsia="Times New Roman" w:hAnsi="Times New Roman" w:cs="Times New Roman"/>
          <w:sz w:val="24"/>
          <w:szCs w:val="24"/>
          <w:lang w:eastAsia="lv-LV"/>
        </w:rPr>
        <w:t xml:space="preserve"> ēku var izmantot projekta iesniedzējs, kas atbilst sīkā (mikro), mazā </w:t>
      </w:r>
      <w:r w:rsidRPr="00BD2E21" w:rsidR="0050466D">
        <w:rPr>
          <w:rFonts w:ascii="Times New Roman" w:eastAsia="Times New Roman" w:hAnsi="Times New Roman" w:cs="Times New Roman"/>
          <w:sz w:val="24"/>
          <w:szCs w:val="24"/>
          <w:lang w:eastAsia="lv-LV"/>
        </w:rPr>
        <w:t>vai</w:t>
      </w:r>
      <w:r w:rsidRPr="00BD2E21">
        <w:rPr>
          <w:rFonts w:ascii="Times New Roman" w:eastAsia="Times New Roman" w:hAnsi="Times New Roman" w:cs="Times New Roman"/>
          <w:sz w:val="24"/>
          <w:szCs w:val="24"/>
          <w:lang w:eastAsia="lv-LV"/>
        </w:rPr>
        <w:t xml:space="preserve"> vidējā komersanta statusam, saimnieciskās darbības veikšanai apstrādes rūpniecības nozarē vai informācijas un komunikācij</w:t>
      </w:r>
      <w:r w:rsidRPr="000E1BC9" w:rsidR="00CC6D95">
        <w:rPr>
          <w:rFonts w:ascii="Times New Roman" w:eastAsia="Times New Roman" w:hAnsi="Times New Roman" w:cs="Times New Roman"/>
          <w:sz w:val="24"/>
          <w:szCs w:val="24"/>
          <w:lang w:eastAsia="lv-LV"/>
        </w:rPr>
        <w:t>u</w:t>
      </w:r>
      <w:r w:rsidRPr="00BD2E21">
        <w:rPr>
          <w:rFonts w:ascii="Times New Roman" w:eastAsia="Times New Roman" w:hAnsi="Times New Roman" w:cs="Times New Roman"/>
          <w:sz w:val="24"/>
          <w:szCs w:val="24"/>
          <w:lang w:eastAsia="lv-LV"/>
        </w:rPr>
        <w:t xml:space="preserve"> tehnoloģiju nozarē vai iznomāt ēku sīkajiem (mikro), mazajiem </w:t>
      </w:r>
      <w:r w:rsidRPr="00BD2E21" w:rsidR="0050466D">
        <w:rPr>
          <w:rFonts w:ascii="Times New Roman" w:eastAsia="Times New Roman" w:hAnsi="Times New Roman" w:cs="Times New Roman"/>
          <w:sz w:val="24"/>
          <w:szCs w:val="24"/>
          <w:lang w:eastAsia="lv-LV"/>
        </w:rPr>
        <w:t>vai</w:t>
      </w:r>
      <w:r w:rsidRPr="00BD2E21">
        <w:rPr>
          <w:rFonts w:ascii="Times New Roman" w:eastAsia="Times New Roman" w:hAnsi="Times New Roman" w:cs="Times New Roman"/>
          <w:sz w:val="24"/>
          <w:szCs w:val="24"/>
          <w:lang w:eastAsia="lv-LV"/>
        </w:rPr>
        <w:t xml:space="preserve"> vidējiem komersantiem, kas veic saimniecisko darbību apstrādes rūpniecības nozarē vai informācijas un komunikāci</w:t>
      </w:r>
      <w:r w:rsidRPr="000E1BC9" w:rsidR="00CC6D95">
        <w:rPr>
          <w:rFonts w:ascii="Times New Roman" w:eastAsia="Times New Roman" w:hAnsi="Times New Roman" w:cs="Times New Roman"/>
          <w:sz w:val="24"/>
          <w:szCs w:val="24"/>
          <w:lang w:eastAsia="lv-LV"/>
        </w:rPr>
        <w:t xml:space="preserve">ju </w:t>
      </w:r>
      <w:r w:rsidRPr="00BD2E21">
        <w:rPr>
          <w:rFonts w:ascii="Times New Roman" w:eastAsia="Times New Roman" w:hAnsi="Times New Roman" w:cs="Times New Roman"/>
          <w:sz w:val="24"/>
          <w:szCs w:val="24"/>
          <w:lang w:eastAsia="lv-LV"/>
        </w:rPr>
        <w:t>tehnoloģiju nozarē.</w:t>
      </w:r>
    </w:p>
    <w:p w:rsidR="0050466D" w:rsidRPr="00D5202A" w:rsidP="0050466D" w14:paraId="1AA81A26" w14:textId="271CDB4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0E1BC9">
        <w:rPr>
          <w:rFonts w:ascii="Times New Roman" w:eastAsia="Times New Roman" w:hAnsi="Times New Roman" w:cs="Times New Roman"/>
          <w:sz w:val="24"/>
          <w:szCs w:val="24"/>
          <w:lang w:eastAsia="lv-LV"/>
        </w:rPr>
        <w:t>Ja ēka, kurai projekta iet</w:t>
      </w:r>
      <w:r w:rsidRPr="00D5202A">
        <w:rPr>
          <w:rFonts w:ascii="Times New Roman" w:eastAsia="Times New Roman" w:hAnsi="Times New Roman" w:cs="Times New Roman"/>
          <w:sz w:val="24"/>
          <w:szCs w:val="24"/>
          <w:lang w:eastAsia="lv-LV"/>
        </w:rPr>
        <w:t>varos plānots veikt būvniecību, pārbūvi vai atjaunošanu atrodas Rīgas plānošanas reģionā, pēc būvniecības, pārbūves vai atjaunošanas darbu veikšanas ēku var izmantot projekta iesniedzējs, kas atbilst sīkā (mikro), mazā vai vidējā komersanta statusam, saimnieciskās darbības veikšanai apstrādes rūpniecībai augstas pievienotās vērtības nozarēs vai iznomāt ēku sīkajiem (mikro), mazajiem vai vidējiem komersantiem, kas veic saimniecisko darbību apstrādes rūpniecībā augstas pievienotās vērtības nozarēs.</w:t>
      </w:r>
    </w:p>
    <w:p w:rsidR="0050466D" w:rsidRPr="00D5202A" w:rsidP="0050466D" w14:paraId="50B4E18A" w14:textId="7777777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ir atbalstāma projektu īstenošana visā Latvijas teritorijā, izņemot Rīgu.</w:t>
      </w:r>
    </w:p>
    <w:p w:rsidR="0050466D" w:rsidRPr="00D5202A" w:rsidP="0050466D" w14:paraId="3698D0EB" w14:textId="7777777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iesniedzējam ir īpašuma vai valdījuma tiesības vai ilgtermiņa nomas tiesības uz nekustamo īpašumu, tai skaitā zemi, kurā veic investīcijas. Valdījuma tiesības ir piešķirtas saskaņā ar </w:t>
      </w:r>
      <w:r>
        <w:fldChar w:fldCharType="begin"/>
      </w:r>
      <w:r>
        <w:instrText xml:space="preserve"> HYPERLINK "https://likumi.lv/ta/id/57435-likums-par-ostam" \t "_blank" </w:instrText>
      </w:r>
      <w:r>
        <w:fldChar w:fldCharType="separate"/>
      </w:r>
      <w:r w:rsidRPr="00D5202A">
        <w:rPr>
          <w:rFonts w:ascii="Times New Roman" w:eastAsia="Times New Roman" w:hAnsi="Times New Roman" w:cs="Times New Roman"/>
          <w:sz w:val="24"/>
          <w:szCs w:val="24"/>
          <w:lang w:eastAsia="lv-LV"/>
        </w:rPr>
        <w:t>Likumu par ostām</w:t>
      </w:r>
      <w:r>
        <w:fldChar w:fldCharType="end"/>
      </w:r>
      <w:r w:rsidRPr="000E1BC9">
        <w:rPr>
          <w:rFonts w:ascii="Times New Roman" w:eastAsia="Times New Roman" w:hAnsi="Times New Roman" w:cs="Times New Roman"/>
          <w:sz w:val="24"/>
          <w:szCs w:val="24"/>
          <w:lang w:eastAsia="lv-LV"/>
        </w:rPr>
        <w:t> vai attiecīgā projekta iesniedzēja darbību regulējošiem normatīvajiem aktiem brīvostas darbības jomā vai n</w:t>
      </w:r>
      <w:r w:rsidRPr="00D5202A">
        <w:rPr>
          <w:rFonts w:ascii="Times New Roman" w:eastAsia="Times New Roman" w:hAnsi="Times New Roman" w:cs="Times New Roman"/>
          <w:sz w:val="24"/>
          <w:szCs w:val="24"/>
          <w:lang w:eastAsia="lv-LV"/>
        </w:rPr>
        <w:t>ormatīvajiem aktiem speciālo ekonomisko zonu darbības jomā. Īpašuma tiesības apliecina zemesgrāmatas ieraksts par projekta iesniedzēja īpašuma tiesībām vai zemesgrāmatā reģistrēts projekta iesniedzēja noslēgts nekustamā īpašuma pirkuma līgums ar nogaidu tiesību, bet ilgtermiņa nomas tiesības – zemesgrāmatā reģistrētas projekta iesniedzēja ilgtermiņa nomas tiesības – vismaz 10 gadus pēc projekta īstenošanas pabeigšanas.</w:t>
      </w:r>
    </w:p>
    <w:p w:rsidR="00514C43" w:rsidRPr="00D5202A" w:rsidP="00514C43" w14:paraId="44E4E9A7" w14:textId="72EA8D2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kopā ar projekta iesniegumu iesniedz biznesa plānu saskaņā ar atlases nolikumā minētajām prasībām.</w:t>
      </w:r>
    </w:p>
    <w:p w:rsidR="0050466D" w:rsidRPr="00D5202A" w:rsidP="0050466D" w14:paraId="1915A69D" w14:textId="275FE9C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Uz finansējumu nevar pretendēt, ja:</w:t>
      </w:r>
    </w:p>
    <w:p w:rsidR="00D0735E" w:rsidRPr="00D5202A" w:rsidP="00D0735E" w14:paraId="2598A295" w14:textId="64E46A6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atbilst </w:t>
      </w:r>
      <w:r>
        <w:fldChar w:fldCharType="begin"/>
      </w:r>
      <w:r>
        <w:instrText xml:space="preserve"> HYPERLINK "https://likumi.lv/ta/id/267471-eiropas-savienibas-strukturfondu-un-kohezijas-fonda-2014-2020-gada-planosanas-perioda-vadibas-likums" \t "_blank" </w:instrText>
      </w:r>
      <w:r>
        <w:fldChar w:fldCharType="separate"/>
      </w:r>
      <w:r w:rsidRPr="00D5202A">
        <w:rPr>
          <w:rFonts w:ascii="Times New Roman" w:eastAsia="Times New Roman" w:hAnsi="Times New Roman" w:cs="Times New Roman"/>
          <w:sz w:val="24"/>
          <w:szCs w:val="24"/>
          <w:lang w:eastAsia="lv-LV"/>
        </w:rPr>
        <w:t>Eiropas Savienības struktūrfondu un Kohēzijas fonda 2014.–2020. gada plānošanas perioda vadības likuma</w:t>
      </w:r>
      <w:r>
        <w:fldChar w:fldCharType="end"/>
      </w:r>
      <w:r w:rsidRPr="000E1BC9">
        <w:rPr>
          <w:rFonts w:ascii="Times New Roman" w:eastAsia="Times New Roman" w:hAnsi="Times New Roman" w:cs="Times New Roman"/>
          <w:sz w:val="24"/>
          <w:szCs w:val="24"/>
          <w:lang w:eastAsia="lv-LV"/>
        </w:rPr>
        <w:t> </w:t>
      </w:r>
      <w:r>
        <w:fldChar w:fldCharType="begin"/>
      </w:r>
      <w:r>
        <w:instrText xml:space="preserve"> HYPERLINK "https://likumi.lv/ta/id/267471-eiropas-savienibas-strukturfondu-un-kohezijas-fonda-2014-2020-gada-planosanas-perioda-vadibas-likums" \l "p23" \t "_blank" </w:instrText>
      </w:r>
      <w:r>
        <w:fldChar w:fldCharType="separate"/>
      </w:r>
      <w:r w:rsidRPr="00D5202A">
        <w:rPr>
          <w:rFonts w:ascii="Times New Roman" w:eastAsia="Times New Roman" w:hAnsi="Times New Roman" w:cs="Times New Roman"/>
          <w:sz w:val="24"/>
          <w:szCs w:val="24"/>
          <w:lang w:eastAsia="lv-LV"/>
        </w:rPr>
        <w:t>23. pantā</w:t>
      </w:r>
      <w:r>
        <w:fldChar w:fldCharType="end"/>
      </w:r>
      <w:r w:rsidRPr="000E1BC9">
        <w:rPr>
          <w:rFonts w:ascii="Times New Roman" w:eastAsia="Times New Roman" w:hAnsi="Times New Roman" w:cs="Times New Roman"/>
          <w:sz w:val="24"/>
          <w:szCs w:val="24"/>
          <w:lang w:eastAsia="lv-LV"/>
        </w:rPr>
        <w:t> minētajiem projekta iesniedzēju izslēgšanas noteikumiem</w:t>
      </w:r>
      <w:r w:rsidRPr="00D5202A">
        <w:rPr>
          <w:rFonts w:ascii="Times New Roman" w:eastAsia="Times New Roman" w:hAnsi="Times New Roman" w:cs="Times New Roman"/>
          <w:sz w:val="24"/>
          <w:szCs w:val="24"/>
          <w:lang w:eastAsia="lv-LV"/>
        </w:rPr>
        <w:t>;</w:t>
      </w:r>
    </w:p>
    <w:p w:rsidR="00D0735E" w:rsidRPr="00BD2E21" w:rsidP="00D0735E" w14:paraId="29D2A306" w14:textId="34045A3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hAnsi="Times New Roman" w:cs="Times New Roman"/>
          <w:sz w:val="24"/>
          <w:szCs w:val="24"/>
          <w:lang w:eastAsia="lv-LV"/>
        </w:rPr>
        <w:t>uz projekta iesniedzēju attiecas līdzekļu atgūšanas rīkojums, kas minēts Komisijas regulas Nr. </w:t>
      </w:r>
      <w:r>
        <w:fldChar w:fldCharType="begin"/>
      </w:r>
      <w:r>
        <w:instrText xml:space="preserve"> HYPERLINK "http://eur-lex.europa.eu/eli/reg/2014/651/oj/?locale=LV" \t "_blank" </w:instrText>
      </w:r>
      <w:r>
        <w:fldChar w:fldCharType="separate"/>
      </w:r>
      <w:r w:rsidRPr="00D5202A">
        <w:rPr>
          <w:rFonts w:ascii="Times New Roman" w:hAnsi="Times New Roman" w:cs="Times New Roman"/>
          <w:sz w:val="24"/>
          <w:szCs w:val="24"/>
          <w:lang w:eastAsia="lv-LV"/>
        </w:rPr>
        <w:t>651/2014</w:t>
      </w:r>
      <w:r>
        <w:fldChar w:fldCharType="end"/>
      </w:r>
      <w:r w:rsidRPr="000E1BC9">
        <w:rPr>
          <w:rFonts w:ascii="Times New Roman" w:hAnsi="Times New Roman" w:cs="Times New Roman"/>
          <w:sz w:val="24"/>
          <w:szCs w:val="24"/>
          <w:lang w:eastAsia="lv-LV"/>
        </w:rPr>
        <w:t> 1. panta 4. punkta "a" apakšpunktā;</w:t>
      </w:r>
    </w:p>
    <w:p w:rsidR="00D0735E" w:rsidRPr="00D5202A" w:rsidP="00BD2E21" w14:paraId="79A63AF3" w14:textId="77777777">
      <w:pPr>
        <w:pStyle w:val="ListParagraph"/>
        <w:numPr>
          <w:ilvl w:val="1"/>
          <w:numId w:val="2"/>
        </w:numPr>
        <w:rPr>
          <w:rFonts w:ascii="Times New Roman" w:hAnsi="Times New Roman" w:cs="Times New Roman"/>
          <w:sz w:val="24"/>
          <w:szCs w:val="24"/>
          <w:lang w:eastAsia="lv-LV"/>
        </w:rPr>
      </w:pPr>
      <w:r w:rsidRPr="00D5202A">
        <w:rPr>
          <w:rFonts w:ascii="Times New Roman" w:hAnsi="Times New Roman" w:cs="Times New Roman"/>
          <w:sz w:val="24"/>
          <w:szCs w:val="24"/>
          <w:lang w:eastAsia="lv-LV"/>
        </w:rPr>
        <w:t>projekta iesniedzējs atbilst grūtībās nonākuša komersanta statusam saskaņā ar Komisijas regulas Nr.</w:t>
      </w:r>
      <w:r>
        <w:fldChar w:fldCharType="begin"/>
      </w:r>
      <w:r>
        <w:instrText xml:space="preserve"> HYPERLINK "http://eur-lex.europa.eu/eli/reg/2014/651/oj/?locale=LV" \t "_blank" </w:instrText>
      </w:r>
      <w:r>
        <w:fldChar w:fldCharType="separate"/>
      </w:r>
      <w:r w:rsidRPr="00D5202A">
        <w:rPr>
          <w:rFonts w:ascii="Times New Roman" w:hAnsi="Times New Roman" w:cs="Times New Roman"/>
          <w:sz w:val="24"/>
          <w:szCs w:val="24"/>
          <w:lang w:eastAsia="lv-LV"/>
        </w:rPr>
        <w:t>651/2014</w:t>
      </w:r>
      <w:r>
        <w:fldChar w:fldCharType="end"/>
      </w:r>
      <w:r w:rsidRPr="000E1BC9">
        <w:rPr>
          <w:rFonts w:ascii="Times New Roman" w:hAnsi="Times New Roman" w:cs="Times New Roman"/>
          <w:sz w:val="24"/>
          <w:szCs w:val="24"/>
          <w:lang w:eastAsia="lv-LV"/>
        </w:rPr>
        <w:t xml:space="preserve"> 2. panta 18. </w:t>
      </w:r>
      <w:r w:rsidRPr="00D5202A">
        <w:rPr>
          <w:rFonts w:ascii="Times New Roman" w:hAnsi="Times New Roman" w:cs="Times New Roman"/>
          <w:sz w:val="24"/>
          <w:szCs w:val="24"/>
          <w:lang w:eastAsia="lv-LV"/>
        </w:rPr>
        <w:t>punktu;</w:t>
      </w:r>
    </w:p>
    <w:p w:rsidR="00D0735E" w:rsidRPr="000E1BC9" w:rsidP="00D0735E" w14:paraId="3E652304" w14:textId="7777777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nav iesniegts projekta iesniedzēja parakstīts apliecinājumu, ka tas nav veicis un neveiks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Pr="000E1BC9">
        <w:rPr>
          <w:rFonts w:ascii="Times New Roman" w:eastAsia="Times New Roman" w:hAnsi="Times New Roman" w:cs="Times New Roman"/>
          <w:sz w:val="24"/>
          <w:szCs w:val="24"/>
          <w:lang w:eastAsia="lv-LV"/>
        </w:rPr>
        <w:t> 14. panta 16. punktā norādītās darbības, kuras definētas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Pr="000E1BC9">
        <w:rPr>
          <w:rFonts w:ascii="Times New Roman" w:eastAsia="Times New Roman" w:hAnsi="Times New Roman" w:cs="Times New Roman"/>
          <w:sz w:val="24"/>
          <w:szCs w:val="24"/>
          <w:lang w:eastAsia="lv-LV"/>
        </w:rPr>
        <w:t> 2. panta 61. punkta "a" apakšpunktā, un ka uz to neattiecas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Pr="000E1BC9">
        <w:rPr>
          <w:rFonts w:ascii="Times New Roman" w:eastAsia="Times New Roman" w:hAnsi="Times New Roman" w:cs="Times New Roman"/>
          <w:sz w:val="24"/>
          <w:szCs w:val="24"/>
          <w:lang w:eastAsia="lv-LV"/>
        </w:rPr>
        <w:t> 14. panta 17. punktā minētais nosacījums.</w:t>
      </w:r>
    </w:p>
    <w:p w:rsidR="00D0735E" w:rsidRPr="00D5202A" w:rsidP="00D0735E" w14:paraId="26054E57" w14:textId="1792CFE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atbalstu nesniedz šādām darbībām un nozarēm:</w:t>
      </w:r>
    </w:p>
    <w:p w:rsidR="00D0735E" w:rsidRPr="00D5202A" w:rsidP="00D0735E" w14:paraId="763EAB81" w14:textId="3B48D18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"http://eur-lex.europa.eu/eli/reg/2014/651/oj/?locale=LV" \t "_blank" </w:instrText>
      </w:r>
      <w:r>
        <w:fldChar w:fldCharType="separate"/>
      </w:r>
      <w:r w:rsidRPr="000E1BC9">
        <w:rPr>
          <w:rFonts w:ascii="Times New Roman" w:eastAsia="Times New Roman" w:hAnsi="Times New Roman" w:cs="Times New Roman"/>
          <w:sz w:val="24"/>
          <w:szCs w:val="24"/>
          <w:lang w:eastAsia="lv-LV"/>
        </w:rPr>
        <w:t>651/2014</w:t>
      </w:r>
      <w:r>
        <w:fldChar w:fldCharType="end"/>
      </w:r>
      <w:r w:rsidRPr="000E1BC9">
        <w:rPr>
          <w:rFonts w:ascii="Times New Roman" w:eastAsia="Times New Roman" w:hAnsi="Times New Roman" w:cs="Times New Roman"/>
          <w:sz w:val="24"/>
          <w:szCs w:val="24"/>
          <w:lang w:eastAsia="lv-LV"/>
        </w:rPr>
        <w:t> 1. panta 2. punkta "c" un "d" apakšpunktā un 3. punktā</w:t>
      </w:r>
      <w:r w:rsidRPr="00D5202A">
        <w:rPr>
          <w:rFonts w:ascii="Times New Roman" w:eastAsia="Times New Roman" w:hAnsi="Times New Roman" w:cs="Times New Roman"/>
          <w:sz w:val="24"/>
          <w:szCs w:val="24"/>
          <w:lang w:eastAsia="lv-LV"/>
        </w:rPr>
        <w:t>;</w:t>
      </w:r>
    </w:p>
    <w:p w:rsidR="00D0735E" w:rsidRPr="00D5202A" w:rsidP="00D0735E" w14:paraId="739BC8BD" w14:textId="0FBF2FD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00EE7748">
        <w:rPr>
          <w:rFonts w:ascii="Times New Roman" w:eastAsia="Times New Roman" w:hAnsi="Times New Roman" w:cs="Times New Roman"/>
          <w:sz w:val="24"/>
          <w:szCs w:val="24"/>
          <w:lang w:eastAsia="lv-LV"/>
        </w:rPr>
        <w:t xml:space="preserve"> </w:t>
      </w:r>
      <w:r w:rsidRPr="000E1BC9">
        <w:rPr>
          <w:rFonts w:ascii="Times New Roman" w:eastAsia="Times New Roman" w:hAnsi="Times New Roman" w:cs="Times New Roman"/>
          <w:sz w:val="24"/>
          <w:szCs w:val="24"/>
          <w:lang w:eastAsia="lv-LV"/>
        </w:rPr>
        <w:t>13. panta "a" un "b" apakšpunktā</w:t>
      </w:r>
      <w:r w:rsidRPr="00D5202A">
        <w:rPr>
          <w:rFonts w:ascii="Times New Roman" w:eastAsia="Times New Roman" w:hAnsi="Times New Roman" w:cs="Times New Roman"/>
          <w:sz w:val="24"/>
          <w:szCs w:val="24"/>
          <w:lang w:eastAsia="lv-LV"/>
        </w:rPr>
        <w:t>:</w:t>
      </w:r>
    </w:p>
    <w:p w:rsidR="00D0735E" w:rsidRPr="00D5202A" w:rsidP="00D0735E" w14:paraId="0FA97077" w14:textId="1B9611CA">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651/2014 13. pantā "a" apakšpunktā noteiktajām nozarēm, kuras definētas Komisijas regulas Nr.651/2014 2.panta 13., 43. un 44.punktā un kuģubūvei, kas tiek definēta kā pašpiedziņas komerciālo kuģu būve. Pašpiedziņas komerciālie kuģi ir kuģi, kuriem, izmantojot savu paša dzinējspēku un vadību, ir visas īpašības, lai tie būtu piemēroti patstāvīgai kuģošanai atklātā jūrā vai pa iekšzemes ūdensceļiem, un kuri pieder pie vienas no šādām kategorijām:</w:t>
      </w:r>
    </w:p>
    <w:p w:rsidR="00D0735E" w:rsidRPr="00D5202A" w:rsidP="00D0735E" w14:paraId="67353F7B" w14:textId="4DC0FAE8">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jūras kuģi, kas nav mazāki par 100 bruto tonnām, un līdzvērtīga izmēra iekšzemes ūdensceļu kuģi, ko izmanto pasažieru un/vai preču pārvadāšanai;</w:t>
      </w:r>
    </w:p>
    <w:p w:rsidR="00D0735E" w:rsidRPr="00D5202A" w:rsidP="00D0735E" w14:paraId="7F668565" w14:textId="15355D20">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jūras kuģi, kas nav mazāki par 100 bruto tonnām, un līdzvērtīga izmēra iekšzemes ūdensceļu kuģi, ko izmanto īpašu pakalpojumu sniegšanai (piemēram, bagarkuģi un ledlauži);</w:t>
      </w:r>
    </w:p>
    <w:p w:rsidR="00D0735E" w:rsidRPr="00D5202A" w:rsidP="00D0735E" w14:paraId="3B42494D" w14:textId="6F878CF2">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velkoņi, kuru jauda nav mazāka par 365 kW;</w:t>
      </w:r>
    </w:p>
    <w:p w:rsidR="00D0735E" w:rsidRPr="00D5202A" w:rsidP="00D0735E" w14:paraId="3E37231D" w14:textId="2A83973D">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šo noteikumu 17.2.1, 17.2.2. un 17.2.3. apakšpunktā minēto kuģu nepabeigti korpusi, kas ir peldoši un pārvietojami”;</w:t>
      </w:r>
    </w:p>
    <w:p w:rsidR="00D0735E" w:rsidRPr="00D5202A" w:rsidP="00D0735E" w14:paraId="5A1A31F7" w14:textId="605E521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651/2014 13. panta "b" apakšpunktā noteiktajām nozarēm, kuras definētas Komisijas regulas Nr.651/2014 2.panta 45. un 130.punktā.</w:t>
      </w:r>
    </w:p>
    <w:p w:rsidR="00D0735E" w:rsidRPr="00D5202A" w:rsidP="00D0735E" w14:paraId="1D7F33D7" w14:textId="524D2AE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Eiropas Parlamenta un Padomes 2013. gada 17. decembra Regulas (ES) Nr. </w:t>
      </w:r>
      <w:r>
        <w:fldChar w:fldCharType="begin"/>
      </w:r>
      <w:r>
        <w:instrText xml:space="preserve"> HYPERLINK "http://eur-lex.europa.eu/eli/reg/2013/1301/oj/?locale=LV" \t "_blank" </w:instrText>
      </w:r>
      <w:r>
        <w:fldChar w:fldCharType="separate"/>
      </w:r>
      <w:r w:rsidRPr="000E1BC9">
        <w:rPr>
          <w:rFonts w:ascii="Times New Roman" w:eastAsia="Times New Roman" w:hAnsi="Times New Roman" w:cs="Times New Roman"/>
          <w:sz w:val="24"/>
          <w:szCs w:val="24"/>
          <w:lang w:eastAsia="lv-LV"/>
        </w:rPr>
        <w:t>1301/2013</w:t>
      </w:r>
      <w:r>
        <w:fldChar w:fldCharType="end"/>
      </w:r>
      <w:r w:rsidRPr="000E1BC9">
        <w:rPr>
          <w:rFonts w:ascii="Times New Roman" w:eastAsia="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sidRPr="000E1BC9">
        <w:rPr>
          <w:rFonts w:ascii="Times New Roman" w:eastAsia="Times New Roman" w:hAnsi="Times New Roman" w:cs="Times New Roman"/>
          <w:sz w:val="24"/>
          <w:szCs w:val="24"/>
          <w:lang w:eastAsia="lv-LV"/>
        </w:rPr>
        <w:t>1080/2006</w:t>
      </w:r>
      <w:r>
        <w:fldChar w:fldCharType="end"/>
      </w:r>
      <w:r w:rsidRPr="000E1BC9">
        <w:rPr>
          <w:rFonts w:ascii="Times New Roman" w:eastAsia="Times New Roman" w:hAnsi="Times New Roman" w:cs="Times New Roman"/>
          <w:sz w:val="24"/>
          <w:szCs w:val="24"/>
          <w:lang w:eastAsia="lv-LV"/>
        </w:rPr>
        <w:t>, 3. panta 3. punktā;</w:t>
      </w:r>
    </w:p>
    <w:p w:rsidR="00D0735E" w:rsidRPr="00D5202A" w:rsidP="00D0735E" w14:paraId="7574AEFF" w14:textId="4DCF779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"http://eur-lex.europa.eu/eli/reg/2013/1407/oj/?locale=LV" \t "_blank" </w:instrText>
      </w:r>
      <w:r>
        <w:fldChar w:fldCharType="separate"/>
      </w:r>
      <w:r w:rsidRPr="000E1BC9">
        <w:rPr>
          <w:rFonts w:ascii="Times New Roman" w:eastAsia="Times New Roman" w:hAnsi="Times New Roman" w:cs="Times New Roman"/>
          <w:sz w:val="24"/>
          <w:szCs w:val="24"/>
          <w:lang w:eastAsia="lv-LV"/>
        </w:rPr>
        <w:t>1407/2013</w:t>
      </w:r>
      <w:r>
        <w:fldChar w:fldCharType="end"/>
      </w:r>
      <w:r w:rsidRPr="000E1BC9">
        <w:rPr>
          <w:rFonts w:ascii="Times New Roman" w:eastAsia="Times New Roman" w:hAnsi="Times New Roman" w:cs="Times New Roman"/>
          <w:sz w:val="24"/>
          <w:szCs w:val="24"/>
          <w:lang w:eastAsia="lv-LV"/>
        </w:rPr>
        <w:t> 1. panta 1. punktā;</w:t>
      </w:r>
    </w:p>
    <w:p w:rsidR="00D0735E" w:rsidRPr="00D5202A" w:rsidP="00D0735E" w14:paraId="2B2C02CC" w14:textId="34B9B49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alkoholisko dzērienu ražošanai;</w:t>
      </w:r>
    </w:p>
    <w:p w:rsidR="00D0735E" w:rsidRPr="00D5202A" w:rsidP="00D0735E" w14:paraId="5351CA9D" w14:textId="7D2E6F8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ieroču un munīcijas ražošanai.</w:t>
      </w:r>
    </w:p>
    <w:p w:rsidR="00D0735E" w:rsidRPr="00D5202A" w:rsidP="00D0735E" w14:paraId="797900A1" w14:textId="3CD5DA8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Projektu iesniegumu vērtēšanā un atbalsta piešķiršanā ievēro šādus principus:</w:t>
      </w:r>
    </w:p>
    <w:p w:rsidR="00957578" w:rsidRPr="00D5202A" w:rsidP="002C2773" w14:paraId="775DC845" w14:textId="13FEC343">
      <w:pPr>
        <w:shd w:val="clear" w:color="auto" w:fill="FFFFFF"/>
        <w:spacing w:after="0" w:line="293" w:lineRule="atLeast"/>
        <w:ind w:firstLine="600"/>
        <w:jc w:val="both"/>
        <w:rPr>
          <w:rFonts w:ascii="Times New Roman" w:eastAsia="Times New Roman" w:hAnsi="Times New Roman" w:cs="Times New Roman"/>
          <w:sz w:val="24"/>
          <w:szCs w:val="24"/>
          <w:lang w:eastAsia="lv-LV"/>
        </w:rPr>
      </w:pPr>
      <w:bookmarkStart w:id="25" w:name="p11"/>
      <w:bookmarkStart w:id="26" w:name="p-587318"/>
      <w:bookmarkStart w:id="27" w:name="p12"/>
      <w:bookmarkStart w:id="28" w:name="p-587319"/>
      <w:bookmarkStart w:id="29" w:name="p13"/>
      <w:bookmarkStart w:id="30" w:name="p-587320"/>
      <w:bookmarkStart w:id="31" w:name="p14"/>
      <w:bookmarkStart w:id="32" w:name="p-587322"/>
      <w:bookmarkStart w:id="33" w:name="p15"/>
      <w:bookmarkStart w:id="34" w:name="p-587323"/>
      <w:bookmarkStart w:id="35" w:name="p16"/>
      <w:bookmarkStart w:id="36" w:name="p-587325"/>
      <w:bookmarkEnd w:id="25"/>
      <w:bookmarkEnd w:id="26"/>
      <w:bookmarkEnd w:id="27"/>
      <w:bookmarkEnd w:id="28"/>
      <w:bookmarkEnd w:id="29"/>
      <w:bookmarkEnd w:id="30"/>
      <w:bookmarkEnd w:id="31"/>
      <w:bookmarkEnd w:id="32"/>
      <w:bookmarkEnd w:id="33"/>
      <w:bookmarkEnd w:id="34"/>
      <w:bookmarkEnd w:id="35"/>
      <w:bookmarkEnd w:id="36"/>
      <w:r w:rsidRPr="00D5202A">
        <w:rPr>
          <w:rFonts w:ascii="Times New Roman" w:eastAsia="Times New Roman" w:hAnsi="Times New Roman" w:cs="Times New Roman"/>
          <w:sz w:val="24"/>
          <w:szCs w:val="24"/>
          <w:lang w:eastAsia="lv-LV"/>
        </w:rPr>
        <w:t>1</w:t>
      </w:r>
      <w:r w:rsidRPr="00D5202A" w:rsidR="00C81413">
        <w:rPr>
          <w:rFonts w:ascii="Times New Roman" w:eastAsia="Times New Roman" w:hAnsi="Times New Roman" w:cs="Times New Roman"/>
          <w:sz w:val="24"/>
          <w:szCs w:val="24"/>
          <w:lang w:eastAsia="lv-LV"/>
        </w:rPr>
        <w:t>8</w:t>
      </w:r>
      <w:r w:rsidRPr="00D5202A">
        <w:rPr>
          <w:rFonts w:ascii="Times New Roman" w:eastAsia="Times New Roman" w:hAnsi="Times New Roman" w:cs="Times New Roman"/>
          <w:sz w:val="24"/>
          <w:szCs w:val="24"/>
          <w:lang w:eastAsia="lv-LV"/>
        </w:rPr>
        <w:t>.1. savstarpēji salīdzina un vērtē projektu iesniegumus viena plānošanas reģiona ietvaros;</w:t>
      </w:r>
    </w:p>
    <w:p w:rsidR="00957578" w:rsidRPr="00D5202A" w:rsidP="002C2773" w14:paraId="63D8E830" w14:textId="3692CC65">
      <w:pPr>
        <w:shd w:val="clear" w:color="auto" w:fill="FFFFFF"/>
        <w:spacing w:after="0" w:line="293" w:lineRule="atLeast"/>
        <w:ind w:firstLine="600"/>
        <w:jc w:val="both"/>
        <w:rPr>
          <w:rFonts w:ascii="Times New Roman" w:eastAsia="Times New Roman" w:hAnsi="Times New Roman" w:cs="Times New Roman"/>
          <w:sz w:val="24"/>
          <w:szCs w:val="24"/>
          <w:lang w:eastAsia="lv-LV"/>
        </w:rPr>
      </w:pPr>
      <w:r>
        <w:fldChar w:fldCharType="begin"/>
      </w:r>
      <w:r>
        <w:instrText xml:space="preserve"> HYPERLINK "https://likumi.lv/ta/id/281590-darbibas-programmas-izaugsme-un-nodarbinatiba-3-1-1-specifiska-atbalsta-merka-sekmet-mvk-izveidi-un-attistibu-ipasi" \l "p16.2" \t "_blank" </w:instrText>
      </w:r>
      <w:r>
        <w:fldChar w:fldCharType="separate"/>
      </w:r>
      <w:r w:rsidRPr="000E1BC9">
        <w:rPr>
          <w:rFonts w:ascii="Times New Roman" w:eastAsia="Times New Roman" w:hAnsi="Times New Roman" w:cs="Times New Roman"/>
          <w:sz w:val="24"/>
          <w:szCs w:val="24"/>
          <w:lang w:eastAsia="lv-LV"/>
        </w:rPr>
        <w:t>1</w:t>
      </w:r>
      <w:r w:rsidRPr="000E1BC9" w:rsidR="006F38D8">
        <w:rPr>
          <w:rFonts w:ascii="Times New Roman" w:eastAsia="Times New Roman" w:hAnsi="Times New Roman" w:cs="Times New Roman"/>
          <w:sz w:val="24"/>
          <w:szCs w:val="24"/>
          <w:lang w:eastAsia="lv-LV"/>
        </w:rPr>
        <w:t>8</w:t>
      </w:r>
      <w:r w:rsidRPr="00D5202A">
        <w:rPr>
          <w:rFonts w:ascii="Times New Roman" w:eastAsia="Times New Roman" w:hAnsi="Times New Roman" w:cs="Times New Roman"/>
          <w:sz w:val="24"/>
          <w:szCs w:val="24"/>
          <w:lang w:eastAsia="lv-LV"/>
        </w:rPr>
        <w:t>.2</w:t>
      </w:r>
      <w:r>
        <w:fldChar w:fldCharType="end"/>
      </w:r>
      <w:r w:rsidRPr="000E1BC9">
        <w:rPr>
          <w:rFonts w:ascii="Times New Roman" w:eastAsia="Times New Roman" w:hAnsi="Times New Roman" w:cs="Times New Roman"/>
          <w:sz w:val="24"/>
          <w:szCs w:val="24"/>
          <w:lang w:eastAsia="lv-LV"/>
        </w:rPr>
        <w:t xml:space="preserve">. ja diviem projektu iesniegumiem viena plānošanas reģiona ietvaros ir piešķirts vienāds punktu skaits, tiek salīdzināti projektu iesniegumu vērtēšanā iegūtie punkti </w:t>
      </w:r>
      <w:r w:rsidRPr="00D5202A">
        <w:rPr>
          <w:rFonts w:ascii="Times New Roman" w:eastAsia="Times New Roman" w:hAnsi="Times New Roman" w:cs="Times New Roman"/>
          <w:sz w:val="24"/>
          <w:szCs w:val="24"/>
          <w:lang w:eastAsia="lv-LV"/>
        </w:rPr>
        <w:t>kvalitātes kritērijā "Ražošanas ēkas vai telpu izmantošana pēc projekta īstenošanas pabeigšanas";</w:t>
      </w:r>
    </w:p>
    <w:p w:rsidR="00957578" w:rsidRPr="00D5202A" w:rsidP="002C2773" w14:paraId="135073A6" w14:textId="15355A43">
      <w:pPr>
        <w:shd w:val="clear" w:color="auto" w:fill="FFFFFF"/>
        <w:spacing w:after="0" w:line="293" w:lineRule="atLeast"/>
        <w:ind w:firstLine="600"/>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1</w:t>
      </w:r>
      <w:r w:rsidRPr="00D5202A" w:rsidR="006F38D8">
        <w:rPr>
          <w:rFonts w:ascii="Times New Roman" w:eastAsia="Times New Roman" w:hAnsi="Times New Roman" w:cs="Times New Roman"/>
          <w:sz w:val="24"/>
          <w:szCs w:val="24"/>
          <w:lang w:eastAsia="lv-LV"/>
        </w:rPr>
        <w:t>8</w:t>
      </w:r>
      <w:r w:rsidRPr="00D5202A">
        <w:rPr>
          <w:rFonts w:ascii="Times New Roman" w:eastAsia="Times New Roman" w:hAnsi="Times New Roman" w:cs="Times New Roman"/>
          <w:sz w:val="24"/>
          <w:szCs w:val="24"/>
          <w:lang w:eastAsia="lv-LV"/>
        </w:rPr>
        <w:t>.3. ja pēc šo noteikumu 1</w:t>
      </w:r>
      <w:r w:rsidRPr="00D5202A" w:rsidR="006F38D8">
        <w:rPr>
          <w:rFonts w:ascii="Times New Roman" w:eastAsia="Times New Roman" w:hAnsi="Times New Roman" w:cs="Times New Roman"/>
          <w:sz w:val="24"/>
          <w:szCs w:val="24"/>
          <w:lang w:eastAsia="lv-LV"/>
        </w:rPr>
        <w:t>8</w:t>
      </w:r>
      <w:r w:rsidRPr="00D5202A">
        <w:rPr>
          <w:rFonts w:ascii="Times New Roman" w:eastAsia="Times New Roman" w:hAnsi="Times New Roman" w:cs="Times New Roman"/>
          <w:sz w:val="24"/>
          <w:szCs w:val="24"/>
          <w:lang w:eastAsia="lv-LV"/>
        </w:rPr>
        <w:t>.2. apakšpunktā minētās projektu iesniegumu salīdzināšanas vairākiem projektu iesniegumiem ir vienāds vērtējums, priekšroku dod projekta iesniegumam, kurā ir lielāka plānoto pārbūvējamo, atjaunojamo vai izveidojamo telpu platība. Ja telpu platība ir vienāda, priekšroku dod projekta iesniedzējam, kas plāno projekta ietvaros izveidotās ražošanas ēkas vai telpas iznomāt</w:t>
      </w:r>
      <w:r w:rsidRPr="00BD2E21" w:rsidR="006F38D8">
        <w:rPr>
          <w:rFonts w:ascii="Times New Roman" w:eastAsia="Times New Roman" w:hAnsi="Times New Roman" w:cs="Times New Roman"/>
          <w:sz w:val="24"/>
          <w:szCs w:val="24"/>
          <w:lang w:eastAsia="lv-LV"/>
        </w:rPr>
        <w:t>.</w:t>
      </w:r>
    </w:p>
    <w:p w:rsidR="00957578" w:rsidRPr="00D5202A" w:rsidP="002C2773" w14:paraId="10716499" w14:textId="3AD47EBA">
      <w:pPr>
        <w:shd w:val="clear" w:color="auto" w:fill="FFFFFF"/>
        <w:spacing w:after="0" w:line="293" w:lineRule="atLeast"/>
        <w:ind w:firstLine="600"/>
        <w:jc w:val="both"/>
        <w:rPr>
          <w:rFonts w:ascii="Times New Roman" w:eastAsia="Times New Roman" w:hAnsi="Times New Roman" w:cs="Times New Roman"/>
          <w:sz w:val="24"/>
          <w:szCs w:val="24"/>
          <w:lang w:eastAsia="lv-LV"/>
        </w:rPr>
      </w:pPr>
      <w:r>
        <w:fldChar w:fldCharType="begin"/>
      </w:r>
      <w:r>
        <w:instrText xml:space="preserve"> HYPERLINK "https://likumi.lv/ta/id/281590-darbibas-programmas-izaugsme-un-nodarbinatiba-3-1-1-specifiska-atbalsta-merka-sekmet-mvk-izveidi-un-attistibu-ipasi" \l "p16.4" \t "_blank" </w:instrText>
      </w:r>
      <w:r>
        <w:fldChar w:fldCharType="separate"/>
      </w:r>
      <w:r w:rsidRPr="00D5202A">
        <w:rPr>
          <w:rFonts w:ascii="Times New Roman" w:eastAsia="Times New Roman" w:hAnsi="Times New Roman" w:cs="Times New Roman"/>
          <w:sz w:val="24"/>
          <w:szCs w:val="24"/>
          <w:lang w:eastAsia="lv-LV"/>
        </w:rPr>
        <w:t>1</w:t>
      </w:r>
      <w:r w:rsidRPr="00D5202A" w:rsidR="006F38D8">
        <w:rPr>
          <w:rFonts w:ascii="Times New Roman" w:eastAsia="Times New Roman" w:hAnsi="Times New Roman" w:cs="Times New Roman"/>
          <w:sz w:val="24"/>
          <w:szCs w:val="24"/>
          <w:lang w:eastAsia="lv-LV"/>
        </w:rPr>
        <w:t>8</w:t>
      </w:r>
      <w:r w:rsidRPr="00D5202A">
        <w:rPr>
          <w:rFonts w:ascii="Times New Roman" w:eastAsia="Times New Roman" w:hAnsi="Times New Roman" w:cs="Times New Roman"/>
          <w:sz w:val="24"/>
          <w:szCs w:val="24"/>
          <w:lang w:eastAsia="lv-LV"/>
        </w:rPr>
        <w:t>.4</w:t>
      </w:r>
      <w:r>
        <w:fldChar w:fldCharType="end"/>
      </w:r>
      <w:r w:rsidRPr="00D5202A">
        <w:rPr>
          <w:rFonts w:ascii="Times New Roman" w:eastAsia="Times New Roman" w:hAnsi="Times New Roman" w:cs="Times New Roman"/>
          <w:sz w:val="24"/>
          <w:szCs w:val="24"/>
          <w:lang w:eastAsia="lv-LV"/>
        </w:rPr>
        <w:t>. ja netiek izmantots viss plānošanas reģioniem pieejamais finansējums, atlikušo finansējumu izmanto, lai atbalstītu nākamo projekta iesniegumu ar augstāko punktu skaitu neatkarīgi no tā atrašanās vietas.</w:t>
      </w:r>
    </w:p>
    <w:p w:rsidR="00C466B4" w:rsidRPr="00D5202A" w:rsidP="00957578" w14:paraId="692D0B62" w14:textId="77777777">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rsidR="00957578" w:rsidRPr="00D5202A" w:rsidP="00957578" w14:paraId="001AAB96"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7" w:name="n3"/>
      <w:bookmarkStart w:id="38" w:name="n-587326"/>
      <w:bookmarkEnd w:id="37"/>
      <w:bookmarkEnd w:id="38"/>
      <w:r w:rsidRPr="00D5202A">
        <w:rPr>
          <w:rFonts w:ascii="Times New Roman" w:eastAsia="Times New Roman" w:hAnsi="Times New Roman" w:cs="Times New Roman"/>
          <w:b/>
          <w:bCs/>
          <w:sz w:val="24"/>
          <w:szCs w:val="24"/>
          <w:lang w:eastAsia="lv-LV"/>
        </w:rPr>
        <w:t>III. Atbalstāmās darbības, attiecināmās un neattiecināmās izmaksas</w:t>
      </w:r>
    </w:p>
    <w:p w:rsidR="00C466B4" w:rsidRPr="00D5202A" w:rsidP="00957578" w14:paraId="1A354C12"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6F38D8" w:rsidRPr="00D5202A" w:rsidP="006F38D8" w14:paraId="3836DBA6" w14:textId="0DB46B1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39" w:name="p17"/>
      <w:bookmarkStart w:id="40" w:name="p-587327"/>
      <w:bookmarkEnd w:id="39"/>
      <w:bookmarkEnd w:id="40"/>
      <w:r w:rsidRPr="00BD2E21">
        <w:rPr>
          <w:rFonts w:ascii="Times New Roman" w:eastAsia="Times New Roman" w:hAnsi="Times New Roman" w:cs="Times New Roman"/>
          <w:sz w:val="24"/>
          <w:szCs w:val="24"/>
          <w:lang w:eastAsia="lv-LV"/>
        </w:rPr>
        <w:t xml:space="preserve"> Finansējumu piešķir vienas vai vairāku ēku būvniecībai, pārbūvei vai atjaunošanai, kas saistīta ar ražošanas ēku</w:t>
      </w:r>
      <w:r w:rsidRPr="00BD2E21">
        <w:rPr>
          <w:rFonts w:ascii="Times New Roman" w:eastAsia="Times New Roman" w:hAnsi="Times New Roman" w:cs="Times New Roman"/>
          <w:sz w:val="24"/>
          <w:szCs w:val="24"/>
          <w:lang w:eastAsia="lv-LV"/>
        </w:rPr>
        <w:t xml:space="preserve"> vai biroja ēku</w:t>
      </w:r>
      <w:r w:rsidRPr="00BD2E21">
        <w:rPr>
          <w:rFonts w:ascii="Times New Roman" w:eastAsia="Times New Roman" w:hAnsi="Times New Roman" w:cs="Times New Roman"/>
          <w:sz w:val="24"/>
          <w:szCs w:val="24"/>
          <w:lang w:eastAsia="lv-LV"/>
        </w:rPr>
        <w:t xml:space="preserve"> izveidi</w:t>
      </w:r>
      <w:r w:rsidRPr="00BD2E21">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ja:</w:t>
      </w:r>
    </w:p>
    <w:p w:rsidR="006F38D8" w:rsidRPr="00D5202A" w:rsidP="006F38D8" w14:paraId="7F3BA500" w14:textId="0DA5F5C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Kurzemes, Latgales, Vidzemes vai Zemgales plānošanas reģionā ēkas nav mazākas par 4 000 m</w:t>
      </w:r>
      <w:r w:rsidRPr="00BD2E21">
        <w:rPr>
          <w:rFonts w:ascii="Times New Roman" w:eastAsia="Times New Roman" w:hAnsi="Times New Roman" w:cs="Times New Roman"/>
          <w:sz w:val="24"/>
          <w:szCs w:val="24"/>
          <w:vertAlign w:val="superscript"/>
          <w:lang w:eastAsia="lv-LV"/>
        </w:rPr>
        <w:t>2</w:t>
      </w:r>
      <w:r w:rsidRPr="00D5202A">
        <w:rPr>
          <w:rFonts w:ascii="Times New Roman" w:eastAsia="Times New Roman" w:hAnsi="Times New Roman" w:cs="Times New Roman"/>
          <w:sz w:val="24"/>
          <w:szCs w:val="24"/>
          <w:lang w:eastAsia="lv-LV"/>
        </w:rPr>
        <w:t>, ja ēku paredzēts izmantot apstrādes rūpniecībā vai 2 000 m</w:t>
      </w:r>
      <w:r w:rsidRPr="00D5202A">
        <w:rPr>
          <w:rFonts w:ascii="Times New Roman" w:eastAsia="Times New Roman" w:hAnsi="Times New Roman" w:cs="Times New Roman"/>
          <w:sz w:val="24"/>
          <w:szCs w:val="24"/>
          <w:vertAlign w:val="superscript"/>
          <w:lang w:eastAsia="lv-LV"/>
        </w:rPr>
        <w:t>2</w:t>
      </w:r>
      <w:r w:rsidRPr="00D5202A">
        <w:rPr>
          <w:rFonts w:ascii="Times New Roman" w:eastAsia="Times New Roman" w:hAnsi="Times New Roman" w:cs="Times New Roman"/>
          <w:sz w:val="24"/>
          <w:szCs w:val="24"/>
          <w:lang w:eastAsia="lv-LV"/>
        </w:rPr>
        <w:t xml:space="preserve">, ja ēku paredzēts izmantot </w:t>
      </w:r>
      <w:r w:rsidRPr="00D5202A" w:rsidR="00E83665">
        <w:rPr>
          <w:rFonts w:ascii="Times New Roman" w:eastAsia="Times New Roman" w:hAnsi="Times New Roman" w:cs="Times New Roman"/>
          <w:sz w:val="24"/>
          <w:szCs w:val="24"/>
          <w:lang w:eastAsia="lv-LV"/>
        </w:rPr>
        <w:t>informācij</w:t>
      </w:r>
      <w:r w:rsidRPr="00D5202A" w:rsidR="00CC6D95">
        <w:rPr>
          <w:rFonts w:ascii="Times New Roman" w:eastAsia="Times New Roman" w:hAnsi="Times New Roman" w:cs="Times New Roman"/>
          <w:sz w:val="24"/>
          <w:szCs w:val="24"/>
          <w:lang w:eastAsia="lv-LV"/>
        </w:rPr>
        <w:t>as</w:t>
      </w:r>
      <w:r w:rsidRPr="00D5202A" w:rsidR="00E83665">
        <w:rPr>
          <w:rFonts w:ascii="Times New Roman" w:eastAsia="Times New Roman" w:hAnsi="Times New Roman" w:cs="Times New Roman"/>
          <w:sz w:val="24"/>
          <w:szCs w:val="24"/>
          <w:lang w:eastAsia="lv-LV"/>
        </w:rPr>
        <w:t xml:space="preserve"> un komunikāciju tehnoloģiju nozarē;</w:t>
      </w:r>
    </w:p>
    <w:p w:rsidR="00E83665" w:rsidRPr="00D5202A" w:rsidP="00BD2E21" w14:paraId="4941998B" w14:textId="5D7CFFC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Rīgas plānošanas reģionā vismaz 100 0m</w:t>
      </w:r>
      <w:r w:rsidRPr="00D5202A">
        <w:rPr>
          <w:rFonts w:ascii="Times New Roman" w:eastAsia="Times New Roman" w:hAnsi="Times New Roman" w:cs="Times New Roman"/>
          <w:sz w:val="24"/>
          <w:szCs w:val="24"/>
          <w:vertAlign w:val="superscript"/>
          <w:lang w:eastAsia="lv-LV"/>
        </w:rPr>
        <w:t>2</w:t>
      </w:r>
      <w:r w:rsidRPr="00D5202A">
        <w:rPr>
          <w:rFonts w:ascii="Times New Roman" w:eastAsia="Times New Roman" w:hAnsi="Times New Roman" w:cs="Times New Roman"/>
          <w:sz w:val="24"/>
          <w:szCs w:val="24"/>
          <w:lang w:eastAsia="lv-LV"/>
        </w:rPr>
        <w:t xml:space="preserve"> no ēkas atbilst telpu grupai laboratorijas, atbilstoši normatīvo aktu prasībām, ka regulē telpu grupu klasifikāciju;</w:t>
      </w:r>
    </w:p>
    <w:p w:rsidR="00E83665" w:rsidRPr="00D5202A" w:rsidP="00BD2E21" w14:paraId="288B3F8C" w14:textId="6FFABE2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īstenošanas vieta atbilst šo noteikumu </w:t>
      </w:r>
      <w:r>
        <w:fldChar w:fldCharType="begin"/>
      </w:r>
      <w:r>
        <w:instrText xml:space="preserve"> HYPERLINK "https://likumi.lv/ta/id/281590-darbibas-programmas-izaugsme-un-nodarbinatiba-3-1-1-specifiska-atbalsta-merka-sekmet-mvk-izveidi-un-attistibu-ipasi" \l "p10" \t "_blank" </w:instrText>
      </w:r>
      <w:r>
        <w:fldChar w:fldCharType="separate"/>
      </w:r>
      <w:r w:rsidRPr="00D5202A">
        <w:rPr>
          <w:rFonts w:ascii="Times New Roman" w:eastAsia="Times New Roman" w:hAnsi="Times New Roman" w:cs="Times New Roman"/>
          <w:sz w:val="24"/>
          <w:szCs w:val="24"/>
          <w:lang w:eastAsia="lv-LV"/>
        </w:rPr>
        <w:t>10. </w:t>
      </w:r>
      <w:r>
        <w:fldChar w:fldCharType="end"/>
      </w:r>
      <w:r w:rsidRPr="00D5202A">
        <w:rPr>
          <w:rFonts w:ascii="Times New Roman" w:eastAsia="Times New Roman" w:hAnsi="Times New Roman" w:cs="Times New Roman"/>
          <w:sz w:val="24"/>
          <w:szCs w:val="24"/>
          <w:lang w:eastAsia="lv-LV"/>
        </w:rPr>
        <w:t>,</w:t>
      </w:r>
      <w:r w:rsidRPr="00D5202A">
        <w:rPr>
          <w:rFonts w:ascii="Times New Roman" w:eastAsia="Times New Roman" w:hAnsi="Times New Roman" w:cs="Times New Roman"/>
          <w:sz w:val="24"/>
          <w:szCs w:val="24"/>
          <w:lang w:eastAsia="lv-LV"/>
        </w:rPr>
        <w:t xml:space="preserve"> </w:t>
      </w:r>
      <w:r>
        <w:fldChar w:fldCharType="begin"/>
      </w:r>
      <w:r>
        <w:instrText xml:space="preserve"> HYPERLINK "https://likumi.lv/ta/id/281590-darbibas-programmas-izaugsme-un-nodarbinatiba-3-1-1-specifiska-atbalsta-merka-sekmet-mvk-izveidi-un-attistibu-ipasi" \l "p11" \t "_blank" </w:instrText>
      </w:r>
      <w:r>
        <w:fldChar w:fldCharType="separate"/>
      </w:r>
      <w:r w:rsidRPr="00D5202A">
        <w:rPr>
          <w:rFonts w:ascii="Times New Roman" w:eastAsia="Times New Roman" w:hAnsi="Times New Roman" w:cs="Times New Roman"/>
          <w:sz w:val="24"/>
          <w:szCs w:val="24"/>
          <w:lang w:eastAsia="lv-LV"/>
        </w:rPr>
        <w:t xml:space="preserve">11. </w:t>
      </w:r>
      <w:r w:rsidRPr="00D5202A">
        <w:rPr>
          <w:rFonts w:ascii="Times New Roman" w:eastAsia="Times New Roman" w:hAnsi="Times New Roman" w:cs="Times New Roman"/>
          <w:sz w:val="24"/>
          <w:szCs w:val="24"/>
          <w:lang w:eastAsia="lv-LV"/>
        </w:rPr>
        <w:t xml:space="preserve">, 12. un 13. </w:t>
      </w:r>
      <w:r w:rsidRPr="00D5202A">
        <w:rPr>
          <w:rFonts w:ascii="Times New Roman" w:eastAsia="Times New Roman" w:hAnsi="Times New Roman" w:cs="Times New Roman"/>
          <w:sz w:val="24"/>
          <w:szCs w:val="24"/>
          <w:lang w:eastAsia="lv-LV"/>
        </w:rPr>
        <w:t>punktā</w:t>
      </w:r>
      <w:r>
        <w:fldChar w:fldCharType="end"/>
      </w:r>
      <w:r w:rsidRPr="00D5202A">
        <w:rPr>
          <w:rFonts w:ascii="Times New Roman" w:eastAsia="Times New Roman" w:hAnsi="Times New Roman" w:cs="Times New Roman"/>
          <w:sz w:val="24"/>
          <w:szCs w:val="24"/>
          <w:lang w:eastAsia="lv-LV"/>
        </w:rPr>
        <w:t> minētajām prasībām;</w:t>
      </w:r>
    </w:p>
    <w:p w:rsidR="00E83665" w:rsidRPr="00D5202A" w:rsidP="00E83665" w14:paraId="0942E108" w14:textId="015E95F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 pēc ražošanas ēkas nodošanas ekspluatācijā jaunuzcelto, pārbūvēto vai atjaunoto ražošanas ēku iznomā tikai</w:t>
      </w:r>
      <w:r w:rsidRPr="00D5202A">
        <w:rPr>
          <w:rFonts w:ascii="Times New Roman" w:eastAsia="Times New Roman" w:hAnsi="Times New Roman" w:cs="Times New Roman"/>
          <w:sz w:val="24"/>
          <w:szCs w:val="24"/>
          <w:lang w:eastAsia="lv-LV"/>
        </w:rPr>
        <w:t>:</w:t>
      </w:r>
    </w:p>
    <w:p w:rsidR="00E83665" w:rsidRPr="00BD2E21" w:rsidP="00E83665" w14:paraId="059F8B8B" w14:textId="5A21C5AF">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 Kurzemes, Latgales, Vidzemes vai Zemgales plānošanas reģionā </w:t>
      </w:r>
      <w:r w:rsidRPr="00BD2E21" w:rsidR="00921193">
        <w:rPr>
          <w:rFonts w:ascii="Times New Roman" w:eastAsia="Times New Roman" w:hAnsi="Times New Roman" w:cs="Times New Roman"/>
          <w:sz w:val="24"/>
          <w:szCs w:val="24"/>
          <w:lang w:eastAsia="lv-LV"/>
        </w:rPr>
        <w:t xml:space="preserve">apstrādes rūpniecības vai </w:t>
      </w:r>
      <w:r w:rsidRPr="00BD2E21">
        <w:rPr>
          <w:rFonts w:ascii="Times New Roman" w:eastAsia="Times New Roman" w:hAnsi="Times New Roman" w:cs="Times New Roman"/>
          <w:sz w:val="24"/>
          <w:szCs w:val="24"/>
          <w:lang w:eastAsia="lv-LV"/>
        </w:rPr>
        <w:t xml:space="preserve">informācijas un komunikāciju tehnoloģiju nozares </w:t>
      </w:r>
      <w:r w:rsidRPr="00BD2E21" w:rsidR="00957578">
        <w:rPr>
          <w:rFonts w:ascii="Times New Roman" w:eastAsia="Times New Roman" w:hAnsi="Times New Roman" w:cs="Times New Roman"/>
          <w:sz w:val="24"/>
          <w:szCs w:val="24"/>
          <w:lang w:eastAsia="lv-LV"/>
        </w:rPr>
        <w:t xml:space="preserve">sīkajiem (mikro), mazajiem vai vidējiem komersantiem, vai pats finansējuma saņēmējs ir sīkais (mikro), mazais vai vidējais komersants, kas veic saimniecisko darbību </w:t>
      </w:r>
      <w:r w:rsidRPr="00BD2E21" w:rsidR="00921193">
        <w:rPr>
          <w:rFonts w:ascii="Times New Roman" w:eastAsia="Times New Roman" w:hAnsi="Times New Roman" w:cs="Times New Roman"/>
          <w:sz w:val="24"/>
          <w:szCs w:val="24"/>
          <w:lang w:eastAsia="lv-LV"/>
        </w:rPr>
        <w:t xml:space="preserve">apstrādes rūpniecības vai </w:t>
      </w:r>
      <w:r w:rsidRPr="00BD2E21">
        <w:rPr>
          <w:rFonts w:ascii="Times New Roman" w:eastAsia="Times New Roman" w:hAnsi="Times New Roman" w:cs="Times New Roman"/>
          <w:sz w:val="24"/>
          <w:szCs w:val="24"/>
          <w:lang w:eastAsia="lv-LV"/>
        </w:rPr>
        <w:t>informācijas un komunikāciju tehnoloģiju nozarē;</w:t>
      </w:r>
    </w:p>
    <w:p w:rsidR="00E83665" w:rsidRPr="00D5202A" w:rsidP="00E83665" w14:paraId="57CFE296" w14:textId="746E38A8">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Rīgas plānošanas reģionā </w:t>
      </w:r>
      <w:r w:rsidRPr="00BD2E21" w:rsidR="00921193">
        <w:rPr>
          <w:rFonts w:ascii="Times New Roman" w:eastAsia="Times New Roman" w:hAnsi="Times New Roman" w:cs="Times New Roman"/>
          <w:sz w:val="24"/>
          <w:szCs w:val="24"/>
          <w:lang w:eastAsia="lv-LV"/>
        </w:rPr>
        <w:t>apstrādes rūpniecības</w:t>
      </w:r>
      <w:r w:rsidRPr="00BD2E21" w:rsidR="00584871">
        <w:rPr>
          <w:rFonts w:ascii="Times New Roman" w:eastAsia="Times New Roman" w:hAnsi="Times New Roman" w:cs="Times New Roman"/>
          <w:sz w:val="24"/>
          <w:szCs w:val="24"/>
          <w:lang w:eastAsia="lv-LV"/>
        </w:rPr>
        <w:t xml:space="preserve"> augstas pievienotās vērtības</w:t>
      </w:r>
      <w:r w:rsidRPr="00BD2E21" w:rsidR="00921193">
        <w:rPr>
          <w:rFonts w:ascii="Times New Roman" w:eastAsia="Times New Roman" w:hAnsi="Times New Roman" w:cs="Times New Roman"/>
          <w:sz w:val="24"/>
          <w:szCs w:val="24"/>
          <w:lang w:eastAsia="lv-LV"/>
        </w:rPr>
        <w:t xml:space="preserve"> nozar</w:t>
      </w:r>
      <w:r w:rsidRPr="00BD2E21">
        <w:rPr>
          <w:rFonts w:ascii="Times New Roman" w:eastAsia="Times New Roman" w:hAnsi="Times New Roman" w:cs="Times New Roman"/>
          <w:sz w:val="24"/>
          <w:szCs w:val="24"/>
          <w:lang w:eastAsia="lv-LV"/>
        </w:rPr>
        <w:t>es sīkajiem (mikro), mazajiem vai vidējiem komersantiem, vai pats finansējuma saņēmējs ir sīkais (mikro), mazais vai vidējais komersants, kas veic saimniecisko darbību apstrādes rūpniecības augstas pievienotās vērtības nozarēs</w:t>
      </w:r>
      <w:r w:rsidRPr="00D5202A">
        <w:rPr>
          <w:rFonts w:ascii="Times New Roman" w:eastAsia="Times New Roman" w:hAnsi="Times New Roman" w:cs="Times New Roman"/>
          <w:sz w:val="24"/>
          <w:szCs w:val="24"/>
          <w:lang w:eastAsia="lv-LV"/>
        </w:rPr>
        <w:t>;</w:t>
      </w:r>
    </w:p>
    <w:p w:rsidR="00A14852" w:rsidRPr="00BD2E21" w:rsidP="00BD2E21" w14:paraId="13E6B130" w14:textId="3A49B7E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ražošanas vai biroju ēka tiek iznomāta, finansējuma saņēmējs nodrošina, ka uz projekta noslēguma maksājuma pieprasījuma iesniegšanas dienu ir iznomāti vismaz 30 %, bet 36 mēnešu laikā pēc ražošanas ēkas nodošanas ekspluatācijā – vismaz 80 % no izbūvētās, pārbūvētās vai atjaunotās ražošanas ēkas platības, un atbilstošie iznomātāji ir uzstādījuši ražošanas iekārtas un uzsākuši ražošanas procesu. Laikposmā, kas sākas no projekta noslēguma maksājuma pieprasījuma iesniegšanas dienas un ietver 36 mēnešus pēc ražošanas ēkas nodošanas ekspluatācijā, ir iznomāti ne mazāk kā 30 % no izbūvētās, pārbūvētās vai atjaunotās ražošanas ēkas platības un šajās telpās tiek veikta ražošana vai saimnieciskā darbība informācijas un komunikāciju tehnoloģiju nozarēs;</w:t>
      </w:r>
    </w:p>
    <w:p w:rsidR="00A14852" w:rsidRPr="00D5202A" w:rsidP="00E83665" w14:paraId="6A0954C3" w14:textId="41367FE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saimniecisko darbību minētajā ražošanas vai biroju ēkā veic pats finansējuma saņēmējs, uz projekta noslēguma maksājuma pieprasījuma iesniegšanas dienu ir jābūt uzstādītām vai izvietotām ražošanas iekārtām un uzsāktam ražošanas procesam vai saimnieciskai darbībai informācijas un komunikāciju tehnoloģiju nozarē;</w:t>
      </w:r>
    </w:p>
    <w:p w:rsidR="00A14852" w:rsidRPr="00D5202A" w:rsidP="00E83665" w14:paraId="62D53A2C" w14:textId="4144C22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jaunuzcelto, pārbūvēto vai atjaunoto ražošanas ēku nevar iznomāt lielo komersantu vajadzībām;</w:t>
      </w:r>
    </w:p>
    <w:p w:rsidR="00A14852" w:rsidRPr="00D5202A" w:rsidP="00E83665" w14:paraId="1D6C4152" w14:textId="03525C0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pēc ražošanas </w:t>
      </w:r>
      <w:r w:rsidRPr="00D5202A" w:rsidR="00931C84">
        <w:rPr>
          <w:rFonts w:ascii="Times New Roman" w:eastAsia="Times New Roman" w:hAnsi="Times New Roman" w:cs="Times New Roman"/>
          <w:sz w:val="24"/>
          <w:szCs w:val="24"/>
          <w:lang w:eastAsia="lv-LV"/>
        </w:rPr>
        <w:t xml:space="preserve">vai biroju </w:t>
      </w:r>
      <w:r w:rsidRPr="00D5202A">
        <w:rPr>
          <w:rFonts w:ascii="Times New Roman" w:eastAsia="Times New Roman" w:hAnsi="Times New Roman" w:cs="Times New Roman"/>
          <w:sz w:val="24"/>
          <w:szCs w:val="24"/>
          <w:lang w:eastAsia="lv-LV"/>
        </w:rPr>
        <w:t>ēkas nodošanas ekspluatācijā jaunuzcelto, pārbūvēto vai atjaunoto ēku vismaz uz pieciem gadiem iznomā vai izmanto:</w:t>
      </w:r>
    </w:p>
    <w:p w:rsidR="001B2644" w:rsidRPr="00BD2E21" w:rsidP="00A14852" w14:paraId="5E4B3B0C" w14:textId="50CDBFF5">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 Kurzemes, Latgales, Vidzemes vai Zemgales plānošanas reģionā ražošanai </w:t>
      </w:r>
      <w:r w:rsidRPr="00BD2E21">
        <w:rPr>
          <w:rFonts w:ascii="Times New Roman" w:eastAsia="Times New Roman" w:hAnsi="Times New Roman" w:cs="Times New Roman"/>
          <w:sz w:val="24"/>
          <w:szCs w:val="24"/>
          <w:lang w:eastAsia="lv-LV"/>
        </w:rPr>
        <w:t xml:space="preserve">apstrādes rūpniecības vai </w:t>
      </w:r>
      <w:r w:rsidRPr="00BD2E21" w:rsidR="00931C84">
        <w:rPr>
          <w:rFonts w:ascii="Times New Roman" w:eastAsia="Times New Roman" w:hAnsi="Times New Roman" w:cs="Times New Roman"/>
          <w:sz w:val="24"/>
          <w:szCs w:val="24"/>
          <w:lang w:eastAsia="lv-LV"/>
        </w:rPr>
        <w:t>saimnieciskās darbības veikšanai informācijas un komunikāciju tehnoloģiju nozarē.</w:t>
      </w:r>
      <w:r w:rsidRPr="00D5202A">
        <w:rPr>
          <w:rFonts w:ascii="Times New Roman" w:eastAsia="Times New Roman" w:hAnsi="Times New Roman" w:cs="Times New Roman"/>
          <w:sz w:val="24"/>
          <w:szCs w:val="24"/>
          <w:lang w:eastAsia="lv-LV"/>
        </w:rPr>
        <w:t xml:space="preserve"> Jaunus līgumus par ražošanas telpu </w:t>
      </w:r>
      <w:r w:rsidRPr="00D5202A">
        <w:rPr>
          <w:rFonts w:ascii="Times New Roman" w:eastAsia="Times New Roman" w:hAnsi="Times New Roman" w:cs="Times New Roman"/>
          <w:sz w:val="24"/>
          <w:szCs w:val="24"/>
          <w:lang w:eastAsia="lv-LV"/>
        </w:rPr>
        <w:t xml:space="preserve">vai biroja telpu </w:t>
      </w:r>
      <w:r w:rsidRPr="00D5202A">
        <w:rPr>
          <w:rFonts w:ascii="Times New Roman" w:eastAsia="Times New Roman" w:hAnsi="Times New Roman" w:cs="Times New Roman"/>
          <w:sz w:val="24"/>
          <w:szCs w:val="24"/>
          <w:lang w:eastAsia="lv-LV"/>
        </w:rPr>
        <w:t xml:space="preserve">nomu piecus gadus pēc projekta īstenošanas var slēgt tikai ar sīkajiem (mikro), mazajiem </w:t>
      </w:r>
      <w:r w:rsidRPr="00D5202A">
        <w:rPr>
          <w:rFonts w:ascii="Times New Roman" w:eastAsia="Times New Roman" w:hAnsi="Times New Roman" w:cs="Times New Roman"/>
          <w:sz w:val="24"/>
          <w:szCs w:val="24"/>
          <w:lang w:eastAsia="lv-LV"/>
        </w:rPr>
        <w:t>vai</w:t>
      </w:r>
      <w:r w:rsidRPr="00D5202A">
        <w:rPr>
          <w:rFonts w:ascii="Times New Roman" w:eastAsia="Times New Roman" w:hAnsi="Times New Roman" w:cs="Times New Roman"/>
          <w:sz w:val="24"/>
          <w:szCs w:val="24"/>
          <w:lang w:eastAsia="lv-LV"/>
        </w:rPr>
        <w:t xml:space="preserve"> vidējiem komersantiem</w:t>
      </w:r>
      <w:r w:rsidRPr="00BD2E21">
        <w:rPr>
          <w:rFonts w:ascii="Times New Roman" w:eastAsia="Times New Roman" w:hAnsi="Times New Roman" w:cs="Times New Roman"/>
          <w:sz w:val="24"/>
          <w:szCs w:val="24"/>
          <w:lang w:eastAsia="lv-LV"/>
        </w:rPr>
        <w:t xml:space="preserve">, kas veic saimniecisko darbību apstrādes rūpniecības </w:t>
      </w:r>
      <w:r w:rsidRPr="00BD2E21">
        <w:rPr>
          <w:rFonts w:ascii="Times New Roman" w:eastAsia="Times New Roman" w:hAnsi="Times New Roman" w:cs="Times New Roman"/>
          <w:sz w:val="24"/>
          <w:szCs w:val="24"/>
          <w:lang w:eastAsia="lv-LV"/>
        </w:rPr>
        <w:t>vai informācijas un komunikācija tehnoloģiju nozarē;</w:t>
      </w:r>
    </w:p>
    <w:p w:rsidR="001B2644" w:rsidRPr="00D5202A" w:rsidP="00A14852" w14:paraId="375178AE" w14:textId="0E9CE99D">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Rīgas plānošanas reģionā ražošanai </w:t>
      </w:r>
      <w:r w:rsidRPr="00BD2E21" w:rsidR="00A14852">
        <w:rPr>
          <w:rFonts w:ascii="Times New Roman" w:eastAsia="Times New Roman" w:hAnsi="Times New Roman" w:cs="Times New Roman"/>
          <w:sz w:val="24"/>
          <w:szCs w:val="24"/>
          <w:lang w:eastAsia="lv-LV"/>
        </w:rPr>
        <w:t>apstrādes rūpniecīb</w:t>
      </w:r>
      <w:r w:rsidRPr="00BD2E21">
        <w:rPr>
          <w:rFonts w:ascii="Times New Roman" w:eastAsia="Times New Roman" w:hAnsi="Times New Roman" w:cs="Times New Roman"/>
          <w:sz w:val="24"/>
          <w:szCs w:val="24"/>
          <w:lang w:eastAsia="lv-LV"/>
        </w:rPr>
        <w:t>ā</w:t>
      </w:r>
      <w:r w:rsidRPr="00BD2E21" w:rsidR="00A14852">
        <w:rPr>
          <w:rFonts w:ascii="Times New Roman" w:eastAsia="Times New Roman" w:hAnsi="Times New Roman" w:cs="Times New Roman"/>
          <w:sz w:val="24"/>
          <w:szCs w:val="24"/>
          <w:lang w:eastAsia="lv-LV"/>
        </w:rPr>
        <w:t xml:space="preserve"> augstu pievienoto vērtību nozarē</w:t>
      </w:r>
      <w:r w:rsidRPr="00BD2E21" w:rsidR="00780201">
        <w:rPr>
          <w:rFonts w:ascii="Times New Roman" w:eastAsia="Times New Roman" w:hAnsi="Times New Roman" w:cs="Times New Roman"/>
          <w:sz w:val="24"/>
          <w:szCs w:val="24"/>
          <w:lang w:eastAsia="lv-LV"/>
        </w:rPr>
        <w:t>s</w:t>
      </w:r>
      <w:r w:rsidRPr="00D5202A" w:rsidR="00A14852">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 xml:space="preserve">Jaunus līgumus par ražošanas telpu nomu piecu gadus pēc projekta īstenošanas var slēgt tikai ar sīkajiem (mikro), mazajiem vai vidējiem komersantiem, kas veic saimniecisko darbību </w:t>
      </w:r>
      <w:r w:rsidRPr="00D5202A" w:rsidR="00780201">
        <w:rPr>
          <w:rFonts w:ascii="Times New Roman" w:eastAsia="Times New Roman" w:hAnsi="Times New Roman" w:cs="Times New Roman"/>
          <w:sz w:val="24"/>
          <w:szCs w:val="24"/>
          <w:lang w:eastAsia="lv-LV"/>
        </w:rPr>
        <w:t>apstrādes rūpniecībā augstas pievienotās vērtības nozarēs.</w:t>
      </w:r>
    </w:p>
    <w:p w:rsidR="00A14852" w:rsidRPr="00D5202A" w:rsidP="001B2644" w14:paraId="05D83652" w14:textId="3A3D49D8">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Projektā veiktais ieguldījums paliek Latvijas Republikas teritorijā vismaz piecus gadus pēc projekta noslēguma maksājuma veikšanas finansējuma saņēmējam, ievērojot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5. punktā minētos nosacījumus;</w:t>
      </w:r>
    </w:p>
    <w:p w:rsidR="00780201" w:rsidRPr="00D5202A" w:rsidP="001B2644" w14:paraId="5C46BAE9" w14:textId="6993CA7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piešķirtā finansējuma ietvaros vidēji vienas jaunizveidotas darbavietas radīšanai infrastruktūrā iegulda ne vairāk kā 41 000 </w:t>
      </w:r>
      <w:r w:rsidRPr="00D5202A">
        <w:rPr>
          <w:rFonts w:ascii="Times New Roman" w:eastAsia="Times New Roman" w:hAnsi="Times New Roman" w:cs="Times New Roman"/>
          <w:i/>
          <w:iCs/>
          <w:sz w:val="24"/>
          <w:szCs w:val="24"/>
          <w:lang w:eastAsia="lv-LV"/>
        </w:rPr>
        <w:t>euro</w:t>
      </w:r>
      <w:r w:rsidRPr="00D5202A">
        <w:rPr>
          <w:rFonts w:ascii="Times New Roman" w:eastAsia="Times New Roman" w:hAnsi="Times New Roman" w:cs="Times New Roman"/>
          <w:sz w:val="24"/>
          <w:szCs w:val="24"/>
          <w:lang w:eastAsia="lv-LV"/>
        </w:rPr>
        <w:t> ERAF finansējuma. Finansējuma saņēmējs nodrošina, ka no projekta uzsākšanas dienas līdz projekta pabeigšanai tiek izveidoti vismaz 30 % no projekta apjomam atbilstošā jaunizveidoto darbavietu skaita un 36 mēnešu laikā pēc projekta īstenošanas pabeigšanas – 100 % no atbilstošā jaunu darbavietu skaita ar pilnu darba slodzi. Izveidotās darbavietas tiek saglabātas vismaz trīs gadus pēc projekta īstenošanas pabeigšanas vai to izveidošanas (atkarībā no tā, kurš laika periods ir ilgāks), un šajā laikā tiek nodrošināts, ka darba ņēmēju mēneša vidējie darba ienākumi ir vienādi ar atbilstošās nozares darba ņēmēju vidējiem darba ienākumiem iepriekšējā kalendārā gada pirmajos trijos ceturkšņos (pēc Valsts ieņēmumu dienesta apkopotajiem datiem, kuri publicēti Valsts ieņēmumu dienesta tīmekļvietnē) vai lielāki par tiem. Jaunizveidotajās darbavietās nodarbinātās personas divu gadu laikā pirms projekta iesnieguma iesniegšanas dienas nav tikušas nodarbinātas projekta iesniedzēja, nomnieka vai tā saistīto personu grupā. Vienu un to pašu darbavietu projekta uzraudzības periodā neieskaita divreiz</w:t>
      </w:r>
      <w:r w:rsidRPr="00D5202A" w:rsidR="00B659F7">
        <w:rPr>
          <w:rFonts w:ascii="Times New Roman" w:eastAsia="Times New Roman" w:hAnsi="Times New Roman" w:cs="Times New Roman"/>
          <w:sz w:val="24"/>
          <w:szCs w:val="24"/>
          <w:lang w:eastAsia="lv-LV"/>
        </w:rPr>
        <w:t>;</w:t>
      </w:r>
    </w:p>
    <w:p w:rsidR="00B659F7" w:rsidRPr="00D5202A" w:rsidP="001B2644" w14:paraId="3D266E6D" w14:textId="7777777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ražošanas ēkā vai telpās, kur projekta ietvaros plānots veikt pārbūvi vai atjaunošanu, pēdējos divus gadus pirms projekta iesnieguma iesniegšanas nav veikta saimnieciskā darbība apstrādes rūpniecībā;</w:t>
      </w:r>
    </w:p>
    <w:p w:rsidR="001404B1" w:rsidP="001B2644" w14:paraId="5DEF6281" w14:textId="7777777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biroju ēkā vai telpās, kur projekta ievaros plānots veikt pārbūvi vai atjaunošanu, pēdējos divus gadus pirms projekta iesnieguma iesniegšanas </w:t>
      </w:r>
      <w:r w:rsidRPr="00D5202A">
        <w:rPr>
          <w:rFonts w:ascii="Times New Roman" w:eastAsia="Times New Roman" w:hAnsi="Times New Roman" w:cs="Times New Roman"/>
          <w:sz w:val="24"/>
          <w:szCs w:val="24"/>
          <w:lang w:eastAsia="lv-LV"/>
        </w:rPr>
        <w:t>nav veikta saimnieciskā darbība informācijas un komunikāciju tehnoloģiju nozarē</w:t>
      </w:r>
      <w:r>
        <w:rPr>
          <w:rFonts w:ascii="Times New Roman" w:eastAsia="Times New Roman" w:hAnsi="Times New Roman" w:cs="Times New Roman"/>
          <w:sz w:val="24"/>
          <w:szCs w:val="24"/>
          <w:lang w:eastAsia="lv-LV"/>
        </w:rPr>
        <w:t>;</w:t>
      </w:r>
    </w:p>
    <w:p w:rsidR="00B659F7" w:rsidRPr="00D5202A" w:rsidP="001B2644" w14:paraId="65CA111D" w14:textId="3121D18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plānošanas reģionā finansējuma saņēmējam</w:t>
      </w:r>
      <w:r w:rsidR="00247990">
        <w:rPr>
          <w:rFonts w:ascii="Times New Roman" w:eastAsia="Times New Roman" w:hAnsi="Times New Roman" w:cs="Times New Roman"/>
          <w:sz w:val="24"/>
          <w:szCs w:val="24"/>
          <w:lang w:eastAsia="lv-LV"/>
        </w:rPr>
        <w:t>, kas iznomā telpas,</w:t>
      </w:r>
      <w:r>
        <w:rPr>
          <w:rFonts w:ascii="Times New Roman" w:eastAsia="Times New Roman" w:hAnsi="Times New Roman" w:cs="Times New Roman"/>
          <w:sz w:val="24"/>
          <w:szCs w:val="24"/>
          <w:lang w:eastAsia="lv-LV"/>
        </w:rPr>
        <w:t xml:space="preserve"> ir jānodrošina klastera pakalpojumi </w:t>
      </w:r>
      <w:r w:rsidR="00247990">
        <w:rPr>
          <w:rFonts w:ascii="Times New Roman" w:eastAsia="Times New Roman" w:hAnsi="Times New Roman" w:cs="Times New Roman"/>
          <w:sz w:val="24"/>
          <w:szCs w:val="24"/>
          <w:lang w:eastAsia="lv-LV"/>
        </w:rPr>
        <w:t>nomniekiem</w:t>
      </w:r>
      <w:r w:rsidRPr="00D5202A">
        <w:rPr>
          <w:rFonts w:ascii="Times New Roman" w:eastAsia="Times New Roman" w:hAnsi="Times New Roman" w:cs="Times New Roman"/>
          <w:sz w:val="24"/>
          <w:szCs w:val="24"/>
          <w:lang w:eastAsia="lv-LV"/>
        </w:rPr>
        <w:t>.</w:t>
      </w:r>
      <w:r w:rsidR="00247990">
        <w:rPr>
          <w:rFonts w:ascii="Times New Roman" w:eastAsia="Times New Roman" w:hAnsi="Times New Roman" w:cs="Times New Roman"/>
          <w:sz w:val="24"/>
          <w:szCs w:val="24"/>
          <w:lang w:eastAsia="lv-LV"/>
        </w:rPr>
        <w:t xml:space="preserve"> Klasteru pakalpojumus finansējuma saņēmējs var nodrošināt piesaistot trešās personas, kas sniedz noteikta veida pakalpojumus nomniekiem.</w:t>
      </w:r>
      <w:r w:rsidRPr="00D5202A">
        <w:rPr>
          <w:rFonts w:ascii="Times New Roman" w:eastAsia="Times New Roman" w:hAnsi="Times New Roman" w:cs="Times New Roman"/>
          <w:sz w:val="24"/>
          <w:szCs w:val="24"/>
          <w:lang w:eastAsia="lv-LV"/>
        </w:rPr>
        <w:t xml:space="preserve"> </w:t>
      </w:r>
    </w:p>
    <w:p w:rsidR="00B659F7" w:rsidRPr="00D5202A" w:rsidP="00B659F7" w14:paraId="57D2C409" w14:textId="25A5B77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Pasākuma otrās projektu iesniegumu atlases kārtas ietvaros rūpnieciskās </w:t>
      </w:r>
      <w:r w:rsidRPr="00BD2E21">
        <w:rPr>
          <w:rFonts w:ascii="Times New Roman" w:eastAsia="Times New Roman" w:hAnsi="Times New Roman" w:cs="Times New Roman"/>
          <w:sz w:val="24"/>
          <w:szCs w:val="24"/>
          <w:lang w:eastAsia="lv-LV"/>
        </w:rPr>
        <w:t>ražošanas ēka atbilst būvju klasifikācijā noteiktajai rūpnieciskās ražošanas ēku klasei.</w:t>
      </w:r>
      <w:r w:rsidRPr="00D5202A">
        <w:rPr>
          <w:rFonts w:ascii="Times New Roman" w:eastAsia="Times New Roman" w:hAnsi="Times New Roman" w:cs="Times New Roman"/>
          <w:sz w:val="24"/>
          <w:szCs w:val="24"/>
          <w:lang w:eastAsia="lv-LV"/>
        </w:rPr>
        <w:t xml:space="preserve">  Pasākuma otrās projektu iesniegumu atlases kārtas ietvaros par ražošanas telpām uzskatāmas telpas, kas atrodas rūpnieciskās ražošanas ēkā un ir nepieciešamas ražošanas vajadzībām un ražošanas procesam, ieskaitot telpas, kuras norādītas normatīvajā aktā, kas nosaka darba aizsardzības prasības darba vietās. Ja projekta ietvaros paredzēts izveidot telpas administratīvajām vajadzībām, šāda veida telpas nepārsniedz 10 % no projektā izveidoto telpu kopējās platības.</w:t>
      </w:r>
    </w:p>
    <w:p w:rsidR="00B659F7" w:rsidRPr="00D5202A" w:rsidP="00B659F7" w14:paraId="617BDCD1" w14:textId="5507F334">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Pasākuma otrās projektu iesniegumu atlases kārtas ietvaros biroju ēka atbilst būvju klasifikācijā noteiktajai biroju ēku klasei. Pasākuma otrās projektu iesniegumu atlases kārtas ietvaros par biroju telpām uzskata telpas, kas atrodas biroju ēkā un ir nepieciešamas saimnieciskās darbības veikšanai </w:t>
      </w:r>
      <w:r w:rsidRPr="00D5202A" w:rsidR="00CC6D95">
        <w:rPr>
          <w:rFonts w:ascii="Times New Roman" w:eastAsia="Times New Roman" w:hAnsi="Times New Roman" w:cs="Times New Roman"/>
          <w:sz w:val="24"/>
          <w:szCs w:val="24"/>
          <w:lang w:eastAsia="lv-LV"/>
        </w:rPr>
        <w:t>informācijas un komunikāciju tehnoloģiju nozarē, ieskaitot telpas, kuras norādītas normatīvajā aktā, kas nosaka darba aizsardzības prasības darba vietā. Ja projekta ietvaros paredzēts izveidot telpas administratīvajām vajadzībām, šāda veida telpas nepārsniedz 10% no projektā izveidoto telpu kopējās platības.</w:t>
      </w:r>
    </w:p>
    <w:p w:rsidR="00CC6D95" w:rsidRPr="00D5202A" w:rsidP="00CC6D95" w14:paraId="649B3FAF" w14:textId="1B740C81">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attiecināmas ir šādas tiešo izmaksu pozīcijas:</w:t>
      </w:r>
    </w:p>
    <w:p w:rsidR="00CC6D95" w:rsidRPr="00D5202A" w:rsidP="00CC6D95" w14:paraId="4E107E6A" w14:textId="33585538">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apstrādes rūpniecības komersantu ražošanas vajadzībām paredzētās rūpnieciskās ražošanas ēkas būvniecības, pārbūves vai atjaunošanas izmaksas;</w:t>
      </w:r>
    </w:p>
    <w:p w:rsidR="00CC6D95" w:rsidRPr="00D5202A" w:rsidP="00CC6D95" w14:paraId="5ECA2074" w14:textId="1BEBD876">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 informācijas un komunikāciju tehnoloģiju nozares komersantu saimnieciskās darbības vajadzībām paredzētās biroju ēkas būvniecības, pārbūves vai atjaunošanas izmaksas;</w:t>
      </w:r>
    </w:p>
    <w:p w:rsidR="00CC6D95" w:rsidRPr="00D5202A" w:rsidP="00CC6D95" w14:paraId="41DBED3A" w14:textId="02517BB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ūdensapgādes, siltumapgādes, sadzīves kanalizācijas, notekūdeņu savākšanas un novadīšanas infrastruktūras ierīkošana un pārbūve, pazemes komunikāciju infrastruktūras ierīkošana un pārbūve, gāzes, elektroenerģijas, sakaru komunikāciju infrastruktūras pievadu ierīkošana un pārbūve un pievedceļu, iekšējo ceļu un laukumu būvniecība vai pārbūve projektā paredzētās rūpnieciskās ražošanas </w:t>
      </w:r>
      <w:r w:rsidRPr="00D5202A" w:rsidR="006C5427">
        <w:rPr>
          <w:rFonts w:ascii="Times New Roman" w:eastAsia="Times New Roman" w:hAnsi="Times New Roman" w:cs="Times New Roman"/>
          <w:sz w:val="24"/>
          <w:szCs w:val="24"/>
          <w:lang w:eastAsia="lv-LV"/>
        </w:rPr>
        <w:t xml:space="preserve">vai biroju </w:t>
      </w:r>
      <w:r w:rsidRPr="00D5202A">
        <w:rPr>
          <w:rFonts w:ascii="Times New Roman" w:eastAsia="Times New Roman" w:hAnsi="Times New Roman" w:cs="Times New Roman"/>
          <w:sz w:val="24"/>
          <w:szCs w:val="24"/>
          <w:lang w:eastAsia="lv-LV"/>
        </w:rPr>
        <w:t>ēkas vajadzībām;</w:t>
      </w:r>
    </w:p>
    <w:p w:rsidR="006C5427" w:rsidRPr="00D5202A" w:rsidP="00CC6D95" w14:paraId="0B03C1C6" w14:textId="3B1D4D8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attiecināmo izmaksu pievienotās vērtības nodoklis, ja projekta iesniedzējs to nevar atgūt atbilstoši normatīvajiem aktiem nodokļu politikas jomā;</w:t>
      </w:r>
    </w:p>
    <w:p w:rsidR="00CA0648" w:rsidRPr="00D5202A" w:rsidP="00CC6D95" w14:paraId="6E33B278" w14:textId="26F5EB9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projekta iesnieguma pamatojošās dokumentācijas sagatavošanas izmaksas </w:t>
      </w:r>
      <w:r w:rsidRPr="00BD2E21">
        <w:rPr>
          <w:rFonts w:ascii="Times New Roman" w:eastAsia="Times New Roman" w:hAnsi="Times New Roman" w:cs="Times New Roman"/>
          <w:sz w:val="24"/>
          <w:szCs w:val="24"/>
          <w:lang w:eastAsia="lv-LV"/>
        </w:rPr>
        <w:t>(būvniecības ieceres dokumenti tai skaitā būvprojekts un citi dokumenti saskaņā ar normatīvajiem aktiem par būvniecību),</w:t>
      </w:r>
      <w:r w:rsidRPr="00D5202A">
        <w:rPr>
          <w:rFonts w:ascii="Times New Roman" w:eastAsia="Times New Roman" w:hAnsi="Times New Roman" w:cs="Times New Roman"/>
          <w:sz w:val="24"/>
          <w:szCs w:val="24"/>
          <w:lang w:eastAsia="lv-LV"/>
        </w:rPr>
        <w:t xml:space="preserve"> būvuzraudzības un autoruzraudzības izmaksas, kas saistītas ar projekta ietvaros veiktajiem ilgtermiņa ieguldījumiem, kopā nepārsniedzot 10 % no projekta attiecināmajām izmaksām, kā arī nepārsniedzot 10 % no būvdarbu līguma summas.</w:t>
      </w:r>
    </w:p>
    <w:p w:rsidR="00CA0648" w:rsidRPr="00D5202A" w:rsidP="00CA0648" w14:paraId="435C06CD" w14:textId="4EF2C661">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Šo noteikumu 22.5. apakšpunktā minētās izmaksas par būvprojekta izstrādi ir attiecināmas, ja tās ir saistītas ar projekta rezultātā izveidotajiem pamatlīdzekļiem un ir radušās pēc projekta iesnieguma iesniegšanas sadarbības iestādē. Ja šīs izmaksas ir radušās pirms projekta iesnieguma iesniegšanas sadarbības iestādē, bet ne agrāk kā 2016. gada 1. janvārī, tās ir attiecināmas un tām atbalstu sniedz saskaņā ar 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w:t>
      </w:r>
    </w:p>
    <w:p w:rsidR="00CA0648" w:rsidRPr="00D5202A" w:rsidP="00CA0648" w14:paraId="43F546B8" w14:textId="0CAD71D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Finansējumu piešķir ieguldījumiem pamatlīdzekļos (ēku un būvju būvniecībai, pārbūvei vai atjaunošanai), kas saistīti ar ieguldījumiem jaunas uzņēmējdarbība vietas izveidē, esošas saimnieciskās darbības paplašināšanu vai ar saimnieciskās darbības procesa būtisku maiņu. Projekta ietvaros iegūtie vai izveidotie pamatlīdzekļi atbilst materiālo aktīvu un sākotnējo ieguldījumu definīcijai atbilstoši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2. panta 29. un 49. punktam, bet iegādājamie aktīvi ir jauni, ievērojot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6. punktu.</w:t>
      </w:r>
    </w:p>
    <w:p w:rsidR="00CA0648" w:rsidRPr="00D5202A" w:rsidP="00CA0648" w14:paraId="7134D050" w14:textId="3B577259">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šo noteikumu </w:t>
      </w:r>
      <w:r>
        <w:fldChar w:fldCharType="begin"/>
      </w:r>
      <w:r>
        <w:instrText xml:space="preserve"> HYPERLINK "https://likumi.lv/ta/id/281590-darbibas-programmas-izaugsme-un-nodarbinatiba-3-1-1-specifiska-atbalsta-merka-sekmet-mvk-izveidi-un-attistibu-ipasi" \l "p17" \t "_blank" </w:instrText>
      </w:r>
      <w:r>
        <w:fldChar w:fldCharType="separate"/>
      </w:r>
      <w:r w:rsidRPr="00D5202A">
        <w:rPr>
          <w:rFonts w:ascii="Times New Roman" w:eastAsia="Times New Roman" w:hAnsi="Times New Roman" w:cs="Times New Roman"/>
          <w:sz w:val="24"/>
          <w:szCs w:val="24"/>
          <w:lang w:eastAsia="lv-LV"/>
        </w:rPr>
        <w:t>19. punktā</w:t>
      </w:r>
      <w:r>
        <w:fldChar w:fldCharType="end"/>
      </w:r>
      <w:r w:rsidRPr="00D5202A">
        <w:rPr>
          <w:rFonts w:ascii="Times New Roman" w:eastAsia="Times New Roman" w:hAnsi="Times New Roman" w:cs="Times New Roman"/>
          <w:sz w:val="24"/>
          <w:szCs w:val="24"/>
          <w:lang w:eastAsia="lv-LV"/>
        </w:rPr>
        <w:t> minētās darbības ir atbalstāmas un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Pr="00D5202A" w:rsidR="009A7D18">
        <w:rPr>
          <w:rFonts w:ascii="Times New Roman" w:eastAsia="Times New Roman" w:hAnsi="Times New Roman" w:cs="Times New Roman"/>
          <w:sz w:val="24"/>
          <w:szCs w:val="24"/>
          <w:lang w:eastAsia="lv-LV"/>
        </w:rPr>
        <w:t>22</w:t>
      </w:r>
      <w:r w:rsidRPr="00D5202A">
        <w:rPr>
          <w:rFonts w:ascii="Times New Roman" w:eastAsia="Times New Roman" w:hAnsi="Times New Roman" w:cs="Times New Roman"/>
          <w:sz w:val="24"/>
          <w:szCs w:val="24"/>
          <w:lang w:eastAsia="lv-LV"/>
        </w:rPr>
        <w:t>. punktā</w:t>
      </w:r>
      <w:r>
        <w:fldChar w:fldCharType="end"/>
      </w:r>
      <w:r w:rsidRPr="00D5202A">
        <w:rPr>
          <w:rFonts w:ascii="Times New Roman" w:eastAsia="Times New Roman" w:hAnsi="Times New Roman" w:cs="Times New Roman"/>
          <w:sz w:val="24"/>
          <w:szCs w:val="24"/>
          <w:lang w:eastAsia="lv-LV"/>
        </w:rPr>
        <w:t xml:space="preserve"> minētās izmaksas ir attiecināmas, ja projekta ietvaros plānots pārbūvēt, atjaunot vai izveidot vienu vai vairākas ražošanas </w:t>
      </w:r>
      <w:r w:rsidRPr="00D5202A" w:rsidR="009A7D18">
        <w:rPr>
          <w:rFonts w:ascii="Times New Roman" w:eastAsia="Times New Roman" w:hAnsi="Times New Roman" w:cs="Times New Roman"/>
          <w:sz w:val="24"/>
          <w:szCs w:val="24"/>
          <w:lang w:eastAsia="lv-LV"/>
        </w:rPr>
        <w:t xml:space="preserve">vai biroju </w:t>
      </w:r>
      <w:r w:rsidRPr="00D5202A">
        <w:rPr>
          <w:rFonts w:ascii="Times New Roman" w:eastAsia="Times New Roman" w:hAnsi="Times New Roman" w:cs="Times New Roman"/>
          <w:sz w:val="24"/>
          <w:szCs w:val="24"/>
          <w:lang w:eastAsia="lv-LV"/>
        </w:rPr>
        <w:t>ēkas. Atbalstāma ir vides prasību integrācija preču, pakalpojumu un būvdarbu iepirkumos ("zaļais iepirkums"). Nav atbalstāma inženierpieslēgumu izveide, pārbūve vai atjaunošana, ja netiek pārbūvēta, atjaunota vai izveidota ražošanas</w:t>
      </w:r>
      <w:r w:rsidRPr="00D5202A" w:rsidR="009A7D18">
        <w:rPr>
          <w:rFonts w:ascii="Times New Roman" w:eastAsia="Times New Roman" w:hAnsi="Times New Roman" w:cs="Times New Roman"/>
          <w:sz w:val="24"/>
          <w:szCs w:val="24"/>
          <w:lang w:eastAsia="lv-LV"/>
        </w:rPr>
        <w:t xml:space="preserve"> vai biroju</w:t>
      </w:r>
      <w:r w:rsidRPr="00D5202A">
        <w:rPr>
          <w:rFonts w:ascii="Times New Roman" w:eastAsia="Times New Roman" w:hAnsi="Times New Roman" w:cs="Times New Roman"/>
          <w:sz w:val="24"/>
          <w:szCs w:val="24"/>
          <w:lang w:eastAsia="lv-LV"/>
        </w:rPr>
        <w:t xml:space="preserve"> ēka vai ēkas.</w:t>
      </w:r>
    </w:p>
    <w:p w:rsidR="009A7D18" w:rsidRPr="00D5202A" w:rsidP="00CA0648" w14:paraId="2189EA83" w14:textId="1930E8E2">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neattiecināmas ir šādas izmaksu pozīcijas:</w:t>
      </w:r>
    </w:p>
    <w:p w:rsidR="009A7D18" w:rsidRPr="00D5202A" w:rsidP="009A7D18" w14:paraId="0462EE30" w14:textId="75629FF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izmaksas, kas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Pr="00D5202A">
        <w:rPr>
          <w:rFonts w:ascii="Times New Roman" w:eastAsia="Times New Roman" w:hAnsi="Times New Roman" w:cs="Times New Roman"/>
          <w:sz w:val="24"/>
          <w:szCs w:val="24"/>
          <w:lang w:eastAsia="lv-LV"/>
        </w:rPr>
        <w:t>22. punktā</w:t>
      </w:r>
      <w:r>
        <w:fldChar w:fldCharType="end"/>
      </w:r>
      <w:r w:rsidRPr="00D5202A">
        <w:rPr>
          <w:rFonts w:ascii="Times New Roman" w:eastAsia="Times New Roman" w:hAnsi="Times New Roman" w:cs="Times New Roman"/>
          <w:sz w:val="24"/>
          <w:szCs w:val="24"/>
          <w:lang w:eastAsia="lv-LV"/>
        </w:rPr>
        <w:t> nav noteiktas kā attiecināmas vai pārsniedz izmaksu ierobežojumus;</w:t>
      </w:r>
    </w:p>
    <w:p w:rsidR="009A7D18" w:rsidRPr="00D5202A" w:rsidP="009A7D18" w14:paraId="55BF2260" w14:textId="3BCF7A5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iekārtu iegādes un uzstādīšanas izmaksas;</w:t>
      </w:r>
    </w:p>
    <w:p w:rsidR="009A7D18" w:rsidRPr="00D5202A" w:rsidP="009A7D18" w14:paraId="2194CD99" w14:textId="6252DCE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nodokļi un nodevu maksājumi, izņemot šo noteikumu 22.4. apakšpunktā minēto gadījumu;</w:t>
      </w:r>
    </w:p>
    <w:p w:rsidR="009A7D18" w:rsidRPr="00D5202A" w:rsidP="009A7D18" w14:paraId="13B00373" w14:textId="598CB13E">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izmaksas, kas nav tieši saistītas ar projekta ietvaros veiktajām darbībām, nav izmērāmas, samērīgas, pamatotas ar izdevumus apliecinošiem dokumentiem un attiecībā uz kurām nav ievēroti saimnieciskuma, lietderības un efektivitātes principi;</w:t>
      </w:r>
    </w:p>
    <w:p w:rsidR="009A7D18" w:rsidRPr="00D5202A" w:rsidP="009A7D18" w14:paraId="05789076" w14:textId="3D3C4456">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izmaksas, kas radušās un samaksātas, pirms iesniegums par projekta īstenošanu saņemts sadarbības iestādē, izņemot šo noteikumu </w:t>
      </w:r>
      <w:r>
        <w:fldChar w:fldCharType="begin"/>
      </w:r>
      <w:r>
        <w:instrText xml:space="preserve"> HYPERLINK "https://likumi.lv/ta/id/281590-darbibas-programmas-izaugsme-un-nodarbinatiba-3-1-1-specifiska-atbalsta-merka-sekmet-mvk-izveidi-un-attistibu-ipasi" \l "p20" \t "_blank" </w:instrText>
      </w:r>
      <w:r>
        <w:fldChar w:fldCharType="separate"/>
      </w:r>
      <w:r w:rsidRPr="00D5202A">
        <w:rPr>
          <w:rFonts w:ascii="Times New Roman" w:eastAsia="Times New Roman" w:hAnsi="Times New Roman" w:cs="Times New Roman"/>
          <w:sz w:val="24"/>
          <w:szCs w:val="24"/>
          <w:lang w:eastAsia="lv-LV"/>
        </w:rPr>
        <w:t>23. punktā</w:t>
      </w:r>
      <w:r>
        <w:fldChar w:fldCharType="end"/>
      </w:r>
      <w:r w:rsidRPr="00D5202A">
        <w:rPr>
          <w:rFonts w:ascii="Times New Roman" w:eastAsia="Times New Roman" w:hAnsi="Times New Roman" w:cs="Times New Roman"/>
          <w:sz w:val="24"/>
          <w:szCs w:val="24"/>
          <w:lang w:eastAsia="lv-LV"/>
        </w:rPr>
        <w:t> minēto gadījumu.</w:t>
      </w:r>
    </w:p>
    <w:p w:rsidR="00A873B1" w:rsidRPr="00D5202A" w:rsidP="00A873B1" w14:paraId="27AFE627" w14:textId="009A3182">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var iesniegt nodrošinājumu projekta īstenošanai, tādējādi saņemot paaugstinātu projekta iesnieguma vērtējumu. Projekta iesniedzējs kā nodrošinājumu var iesniegt Eiropas Ekonomikas zonā reģistrētas kredītiestādes izsniegtu pirmā pieprasījuma līguma izpildes garantijas vēstuli četru procentu vērtībā no pieprasītā publiskā finansējuma. Garantijas vēstules garantijas termiņš ir vismaz divi mēneši pēc projekta iesniegumā norādītā projekta īstenošanas beigu datuma. Garantijas vēstulē norādīto summu kredītiestāde izmaksā pēc pirmā sadarbības iestādes pieprasījuma, ja projekts netiek pabeigts līdz projekta īstenošanas beigu datumam. Garantijas vēstuli var iesniegt gan projekta iesniedzējs, gan komersants, kuram plāno iznomāt projekta rezultātā izveidotās ražošanas telpas (nomnieks).</w:t>
      </w:r>
    </w:p>
    <w:p w:rsidR="00A873B1" w:rsidRPr="00D5202A" w:rsidP="00BD2E21" w14:paraId="3669FC3A" w14:textId="77777777">
      <w:pPr>
        <w:pStyle w:val="ListParagraph"/>
        <w:shd w:val="clear" w:color="auto" w:fill="FFFFFF"/>
        <w:spacing w:after="0" w:line="293" w:lineRule="atLeast"/>
        <w:ind w:left="644"/>
        <w:jc w:val="both"/>
        <w:rPr>
          <w:rFonts w:ascii="Times New Roman" w:eastAsia="Times New Roman" w:hAnsi="Times New Roman" w:cs="Times New Roman"/>
          <w:sz w:val="24"/>
          <w:szCs w:val="24"/>
          <w:lang w:eastAsia="lv-LV"/>
        </w:rPr>
      </w:pPr>
    </w:p>
    <w:p w:rsidR="00957578" w:rsidRPr="00D5202A" w:rsidP="00BD2E21" w14:paraId="3E2CF6C7" w14:textId="13D923C7">
      <w:pPr>
        <w:shd w:val="clear" w:color="auto" w:fill="FFFFFF"/>
        <w:spacing w:after="0" w:line="293" w:lineRule="atLeast"/>
        <w:ind w:firstLine="300"/>
        <w:jc w:val="both"/>
        <w:rPr>
          <w:rFonts w:ascii="Times New Roman" w:eastAsia="Times New Roman" w:hAnsi="Times New Roman" w:cs="Times New Roman"/>
          <w:b/>
          <w:bCs/>
          <w:sz w:val="24"/>
          <w:szCs w:val="24"/>
          <w:lang w:eastAsia="lv-LV"/>
        </w:rPr>
      </w:pPr>
      <w:bookmarkStart w:id="41" w:name="p18"/>
      <w:bookmarkStart w:id="42" w:name="p-587328"/>
      <w:bookmarkStart w:id="43" w:name="p19"/>
      <w:bookmarkStart w:id="44" w:name="p-587329"/>
      <w:bookmarkStart w:id="45" w:name="p20"/>
      <w:bookmarkStart w:id="46" w:name="p-587330"/>
      <w:bookmarkStart w:id="47" w:name="p21"/>
      <w:bookmarkStart w:id="48" w:name="p-587332"/>
      <w:bookmarkStart w:id="49" w:name="p22"/>
      <w:bookmarkStart w:id="50" w:name="p-587333"/>
      <w:bookmarkStart w:id="51" w:name="p23"/>
      <w:bookmarkStart w:id="52" w:name="p-587334"/>
      <w:bookmarkEnd w:id="41"/>
      <w:bookmarkEnd w:id="42"/>
      <w:bookmarkEnd w:id="43"/>
      <w:bookmarkEnd w:id="44"/>
      <w:bookmarkEnd w:id="45"/>
      <w:bookmarkEnd w:id="46"/>
      <w:bookmarkEnd w:id="47"/>
      <w:bookmarkEnd w:id="48"/>
      <w:bookmarkEnd w:id="49"/>
      <w:bookmarkEnd w:id="50"/>
      <w:bookmarkEnd w:id="51"/>
      <w:bookmarkEnd w:id="52"/>
      <w:r w:rsidRPr="00D5202A">
        <w:rPr>
          <w:rFonts w:ascii="Times New Roman" w:eastAsia="Times New Roman" w:hAnsi="Times New Roman" w:cs="Times New Roman"/>
          <w:sz w:val="24"/>
          <w:szCs w:val="24"/>
          <w:lang w:eastAsia="lv-LV"/>
        </w:rPr>
        <w:t xml:space="preserve"> </w:t>
      </w:r>
      <w:bookmarkStart w:id="53" w:name="p24"/>
      <w:bookmarkStart w:id="54" w:name="p-587335"/>
      <w:bookmarkStart w:id="55" w:name="n4"/>
      <w:bookmarkStart w:id="56" w:name="n-587336"/>
      <w:bookmarkEnd w:id="53"/>
      <w:bookmarkEnd w:id="54"/>
      <w:bookmarkEnd w:id="55"/>
      <w:bookmarkEnd w:id="56"/>
      <w:r w:rsidRPr="00D5202A">
        <w:rPr>
          <w:rFonts w:ascii="Times New Roman" w:eastAsia="Times New Roman" w:hAnsi="Times New Roman" w:cs="Times New Roman"/>
          <w:b/>
          <w:bCs/>
          <w:sz w:val="24"/>
          <w:szCs w:val="24"/>
          <w:lang w:eastAsia="lv-LV"/>
        </w:rPr>
        <w:t>IV. Projekta īstenošanas un finansējuma saņemšanas nosacījumi</w:t>
      </w:r>
    </w:p>
    <w:p w:rsidR="00F1296F" w:rsidRPr="00BD2E21" w:rsidP="00BD2E21" w14:paraId="3784578A" w14:textId="77777777">
      <w:pPr>
        <w:shd w:val="clear" w:color="auto" w:fill="FFFFFF"/>
        <w:spacing w:after="0" w:line="293" w:lineRule="atLeast"/>
        <w:jc w:val="both"/>
        <w:rPr>
          <w:rFonts w:ascii="Times New Roman" w:eastAsia="Times New Roman" w:hAnsi="Times New Roman" w:cs="Times New Roman"/>
          <w:sz w:val="24"/>
          <w:szCs w:val="24"/>
          <w:lang w:eastAsia="lv-LV"/>
        </w:rPr>
      </w:pPr>
      <w:bookmarkStart w:id="57" w:name="p25"/>
      <w:bookmarkStart w:id="58" w:name="p-587337"/>
      <w:bookmarkEnd w:id="57"/>
      <w:bookmarkEnd w:id="58"/>
    </w:p>
    <w:p w:rsidR="00957578" w:rsidRPr="00D5202A" w:rsidP="00A873B1" w14:paraId="59B566AA" w14:textId="0C3E4B7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Sadarbības iestāde lēmumu par atbalsta piešķiršanu pieņem, ņemot vērā Komisijas regulas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un Komisijas regulas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darbības termiņu, tas ir, ne vēlāk kā līdz 2020. gada 31. decembrim.</w:t>
      </w:r>
    </w:p>
    <w:p w:rsidR="00F1296F" w:rsidRPr="00D5202A" w:rsidP="00F1296F" w14:paraId="45BD1ED5" w14:textId="41517EA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Šo noteikumu </w:t>
      </w:r>
      <w:r>
        <w:fldChar w:fldCharType="begin"/>
      </w:r>
      <w:r>
        <w:instrText xml:space="preserve"> HYPERLINK "https://likumi.lv/ta/id/281590-darbibas-programmas-izaugsme-un-nodarbinatiba-3-1-1-specifiska-atbalsta-merka-sekmet-mvk-izveidi-un-attistibu-ipasi" \l "p17" \t "_blank" </w:instrText>
      </w:r>
      <w:r>
        <w:fldChar w:fldCharType="separate"/>
      </w:r>
      <w:r w:rsidRPr="00D5202A">
        <w:rPr>
          <w:rFonts w:ascii="Times New Roman" w:eastAsia="Times New Roman" w:hAnsi="Times New Roman" w:cs="Times New Roman"/>
          <w:sz w:val="24"/>
          <w:szCs w:val="24"/>
          <w:lang w:eastAsia="lv-LV"/>
        </w:rPr>
        <w:t>19. punktā</w:t>
      </w:r>
      <w:r>
        <w:fldChar w:fldCharType="end"/>
      </w:r>
      <w:r w:rsidRPr="00D5202A">
        <w:rPr>
          <w:rFonts w:ascii="Times New Roman" w:eastAsia="Times New Roman" w:hAnsi="Times New Roman" w:cs="Times New Roman"/>
          <w:sz w:val="24"/>
          <w:szCs w:val="24"/>
          <w:lang w:eastAsia="lv-LV"/>
        </w:rPr>
        <w:t> minētās atbalstāmās darbības projekta iesniedzējs var uzsākt un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Pr="00D5202A">
        <w:rPr>
          <w:rFonts w:ascii="Times New Roman" w:eastAsia="Times New Roman" w:hAnsi="Times New Roman" w:cs="Times New Roman"/>
          <w:sz w:val="24"/>
          <w:szCs w:val="24"/>
          <w:lang w:eastAsia="lv-LV"/>
        </w:rPr>
        <w:t>22. punktā</w:t>
      </w:r>
      <w:r>
        <w:fldChar w:fldCharType="end"/>
      </w:r>
      <w:r w:rsidRPr="00D5202A">
        <w:rPr>
          <w:rFonts w:ascii="Times New Roman" w:eastAsia="Times New Roman" w:hAnsi="Times New Roman" w:cs="Times New Roman"/>
          <w:sz w:val="24"/>
          <w:szCs w:val="24"/>
          <w:lang w:eastAsia="lv-LV"/>
        </w:rPr>
        <w:t> minētās izmaksas, izņemot šo noteikumu </w:t>
      </w:r>
      <w:r>
        <w:fldChar w:fldCharType="begin"/>
      </w:r>
      <w:r>
        <w:instrText xml:space="preserve"> HYPERLINK "https://likumi.lv/ta/id/281590-darbibas-programmas-izaugsme-un-nodarbinatiba-3-1-1-specifiska-atbalsta-merka-sekmet-mvk-izveidi-un-attistibu-ipasi" \l "p20" \t "_blank" </w:instrText>
      </w:r>
      <w:r>
        <w:fldChar w:fldCharType="separate"/>
      </w:r>
      <w:r w:rsidRPr="00D5202A">
        <w:rPr>
          <w:rFonts w:ascii="Times New Roman" w:eastAsia="Times New Roman" w:hAnsi="Times New Roman" w:cs="Times New Roman"/>
          <w:sz w:val="24"/>
          <w:szCs w:val="24"/>
          <w:lang w:eastAsia="lv-LV"/>
        </w:rPr>
        <w:t>23. punktā</w:t>
      </w:r>
      <w:r>
        <w:fldChar w:fldCharType="end"/>
      </w:r>
      <w:r w:rsidRPr="00D5202A">
        <w:rPr>
          <w:rFonts w:ascii="Times New Roman" w:eastAsia="Times New Roman" w:hAnsi="Times New Roman" w:cs="Times New Roman"/>
          <w:sz w:val="24"/>
          <w:szCs w:val="24"/>
          <w:lang w:eastAsia="lv-LV"/>
        </w:rPr>
        <w:t> minēto gadījumu, attiecināt ar dienu, kad sadarbības iestādē ir saņemts iesniegums par projekta īstenošanu, ievērojot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6. panta 2. punktā minētos nosacījumus par stimulējošo ietekmi. Pasākuma otrās projektu iesniegumu atlases kārtas ietvaros šo noteikumu </w:t>
      </w:r>
      <w:r>
        <w:fldChar w:fldCharType="begin"/>
      </w:r>
      <w:r>
        <w:instrText xml:space="preserve"> HYPERLINK "https://likumi.lv/ta/id/281590-darbibas-programmas-izaugsme-un-nodarbinatiba-3-1-1-specifiska-atbalsta-merka-sekmet-mvk-izveidi-un-attistibu-ipasi" \l "p17" \t "_blank" </w:instrText>
      </w:r>
      <w:r>
        <w:fldChar w:fldCharType="separate"/>
      </w:r>
      <w:r w:rsidRPr="00D5202A">
        <w:rPr>
          <w:rFonts w:ascii="Times New Roman" w:eastAsia="Times New Roman" w:hAnsi="Times New Roman" w:cs="Times New Roman"/>
          <w:sz w:val="24"/>
          <w:szCs w:val="24"/>
          <w:lang w:eastAsia="lv-LV"/>
        </w:rPr>
        <w:t>19. punktā</w:t>
      </w:r>
      <w:r>
        <w:fldChar w:fldCharType="end"/>
      </w:r>
      <w:r w:rsidRPr="00D5202A">
        <w:rPr>
          <w:rFonts w:ascii="Times New Roman" w:eastAsia="Times New Roman" w:hAnsi="Times New Roman" w:cs="Times New Roman"/>
          <w:sz w:val="24"/>
          <w:szCs w:val="24"/>
          <w:lang w:eastAsia="lv-LV"/>
        </w:rPr>
        <w:t> minētās atbalstāmās darbības atzīst par uzsāktām ar dienu, kad uzsākti būvniecības, pārbūves vai atjaunošanas darbi, vai uzsāktas citas darbības, kas atbilst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2. panta 23. punktā noteiktajai darbu sākuma definīcijai.</w:t>
      </w:r>
    </w:p>
    <w:p w:rsidR="00F1296F" w:rsidRPr="00D5202A" w:rsidP="00A873B1" w14:paraId="2FFD143B" w14:textId="774C597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Projektu var īstenot ne ilgāk kā līdz 2022. gada 31. decembrim.</w:t>
      </w:r>
    </w:p>
    <w:p w:rsidR="00957578" w:rsidRPr="00D5202A" w:rsidP="00F1296F" w14:paraId="3186F472" w14:textId="6D81526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59" w:name="p26"/>
      <w:bookmarkStart w:id="60" w:name="p-587339"/>
      <w:bookmarkStart w:id="61" w:name="p27"/>
      <w:bookmarkStart w:id="62" w:name="p-587341"/>
      <w:bookmarkStart w:id="63" w:name="p28"/>
      <w:bookmarkStart w:id="64" w:name="p-587342"/>
      <w:bookmarkEnd w:id="59"/>
      <w:bookmarkEnd w:id="60"/>
      <w:bookmarkEnd w:id="61"/>
      <w:bookmarkEnd w:id="62"/>
      <w:bookmarkEnd w:id="63"/>
      <w:bookmarkEnd w:id="64"/>
      <w:r w:rsidRPr="00BD2E21">
        <w:rPr>
          <w:rFonts w:ascii="Times New Roman" w:eastAsia="Times New Roman" w:hAnsi="Times New Roman" w:cs="Times New Roman"/>
          <w:sz w:val="24"/>
          <w:szCs w:val="24"/>
          <w:lang w:eastAsia="lv-LV"/>
        </w:rPr>
        <w:t xml:space="preserve"> Finansējuma saņēmēja pienākums ir uzkrāt un iesniegt sadarbības iestādē šādu informāciju saskaņā ar līgumu par projekta īstenošanu:</w:t>
      </w:r>
    </w:p>
    <w:p w:rsidR="00F1296F" w:rsidRPr="00D5202A" w:rsidP="00BD2E21" w14:paraId="1A85C893" w14:textId="73A145B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informācija par komersantiem (nosaukums, reģistrācijas numurs, komersanta pārstāvētā nozare atbilstoši NACE 2. red.), kas veic saimniecisko darbību izveidotajās ēkās, un šo komersantu darbības dati – piesaistīto investīciju apjoms, eksporta apjoms, ieguldījumi pētniecībā un attīstībā, atbalstītie komersanti ekoinovāciju jomā. Informāciju papildina ne retāk kā reizi gadā;</w:t>
      </w:r>
    </w:p>
    <w:p w:rsidR="00F1296F" w:rsidRPr="00D5202A" w:rsidP="00F1296F" w14:paraId="4DD54E5A" w14:textId="0F98058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izmaksu apjoms, kam izmantots zaļais iepirkums, un projektā izbūvētās, pārbūvētās vai atjaunotās ražošanas ēkas enerģijas patēriņš pēc projekta īstenošanas (megavatstundas).</w:t>
      </w:r>
    </w:p>
    <w:p w:rsidR="00431CEB" w:rsidRPr="00D5202A" w:rsidP="00431CEB" w14:paraId="561859B1" w14:textId="4278431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Projekts tiek uzskatīts par pabeigtu, ja finansējuma saņēmējs ir iesniedzis sadarbības iestādē noslēguma maksājuma pieprasījumu un:</w:t>
      </w:r>
    </w:p>
    <w:p w:rsidR="00431CEB" w:rsidRPr="00D5202A" w:rsidP="00431CEB" w14:paraId="1AB34DBC" w14:textId="13B4626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ražošanas vai biroju ēka tiek iznomāta, ir iznomāti vismaz 30 % no pārbūvētajām, atjaunotajām vai projektā izveidotajām telpām un šie nomnieki ir uzstādījuši ražošanas iekārtas un uzsākuši ražošanas procesu vai sākuši veikt saimniecisko darbību informācijas un komunikāciju tehnoloģiju nozarē;</w:t>
      </w:r>
    </w:p>
    <w:p w:rsidR="00431CEB" w:rsidRPr="00D5202A" w:rsidP="00431CEB" w14:paraId="2D038EA0" w14:textId="73A9DA8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saimniecisko darbību veic pats finansējuma saņēmējs, ir uzstādītas ražošanas iekārtas un uzsākts ražošanas process vai finansējuma saņēmējs ir sācis veikt saimniecisko darbību informācijas un komunikāciju tehnoloģiju nozarē;</w:t>
      </w:r>
    </w:p>
    <w:p w:rsidR="00431CEB" w:rsidRPr="00D5202A" w:rsidP="00431CEB" w14:paraId="5630BE23" w14:textId="1CF42E7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ir radītas jaunas darbavietas saskaņā ar šo noteikumu 19.10. apakšpunktā noteiktajām prasībām.</w:t>
      </w:r>
    </w:p>
    <w:p w:rsidR="00431CEB" w:rsidRPr="00D5202A" w:rsidP="00431CEB" w14:paraId="6B440784" w14:textId="4C92E67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nodrošina aktuālās informācijas ievietošanu savā tīmekļvietnē par projekta īstenošanas gaitu ne retāk kā reizi ceturksnī.</w:t>
      </w:r>
    </w:p>
    <w:p w:rsidR="00431CEB" w:rsidRPr="00D5202A" w:rsidP="00431CEB" w14:paraId="3AA0DF71" w14:textId="2EEC87E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Iepirkumus, kas nepieciešami projekta īstenošanai, finansējuma saņēmējs veic saskaņā ar normatīvajiem aktiem publisko iepirkumu jomā.</w:t>
      </w:r>
    </w:p>
    <w:p w:rsidR="00431CEB" w:rsidRPr="00D5202A" w:rsidP="00431CEB" w14:paraId="43277287" w14:textId="04770C8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iestādei ir tiesības vienpusēji atkāpties no līguma par projekta īstenošanu jebkurā no šādiem gadījumiem:</w:t>
      </w:r>
    </w:p>
    <w:p w:rsidR="00431CEB" w:rsidRPr="00D5202A" w:rsidP="00431CEB" w14:paraId="66294AEC" w14:textId="0563340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nepilda līgumu par projekta īstenošanu, tai skaitā netiek ievēroti projektā noteiktie termiņi vai ir iestājušies citi apstākļi, kas negatīvi ietekmē vai var ietekmēt pasākuma otrās projektu iesniegumu atlases kārtas mērķi vai atbalsta mērķa pasākuma uzraudzības rādītāju sasniegšanu;</w:t>
      </w:r>
    </w:p>
    <w:p w:rsidR="00431CEB" w:rsidRPr="00D5202A" w:rsidP="00431CEB" w14:paraId="49D03ED2" w14:textId="4482247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finansējuma saņēmējs projektā plānoto aktivitāšu īstenošanu nav uzsācis 6 mēnešu laikā pēc tam, kad noslēgts līgums par projekta īstenošanu;</w:t>
      </w:r>
    </w:p>
    <w:p w:rsidR="00431CEB" w:rsidRPr="00D5202A" w:rsidP="00431CEB" w14:paraId="4FBE418C" w14:textId="42E2D1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finansējuma saņēmējs projekta īstenošanas laikā apzināti ir sniedzis sadarbības iestādei nepatiesu informāciju;</w:t>
      </w:r>
    </w:p>
    <w:p w:rsidR="00431CEB" w:rsidRPr="00D5202A" w:rsidP="00431CEB" w14:paraId="129D8C75" w14:textId="0632A058">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pēc ražošanas vai biroju ēkas būvniecības, pārbūves vai atjaunošanas pabeigšanas un nodošanas ekspluatācijā finansējuma saņēmējs nav izpildījis kādu no šo noteikumu </w:t>
      </w:r>
      <w:r>
        <w:fldChar w:fldCharType="begin"/>
      </w:r>
      <w:r>
        <w:instrText xml:space="preserve"> HYPERLINK "https://likumi.lv/ta/id/281590-darbibas-programmas-izaugsme-un-nodarbinatiba-3-1-1-specifiska-atbalsta-merka-sekmet-mvk-izveidi-un-attistibu-ipasi" \l "p17" \t "_blank" </w:instrText>
      </w:r>
      <w:r>
        <w:fldChar w:fldCharType="separate"/>
      </w:r>
      <w:r w:rsidRPr="00D5202A">
        <w:rPr>
          <w:rFonts w:ascii="Times New Roman" w:eastAsia="Times New Roman" w:hAnsi="Times New Roman" w:cs="Times New Roman"/>
          <w:sz w:val="24"/>
          <w:szCs w:val="24"/>
          <w:lang w:eastAsia="lv-LV"/>
        </w:rPr>
        <w:t>19. punktā</w:t>
      </w:r>
      <w:r>
        <w:fldChar w:fldCharType="end"/>
      </w:r>
      <w:r w:rsidRPr="00D5202A">
        <w:rPr>
          <w:rFonts w:ascii="Times New Roman" w:eastAsia="Times New Roman" w:hAnsi="Times New Roman" w:cs="Times New Roman"/>
          <w:sz w:val="24"/>
          <w:szCs w:val="24"/>
          <w:lang w:eastAsia="lv-LV"/>
        </w:rPr>
        <w:t> minētajiem nosacījumiem;</w:t>
      </w:r>
    </w:p>
    <w:p w:rsidR="00431CEB" w:rsidRPr="00D5202A" w:rsidP="00431CEB" w14:paraId="4219A6C4" w14:textId="179C5BF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citos gadījumos, ko nosaka līgums par projekta īstenošanu.</w:t>
      </w:r>
    </w:p>
    <w:p w:rsidR="00431CEB" w:rsidRPr="00D5202A" w:rsidP="00431CEB" w14:paraId="6480BF89" w14:textId="1E7D725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kas nepārsniedz 45 % no projektam piešķirtā Eiropas Reģionālā attīstības fonda finansējuma.</w:t>
      </w:r>
    </w:p>
    <w:p w:rsidR="00431CEB" w:rsidRPr="00D5202A" w:rsidP="00431CEB" w14:paraId="4D997962" w14:textId="764D861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saņēmējam ir pieejams avansa maksājums, ja finansējuma saņēmējs ir atvēris kontu Valsts kasē vai darījumu kontu Latvijas Republikā reģistrētā kredītiestādē, vai kontu Latvijas Republikā reģistrētā kredītiestādē un iesniedzis bankas garantiju par avansa summu.</w:t>
      </w:r>
    </w:p>
    <w:p w:rsidR="00431CEB" w:rsidRPr="00D5202A" w:rsidP="00431CEB" w14:paraId="171D81CA" w14:textId="42DAD87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Lai saņemtu avansa maksājumu, finansējuma saņēmējs iesniedz sadarbības iestādē avansa pieprasījumu un plānotā avansa apjoma pamatojumu.</w:t>
      </w:r>
    </w:p>
    <w:p w:rsidR="00431CEB" w:rsidRPr="00D5202A" w:rsidP="00431CEB" w14:paraId="60AF3A67" w14:textId="3C7F8B62">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 veicot avansa un starpposma maksājumus, ievēro nosacījumu, ka to kopsumma nepārsniedz 75 % no projektam piešķirtā Eiropas Reģionālā attīstības fonda finansējuma.</w:t>
      </w:r>
    </w:p>
    <w:p w:rsidR="00431CEB" w:rsidRPr="00D5202A" w:rsidP="00431CEB" w14:paraId="0413079F" w14:textId="6465CB22">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 finansējuma saņēmējam izmaksājamo finansējuma apjomu nosaka, pamatojoties uz projekta attiecināmo izmaksu apjomu un attiecināmās izmaksas pamatojošiem dokumentiem, ievērojot normatīvo aktu prasības maksājumu un darījumu apliecinošo dokumentu izstrādāšanas un noformēšanas jomā.</w:t>
      </w:r>
    </w:p>
    <w:p w:rsidR="00431CEB" w:rsidRPr="00D5202A" w:rsidP="00431CEB" w14:paraId="302EB34A" w14:textId="12932006">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nodrošina informācijas un publicitātes pasākumus atbilstoši Parlamenta un Padomes 2013. gada 17. decembra Regulai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normatīvajiem aktiem par kārtību, kādā Eiropas Savienības struktūrfondu un Kohēzijas fonda ieviešanā 2014.–2020. gada plānošanas periodā nodrošināma komunikācijas un vizuālās identitātes prasību ievērošana.</w:t>
      </w:r>
    </w:p>
    <w:p w:rsidR="00431CEB" w:rsidRPr="00D5202A" w:rsidP="00431CEB" w14:paraId="31403D54" w14:textId="5746613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finansējuma saņēmējs nenodrošina vienas vai vairāku šajā punktā minēto prasību izpildi projekta pēcuzraudzības periodā, finansējuma saņēmējam piemēro finanšu korekciju saskaņā ar vadošās iestādes izstrādātajām vadlīnijām </w:t>
      </w:r>
      <w:r w:rsidRPr="00D5202A">
        <w:rPr>
          <w:rFonts w:ascii="Times New Roman" w:eastAsia="Times New Roman" w:hAnsi="Times New Roman" w:cs="Times New Roman"/>
          <w:sz w:val="24"/>
          <w:szCs w:val="24"/>
          <w:lang w:eastAsia="lv-LV"/>
        </w:rPr>
        <w:t>par finanšu korekcijām. Finansējuma saņēmējs projekta pēcuzraudzības periodā nodrošina šādu prasību izpildi:</w:t>
      </w:r>
    </w:p>
    <w:p w:rsidR="00431CEB" w:rsidRPr="00D5202A" w:rsidP="00431CEB" w14:paraId="0028F8A4" w14:textId="7C98F6E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vismaz piecus gadus pēc </w:t>
      </w:r>
      <w:r w:rsidRPr="00D5202A" w:rsidR="004918BF">
        <w:rPr>
          <w:rFonts w:ascii="Times New Roman" w:eastAsia="Times New Roman" w:hAnsi="Times New Roman" w:cs="Times New Roman"/>
          <w:sz w:val="24"/>
          <w:szCs w:val="24"/>
          <w:lang w:eastAsia="lv-LV"/>
        </w:rPr>
        <w:t xml:space="preserve">ražošanas </w:t>
      </w:r>
      <w:r w:rsidRPr="00D5202A">
        <w:rPr>
          <w:rFonts w:ascii="Times New Roman" w:eastAsia="Times New Roman" w:hAnsi="Times New Roman" w:cs="Times New Roman"/>
          <w:sz w:val="24"/>
          <w:szCs w:val="24"/>
          <w:lang w:eastAsia="lv-LV"/>
        </w:rPr>
        <w:t xml:space="preserve">ēkas nodošanas ekspluatācijā tā iznomājama vai izmantojama ražošanai apstrādes rūpniecības nozarē, ievērojot šo noteikumu </w:t>
      </w:r>
      <w:r w:rsidRPr="00D5202A" w:rsidR="004918BF">
        <w:rPr>
          <w:rFonts w:ascii="Times New Roman" w:eastAsia="Times New Roman" w:hAnsi="Times New Roman" w:cs="Times New Roman"/>
          <w:sz w:val="24"/>
          <w:szCs w:val="24"/>
          <w:lang w:eastAsia="lv-LV"/>
        </w:rPr>
        <w:t>19.</w:t>
      </w:r>
      <w:r w:rsidRPr="00D5202A">
        <w:rPr>
          <w:rFonts w:ascii="Times New Roman" w:eastAsia="Times New Roman" w:hAnsi="Times New Roman" w:cs="Times New Roman"/>
          <w:sz w:val="24"/>
          <w:szCs w:val="24"/>
          <w:lang w:eastAsia="lv-LV"/>
        </w:rPr>
        <w:t>punktā minētos nosacījumus;</w:t>
      </w:r>
    </w:p>
    <w:p w:rsidR="004918BF" w:rsidRPr="00D5202A" w:rsidP="00431CEB" w14:paraId="3018497B" w14:textId="6C4AEAE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vismaz piecus gadus pēc biroja ēkas nodošanas ekspluatācijā tā iznomājama vai izmantojama informācijas un komunikāciju tehnoloģiju nozarē, ievērojot šo noteikumu 19.punktā minētos nosacījumus;</w:t>
      </w:r>
    </w:p>
    <w:p w:rsidR="004918BF" w:rsidRPr="00D5202A" w:rsidP="00431CEB" w14:paraId="112329D7" w14:textId="4765651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ražošanas vai biroju ēka tiek iznomāta, 36 mēnešu laikā pēc ēkas nodošanas ekspluatācijā ir iznomāti vismaz 80 % no ēkas platības, ir uzstādītas ražošanas iekārtas un notiek ražošanas process vai saimnieciskā darbība informācijas un komunikāciju tehnoloģiju nozarē;</w:t>
      </w:r>
    </w:p>
    <w:p w:rsidR="004918BF" w:rsidRPr="00D5202A" w:rsidP="00BD2E21" w14:paraId="17E47EF9" w14:textId="1D550A8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36 mēnešu laikā pēc projekta pabeigšanas ir izveidoti 100 % no atbilstošā jaunu darbavietu skaita ar pilnu darba slodzi, ievērojot šo noteikumu 19. punktā minētos nosacījumus.</w:t>
      </w:r>
    </w:p>
    <w:p w:rsidR="00C466B4" w:rsidRPr="00D5202A" w:rsidP="00957578" w14:paraId="6DF49843" w14:textId="77777777">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bookmarkStart w:id="65" w:name="p29"/>
      <w:bookmarkStart w:id="66" w:name="p-587343"/>
      <w:bookmarkStart w:id="67" w:name="p30"/>
      <w:bookmarkStart w:id="68" w:name="p-587344"/>
      <w:bookmarkStart w:id="69" w:name="p31"/>
      <w:bookmarkStart w:id="70" w:name="p-587345"/>
      <w:bookmarkStart w:id="71" w:name="p32"/>
      <w:bookmarkStart w:id="72" w:name="p-587346"/>
      <w:bookmarkStart w:id="73" w:name="p33"/>
      <w:bookmarkStart w:id="74" w:name="p-587347"/>
      <w:bookmarkStart w:id="75" w:name="p34"/>
      <w:bookmarkStart w:id="76" w:name="p-587348"/>
      <w:bookmarkStart w:id="77" w:name="p35"/>
      <w:bookmarkStart w:id="78" w:name="p-587349"/>
      <w:bookmarkStart w:id="79" w:name="p36"/>
      <w:bookmarkStart w:id="80" w:name="p-587350"/>
      <w:bookmarkStart w:id="81" w:name="p37"/>
      <w:bookmarkStart w:id="82" w:name="p-587351"/>
      <w:bookmarkStart w:id="83" w:name="p38"/>
      <w:bookmarkStart w:id="84" w:name="p-587352"/>
      <w:bookmarkStart w:id="85" w:name="p39"/>
      <w:bookmarkStart w:id="86" w:name="p-58735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57578" w:rsidRPr="00D5202A" w:rsidP="00957578" w14:paraId="5B82270B"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7" w:name="n5"/>
      <w:bookmarkStart w:id="88" w:name="n-587354"/>
      <w:bookmarkEnd w:id="87"/>
      <w:bookmarkEnd w:id="88"/>
      <w:r w:rsidRPr="00D5202A">
        <w:rPr>
          <w:rFonts w:ascii="Times New Roman" w:eastAsia="Times New Roman" w:hAnsi="Times New Roman" w:cs="Times New Roman"/>
          <w:b/>
          <w:bCs/>
          <w:sz w:val="24"/>
          <w:szCs w:val="24"/>
          <w:lang w:eastAsia="lv-LV"/>
        </w:rPr>
        <w:t>V. Ar valsts atbalsta saņemšanu saistītie nosacījumi</w:t>
      </w:r>
    </w:p>
    <w:p w:rsidR="00C466B4" w:rsidRPr="00D5202A" w:rsidP="00957578" w14:paraId="2B20AFA2"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4918BF" w:rsidRPr="00D5202A" w:rsidP="00BD2E21" w14:paraId="1F097BE0" w14:textId="74F42154">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89" w:name="p40"/>
      <w:bookmarkStart w:id="90" w:name="p-587355"/>
      <w:bookmarkEnd w:id="89"/>
      <w:bookmarkEnd w:id="90"/>
      <w:r w:rsidRPr="00D5202A">
        <w:rPr>
          <w:rFonts w:ascii="Times New Roman" w:eastAsia="Times New Roman" w:hAnsi="Times New Roman" w:cs="Times New Roman"/>
          <w:sz w:val="24"/>
          <w:szCs w:val="24"/>
          <w:lang w:eastAsia="lv-LV"/>
        </w:rPr>
        <w:t>Finansējumu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Pr="00D5202A">
        <w:rPr>
          <w:rFonts w:ascii="Times New Roman" w:eastAsia="Times New Roman" w:hAnsi="Times New Roman" w:cs="Times New Roman"/>
          <w:sz w:val="24"/>
          <w:szCs w:val="24"/>
          <w:lang w:eastAsia="lv-LV"/>
        </w:rPr>
        <w:t>22. punktā</w:t>
      </w:r>
      <w:r>
        <w:fldChar w:fldCharType="end"/>
      </w:r>
      <w:r w:rsidRPr="00D5202A">
        <w:rPr>
          <w:rFonts w:ascii="Times New Roman" w:eastAsia="Times New Roman" w:hAnsi="Times New Roman" w:cs="Times New Roman"/>
          <w:sz w:val="24"/>
          <w:szCs w:val="24"/>
          <w:lang w:eastAsia="lv-LV"/>
        </w:rPr>
        <w:t> minēto izmaksu segšanai sniedz saskaņā ar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pantu, 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un normatīvajiem aktiem par </w:t>
      </w:r>
      <w:r w:rsidRPr="00D5202A">
        <w:rPr>
          <w:rFonts w:ascii="Times New Roman" w:eastAsia="Times New Roman" w:hAnsi="Times New Roman" w:cs="Times New Roman"/>
          <w:i/>
          <w:iCs/>
          <w:sz w:val="24"/>
          <w:szCs w:val="24"/>
          <w:lang w:eastAsia="lv-LV"/>
        </w:rPr>
        <w:t>de minimis</w:t>
      </w:r>
      <w:r w:rsidRPr="00D5202A" w:rsidR="00C466B4">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atbalsta uzskaites un piešķiršanas kārtību un </w:t>
      </w:r>
      <w:r w:rsidRPr="00D5202A">
        <w:rPr>
          <w:rFonts w:ascii="Times New Roman" w:eastAsia="Times New Roman" w:hAnsi="Times New Roman" w:cs="Times New Roman"/>
          <w:i/>
          <w:iCs/>
          <w:sz w:val="24"/>
          <w:szCs w:val="24"/>
          <w:lang w:eastAsia="lv-LV"/>
        </w:rPr>
        <w:t>de minimis</w:t>
      </w:r>
      <w:r w:rsidRPr="00D5202A">
        <w:rPr>
          <w:rFonts w:ascii="Times New Roman" w:eastAsia="Times New Roman" w:hAnsi="Times New Roman" w:cs="Times New Roman"/>
          <w:sz w:val="24"/>
          <w:szCs w:val="24"/>
          <w:lang w:eastAsia="lv-LV"/>
        </w:rPr>
        <w:t> atbalsta uzskaites veidlapu paraugiem, ja piemēro šo noteikumu </w:t>
      </w:r>
      <w:r>
        <w:fldChar w:fldCharType="begin"/>
      </w:r>
      <w:r>
        <w:instrText xml:space="preserve"> HYPERLINK "https://likumi.lv/ta/id/281590-darbibas-programmas-izaugsme-un-nodarbinatiba-3-1-1-specifiska-atbalsta-merka-sekmet-mvk-izveidi-un-attistibu-ipasi" \l "p20" \t "_blank" </w:instrText>
      </w:r>
      <w:r>
        <w:fldChar w:fldCharType="separate"/>
      </w:r>
      <w:r w:rsidRPr="00D5202A">
        <w:rPr>
          <w:rFonts w:ascii="Times New Roman" w:eastAsia="Times New Roman" w:hAnsi="Times New Roman" w:cs="Times New Roman"/>
          <w:sz w:val="24"/>
          <w:szCs w:val="24"/>
          <w:lang w:eastAsia="lv-LV"/>
        </w:rPr>
        <w:t>2</w:t>
      </w:r>
      <w:r w:rsidRPr="00D5202A">
        <w:rPr>
          <w:rFonts w:ascii="Times New Roman" w:eastAsia="Times New Roman" w:hAnsi="Times New Roman" w:cs="Times New Roman"/>
          <w:sz w:val="24"/>
          <w:szCs w:val="24"/>
          <w:lang w:eastAsia="lv-LV"/>
        </w:rPr>
        <w:t>3.</w:t>
      </w:r>
      <w:r w:rsidRPr="00D5202A">
        <w:rPr>
          <w:rFonts w:ascii="Times New Roman" w:eastAsia="Times New Roman" w:hAnsi="Times New Roman" w:cs="Times New Roman"/>
          <w:sz w:val="24"/>
          <w:szCs w:val="24"/>
          <w:lang w:eastAsia="lv-LV"/>
        </w:rPr>
        <w:t xml:space="preserve"> punktā</w:t>
      </w:r>
      <w:r>
        <w:fldChar w:fldCharType="end"/>
      </w:r>
      <w:r w:rsidRPr="00D5202A">
        <w:rPr>
          <w:rFonts w:ascii="Times New Roman" w:eastAsia="Times New Roman" w:hAnsi="Times New Roman" w:cs="Times New Roman"/>
          <w:sz w:val="24"/>
          <w:szCs w:val="24"/>
          <w:lang w:eastAsia="lv-LV"/>
        </w:rPr>
        <w:t> minētos nosacījumus.</w:t>
      </w:r>
    </w:p>
    <w:p w:rsidR="004918BF" w:rsidRPr="00BD2E21" w:rsidP="00BD2E21" w14:paraId="7F930C9C" w14:textId="6FEDBE2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1" w:name="p41"/>
      <w:bookmarkStart w:id="92" w:name="p-587356"/>
      <w:bookmarkEnd w:id="91"/>
      <w:bookmarkEnd w:id="92"/>
      <w:r w:rsidRPr="00BD2E21">
        <w:rPr>
          <w:rFonts w:ascii="Times New Roman" w:eastAsia="Times New Roman" w:hAnsi="Times New Roman" w:cs="Times New Roman"/>
          <w:sz w:val="24"/>
          <w:szCs w:val="24"/>
          <w:lang w:eastAsia="lv-LV"/>
        </w:rPr>
        <w:t xml:space="preserve">Atbalsts pasākuma </w:t>
      </w:r>
      <w:r w:rsidRPr="00BD2E21" w:rsidR="006C7399">
        <w:rPr>
          <w:rFonts w:ascii="Times New Roman" w:eastAsia="Times New Roman" w:hAnsi="Times New Roman" w:cs="Times New Roman"/>
          <w:sz w:val="24"/>
          <w:szCs w:val="24"/>
          <w:lang w:eastAsia="lv-LV"/>
        </w:rPr>
        <w:t xml:space="preserve">otrās projektu iesniegumu atlases kārtas </w:t>
      </w:r>
      <w:r w:rsidRPr="00BD2E21">
        <w:rPr>
          <w:rFonts w:ascii="Times New Roman" w:eastAsia="Times New Roman" w:hAnsi="Times New Roman" w:cs="Times New Roman"/>
          <w:sz w:val="24"/>
          <w:szCs w:val="24"/>
          <w:lang w:eastAsia="lv-LV"/>
        </w:rPr>
        <w:t>ietvaros tiek sniegts granta veidā.</w:t>
      </w:r>
    </w:p>
    <w:p w:rsidR="00957578" w:rsidRPr="00BD2E21" w:rsidP="004918BF" w14:paraId="5CBDCEC1" w14:textId="25F5D844">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3" w:name="p42"/>
      <w:bookmarkStart w:id="94" w:name="p-587357"/>
      <w:bookmarkEnd w:id="93"/>
      <w:bookmarkEnd w:id="94"/>
      <w:r w:rsidRPr="00BD2E21">
        <w:rPr>
          <w:rFonts w:ascii="Times New Roman" w:eastAsia="Times New Roman" w:hAnsi="Times New Roman" w:cs="Times New Roman"/>
          <w:sz w:val="24"/>
          <w:szCs w:val="24"/>
          <w:lang w:eastAsia="lv-LV"/>
        </w:rPr>
        <w:t xml:space="preserve">Vienam projekta iesniegumam maksimāli pieļaujamais </w:t>
      </w:r>
      <w:r w:rsidRPr="00BD2E21" w:rsidR="00FB2C5E">
        <w:rPr>
          <w:rFonts w:ascii="Times New Roman" w:eastAsia="Times New Roman" w:hAnsi="Times New Roman" w:cs="Times New Roman"/>
          <w:sz w:val="24"/>
          <w:szCs w:val="24"/>
          <w:lang w:eastAsia="lv-LV"/>
        </w:rPr>
        <w:t>Eiropas R</w:t>
      </w:r>
      <w:r w:rsidRPr="00BD2E21" w:rsidR="00C466B4">
        <w:rPr>
          <w:rFonts w:ascii="Times New Roman" w:eastAsia="Times New Roman" w:hAnsi="Times New Roman" w:cs="Times New Roman"/>
          <w:sz w:val="24"/>
          <w:szCs w:val="24"/>
          <w:lang w:eastAsia="lv-LV"/>
        </w:rPr>
        <w:t xml:space="preserve">eģionālā attīstības fonda </w:t>
      </w:r>
      <w:r w:rsidRPr="00BD2E21">
        <w:rPr>
          <w:rFonts w:ascii="Times New Roman" w:eastAsia="Times New Roman" w:hAnsi="Times New Roman" w:cs="Times New Roman"/>
          <w:sz w:val="24"/>
          <w:szCs w:val="24"/>
          <w:lang w:eastAsia="lv-LV"/>
        </w:rPr>
        <w:t xml:space="preserve">finansējuma apmērs pasākuma </w:t>
      </w:r>
      <w:r w:rsidRPr="00BD2E21" w:rsidR="002C5AC0">
        <w:rPr>
          <w:rFonts w:ascii="Times New Roman" w:eastAsia="Times New Roman" w:hAnsi="Times New Roman" w:cs="Times New Roman"/>
          <w:sz w:val="24"/>
          <w:szCs w:val="24"/>
          <w:lang w:eastAsia="lv-LV"/>
        </w:rPr>
        <w:t xml:space="preserve">otrās projektu iesniegumu atlases kārtas </w:t>
      </w:r>
      <w:r w:rsidRPr="00BD2E21">
        <w:rPr>
          <w:rFonts w:ascii="Times New Roman" w:eastAsia="Times New Roman" w:hAnsi="Times New Roman" w:cs="Times New Roman"/>
          <w:sz w:val="24"/>
          <w:szCs w:val="24"/>
          <w:lang w:eastAsia="lv-LV"/>
        </w:rPr>
        <w:t>ietvaros</w:t>
      </w:r>
      <w:r w:rsidRPr="00BD2E21" w:rsidR="00C466B4">
        <w:rPr>
          <w:rFonts w:ascii="Times New Roman" w:eastAsia="Times New Roman" w:hAnsi="Times New Roman" w:cs="Times New Roman"/>
          <w:sz w:val="24"/>
          <w:szCs w:val="24"/>
          <w:lang w:eastAsia="lv-LV"/>
        </w:rPr>
        <w:t xml:space="preserve"> Kurzemes, Latgales, Vidzemes vai Zemgales plānošanas reģionā</w:t>
      </w:r>
      <w:r w:rsidRPr="00BD2E21">
        <w:rPr>
          <w:rFonts w:ascii="Times New Roman" w:eastAsia="Times New Roman" w:hAnsi="Times New Roman" w:cs="Times New Roman"/>
          <w:sz w:val="24"/>
          <w:szCs w:val="24"/>
          <w:lang w:eastAsia="lv-LV"/>
        </w:rPr>
        <w:t xml:space="preserve"> ir </w:t>
      </w:r>
      <w:r w:rsidRPr="00BD2E21" w:rsidR="004918BF">
        <w:rPr>
          <w:rFonts w:ascii="Times New Roman" w:eastAsia="Times New Roman" w:hAnsi="Times New Roman" w:cs="Times New Roman"/>
          <w:sz w:val="24"/>
          <w:szCs w:val="24"/>
          <w:lang w:eastAsia="lv-LV"/>
        </w:rPr>
        <w:t>3 000 000</w:t>
      </w:r>
      <w:r w:rsidRPr="00BD2E21">
        <w:rPr>
          <w:rFonts w:ascii="Times New Roman" w:eastAsia="Times New Roman" w:hAnsi="Times New Roman" w:cs="Times New Roman"/>
          <w:sz w:val="24"/>
          <w:szCs w:val="24"/>
          <w:lang w:eastAsia="lv-LV"/>
        </w:rPr>
        <w:t> </w:t>
      </w:r>
      <w:r w:rsidRPr="00BD2E21">
        <w:rPr>
          <w:rFonts w:ascii="Times New Roman" w:eastAsia="Times New Roman" w:hAnsi="Times New Roman" w:cs="Times New Roman"/>
          <w:i/>
          <w:iCs/>
          <w:sz w:val="24"/>
          <w:szCs w:val="24"/>
          <w:lang w:eastAsia="lv-LV"/>
        </w:rPr>
        <w:t>euro</w:t>
      </w:r>
      <w:r w:rsidRPr="00BD2E21" w:rsidR="00C466B4">
        <w:rPr>
          <w:rFonts w:ascii="Times New Roman" w:eastAsia="Times New Roman" w:hAnsi="Times New Roman" w:cs="Times New Roman"/>
          <w:iCs/>
          <w:sz w:val="24"/>
          <w:szCs w:val="24"/>
          <w:lang w:eastAsia="lv-LV"/>
        </w:rPr>
        <w:t xml:space="preserve">, Rīgas plānošanas reģionā – </w:t>
      </w:r>
      <w:r w:rsidRPr="00BD2E21" w:rsidR="004D784D">
        <w:rPr>
          <w:rFonts w:ascii="Times New Roman" w:eastAsia="Times New Roman" w:hAnsi="Times New Roman" w:cs="Times New Roman"/>
          <w:iCs/>
          <w:sz w:val="24"/>
          <w:szCs w:val="24"/>
          <w:lang w:eastAsia="lv-LV"/>
        </w:rPr>
        <w:t>5 083 303</w:t>
      </w:r>
      <w:r w:rsidRPr="00BD2E21" w:rsidR="00C466B4">
        <w:rPr>
          <w:rFonts w:ascii="Times New Roman" w:eastAsia="Times New Roman" w:hAnsi="Times New Roman" w:cs="Times New Roman"/>
          <w:iCs/>
          <w:sz w:val="24"/>
          <w:szCs w:val="24"/>
          <w:lang w:eastAsia="lv-LV"/>
        </w:rPr>
        <w:t xml:space="preserve"> </w:t>
      </w:r>
      <w:r w:rsidRPr="00BD2E21" w:rsidR="00C466B4">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w:t>
      </w:r>
    </w:p>
    <w:p w:rsidR="00450BE0" w:rsidRPr="00BD2E21" w:rsidP="004918BF" w14:paraId="0D6DAE86" w14:textId="7777777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Kurzemes, Latgales, Vidzemes </w:t>
      </w:r>
      <w:r w:rsidRPr="00BD2E21" w:rsidR="00332921">
        <w:rPr>
          <w:rFonts w:ascii="Times New Roman" w:eastAsia="Times New Roman" w:hAnsi="Times New Roman" w:cs="Times New Roman"/>
          <w:sz w:val="24"/>
          <w:szCs w:val="24"/>
          <w:lang w:eastAsia="lv-LV"/>
        </w:rPr>
        <w:t>v</w:t>
      </w:r>
      <w:r w:rsidRPr="00BD2E21">
        <w:rPr>
          <w:rFonts w:ascii="Times New Roman" w:eastAsia="Times New Roman" w:hAnsi="Times New Roman" w:cs="Times New Roman"/>
          <w:sz w:val="24"/>
          <w:szCs w:val="24"/>
          <w:lang w:eastAsia="lv-LV"/>
        </w:rPr>
        <w:t>ai Z</w:t>
      </w:r>
      <w:r w:rsidRPr="00BD2E21" w:rsidR="00332921">
        <w:rPr>
          <w:rFonts w:ascii="Times New Roman" w:eastAsia="Times New Roman" w:hAnsi="Times New Roman" w:cs="Times New Roman"/>
          <w:sz w:val="24"/>
          <w:szCs w:val="24"/>
          <w:lang w:eastAsia="lv-LV"/>
        </w:rPr>
        <w:t>emgales plānošanas reģionā</w:t>
      </w:r>
      <w:r w:rsidRPr="00BD2E21" w:rsidR="001F35D9">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projekta iesniegumiem, kas nav saņēmuši augstāko punktu skaitu kopējā vērtējumā, </w:t>
      </w:r>
      <w:r w:rsidRPr="00BD2E21" w:rsidR="001F35D9">
        <w:rPr>
          <w:rFonts w:ascii="Times New Roman" w:eastAsia="Times New Roman" w:hAnsi="Times New Roman" w:cs="Times New Roman"/>
          <w:sz w:val="24"/>
          <w:szCs w:val="24"/>
          <w:lang w:eastAsia="lv-LV"/>
        </w:rPr>
        <w:t xml:space="preserve">ir </w:t>
      </w:r>
      <w:r w:rsidRPr="00BD2E21">
        <w:rPr>
          <w:rFonts w:ascii="Times New Roman" w:eastAsia="Times New Roman" w:hAnsi="Times New Roman" w:cs="Times New Roman"/>
          <w:sz w:val="24"/>
          <w:szCs w:val="24"/>
          <w:lang w:eastAsia="lv-LV"/>
        </w:rPr>
        <w:t xml:space="preserve">tiesība </w:t>
      </w:r>
      <w:r w:rsidRPr="00BD2E21" w:rsidR="001F35D9">
        <w:rPr>
          <w:rFonts w:ascii="Times New Roman" w:eastAsia="Times New Roman" w:hAnsi="Times New Roman" w:cs="Times New Roman"/>
          <w:sz w:val="24"/>
          <w:szCs w:val="24"/>
          <w:lang w:eastAsia="lv-LV"/>
        </w:rPr>
        <w:t xml:space="preserve">saņēmis </w:t>
      </w:r>
      <w:r w:rsidRPr="00BD2E21">
        <w:rPr>
          <w:rFonts w:ascii="Times New Roman" w:eastAsia="Times New Roman" w:hAnsi="Times New Roman" w:cs="Times New Roman"/>
          <w:sz w:val="24"/>
          <w:szCs w:val="24"/>
          <w:lang w:eastAsia="lv-LV"/>
        </w:rPr>
        <w:t>Eiropas Reģionālā attīstības fonda finansējumu, reģionālās kvotas atlikuma apmērā, ievērojot šo noteikumu 45.punktā noteikto maksimālo Eiropas Reģionālā attīstības fonda finansējuma apmēru un nodrošinot atbilstošu privāto līdzfinansējumu.</w:t>
      </w:r>
    </w:p>
    <w:p w:rsidR="004918BF" w:rsidRPr="00D5202A" w:rsidP="004918BF" w14:paraId="08B414A1" w14:textId="65926531">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Maksimāli pieļaujamā finansējuma intensitāte no projekta kopējām attiecināmajām izmaksām, tai skaitā izmaksām, kurām atbalstu sniedz saskaņā ar 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ir:</w:t>
      </w:r>
    </w:p>
    <w:p w:rsidR="00450BE0" w:rsidRPr="00D5202A" w:rsidP="00450BE0" w14:paraId="3C40E377" w14:textId="65E1377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lielajiem komersantiem – 35 %;</w:t>
      </w:r>
    </w:p>
    <w:p w:rsidR="00450BE0" w:rsidRPr="00D5202A" w:rsidP="00450BE0" w14:paraId="0C1B024B" w14:textId="1DEA55D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sīkajiem (mikro), mazajiem un vidējiem komersantiem – 45 %.</w:t>
      </w:r>
    </w:p>
    <w:p w:rsidR="00450BE0" w:rsidRPr="00D5202A" w:rsidP="00450BE0" w14:paraId="41EAC2D0" w14:textId="620FB06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izmantojot savus resursus vai ārējo finansējumu, kas nav saistīts ar jebkādu komercdarbības atbalstu, projekta īstenošanā iegulda vismaz 25 % no projekta kopējām attiecināmajām izmaksām.</w:t>
      </w:r>
    </w:p>
    <w:p w:rsidR="00450BE0" w:rsidRPr="00D5202A" w:rsidP="00450BE0" w14:paraId="0EEF4D6B" w14:textId="5B811A9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Valsts atbalstu, pamatojoties uz Komisijas regulu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projekta iesniedzējam piešķir, ja ir ievēroti šādi nosacījumi:</w:t>
      </w:r>
    </w:p>
    <w:p w:rsidR="00450BE0" w:rsidRPr="00D5202A" w:rsidP="00450BE0" w14:paraId="02E5A990" w14:textId="50EC0A8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 panta 5. punkta nosacījumi, kas paredz, ka atbalsta pasākums neietver Eiropas Savienības tiesību pārkāpumus;</w:t>
      </w:r>
    </w:p>
    <w:p w:rsidR="00450BE0" w:rsidRPr="00D5202A" w:rsidP="00450BE0" w14:paraId="0A5BA9D1" w14:textId="0D98823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13. 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projekta apjomu – 50 000 000 </w:t>
      </w:r>
      <w:r w:rsidRPr="00D5202A">
        <w:rPr>
          <w:rFonts w:ascii="Times New Roman" w:eastAsia="Times New Roman" w:hAnsi="Times New Roman" w:cs="Times New Roman"/>
          <w:i/>
          <w:iCs/>
          <w:sz w:val="24"/>
          <w:szCs w:val="24"/>
          <w:lang w:eastAsia="lv-LV"/>
        </w:rPr>
        <w:t>euro</w:t>
      </w:r>
      <w:r w:rsidRPr="00D5202A">
        <w:rPr>
          <w:rFonts w:ascii="Times New Roman" w:eastAsia="Times New Roman" w:hAnsi="Times New Roman" w:cs="Times New Roman"/>
          <w:sz w:val="24"/>
          <w:szCs w:val="24"/>
          <w:lang w:eastAsia="lv-LV"/>
        </w:rPr>
        <w:t>;</w:t>
      </w:r>
    </w:p>
    <w:p w:rsidR="00450BE0" w:rsidRPr="00D5202A" w:rsidP="00450BE0" w14:paraId="2EC95E5D" w14:textId="34A364C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atbalsts saistīts ar būtiskām pārmaiņām ražošanas procesā, ievēro Komisijas regulas Nr.</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7. punktu.</w:t>
      </w:r>
    </w:p>
    <w:p w:rsidR="00450BE0" w:rsidRPr="00D5202A" w:rsidP="00450BE0" w14:paraId="7B5DA40B" w14:textId="513AC2BD">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Šo noteikumu ietvaros atbalsts netiek sniegts komersantiem, kas pārstāv šo noteikumu </w:t>
      </w:r>
      <w:r>
        <w:fldChar w:fldCharType="begin"/>
      </w:r>
      <w:r>
        <w:instrText xml:space="preserve"> HYPERLINK "https://likumi.lv/ta/id/281590-darbibas-programmas-izaugsme-un-nodarbinatiba-3-1-1-specifiska-atbalsta-merka-sekmet-mvk-izveidi-un-attistibu-ipasi" \l "p15" \t "_blank" </w:instrText>
      </w:r>
      <w:r>
        <w:fldChar w:fldCharType="separate"/>
      </w:r>
      <w:r w:rsidRPr="00D5202A">
        <w:rPr>
          <w:rFonts w:ascii="Times New Roman" w:eastAsia="Times New Roman" w:hAnsi="Times New Roman" w:cs="Times New Roman"/>
          <w:sz w:val="24"/>
          <w:szCs w:val="24"/>
          <w:lang w:eastAsia="lv-LV"/>
        </w:rPr>
        <w:t>1</w:t>
      </w:r>
      <w:r w:rsidRPr="00D5202A" w:rsidR="00EC3165">
        <w:rPr>
          <w:rFonts w:ascii="Times New Roman" w:eastAsia="Times New Roman" w:hAnsi="Times New Roman" w:cs="Times New Roman"/>
          <w:sz w:val="24"/>
          <w:szCs w:val="24"/>
          <w:lang w:eastAsia="lv-LV"/>
        </w:rPr>
        <w:t>7</w:t>
      </w:r>
      <w:r w:rsidRPr="00D5202A">
        <w:rPr>
          <w:rFonts w:ascii="Times New Roman" w:eastAsia="Times New Roman" w:hAnsi="Times New Roman" w:cs="Times New Roman"/>
          <w:sz w:val="24"/>
          <w:szCs w:val="24"/>
          <w:lang w:eastAsia="lv-LV"/>
        </w:rPr>
        <w:t>. punktā</w:t>
      </w:r>
      <w:r>
        <w:fldChar w:fldCharType="end"/>
      </w:r>
      <w:r w:rsidRPr="00D5202A">
        <w:rPr>
          <w:rFonts w:ascii="Times New Roman" w:eastAsia="Times New Roman" w:hAnsi="Times New Roman" w:cs="Times New Roman"/>
          <w:sz w:val="24"/>
          <w:szCs w:val="24"/>
          <w:lang w:eastAsia="lv-LV"/>
        </w:rPr>
        <w:t> noteiktās nozares. Ja gala labuma guvēji darbojas šajā punktā minētajās nozarēs, atbalstu drīkst piešķirt tikai tad, ja tiek skaidri nodalītas atbalstāmās darbības un finanšu plūsmas, nodrošinot, ka darbības izslēgtajās nozarēs negūst labumu no pasākuma otrās projektu iesniegumu atlases kārtas ietvaros piešķirtā atbalsta.</w:t>
      </w:r>
    </w:p>
    <w:p w:rsidR="00EC3165" w:rsidRPr="00D5202A" w:rsidP="00450BE0" w14:paraId="10857590" w14:textId="41F42199">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projektā faktiski apgūtais finansējuma apjoms pēc noslēguma pārskata apstiprināšanas ir mazāks nekā sākotnēji iesniegtajā projekta iesniegumā, finansējuma saņēmējs nodrošina, ka faktiski sasniegtie rādītāji nav mazāki kā atbilstoši šo noteikumu 1</w:t>
      </w:r>
      <w:r w:rsidRPr="00D5202A">
        <w:rPr>
          <w:rFonts w:ascii="Times New Roman" w:eastAsia="Times New Roman" w:hAnsi="Times New Roman" w:cs="Times New Roman"/>
          <w:sz w:val="24"/>
          <w:szCs w:val="24"/>
          <w:lang w:eastAsia="lv-LV"/>
        </w:rPr>
        <w:t>9.</w:t>
      </w:r>
      <w:r w:rsidRPr="00D5202A">
        <w:rPr>
          <w:rFonts w:ascii="Times New Roman" w:eastAsia="Times New Roman" w:hAnsi="Times New Roman" w:cs="Times New Roman"/>
          <w:sz w:val="24"/>
          <w:szCs w:val="24"/>
          <w:lang w:eastAsia="lv-LV"/>
        </w:rPr>
        <w:t xml:space="preserve"> punktam noteiktie rādītāji.</w:t>
      </w:r>
    </w:p>
    <w:p w:rsidR="00EC3165" w:rsidRPr="00D5202A" w:rsidP="00450BE0" w14:paraId="1234BF46" w14:textId="57FA4CC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Vienam </w:t>
      </w:r>
      <w:r w:rsidRPr="00D5202A">
        <w:rPr>
          <w:rFonts w:ascii="Times New Roman" w:eastAsia="Times New Roman" w:hAnsi="Times New Roman" w:cs="Times New Roman"/>
          <w:i/>
          <w:iCs/>
          <w:sz w:val="24"/>
          <w:szCs w:val="24"/>
          <w:lang w:eastAsia="lv-LV"/>
        </w:rPr>
        <w:t>de minimis</w:t>
      </w:r>
      <w:r w:rsidRPr="00D5202A">
        <w:rPr>
          <w:rFonts w:ascii="Times New Roman" w:eastAsia="Times New Roman" w:hAnsi="Times New Roman" w:cs="Times New Roman"/>
          <w:sz w:val="24"/>
          <w:szCs w:val="24"/>
          <w:lang w:eastAsia="lv-LV"/>
        </w:rPr>
        <w:t> atbalsta saņēmējam viena vienota uzņēmuma līmenī </w:t>
      </w:r>
      <w:r w:rsidRPr="00D5202A">
        <w:rPr>
          <w:rFonts w:ascii="Times New Roman" w:eastAsia="Times New Roman" w:hAnsi="Times New Roman" w:cs="Times New Roman"/>
          <w:i/>
          <w:iCs/>
          <w:sz w:val="24"/>
          <w:szCs w:val="24"/>
          <w:lang w:eastAsia="lv-LV"/>
        </w:rPr>
        <w:t>de minimis</w:t>
      </w:r>
      <w:r w:rsidRPr="00D5202A">
        <w:rPr>
          <w:rFonts w:ascii="Times New Roman" w:eastAsia="Times New Roman" w:hAnsi="Times New Roman" w:cs="Times New Roman"/>
          <w:sz w:val="24"/>
          <w:szCs w:val="24"/>
          <w:lang w:eastAsia="lv-LV"/>
        </w:rPr>
        <w:t> atbalsta apmērs kopā ar attiecīgajā fiskālajā gadā un iepriekšējos divos fiskālajos gados piešķirto </w:t>
      </w:r>
      <w:r w:rsidRPr="00D5202A">
        <w:rPr>
          <w:rFonts w:ascii="Times New Roman" w:eastAsia="Times New Roman" w:hAnsi="Times New Roman" w:cs="Times New Roman"/>
          <w:i/>
          <w:iCs/>
          <w:sz w:val="24"/>
          <w:szCs w:val="24"/>
          <w:lang w:eastAsia="lv-LV"/>
        </w:rPr>
        <w:t xml:space="preserve">de minimis </w:t>
      </w:r>
      <w:r w:rsidRPr="00D5202A">
        <w:rPr>
          <w:rFonts w:ascii="Times New Roman" w:eastAsia="Times New Roman" w:hAnsi="Times New Roman" w:cs="Times New Roman"/>
          <w:sz w:val="24"/>
          <w:szCs w:val="24"/>
          <w:lang w:eastAsia="lv-LV"/>
        </w:rPr>
        <w:t>atbalstu nepārsniedz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3. panta 2. punktā noteikto maksimālo </w:t>
      </w:r>
      <w:r w:rsidRPr="00D5202A">
        <w:rPr>
          <w:rFonts w:ascii="Times New Roman" w:eastAsia="Times New Roman" w:hAnsi="Times New Roman" w:cs="Times New Roman"/>
          <w:i/>
          <w:iCs/>
          <w:sz w:val="24"/>
          <w:szCs w:val="24"/>
          <w:lang w:eastAsia="lv-LV"/>
        </w:rPr>
        <w:t xml:space="preserve">de minimis </w:t>
      </w:r>
      <w:r w:rsidRPr="00D5202A">
        <w:rPr>
          <w:rFonts w:ascii="Times New Roman" w:eastAsia="Times New Roman" w:hAnsi="Times New Roman" w:cs="Times New Roman"/>
          <w:sz w:val="24"/>
          <w:szCs w:val="24"/>
          <w:lang w:eastAsia="lv-LV"/>
        </w:rPr>
        <w:t>atbalsta apmēru. Komersantu apvienošanās, iegādes vai sadalīšanas gadījumā ņem vērā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3. panta 8. un 9. punktā minētos nosacījumus.</w:t>
      </w:r>
    </w:p>
    <w:p w:rsidR="00EC3165" w:rsidRPr="00D5202A" w:rsidP="00450BE0" w14:paraId="38617AF7" w14:textId="235CB72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Atbalstu, kas pasākuma otrās projektu iesniegumu atlases kārtas ietvaros sniegts saskaņā ar Komisijas regulu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var apvienot ar atbalstu vienām un tām pašām attiecināmajām izmaksām, kas sniegts citā valsts atbalsta programmā un projektā (tai skaitā var apvienot ar citā valsts atbalsta programmā vai projektā sniegto </w:t>
      </w:r>
      <w:r w:rsidRPr="00D5202A">
        <w:rPr>
          <w:rFonts w:ascii="Times New Roman" w:eastAsia="Times New Roman" w:hAnsi="Times New Roman" w:cs="Times New Roman"/>
          <w:i/>
          <w:iCs/>
          <w:sz w:val="24"/>
          <w:szCs w:val="24"/>
          <w:lang w:eastAsia="lv-LV"/>
        </w:rPr>
        <w:t xml:space="preserve">de minimis </w:t>
      </w:r>
      <w:r w:rsidRPr="00D5202A">
        <w:rPr>
          <w:rFonts w:ascii="Times New Roman" w:eastAsia="Times New Roman" w:hAnsi="Times New Roman" w:cs="Times New Roman"/>
          <w:sz w:val="24"/>
          <w:szCs w:val="24"/>
          <w:lang w:eastAsia="lv-LV"/>
        </w:rPr>
        <w:t>atbalstu), nepārsniedzot šajos noteikumos noteikto maksimālo atbalsta intensitāti.</w:t>
      </w:r>
    </w:p>
    <w:p w:rsidR="00EC3165" w:rsidRPr="00D5202A" w:rsidP="00450BE0" w14:paraId="36EB4270" w14:textId="4FF2B91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Atbalstu, kas sniegts šo noteikumu ietvaros, var apvienot ar atbalstu, kas sniegts saskaņā ar Komisijas </w:t>
      </w:r>
      <w:bookmarkStart w:id="95" w:name="_GoBack"/>
      <w:r w:rsidRPr="00D5202A">
        <w:rPr>
          <w:rFonts w:ascii="Times New Roman" w:eastAsia="Times New Roman" w:hAnsi="Times New Roman" w:cs="Times New Roman"/>
          <w:sz w:val="24"/>
          <w:szCs w:val="24"/>
          <w:lang w:eastAsia="lv-LV"/>
        </w:rPr>
        <w:t>reg</w:t>
      </w:r>
      <w:bookmarkEnd w:id="95"/>
      <w:r w:rsidRPr="00D5202A">
        <w:rPr>
          <w:rFonts w:ascii="Times New Roman" w:eastAsia="Times New Roman" w:hAnsi="Times New Roman" w:cs="Times New Roman"/>
          <w:sz w:val="24"/>
          <w:szCs w:val="24"/>
          <w:lang w:eastAsia="lv-LV"/>
        </w:rPr>
        <w:t>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21. pantu un kura izmaksas nav nosakāmas, ar nosacījumu, ka netiek pārsniegta šajos noteikumos noteiktā maksimālā atbalsta summa un intensitāte.</w:t>
      </w:r>
    </w:p>
    <w:p w:rsidR="00EC3165" w:rsidRPr="00D5202A" w:rsidP="00450BE0" w14:paraId="2DB4C842" w14:textId="4B4AD9F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un sadarbības iestāde nodrošina informācijas pieejamību 10 gadus, skaitot no atbalsta piešķiršanas dienas, atbilstoši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12. pantam un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6. panta 4. punktam.</w:t>
      </w:r>
    </w:p>
    <w:p w:rsidR="00EC3165" w:rsidRPr="00D5202A" w:rsidP="00450BE0" w14:paraId="11991B53" w14:textId="1B5395F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 nodrošina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9. panta 1. un 4. punktā noteiktos publicitātes pasākumus.</w:t>
      </w:r>
    </w:p>
    <w:p w:rsidR="00EC3165" w:rsidRPr="00BD2E21" w:rsidP="00BD2E21" w14:paraId="70AC4951" w14:textId="652572F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projekta īstenošanas laikā rodas neattiecināmie izdevumi vai sadārdzinās izmaksas, finansējuma saņēmējs apņemas tās segt no paša rīcībā esošajiem līdzekļiem, kas nav saistīti ar publisku atbalstu.</w:t>
      </w:r>
    </w:p>
    <w:p w:rsidR="004918BF" w:rsidRPr="00D5202A" w:rsidP="002C2773" w14:paraId="385453D2" w14:textId="0A8F08A5">
      <w:pPr>
        <w:shd w:val="clear" w:color="auto" w:fill="FFFFFF"/>
        <w:spacing w:after="0" w:line="293" w:lineRule="atLeast"/>
        <w:ind w:firstLine="284"/>
        <w:jc w:val="both"/>
        <w:rPr>
          <w:rFonts w:ascii="Times New Roman" w:eastAsia="Times New Roman" w:hAnsi="Times New Roman" w:cs="Times New Roman"/>
          <w:sz w:val="24"/>
          <w:szCs w:val="24"/>
          <w:lang w:eastAsia="lv-LV"/>
        </w:rPr>
      </w:pPr>
    </w:p>
    <w:p w:rsidR="00957578" w:rsidRPr="00D5202A" w:rsidP="00BD2E21" w14:paraId="1A0FB6FD" w14:textId="2584DE5C">
      <w:pPr>
        <w:shd w:val="clear" w:color="auto" w:fill="FFFFFF"/>
        <w:spacing w:after="0" w:line="293" w:lineRule="atLeast"/>
        <w:jc w:val="both"/>
        <w:rPr>
          <w:rFonts w:ascii="Times New Roman" w:eastAsia="Times New Roman" w:hAnsi="Times New Roman" w:cs="Times New Roman"/>
          <w:sz w:val="24"/>
          <w:szCs w:val="24"/>
          <w:lang w:eastAsia="lv-LV"/>
        </w:rPr>
      </w:pPr>
      <w:bookmarkStart w:id="96" w:name="p43"/>
      <w:bookmarkStart w:id="97" w:name="p-587359"/>
      <w:bookmarkStart w:id="98" w:name="p44"/>
      <w:bookmarkStart w:id="99" w:name="p-587360"/>
      <w:bookmarkStart w:id="100" w:name="p45"/>
      <w:bookmarkStart w:id="101" w:name="p-587361"/>
      <w:bookmarkStart w:id="102" w:name="p46"/>
      <w:bookmarkStart w:id="103" w:name="p-587362"/>
      <w:bookmarkStart w:id="104" w:name="p47"/>
      <w:bookmarkStart w:id="105" w:name="p-587363"/>
      <w:bookmarkStart w:id="106" w:name="p48"/>
      <w:bookmarkStart w:id="107" w:name="p-587365"/>
      <w:bookmarkStart w:id="108" w:name="p49"/>
      <w:bookmarkStart w:id="109" w:name="p-587366"/>
      <w:bookmarkStart w:id="110" w:name="p50"/>
      <w:bookmarkStart w:id="111" w:name="p-587367"/>
      <w:bookmarkStart w:id="112" w:name="p51"/>
      <w:bookmarkStart w:id="113" w:name="p-587368"/>
      <w:bookmarkStart w:id="114" w:name="p52"/>
      <w:bookmarkStart w:id="115" w:name="p-587369"/>
      <w:bookmarkStart w:id="116" w:name="p53"/>
      <w:bookmarkStart w:id="117" w:name="p-58737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22446" w:rsidRPr="00D5202A" w:rsidP="00957578" w14:paraId="022F5723" w14:textId="77777777">
      <w:pPr>
        <w:shd w:val="clear" w:color="auto" w:fill="FFFFFF"/>
        <w:spacing w:after="0" w:line="240" w:lineRule="auto"/>
        <w:jc w:val="right"/>
        <w:rPr>
          <w:rFonts w:ascii="Times New Roman" w:eastAsia="Times New Roman" w:hAnsi="Times New Roman" w:cs="Times New Roman"/>
          <w:sz w:val="24"/>
          <w:szCs w:val="24"/>
          <w:lang w:eastAsia="lv-LV"/>
        </w:rPr>
      </w:pPr>
    </w:p>
    <w:p w:rsidR="003E6BA9" w:rsidRPr="004B64C2" w:rsidP="003E6BA9" w14:paraId="5ABDD9D3" w14:textId="77777777">
      <w:pPr>
        <w:widowControl w:val="0"/>
        <w:tabs>
          <w:tab w:val="right" w:pos="9184"/>
        </w:tabs>
        <w:spacing w:after="0" w:line="240" w:lineRule="auto"/>
        <w:jc w:val="both"/>
        <w:rPr>
          <w:rFonts w:ascii="Times New Roman" w:hAnsi="Times New Roman"/>
          <w:sz w:val="24"/>
          <w:szCs w:val="24"/>
        </w:rPr>
      </w:pPr>
      <w:bookmarkStart w:id="118" w:name="piel0"/>
      <w:bookmarkStart w:id="119" w:name="piel-587372"/>
      <w:bookmarkStart w:id="120" w:name="587374"/>
      <w:bookmarkStart w:id="121" w:name="n-587374"/>
      <w:bookmarkStart w:id="122" w:name="piel-590703"/>
      <w:bookmarkStart w:id="123" w:name="590704"/>
      <w:bookmarkStart w:id="124" w:name="n-590704"/>
      <w:bookmarkEnd w:id="118"/>
      <w:bookmarkEnd w:id="119"/>
      <w:bookmarkEnd w:id="120"/>
      <w:bookmarkEnd w:id="121"/>
      <w:bookmarkEnd w:id="122"/>
      <w:bookmarkEnd w:id="123"/>
      <w:bookmarkEnd w:id="124"/>
    </w:p>
    <w:p w:rsidR="003E6BA9" w:rsidRPr="004B64C2" w:rsidP="003E6BA9" w14:paraId="405A471F" w14:textId="77777777">
      <w:pPr>
        <w:widowControl w:val="0"/>
        <w:tabs>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prezidents</w:t>
      </w:r>
      <w:r w:rsidRPr="004B64C2">
        <w:rPr>
          <w:rFonts w:ascii="Times New Roman" w:hAnsi="Times New Roman"/>
          <w:b/>
          <w:sz w:val="24"/>
          <w:szCs w:val="24"/>
        </w:rPr>
        <w:tab/>
        <w:t>M.Kučinskis</w:t>
      </w:r>
    </w:p>
    <w:p w:rsidR="003E6BA9" w:rsidRPr="004B64C2" w:rsidP="003E6BA9" w14:paraId="62675770" w14:textId="77777777">
      <w:pPr>
        <w:widowControl w:val="0"/>
        <w:tabs>
          <w:tab w:val="right" w:pos="9071"/>
        </w:tabs>
        <w:spacing w:after="0" w:line="240" w:lineRule="auto"/>
        <w:jc w:val="both"/>
        <w:rPr>
          <w:rFonts w:ascii="Times New Roman" w:hAnsi="Times New Roman"/>
          <w:b/>
          <w:sz w:val="24"/>
          <w:szCs w:val="24"/>
        </w:rPr>
      </w:pPr>
    </w:p>
    <w:p w:rsidR="003E6BA9" w:rsidRPr="004B64C2" w:rsidP="003E6BA9" w14:paraId="31924219" w14:textId="77777777">
      <w:pPr>
        <w:widowControl w:val="0"/>
        <w:tabs>
          <w:tab w:val="right" w:pos="9071"/>
        </w:tabs>
        <w:spacing w:after="0" w:line="240" w:lineRule="auto"/>
        <w:jc w:val="both"/>
        <w:rPr>
          <w:rFonts w:ascii="Times New Roman" w:hAnsi="Times New Roman"/>
          <w:b/>
          <w:sz w:val="24"/>
          <w:szCs w:val="24"/>
        </w:rPr>
      </w:pPr>
    </w:p>
    <w:p w:rsidR="003E6BA9" w:rsidRPr="004B64C2" w:rsidP="003E6BA9" w14:paraId="52FE8DD3" w14:textId="77777777">
      <w:pPr>
        <w:widowControl w:val="0"/>
        <w:tabs>
          <w:tab w:val="right" w:pos="9071"/>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prezidenta biedrs,</w:t>
      </w:r>
    </w:p>
    <w:p w:rsidR="003E6BA9" w:rsidRPr="004B64C2" w:rsidP="003E6BA9" w14:paraId="0A93C234" w14:textId="77777777">
      <w:pPr>
        <w:widowControl w:val="0"/>
        <w:tabs>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ekonomikas ministrs</w:t>
      </w:r>
      <w:r w:rsidRPr="004B64C2">
        <w:rPr>
          <w:rFonts w:ascii="Times New Roman" w:hAnsi="Times New Roman"/>
          <w:b/>
          <w:sz w:val="24"/>
          <w:szCs w:val="24"/>
        </w:rPr>
        <w:tab/>
        <w:t>A.Ašeradens</w:t>
      </w:r>
    </w:p>
    <w:p w:rsidR="003E6BA9" w:rsidRPr="004B64C2" w:rsidP="003E6BA9" w14:paraId="618E039B" w14:textId="77777777">
      <w:pPr>
        <w:widowControl w:val="0"/>
        <w:spacing w:after="0" w:line="240" w:lineRule="auto"/>
        <w:jc w:val="both"/>
        <w:rPr>
          <w:rFonts w:ascii="Times New Roman" w:hAnsi="Times New Roman"/>
          <w:b/>
          <w:sz w:val="24"/>
          <w:szCs w:val="24"/>
        </w:rPr>
      </w:pPr>
    </w:p>
    <w:p w:rsidR="003E6BA9" w:rsidRPr="004B64C2" w:rsidP="003E6BA9" w14:paraId="202D2C6C" w14:textId="77777777">
      <w:pPr>
        <w:widowControl w:val="0"/>
        <w:spacing w:after="0" w:line="240" w:lineRule="auto"/>
        <w:jc w:val="both"/>
        <w:rPr>
          <w:rFonts w:ascii="Times New Roman" w:hAnsi="Times New Roman"/>
          <w:b/>
          <w:sz w:val="24"/>
          <w:szCs w:val="24"/>
        </w:rPr>
      </w:pPr>
    </w:p>
    <w:p w:rsidR="003E6BA9" w:rsidRPr="004B64C2" w:rsidP="003E6BA9" w14:paraId="000E0048" w14:textId="77777777">
      <w:pPr>
        <w:widowControl w:val="0"/>
        <w:spacing w:after="0" w:line="240" w:lineRule="auto"/>
        <w:jc w:val="both"/>
        <w:rPr>
          <w:rFonts w:ascii="Times New Roman" w:hAnsi="Times New Roman"/>
          <w:b/>
          <w:sz w:val="24"/>
          <w:szCs w:val="24"/>
        </w:rPr>
      </w:pPr>
      <w:r w:rsidRPr="004B64C2">
        <w:rPr>
          <w:rFonts w:ascii="Times New Roman" w:hAnsi="Times New Roman"/>
          <w:b/>
          <w:sz w:val="24"/>
          <w:szCs w:val="24"/>
        </w:rPr>
        <w:t>Iesniedzējs:</w:t>
      </w:r>
    </w:p>
    <w:p w:rsidR="003E6BA9" w:rsidRPr="004B64C2" w:rsidP="003E6BA9" w14:paraId="342D83DA" w14:textId="77777777">
      <w:pPr>
        <w:widowControl w:val="0"/>
        <w:tabs>
          <w:tab w:val="right" w:pos="8931"/>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prezidenta biedrs,</w:t>
      </w:r>
    </w:p>
    <w:p w:rsidR="003E6BA9" w:rsidRPr="004B64C2" w:rsidP="003E6BA9" w14:paraId="512816CA" w14:textId="77777777">
      <w:pPr>
        <w:widowControl w:val="0"/>
        <w:tabs>
          <w:tab w:val="left" w:pos="4365"/>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ekonomikas ministrs</w:t>
      </w:r>
      <w:r w:rsidRPr="004B64C2">
        <w:rPr>
          <w:rFonts w:ascii="Times New Roman" w:hAnsi="Times New Roman"/>
          <w:b/>
          <w:sz w:val="24"/>
          <w:szCs w:val="24"/>
        </w:rPr>
        <w:tab/>
      </w:r>
      <w:r w:rsidRPr="004B64C2">
        <w:rPr>
          <w:rFonts w:ascii="Times New Roman" w:hAnsi="Times New Roman"/>
          <w:b/>
          <w:sz w:val="24"/>
          <w:szCs w:val="24"/>
        </w:rPr>
        <w:tab/>
        <w:t>A.Ašeradens</w:t>
      </w:r>
    </w:p>
    <w:p w:rsidR="003E6BA9" w:rsidRPr="004B64C2" w:rsidP="003E6BA9" w14:paraId="09FF2DA2" w14:textId="77777777">
      <w:pPr>
        <w:widowControl w:val="0"/>
        <w:tabs>
          <w:tab w:val="right" w:pos="9071"/>
        </w:tabs>
        <w:spacing w:after="0" w:line="240" w:lineRule="auto"/>
        <w:jc w:val="both"/>
        <w:rPr>
          <w:rFonts w:ascii="Times New Roman" w:hAnsi="Times New Roman"/>
          <w:b/>
          <w:sz w:val="24"/>
          <w:szCs w:val="24"/>
        </w:rPr>
      </w:pPr>
    </w:p>
    <w:p w:rsidR="003E6BA9" w:rsidRPr="004B64C2" w:rsidP="003E6BA9" w14:paraId="1D86690F" w14:textId="77777777">
      <w:pPr>
        <w:widowControl w:val="0"/>
        <w:tabs>
          <w:tab w:val="right" w:pos="9071"/>
        </w:tabs>
        <w:spacing w:after="0" w:line="240" w:lineRule="auto"/>
        <w:jc w:val="both"/>
        <w:rPr>
          <w:rFonts w:ascii="Times New Roman" w:hAnsi="Times New Roman"/>
          <w:b/>
          <w:sz w:val="24"/>
          <w:szCs w:val="24"/>
        </w:rPr>
      </w:pPr>
    </w:p>
    <w:p w:rsidR="003E6BA9" w:rsidRPr="004B64C2" w:rsidP="003E6BA9" w14:paraId="487929AF" w14:textId="77777777">
      <w:pPr>
        <w:widowControl w:val="0"/>
        <w:tabs>
          <w:tab w:val="right" w:pos="9071"/>
        </w:tabs>
        <w:spacing w:after="0" w:line="240" w:lineRule="auto"/>
        <w:jc w:val="both"/>
        <w:rPr>
          <w:rFonts w:ascii="Times New Roman" w:hAnsi="Times New Roman"/>
          <w:b/>
          <w:sz w:val="24"/>
          <w:szCs w:val="24"/>
        </w:rPr>
      </w:pPr>
      <w:r w:rsidRPr="004B64C2">
        <w:rPr>
          <w:rFonts w:ascii="Times New Roman" w:hAnsi="Times New Roman"/>
          <w:b/>
          <w:sz w:val="24"/>
          <w:szCs w:val="24"/>
        </w:rPr>
        <w:t>Vīza: Valsts sekretārs</w:t>
      </w:r>
      <w:r w:rsidRPr="004B64C2">
        <w:rPr>
          <w:rFonts w:ascii="Times New Roman" w:hAnsi="Times New Roman"/>
          <w:b/>
          <w:sz w:val="24"/>
          <w:szCs w:val="24"/>
        </w:rPr>
        <w:tab/>
        <w:t>J.Stinka</w:t>
      </w:r>
    </w:p>
    <w:p w:rsidR="00992204" w:rsidRPr="002C2773" w:rsidP="00BD2E21" w14:paraId="26DC7CD0" w14:textId="77777777">
      <w:pPr>
        <w:shd w:val="clear" w:color="auto" w:fill="FFFFFF"/>
        <w:spacing w:after="0" w:line="240" w:lineRule="auto"/>
        <w:jc w:val="right"/>
        <w:rPr>
          <w:rFonts w:ascii="Times New Roman" w:hAnsi="Times New Roman" w:cs="Times New Roman"/>
          <w:sz w:val="24"/>
          <w:szCs w:val="24"/>
        </w:rPr>
      </w:pPr>
    </w:p>
    <w:sectPr>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BA9" w:rsidRPr="003E6BA9" w:rsidP="003E6BA9" w14:paraId="2868012E" w14:textId="77777777">
    <w:pPr>
      <w:spacing w:after="0" w:line="240" w:lineRule="auto"/>
      <w:rPr>
        <w:rFonts w:ascii="Times New Roman" w:eastAsia="Times New Roman" w:hAnsi="Times New Roman" w:cs="Times New Roman"/>
        <w:sz w:val="20"/>
        <w:lang w:eastAsia="lv-LV"/>
      </w:rPr>
    </w:pPr>
    <w:r w:rsidRPr="003E6BA9">
      <w:rPr>
        <w:rFonts w:ascii="Times New Roman" w:eastAsia="Times New Roman" w:hAnsi="Times New Roman" w:cs="Times New Roman"/>
        <w:sz w:val="20"/>
        <w:lang w:eastAsia="lv-LV"/>
      </w:rPr>
      <w:t>EMNOT_07022018</w:t>
    </w:r>
  </w:p>
  <w:p w:rsidR="003E6BA9" w14:paraId="06A9F348" w14:textId="22D6E04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D578B6"/>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2" w15:restartNumberingAfterBreak="1">
    <w:nsid w:val="0F5E488B"/>
    <w:multiLevelType w:val="multilevel"/>
    <w:tmpl w:val="D60036C0"/>
    <w:lvl w:ilvl="0">
      <w:start w:val="16"/>
      <w:numFmt w:val="decimal"/>
      <w:lvlText w:val="%1."/>
      <w:lvlJc w:val="left"/>
      <w:pPr>
        <w:ind w:left="435" w:hanging="435"/>
      </w:pPr>
      <w:rPr>
        <w:rFonts w:hint="default"/>
      </w:rPr>
    </w:lvl>
    <w:lvl w:ilvl="1">
      <w:start w:val="2"/>
      <w:numFmt w:val="decimal"/>
      <w:lvlText w:val="%1.%2."/>
      <w:lvlJc w:val="left"/>
      <w:pPr>
        <w:ind w:left="1667" w:hanging="435"/>
      </w:pPr>
      <w:rPr>
        <w:rFonts w:hint="default"/>
      </w:rPr>
    </w:lvl>
    <w:lvl w:ilvl="2">
      <w:start w:val="1"/>
      <w:numFmt w:val="decimal"/>
      <w:lvlText w:val="%1.%2.%3."/>
      <w:lvlJc w:val="left"/>
      <w:pPr>
        <w:ind w:left="3184" w:hanging="720"/>
      </w:pPr>
      <w:rPr>
        <w:rFonts w:hint="default"/>
      </w:rPr>
    </w:lvl>
    <w:lvl w:ilvl="3">
      <w:start w:val="1"/>
      <w:numFmt w:val="decimal"/>
      <w:lvlText w:val="%1.%2.%3.%4."/>
      <w:lvlJc w:val="left"/>
      <w:pPr>
        <w:ind w:left="4416" w:hanging="72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240" w:hanging="1080"/>
      </w:pPr>
      <w:rPr>
        <w:rFonts w:hint="default"/>
      </w:rPr>
    </w:lvl>
    <w:lvl w:ilvl="6">
      <w:start w:val="1"/>
      <w:numFmt w:val="decimal"/>
      <w:lvlText w:val="%1.%2.%3.%4.%5.%6.%7."/>
      <w:lvlJc w:val="left"/>
      <w:pPr>
        <w:ind w:left="8832" w:hanging="1440"/>
      </w:pPr>
      <w:rPr>
        <w:rFonts w:hint="default"/>
      </w:rPr>
    </w:lvl>
    <w:lvl w:ilvl="7">
      <w:start w:val="1"/>
      <w:numFmt w:val="decimal"/>
      <w:lvlText w:val="%1.%2.%3.%4.%5.%6.%7.%8."/>
      <w:lvlJc w:val="left"/>
      <w:pPr>
        <w:ind w:left="10064" w:hanging="1440"/>
      </w:pPr>
      <w:rPr>
        <w:rFonts w:hint="default"/>
      </w:rPr>
    </w:lvl>
    <w:lvl w:ilvl="8">
      <w:start w:val="1"/>
      <w:numFmt w:val="decimal"/>
      <w:lvlText w:val="%1.%2.%3.%4.%5.%6.%7.%8.%9."/>
      <w:lvlJc w:val="left"/>
      <w:pPr>
        <w:ind w:left="11656" w:hanging="1800"/>
      </w:pPr>
      <w:rPr>
        <w:rFonts w:hint="default"/>
      </w:rPr>
    </w:lvl>
  </w:abstractNum>
  <w:abstractNum w:abstractNumId="3" w15:restartNumberingAfterBreak="1">
    <w:nsid w:val="11145340"/>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4" w15:restartNumberingAfterBreak="1">
    <w:nsid w:val="13C175A0"/>
    <w:multiLevelType w:val="hybridMultilevel"/>
    <w:tmpl w:val="BB985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8E12852"/>
    <w:multiLevelType w:val="hybridMultilevel"/>
    <w:tmpl w:val="15C0B89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15:restartNumberingAfterBreak="1">
    <w:nsid w:val="2C3C31FA"/>
    <w:multiLevelType w:val="hybridMultilevel"/>
    <w:tmpl w:val="DF30E64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1">
    <w:nsid w:val="333E087E"/>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8" w15:restartNumberingAfterBreak="1">
    <w:nsid w:val="3AE05506"/>
    <w:multiLevelType w:val="hybridMultilevel"/>
    <w:tmpl w:val="09CC2D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1">
    <w:nsid w:val="3AF039DA"/>
    <w:multiLevelType w:val="hybridMultilevel"/>
    <w:tmpl w:val="5302E168"/>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1">
    <w:nsid w:val="46EA5039"/>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1" w15:restartNumberingAfterBreak="1">
    <w:nsid w:val="4C187442"/>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2" w15:restartNumberingAfterBreak="1">
    <w:nsid w:val="541206CF"/>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3" w15:restartNumberingAfterBreak="1">
    <w:nsid w:val="588F313A"/>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4" w15:restartNumberingAfterBreak="1">
    <w:nsid w:val="618F6E86"/>
    <w:multiLevelType w:val="hybridMultilevel"/>
    <w:tmpl w:val="97B0B7D0"/>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15:restartNumberingAfterBreak="1">
    <w:nsid w:val="627F7ED5"/>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6" w15:restartNumberingAfterBreak="1">
    <w:nsid w:val="63481669"/>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7" w15:restartNumberingAfterBreak="1">
    <w:nsid w:val="6C8744FD"/>
    <w:multiLevelType w:val="multilevel"/>
    <w:tmpl w:val="D60036C0"/>
    <w:lvl w:ilvl="0">
      <w:start w:val="16"/>
      <w:numFmt w:val="decimal"/>
      <w:lvlText w:val="%1."/>
      <w:lvlJc w:val="left"/>
      <w:pPr>
        <w:ind w:left="435" w:hanging="435"/>
      </w:pPr>
      <w:rPr>
        <w:rFonts w:hint="default"/>
      </w:rPr>
    </w:lvl>
    <w:lvl w:ilvl="1">
      <w:start w:val="2"/>
      <w:numFmt w:val="decimal"/>
      <w:lvlText w:val="%1.%2."/>
      <w:lvlJc w:val="left"/>
      <w:pPr>
        <w:ind w:left="1667" w:hanging="435"/>
      </w:pPr>
      <w:rPr>
        <w:rFonts w:hint="default"/>
      </w:rPr>
    </w:lvl>
    <w:lvl w:ilvl="2">
      <w:start w:val="1"/>
      <w:numFmt w:val="decimal"/>
      <w:lvlText w:val="%1.%2.%3."/>
      <w:lvlJc w:val="left"/>
      <w:pPr>
        <w:ind w:left="3184" w:hanging="720"/>
      </w:pPr>
      <w:rPr>
        <w:rFonts w:hint="default"/>
      </w:rPr>
    </w:lvl>
    <w:lvl w:ilvl="3">
      <w:start w:val="1"/>
      <w:numFmt w:val="decimal"/>
      <w:lvlText w:val="%1.%2.%3.%4."/>
      <w:lvlJc w:val="left"/>
      <w:pPr>
        <w:ind w:left="4416" w:hanging="72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240" w:hanging="1080"/>
      </w:pPr>
      <w:rPr>
        <w:rFonts w:hint="default"/>
      </w:rPr>
    </w:lvl>
    <w:lvl w:ilvl="6">
      <w:start w:val="1"/>
      <w:numFmt w:val="decimal"/>
      <w:lvlText w:val="%1.%2.%3.%4.%5.%6.%7."/>
      <w:lvlJc w:val="left"/>
      <w:pPr>
        <w:ind w:left="8832" w:hanging="1440"/>
      </w:pPr>
      <w:rPr>
        <w:rFonts w:hint="default"/>
      </w:rPr>
    </w:lvl>
    <w:lvl w:ilvl="7">
      <w:start w:val="1"/>
      <w:numFmt w:val="decimal"/>
      <w:lvlText w:val="%1.%2.%3.%4.%5.%6.%7.%8."/>
      <w:lvlJc w:val="left"/>
      <w:pPr>
        <w:ind w:left="10064" w:hanging="1440"/>
      </w:pPr>
      <w:rPr>
        <w:rFonts w:hint="default"/>
      </w:rPr>
    </w:lvl>
    <w:lvl w:ilvl="8">
      <w:start w:val="1"/>
      <w:numFmt w:val="decimal"/>
      <w:lvlText w:val="%1.%2.%3.%4.%5.%6.%7.%8.%9."/>
      <w:lvlJc w:val="left"/>
      <w:pPr>
        <w:ind w:left="11656" w:hanging="1800"/>
      </w:pPr>
      <w:rPr>
        <w:rFonts w:hint="default"/>
      </w:rPr>
    </w:lvl>
  </w:abstractNum>
  <w:abstractNum w:abstractNumId="18" w15:restartNumberingAfterBreak="1">
    <w:nsid w:val="6D2C06D4"/>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num w:numId="1">
    <w:abstractNumId w:val="14"/>
  </w:num>
  <w:num w:numId="2">
    <w:abstractNumId w:val="1"/>
  </w:num>
  <w:num w:numId="3">
    <w:abstractNumId w:val="12"/>
  </w:num>
  <w:num w:numId="4">
    <w:abstractNumId w:val="10"/>
  </w:num>
  <w:num w:numId="5">
    <w:abstractNumId w:val="0"/>
  </w:num>
  <w:num w:numId="6">
    <w:abstractNumId w:val="8"/>
  </w:num>
  <w:num w:numId="7">
    <w:abstractNumId w:val="7"/>
  </w:num>
  <w:num w:numId="8">
    <w:abstractNumId w:val="18"/>
  </w:num>
  <w:num w:numId="9">
    <w:abstractNumId w:val="6"/>
  </w:num>
  <w:num w:numId="10">
    <w:abstractNumId w:val="9"/>
  </w:num>
  <w:num w:numId="11">
    <w:abstractNumId w:val="16"/>
  </w:num>
  <w:num w:numId="12">
    <w:abstractNumId w:val="3"/>
  </w:num>
  <w:num w:numId="13">
    <w:abstractNumId w:val="17"/>
  </w:num>
  <w:num w:numId="14">
    <w:abstractNumId w:val="2"/>
  </w:num>
  <w:num w:numId="15">
    <w:abstractNumId w:val="4"/>
  </w:num>
  <w:num w:numId="16">
    <w:abstractNumId w:val="5"/>
  </w:num>
  <w:num w:numId="17">
    <w:abstractNumId w:val="13"/>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78"/>
    <w:rsid w:val="00020CA7"/>
    <w:rsid w:val="0005143F"/>
    <w:rsid w:val="000D2D4E"/>
    <w:rsid w:val="000E16F8"/>
    <w:rsid w:val="000E1BC9"/>
    <w:rsid w:val="000E6BD8"/>
    <w:rsid w:val="000F4506"/>
    <w:rsid w:val="001156E7"/>
    <w:rsid w:val="00123615"/>
    <w:rsid w:val="001404B1"/>
    <w:rsid w:val="00192DF7"/>
    <w:rsid w:val="0019536F"/>
    <w:rsid w:val="0019635D"/>
    <w:rsid w:val="001B2644"/>
    <w:rsid w:val="001C20EB"/>
    <w:rsid w:val="001D1584"/>
    <w:rsid w:val="001E2000"/>
    <w:rsid w:val="001F1E49"/>
    <w:rsid w:val="001F35D9"/>
    <w:rsid w:val="00247990"/>
    <w:rsid w:val="00256B37"/>
    <w:rsid w:val="0028086C"/>
    <w:rsid w:val="00280CA0"/>
    <w:rsid w:val="00287497"/>
    <w:rsid w:val="002B008A"/>
    <w:rsid w:val="002C2773"/>
    <w:rsid w:val="002C5AC0"/>
    <w:rsid w:val="002F7B86"/>
    <w:rsid w:val="00320842"/>
    <w:rsid w:val="00322446"/>
    <w:rsid w:val="00324418"/>
    <w:rsid w:val="00332921"/>
    <w:rsid w:val="00335190"/>
    <w:rsid w:val="003436D2"/>
    <w:rsid w:val="003764EC"/>
    <w:rsid w:val="00381DA6"/>
    <w:rsid w:val="003C1DE1"/>
    <w:rsid w:val="003E6BA9"/>
    <w:rsid w:val="00416855"/>
    <w:rsid w:val="00431218"/>
    <w:rsid w:val="00431CEB"/>
    <w:rsid w:val="004439D9"/>
    <w:rsid w:val="0045094E"/>
    <w:rsid w:val="00450BE0"/>
    <w:rsid w:val="00463034"/>
    <w:rsid w:val="00481B2A"/>
    <w:rsid w:val="004918BF"/>
    <w:rsid w:val="004B64C2"/>
    <w:rsid w:val="004D2435"/>
    <w:rsid w:val="004D784D"/>
    <w:rsid w:val="004E6E65"/>
    <w:rsid w:val="004F41F6"/>
    <w:rsid w:val="0050466D"/>
    <w:rsid w:val="0050621B"/>
    <w:rsid w:val="00514C43"/>
    <w:rsid w:val="0051548C"/>
    <w:rsid w:val="00546005"/>
    <w:rsid w:val="00580568"/>
    <w:rsid w:val="00584871"/>
    <w:rsid w:val="005C6AB1"/>
    <w:rsid w:val="005D00F5"/>
    <w:rsid w:val="005D03DC"/>
    <w:rsid w:val="005E64F4"/>
    <w:rsid w:val="00622726"/>
    <w:rsid w:val="00675FBC"/>
    <w:rsid w:val="00683A9F"/>
    <w:rsid w:val="006C5427"/>
    <w:rsid w:val="006C7399"/>
    <w:rsid w:val="006D1C51"/>
    <w:rsid w:val="006D2CEE"/>
    <w:rsid w:val="006E0519"/>
    <w:rsid w:val="006F38D8"/>
    <w:rsid w:val="007120AE"/>
    <w:rsid w:val="007126D5"/>
    <w:rsid w:val="00742B2E"/>
    <w:rsid w:val="00744F7D"/>
    <w:rsid w:val="0074562A"/>
    <w:rsid w:val="00762A3D"/>
    <w:rsid w:val="0077604B"/>
    <w:rsid w:val="00780201"/>
    <w:rsid w:val="00796570"/>
    <w:rsid w:val="007A3079"/>
    <w:rsid w:val="007B3B88"/>
    <w:rsid w:val="00825C94"/>
    <w:rsid w:val="00831E76"/>
    <w:rsid w:val="008328E9"/>
    <w:rsid w:val="00842624"/>
    <w:rsid w:val="00846609"/>
    <w:rsid w:val="00874EFE"/>
    <w:rsid w:val="008A4B70"/>
    <w:rsid w:val="0091432D"/>
    <w:rsid w:val="00921193"/>
    <w:rsid w:val="0092444E"/>
    <w:rsid w:val="009244EF"/>
    <w:rsid w:val="00931C84"/>
    <w:rsid w:val="00950748"/>
    <w:rsid w:val="00957578"/>
    <w:rsid w:val="00970027"/>
    <w:rsid w:val="009747B0"/>
    <w:rsid w:val="0098242B"/>
    <w:rsid w:val="00992204"/>
    <w:rsid w:val="009A77C0"/>
    <w:rsid w:val="009A7D18"/>
    <w:rsid w:val="009F23AE"/>
    <w:rsid w:val="00A0528E"/>
    <w:rsid w:val="00A143B1"/>
    <w:rsid w:val="00A14852"/>
    <w:rsid w:val="00A24EA0"/>
    <w:rsid w:val="00A269E1"/>
    <w:rsid w:val="00A32E4F"/>
    <w:rsid w:val="00A33891"/>
    <w:rsid w:val="00A4088E"/>
    <w:rsid w:val="00A873B1"/>
    <w:rsid w:val="00AE5743"/>
    <w:rsid w:val="00B423EA"/>
    <w:rsid w:val="00B44FA2"/>
    <w:rsid w:val="00B61016"/>
    <w:rsid w:val="00B659F7"/>
    <w:rsid w:val="00BD2E21"/>
    <w:rsid w:val="00BE7EF7"/>
    <w:rsid w:val="00C25982"/>
    <w:rsid w:val="00C466B4"/>
    <w:rsid w:val="00C634AF"/>
    <w:rsid w:val="00C67B32"/>
    <w:rsid w:val="00C81413"/>
    <w:rsid w:val="00CA0648"/>
    <w:rsid w:val="00CC6D95"/>
    <w:rsid w:val="00CD240B"/>
    <w:rsid w:val="00CF5E4C"/>
    <w:rsid w:val="00D00243"/>
    <w:rsid w:val="00D0735E"/>
    <w:rsid w:val="00D34486"/>
    <w:rsid w:val="00D5202A"/>
    <w:rsid w:val="00D61A71"/>
    <w:rsid w:val="00D635F4"/>
    <w:rsid w:val="00D67145"/>
    <w:rsid w:val="00D824EA"/>
    <w:rsid w:val="00D84D42"/>
    <w:rsid w:val="00DA74E2"/>
    <w:rsid w:val="00DB469F"/>
    <w:rsid w:val="00DB6533"/>
    <w:rsid w:val="00DB7BC4"/>
    <w:rsid w:val="00DC7850"/>
    <w:rsid w:val="00DD04CA"/>
    <w:rsid w:val="00DD2D01"/>
    <w:rsid w:val="00DE5A52"/>
    <w:rsid w:val="00DE64D8"/>
    <w:rsid w:val="00DE6890"/>
    <w:rsid w:val="00E24968"/>
    <w:rsid w:val="00E57517"/>
    <w:rsid w:val="00E63C69"/>
    <w:rsid w:val="00E83665"/>
    <w:rsid w:val="00EA19D1"/>
    <w:rsid w:val="00EC024A"/>
    <w:rsid w:val="00EC3165"/>
    <w:rsid w:val="00EC33C3"/>
    <w:rsid w:val="00EE7748"/>
    <w:rsid w:val="00F07520"/>
    <w:rsid w:val="00F1296F"/>
    <w:rsid w:val="00F34CB5"/>
    <w:rsid w:val="00F573DE"/>
    <w:rsid w:val="00F608D6"/>
    <w:rsid w:val="00F731E3"/>
    <w:rsid w:val="00F775F5"/>
    <w:rsid w:val="00FB2C5E"/>
    <w:rsid w:val="00FD212A"/>
    <w:rsid w:val="00FE40C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E47FEA89-3118-4498-8CA7-94D419F5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78"/>
    <w:rPr>
      <w:color w:val="0000FF"/>
      <w:u w:val="single"/>
    </w:rPr>
  </w:style>
  <w:style w:type="paragraph" w:customStyle="1" w:styleId="tv213">
    <w:name w:val="tv213"/>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55"/>
    <w:rPr>
      <w:rFonts w:ascii="Segoe UI" w:hAnsi="Segoe UI" w:cs="Segoe UI"/>
      <w:sz w:val="18"/>
      <w:szCs w:val="18"/>
    </w:rPr>
  </w:style>
  <w:style w:type="character" w:styleId="CommentReference">
    <w:name w:val="annotation reference"/>
    <w:basedOn w:val="DefaultParagraphFont"/>
    <w:uiPriority w:val="99"/>
    <w:semiHidden/>
    <w:unhideWhenUsed/>
    <w:rsid w:val="000D2D4E"/>
    <w:rPr>
      <w:sz w:val="16"/>
      <w:szCs w:val="16"/>
    </w:rPr>
  </w:style>
  <w:style w:type="paragraph" w:styleId="CommentText">
    <w:name w:val="annotation text"/>
    <w:basedOn w:val="Normal"/>
    <w:link w:val="CommentTextChar"/>
    <w:uiPriority w:val="99"/>
    <w:semiHidden/>
    <w:unhideWhenUsed/>
    <w:rsid w:val="000D2D4E"/>
    <w:pPr>
      <w:spacing w:line="240" w:lineRule="auto"/>
    </w:pPr>
    <w:rPr>
      <w:sz w:val="20"/>
      <w:szCs w:val="20"/>
    </w:rPr>
  </w:style>
  <w:style w:type="character" w:customStyle="1" w:styleId="CommentTextChar">
    <w:name w:val="Comment Text Char"/>
    <w:basedOn w:val="DefaultParagraphFont"/>
    <w:link w:val="CommentText"/>
    <w:uiPriority w:val="99"/>
    <w:semiHidden/>
    <w:rsid w:val="000D2D4E"/>
    <w:rPr>
      <w:sz w:val="20"/>
      <w:szCs w:val="20"/>
    </w:rPr>
  </w:style>
  <w:style w:type="paragraph" w:styleId="CommentSubject">
    <w:name w:val="annotation subject"/>
    <w:basedOn w:val="CommentText"/>
    <w:next w:val="CommentText"/>
    <w:link w:val="CommentSubjectChar"/>
    <w:uiPriority w:val="99"/>
    <w:semiHidden/>
    <w:unhideWhenUsed/>
    <w:rsid w:val="000D2D4E"/>
    <w:rPr>
      <w:b/>
      <w:bCs/>
    </w:rPr>
  </w:style>
  <w:style w:type="character" w:customStyle="1" w:styleId="CommentSubjectChar">
    <w:name w:val="Comment Subject Char"/>
    <w:basedOn w:val="CommentTextChar"/>
    <w:link w:val="CommentSubject"/>
    <w:uiPriority w:val="99"/>
    <w:semiHidden/>
    <w:rsid w:val="000D2D4E"/>
    <w:rPr>
      <w:b/>
      <w:bCs/>
      <w:sz w:val="20"/>
      <w:szCs w:val="20"/>
    </w:rPr>
  </w:style>
  <w:style w:type="paragraph" w:styleId="ListParagraph">
    <w:name w:val="List Paragraph"/>
    <w:basedOn w:val="Normal"/>
    <w:uiPriority w:val="34"/>
    <w:qFormat/>
    <w:rsid w:val="00C466B4"/>
    <w:pPr>
      <w:ind w:left="720"/>
      <w:contextualSpacing/>
    </w:pPr>
  </w:style>
  <w:style w:type="character" w:styleId="FollowedHyperlink">
    <w:name w:val="FollowedHyperlink"/>
    <w:basedOn w:val="DefaultParagraphFont"/>
    <w:uiPriority w:val="99"/>
    <w:semiHidden/>
    <w:unhideWhenUsed/>
    <w:rsid w:val="00992204"/>
    <w:rPr>
      <w:color w:val="954F72" w:themeColor="followedHyperlink"/>
      <w:u w:val="single"/>
    </w:rPr>
  </w:style>
  <w:style w:type="paragraph" w:styleId="Revision">
    <w:name w:val="Revision"/>
    <w:hidden/>
    <w:uiPriority w:val="99"/>
    <w:semiHidden/>
    <w:rsid w:val="00D5202A"/>
    <w:pPr>
      <w:spacing w:after="0" w:line="240" w:lineRule="auto"/>
    </w:pPr>
  </w:style>
  <w:style w:type="paragraph" w:styleId="Header">
    <w:name w:val="header"/>
    <w:basedOn w:val="Normal"/>
    <w:link w:val="HeaderChar"/>
    <w:uiPriority w:val="99"/>
    <w:unhideWhenUsed/>
    <w:rsid w:val="003E6B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6BA9"/>
  </w:style>
  <w:style w:type="paragraph" w:styleId="Footer">
    <w:name w:val="footer"/>
    <w:basedOn w:val="Normal"/>
    <w:link w:val="FooterChar"/>
    <w:uiPriority w:val="99"/>
    <w:unhideWhenUsed/>
    <w:rsid w:val="003E6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1417-76A8-4E20-ABAC-C4641071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5425</Words>
  <Characters>37107</Characters>
  <Application>Microsoft Office Word</Application>
  <DocSecurity>0</DocSecurity>
  <Lines>687</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Eberharde</dc:creator>
  <cp:lastModifiedBy>Ilze Eberharde</cp:lastModifiedBy>
  <cp:revision>4</cp:revision>
  <cp:lastPrinted>2017-11-27T08:31:00Z</cp:lastPrinted>
  <dcterms:created xsi:type="dcterms:W3CDTF">2018-02-06T15:30:00Z</dcterms:created>
  <dcterms:modified xsi:type="dcterms:W3CDTF">2018-02-06T17:58:00Z</dcterms:modified>
</cp:coreProperties>
</file>