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7F" w:rsidRDefault="00C578E5" w:rsidP="00C71EB9">
      <w:pPr>
        <w:pStyle w:val="naiskr"/>
        <w:spacing w:before="0" w:beforeAutospacing="0" w:after="120" w:afterAutospacing="0"/>
        <w:jc w:val="center"/>
        <w:rPr>
          <w:b/>
          <w:bCs/>
        </w:rPr>
      </w:pPr>
      <w:bookmarkStart w:id="0" w:name="_GoBack"/>
      <w:bookmarkEnd w:id="0"/>
      <w:r>
        <w:rPr>
          <w:b/>
          <w:bCs/>
        </w:rPr>
        <w:t>Likumprojekta</w:t>
      </w:r>
      <w:r w:rsidR="003623C1" w:rsidRPr="00FB3059">
        <w:rPr>
          <w:b/>
          <w:bCs/>
        </w:rPr>
        <w:t xml:space="preserve"> “</w:t>
      </w:r>
      <w:r w:rsidR="00C71EB9">
        <w:rPr>
          <w:b/>
          <w:bCs/>
        </w:rPr>
        <w:t>Par likuma “</w:t>
      </w:r>
      <w:r w:rsidR="00FB3059" w:rsidRPr="00FB3059">
        <w:rPr>
          <w:b/>
          <w:bCs/>
          <w:shd w:val="clear" w:color="auto" w:fill="FFFFFF"/>
        </w:rPr>
        <w:t>Par Kontrabandas un viltojumu apkarošanas līgumu un vispārējo atbrīvojumu, kas noslēgts 2004.gada 9.jūlijā starp </w:t>
      </w:r>
      <w:r w:rsidR="00FB3059" w:rsidRPr="00FB3059">
        <w:rPr>
          <w:b/>
          <w:bCs/>
          <w:i/>
          <w:iCs/>
          <w:shd w:val="clear" w:color="auto" w:fill="FFFFFF"/>
        </w:rPr>
        <w:t xml:space="preserve">Philip Morris </w:t>
      </w:r>
      <w:proofErr w:type="spellStart"/>
      <w:r w:rsidR="00FB3059" w:rsidRPr="00FB3059">
        <w:rPr>
          <w:b/>
          <w:bCs/>
          <w:i/>
          <w:iCs/>
          <w:shd w:val="clear" w:color="auto" w:fill="FFFFFF"/>
        </w:rPr>
        <w:t>International</w:t>
      </w:r>
      <w:proofErr w:type="spellEnd"/>
      <w:r w:rsidR="00FB3059" w:rsidRPr="00FB3059">
        <w:rPr>
          <w:b/>
          <w:bCs/>
          <w:i/>
          <w:iCs/>
          <w:shd w:val="clear" w:color="auto" w:fill="FFFFFF"/>
        </w:rPr>
        <w:t xml:space="preserve"> </w:t>
      </w:r>
      <w:proofErr w:type="spellStart"/>
      <w:r w:rsidR="00FB3059" w:rsidRPr="00FB3059">
        <w:rPr>
          <w:b/>
          <w:bCs/>
          <w:i/>
          <w:iCs/>
          <w:shd w:val="clear" w:color="auto" w:fill="FFFFFF"/>
        </w:rPr>
        <w:t>Inc</w:t>
      </w:r>
      <w:proofErr w:type="spellEnd"/>
      <w:r w:rsidR="00FB3059" w:rsidRPr="00FB3059">
        <w:rPr>
          <w:b/>
          <w:bCs/>
          <w:i/>
          <w:iCs/>
          <w:shd w:val="clear" w:color="auto" w:fill="FFFFFF"/>
        </w:rPr>
        <w:t xml:space="preserve">., Philip Morris </w:t>
      </w:r>
      <w:proofErr w:type="spellStart"/>
      <w:r w:rsidR="00FB3059" w:rsidRPr="00FB3059">
        <w:rPr>
          <w:b/>
          <w:bCs/>
          <w:i/>
          <w:iCs/>
          <w:shd w:val="clear" w:color="auto" w:fill="FFFFFF"/>
        </w:rPr>
        <w:t>Products</w:t>
      </w:r>
      <w:proofErr w:type="spellEnd"/>
      <w:r w:rsidR="00FB3059" w:rsidRPr="00FB3059">
        <w:rPr>
          <w:b/>
          <w:bCs/>
          <w:i/>
          <w:iCs/>
          <w:shd w:val="clear" w:color="auto" w:fill="FFFFFF"/>
        </w:rPr>
        <w:t xml:space="preserve"> </w:t>
      </w:r>
      <w:proofErr w:type="spellStart"/>
      <w:r w:rsidR="00FB3059" w:rsidRPr="00FB3059">
        <w:rPr>
          <w:b/>
          <w:bCs/>
          <w:i/>
          <w:iCs/>
          <w:shd w:val="clear" w:color="auto" w:fill="FFFFFF"/>
        </w:rPr>
        <w:t>Inc</w:t>
      </w:r>
      <w:proofErr w:type="spellEnd"/>
      <w:r w:rsidR="00FB3059" w:rsidRPr="00FB3059">
        <w:rPr>
          <w:b/>
          <w:bCs/>
          <w:i/>
          <w:iCs/>
          <w:shd w:val="clear" w:color="auto" w:fill="FFFFFF"/>
        </w:rPr>
        <w:t xml:space="preserve">., Philip Morris </w:t>
      </w:r>
      <w:proofErr w:type="spellStart"/>
      <w:r w:rsidR="00FB3059" w:rsidRPr="00FB3059">
        <w:rPr>
          <w:b/>
          <w:bCs/>
          <w:i/>
          <w:iCs/>
          <w:shd w:val="clear" w:color="auto" w:fill="FFFFFF"/>
        </w:rPr>
        <w:t>Duty</w:t>
      </w:r>
      <w:proofErr w:type="spellEnd"/>
      <w:r w:rsidR="00FB3059" w:rsidRPr="00FB3059">
        <w:rPr>
          <w:b/>
          <w:bCs/>
          <w:i/>
          <w:iCs/>
          <w:shd w:val="clear" w:color="auto" w:fill="FFFFFF"/>
        </w:rPr>
        <w:t xml:space="preserve"> </w:t>
      </w:r>
      <w:proofErr w:type="spellStart"/>
      <w:r w:rsidR="00FB3059" w:rsidRPr="00FB3059">
        <w:rPr>
          <w:b/>
          <w:bCs/>
          <w:i/>
          <w:iCs/>
          <w:shd w:val="clear" w:color="auto" w:fill="FFFFFF"/>
        </w:rPr>
        <w:t>Free</w:t>
      </w:r>
      <w:proofErr w:type="spellEnd"/>
      <w:r w:rsidR="00FB3059" w:rsidRPr="00FB3059">
        <w:rPr>
          <w:b/>
          <w:bCs/>
          <w:i/>
          <w:iCs/>
          <w:shd w:val="clear" w:color="auto" w:fill="FFFFFF"/>
        </w:rPr>
        <w:t xml:space="preserve"> </w:t>
      </w:r>
      <w:proofErr w:type="spellStart"/>
      <w:r w:rsidR="00FB3059" w:rsidRPr="00FB3059">
        <w:rPr>
          <w:b/>
          <w:bCs/>
          <w:i/>
          <w:iCs/>
          <w:shd w:val="clear" w:color="auto" w:fill="FFFFFF"/>
        </w:rPr>
        <w:t>Inc</w:t>
      </w:r>
      <w:proofErr w:type="spellEnd"/>
      <w:r w:rsidR="00FB3059" w:rsidRPr="00FB3059">
        <w:rPr>
          <w:b/>
          <w:bCs/>
          <w:i/>
          <w:iCs/>
          <w:shd w:val="clear" w:color="auto" w:fill="FFFFFF"/>
        </w:rPr>
        <w:t xml:space="preserve">. un Philip Morris </w:t>
      </w:r>
      <w:proofErr w:type="spellStart"/>
      <w:r w:rsidR="00FB3059" w:rsidRPr="00FB3059">
        <w:rPr>
          <w:b/>
          <w:bCs/>
          <w:i/>
          <w:iCs/>
          <w:shd w:val="clear" w:color="auto" w:fill="FFFFFF"/>
        </w:rPr>
        <w:t>World</w:t>
      </w:r>
      <w:proofErr w:type="spellEnd"/>
      <w:r w:rsidR="00FB3059" w:rsidRPr="00FB3059">
        <w:rPr>
          <w:b/>
          <w:bCs/>
          <w:i/>
          <w:iCs/>
          <w:shd w:val="clear" w:color="auto" w:fill="FFFFFF"/>
        </w:rPr>
        <w:t xml:space="preserve"> </w:t>
      </w:r>
      <w:proofErr w:type="spellStart"/>
      <w:r w:rsidR="00FB3059" w:rsidRPr="00FB3059">
        <w:rPr>
          <w:b/>
          <w:bCs/>
          <w:i/>
          <w:iCs/>
          <w:shd w:val="clear" w:color="auto" w:fill="FFFFFF"/>
        </w:rPr>
        <w:t>Trade</w:t>
      </w:r>
      <w:proofErr w:type="spellEnd"/>
      <w:r w:rsidR="00FB3059" w:rsidRPr="00FB3059">
        <w:rPr>
          <w:b/>
          <w:bCs/>
          <w:i/>
          <w:iCs/>
          <w:shd w:val="clear" w:color="auto" w:fill="FFFFFF"/>
        </w:rPr>
        <w:t xml:space="preserve"> </w:t>
      </w:r>
      <w:proofErr w:type="spellStart"/>
      <w:r w:rsidR="00FB3059" w:rsidRPr="00FB3059">
        <w:rPr>
          <w:b/>
          <w:bCs/>
          <w:i/>
          <w:iCs/>
          <w:shd w:val="clear" w:color="auto" w:fill="FFFFFF"/>
        </w:rPr>
        <w:t>Sarl</w:t>
      </w:r>
      <w:proofErr w:type="spellEnd"/>
      <w:r w:rsidR="00FB3059" w:rsidRPr="00FB3059">
        <w:rPr>
          <w:b/>
          <w:bCs/>
          <w:shd w:val="clear" w:color="auto" w:fill="FFFFFF"/>
        </w:rPr>
        <w:t>., Eiropas Kopienu, kuru pārstāv Eiropas Komisija, un tām dalībvalstīm, kas norādītas pievienotajās parakstu lapās</w:t>
      </w:r>
      <w:r w:rsidR="003623C1" w:rsidRPr="00FB3059">
        <w:rPr>
          <w:b/>
          <w:bCs/>
        </w:rPr>
        <w:t>”</w:t>
      </w:r>
      <w:r w:rsidR="00C71EB9">
        <w:rPr>
          <w:b/>
          <w:bCs/>
        </w:rPr>
        <w:t xml:space="preserve"> atzīšanu par spēku zaudējušu”</w:t>
      </w:r>
      <w:r w:rsidR="00452B7F" w:rsidRPr="00452B7F">
        <w:rPr>
          <w:b/>
          <w:bCs/>
        </w:rPr>
        <w:t xml:space="preserve"> sākotnējās ietekmes novērtējuma ziņojums</w:t>
      </w:r>
      <w:r>
        <w:rPr>
          <w:b/>
          <w:bCs/>
        </w:rPr>
        <w:t xml:space="preserve"> </w:t>
      </w:r>
      <w:r w:rsidR="00452B7F" w:rsidRPr="00452B7F">
        <w:rPr>
          <w:b/>
          <w:bCs/>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38"/>
        <w:gridCol w:w="4145"/>
      </w:tblGrid>
      <w:tr w:rsidR="00FB3059" w:rsidRPr="00452B7F" w:rsidTr="00452B7F">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452B7F" w:rsidRPr="00452B7F" w:rsidRDefault="00452B7F" w:rsidP="00452B7F">
            <w:pPr>
              <w:spacing w:before="100" w:beforeAutospacing="1" w:after="100" w:afterAutospacing="1" w:line="315" w:lineRule="atLeast"/>
              <w:jc w:val="center"/>
              <w:rPr>
                <w:rFonts w:eastAsia="Times New Roman" w:cs="Times New Roman"/>
                <w:b/>
                <w:bCs/>
                <w:szCs w:val="24"/>
                <w:lang w:eastAsia="lv-LV"/>
              </w:rPr>
            </w:pPr>
            <w:r w:rsidRPr="00452B7F">
              <w:rPr>
                <w:rFonts w:eastAsia="Times New Roman" w:cs="Times New Roman"/>
                <w:b/>
                <w:bCs/>
                <w:szCs w:val="24"/>
                <w:lang w:eastAsia="lv-LV"/>
              </w:rPr>
              <w:t>Tiesību akta projekta anotācijas kopsavilkums</w:t>
            </w:r>
          </w:p>
        </w:tc>
      </w:tr>
      <w:tr w:rsidR="00FB3059" w:rsidRPr="00452B7F" w:rsidTr="00761C40">
        <w:tc>
          <w:tcPr>
            <w:tcW w:w="2791"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rPr>
                <w:rFonts w:eastAsia="Times New Roman" w:cs="Times New Roman"/>
                <w:szCs w:val="24"/>
                <w:lang w:eastAsia="lv-LV"/>
              </w:rPr>
            </w:pPr>
            <w:r w:rsidRPr="00452B7F">
              <w:rPr>
                <w:rFonts w:eastAsia="Times New Roman" w:cs="Times New Roman"/>
                <w:szCs w:val="24"/>
                <w:lang w:eastAsia="lv-LV"/>
              </w:rPr>
              <w:t xml:space="preserve">Mērķis, risinājums un projekta spēkā stāšanās laiks </w:t>
            </w:r>
            <w:r w:rsidR="004C1C8A" w:rsidRPr="004C1C8A">
              <w:rPr>
                <w:rFonts w:eastAsia="Times New Roman" w:cs="Times New Roman"/>
                <w:szCs w:val="24"/>
              </w:rPr>
              <w:t>(500 zīmes bez atstarpēm)</w:t>
            </w:r>
          </w:p>
        </w:tc>
        <w:tc>
          <w:tcPr>
            <w:tcW w:w="2209" w:type="pct"/>
            <w:tcBorders>
              <w:top w:val="outset" w:sz="6" w:space="0" w:color="414142"/>
              <w:left w:val="outset" w:sz="6" w:space="0" w:color="414142"/>
              <w:bottom w:val="outset" w:sz="6" w:space="0" w:color="414142"/>
              <w:right w:val="outset" w:sz="6" w:space="0" w:color="414142"/>
            </w:tcBorders>
            <w:hideMark/>
          </w:tcPr>
          <w:p w:rsidR="00452B7F" w:rsidRPr="00452B7F" w:rsidRDefault="00596F27" w:rsidP="00596F27">
            <w:pPr>
              <w:pStyle w:val="naiskr"/>
              <w:spacing w:before="0" w:beforeAutospacing="0" w:after="120" w:afterAutospacing="0"/>
              <w:jc w:val="both"/>
              <w:rPr>
                <w:shd w:val="clear" w:color="auto" w:fill="FFFFFF"/>
              </w:rPr>
            </w:pPr>
            <w:r>
              <w:t>Projekts šo jomu neskar.</w:t>
            </w:r>
          </w:p>
        </w:tc>
      </w:tr>
    </w:tbl>
    <w:p w:rsidR="00452B7F" w:rsidRPr="00452B7F" w:rsidRDefault="00452B7F" w:rsidP="00452B7F">
      <w:pPr>
        <w:rPr>
          <w:rFonts w:eastAsia="Times New Roman" w:cs="Times New Roman"/>
          <w:szCs w:val="24"/>
          <w:lang w:eastAsia="lv-LV"/>
        </w:rPr>
      </w:pPr>
      <w:r w:rsidRPr="00452B7F">
        <w:rPr>
          <w:rFonts w:eastAsia="Times New Roman" w:cs="Times New Roman"/>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3190"/>
        <w:gridCol w:w="5630"/>
      </w:tblGrid>
      <w:tr w:rsidR="00FB3059" w:rsidRPr="00452B7F" w:rsidTr="00452B7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52B7F" w:rsidRPr="00452B7F" w:rsidRDefault="00452B7F" w:rsidP="00452B7F">
            <w:pPr>
              <w:spacing w:before="100" w:beforeAutospacing="1" w:after="100" w:afterAutospacing="1" w:line="315" w:lineRule="atLeast"/>
              <w:jc w:val="center"/>
              <w:rPr>
                <w:rFonts w:eastAsia="Times New Roman" w:cs="Times New Roman"/>
                <w:b/>
                <w:bCs/>
                <w:szCs w:val="24"/>
                <w:lang w:eastAsia="lv-LV"/>
              </w:rPr>
            </w:pPr>
            <w:r w:rsidRPr="00452B7F">
              <w:rPr>
                <w:rFonts w:eastAsia="Times New Roman" w:cs="Times New Roman"/>
                <w:b/>
                <w:bCs/>
                <w:szCs w:val="24"/>
                <w:lang w:eastAsia="lv-LV"/>
              </w:rPr>
              <w:t>I. Tiesību akta projekta izstrādes nepieciešamība</w:t>
            </w:r>
          </w:p>
        </w:tc>
      </w:tr>
      <w:tr w:rsidR="00FB3059" w:rsidRPr="00452B7F" w:rsidTr="00452B7F">
        <w:tc>
          <w:tcPr>
            <w:tcW w:w="3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spacing w:before="100" w:beforeAutospacing="1" w:after="100" w:afterAutospacing="1" w:line="315" w:lineRule="atLeast"/>
              <w:jc w:val="center"/>
              <w:rPr>
                <w:rFonts w:eastAsia="Times New Roman" w:cs="Times New Roman"/>
                <w:szCs w:val="24"/>
                <w:lang w:eastAsia="lv-LV"/>
              </w:rPr>
            </w:pPr>
            <w:r w:rsidRPr="00452B7F">
              <w:rPr>
                <w:rFonts w:eastAsia="Times New Roman" w:cs="Times New Roman"/>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rPr>
                <w:rFonts w:eastAsia="Times New Roman" w:cs="Times New Roman"/>
                <w:szCs w:val="24"/>
                <w:lang w:eastAsia="lv-LV"/>
              </w:rPr>
            </w:pPr>
            <w:r w:rsidRPr="00452B7F">
              <w:rPr>
                <w:rFonts w:eastAsia="Times New Roman" w:cs="Times New Roman"/>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452B7F" w:rsidRDefault="00596F27" w:rsidP="00A74652">
            <w:pPr>
              <w:spacing w:after="120"/>
              <w:jc w:val="both"/>
              <w:rPr>
                <w:shd w:val="clear" w:color="auto" w:fill="FFFFFF"/>
              </w:rPr>
            </w:pPr>
            <w:r w:rsidRPr="00596F27">
              <w:rPr>
                <w:rFonts w:eastAsia="Times New Roman" w:cs="Times New Roman"/>
                <w:szCs w:val="24"/>
              </w:rPr>
              <w:t xml:space="preserve">Likumprojekts </w:t>
            </w:r>
            <w:r w:rsidRPr="00596F27">
              <w:rPr>
                <w:rFonts w:eastAsia="Times New Roman" w:cs="Times New Roman"/>
                <w:bCs/>
                <w:szCs w:val="24"/>
                <w:lang w:eastAsia="lv-LV"/>
              </w:rPr>
              <w:t>“</w:t>
            </w:r>
            <w:r w:rsidRPr="00596F27">
              <w:rPr>
                <w:bCs/>
                <w:szCs w:val="24"/>
              </w:rPr>
              <w:t>Par likuma “</w:t>
            </w:r>
            <w:r w:rsidRPr="00596F27">
              <w:rPr>
                <w:rFonts w:cs="Times New Roman"/>
                <w:bCs/>
                <w:szCs w:val="24"/>
                <w:shd w:val="clear" w:color="auto" w:fill="FFFFFF"/>
              </w:rPr>
              <w:t>Par Kontrabandas un viltojumu apkarošanas līgumu un vispārējo atbrīvojumu, kas noslēgts 2004.gada 9.jūlijā starp </w:t>
            </w:r>
            <w:r w:rsidRPr="00596F27">
              <w:rPr>
                <w:rFonts w:cs="Times New Roman"/>
                <w:bCs/>
                <w:i/>
                <w:iCs/>
                <w:szCs w:val="24"/>
                <w:shd w:val="clear" w:color="auto" w:fill="FFFFFF"/>
              </w:rPr>
              <w:t xml:space="preserve">Philip Morris </w:t>
            </w:r>
            <w:proofErr w:type="spellStart"/>
            <w:r w:rsidRPr="00596F27">
              <w:rPr>
                <w:rFonts w:cs="Times New Roman"/>
                <w:bCs/>
                <w:i/>
                <w:iCs/>
                <w:szCs w:val="24"/>
                <w:shd w:val="clear" w:color="auto" w:fill="FFFFFF"/>
              </w:rPr>
              <w:t>International</w:t>
            </w:r>
            <w:proofErr w:type="spellEnd"/>
            <w:r w:rsidRPr="00596F27">
              <w:rPr>
                <w:rFonts w:cs="Times New Roman"/>
                <w:bCs/>
                <w:i/>
                <w:iCs/>
                <w:szCs w:val="24"/>
                <w:shd w:val="clear" w:color="auto" w:fill="FFFFFF"/>
              </w:rPr>
              <w:t xml:space="preserve"> </w:t>
            </w:r>
            <w:proofErr w:type="spellStart"/>
            <w:r w:rsidRPr="00596F27">
              <w:rPr>
                <w:rFonts w:cs="Times New Roman"/>
                <w:bCs/>
                <w:i/>
                <w:iCs/>
                <w:szCs w:val="24"/>
                <w:shd w:val="clear" w:color="auto" w:fill="FFFFFF"/>
              </w:rPr>
              <w:t>Inc</w:t>
            </w:r>
            <w:proofErr w:type="spellEnd"/>
            <w:r w:rsidRPr="00596F27">
              <w:rPr>
                <w:rFonts w:cs="Times New Roman"/>
                <w:bCs/>
                <w:i/>
                <w:iCs/>
                <w:szCs w:val="24"/>
                <w:shd w:val="clear" w:color="auto" w:fill="FFFFFF"/>
              </w:rPr>
              <w:t xml:space="preserve">., Philip Morris </w:t>
            </w:r>
            <w:proofErr w:type="spellStart"/>
            <w:r w:rsidRPr="00596F27">
              <w:rPr>
                <w:rFonts w:cs="Times New Roman"/>
                <w:bCs/>
                <w:i/>
                <w:iCs/>
                <w:szCs w:val="24"/>
                <w:shd w:val="clear" w:color="auto" w:fill="FFFFFF"/>
              </w:rPr>
              <w:t>Products</w:t>
            </w:r>
            <w:proofErr w:type="spellEnd"/>
            <w:r w:rsidRPr="00596F27">
              <w:rPr>
                <w:rFonts w:cs="Times New Roman"/>
                <w:bCs/>
                <w:i/>
                <w:iCs/>
                <w:szCs w:val="24"/>
                <w:shd w:val="clear" w:color="auto" w:fill="FFFFFF"/>
              </w:rPr>
              <w:t xml:space="preserve"> </w:t>
            </w:r>
            <w:proofErr w:type="spellStart"/>
            <w:r w:rsidRPr="00596F27">
              <w:rPr>
                <w:rFonts w:cs="Times New Roman"/>
                <w:bCs/>
                <w:i/>
                <w:iCs/>
                <w:szCs w:val="24"/>
                <w:shd w:val="clear" w:color="auto" w:fill="FFFFFF"/>
              </w:rPr>
              <w:t>Inc</w:t>
            </w:r>
            <w:proofErr w:type="spellEnd"/>
            <w:r w:rsidRPr="00596F27">
              <w:rPr>
                <w:rFonts w:cs="Times New Roman"/>
                <w:bCs/>
                <w:i/>
                <w:iCs/>
                <w:szCs w:val="24"/>
                <w:shd w:val="clear" w:color="auto" w:fill="FFFFFF"/>
              </w:rPr>
              <w:t xml:space="preserve">., Philip Morris </w:t>
            </w:r>
            <w:proofErr w:type="spellStart"/>
            <w:r w:rsidRPr="00596F27">
              <w:rPr>
                <w:rFonts w:cs="Times New Roman"/>
                <w:bCs/>
                <w:i/>
                <w:iCs/>
                <w:szCs w:val="24"/>
                <w:shd w:val="clear" w:color="auto" w:fill="FFFFFF"/>
              </w:rPr>
              <w:t>Duty</w:t>
            </w:r>
            <w:proofErr w:type="spellEnd"/>
            <w:r w:rsidRPr="00596F27">
              <w:rPr>
                <w:rFonts w:cs="Times New Roman"/>
                <w:bCs/>
                <w:i/>
                <w:iCs/>
                <w:szCs w:val="24"/>
                <w:shd w:val="clear" w:color="auto" w:fill="FFFFFF"/>
              </w:rPr>
              <w:t xml:space="preserve"> </w:t>
            </w:r>
            <w:proofErr w:type="spellStart"/>
            <w:r w:rsidRPr="00596F27">
              <w:rPr>
                <w:rFonts w:cs="Times New Roman"/>
                <w:bCs/>
                <w:i/>
                <w:iCs/>
                <w:szCs w:val="24"/>
                <w:shd w:val="clear" w:color="auto" w:fill="FFFFFF"/>
              </w:rPr>
              <w:t>Free</w:t>
            </w:r>
            <w:proofErr w:type="spellEnd"/>
            <w:r w:rsidRPr="00596F27">
              <w:rPr>
                <w:rFonts w:cs="Times New Roman"/>
                <w:bCs/>
                <w:i/>
                <w:iCs/>
                <w:szCs w:val="24"/>
                <w:shd w:val="clear" w:color="auto" w:fill="FFFFFF"/>
              </w:rPr>
              <w:t xml:space="preserve"> </w:t>
            </w:r>
            <w:proofErr w:type="spellStart"/>
            <w:r w:rsidRPr="00596F27">
              <w:rPr>
                <w:rFonts w:cs="Times New Roman"/>
                <w:bCs/>
                <w:i/>
                <w:iCs/>
                <w:szCs w:val="24"/>
                <w:shd w:val="clear" w:color="auto" w:fill="FFFFFF"/>
              </w:rPr>
              <w:t>Inc</w:t>
            </w:r>
            <w:proofErr w:type="spellEnd"/>
            <w:r w:rsidRPr="00596F27">
              <w:rPr>
                <w:rFonts w:cs="Times New Roman"/>
                <w:bCs/>
                <w:i/>
                <w:iCs/>
                <w:szCs w:val="24"/>
                <w:shd w:val="clear" w:color="auto" w:fill="FFFFFF"/>
              </w:rPr>
              <w:t xml:space="preserve">. un Philip Morris </w:t>
            </w:r>
            <w:proofErr w:type="spellStart"/>
            <w:r w:rsidRPr="00596F27">
              <w:rPr>
                <w:rFonts w:cs="Times New Roman"/>
                <w:bCs/>
                <w:i/>
                <w:iCs/>
                <w:szCs w:val="24"/>
                <w:shd w:val="clear" w:color="auto" w:fill="FFFFFF"/>
              </w:rPr>
              <w:t>World</w:t>
            </w:r>
            <w:proofErr w:type="spellEnd"/>
            <w:r w:rsidRPr="00596F27">
              <w:rPr>
                <w:rFonts w:cs="Times New Roman"/>
                <w:bCs/>
                <w:i/>
                <w:iCs/>
                <w:szCs w:val="24"/>
                <w:shd w:val="clear" w:color="auto" w:fill="FFFFFF"/>
              </w:rPr>
              <w:t xml:space="preserve"> </w:t>
            </w:r>
            <w:proofErr w:type="spellStart"/>
            <w:r w:rsidRPr="00596F27">
              <w:rPr>
                <w:rFonts w:cs="Times New Roman"/>
                <w:bCs/>
                <w:i/>
                <w:iCs/>
                <w:szCs w:val="24"/>
                <w:shd w:val="clear" w:color="auto" w:fill="FFFFFF"/>
              </w:rPr>
              <w:t>Trade</w:t>
            </w:r>
            <w:proofErr w:type="spellEnd"/>
            <w:r w:rsidRPr="00596F27">
              <w:rPr>
                <w:rFonts w:cs="Times New Roman"/>
                <w:bCs/>
                <w:i/>
                <w:iCs/>
                <w:szCs w:val="24"/>
                <w:shd w:val="clear" w:color="auto" w:fill="FFFFFF"/>
              </w:rPr>
              <w:t xml:space="preserve"> </w:t>
            </w:r>
            <w:proofErr w:type="spellStart"/>
            <w:r w:rsidRPr="00596F27">
              <w:rPr>
                <w:rFonts w:cs="Times New Roman"/>
                <w:bCs/>
                <w:i/>
                <w:iCs/>
                <w:szCs w:val="24"/>
                <w:shd w:val="clear" w:color="auto" w:fill="FFFFFF"/>
              </w:rPr>
              <w:t>Sarl</w:t>
            </w:r>
            <w:proofErr w:type="spellEnd"/>
            <w:r w:rsidRPr="00596F27">
              <w:rPr>
                <w:rFonts w:cs="Times New Roman"/>
                <w:bCs/>
                <w:szCs w:val="24"/>
                <w:shd w:val="clear" w:color="auto" w:fill="FFFFFF"/>
              </w:rPr>
              <w:t>., Eiropas Kopienu, kuru pārstāv Eiropas Komisija, un tām dalībvalstīm, kas norādītas pievienotajās parakstu lapās</w:t>
            </w:r>
            <w:r w:rsidRPr="00596F27">
              <w:rPr>
                <w:rFonts w:eastAsia="Times New Roman" w:cs="Times New Roman"/>
                <w:bCs/>
                <w:szCs w:val="24"/>
                <w:lang w:eastAsia="lv-LV"/>
              </w:rPr>
              <w:t>”</w:t>
            </w:r>
            <w:r w:rsidRPr="00596F27">
              <w:rPr>
                <w:bCs/>
                <w:szCs w:val="24"/>
              </w:rPr>
              <w:t xml:space="preserve"> atzīšanu par spēku zaudējušu”</w:t>
            </w:r>
            <w:r w:rsidRPr="00596F27">
              <w:rPr>
                <w:rFonts w:eastAsia="Times New Roman" w:cs="Times New Roman"/>
                <w:szCs w:val="24"/>
              </w:rPr>
              <w:t xml:space="preserve"> (turpmāk</w:t>
            </w:r>
            <w:r>
              <w:rPr>
                <w:rFonts w:eastAsia="Times New Roman" w:cs="Times New Roman"/>
                <w:szCs w:val="24"/>
              </w:rPr>
              <w:t xml:space="preserve"> </w:t>
            </w:r>
            <w:r w:rsidRPr="00596F27">
              <w:rPr>
                <w:rFonts w:eastAsia="Times New Roman" w:cs="Times New Roman"/>
                <w:szCs w:val="24"/>
              </w:rPr>
              <w:t xml:space="preserve">- Likumprojekts) izstrādāts ņemot vērā </w:t>
            </w:r>
            <w:r w:rsidRPr="00596F27">
              <w:rPr>
                <w:rFonts w:cs="Times New Roman"/>
                <w:szCs w:val="24"/>
              </w:rPr>
              <w:t>Eiropas Parlamenta 2016.gada 9.marta rezolūciju par Tabakas nolīgumu 2016/2555(RSP)</w:t>
            </w:r>
            <w:r>
              <w:rPr>
                <w:rFonts w:cs="Times New Roman"/>
                <w:szCs w:val="24"/>
              </w:rPr>
              <w:t xml:space="preserve">. Saskaņā ar minēto rezolūciju </w:t>
            </w:r>
            <w:r w:rsidR="006B2272">
              <w:rPr>
                <w:rFonts w:cs="Times New Roman"/>
                <w:szCs w:val="24"/>
              </w:rPr>
              <w:t>attiecīgais PMI l</w:t>
            </w:r>
            <w:r w:rsidRPr="00FB3059">
              <w:rPr>
                <w:shd w:val="clear" w:color="auto" w:fill="FFFFFF"/>
              </w:rPr>
              <w:t xml:space="preserve">īgums netika </w:t>
            </w:r>
            <w:r w:rsidRPr="00FB3059">
              <w:t>pagarināts pēc tā izpildes beigu</w:t>
            </w:r>
            <w:r>
              <w:t xml:space="preserve"> </w:t>
            </w:r>
            <w:r w:rsidRPr="00FB3059">
              <w:t>datuma</w:t>
            </w:r>
            <w:r>
              <w:rPr>
                <w:shd w:val="clear" w:color="auto" w:fill="FFFFFF"/>
              </w:rPr>
              <w:t xml:space="preserve"> - 2016.gada 9.jūlija.</w:t>
            </w:r>
          </w:p>
          <w:p w:rsidR="006379F2" w:rsidRPr="00A74652" w:rsidRDefault="006379F2" w:rsidP="00A74652">
            <w:pPr>
              <w:pStyle w:val="naiskr"/>
              <w:spacing w:before="0" w:beforeAutospacing="0" w:after="120" w:afterAutospacing="0"/>
              <w:jc w:val="both"/>
              <w:rPr>
                <w:b/>
                <w:bCs/>
                <w:i/>
              </w:rPr>
            </w:pPr>
            <w:r w:rsidRPr="00FB3059">
              <w:rPr>
                <w:shd w:val="clear" w:color="auto" w:fill="FFFFFF"/>
              </w:rPr>
              <w:t>Ministru kabineta 2010.gada 17.augusta sēdes protokola Nr.42 40.§</w:t>
            </w:r>
            <w:r>
              <w:rPr>
                <w:shd w:val="clear" w:color="auto" w:fill="FFFFFF"/>
              </w:rPr>
              <w:t xml:space="preserve">. </w:t>
            </w:r>
            <w:r w:rsidR="00A74652" w:rsidRPr="00C578E5">
              <w:rPr>
                <w:bCs/>
                <w:iCs/>
              </w:rPr>
              <w:t xml:space="preserve">(TA-2206-IP) (VK </w:t>
            </w:r>
            <w:proofErr w:type="spellStart"/>
            <w:r w:rsidR="00A74652" w:rsidRPr="00C578E5">
              <w:rPr>
                <w:bCs/>
                <w:iCs/>
              </w:rPr>
              <w:t>reģ</w:t>
            </w:r>
            <w:proofErr w:type="spellEnd"/>
            <w:r w:rsidR="00A74652" w:rsidRPr="00C578E5">
              <w:rPr>
                <w:bCs/>
                <w:iCs/>
              </w:rPr>
              <w:t>. Nr.2010-uzd-3418).</w:t>
            </w:r>
          </w:p>
        </w:tc>
      </w:tr>
      <w:tr w:rsidR="00FB3059" w:rsidRPr="00452B7F" w:rsidTr="003623C1">
        <w:tc>
          <w:tcPr>
            <w:tcW w:w="3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spacing w:before="100" w:beforeAutospacing="1" w:after="100" w:afterAutospacing="1" w:line="315" w:lineRule="atLeast"/>
              <w:jc w:val="center"/>
              <w:rPr>
                <w:rFonts w:eastAsia="Times New Roman" w:cs="Times New Roman"/>
                <w:szCs w:val="24"/>
                <w:lang w:eastAsia="lv-LV"/>
              </w:rPr>
            </w:pPr>
            <w:r w:rsidRPr="00452B7F">
              <w:rPr>
                <w:rFonts w:eastAsia="Times New Roman" w:cs="Times New Roman"/>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rPr>
                <w:rFonts w:eastAsia="Times New Roman" w:cs="Times New Roman"/>
                <w:szCs w:val="24"/>
                <w:lang w:eastAsia="lv-LV"/>
              </w:rPr>
            </w:pPr>
            <w:r w:rsidRPr="00452B7F">
              <w:rPr>
                <w:rFonts w:eastAsia="Times New Roman" w:cs="Times New Roman"/>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tcPr>
          <w:p w:rsidR="003623C1" w:rsidRPr="00D730B1" w:rsidRDefault="00D730B1" w:rsidP="00761C40">
            <w:pPr>
              <w:pStyle w:val="naiskr"/>
              <w:spacing w:before="0" w:beforeAutospacing="0" w:after="0" w:afterAutospacing="0"/>
              <w:jc w:val="both"/>
              <w:rPr>
                <w:noProof/>
              </w:rPr>
            </w:pPr>
            <w:r>
              <w:rPr>
                <w:bCs/>
              </w:rPr>
              <w:t xml:space="preserve">2004.gada 9.jūlijā </w:t>
            </w:r>
            <w:r>
              <w:rPr>
                <w:bCs/>
                <w:iCs/>
                <w:color w:val="000000"/>
              </w:rPr>
              <w:t>Eiropas Komisija</w:t>
            </w:r>
            <w:r w:rsidRPr="00D730B1">
              <w:rPr>
                <w:bCs/>
                <w:iCs/>
                <w:color w:val="000000"/>
              </w:rPr>
              <w:t xml:space="preserve"> kopā ar Eiropas Savienības </w:t>
            </w:r>
            <w:r w:rsidR="00D7062D">
              <w:rPr>
                <w:bCs/>
                <w:iCs/>
                <w:color w:val="000000"/>
              </w:rPr>
              <w:t xml:space="preserve">(turpmāk – ES) </w:t>
            </w:r>
            <w:r w:rsidRPr="00D730B1">
              <w:rPr>
                <w:bCs/>
                <w:iCs/>
                <w:color w:val="000000"/>
              </w:rPr>
              <w:t>dalībvalstīm un P</w:t>
            </w:r>
            <w:r w:rsidR="00C578E5">
              <w:rPr>
                <w:bCs/>
                <w:iCs/>
                <w:color w:val="000000"/>
              </w:rPr>
              <w:t xml:space="preserve">hilip Morris </w:t>
            </w:r>
            <w:proofErr w:type="spellStart"/>
            <w:r w:rsidR="00C578E5">
              <w:rPr>
                <w:bCs/>
                <w:iCs/>
                <w:color w:val="000000"/>
              </w:rPr>
              <w:t>International</w:t>
            </w:r>
            <w:proofErr w:type="spellEnd"/>
            <w:r w:rsidR="00C578E5">
              <w:rPr>
                <w:bCs/>
                <w:iCs/>
                <w:color w:val="000000"/>
              </w:rPr>
              <w:t xml:space="preserve"> </w:t>
            </w:r>
            <w:r w:rsidR="003623C1" w:rsidRPr="00D730B1">
              <w:rPr>
                <w:bCs/>
              </w:rPr>
              <w:t xml:space="preserve"> noslē</w:t>
            </w:r>
            <w:r>
              <w:rPr>
                <w:bCs/>
              </w:rPr>
              <w:t>dza</w:t>
            </w:r>
            <w:r w:rsidR="003623C1" w:rsidRPr="00D730B1">
              <w:rPr>
                <w:bCs/>
              </w:rPr>
              <w:t xml:space="preserve"> </w:t>
            </w:r>
            <w:r w:rsidRPr="00D730B1">
              <w:rPr>
                <w:bCs/>
              </w:rPr>
              <w:t>“</w:t>
            </w:r>
            <w:r w:rsidRPr="00D730B1">
              <w:rPr>
                <w:bCs/>
                <w:shd w:val="clear" w:color="auto" w:fill="FFFFFF"/>
              </w:rPr>
              <w:t>Kontrabandas un viltojumu apkarošanas līgumu un vispārējo atbrīvojumu, kas noslēgts 2004.gada 9.jūlijā starp </w:t>
            </w:r>
            <w:r w:rsidRPr="00D730B1">
              <w:rPr>
                <w:bCs/>
                <w:i/>
                <w:iCs/>
                <w:shd w:val="clear" w:color="auto" w:fill="FFFFFF"/>
              </w:rPr>
              <w:t xml:space="preserve">Philip Morris </w:t>
            </w:r>
            <w:proofErr w:type="spellStart"/>
            <w:r w:rsidRPr="00D730B1">
              <w:rPr>
                <w:bCs/>
                <w:i/>
                <w:iCs/>
                <w:shd w:val="clear" w:color="auto" w:fill="FFFFFF"/>
              </w:rPr>
              <w:t>International</w:t>
            </w:r>
            <w:proofErr w:type="spellEnd"/>
            <w:r w:rsidRPr="00D730B1">
              <w:rPr>
                <w:bCs/>
                <w:i/>
                <w:iCs/>
                <w:shd w:val="clear" w:color="auto" w:fill="FFFFFF"/>
              </w:rPr>
              <w:t xml:space="preserve"> </w:t>
            </w:r>
            <w:proofErr w:type="spellStart"/>
            <w:r w:rsidRPr="00D730B1">
              <w:rPr>
                <w:bCs/>
                <w:i/>
                <w:iCs/>
                <w:shd w:val="clear" w:color="auto" w:fill="FFFFFF"/>
              </w:rPr>
              <w:t>Inc</w:t>
            </w:r>
            <w:proofErr w:type="spellEnd"/>
            <w:r w:rsidRPr="00D730B1">
              <w:rPr>
                <w:bCs/>
                <w:i/>
                <w:iCs/>
                <w:shd w:val="clear" w:color="auto" w:fill="FFFFFF"/>
              </w:rPr>
              <w:t xml:space="preserve">., Philip Morris </w:t>
            </w:r>
            <w:proofErr w:type="spellStart"/>
            <w:r w:rsidRPr="00D730B1">
              <w:rPr>
                <w:bCs/>
                <w:i/>
                <w:iCs/>
                <w:shd w:val="clear" w:color="auto" w:fill="FFFFFF"/>
              </w:rPr>
              <w:t>Products</w:t>
            </w:r>
            <w:proofErr w:type="spellEnd"/>
            <w:r w:rsidRPr="00D730B1">
              <w:rPr>
                <w:bCs/>
                <w:i/>
                <w:iCs/>
                <w:shd w:val="clear" w:color="auto" w:fill="FFFFFF"/>
              </w:rPr>
              <w:t xml:space="preserve"> </w:t>
            </w:r>
            <w:proofErr w:type="spellStart"/>
            <w:r w:rsidRPr="00D730B1">
              <w:rPr>
                <w:bCs/>
                <w:i/>
                <w:iCs/>
                <w:shd w:val="clear" w:color="auto" w:fill="FFFFFF"/>
              </w:rPr>
              <w:t>Inc</w:t>
            </w:r>
            <w:proofErr w:type="spellEnd"/>
            <w:r w:rsidRPr="00D730B1">
              <w:rPr>
                <w:bCs/>
                <w:i/>
                <w:iCs/>
                <w:shd w:val="clear" w:color="auto" w:fill="FFFFFF"/>
              </w:rPr>
              <w:t xml:space="preserve">., Philip Morris </w:t>
            </w:r>
            <w:proofErr w:type="spellStart"/>
            <w:r w:rsidRPr="00D730B1">
              <w:rPr>
                <w:bCs/>
                <w:i/>
                <w:iCs/>
                <w:shd w:val="clear" w:color="auto" w:fill="FFFFFF"/>
              </w:rPr>
              <w:t>Duty</w:t>
            </w:r>
            <w:proofErr w:type="spellEnd"/>
            <w:r w:rsidRPr="00D730B1">
              <w:rPr>
                <w:bCs/>
                <w:i/>
                <w:iCs/>
                <w:shd w:val="clear" w:color="auto" w:fill="FFFFFF"/>
              </w:rPr>
              <w:t xml:space="preserve"> </w:t>
            </w:r>
            <w:proofErr w:type="spellStart"/>
            <w:r w:rsidRPr="00D730B1">
              <w:rPr>
                <w:bCs/>
                <w:i/>
                <w:iCs/>
                <w:shd w:val="clear" w:color="auto" w:fill="FFFFFF"/>
              </w:rPr>
              <w:t>Free</w:t>
            </w:r>
            <w:proofErr w:type="spellEnd"/>
            <w:r w:rsidRPr="00D730B1">
              <w:rPr>
                <w:bCs/>
                <w:i/>
                <w:iCs/>
                <w:shd w:val="clear" w:color="auto" w:fill="FFFFFF"/>
              </w:rPr>
              <w:t xml:space="preserve"> </w:t>
            </w:r>
            <w:proofErr w:type="spellStart"/>
            <w:r w:rsidRPr="00D730B1">
              <w:rPr>
                <w:bCs/>
                <w:i/>
                <w:iCs/>
                <w:shd w:val="clear" w:color="auto" w:fill="FFFFFF"/>
              </w:rPr>
              <w:t>Inc</w:t>
            </w:r>
            <w:proofErr w:type="spellEnd"/>
            <w:r w:rsidRPr="00D730B1">
              <w:rPr>
                <w:bCs/>
                <w:i/>
                <w:iCs/>
                <w:shd w:val="clear" w:color="auto" w:fill="FFFFFF"/>
              </w:rPr>
              <w:t xml:space="preserve">. un Philip Morris </w:t>
            </w:r>
            <w:proofErr w:type="spellStart"/>
            <w:r w:rsidRPr="00D730B1">
              <w:rPr>
                <w:bCs/>
                <w:i/>
                <w:iCs/>
                <w:shd w:val="clear" w:color="auto" w:fill="FFFFFF"/>
              </w:rPr>
              <w:t>World</w:t>
            </w:r>
            <w:proofErr w:type="spellEnd"/>
            <w:r w:rsidRPr="00D730B1">
              <w:rPr>
                <w:bCs/>
                <w:i/>
                <w:iCs/>
                <w:shd w:val="clear" w:color="auto" w:fill="FFFFFF"/>
              </w:rPr>
              <w:t xml:space="preserve"> </w:t>
            </w:r>
            <w:proofErr w:type="spellStart"/>
            <w:r w:rsidRPr="00D730B1">
              <w:rPr>
                <w:bCs/>
                <w:i/>
                <w:iCs/>
                <w:shd w:val="clear" w:color="auto" w:fill="FFFFFF"/>
              </w:rPr>
              <w:t>Trade</w:t>
            </w:r>
            <w:proofErr w:type="spellEnd"/>
            <w:r w:rsidRPr="00D730B1">
              <w:rPr>
                <w:bCs/>
                <w:i/>
                <w:iCs/>
                <w:shd w:val="clear" w:color="auto" w:fill="FFFFFF"/>
              </w:rPr>
              <w:t xml:space="preserve"> </w:t>
            </w:r>
            <w:proofErr w:type="spellStart"/>
            <w:r w:rsidRPr="00D730B1">
              <w:rPr>
                <w:bCs/>
                <w:i/>
                <w:iCs/>
                <w:shd w:val="clear" w:color="auto" w:fill="FFFFFF"/>
              </w:rPr>
              <w:t>Sarl</w:t>
            </w:r>
            <w:proofErr w:type="spellEnd"/>
            <w:r w:rsidRPr="00D730B1">
              <w:rPr>
                <w:bCs/>
                <w:shd w:val="clear" w:color="auto" w:fill="FFFFFF"/>
              </w:rPr>
              <w:t>., Eiropas Kopienu, kuru pārstāv Eiropas Komisija, un tām dalībvalstīm, kas norādītas pievienotajās parakstu lapās”</w:t>
            </w:r>
            <w:r w:rsidRPr="00D730B1">
              <w:rPr>
                <w:bCs/>
              </w:rPr>
              <w:t xml:space="preserve"> </w:t>
            </w:r>
            <w:r w:rsidR="006B2272">
              <w:rPr>
                <w:bCs/>
              </w:rPr>
              <w:t>(turpmāk – PMI l</w:t>
            </w:r>
            <w:r w:rsidR="00596F27" w:rsidRPr="00D730B1">
              <w:rPr>
                <w:bCs/>
              </w:rPr>
              <w:t>īgums)</w:t>
            </w:r>
            <w:r w:rsidR="003623C1" w:rsidRPr="00D730B1">
              <w:rPr>
                <w:noProof/>
              </w:rPr>
              <w:t>.</w:t>
            </w:r>
          </w:p>
          <w:p w:rsidR="003623C1" w:rsidRPr="00FB3059" w:rsidRDefault="006B2272" w:rsidP="00761C40">
            <w:pPr>
              <w:pStyle w:val="naiskr"/>
              <w:spacing w:before="0" w:beforeAutospacing="0" w:after="0" w:afterAutospacing="0"/>
              <w:jc w:val="both"/>
              <w:rPr>
                <w:noProof/>
              </w:rPr>
            </w:pPr>
            <w:r>
              <w:rPr>
                <w:bCs/>
              </w:rPr>
              <w:t>PMI l</w:t>
            </w:r>
            <w:r w:rsidR="003623C1" w:rsidRPr="00FB3059">
              <w:rPr>
                <w:bCs/>
              </w:rPr>
              <w:t xml:space="preserve">īgums paredzēja </w:t>
            </w:r>
            <w:r w:rsidR="003623C1" w:rsidRPr="00FB3059">
              <w:rPr>
                <w:noProof/>
              </w:rPr>
              <w:t>visaptverošu</w:t>
            </w:r>
            <w:r w:rsidR="00615ADD">
              <w:rPr>
                <w:noProof/>
              </w:rPr>
              <w:t>,</w:t>
            </w:r>
            <w:r w:rsidR="003623C1" w:rsidRPr="00FB3059">
              <w:rPr>
                <w:noProof/>
              </w:rPr>
              <w:t xml:space="preserve"> </w:t>
            </w:r>
            <w:r w:rsidR="00615ADD">
              <w:rPr>
                <w:bCs/>
              </w:rPr>
              <w:t xml:space="preserve">efektīvu </w:t>
            </w:r>
            <w:r w:rsidR="003623C1" w:rsidRPr="00FB3059">
              <w:rPr>
                <w:noProof/>
              </w:rPr>
              <w:t xml:space="preserve">sistēmu </w:t>
            </w:r>
            <w:r w:rsidR="00615ADD">
              <w:rPr>
                <w:noProof/>
              </w:rPr>
              <w:t xml:space="preserve">pret </w:t>
            </w:r>
            <w:r w:rsidR="00D730B1">
              <w:rPr>
                <w:noProof/>
              </w:rPr>
              <w:t xml:space="preserve">cigarešu  </w:t>
            </w:r>
            <w:r w:rsidR="003623C1" w:rsidRPr="00FB3059">
              <w:rPr>
                <w:noProof/>
              </w:rPr>
              <w:t>kontraband</w:t>
            </w:r>
            <w:r w:rsidR="00615ADD">
              <w:rPr>
                <w:noProof/>
              </w:rPr>
              <w:t>u</w:t>
            </w:r>
            <w:r w:rsidR="00D730B1">
              <w:rPr>
                <w:noProof/>
              </w:rPr>
              <w:t>,</w:t>
            </w:r>
            <w:r w:rsidR="00615ADD">
              <w:rPr>
                <w:noProof/>
              </w:rPr>
              <w:t xml:space="preserve"> to </w:t>
            </w:r>
            <w:r w:rsidR="00615ADD" w:rsidRPr="00615ADD">
              <w:rPr>
                <w:bCs/>
                <w:iCs/>
                <w:color w:val="000000"/>
                <w:shd w:val="clear" w:color="auto" w:fill="FFFFFF"/>
              </w:rPr>
              <w:t>viltošanu</w:t>
            </w:r>
            <w:r w:rsidR="00D730B1" w:rsidRPr="00615ADD">
              <w:rPr>
                <w:noProof/>
              </w:rPr>
              <w:t xml:space="preserve"> </w:t>
            </w:r>
            <w:r w:rsidR="003623C1" w:rsidRPr="00FB3059">
              <w:rPr>
                <w:noProof/>
              </w:rPr>
              <w:t xml:space="preserve"> un naudas atmazgāšanas apkarošan</w:t>
            </w:r>
            <w:r w:rsidR="00615ADD">
              <w:rPr>
                <w:noProof/>
              </w:rPr>
              <w:t>u</w:t>
            </w:r>
            <w:r w:rsidR="003623C1" w:rsidRPr="00FB3059">
              <w:rPr>
                <w:noProof/>
              </w:rPr>
              <w:t xml:space="preserve">, kas tika veikta saistībā ar </w:t>
            </w:r>
            <w:r w:rsidR="003623C1" w:rsidRPr="00FB3059">
              <w:rPr>
                <w:bCs/>
                <w:i/>
                <w:iCs/>
              </w:rPr>
              <w:t>Philip Morris</w:t>
            </w:r>
            <w:r w:rsidR="003623C1" w:rsidRPr="00FB3059">
              <w:rPr>
                <w:noProof/>
              </w:rPr>
              <w:t xml:space="preserve"> cigarešu realizāciju. </w:t>
            </w:r>
          </w:p>
          <w:p w:rsidR="003623C1" w:rsidRPr="00615ADD" w:rsidRDefault="003623C1" w:rsidP="00761C40">
            <w:pPr>
              <w:pStyle w:val="Heading3"/>
              <w:shd w:val="clear" w:color="auto" w:fill="FFFFFF"/>
              <w:spacing w:before="0" w:beforeAutospacing="0" w:after="0" w:afterAutospacing="0"/>
              <w:jc w:val="both"/>
              <w:rPr>
                <w:b w:val="0"/>
                <w:sz w:val="24"/>
                <w:szCs w:val="24"/>
              </w:rPr>
            </w:pPr>
            <w:r w:rsidRPr="00615ADD">
              <w:rPr>
                <w:b w:val="0"/>
                <w:sz w:val="24"/>
                <w:szCs w:val="24"/>
              </w:rPr>
              <w:t xml:space="preserve">Lai veicinātu cigarešu kontrabandas un cigarešu viltojumu ražošanas apkarošanu, 2006.gada 19.oktobrī Saeima pieņēma likumu “Par Kontrabandas un viltojumu apkarošanas līgumu un vispārējo atbrīvojumu, kas noslēgts 2004.gada 9.jūlijā starp </w:t>
            </w:r>
            <w:r w:rsidRPr="00615ADD">
              <w:rPr>
                <w:b w:val="0"/>
                <w:i/>
                <w:iCs/>
                <w:sz w:val="24"/>
                <w:szCs w:val="24"/>
              </w:rPr>
              <w:t>Philip Morris</w:t>
            </w:r>
            <w:r w:rsidRPr="00615ADD">
              <w:rPr>
                <w:b w:val="0"/>
                <w:i/>
                <w:sz w:val="24"/>
                <w:szCs w:val="24"/>
              </w:rPr>
              <w:t xml:space="preserve"> </w:t>
            </w:r>
            <w:proofErr w:type="spellStart"/>
            <w:r w:rsidRPr="00615ADD">
              <w:rPr>
                <w:b w:val="0"/>
                <w:i/>
                <w:iCs/>
                <w:sz w:val="24"/>
                <w:szCs w:val="24"/>
              </w:rPr>
              <w:t>International</w:t>
            </w:r>
            <w:proofErr w:type="spellEnd"/>
            <w:r w:rsidRPr="00615ADD">
              <w:rPr>
                <w:b w:val="0"/>
                <w:i/>
                <w:iCs/>
                <w:sz w:val="24"/>
                <w:szCs w:val="24"/>
              </w:rPr>
              <w:t xml:space="preserve"> </w:t>
            </w:r>
            <w:proofErr w:type="spellStart"/>
            <w:r w:rsidRPr="00615ADD">
              <w:rPr>
                <w:b w:val="0"/>
                <w:i/>
                <w:iCs/>
                <w:sz w:val="24"/>
                <w:szCs w:val="24"/>
              </w:rPr>
              <w:t>Inc</w:t>
            </w:r>
            <w:proofErr w:type="spellEnd"/>
            <w:r w:rsidRPr="00615ADD">
              <w:rPr>
                <w:b w:val="0"/>
                <w:i/>
                <w:sz w:val="24"/>
                <w:szCs w:val="24"/>
              </w:rPr>
              <w:t xml:space="preserve">., </w:t>
            </w:r>
            <w:r w:rsidRPr="00615ADD">
              <w:rPr>
                <w:b w:val="0"/>
                <w:i/>
                <w:iCs/>
                <w:sz w:val="24"/>
                <w:szCs w:val="24"/>
              </w:rPr>
              <w:t xml:space="preserve">Philip Morris </w:t>
            </w:r>
            <w:proofErr w:type="spellStart"/>
            <w:r w:rsidRPr="00615ADD">
              <w:rPr>
                <w:b w:val="0"/>
                <w:i/>
                <w:iCs/>
                <w:sz w:val="24"/>
                <w:szCs w:val="24"/>
              </w:rPr>
              <w:t>Products</w:t>
            </w:r>
            <w:proofErr w:type="spellEnd"/>
            <w:r w:rsidRPr="00615ADD">
              <w:rPr>
                <w:b w:val="0"/>
                <w:i/>
                <w:iCs/>
                <w:sz w:val="24"/>
                <w:szCs w:val="24"/>
              </w:rPr>
              <w:t xml:space="preserve"> </w:t>
            </w:r>
            <w:proofErr w:type="spellStart"/>
            <w:r w:rsidRPr="00615ADD">
              <w:rPr>
                <w:b w:val="0"/>
                <w:i/>
                <w:iCs/>
                <w:sz w:val="24"/>
                <w:szCs w:val="24"/>
              </w:rPr>
              <w:t>Inc</w:t>
            </w:r>
            <w:proofErr w:type="spellEnd"/>
            <w:r w:rsidRPr="00615ADD">
              <w:rPr>
                <w:b w:val="0"/>
                <w:i/>
                <w:sz w:val="24"/>
                <w:szCs w:val="24"/>
              </w:rPr>
              <w:t xml:space="preserve">., </w:t>
            </w:r>
            <w:r w:rsidRPr="00615ADD">
              <w:rPr>
                <w:b w:val="0"/>
                <w:i/>
                <w:iCs/>
                <w:sz w:val="24"/>
                <w:szCs w:val="24"/>
              </w:rPr>
              <w:t xml:space="preserve">Philip Morris </w:t>
            </w:r>
            <w:proofErr w:type="spellStart"/>
            <w:r w:rsidRPr="00615ADD">
              <w:rPr>
                <w:b w:val="0"/>
                <w:i/>
                <w:iCs/>
                <w:sz w:val="24"/>
                <w:szCs w:val="24"/>
              </w:rPr>
              <w:t>Duty</w:t>
            </w:r>
            <w:proofErr w:type="spellEnd"/>
            <w:r w:rsidRPr="00615ADD">
              <w:rPr>
                <w:b w:val="0"/>
                <w:i/>
                <w:iCs/>
                <w:sz w:val="24"/>
                <w:szCs w:val="24"/>
              </w:rPr>
              <w:t xml:space="preserve"> </w:t>
            </w:r>
            <w:proofErr w:type="spellStart"/>
            <w:r w:rsidRPr="00615ADD">
              <w:rPr>
                <w:b w:val="0"/>
                <w:i/>
                <w:iCs/>
                <w:sz w:val="24"/>
                <w:szCs w:val="24"/>
              </w:rPr>
              <w:t>Free</w:t>
            </w:r>
            <w:proofErr w:type="spellEnd"/>
            <w:r w:rsidRPr="00615ADD">
              <w:rPr>
                <w:b w:val="0"/>
                <w:i/>
                <w:iCs/>
                <w:sz w:val="24"/>
                <w:szCs w:val="24"/>
              </w:rPr>
              <w:t xml:space="preserve"> </w:t>
            </w:r>
            <w:proofErr w:type="spellStart"/>
            <w:r w:rsidRPr="00615ADD">
              <w:rPr>
                <w:b w:val="0"/>
                <w:i/>
                <w:iCs/>
                <w:sz w:val="24"/>
                <w:szCs w:val="24"/>
              </w:rPr>
              <w:t>Inc</w:t>
            </w:r>
            <w:proofErr w:type="spellEnd"/>
            <w:r w:rsidRPr="00615ADD">
              <w:rPr>
                <w:b w:val="0"/>
                <w:i/>
                <w:sz w:val="24"/>
                <w:szCs w:val="24"/>
              </w:rPr>
              <w:t>.</w:t>
            </w:r>
            <w:r w:rsidRPr="00615ADD">
              <w:rPr>
                <w:b w:val="0"/>
                <w:sz w:val="24"/>
                <w:szCs w:val="24"/>
              </w:rPr>
              <w:t xml:space="preserve"> un </w:t>
            </w:r>
            <w:r w:rsidRPr="00615ADD">
              <w:rPr>
                <w:b w:val="0"/>
                <w:i/>
                <w:iCs/>
                <w:sz w:val="24"/>
                <w:szCs w:val="24"/>
              </w:rPr>
              <w:t xml:space="preserve">Philip Morris </w:t>
            </w:r>
            <w:proofErr w:type="spellStart"/>
            <w:r w:rsidRPr="00615ADD">
              <w:rPr>
                <w:b w:val="0"/>
                <w:i/>
                <w:iCs/>
                <w:sz w:val="24"/>
                <w:szCs w:val="24"/>
              </w:rPr>
              <w:t>World</w:t>
            </w:r>
            <w:proofErr w:type="spellEnd"/>
            <w:r w:rsidRPr="00615ADD">
              <w:rPr>
                <w:b w:val="0"/>
                <w:i/>
                <w:iCs/>
                <w:sz w:val="24"/>
                <w:szCs w:val="24"/>
              </w:rPr>
              <w:t xml:space="preserve"> </w:t>
            </w:r>
            <w:proofErr w:type="spellStart"/>
            <w:r w:rsidRPr="00615ADD">
              <w:rPr>
                <w:b w:val="0"/>
                <w:i/>
                <w:iCs/>
                <w:sz w:val="24"/>
                <w:szCs w:val="24"/>
              </w:rPr>
              <w:t>Trade</w:t>
            </w:r>
            <w:proofErr w:type="spellEnd"/>
            <w:r w:rsidRPr="00615ADD">
              <w:rPr>
                <w:b w:val="0"/>
                <w:i/>
                <w:iCs/>
                <w:sz w:val="24"/>
                <w:szCs w:val="24"/>
              </w:rPr>
              <w:t xml:space="preserve"> </w:t>
            </w:r>
            <w:proofErr w:type="spellStart"/>
            <w:r w:rsidRPr="00615ADD">
              <w:rPr>
                <w:b w:val="0"/>
                <w:i/>
                <w:iCs/>
                <w:sz w:val="24"/>
                <w:szCs w:val="24"/>
              </w:rPr>
              <w:t>Sarl</w:t>
            </w:r>
            <w:proofErr w:type="spellEnd"/>
            <w:r w:rsidRPr="00615ADD">
              <w:rPr>
                <w:b w:val="0"/>
                <w:i/>
                <w:sz w:val="24"/>
                <w:szCs w:val="24"/>
              </w:rPr>
              <w:t>.</w:t>
            </w:r>
            <w:r w:rsidRPr="00615ADD">
              <w:rPr>
                <w:b w:val="0"/>
                <w:sz w:val="24"/>
                <w:szCs w:val="24"/>
              </w:rPr>
              <w:t xml:space="preserve">, </w:t>
            </w:r>
            <w:r w:rsidRPr="00615ADD">
              <w:rPr>
                <w:b w:val="0"/>
                <w:sz w:val="24"/>
                <w:szCs w:val="24"/>
              </w:rPr>
              <w:lastRenderedPageBreak/>
              <w:t>Eiropas Kopienu, kuru pārstāv Eiropas Komisija, un tām dalībvalstīm, kas norādītas pielikumā pievienotajās parakstu lapās</w:t>
            </w:r>
            <w:r w:rsidRPr="00615ADD">
              <w:rPr>
                <w:b w:val="0"/>
                <w:noProof/>
                <w:sz w:val="24"/>
                <w:szCs w:val="24"/>
              </w:rPr>
              <w:t>”</w:t>
            </w:r>
            <w:r w:rsidR="00D730B1" w:rsidRPr="00615ADD">
              <w:rPr>
                <w:b w:val="0"/>
                <w:noProof/>
                <w:sz w:val="24"/>
                <w:szCs w:val="24"/>
              </w:rPr>
              <w:t xml:space="preserve"> </w:t>
            </w:r>
            <w:r w:rsidR="00615ADD" w:rsidRPr="00615ADD">
              <w:rPr>
                <w:b w:val="0"/>
                <w:noProof/>
                <w:sz w:val="24"/>
                <w:szCs w:val="24"/>
              </w:rPr>
              <w:t xml:space="preserve">un 2015.gada 5.novembrī likumu </w:t>
            </w:r>
            <w:r w:rsidR="00615ADD">
              <w:rPr>
                <w:b w:val="0"/>
                <w:noProof/>
                <w:sz w:val="24"/>
                <w:szCs w:val="24"/>
              </w:rPr>
              <w:t>“</w:t>
            </w:r>
            <w:r w:rsidR="00615ADD" w:rsidRPr="00615ADD">
              <w:rPr>
                <w:b w:val="0"/>
                <w:sz w:val="24"/>
                <w:szCs w:val="24"/>
              </w:rPr>
              <w:t>Līgums par grozījumiem Kontrabandas un viltojumu apkarošanas un vispārējo atbrīvojumu līgumā, kas noslēgts 2004.gada 9.jūlijā starp </w:t>
            </w:r>
            <w:r w:rsidR="00615ADD" w:rsidRPr="00615ADD">
              <w:rPr>
                <w:b w:val="0"/>
                <w:i/>
                <w:iCs/>
                <w:sz w:val="24"/>
                <w:szCs w:val="24"/>
              </w:rPr>
              <w:t xml:space="preserve">Philip Morris </w:t>
            </w:r>
            <w:proofErr w:type="spellStart"/>
            <w:r w:rsidR="00615ADD" w:rsidRPr="00615ADD">
              <w:rPr>
                <w:b w:val="0"/>
                <w:i/>
                <w:iCs/>
                <w:sz w:val="24"/>
                <w:szCs w:val="24"/>
              </w:rPr>
              <w:t>International</w:t>
            </w:r>
            <w:proofErr w:type="spellEnd"/>
            <w:r w:rsidR="00615ADD" w:rsidRPr="00615ADD">
              <w:rPr>
                <w:b w:val="0"/>
                <w:i/>
                <w:iCs/>
                <w:sz w:val="24"/>
                <w:szCs w:val="24"/>
              </w:rPr>
              <w:t xml:space="preserve"> </w:t>
            </w:r>
            <w:proofErr w:type="spellStart"/>
            <w:r w:rsidR="00615ADD" w:rsidRPr="00615ADD">
              <w:rPr>
                <w:b w:val="0"/>
                <w:i/>
                <w:iCs/>
                <w:sz w:val="24"/>
                <w:szCs w:val="24"/>
              </w:rPr>
              <w:t>Inc</w:t>
            </w:r>
            <w:proofErr w:type="spellEnd"/>
            <w:r w:rsidR="00615ADD" w:rsidRPr="00615ADD">
              <w:rPr>
                <w:b w:val="0"/>
                <w:i/>
                <w:iCs/>
                <w:sz w:val="24"/>
                <w:szCs w:val="24"/>
              </w:rPr>
              <w:t xml:space="preserve">., Philip Morris </w:t>
            </w:r>
            <w:proofErr w:type="spellStart"/>
            <w:r w:rsidR="00615ADD" w:rsidRPr="00615ADD">
              <w:rPr>
                <w:b w:val="0"/>
                <w:i/>
                <w:iCs/>
                <w:sz w:val="24"/>
                <w:szCs w:val="24"/>
              </w:rPr>
              <w:t>Products</w:t>
            </w:r>
            <w:proofErr w:type="spellEnd"/>
            <w:r w:rsidR="00615ADD" w:rsidRPr="00615ADD">
              <w:rPr>
                <w:b w:val="0"/>
                <w:i/>
                <w:iCs/>
                <w:sz w:val="24"/>
                <w:szCs w:val="24"/>
              </w:rPr>
              <w:t xml:space="preserve"> </w:t>
            </w:r>
            <w:proofErr w:type="spellStart"/>
            <w:r w:rsidR="00615ADD" w:rsidRPr="00615ADD">
              <w:rPr>
                <w:b w:val="0"/>
                <w:i/>
                <w:iCs/>
                <w:sz w:val="24"/>
                <w:szCs w:val="24"/>
              </w:rPr>
              <w:t>Inc</w:t>
            </w:r>
            <w:proofErr w:type="spellEnd"/>
            <w:r w:rsidR="00615ADD" w:rsidRPr="00615ADD">
              <w:rPr>
                <w:b w:val="0"/>
                <w:i/>
                <w:iCs/>
                <w:sz w:val="24"/>
                <w:szCs w:val="24"/>
              </w:rPr>
              <w:t xml:space="preserve">., Philip Morris </w:t>
            </w:r>
            <w:proofErr w:type="spellStart"/>
            <w:r w:rsidR="00615ADD" w:rsidRPr="00615ADD">
              <w:rPr>
                <w:b w:val="0"/>
                <w:i/>
                <w:iCs/>
                <w:sz w:val="24"/>
                <w:szCs w:val="24"/>
              </w:rPr>
              <w:t>Duty</w:t>
            </w:r>
            <w:proofErr w:type="spellEnd"/>
            <w:r w:rsidR="00615ADD" w:rsidRPr="00615ADD">
              <w:rPr>
                <w:b w:val="0"/>
                <w:i/>
                <w:iCs/>
                <w:sz w:val="24"/>
                <w:szCs w:val="24"/>
              </w:rPr>
              <w:t xml:space="preserve"> </w:t>
            </w:r>
            <w:proofErr w:type="spellStart"/>
            <w:r w:rsidR="00615ADD" w:rsidRPr="00615ADD">
              <w:rPr>
                <w:b w:val="0"/>
                <w:i/>
                <w:iCs/>
                <w:sz w:val="24"/>
                <w:szCs w:val="24"/>
              </w:rPr>
              <w:t>Free</w:t>
            </w:r>
            <w:proofErr w:type="spellEnd"/>
            <w:r w:rsidR="00615ADD" w:rsidRPr="00615ADD">
              <w:rPr>
                <w:b w:val="0"/>
                <w:i/>
                <w:iCs/>
                <w:sz w:val="24"/>
                <w:szCs w:val="24"/>
              </w:rPr>
              <w:t xml:space="preserve"> </w:t>
            </w:r>
            <w:proofErr w:type="spellStart"/>
            <w:r w:rsidR="00615ADD" w:rsidRPr="00615ADD">
              <w:rPr>
                <w:b w:val="0"/>
                <w:i/>
                <w:iCs/>
                <w:sz w:val="24"/>
                <w:szCs w:val="24"/>
              </w:rPr>
              <w:t>Inc</w:t>
            </w:r>
            <w:proofErr w:type="spellEnd"/>
            <w:r w:rsidR="00615ADD" w:rsidRPr="00615ADD">
              <w:rPr>
                <w:b w:val="0"/>
                <w:i/>
                <w:iCs/>
                <w:sz w:val="24"/>
                <w:szCs w:val="24"/>
              </w:rPr>
              <w:t>.</w:t>
            </w:r>
            <w:r w:rsidR="00615ADD" w:rsidRPr="00615ADD">
              <w:rPr>
                <w:b w:val="0"/>
                <w:sz w:val="24"/>
                <w:szCs w:val="24"/>
              </w:rPr>
              <w:t> un </w:t>
            </w:r>
            <w:r w:rsidR="00615ADD" w:rsidRPr="00615ADD">
              <w:rPr>
                <w:b w:val="0"/>
                <w:i/>
                <w:iCs/>
                <w:sz w:val="24"/>
                <w:szCs w:val="24"/>
              </w:rPr>
              <w:t xml:space="preserve">Philip Morris </w:t>
            </w:r>
            <w:proofErr w:type="spellStart"/>
            <w:r w:rsidR="00615ADD" w:rsidRPr="00615ADD">
              <w:rPr>
                <w:b w:val="0"/>
                <w:i/>
                <w:iCs/>
                <w:sz w:val="24"/>
                <w:szCs w:val="24"/>
              </w:rPr>
              <w:t>World</w:t>
            </w:r>
            <w:proofErr w:type="spellEnd"/>
            <w:r w:rsidR="00615ADD" w:rsidRPr="00615ADD">
              <w:rPr>
                <w:b w:val="0"/>
                <w:i/>
                <w:iCs/>
                <w:sz w:val="24"/>
                <w:szCs w:val="24"/>
              </w:rPr>
              <w:t xml:space="preserve"> </w:t>
            </w:r>
            <w:proofErr w:type="spellStart"/>
            <w:r w:rsidR="00615ADD" w:rsidRPr="00615ADD">
              <w:rPr>
                <w:b w:val="0"/>
                <w:i/>
                <w:iCs/>
                <w:sz w:val="24"/>
                <w:szCs w:val="24"/>
              </w:rPr>
              <w:t>Trade</w:t>
            </w:r>
            <w:proofErr w:type="spellEnd"/>
            <w:r w:rsidR="00615ADD" w:rsidRPr="00615ADD">
              <w:rPr>
                <w:b w:val="0"/>
                <w:i/>
                <w:iCs/>
                <w:sz w:val="24"/>
                <w:szCs w:val="24"/>
              </w:rPr>
              <w:t xml:space="preserve"> </w:t>
            </w:r>
            <w:proofErr w:type="spellStart"/>
            <w:r w:rsidR="00615ADD" w:rsidRPr="00615ADD">
              <w:rPr>
                <w:b w:val="0"/>
                <w:i/>
                <w:iCs/>
                <w:sz w:val="24"/>
                <w:szCs w:val="24"/>
              </w:rPr>
              <w:t>Sarl</w:t>
            </w:r>
            <w:proofErr w:type="spellEnd"/>
            <w:r w:rsidR="00615ADD" w:rsidRPr="00615ADD">
              <w:rPr>
                <w:b w:val="0"/>
                <w:i/>
                <w:iCs/>
                <w:sz w:val="24"/>
                <w:szCs w:val="24"/>
              </w:rPr>
              <w:t>.</w:t>
            </w:r>
            <w:r w:rsidR="00615ADD" w:rsidRPr="00615ADD">
              <w:rPr>
                <w:b w:val="0"/>
                <w:sz w:val="24"/>
                <w:szCs w:val="24"/>
              </w:rPr>
              <w:t>, Eiropas Kopienu, kuru pārstāv Eiropas Komisija, un tām dalībvalstīm, kas norādītas pievienotajās parakstu lapās</w:t>
            </w:r>
            <w:r w:rsidR="00615ADD">
              <w:rPr>
                <w:b w:val="0"/>
                <w:sz w:val="24"/>
                <w:szCs w:val="24"/>
              </w:rPr>
              <w:t>”.</w:t>
            </w:r>
          </w:p>
          <w:p w:rsidR="006379F2" w:rsidRDefault="003623C1" w:rsidP="00761C40">
            <w:pPr>
              <w:jc w:val="both"/>
              <w:rPr>
                <w:rFonts w:eastAsia="Times New Roman" w:cs="Times New Roman"/>
                <w:szCs w:val="24"/>
                <w:lang w:eastAsia="lv-LV"/>
              </w:rPr>
            </w:pPr>
            <w:bookmarkStart w:id="1" w:name="Sujet"/>
            <w:r w:rsidRPr="00FB3059">
              <w:rPr>
                <w:rFonts w:cs="Times New Roman"/>
                <w:szCs w:val="24"/>
              </w:rPr>
              <w:t>Eiropas Parlament</w:t>
            </w:r>
            <w:r w:rsidR="00F60BE2">
              <w:rPr>
                <w:rFonts w:cs="Times New Roman"/>
                <w:szCs w:val="24"/>
              </w:rPr>
              <w:t>s</w:t>
            </w:r>
            <w:r w:rsidRPr="00FB3059">
              <w:rPr>
                <w:rFonts w:cs="Times New Roman"/>
                <w:szCs w:val="24"/>
              </w:rPr>
              <w:t xml:space="preserve"> 2</w:t>
            </w:r>
            <w:r w:rsidR="00F60BE2">
              <w:rPr>
                <w:rFonts w:cs="Times New Roman"/>
                <w:szCs w:val="24"/>
              </w:rPr>
              <w:t>016.gada 9.martā</w:t>
            </w:r>
            <w:r w:rsidRPr="00FB3059">
              <w:rPr>
                <w:rFonts w:cs="Times New Roman"/>
                <w:szCs w:val="24"/>
              </w:rPr>
              <w:t xml:space="preserve"> </w:t>
            </w:r>
            <w:r w:rsidR="00F60BE2">
              <w:rPr>
                <w:rFonts w:cs="Times New Roman"/>
                <w:szCs w:val="24"/>
              </w:rPr>
              <w:t>savā rezolūcijā</w:t>
            </w:r>
            <w:r w:rsidRPr="00FB3059">
              <w:rPr>
                <w:rFonts w:cs="Times New Roman"/>
                <w:szCs w:val="24"/>
              </w:rPr>
              <w:t xml:space="preserve"> par Tabakas nolīgumu (PMI nolīgums)</w:t>
            </w:r>
            <w:bookmarkEnd w:id="1"/>
            <w:r w:rsidRPr="00FB3059">
              <w:rPr>
                <w:rFonts w:cs="Times New Roman"/>
                <w:szCs w:val="24"/>
              </w:rPr>
              <w:t xml:space="preserve"> (2016/2555(RSP)</w:t>
            </w:r>
            <w:r w:rsidR="006379F2">
              <w:rPr>
                <w:rFonts w:cs="Times New Roman"/>
                <w:szCs w:val="24"/>
              </w:rPr>
              <w:t xml:space="preserve"> </w:t>
            </w:r>
            <w:r w:rsidR="006379F2">
              <w:rPr>
                <w:rFonts w:eastAsia="Times New Roman" w:cs="Times New Roman"/>
                <w:szCs w:val="24"/>
                <w:lang w:eastAsia="lv-LV"/>
              </w:rPr>
              <w:t xml:space="preserve">tika norādīts, ka </w:t>
            </w:r>
            <w:r w:rsidR="006B2272">
              <w:rPr>
                <w:rFonts w:eastAsia="Times New Roman" w:cs="Times New Roman"/>
                <w:szCs w:val="24"/>
                <w:lang w:eastAsia="lv-LV"/>
              </w:rPr>
              <w:t>PMI l</w:t>
            </w:r>
            <w:r w:rsidR="006379F2">
              <w:rPr>
                <w:rFonts w:eastAsia="Times New Roman" w:cs="Times New Roman"/>
                <w:szCs w:val="24"/>
                <w:lang w:eastAsia="lv-LV"/>
              </w:rPr>
              <w:t xml:space="preserve">īguma galvenais mērķis bija samazināt </w:t>
            </w:r>
            <w:r w:rsidR="006379F2" w:rsidRPr="00C03FD5">
              <w:rPr>
                <w:rFonts w:eastAsia="Times New Roman" w:cs="Times New Roman"/>
                <w:i/>
                <w:iCs/>
                <w:szCs w:val="24"/>
                <w:lang w:eastAsia="lv-LV"/>
              </w:rPr>
              <w:t>PMI</w:t>
            </w:r>
            <w:r w:rsidR="006379F2">
              <w:rPr>
                <w:rFonts w:eastAsia="Times New Roman" w:cs="Times New Roman"/>
                <w:szCs w:val="24"/>
                <w:lang w:eastAsia="lv-LV"/>
              </w:rPr>
              <w:t xml:space="preserve"> </w:t>
            </w:r>
            <w:r w:rsidR="006379F2" w:rsidRPr="00E2195B">
              <w:rPr>
                <w:rFonts w:eastAsia="Times New Roman" w:cs="Times New Roman"/>
                <w:szCs w:val="24"/>
                <w:lang w:eastAsia="lv-LV"/>
              </w:rPr>
              <w:t xml:space="preserve">kontrabandas izplatību nelegālajā tabakas tirgū </w:t>
            </w:r>
            <w:r w:rsidR="006379F2">
              <w:rPr>
                <w:rFonts w:eastAsia="Times New Roman" w:cs="Times New Roman"/>
                <w:szCs w:val="24"/>
                <w:lang w:eastAsia="lv-LV"/>
              </w:rPr>
              <w:t xml:space="preserve">ES un tas </w:t>
            </w:r>
            <w:r w:rsidR="006379F2" w:rsidRPr="00E2195B">
              <w:rPr>
                <w:rFonts w:eastAsia="Times New Roman" w:cs="Times New Roman"/>
                <w:szCs w:val="24"/>
                <w:lang w:eastAsia="lv-LV"/>
              </w:rPr>
              <w:t xml:space="preserve">faktiski </w:t>
            </w:r>
            <w:r w:rsidR="006379F2">
              <w:rPr>
                <w:rFonts w:eastAsia="Times New Roman" w:cs="Times New Roman"/>
                <w:szCs w:val="24"/>
                <w:lang w:eastAsia="lv-LV"/>
              </w:rPr>
              <w:t xml:space="preserve">tika </w:t>
            </w:r>
            <w:r w:rsidR="006379F2" w:rsidRPr="00E2195B">
              <w:rPr>
                <w:rFonts w:eastAsia="Times New Roman" w:cs="Times New Roman"/>
                <w:szCs w:val="24"/>
                <w:lang w:eastAsia="lv-LV"/>
              </w:rPr>
              <w:t>sasniegts</w:t>
            </w:r>
            <w:r w:rsidR="006379F2">
              <w:rPr>
                <w:rFonts w:eastAsia="Times New Roman" w:cs="Times New Roman"/>
                <w:szCs w:val="24"/>
                <w:lang w:eastAsia="lv-LV"/>
              </w:rPr>
              <w:t xml:space="preserve">. Tomēr papildus tika norādīts, ka </w:t>
            </w:r>
            <w:r w:rsidR="006379F2" w:rsidRPr="00A80D09">
              <w:rPr>
                <w:rFonts w:eastAsia="Times New Roman" w:cs="Times New Roman"/>
                <w:iCs/>
                <w:szCs w:val="24"/>
                <w:lang w:eastAsia="lv-LV"/>
              </w:rPr>
              <w:t>PMI</w:t>
            </w:r>
            <w:r w:rsidR="006379F2" w:rsidRPr="00A80D09">
              <w:rPr>
                <w:rFonts w:eastAsia="Times New Roman" w:cs="Times New Roman"/>
                <w:szCs w:val="24"/>
                <w:lang w:eastAsia="lv-LV"/>
              </w:rPr>
              <w:t xml:space="preserve"> </w:t>
            </w:r>
            <w:r w:rsidR="006379F2" w:rsidRPr="00E2195B">
              <w:rPr>
                <w:rFonts w:eastAsia="Times New Roman" w:cs="Times New Roman"/>
                <w:szCs w:val="24"/>
                <w:lang w:eastAsia="lv-LV"/>
              </w:rPr>
              <w:t xml:space="preserve">kontrabandas samazināšanās </w:t>
            </w:r>
            <w:r w:rsidR="006379F2">
              <w:rPr>
                <w:rFonts w:eastAsia="Times New Roman" w:cs="Times New Roman"/>
                <w:szCs w:val="24"/>
                <w:lang w:eastAsia="lv-LV"/>
              </w:rPr>
              <w:t xml:space="preserve">nav radījusi </w:t>
            </w:r>
            <w:r w:rsidR="006379F2" w:rsidRPr="00E2195B">
              <w:rPr>
                <w:rFonts w:eastAsia="Times New Roman" w:cs="Times New Roman"/>
                <w:szCs w:val="24"/>
                <w:lang w:eastAsia="lv-LV"/>
              </w:rPr>
              <w:t>nelegālu izstrādājumu apjoma v</w:t>
            </w:r>
            <w:r w:rsidR="006379F2">
              <w:rPr>
                <w:rFonts w:eastAsia="Times New Roman" w:cs="Times New Roman"/>
                <w:szCs w:val="24"/>
                <w:lang w:eastAsia="lv-LV"/>
              </w:rPr>
              <w:t xml:space="preserve">ispārēju samazināšanos ES tirgū. Tāpat tika secināts, ka </w:t>
            </w:r>
            <w:r w:rsidR="00A80D09">
              <w:rPr>
                <w:rFonts w:eastAsia="Times New Roman" w:cs="Times New Roman"/>
                <w:szCs w:val="24"/>
                <w:lang w:eastAsia="lv-LV"/>
              </w:rPr>
              <w:t>kopš PMI l</w:t>
            </w:r>
            <w:r w:rsidR="006379F2" w:rsidRPr="00E2195B">
              <w:rPr>
                <w:rFonts w:eastAsia="Times New Roman" w:cs="Times New Roman"/>
                <w:szCs w:val="24"/>
                <w:lang w:eastAsia="lv-LV"/>
              </w:rPr>
              <w:t>īguma parakstīšanas notikušas būtiskas izmaiņas gan tiesiskajā regulējumā, gan nelikumīgā tabakas tirgus apstākļos, it īpaši palielinājies cigarešu bez starptautiski pazīstamiem</w:t>
            </w:r>
            <w:r w:rsidR="006379F2">
              <w:rPr>
                <w:rFonts w:eastAsia="Times New Roman" w:cs="Times New Roman"/>
                <w:szCs w:val="24"/>
                <w:lang w:eastAsia="lv-LV"/>
              </w:rPr>
              <w:t xml:space="preserve"> zīmoliem jeb t. s. “lēto balto”</w:t>
            </w:r>
            <w:r w:rsidR="006379F2" w:rsidRPr="00E2195B">
              <w:rPr>
                <w:rFonts w:eastAsia="Times New Roman" w:cs="Times New Roman"/>
                <w:szCs w:val="24"/>
                <w:lang w:eastAsia="lv-LV"/>
              </w:rPr>
              <w:t xml:space="preserve"> cigarešu apjoms, kā arī attīstījusies jauna joma, proti, šķidrā nikotīna pārdošana lieto</w:t>
            </w:r>
            <w:r w:rsidR="006379F2">
              <w:rPr>
                <w:rFonts w:eastAsia="Times New Roman" w:cs="Times New Roman"/>
                <w:szCs w:val="24"/>
                <w:lang w:eastAsia="lv-LV"/>
              </w:rPr>
              <w:t>šanai elektroniskajās cigaretēs. Tāpat rezolūcij</w:t>
            </w:r>
            <w:r w:rsidR="003B31DF">
              <w:rPr>
                <w:rFonts w:eastAsia="Times New Roman" w:cs="Times New Roman"/>
                <w:szCs w:val="24"/>
                <w:lang w:eastAsia="lv-LV"/>
              </w:rPr>
              <w:t>ā</w:t>
            </w:r>
            <w:r w:rsidR="006379F2">
              <w:rPr>
                <w:rFonts w:eastAsia="Times New Roman" w:cs="Times New Roman"/>
                <w:szCs w:val="24"/>
                <w:lang w:eastAsia="lv-LV"/>
              </w:rPr>
              <w:t xml:space="preserve"> tiek </w:t>
            </w:r>
            <w:r w:rsidR="006379F2" w:rsidRPr="00E2195B">
              <w:rPr>
                <w:rFonts w:eastAsia="Times New Roman" w:cs="Times New Roman"/>
                <w:szCs w:val="24"/>
                <w:lang w:eastAsia="lv-LV"/>
              </w:rPr>
              <w:t>uzsv</w:t>
            </w:r>
            <w:r w:rsidR="006379F2">
              <w:rPr>
                <w:rFonts w:eastAsia="Times New Roman" w:cs="Times New Roman"/>
                <w:szCs w:val="24"/>
                <w:lang w:eastAsia="lv-LV"/>
              </w:rPr>
              <w:t>ē</w:t>
            </w:r>
            <w:r w:rsidR="006379F2" w:rsidRPr="00E2195B">
              <w:rPr>
                <w:rFonts w:eastAsia="Times New Roman" w:cs="Times New Roman"/>
                <w:szCs w:val="24"/>
                <w:lang w:eastAsia="lv-LV"/>
              </w:rPr>
              <w:t>r</w:t>
            </w:r>
            <w:r w:rsidR="003B31DF">
              <w:rPr>
                <w:rFonts w:eastAsia="Times New Roman" w:cs="Times New Roman"/>
                <w:szCs w:val="24"/>
                <w:lang w:eastAsia="lv-LV"/>
              </w:rPr>
              <w:t>t</w:t>
            </w:r>
            <w:r w:rsidR="006379F2">
              <w:rPr>
                <w:rFonts w:eastAsia="Times New Roman" w:cs="Times New Roman"/>
                <w:szCs w:val="24"/>
                <w:lang w:eastAsia="lv-LV"/>
              </w:rPr>
              <w:t>s</w:t>
            </w:r>
            <w:r w:rsidR="003B31DF">
              <w:rPr>
                <w:rFonts w:eastAsia="Times New Roman" w:cs="Times New Roman"/>
                <w:szCs w:val="24"/>
                <w:lang w:eastAsia="lv-LV"/>
              </w:rPr>
              <w:t xml:space="preserve">, ka </w:t>
            </w:r>
            <w:r w:rsidR="006379F2" w:rsidRPr="00A80D09">
              <w:rPr>
                <w:rFonts w:eastAsia="Times New Roman" w:cs="Times New Roman"/>
                <w:iCs/>
                <w:szCs w:val="24"/>
                <w:lang w:eastAsia="lv-LV"/>
              </w:rPr>
              <w:t>PMI</w:t>
            </w:r>
            <w:r w:rsidR="003B31DF">
              <w:rPr>
                <w:rFonts w:eastAsia="Times New Roman" w:cs="Times New Roman"/>
                <w:szCs w:val="24"/>
                <w:lang w:eastAsia="lv-LV"/>
              </w:rPr>
              <w:t xml:space="preserve"> </w:t>
            </w:r>
            <w:r w:rsidR="006379F2" w:rsidRPr="00E2195B">
              <w:rPr>
                <w:rFonts w:eastAsia="Times New Roman" w:cs="Times New Roman"/>
                <w:szCs w:val="24"/>
                <w:lang w:eastAsia="lv-LV"/>
              </w:rPr>
              <w:t>līgums tā pirmajā noslēgšanas reizē 2004. gadā bija inovatīvs instruments cīņā ar nelikumīgu tabakas tirdzniecību, taču kopš tā laika tirgū un regulatīvajā vidē ir notikušas būtiskas izmaiņas</w:t>
            </w:r>
            <w:r w:rsidR="006379F2">
              <w:rPr>
                <w:rFonts w:eastAsia="Times New Roman" w:cs="Times New Roman"/>
                <w:szCs w:val="24"/>
                <w:lang w:eastAsia="lv-LV"/>
              </w:rPr>
              <w:t xml:space="preserve">. Bez tam </w:t>
            </w:r>
            <w:r w:rsidR="006379F2" w:rsidRPr="00E2195B">
              <w:rPr>
                <w:rFonts w:eastAsia="Times New Roman" w:cs="Times New Roman"/>
                <w:szCs w:val="24"/>
                <w:lang w:eastAsia="lv-LV"/>
              </w:rPr>
              <w:t xml:space="preserve"> nolīgums neattiecas uz tabakas izstrādājumu nelikumīgas tirdzniecības būtiskām iezīmēm pašlaik, it īpaši uz t. s. „lēto balto“ cigarešu tirdzniecības lielo īpatsvaru</w:t>
            </w:r>
            <w:r w:rsidR="006379F2">
              <w:rPr>
                <w:rFonts w:eastAsia="Times New Roman" w:cs="Times New Roman"/>
                <w:szCs w:val="24"/>
                <w:lang w:eastAsia="lv-LV"/>
              </w:rPr>
              <w:t>. Ņemot vērā minēto un citus rezolūcijā minētos aspektus Eiropas Parlaments</w:t>
            </w:r>
            <w:r w:rsidR="006379F2" w:rsidRPr="00E2195B">
              <w:rPr>
                <w:rFonts w:eastAsia="Times New Roman" w:cs="Times New Roman"/>
                <w:szCs w:val="24"/>
                <w:lang w:eastAsia="lv-LV"/>
              </w:rPr>
              <w:t xml:space="preserve"> </w:t>
            </w:r>
            <w:r w:rsidR="006379F2">
              <w:rPr>
                <w:rFonts w:eastAsia="Times New Roman" w:cs="Times New Roman"/>
                <w:szCs w:val="24"/>
                <w:lang w:eastAsia="lv-LV"/>
              </w:rPr>
              <w:t>norāda</w:t>
            </w:r>
            <w:r w:rsidR="006379F2" w:rsidRPr="00E2195B">
              <w:rPr>
                <w:rFonts w:eastAsia="Times New Roman" w:cs="Times New Roman"/>
                <w:szCs w:val="24"/>
                <w:lang w:eastAsia="lv-LV"/>
              </w:rPr>
              <w:t xml:space="preserve">, ka visi </w:t>
            </w:r>
            <w:r w:rsidR="00A80D09">
              <w:rPr>
                <w:rFonts w:eastAsia="Times New Roman" w:cs="Times New Roman"/>
                <w:szCs w:val="24"/>
                <w:lang w:eastAsia="lv-LV"/>
              </w:rPr>
              <w:t xml:space="preserve">PMI līgumā </w:t>
            </w:r>
            <w:r w:rsidR="006379F2" w:rsidRPr="00E2195B">
              <w:rPr>
                <w:rFonts w:eastAsia="Times New Roman" w:cs="Times New Roman"/>
                <w:szCs w:val="24"/>
                <w:lang w:eastAsia="lv-LV"/>
              </w:rPr>
              <w:t>ietvertie elementi tiks iekļauti jaunajā tiesiskajā regulējumā, ko veido</w:t>
            </w:r>
            <w:r w:rsidR="006379F2">
              <w:rPr>
                <w:rFonts w:eastAsia="Times New Roman" w:cs="Times New Roman"/>
                <w:szCs w:val="24"/>
                <w:lang w:eastAsia="lv-LV"/>
              </w:rPr>
              <w:t>s</w:t>
            </w:r>
            <w:r w:rsidR="006379F2" w:rsidRPr="00E2195B">
              <w:rPr>
                <w:rFonts w:eastAsia="Times New Roman" w:cs="Times New Roman"/>
                <w:szCs w:val="24"/>
                <w:lang w:eastAsia="lv-LV"/>
              </w:rPr>
              <w:t xml:space="preserve"> Tabakas izstrādājumu direktīva un Pasaules Veselības or</w:t>
            </w:r>
            <w:r w:rsidR="006379F2">
              <w:rPr>
                <w:rFonts w:eastAsia="Times New Roman" w:cs="Times New Roman"/>
                <w:szCs w:val="24"/>
                <w:lang w:eastAsia="lv-LV"/>
              </w:rPr>
              <w:t>ganizācijas Vispārējo konvencijas</w:t>
            </w:r>
            <w:r w:rsidR="006379F2" w:rsidRPr="00E2195B">
              <w:rPr>
                <w:rFonts w:eastAsia="Times New Roman" w:cs="Times New Roman"/>
                <w:szCs w:val="24"/>
                <w:lang w:eastAsia="lv-LV"/>
              </w:rPr>
              <w:t xml:space="preserve"> par tabakas uzraudzību </w:t>
            </w:r>
            <w:r w:rsidR="006379F2">
              <w:rPr>
                <w:rFonts w:eastAsia="Times New Roman" w:cs="Times New Roman"/>
                <w:szCs w:val="24"/>
                <w:lang w:eastAsia="lv-LV"/>
              </w:rPr>
              <w:t>Protokols</w:t>
            </w:r>
            <w:r w:rsidR="006379F2" w:rsidRPr="00E2195B">
              <w:rPr>
                <w:rFonts w:eastAsia="Times New Roman" w:cs="Times New Roman"/>
                <w:szCs w:val="24"/>
                <w:lang w:eastAsia="lv-LV"/>
              </w:rPr>
              <w:t xml:space="preserve"> par tabakas izstrādājumu nelikumīgas tirdzniecības ierobežošanu</w:t>
            </w:r>
            <w:r w:rsidR="006379F2">
              <w:rPr>
                <w:rFonts w:eastAsia="Times New Roman" w:cs="Times New Roman"/>
                <w:szCs w:val="24"/>
                <w:lang w:eastAsia="lv-LV"/>
              </w:rPr>
              <w:t>. Eiropas Parlaments aicināja</w:t>
            </w:r>
            <w:r w:rsidR="006379F2" w:rsidRPr="00E2195B">
              <w:rPr>
                <w:rFonts w:eastAsia="Times New Roman" w:cs="Times New Roman"/>
                <w:szCs w:val="24"/>
                <w:lang w:eastAsia="lv-LV"/>
              </w:rPr>
              <w:t xml:space="preserve"> </w:t>
            </w:r>
            <w:r w:rsidR="006379F2">
              <w:rPr>
                <w:rFonts w:eastAsia="Times New Roman" w:cs="Times New Roman"/>
                <w:szCs w:val="24"/>
                <w:lang w:eastAsia="lv-LV"/>
              </w:rPr>
              <w:t xml:space="preserve">Eiropas Komisiju </w:t>
            </w:r>
            <w:r w:rsidR="006379F2" w:rsidRPr="00E2195B">
              <w:rPr>
                <w:rFonts w:eastAsia="Times New Roman" w:cs="Times New Roman"/>
                <w:szCs w:val="24"/>
                <w:lang w:eastAsia="lv-LV"/>
              </w:rPr>
              <w:t xml:space="preserve">ne atjaunot </w:t>
            </w:r>
            <w:r w:rsidR="003763D1">
              <w:rPr>
                <w:rFonts w:eastAsia="Times New Roman" w:cs="Times New Roman"/>
                <w:szCs w:val="24"/>
                <w:lang w:eastAsia="lv-LV"/>
              </w:rPr>
              <w:t xml:space="preserve">PMI </w:t>
            </w:r>
            <w:r w:rsidR="006379F2" w:rsidRPr="00E2195B">
              <w:rPr>
                <w:rFonts w:eastAsia="Times New Roman" w:cs="Times New Roman"/>
                <w:szCs w:val="24"/>
                <w:lang w:eastAsia="lv-LV"/>
              </w:rPr>
              <w:t xml:space="preserve">līgumu, ne pagarināt tā termiņu vai to atkārtoti apspriest pēc </w:t>
            </w:r>
            <w:r w:rsidR="006379F2">
              <w:rPr>
                <w:rFonts w:eastAsia="Times New Roman" w:cs="Times New Roman"/>
                <w:szCs w:val="24"/>
                <w:lang w:eastAsia="lv-LV"/>
              </w:rPr>
              <w:t>termiņa beigām.</w:t>
            </w:r>
          </w:p>
          <w:p w:rsidR="006379F2" w:rsidRDefault="003623C1" w:rsidP="00761C40">
            <w:pPr>
              <w:jc w:val="both"/>
              <w:rPr>
                <w:rFonts w:cs="Times New Roman"/>
                <w:noProof/>
                <w:szCs w:val="24"/>
              </w:rPr>
            </w:pPr>
            <w:r w:rsidRPr="00FB3059">
              <w:rPr>
                <w:rFonts w:cs="Times New Roman"/>
                <w:szCs w:val="24"/>
              </w:rPr>
              <w:t xml:space="preserve">Vienlaikus </w:t>
            </w:r>
            <w:r w:rsidRPr="00FB3059">
              <w:rPr>
                <w:rFonts w:cs="Times New Roman"/>
                <w:szCs w:val="24"/>
                <w:shd w:val="clear" w:color="auto" w:fill="FFFFFF"/>
              </w:rPr>
              <w:t xml:space="preserve">Eiropas Komisijas secināja, ka nelikumīga cigarešu tirdzniecība ir globāla problēma, kas prasa sadarbību pasaules mērogā. Ņemot vērā minēto, Eiropas Komisija strādā pie </w:t>
            </w:r>
            <w:r w:rsidRPr="00FB3059">
              <w:rPr>
                <w:rFonts w:cs="Times New Roman"/>
                <w:noProof/>
                <w:szCs w:val="24"/>
              </w:rPr>
              <w:t xml:space="preserve">atbilstošus tiesību aktu izstrādāšanas, stingru tiesību aizsardzības, kā arī tiek uzlabota sadarbība valstu, Eiropas un starptautiskajā līmenī. Balstoties uz stratēģiju </w:t>
            </w:r>
            <w:r w:rsidRPr="00FB3059">
              <w:rPr>
                <w:rFonts w:cs="Times New Roman"/>
                <w:szCs w:val="24"/>
                <w:shd w:val="clear" w:color="auto" w:fill="FFFFFF"/>
              </w:rPr>
              <w:t xml:space="preserve">Eiropas Komisija aktīvi ievieš </w:t>
            </w:r>
            <w:r w:rsidRPr="00FB3059">
              <w:rPr>
                <w:rFonts w:cs="Times New Roman"/>
                <w:noProof/>
                <w:szCs w:val="24"/>
              </w:rPr>
              <w:t xml:space="preserve">Pasaules Veselības organizācijas vispārējās konvencijas par tabakas uzraudzību Protokolā par tabakas izstrādājumu </w:t>
            </w:r>
            <w:r w:rsidRPr="00FB3059">
              <w:rPr>
                <w:rFonts w:cs="Times New Roman"/>
                <w:noProof/>
                <w:szCs w:val="24"/>
              </w:rPr>
              <w:lastRenderedPageBreak/>
              <w:t>nelikumīgas tirdzniecības ierobežošanu (</w:t>
            </w:r>
            <w:r w:rsidRPr="00FB3059">
              <w:rPr>
                <w:rFonts w:cs="Times New Roman"/>
                <w:i/>
                <w:noProof/>
                <w:szCs w:val="24"/>
              </w:rPr>
              <w:t>FCTC</w:t>
            </w:r>
            <w:r w:rsidRPr="00FB3059">
              <w:rPr>
                <w:rFonts w:cs="Times New Roman"/>
                <w:noProof/>
                <w:szCs w:val="24"/>
              </w:rPr>
              <w:t xml:space="preserve"> protokols) paredzētos pasākumus, kā arī ES ir atjauninājusi un stiprinājusi normatīvo aktu tiesisko regulējumu pārskatot Regulas un Direktīvas.</w:t>
            </w:r>
          </w:p>
          <w:p w:rsidR="003763D1" w:rsidRPr="003763D1" w:rsidRDefault="003763D1" w:rsidP="00761C40">
            <w:pPr>
              <w:jc w:val="both"/>
              <w:rPr>
                <w:rFonts w:eastAsia="Times New Roman" w:cs="Times New Roman"/>
                <w:szCs w:val="24"/>
                <w:lang w:eastAsia="lv-LV"/>
              </w:rPr>
            </w:pPr>
            <w:r>
              <w:rPr>
                <w:rFonts w:cs="Times New Roman"/>
                <w:noProof/>
                <w:szCs w:val="24"/>
              </w:rPr>
              <w:t xml:space="preserve">Tā kā </w:t>
            </w:r>
            <w:r w:rsidRPr="003763D1">
              <w:rPr>
                <w:shd w:val="clear" w:color="auto" w:fill="FFFFFF"/>
              </w:rPr>
              <w:t xml:space="preserve">PMI līgums netika </w:t>
            </w:r>
            <w:r w:rsidRPr="003763D1">
              <w:t xml:space="preserve">pagarināts pēc tā izpildes </w:t>
            </w:r>
            <w:r w:rsidR="003B31DF">
              <w:t>termiņa</w:t>
            </w:r>
            <w:r w:rsidRPr="003763D1">
              <w:t xml:space="preserve"> datuma, </w:t>
            </w:r>
            <w:r>
              <w:t>tas</w:t>
            </w:r>
            <w:r w:rsidRPr="003763D1">
              <w:t xml:space="preserve"> </w:t>
            </w:r>
            <w:r w:rsidRPr="003763D1">
              <w:rPr>
                <w:bCs/>
              </w:rPr>
              <w:t xml:space="preserve">spēku zaudēja </w:t>
            </w:r>
            <w:r w:rsidRPr="003763D1">
              <w:rPr>
                <w:shd w:val="clear" w:color="auto" w:fill="FFFFFF"/>
              </w:rPr>
              <w:t>2016.gada 9.jūlijā.</w:t>
            </w:r>
          </w:p>
          <w:p w:rsidR="00596F27" w:rsidRPr="003763D1" w:rsidRDefault="003763D1" w:rsidP="00761C40">
            <w:pPr>
              <w:pStyle w:val="naiskr"/>
              <w:spacing w:before="0" w:beforeAutospacing="0" w:after="0" w:afterAutospacing="0"/>
              <w:jc w:val="both"/>
              <w:rPr>
                <w:shd w:val="clear" w:color="auto" w:fill="FFFFFF"/>
              </w:rPr>
            </w:pPr>
            <w:r w:rsidRPr="003763D1">
              <w:rPr>
                <w:shd w:val="clear" w:color="auto" w:fill="FFFFFF"/>
              </w:rPr>
              <w:t>Ņemot vērā minēto</w:t>
            </w:r>
            <w:r w:rsidR="000127F9">
              <w:rPr>
                <w:shd w:val="clear" w:color="auto" w:fill="FFFFFF"/>
              </w:rPr>
              <w:t>,</w:t>
            </w:r>
            <w:r w:rsidRPr="003763D1">
              <w:rPr>
                <w:shd w:val="clear" w:color="auto" w:fill="FFFFFF"/>
              </w:rPr>
              <w:t xml:space="preserve"> </w:t>
            </w:r>
            <w:r w:rsidR="000127F9">
              <w:rPr>
                <w:shd w:val="clear" w:color="auto" w:fill="FFFFFF"/>
              </w:rPr>
              <w:t>L</w:t>
            </w:r>
            <w:r w:rsidRPr="003763D1">
              <w:rPr>
                <w:shd w:val="clear" w:color="auto" w:fill="FFFFFF"/>
              </w:rPr>
              <w:t xml:space="preserve">ikums ir atzīstams par </w:t>
            </w:r>
            <w:r w:rsidRPr="003763D1">
              <w:rPr>
                <w:bCs/>
              </w:rPr>
              <w:t>spēku zaudējušu.</w:t>
            </w:r>
          </w:p>
        </w:tc>
      </w:tr>
      <w:tr w:rsidR="00FB3059" w:rsidRPr="00452B7F" w:rsidTr="00452B7F">
        <w:tc>
          <w:tcPr>
            <w:tcW w:w="3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spacing w:before="100" w:beforeAutospacing="1" w:after="100" w:afterAutospacing="1" w:line="315" w:lineRule="atLeast"/>
              <w:jc w:val="center"/>
              <w:rPr>
                <w:rFonts w:eastAsia="Times New Roman" w:cs="Times New Roman"/>
                <w:szCs w:val="24"/>
                <w:lang w:eastAsia="lv-LV"/>
              </w:rPr>
            </w:pPr>
            <w:r w:rsidRPr="00452B7F">
              <w:rPr>
                <w:rFonts w:eastAsia="Times New Roman" w:cs="Times New Roman"/>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rPr>
                <w:rFonts w:eastAsia="Times New Roman" w:cs="Times New Roman"/>
                <w:szCs w:val="24"/>
                <w:lang w:eastAsia="lv-LV"/>
              </w:rPr>
            </w:pPr>
            <w:r w:rsidRPr="00452B7F">
              <w:rPr>
                <w:rFonts w:eastAsia="Times New Roman" w:cs="Times New Roman"/>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452B7F" w:rsidRPr="00452B7F" w:rsidRDefault="00A74652" w:rsidP="00452B7F">
            <w:pPr>
              <w:rPr>
                <w:rFonts w:eastAsia="Times New Roman" w:cs="Times New Roman"/>
                <w:szCs w:val="24"/>
                <w:lang w:eastAsia="lv-LV"/>
              </w:rPr>
            </w:pPr>
            <w:r>
              <w:rPr>
                <w:rFonts w:eastAsia="Times New Roman" w:cs="Times New Roman"/>
                <w:szCs w:val="24"/>
                <w:lang w:eastAsia="lv-LV"/>
              </w:rPr>
              <w:t>Finanšu ministrija.</w:t>
            </w:r>
          </w:p>
        </w:tc>
      </w:tr>
      <w:tr w:rsidR="00FB3059" w:rsidRPr="00452B7F" w:rsidTr="00452B7F">
        <w:tc>
          <w:tcPr>
            <w:tcW w:w="3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spacing w:before="100" w:beforeAutospacing="1" w:after="100" w:afterAutospacing="1" w:line="315" w:lineRule="atLeast"/>
              <w:jc w:val="center"/>
              <w:rPr>
                <w:rFonts w:eastAsia="Times New Roman" w:cs="Times New Roman"/>
                <w:szCs w:val="24"/>
                <w:lang w:eastAsia="lv-LV"/>
              </w:rPr>
            </w:pPr>
            <w:r w:rsidRPr="00452B7F">
              <w:rPr>
                <w:rFonts w:eastAsia="Times New Roman" w:cs="Times New Roman"/>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rPr>
                <w:rFonts w:eastAsia="Times New Roman" w:cs="Times New Roman"/>
                <w:szCs w:val="24"/>
                <w:lang w:eastAsia="lv-LV"/>
              </w:rPr>
            </w:pPr>
            <w:r w:rsidRPr="00452B7F">
              <w:rPr>
                <w:rFonts w:eastAsia="Times New Roman" w:cs="Times New Roman"/>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452B7F" w:rsidRPr="00452B7F" w:rsidRDefault="00A74652" w:rsidP="00452B7F">
            <w:pPr>
              <w:rPr>
                <w:rFonts w:eastAsia="Times New Roman" w:cs="Times New Roman"/>
                <w:szCs w:val="24"/>
                <w:lang w:eastAsia="lv-LV"/>
              </w:rPr>
            </w:pPr>
            <w:r>
              <w:rPr>
                <w:rFonts w:eastAsia="Times New Roman" w:cs="Times New Roman"/>
                <w:szCs w:val="24"/>
                <w:lang w:eastAsia="lv-LV"/>
              </w:rPr>
              <w:t>Nav.</w:t>
            </w:r>
          </w:p>
        </w:tc>
      </w:tr>
    </w:tbl>
    <w:p w:rsidR="00452B7F" w:rsidRDefault="00452B7F" w:rsidP="00452B7F">
      <w:pPr>
        <w:rPr>
          <w:rFonts w:eastAsia="Times New Roman" w:cs="Times New Roman"/>
          <w:szCs w:val="24"/>
          <w:lang w:eastAsia="lv-LV"/>
        </w:rPr>
      </w:pPr>
      <w:r w:rsidRPr="00452B7F">
        <w:rPr>
          <w:rFonts w:eastAsia="Times New Roman" w:cs="Times New Roman"/>
          <w:szCs w:val="24"/>
          <w:lang w:eastAsia="lv-LV"/>
        </w:rPr>
        <w:t> </w:t>
      </w:r>
    </w:p>
    <w:p w:rsidR="007A5666" w:rsidRPr="00452B7F" w:rsidRDefault="007A5666" w:rsidP="00452B7F">
      <w:pPr>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3"/>
      </w:tblGrid>
      <w:tr w:rsidR="00FB3059" w:rsidRPr="00452B7F" w:rsidTr="00452B7F">
        <w:tc>
          <w:tcPr>
            <w:tcW w:w="0" w:type="auto"/>
            <w:tcBorders>
              <w:top w:val="outset" w:sz="6" w:space="0" w:color="414142"/>
              <w:left w:val="outset" w:sz="6" w:space="0" w:color="414142"/>
              <w:bottom w:val="outset" w:sz="6" w:space="0" w:color="414142"/>
              <w:right w:val="outset" w:sz="6" w:space="0" w:color="414142"/>
            </w:tcBorders>
            <w:vAlign w:val="center"/>
            <w:hideMark/>
          </w:tcPr>
          <w:p w:rsidR="00452B7F" w:rsidRPr="00452B7F" w:rsidRDefault="00452B7F" w:rsidP="00452B7F">
            <w:pPr>
              <w:spacing w:before="100" w:beforeAutospacing="1" w:after="100" w:afterAutospacing="1" w:line="315" w:lineRule="atLeast"/>
              <w:jc w:val="center"/>
              <w:rPr>
                <w:rFonts w:eastAsia="Times New Roman" w:cs="Times New Roman"/>
                <w:b/>
                <w:bCs/>
                <w:szCs w:val="24"/>
                <w:lang w:eastAsia="lv-LV"/>
              </w:rPr>
            </w:pPr>
            <w:r w:rsidRPr="00452B7F">
              <w:rPr>
                <w:rFonts w:eastAsia="Times New Roman" w:cs="Times New Roman"/>
                <w:b/>
                <w:bCs/>
                <w:szCs w:val="24"/>
                <w:lang w:eastAsia="lv-LV"/>
              </w:rPr>
              <w:t>II. Tiesību akta projekta ietekme uz sabiedrību, tautsaimniecības attīstību un administratīvo slogu</w:t>
            </w:r>
          </w:p>
        </w:tc>
      </w:tr>
      <w:tr w:rsidR="00FB3059" w:rsidRPr="00FB3059" w:rsidTr="00452B7F">
        <w:tc>
          <w:tcPr>
            <w:tcW w:w="0" w:type="auto"/>
            <w:tcBorders>
              <w:top w:val="outset" w:sz="6" w:space="0" w:color="414142"/>
              <w:left w:val="outset" w:sz="6" w:space="0" w:color="414142"/>
              <w:bottom w:val="outset" w:sz="6" w:space="0" w:color="414142"/>
              <w:right w:val="outset" w:sz="6" w:space="0" w:color="414142"/>
            </w:tcBorders>
            <w:vAlign w:val="center"/>
          </w:tcPr>
          <w:p w:rsidR="003623C1" w:rsidRPr="00FB3059" w:rsidRDefault="003623C1" w:rsidP="00452B7F">
            <w:pPr>
              <w:spacing w:before="100" w:beforeAutospacing="1" w:after="100" w:afterAutospacing="1" w:line="315" w:lineRule="atLeast"/>
              <w:jc w:val="center"/>
              <w:rPr>
                <w:rFonts w:eastAsia="Times New Roman" w:cs="Times New Roman"/>
                <w:bCs/>
                <w:szCs w:val="24"/>
                <w:lang w:eastAsia="lv-LV"/>
              </w:rPr>
            </w:pPr>
            <w:r w:rsidRPr="00FB3059">
              <w:rPr>
                <w:rFonts w:eastAsia="Times New Roman" w:cs="Times New Roman"/>
                <w:bCs/>
                <w:szCs w:val="24"/>
                <w:lang w:eastAsia="lv-LV"/>
              </w:rPr>
              <w:t>Projekts šo jomu neskar</w:t>
            </w:r>
          </w:p>
        </w:tc>
      </w:tr>
    </w:tbl>
    <w:p w:rsidR="00452B7F" w:rsidRDefault="00452B7F" w:rsidP="00452B7F">
      <w:pPr>
        <w:rPr>
          <w:rFonts w:eastAsia="Times New Roman" w:cs="Times New Roman"/>
          <w:szCs w:val="24"/>
          <w:lang w:eastAsia="lv-LV"/>
        </w:rPr>
      </w:pPr>
      <w:r w:rsidRPr="00452B7F">
        <w:rPr>
          <w:rFonts w:eastAsia="Times New Roman" w:cs="Times New Roman"/>
          <w:szCs w:val="24"/>
          <w:lang w:eastAsia="lv-LV"/>
        </w:rPr>
        <w:t> </w:t>
      </w:r>
    </w:p>
    <w:p w:rsidR="007A5666" w:rsidRPr="00452B7F" w:rsidRDefault="007A5666" w:rsidP="00452B7F">
      <w:pPr>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3"/>
      </w:tblGrid>
      <w:tr w:rsidR="00FB3059" w:rsidRPr="00452B7F" w:rsidTr="00452B7F">
        <w:tc>
          <w:tcPr>
            <w:tcW w:w="0" w:type="auto"/>
            <w:tcBorders>
              <w:top w:val="outset" w:sz="6" w:space="0" w:color="414142"/>
              <w:left w:val="outset" w:sz="6" w:space="0" w:color="414142"/>
              <w:bottom w:val="outset" w:sz="6" w:space="0" w:color="414142"/>
              <w:right w:val="outset" w:sz="6" w:space="0" w:color="414142"/>
            </w:tcBorders>
            <w:vAlign w:val="center"/>
            <w:hideMark/>
          </w:tcPr>
          <w:p w:rsidR="00452B7F" w:rsidRPr="00452B7F" w:rsidRDefault="00452B7F" w:rsidP="00452B7F">
            <w:pPr>
              <w:spacing w:before="100" w:beforeAutospacing="1" w:after="100" w:afterAutospacing="1" w:line="315" w:lineRule="atLeast"/>
              <w:jc w:val="center"/>
              <w:rPr>
                <w:rFonts w:eastAsia="Times New Roman" w:cs="Times New Roman"/>
                <w:b/>
                <w:bCs/>
                <w:szCs w:val="24"/>
                <w:lang w:eastAsia="lv-LV"/>
              </w:rPr>
            </w:pPr>
            <w:r w:rsidRPr="00452B7F">
              <w:rPr>
                <w:rFonts w:eastAsia="Times New Roman" w:cs="Times New Roman"/>
                <w:b/>
                <w:bCs/>
                <w:szCs w:val="24"/>
                <w:lang w:eastAsia="lv-LV"/>
              </w:rPr>
              <w:t>III. Tiesību akta projekta ietekme uz valsts budžetu un pašvaldību budžetiem</w:t>
            </w:r>
          </w:p>
        </w:tc>
      </w:tr>
      <w:tr w:rsidR="00FB3059" w:rsidRPr="00FB3059" w:rsidTr="003623C1">
        <w:tc>
          <w:tcPr>
            <w:tcW w:w="0" w:type="auto"/>
            <w:tcBorders>
              <w:top w:val="outset" w:sz="6" w:space="0" w:color="414142"/>
              <w:left w:val="outset" w:sz="6" w:space="0" w:color="414142"/>
              <w:bottom w:val="outset" w:sz="6" w:space="0" w:color="414142"/>
              <w:right w:val="outset" w:sz="6" w:space="0" w:color="414142"/>
            </w:tcBorders>
            <w:vAlign w:val="center"/>
            <w:hideMark/>
          </w:tcPr>
          <w:p w:rsidR="003623C1" w:rsidRPr="00FB3059" w:rsidRDefault="003623C1" w:rsidP="004A1439">
            <w:pPr>
              <w:spacing w:before="100" w:beforeAutospacing="1" w:after="100" w:afterAutospacing="1" w:line="315" w:lineRule="atLeast"/>
              <w:jc w:val="center"/>
              <w:rPr>
                <w:rFonts w:eastAsia="Times New Roman" w:cs="Times New Roman"/>
                <w:bCs/>
                <w:szCs w:val="24"/>
                <w:lang w:eastAsia="lv-LV"/>
              </w:rPr>
            </w:pPr>
            <w:r w:rsidRPr="00FB3059">
              <w:rPr>
                <w:rFonts w:eastAsia="Times New Roman" w:cs="Times New Roman"/>
                <w:bCs/>
                <w:szCs w:val="24"/>
                <w:lang w:eastAsia="lv-LV"/>
              </w:rPr>
              <w:t>Projekts šo jomu neskar</w:t>
            </w:r>
          </w:p>
        </w:tc>
      </w:tr>
    </w:tbl>
    <w:p w:rsidR="00452B7F" w:rsidRDefault="00452B7F" w:rsidP="00452B7F">
      <w:pPr>
        <w:rPr>
          <w:rFonts w:eastAsia="Times New Roman" w:cs="Times New Roman"/>
          <w:szCs w:val="24"/>
          <w:lang w:eastAsia="lv-LV"/>
        </w:rPr>
      </w:pPr>
      <w:r w:rsidRPr="00452B7F">
        <w:rPr>
          <w:rFonts w:eastAsia="Times New Roman" w:cs="Times New Roman"/>
          <w:szCs w:val="24"/>
          <w:lang w:eastAsia="lv-LV"/>
        </w:rPr>
        <w:t> </w:t>
      </w:r>
    </w:p>
    <w:p w:rsidR="007A5666" w:rsidRPr="00452B7F" w:rsidRDefault="007A5666" w:rsidP="00452B7F">
      <w:pPr>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3"/>
      </w:tblGrid>
      <w:tr w:rsidR="00FB3059" w:rsidRPr="00452B7F" w:rsidTr="00452B7F">
        <w:tc>
          <w:tcPr>
            <w:tcW w:w="0" w:type="auto"/>
            <w:tcBorders>
              <w:top w:val="outset" w:sz="6" w:space="0" w:color="414142"/>
              <w:left w:val="outset" w:sz="6" w:space="0" w:color="414142"/>
              <w:bottom w:val="outset" w:sz="6" w:space="0" w:color="414142"/>
              <w:right w:val="outset" w:sz="6" w:space="0" w:color="414142"/>
            </w:tcBorders>
            <w:vAlign w:val="center"/>
            <w:hideMark/>
          </w:tcPr>
          <w:p w:rsidR="00452B7F" w:rsidRPr="00452B7F" w:rsidRDefault="00452B7F" w:rsidP="00452B7F">
            <w:pPr>
              <w:spacing w:before="100" w:beforeAutospacing="1" w:after="100" w:afterAutospacing="1" w:line="315" w:lineRule="atLeast"/>
              <w:jc w:val="center"/>
              <w:rPr>
                <w:rFonts w:eastAsia="Times New Roman" w:cs="Times New Roman"/>
                <w:b/>
                <w:bCs/>
                <w:szCs w:val="24"/>
                <w:lang w:eastAsia="lv-LV"/>
              </w:rPr>
            </w:pPr>
            <w:r w:rsidRPr="00452B7F">
              <w:rPr>
                <w:rFonts w:eastAsia="Times New Roman" w:cs="Times New Roman"/>
                <w:b/>
                <w:bCs/>
                <w:szCs w:val="24"/>
                <w:lang w:eastAsia="lv-LV"/>
              </w:rPr>
              <w:t>IV. Tiesību akta projekta ietekme uz spēkā esošo tiesību normu sistēmu</w:t>
            </w:r>
          </w:p>
        </w:tc>
      </w:tr>
      <w:tr w:rsidR="00A74652" w:rsidRPr="00FB3059" w:rsidTr="00A15BC8">
        <w:tc>
          <w:tcPr>
            <w:tcW w:w="0" w:type="auto"/>
            <w:tcBorders>
              <w:top w:val="outset" w:sz="6" w:space="0" w:color="414142"/>
              <w:left w:val="outset" w:sz="6" w:space="0" w:color="414142"/>
              <w:bottom w:val="outset" w:sz="6" w:space="0" w:color="414142"/>
              <w:right w:val="outset" w:sz="6" w:space="0" w:color="414142"/>
            </w:tcBorders>
            <w:vAlign w:val="center"/>
            <w:hideMark/>
          </w:tcPr>
          <w:p w:rsidR="00A74652" w:rsidRPr="00FB3059" w:rsidRDefault="00A74652" w:rsidP="00A15BC8">
            <w:pPr>
              <w:spacing w:before="100" w:beforeAutospacing="1" w:after="100" w:afterAutospacing="1" w:line="315" w:lineRule="atLeast"/>
              <w:jc w:val="center"/>
              <w:rPr>
                <w:rFonts w:eastAsia="Times New Roman" w:cs="Times New Roman"/>
                <w:bCs/>
                <w:szCs w:val="24"/>
                <w:lang w:eastAsia="lv-LV"/>
              </w:rPr>
            </w:pPr>
            <w:r w:rsidRPr="00FB3059">
              <w:rPr>
                <w:rFonts w:eastAsia="Times New Roman" w:cs="Times New Roman"/>
                <w:bCs/>
                <w:szCs w:val="24"/>
                <w:lang w:eastAsia="lv-LV"/>
              </w:rPr>
              <w:t>Projekts šo jomu neskar</w:t>
            </w:r>
          </w:p>
        </w:tc>
      </w:tr>
    </w:tbl>
    <w:p w:rsidR="00452B7F" w:rsidRDefault="00452B7F" w:rsidP="00452B7F">
      <w:pPr>
        <w:rPr>
          <w:rFonts w:eastAsia="Times New Roman" w:cs="Times New Roman"/>
          <w:szCs w:val="24"/>
          <w:lang w:eastAsia="lv-LV"/>
        </w:rPr>
      </w:pPr>
      <w:r w:rsidRPr="00452B7F">
        <w:rPr>
          <w:rFonts w:eastAsia="Times New Roman" w:cs="Times New Roman"/>
          <w:szCs w:val="24"/>
          <w:lang w:eastAsia="lv-LV"/>
        </w:rPr>
        <w:t> </w:t>
      </w:r>
    </w:p>
    <w:p w:rsidR="007A5666" w:rsidRPr="00452B7F" w:rsidRDefault="007A5666" w:rsidP="00452B7F">
      <w:pPr>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3"/>
      </w:tblGrid>
      <w:tr w:rsidR="00FB3059" w:rsidRPr="00452B7F" w:rsidTr="00452B7F">
        <w:tc>
          <w:tcPr>
            <w:tcW w:w="0" w:type="auto"/>
            <w:tcBorders>
              <w:top w:val="outset" w:sz="6" w:space="0" w:color="414142"/>
              <w:left w:val="outset" w:sz="6" w:space="0" w:color="414142"/>
              <w:bottom w:val="outset" w:sz="6" w:space="0" w:color="414142"/>
              <w:right w:val="outset" w:sz="6" w:space="0" w:color="414142"/>
            </w:tcBorders>
            <w:vAlign w:val="center"/>
            <w:hideMark/>
          </w:tcPr>
          <w:p w:rsidR="00452B7F" w:rsidRPr="00452B7F" w:rsidRDefault="00452B7F" w:rsidP="00452B7F">
            <w:pPr>
              <w:spacing w:before="100" w:beforeAutospacing="1" w:after="100" w:afterAutospacing="1" w:line="315" w:lineRule="atLeast"/>
              <w:jc w:val="center"/>
              <w:rPr>
                <w:rFonts w:eastAsia="Times New Roman" w:cs="Times New Roman"/>
                <w:b/>
                <w:bCs/>
                <w:szCs w:val="24"/>
                <w:lang w:eastAsia="lv-LV"/>
              </w:rPr>
            </w:pPr>
            <w:r w:rsidRPr="00452B7F">
              <w:rPr>
                <w:rFonts w:eastAsia="Times New Roman" w:cs="Times New Roman"/>
                <w:b/>
                <w:bCs/>
                <w:szCs w:val="24"/>
                <w:lang w:eastAsia="lv-LV"/>
              </w:rPr>
              <w:t>V. Tiesību akta projekta atbilstība Latvijas Republikas starptautiskajām saistībām</w:t>
            </w:r>
          </w:p>
        </w:tc>
      </w:tr>
      <w:tr w:rsidR="00A74652" w:rsidRPr="00A74652" w:rsidTr="00A74652">
        <w:tc>
          <w:tcPr>
            <w:tcW w:w="0" w:type="auto"/>
            <w:tcBorders>
              <w:top w:val="outset" w:sz="6" w:space="0" w:color="414142"/>
              <w:left w:val="outset" w:sz="6" w:space="0" w:color="414142"/>
              <w:bottom w:val="outset" w:sz="6" w:space="0" w:color="414142"/>
              <w:right w:val="outset" w:sz="6" w:space="0" w:color="414142"/>
            </w:tcBorders>
            <w:vAlign w:val="center"/>
            <w:hideMark/>
          </w:tcPr>
          <w:p w:rsidR="00A74652" w:rsidRPr="00A74652" w:rsidRDefault="00A74652" w:rsidP="00A15BC8">
            <w:pPr>
              <w:spacing w:before="100" w:beforeAutospacing="1" w:after="100" w:afterAutospacing="1" w:line="315" w:lineRule="atLeast"/>
              <w:jc w:val="center"/>
              <w:rPr>
                <w:rFonts w:eastAsia="Times New Roman" w:cs="Times New Roman"/>
                <w:bCs/>
                <w:szCs w:val="24"/>
                <w:lang w:eastAsia="lv-LV"/>
              </w:rPr>
            </w:pPr>
            <w:r w:rsidRPr="00A74652">
              <w:rPr>
                <w:rFonts w:eastAsia="Times New Roman" w:cs="Times New Roman"/>
                <w:bCs/>
                <w:szCs w:val="24"/>
                <w:lang w:eastAsia="lv-LV"/>
              </w:rPr>
              <w:t>Projekts šo jomu neskar</w:t>
            </w:r>
          </w:p>
        </w:tc>
      </w:tr>
    </w:tbl>
    <w:p w:rsidR="00A74652" w:rsidRDefault="00452B7F" w:rsidP="00452B7F">
      <w:pPr>
        <w:rPr>
          <w:rFonts w:eastAsia="Times New Roman" w:cs="Times New Roman"/>
          <w:szCs w:val="24"/>
          <w:lang w:eastAsia="lv-LV"/>
        </w:rPr>
      </w:pPr>
      <w:r w:rsidRPr="00452B7F">
        <w:rPr>
          <w:rFonts w:eastAsia="Times New Roman" w:cs="Times New Roman"/>
          <w:szCs w:val="24"/>
          <w:lang w:eastAsia="lv-LV"/>
        </w:rPr>
        <w:t> </w:t>
      </w:r>
    </w:p>
    <w:p w:rsidR="007A5666" w:rsidRPr="00452B7F" w:rsidRDefault="007A5666" w:rsidP="00452B7F">
      <w:pPr>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3"/>
      </w:tblGrid>
      <w:tr w:rsidR="00FB3059" w:rsidRPr="00452B7F" w:rsidTr="00452B7F">
        <w:tc>
          <w:tcPr>
            <w:tcW w:w="0" w:type="auto"/>
            <w:tcBorders>
              <w:top w:val="outset" w:sz="6" w:space="0" w:color="414142"/>
              <w:left w:val="outset" w:sz="6" w:space="0" w:color="414142"/>
              <w:bottom w:val="outset" w:sz="6" w:space="0" w:color="414142"/>
              <w:right w:val="outset" w:sz="6" w:space="0" w:color="414142"/>
            </w:tcBorders>
            <w:vAlign w:val="center"/>
            <w:hideMark/>
          </w:tcPr>
          <w:p w:rsidR="00452B7F" w:rsidRPr="00452B7F" w:rsidRDefault="00452B7F" w:rsidP="00452B7F">
            <w:pPr>
              <w:spacing w:before="100" w:beforeAutospacing="1" w:after="100" w:afterAutospacing="1" w:line="315" w:lineRule="atLeast"/>
              <w:jc w:val="center"/>
              <w:rPr>
                <w:rFonts w:eastAsia="Times New Roman" w:cs="Times New Roman"/>
                <w:b/>
                <w:bCs/>
                <w:szCs w:val="24"/>
                <w:lang w:eastAsia="lv-LV"/>
              </w:rPr>
            </w:pPr>
            <w:r w:rsidRPr="00452B7F">
              <w:rPr>
                <w:rFonts w:eastAsia="Times New Roman" w:cs="Times New Roman"/>
                <w:b/>
                <w:bCs/>
                <w:szCs w:val="24"/>
                <w:lang w:eastAsia="lv-LV"/>
              </w:rPr>
              <w:t>VI. Sabiedrības līdzdalība un komunikācijas aktivitātes</w:t>
            </w:r>
          </w:p>
        </w:tc>
      </w:tr>
      <w:tr w:rsidR="00FB3059" w:rsidRPr="00FB3059" w:rsidTr="00452B7F">
        <w:tc>
          <w:tcPr>
            <w:tcW w:w="0" w:type="auto"/>
            <w:tcBorders>
              <w:top w:val="outset" w:sz="6" w:space="0" w:color="414142"/>
              <w:left w:val="outset" w:sz="6" w:space="0" w:color="414142"/>
              <w:bottom w:val="outset" w:sz="6" w:space="0" w:color="414142"/>
              <w:right w:val="outset" w:sz="6" w:space="0" w:color="414142"/>
            </w:tcBorders>
            <w:vAlign w:val="center"/>
          </w:tcPr>
          <w:p w:rsidR="003623C1" w:rsidRPr="00FB3059" w:rsidRDefault="003623C1" w:rsidP="00452B7F">
            <w:pPr>
              <w:spacing w:before="100" w:beforeAutospacing="1" w:after="100" w:afterAutospacing="1" w:line="315" w:lineRule="atLeast"/>
              <w:jc w:val="center"/>
              <w:rPr>
                <w:rFonts w:eastAsia="Times New Roman" w:cs="Times New Roman"/>
                <w:bCs/>
                <w:szCs w:val="24"/>
                <w:lang w:eastAsia="lv-LV"/>
              </w:rPr>
            </w:pPr>
            <w:r w:rsidRPr="00FB3059">
              <w:rPr>
                <w:rFonts w:eastAsia="Times New Roman" w:cs="Times New Roman"/>
                <w:bCs/>
                <w:szCs w:val="24"/>
                <w:lang w:eastAsia="lv-LV"/>
              </w:rPr>
              <w:t>Projekts šo jomu neskar</w:t>
            </w:r>
          </w:p>
        </w:tc>
      </w:tr>
    </w:tbl>
    <w:p w:rsidR="00452B7F" w:rsidRDefault="00452B7F" w:rsidP="00452B7F">
      <w:pPr>
        <w:rPr>
          <w:rFonts w:eastAsia="Times New Roman" w:cs="Times New Roman"/>
          <w:szCs w:val="24"/>
          <w:lang w:eastAsia="lv-LV"/>
        </w:rPr>
      </w:pPr>
      <w:r w:rsidRPr="00452B7F">
        <w:rPr>
          <w:rFonts w:eastAsia="Times New Roman" w:cs="Times New Roman"/>
          <w:szCs w:val="24"/>
          <w:lang w:eastAsia="lv-LV"/>
        </w:rPr>
        <w:t> </w:t>
      </w:r>
    </w:p>
    <w:p w:rsidR="007A5666" w:rsidRPr="00452B7F" w:rsidRDefault="007A5666" w:rsidP="00452B7F">
      <w:pPr>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3190"/>
        <w:gridCol w:w="5630"/>
      </w:tblGrid>
      <w:tr w:rsidR="00FB3059" w:rsidRPr="00452B7F" w:rsidTr="00452B7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52B7F" w:rsidRPr="00452B7F" w:rsidRDefault="00452B7F" w:rsidP="00452B7F">
            <w:pPr>
              <w:spacing w:before="100" w:beforeAutospacing="1" w:after="100" w:afterAutospacing="1" w:line="315" w:lineRule="atLeast"/>
              <w:jc w:val="center"/>
              <w:rPr>
                <w:rFonts w:eastAsia="Times New Roman" w:cs="Times New Roman"/>
                <w:b/>
                <w:bCs/>
                <w:szCs w:val="24"/>
                <w:lang w:eastAsia="lv-LV"/>
              </w:rPr>
            </w:pPr>
            <w:r w:rsidRPr="00452B7F">
              <w:rPr>
                <w:rFonts w:eastAsia="Times New Roman" w:cs="Times New Roman"/>
                <w:b/>
                <w:bCs/>
                <w:szCs w:val="24"/>
                <w:lang w:eastAsia="lv-LV"/>
              </w:rPr>
              <w:t>VII. Tiesību akta projekta izpildes nodrošināšana un tās ietekme uz institūcijām</w:t>
            </w:r>
          </w:p>
        </w:tc>
      </w:tr>
      <w:tr w:rsidR="00FB3059" w:rsidRPr="00452B7F" w:rsidTr="00452B7F">
        <w:tc>
          <w:tcPr>
            <w:tcW w:w="3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spacing w:before="100" w:beforeAutospacing="1" w:after="100" w:afterAutospacing="1" w:line="315" w:lineRule="atLeast"/>
              <w:jc w:val="center"/>
              <w:rPr>
                <w:rFonts w:eastAsia="Times New Roman" w:cs="Times New Roman"/>
                <w:szCs w:val="24"/>
                <w:lang w:eastAsia="lv-LV"/>
              </w:rPr>
            </w:pPr>
            <w:r w:rsidRPr="00452B7F">
              <w:rPr>
                <w:rFonts w:eastAsia="Times New Roman" w:cs="Times New Roman"/>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rPr>
                <w:rFonts w:eastAsia="Times New Roman" w:cs="Times New Roman"/>
                <w:szCs w:val="24"/>
                <w:lang w:eastAsia="lv-LV"/>
              </w:rPr>
            </w:pPr>
            <w:r w:rsidRPr="00452B7F">
              <w:rPr>
                <w:rFonts w:eastAsia="Times New Roman" w:cs="Times New Roman"/>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452B7F" w:rsidRPr="00452B7F" w:rsidRDefault="00A74652" w:rsidP="00452B7F">
            <w:pPr>
              <w:rPr>
                <w:rFonts w:eastAsia="Times New Roman" w:cs="Times New Roman"/>
                <w:szCs w:val="24"/>
                <w:lang w:eastAsia="lv-LV"/>
              </w:rPr>
            </w:pPr>
            <w:r>
              <w:rPr>
                <w:rFonts w:eastAsia="Times New Roman" w:cs="Times New Roman"/>
                <w:szCs w:val="24"/>
                <w:lang w:eastAsia="lv-LV"/>
              </w:rPr>
              <w:t>Finanšu ministrija.</w:t>
            </w:r>
          </w:p>
        </w:tc>
      </w:tr>
      <w:tr w:rsidR="00FB3059" w:rsidRPr="00452B7F" w:rsidTr="00452B7F">
        <w:tc>
          <w:tcPr>
            <w:tcW w:w="300" w:type="pct"/>
            <w:tcBorders>
              <w:top w:val="outset" w:sz="6" w:space="0" w:color="414142"/>
              <w:left w:val="outset" w:sz="6" w:space="0" w:color="414142"/>
              <w:bottom w:val="outset" w:sz="6" w:space="0" w:color="414142"/>
              <w:right w:val="outset" w:sz="6" w:space="0" w:color="414142"/>
            </w:tcBorders>
            <w:hideMark/>
          </w:tcPr>
          <w:p w:rsidR="00452B7F" w:rsidRPr="00C578E5" w:rsidRDefault="00452B7F" w:rsidP="00452B7F">
            <w:pPr>
              <w:spacing w:before="100" w:beforeAutospacing="1" w:after="100" w:afterAutospacing="1" w:line="315" w:lineRule="atLeast"/>
              <w:jc w:val="center"/>
              <w:rPr>
                <w:rFonts w:eastAsia="Times New Roman" w:cs="Times New Roman"/>
                <w:szCs w:val="24"/>
                <w:lang w:eastAsia="lv-LV"/>
              </w:rPr>
            </w:pPr>
            <w:r w:rsidRPr="00C578E5">
              <w:rPr>
                <w:rFonts w:eastAsia="Times New Roman" w:cs="Times New Roman"/>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452B7F" w:rsidRPr="00C578E5" w:rsidRDefault="00452B7F" w:rsidP="00452B7F">
            <w:pPr>
              <w:rPr>
                <w:rFonts w:eastAsia="Times New Roman" w:cs="Times New Roman"/>
                <w:szCs w:val="24"/>
                <w:lang w:eastAsia="lv-LV"/>
              </w:rPr>
            </w:pPr>
            <w:r w:rsidRPr="00C578E5">
              <w:rPr>
                <w:rFonts w:eastAsia="Times New Roman" w:cs="Times New Roman"/>
                <w:szCs w:val="24"/>
                <w:lang w:eastAsia="lv-LV"/>
              </w:rPr>
              <w:t>Projekta izpildes ietekme uz pārvaldes funkcijām un institucionālo struktūru.</w:t>
            </w:r>
            <w:r w:rsidRPr="00C578E5">
              <w:rPr>
                <w:rFonts w:eastAsia="Times New Roman" w:cs="Times New Roman"/>
                <w:szCs w:val="24"/>
                <w:lang w:eastAsia="lv-LV"/>
              </w:rPr>
              <w:br/>
              <w:t xml:space="preserve">Jaunu institūciju izveide, esošu institūciju likvidācija vai </w:t>
            </w:r>
            <w:r w:rsidRPr="00C578E5">
              <w:rPr>
                <w:rFonts w:eastAsia="Times New Roman" w:cs="Times New Roman"/>
                <w:szCs w:val="24"/>
                <w:lang w:eastAsia="lv-LV"/>
              </w:rPr>
              <w:lastRenderedPageBreak/>
              <w:t>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452B7F" w:rsidRPr="00452B7F" w:rsidRDefault="00C578E5" w:rsidP="00452B7F">
            <w:pPr>
              <w:rPr>
                <w:rFonts w:eastAsia="Times New Roman" w:cs="Times New Roman"/>
                <w:szCs w:val="24"/>
                <w:lang w:eastAsia="lv-LV"/>
              </w:rPr>
            </w:pPr>
            <w:r>
              <w:lastRenderedPageBreak/>
              <w:t>Projekts šo jomu neskar.</w:t>
            </w:r>
          </w:p>
        </w:tc>
      </w:tr>
      <w:tr w:rsidR="00FB3059" w:rsidRPr="00452B7F" w:rsidTr="00452B7F">
        <w:tc>
          <w:tcPr>
            <w:tcW w:w="3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spacing w:before="100" w:beforeAutospacing="1" w:after="100" w:afterAutospacing="1" w:line="315" w:lineRule="atLeast"/>
              <w:jc w:val="center"/>
              <w:rPr>
                <w:rFonts w:eastAsia="Times New Roman" w:cs="Times New Roman"/>
                <w:szCs w:val="24"/>
                <w:lang w:eastAsia="lv-LV"/>
              </w:rPr>
            </w:pPr>
            <w:r w:rsidRPr="00452B7F">
              <w:rPr>
                <w:rFonts w:eastAsia="Times New Roman" w:cs="Times New Roman"/>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452B7F" w:rsidRPr="00452B7F" w:rsidRDefault="00452B7F" w:rsidP="00452B7F">
            <w:pPr>
              <w:rPr>
                <w:rFonts w:eastAsia="Times New Roman" w:cs="Times New Roman"/>
                <w:szCs w:val="24"/>
                <w:lang w:eastAsia="lv-LV"/>
              </w:rPr>
            </w:pPr>
            <w:r w:rsidRPr="00452B7F">
              <w:rPr>
                <w:rFonts w:eastAsia="Times New Roman" w:cs="Times New Roman"/>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452B7F" w:rsidRPr="00452B7F" w:rsidRDefault="00A74652" w:rsidP="00452B7F">
            <w:pPr>
              <w:rPr>
                <w:rFonts w:eastAsia="Times New Roman" w:cs="Times New Roman"/>
                <w:szCs w:val="24"/>
                <w:lang w:eastAsia="lv-LV"/>
              </w:rPr>
            </w:pPr>
            <w:r>
              <w:rPr>
                <w:rFonts w:eastAsia="Times New Roman" w:cs="Times New Roman"/>
                <w:szCs w:val="24"/>
                <w:lang w:eastAsia="lv-LV"/>
              </w:rPr>
              <w:t>Nav.</w:t>
            </w:r>
          </w:p>
        </w:tc>
      </w:tr>
    </w:tbl>
    <w:p w:rsidR="00456EA8" w:rsidRDefault="00456EA8"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Pr="001B6F53" w:rsidRDefault="00C578E5" w:rsidP="00C578E5">
      <w:pPr>
        <w:rPr>
          <w:rFonts w:eastAsia="Calibri" w:cs="Times New Roman"/>
          <w:sz w:val="28"/>
          <w:szCs w:val="28"/>
          <w:u w:val="single"/>
        </w:rPr>
      </w:pPr>
      <w:r w:rsidRPr="001B6F53">
        <w:rPr>
          <w:rFonts w:cs="Times New Roman"/>
          <w:sz w:val="28"/>
          <w:szCs w:val="28"/>
        </w:rPr>
        <w:t>Finanšu ministre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Dana </w:t>
      </w:r>
      <w:r w:rsidRPr="001B6F53">
        <w:rPr>
          <w:rFonts w:cs="Times New Roman"/>
          <w:sz w:val="28"/>
          <w:szCs w:val="28"/>
        </w:rPr>
        <w:t>Reizniece-Ozola</w:t>
      </w: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7A5666" w:rsidRDefault="007A5666" w:rsidP="00C578E5">
      <w:pPr>
        <w:rPr>
          <w:rFonts w:eastAsia="Times New Roman" w:cs="Times New Roman"/>
          <w:szCs w:val="24"/>
          <w:lang w:eastAsia="lv-LV"/>
        </w:rPr>
      </w:pPr>
    </w:p>
    <w:p w:rsidR="00C578E5" w:rsidRDefault="00C578E5" w:rsidP="00C578E5">
      <w:pPr>
        <w:rPr>
          <w:sz w:val="20"/>
          <w:szCs w:val="20"/>
        </w:rPr>
      </w:pPr>
      <w:r>
        <w:rPr>
          <w:sz w:val="20"/>
          <w:szCs w:val="20"/>
        </w:rPr>
        <w:t xml:space="preserve">Tomiņa, </w:t>
      </w:r>
      <w:r w:rsidRPr="001F76C7">
        <w:rPr>
          <w:sz w:val="20"/>
          <w:szCs w:val="20"/>
        </w:rPr>
        <w:t>670955</w:t>
      </w:r>
      <w:r>
        <w:rPr>
          <w:sz w:val="20"/>
          <w:szCs w:val="20"/>
        </w:rPr>
        <w:t>66</w:t>
      </w:r>
    </w:p>
    <w:p w:rsidR="00C578E5" w:rsidRDefault="00E65144" w:rsidP="00C578E5">
      <w:pPr>
        <w:rPr>
          <w:sz w:val="20"/>
          <w:szCs w:val="20"/>
        </w:rPr>
      </w:pPr>
      <w:hyperlink r:id="rId10" w:history="1">
        <w:r w:rsidR="00C578E5" w:rsidRPr="00531EE5">
          <w:rPr>
            <w:rStyle w:val="Hyperlink"/>
            <w:sz w:val="20"/>
            <w:szCs w:val="20"/>
          </w:rPr>
          <w:t>Irita.Tomina@fm.gov.lv</w:t>
        </w:r>
      </w:hyperlink>
    </w:p>
    <w:p w:rsidR="00C578E5" w:rsidRDefault="00C578E5" w:rsidP="00C578E5">
      <w:pPr>
        <w:rPr>
          <w:sz w:val="20"/>
          <w:szCs w:val="20"/>
        </w:rPr>
      </w:pPr>
    </w:p>
    <w:p w:rsidR="00C578E5" w:rsidRPr="00E5223C" w:rsidRDefault="00C578E5" w:rsidP="00C578E5"/>
    <w:p w:rsidR="00C578E5" w:rsidRPr="00FB3059" w:rsidRDefault="00C578E5" w:rsidP="00C578E5">
      <w:pPr>
        <w:rPr>
          <w:rFonts w:eastAsia="Times New Roman" w:cs="Times New Roman"/>
          <w:szCs w:val="24"/>
          <w:lang w:eastAsia="lv-LV"/>
        </w:rPr>
      </w:pPr>
    </w:p>
    <w:sectPr w:rsidR="00C578E5" w:rsidRPr="00FB3059" w:rsidSect="00FB3059">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44" w:rsidRDefault="00E65144" w:rsidP="00C578E5">
      <w:r>
        <w:separator/>
      </w:r>
    </w:p>
  </w:endnote>
  <w:endnote w:type="continuationSeparator" w:id="0">
    <w:p w:rsidR="00E65144" w:rsidRDefault="00E65144" w:rsidP="00C5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0" w:rsidRDefault="0076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E5" w:rsidRPr="00C578E5" w:rsidRDefault="00761C40">
    <w:pPr>
      <w:pStyle w:val="Footer"/>
      <w:rPr>
        <w:sz w:val="20"/>
        <w:szCs w:val="20"/>
      </w:rPr>
    </w:pPr>
    <w:r>
      <w:rPr>
        <w:sz w:val="20"/>
        <w:szCs w:val="20"/>
      </w:rPr>
      <w:t>FManot_090218</w:t>
    </w:r>
    <w:r w:rsidR="00C578E5">
      <w:rPr>
        <w:sz w:val="20"/>
        <w:szCs w:val="20"/>
      </w:rPr>
      <w:t>_PMI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0" w:rsidRDefault="00761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44" w:rsidRDefault="00E65144" w:rsidP="00C578E5">
      <w:r>
        <w:separator/>
      </w:r>
    </w:p>
  </w:footnote>
  <w:footnote w:type="continuationSeparator" w:id="0">
    <w:p w:rsidR="00E65144" w:rsidRDefault="00E65144" w:rsidP="00C5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0" w:rsidRDefault="00761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0" w:rsidRDefault="00761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0" w:rsidRDefault="00761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30EA5"/>
    <w:multiLevelType w:val="multilevel"/>
    <w:tmpl w:val="E968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7F"/>
    <w:rsid w:val="000127F9"/>
    <w:rsid w:val="001606C9"/>
    <w:rsid w:val="001D060A"/>
    <w:rsid w:val="002C01E0"/>
    <w:rsid w:val="003623C1"/>
    <w:rsid w:val="003763D1"/>
    <w:rsid w:val="003B31DF"/>
    <w:rsid w:val="00415BC8"/>
    <w:rsid w:val="00452B7F"/>
    <w:rsid w:val="00456EA8"/>
    <w:rsid w:val="004C1C8A"/>
    <w:rsid w:val="00596F27"/>
    <w:rsid w:val="00615ADD"/>
    <w:rsid w:val="006379F2"/>
    <w:rsid w:val="006B2272"/>
    <w:rsid w:val="00761C40"/>
    <w:rsid w:val="007A5666"/>
    <w:rsid w:val="00A74652"/>
    <w:rsid w:val="00A80D09"/>
    <w:rsid w:val="00C578E5"/>
    <w:rsid w:val="00C71EB9"/>
    <w:rsid w:val="00D7062D"/>
    <w:rsid w:val="00D730B1"/>
    <w:rsid w:val="00DA7618"/>
    <w:rsid w:val="00E65144"/>
    <w:rsid w:val="00F60BE2"/>
    <w:rsid w:val="00FB3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2C84-E5AE-46EA-88E0-6789BEA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5ADD"/>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452B7F"/>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452B7F"/>
    <w:rPr>
      <w:color w:val="0000FF"/>
      <w:u w:val="single"/>
    </w:rPr>
  </w:style>
  <w:style w:type="paragraph" w:customStyle="1" w:styleId="naiskr">
    <w:name w:val="naiskr"/>
    <w:basedOn w:val="Normal"/>
    <w:uiPriority w:val="99"/>
    <w:rsid w:val="003623C1"/>
    <w:pPr>
      <w:spacing w:before="100" w:beforeAutospacing="1" w:after="100" w:afterAutospacing="1"/>
    </w:pPr>
    <w:rPr>
      <w:rFonts w:eastAsia="Times New Roman" w:cs="Times New Roman"/>
      <w:szCs w:val="24"/>
      <w:lang w:eastAsia="lv-LV"/>
    </w:rPr>
  </w:style>
  <w:style w:type="paragraph" w:styleId="NormalWeb">
    <w:name w:val="Normal (Web)"/>
    <w:basedOn w:val="Normal"/>
    <w:uiPriority w:val="99"/>
    <w:semiHidden/>
    <w:unhideWhenUsed/>
    <w:rsid w:val="00D730B1"/>
    <w:pPr>
      <w:spacing w:before="100" w:beforeAutospacing="1" w:after="100" w:afterAutospacing="1"/>
    </w:pPr>
    <w:rPr>
      <w:rFonts w:eastAsia="Times New Roman" w:cs="Times New Roman"/>
      <w:szCs w:val="24"/>
      <w:lang w:eastAsia="lv-LV"/>
    </w:rPr>
  </w:style>
  <w:style w:type="character" w:customStyle="1" w:styleId="Heading3Char">
    <w:name w:val="Heading 3 Char"/>
    <w:basedOn w:val="DefaultParagraphFont"/>
    <w:link w:val="Heading3"/>
    <w:uiPriority w:val="9"/>
    <w:rsid w:val="00615ADD"/>
    <w:rPr>
      <w:rFonts w:eastAsia="Times New Roman" w:cs="Times New Roman"/>
      <w:b/>
      <w:bCs/>
      <w:sz w:val="27"/>
      <w:szCs w:val="27"/>
      <w:lang w:eastAsia="lv-LV"/>
    </w:rPr>
  </w:style>
  <w:style w:type="paragraph" w:styleId="BalloonText">
    <w:name w:val="Balloon Text"/>
    <w:basedOn w:val="Normal"/>
    <w:link w:val="BalloonTextChar"/>
    <w:uiPriority w:val="99"/>
    <w:semiHidden/>
    <w:unhideWhenUsed/>
    <w:rsid w:val="00A80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09"/>
    <w:rPr>
      <w:rFonts w:ascii="Segoe UI" w:hAnsi="Segoe UI" w:cs="Segoe UI"/>
      <w:sz w:val="18"/>
      <w:szCs w:val="18"/>
    </w:rPr>
  </w:style>
  <w:style w:type="paragraph" w:styleId="Header">
    <w:name w:val="header"/>
    <w:basedOn w:val="Normal"/>
    <w:link w:val="HeaderChar"/>
    <w:uiPriority w:val="99"/>
    <w:unhideWhenUsed/>
    <w:rsid w:val="00C578E5"/>
    <w:pPr>
      <w:tabs>
        <w:tab w:val="center" w:pos="4153"/>
        <w:tab w:val="right" w:pos="8306"/>
      </w:tabs>
    </w:pPr>
  </w:style>
  <w:style w:type="character" w:customStyle="1" w:styleId="HeaderChar">
    <w:name w:val="Header Char"/>
    <w:basedOn w:val="DefaultParagraphFont"/>
    <w:link w:val="Header"/>
    <w:uiPriority w:val="99"/>
    <w:rsid w:val="00C578E5"/>
  </w:style>
  <w:style w:type="paragraph" w:styleId="Footer">
    <w:name w:val="footer"/>
    <w:basedOn w:val="Normal"/>
    <w:link w:val="FooterChar"/>
    <w:uiPriority w:val="99"/>
    <w:unhideWhenUsed/>
    <w:rsid w:val="00C578E5"/>
    <w:pPr>
      <w:tabs>
        <w:tab w:val="center" w:pos="4153"/>
        <w:tab w:val="right" w:pos="8306"/>
      </w:tabs>
    </w:pPr>
  </w:style>
  <w:style w:type="character" w:customStyle="1" w:styleId="FooterChar">
    <w:name w:val="Footer Char"/>
    <w:basedOn w:val="DefaultParagraphFont"/>
    <w:link w:val="Footer"/>
    <w:uiPriority w:val="99"/>
    <w:rsid w:val="00C5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1334">
      <w:bodyDiv w:val="1"/>
      <w:marLeft w:val="0"/>
      <w:marRight w:val="0"/>
      <w:marTop w:val="0"/>
      <w:marBottom w:val="0"/>
      <w:divBdr>
        <w:top w:val="none" w:sz="0" w:space="0" w:color="auto"/>
        <w:left w:val="none" w:sz="0" w:space="0" w:color="auto"/>
        <w:bottom w:val="none" w:sz="0" w:space="0" w:color="auto"/>
        <w:right w:val="none" w:sz="0" w:space="0" w:color="auto"/>
      </w:divBdr>
      <w:divsChild>
        <w:div w:id="1652715085">
          <w:marLeft w:val="0"/>
          <w:marRight w:val="0"/>
          <w:marTop w:val="0"/>
          <w:marBottom w:val="0"/>
          <w:divBdr>
            <w:top w:val="none" w:sz="0" w:space="0" w:color="auto"/>
            <w:left w:val="none" w:sz="0" w:space="0" w:color="auto"/>
            <w:bottom w:val="none" w:sz="0" w:space="0" w:color="auto"/>
            <w:right w:val="none" w:sz="0" w:space="0" w:color="auto"/>
          </w:divBdr>
          <w:divsChild>
            <w:div w:id="1833450706">
              <w:marLeft w:val="0"/>
              <w:marRight w:val="0"/>
              <w:marTop w:val="0"/>
              <w:marBottom w:val="0"/>
              <w:divBdr>
                <w:top w:val="none" w:sz="0" w:space="0" w:color="auto"/>
                <w:left w:val="none" w:sz="0" w:space="0" w:color="auto"/>
                <w:bottom w:val="none" w:sz="0" w:space="0" w:color="auto"/>
                <w:right w:val="none" w:sz="0" w:space="0" w:color="auto"/>
              </w:divBdr>
              <w:divsChild>
                <w:div w:id="508563722">
                  <w:marLeft w:val="0"/>
                  <w:marRight w:val="0"/>
                  <w:marTop w:val="400"/>
                  <w:marBottom w:val="0"/>
                  <w:divBdr>
                    <w:top w:val="none" w:sz="0" w:space="0" w:color="auto"/>
                    <w:left w:val="none" w:sz="0" w:space="0" w:color="auto"/>
                    <w:bottom w:val="none" w:sz="0" w:space="0" w:color="auto"/>
                    <w:right w:val="none" w:sz="0" w:space="0" w:color="auto"/>
                  </w:divBdr>
                </w:div>
                <w:div w:id="4714804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5953309">
          <w:marLeft w:val="0"/>
          <w:marRight w:val="0"/>
          <w:marTop w:val="0"/>
          <w:marBottom w:val="0"/>
          <w:divBdr>
            <w:top w:val="none" w:sz="0" w:space="0" w:color="auto"/>
            <w:left w:val="none" w:sz="0" w:space="0" w:color="auto"/>
            <w:bottom w:val="none" w:sz="0" w:space="0" w:color="auto"/>
            <w:right w:val="none" w:sz="0" w:space="0" w:color="auto"/>
          </w:divBdr>
          <w:divsChild>
            <w:div w:id="4792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7586">
      <w:bodyDiv w:val="1"/>
      <w:marLeft w:val="0"/>
      <w:marRight w:val="0"/>
      <w:marTop w:val="0"/>
      <w:marBottom w:val="0"/>
      <w:divBdr>
        <w:top w:val="none" w:sz="0" w:space="0" w:color="auto"/>
        <w:left w:val="none" w:sz="0" w:space="0" w:color="auto"/>
        <w:bottom w:val="none" w:sz="0" w:space="0" w:color="auto"/>
        <w:right w:val="none" w:sz="0" w:space="0" w:color="auto"/>
      </w:divBdr>
    </w:div>
    <w:div w:id="13505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rita.Tomina@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J.Krastiņa</Vad_x012b_t_x0101_js>
    <Kategorija xmlns="2e5bb04e-596e-45bd-9003-43ca78b1ba16">Anotācija</Kategorija>
    <TAP xmlns="1c33a644-f6cf-45d4-832d-e32e0e370d68">32</TAP>
  </documentManagement>
</p:properties>
</file>

<file path=customXml/itemProps1.xml><?xml version="1.0" encoding="utf-8"?>
<ds:datastoreItem xmlns:ds="http://schemas.openxmlformats.org/officeDocument/2006/customXml" ds:itemID="{56A43B9B-C9E7-4DD8-9379-3B0E959B6412}">
  <ds:schemaRefs>
    <ds:schemaRef ds:uri="http://schemas.microsoft.com/sharepoint/v3/contenttype/forms"/>
  </ds:schemaRefs>
</ds:datastoreItem>
</file>

<file path=customXml/itemProps2.xml><?xml version="1.0" encoding="utf-8"?>
<ds:datastoreItem xmlns:ds="http://schemas.openxmlformats.org/officeDocument/2006/customXml" ds:itemID="{A2F26466-2583-4C93-B09C-4727CAB6B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1ECDE-1BA9-43F3-9CAC-8CB532931B7F}">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4404</Words>
  <Characters>2511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Likumprojekta "“Par likuma “Par Kontrabandas un viltojumu apkarošanas līgumu un vispārējo atbrīvojumu, kas noslēgts 2004.gada 9.jūlijā starp Philip Morris International Inc., Philip Morris Products Inc., (..)" atzīšanu par spēku zaudējušu" anotācija</vt:lpstr>
    </vt:vector>
  </TitlesOfParts>
  <Manager>Solvita Āmare-Pilka</Manager>
  <Company>FM</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likuma “Par Kontrabandas un viltojumu apkarošanas līgumu un vispārējo atbrīvojumu, kas noslēgts 2004.gada 9.jūlijā starp Philip Morris International Inc., Philip Morris Products Inc., (..)" atzīšanu par spēku zaudējušu" anotācija</dc:title>
  <dc:subject>sākotnējās ietekmes novērtējuma ziņojums (anotācija)</dc:subject>
  <dc:creator>I.Tomiņa</dc:creator>
  <cp:keywords/>
  <dc:description>t.:67095566; irita.tomina@fm.gov.lv</dc:description>
  <cp:lastModifiedBy>Inguna Dancīte</cp:lastModifiedBy>
  <cp:revision>2</cp:revision>
  <cp:lastPrinted>2018-02-09T08:34:00Z</cp:lastPrinted>
  <dcterms:created xsi:type="dcterms:W3CDTF">2018-02-19T08:32:00Z</dcterms:created>
  <dcterms:modified xsi:type="dcterms:W3CDTF">2018-02-19T08:32:00Z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