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52" w:rsidRDefault="00234952" w:rsidP="002349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461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rīkojuma</w:t>
      </w:r>
      <w:r w:rsidRPr="00B51D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 </w:t>
      </w:r>
      <w:r w:rsidRPr="002349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234952">
        <w:rPr>
          <w:rFonts w:ascii="Times New Roman" w:hAnsi="Times New Roman" w:cs="Times New Roman"/>
          <w:b/>
          <w:sz w:val="24"/>
          <w:szCs w:val="24"/>
        </w:rPr>
        <w:t>Par finanšu līdzekļu piešķiršanu no valsts budžeta programmas “Līdzekļi neparedzētiem gadījumiem</w:t>
      </w:r>
      <w:r w:rsidRPr="002349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”” s</w:t>
      </w:r>
      <w:r w:rsidRPr="001457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ākotnējās ietekmes novērtējuma ziņojums (anotācija) </w:t>
      </w:r>
    </w:p>
    <w:p w:rsidR="00234952" w:rsidRPr="0014571E" w:rsidRDefault="00234952" w:rsidP="002349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798"/>
        <w:gridCol w:w="5765"/>
      </w:tblGrid>
      <w:tr w:rsidR="00234952" w:rsidRPr="0014571E" w:rsidTr="008A4386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52" w:rsidRPr="0014571E" w:rsidRDefault="00234952" w:rsidP="008A4386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34952" w:rsidRPr="0014571E" w:rsidTr="008A4386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87798C" w:rsidRDefault="00234952" w:rsidP="008A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Likuma “Par Otrā pasaules kara dalībnieka statusu” pārejas noteikumu 2.punkts.</w:t>
            </w:r>
          </w:p>
        </w:tc>
      </w:tr>
      <w:tr w:rsidR="00234952" w:rsidRPr="0014571E" w:rsidTr="008A438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035853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5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035853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5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34952" w:rsidRDefault="00234952" w:rsidP="008A4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Saeima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2017.gada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21.decem</w:t>
            </w:r>
            <w:r w:rsidR="00C94A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 trešajā lasījumā atbalstīja likumu “Par Otrā pasaules kara dalībnieka statusu”, kura pārejas noteikumu 2.punkt</w:t>
            </w:r>
            <w:r w:rsidR="00760585">
              <w:rPr>
                <w:rFonts w:ascii="Times New Roman" w:hAnsi="Times New Roman" w:cs="Times New Roman"/>
                <w:sz w:val="24"/>
                <w:szCs w:val="24"/>
              </w:rPr>
              <w:t>ā noteikts, ka, lai nodrošinātu šā likuma izpil</w:t>
            </w:r>
            <w:r w:rsidR="00C94ACE">
              <w:rPr>
                <w:rFonts w:ascii="Times New Roman" w:hAnsi="Times New Roman" w:cs="Times New Roman"/>
                <w:sz w:val="24"/>
                <w:szCs w:val="24"/>
              </w:rPr>
              <w:t>di, nepieciešamie</w:t>
            </w:r>
            <w:r w:rsidR="00760585">
              <w:rPr>
                <w:rFonts w:ascii="Times New Roman" w:hAnsi="Times New Roman" w:cs="Times New Roman"/>
                <w:sz w:val="24"/>
                <w:szCs w:val="24"/>
              </w:rPr>
              <w:t xml:space="preserve"> papildu izdevumi Iekšlietu ministrijai (Pilsonības un migrācijas lietu pārvaldei) 2018.gadā tiek segti no valsts budžeta 74.resora “Gadskārtējā valsts budžeta izpildes procesā pārdalāmais finansējums” programmas 02.00.00 “Līdzekļi neparedzētiem gadījumiem”</w:t>
            </w:r>
            <w:r w:rsidR="006E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52" w:rsidRDefault="00234952" w:rsidP="008A4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453F" w:rsidRDefault="00C1453F" w:rsidP="00C145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F">
              <w:rPr>
                <w:rFonts w:ascii="Times New Roman" w:hAnsi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nodrošinātu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likuma “Par Otrā pasaules kara dalībnieka statusu” izpildi Iekšlietu ministrijai (Pilsonības un migrācijas lietu pārvaldei) nepieciešams:</w:t>
            </w:r>
          </w:p>
          <w:p w:rsidR="00234952" w:rsidRDefault="00C1453F" w:rsidP="00C145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uzlabot Iedzīvotāju reģistru, nodrošinot ziņu par Otrā pasaules kara dalībnieka statusa iekļaušanu un aktualizāciju Iedzīvotāju reģistrā;</w:t>
            </w:r>
          </w:p>
          <w:p w:rsidR="00C1453F" w:rsidRDefault="00C1453F" w:rsidP="00C145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izveidot saskarnes </w:t>
            </w:r>
            <w:r w:rsidR="00B46826">
              <w:rPr>
                <w:rFonts w:ascii="Times New Roman" w:hAnsi="Times New Roman" w:cs="Times New Roman"/>
                <w:sz w:val="24"/>
                <w:szCs w:val="24"/>
              </w:rPr>
              <w:t>ziņu par Otrā pasaules kara dalībnieka statusu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padošanai ārējiem lietotājiem;</w:t>
            </w:r>
          </w:p>
          <w:p w:rsidR="00C1453F" w:rsidRDefault="00C1453F" w:rsidP="00B468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46826">
              <w:rPr>
                <w:rFonts w:ascii="Times New Roman" w:hAnsi="Times New Roman" w:cs="Times New Roman"/>
                <w:sz w:val="24"/>
                <w:szCs w:val="24"/>
              </w:rPr>
              <w:t xml:space="preserve"> izveidot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26">
              <w:rPr>
                <w:rFonts w:ascii="Times New Roman" w:hAnsi="Times New Roman" w:cs="Times New Roman"/>
                <w:sz w:val="24"/>
                <w:szCs w:val="24"/>
              </w:rPr>
              <w:t>risinājumu apliecību drukāšanai, izgūstot datus no Iedzīvotāju reģistra;</w:t>
            </w:r>
          </w:p>
          <w:p w:rsidR="00B46826" w:rsidRPr="00C1453F" w:rsidRDefault="00B46826" w:rsidP="00B468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47EA4">
              <w:rPr>
                <w:rFonts w:ascii="Times New Roman" w:hAnsi="Times New Roman" w:cs="Times New Roman"/>
                <w:sz w:val="24"/>
                <w:szCs w:val="24"/>
              </w:rPr>
              <w:t xml:space="preserve"> izgatavot piemiņas krūšu nozīmes, tai skaitā piesaistīt mākslinieku piemiņas krūšu nozīmes dizaina izveidei, kā arī iegādāties kastītes piemiņas krūšu nozīmes ievietošanai.</w:t>
            </w:r>
          </w:p>
        </w:tc>
      </w:tr>
      <w:tr w:rsidR="00234952" w:rsidRPr="0014571E" w:rsidTr="008A438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Default="00760585" w:rsidP="008A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ministrija, </w:t>
            </w:r>
            <w:r w:rsidR="00234952" w:rsidRPr="00145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Pilsonības un migrācijas lietu pārvalde.</w:t>
            </w:r>
          </w:p>
          <w:p w:rsidR="00234952" w:rsidRPr="0014571E" w:rsidRDefault="00234952" w:rsidP="008A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4952" w:rsidRPr="0014571E" w:rsidTr="008A4386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234952" w:rsidRPr="0014571E" w:rsidRDefault="00234952" w:rsidP="002349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34952" w:rsidRPr="0014571E" w:rsidTr="00234952">
        <w:trPr>
          <w:trHeight w:val="55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52" w:rsidRPr="0014571E" w:rsidRDefault="00234952" w:rsidP="008A4386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34952" w:rsidRPr="0014571E" w:rsidTr="00234952">
        <w:trPr>
          <w:trHeight w:val="32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4952" w:rsidRPr="00921FFD" w:rsidRDefault="00234952" w:rsidP="002349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6D7528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234952" w:rsidRPr="0014571E" w:rsidRDefault="00234952" w:rsidP="00234952"/>
    <w:tbl>
      <w:tblPr>
        <w:tblW w:w="5002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0"/>
        <w:gridCol w:w="1071"/>
        <w:gridCol w:w="1070"/>
        <w:gridCol w:w="944"/>
        <w:gridCol w:w="943"/>
        <w:gridCol w:w="943"/>
        <w:gridCol w:w="943"/>
        <w:gridCol w:w="1015"/>
      </w:tblGrid>
      <w:tr w:rsidR="00234952" w:rsidRPr="00234952" w:rsidTr="00234952">
        <w:trPr>
          <w:cantSplit/>
          <w:tblCellSpacing w:w="20" w:type="dxa"/>
        </w:trPr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vMerge w:val="restart"/>
            <w:shd w:val="clear" w:color="auto" w:fill="FFFFFF"/>
            <w:vAlign w:val="center"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</w:t>
            </w:r>
            <w:r w:rsidRPr="00234952">
              <w:rPr>
                <w:rFonts w:ascii="Times New Roman" w:hAnsi="Times New Roman" w:cs="Times New Roman"/>
                <w:bCs/>
                <w:sz w:val="24"/>
                <w:szCs w:val="24"/>
              </w:rPr>
              <w:t>gads</w:t>
            </w:r>
            <w:proofErr w:type="gramEnd"/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2349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2019.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234952" w:rsidP="0023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 xml:space="preserve"> 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234952" w:rsidP="0023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 xml:space="preserve"> 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34952" w:rsidRPr="00234952" w:rsidRDefault="00234952" w:rsidP="0023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234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 xml:space="preserve"> gadam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FFFFFF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DF3708" w:rsidP="005B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5B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DF3708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</w:t>
            </w:r>
            <w:r w:rsidR="00DF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5B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5B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F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DF3708" w:rsidP="005B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5B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34952" w:rsidRPr="00234952" w:rsidRDefault="00717563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52" w:rsidRPr="00234952" w:rsidTr="00717563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3" w:type="dxa"/>
            <w:gridSpan w:val="7"/>
            <w:vMerge w:val="restart"/>
            <w:shd w:val="clear" w:color="auto" w:fill="auto"/>
            <w:hideMark/>
          </w:tcPr>
          <w:p w:rsidR="00EA6D13" w:rsidRPr="00EA6D13" w:rsidRDefault="00EA6D13" w:rsidP="00EA6D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nodrošinātu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“Par Otrā </w:t>
            </w:r>
            <w:r w:rsidR="0020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pasaules kara dalībnieka statusu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izpildi</w:t>
            </w:r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6D13">
              <w:rPr>
                <w:rFonts w:ascii="Times New Roman" w:hAnsi="Times New Roman" w:cs="Times New Roman"/>
                <w:sz w:val="24"/>
                <w:szCs w:val="24"/>
              </w:rPr>
              <w:t>Iekšlietu ministrijai (Pilsonības un migrācijas lietu pārvaldei,</w:t>
            </w:r>
            <w:r w:rsidRPr="00EA6D13">
              <w:rPr>
                <w:rFonts w:ascii="Times New Roman" w:hAnsi="Times New Roman" w:cs="Times New Roman"/>
              </w:rPr>
              <w:t xml:space="preserve"> </w:t>
            </w:r>
            <w:r w:rsidRPr="00EA6D13">
              <w:rPr>
                <w:rFonts w:ascii="Times New Roman" w:hAnsi="Times New Roman" w:cs="Times New Roman"/>
                <w:sz w:val="24"/>
                <w:szCs w:val="24"/>
              </w:rPr>
              <w:t>budžeta apakšprogramma 11.01.00 “Pilsonības un migrācijas lietu pārvalde”)</w:t>
            </w:r>
            <w:r w:rsidR="0056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nepieciešami papildu valsts budžeta līdzekļi </w:t>
            </w:r>
            <w:r w:rsidR="00DF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5B6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F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D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apmērā uzlabojumu veikšanai Iedzīvotāju reģistrā</w:t>
            </w:r>
            <w:r w:rsidR="0056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678FC"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 ietver papildu lauku un ārējās saskarnes nodrošināšanu</w:t>
            </w:r>
            <w:r w:rsidR="0056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kā arī Otrā pasaules kara dalībnieku apliecību un piemiņas krūšu nozīmju izgatavošanai.</w:t>
            </w:r>
          </w:p>
          <w:p w:rsidR="00EA6D13" w:rsidRDefault="00EA6D13" w:rsidP="00EA6D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Aprēķins</w:t>
            </w:r>
            <w:r w:rsidRPr="00EA6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01AC1" w:rsidRDefault="005678FC" w:rsidP="00401AC1">
            <w:pPr>
              <w:pStyle w:val="NormalWebCharChar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01AC1" w:rsidRPr="009E282A">
              <w:rPr>
                <w:sz w:val="24"/>
                <w:szCs w:val="24"/>
              </w:rPr>
              <w:t xml:space="preserve">Lai </w:t>
            </w:r>
            <w:r w:rsidR="00401AC1">
              <w:rPr>
                <w:sz w:val="24"/>
                <w:szCs w:val="24"/>
              </w:rPr>
              <w:t>nodrošinātu ziņu iekļaušanu un aktualizēšanu Iedzīvotāju reģistrā, izveidotu saskarnes datu padošanai ārējiem lietotājiem, kā arī izveidotu funkcionalitāti, kas nodrošinātu apliecību izgatavošanu</w:t>
            </w:r>
            <w:r w:rsidR="00F47EA4">
              <w:rPr>
                <w:sz w:val="24"/>
                <w:szCs w:val="24"/>
              </w:rPr>
              <w:t>, izgūstot datus no Iedzīvotāju reģistra</w:t>
            </w:r>
            <w:r w:rsidR="00401AC1">
              <w:rPr>
                <w:sz w:val="24"/>
                <w:szCs w:val="24"/>
              </w:rPr>
              <w:t xml:space="preserve">, </w:t>
            </w:r>
            <w:r w:rsidR="00401AC1" w:rsidRPr="009E282A">
              <w:rPr>
                <w:sz w:val="24"/>
                <w:szCs w:val="24"/>
              </w:rPr>
              <w:t xml:space="preserve">nepieciešamas </w:t>
            </w:r>
            <w:r w:rsidR="00200943">
              <w:rPr>
                <w:sz w:val="24"/>
                <w:szCs w:val="24"/>
              </w:rPr>
              <w:t>56</w:t>
            </w:r>
            <w:r w:rsidR="00401AC1" w:rsidRPr="009E282A">
              <w:rPr>
                <w:sz w:val="24"/>
                <w:szCs w:val="24"/>
              </w:rPr>
              <w:t xml:space="preserve"> cilvēkdienas </w:t>
            </w:r>
            <w:r w:rsidR="00401AC1" w:rsidRPr="009E282A">
              <w:rPr>
                <w:sz w:val="24"/>
                <w:szCs w:val="24"/>
              </w:rPr>
              <w:lastRenderedPageBreak/>
              <w:t xml:space="preserve">(apjoms noteikts </w:t>
            </w:r>
            <w:proofErr w:type="gramStart"/>
            <w:r w:rsidR="00401AC1" w:rsidRPr="009E282A">
              <w:rPr>
                <w:sz w:val="24"/>
                <w:szCs w:val="24"/>
              </w:rPr>
              <w:t>vadoties no</w:t>
            </w:r>
            <w:proofErr w:type="gramEnd"/>
            <w:r w:rsidR="00401AC1" w:rsidRPr="009E282A">
              <w:rPr>
                <w:sz w:val="24"/>
                <w:szCs w:val="24"/>
              </w:rPr>
              <w:t xml:space="preserve"> iepriekš veiktajiem programmatūras izstrādes un uzlabošanas darbu veikšanai nepieciešamajiem laika, darba un izmaksu apjomiem)</w:t>
            </w:r>
            <w:r w:rsidR="00401AC1">
              <w:rPr>
                <w:sz w:val="24"/>
                <w:szCs w:val="24"/>
              </w:rPr>
              <w:t>.</w:t>
            </w:r>
          </w:p>
          <w:p w:rsidR="00401AC1" w:rsidRPr="00401AC1" w:rsidRDefault="00401AC1" w:rsidP="00DF3708">
            <w:pPr>
              <w:pStyle w:val="NormalWebCharChar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9E282A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enas </w:t>
            </w:r>
            <w:r w:rsidRPr="00401AC1">
              <w:rPr>
                <w:sz w:val="24"/>
                <w:szCs w:val="24"/>
              </w:rPr>
              <w:t xml:space="preserve">cilvēkdienas izmaksas ir 450,- </w:t>
            </w:r>
            <w:proofErr w:type="spellStart"/>
            <w:r w:rsidRPr="00401AC1">
              <w:rPr>
                <w:i/>
                <w:sz w:val="24"/>
                <w:szCs w:val="24"/>
              </w:rPr>
              <w:t>euro</w:t>
            </w:r>
            <w:proofErr w:type="spellEnd"/>
            <w:r w:rsidR="00DF3708">
              <w:rPr>
                <w:sz w:val="24"/>
                <w:szCs w:val="24"/>
              </w:rPr>
              <w:t xml:space="preserve"> (bez PVN) (atbilstoši noslēgtajam līgumam par Iedzīvotāju reģistra uzturēšanu un papildināšanu </w:t>
            </w:r>
            <w:proofErr w:type="gramStart"/>
            <w:r w:rsidR="00DF3708">
              <w:rPr>
                <w:sz w:val="24"/>
                <w:szCs w:val="24"/>
              </w:rPr>
              <w:t>2018.gadā</w:t>
            </w:r>
            <w:proofErr w:type="gramEnd"/>
            <w:r w:rsidRPr="00401AC1">
              <w:rPr>
                <w:sz w:val="24"/>
                <w:szCs w:val="24"/>
              </w:rPr>
              <w:t>).</w:t>
            </w:r>
          </w:p>
          <w:p w:rsidR="005678FC" w:rsidRPr="00401AC1" w:rsidRDefault="00DF3708" w:rsidP="00DF37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01AC1" w:rsidRPr="005B67C0">
              <w:rPr>
                <w:rFonts w:ascii="Times New Roman" w:hAnsi="Times New Roman" w:cs="Times New Roman"/>
                <w:sz w:val="24"/>
                <w:szCs w:val="24"/>
              </w:rPr>
              <w:t xml:space="preserve"> x 450 </w:t>
            </w:r>
            <w:proofErr w:type="spellStart"/>
            <w:r w:rsidR="00401AC1" w:rsidRPr="005B6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401AC1" w:rsidRPr="005B67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1AC1" w:rsidRPr="005B67C0">
              <w:rPr>
                <w:rFonts w:ascii="Times New Roman" w:hAnsi="Times New Roman" w:cs="Times New Roman"/>
                <w:sz w:val="24"/>
                <w:szCs w:val="24"/>
              </w:rPr>
              <w:t xml:space="preserve">x 1,21 (PVN) = </w:t>
            </w:r>
            <w:r w:rsidRPr="005B67C0">
              <w:rPr>
                <w:rFonts w:ascii="Times New Roman" w:hAnsi="Times New Roman" w:cs="Times New Roman"/>
                <w:sz w:val="24"/>
                <w:szCs w:val="24"/>
              </w:rPr>
              <w:t>30 492</w:t>
            </w:r>
            <w:r w:rsidR="00401AC1" w:rsidRPr="0040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AC1" w:rsidRPr="00401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401AC1" w:rsidRPr="00401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01AC1" w:rsidRPr="00401AC1">
              <w:rPr>
                <w:rFonts w:ascii="Times New Roman" w:hAnsi="Times New Roman" w:cs="Times New Roman"/>
                <w:sz w:val="24"/>
                <w:szCs w:val="24"/>
              </w:rPr>
              <w:t>(EKK 5121 “Datorprogrammas”)</w:t>
            </w:r>
          </w:p>
          <w:p w:rsidR="00234952" w:rsidRDefault="00401AC1" w:rsidP="00DF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Piemiņas krūšu nozīmju izgatavošana un izsniegšana</w:t>
            </w:r>
            <w:r w:rsidR="00C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C0">
              <w:rPr>
                <w:rFonts w:ascii="Times New Roman" w:hAnsi="Times New Roman" w:cs="Times New Roman"/>
                <w:sz w:val="24"/>
                <w:szCs w:val="24"/>
              </w:rPr>
              <w:t>20 320</w:t>
            </w:r>
            <w:r w:rsidR="00C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53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AC1" w:rsidRDefault="00401AC1" w:rsidP="00DF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009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iemiņas krūšu nozīmes izgatavošana:</w:t>
            </w:r>
          </w:p>
          <w:p w:rsidR="00401AC1" w:rsidRPr="005B67C0" w:rsidRDefault="00401AC1" w:rsidP="00DF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(pēc vidējās tirgus cenas)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1,21 (PVN) x 800 (aptuvenais mērķgrupas lielums) = 14 520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B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C0" w:rsidRPr="005B67C0">
              <w:rPr>
                <w:rFonts w:ascii="Times New Roman" w:hAnsi="Times New Roman" w:cs="Times New Roman"/>
                <w:sz w:val="24"/>
                <w:szCs w:val="24"/>
              </w:rPr>
              <w:t>(EKK 2390 “Pārējās preces”)</w:t>
            </w:r>
          </w:p>
          <w:p w:rsidR="00401AC1" w:rsidRDefault="00401AC1" w:rsidP="00DF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C1453F">
              <w:rPr>
                <w:rFonts w:ascii="Times New Roman" w:hAnsi="Times New Roman" w:cs="Times New Roman"/>
                <w:sz w:val="24"/>
                <w:szCs w:val="24"/>
              </w:rPr>
              <w:t>Kastīte piemiņas krūšu nozīmes ievietošanai:</w:t>
            </w:r>
          </w:p>
          <w:p w:rsidR="00C1453F" w:rsidRDefault="00C1453F" w:rsidP="00DF37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(pēc vidējās tirgus cenas ar PVN)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800 (aptuvenais mērķgrupas lielums) = 4 000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B6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67C0" w:rsidRPr="005B67C0">
              <w:rPr>
                <w:rFonts w:ascii="Times New Roman" w:hAnsi="Times New Roman" w:cs="Times New Roman"/>
                <w:sz w:val="24"/>
                <w:szCs w:val="24"/>
              </w:rPr>
              <w:t>(EKK 2390 “Pārējās preces”)</w:t>
            </w:r>
          </w:p>
          <w:p w:rsidR="00C1453F" w:rsidRDefault="00C1453F" w:rsidP="00DF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Izdevumi par autoratlīdzību – piemiņas krūšu nozīmes dizaina izveidei:</w:t>
            </w:r>
          </w:p>
          <w:p w:rsidR="00C1453F" w:rsidRPr="00C1453F" w:rsidRDefault="00C1453F" w:rsidP="005B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B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(vidējā tirgus cena)</w:t>
            </w:r>
            <w:r w:rsidR="005B67C0">
              <w:rPr>
                <w:rFonts w:ascii="Times New Roman" w:hAnsi="Times New Roman" w:cs="Times New Roman"/>
                <w:sz w:val="24"/>
                <w:szCs w:val="24"/>
              </w:rPr>
              <w:t xml:space="preserve"> (EKK 5110 “Attīstības pasākumi un programmas”).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detalizēts izdevumu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234952" w:rsidRPr="00234952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234952" w:rsidRPr="00234952" w:rsidRDefault="004976A8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vietu skaita izmaiņas nav.</w:t>
            </w:r>
          </w:p>
        </w:tc>
      </w:tr>
      <w:tr w:rsidR="00234952" w:rsidRPr="00234952" w:rsidTr="00234952">
        <w:trPr>
          <w:cantSplit/>
          <w:tblCellSpacing w:w="20" w:type="dxa"/>
        </w:trPr>
        <w:tc>
          <w:tcPr>
            <w:tcW w:w="2162" w:type="dxa"/>
            <w:shd w:val="clear" w:color="auto" w:fill="auto"/>
            <w:hideMark/>
          </w:tcPr>
          <w:p w:rsidR="00234952" w:rsidRPr="00234952" w:rsidRDefault="00234952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234952" w:rsidRDefault="004976A8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sedzami no valsts budžeta programmas 02.00.00 “Līdzekļi neparedzētiem gadījumiem”.</w:t>
            </w:r>
          </w:p>
          <w:p w:rsidR="00C428F7" w:rsidRPr="00234952" w:rsidRDefault="00C428F7" w:rsidP="008A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 pasākumiem un izdevumu klasifikācijas kodiem var tikt precizēti atbilstoši veiktaj</w:t>
            </w:r>
            <w:r w:rsidR="00F31336">
              <w:rPr>
                <w:rFonts w:ascii="Times New Roman" w:hAnsi="Times New Roman" w:cs="Times New Roman"/>
                <w:sz w:val="24"/>
                <w:szCs w:val="24"/>
              </w:rPr>
              <w:t>am iepirkumam un faktiskajai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tuācijai.</w:t>
            </w:r>
          </w:p>
        </w:tc>
      </w:tr>
    </w:tbl>
    <w:p w:rsidR="00234952" w:rsidRPr="006D7528" w:rsidRDefault="00234952" w:rsidP="00234952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564"/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1"/>
      </w:tblGrid>
      <w:tr w:rsidR="00234952" w:rsidRPr="00777264" w:rsidTr="008A4386">
        <w:trPr>
          <w:trHeight w:val="45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952" w:rsidRPr="00234952" w:rsidRDefault="00234952" w:rsidP="008A43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</w:t>
            </w:r>
            <w:bookmarkStart w:id="0" w:name="_GoBack"/>
            <w:bookmarkEnd w:id="0"/>
            <w:r w:rsidRPr="0023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 sistēmu</w:t>
            </w:r>
          </w:p>
        </w:tc>
      </w:tr>
      <w:tr w:rsidR="00234952" w:rsidRPr="00777264" w:rsidTr="00234952">
        <w:trPr>
          <w:trHeight w:val="329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4952" w:rsidRPr="00222E30" w:rsidRDefault="00234952" w:rsidP="00234952">
            <w:pPr>
              <w:pStyle w:val="naispant"/>
              <w:spacing w:before="0" w:beforeAutospacing="0" w:after="0" w:afterAutospacing="0"/>
              <w:jc w:val="center"/>
              <w:rPr>
                <w:color w:val="auto"/>
                <w:u w:val="single"/>
              </w:rPr>
            </w:pPr>
            <w:r w:rsidRPr="006D7528">
              <w:t>Projekts šo jomu neskar.</w:t>
            </w:r>
          </w:p>
        </w:tc>
      </w:tr>
    </w:tbl>
    <w:p w:rsidR="00234952" w:rsidRPr="00777264" w:rsidRDefault="00234952" w:rsidP="00234952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4952" w:rsidRPr="00777264" w:rsidRDefault="00234952" w:rsidP="00234952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4952" w:rsidRPr="006D7528" w:rsidRDefault="00234952" w:rsidP="00234952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56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234952" w:rsidRPr="006D7528" w:rsidTr="008A4386">
        <w:trPr>
          <w:tblCellSpacing w:w="15" w:type="dxa"/>
        </w:trPr>
        <w:tc>
          <w:tcPr>
            <w:tcW w:w="9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952" w:rsidRPr="006D7528" w:rsidRDefault="00234952" w:rsidP="008A438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234952" w:rsidRPr="006D7528" w:rsidTr="008A4386">
        <w:trPr>
          <w:trHeight w:val="219"/>
          <w:tblCellSpacing w:w="15" w:type="dxa"/>
        </w:trPr>
        <w:tc>
          <w:tcPr>
            <w:tcW w:w="9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952" w:rsidRPr="006D7528" w:rsidRDefault="00234952" w:rsidP="008A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28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234952" w:rsidRDefault="00234952" w:rsidP="00234952"/>
    <w:tbl>
      <w:tblPr>
        <w:tblW w:w="516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234952" w:rsidRPr="0014571E" w:rsidTr="008A4386">
        <w:trPr>
          <w:trHeight w:val="420"/>
          <w:tblCellSpacing w:w="15" w:type="dxa"/>
          <w:jc w:val="center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52" w:rsidRPr="0014571E" w:rsidRDefault="00234952" w:rsidP="008A4386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 </w:t>
            </w:r>
            <w:r w:rsidRPr="00145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34952" w:rsidRPr="0014571E" w:rsidTr="00234952">
        <w:trPr>
          <w:trHeight w:val="471"/>
          <w:tblCellSpacing w:w="15" w:type="dxa"/>
          <w:jc w:val="center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4952" w:rsidRPr="0014571E" w:rsidRDefault="00234952" w:rsidP="002349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D7528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234952" w:rsidRPr="0014571E" w:rsidRDefault="00234952" w:rsidP="00234952">
      <w:pPr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14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16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3380"/>
        <w:gridCol w:w="5193"/>
      </w:tblGrid>
      <w:tr w:rsidR="00234952" w:rsidRPr="0014571E" w:rsidTr="008A4386">
        <w:trPr>
          <w:trHeight w:val="375"/>
          <w:tblCellSpacing w:w="15" w:type="dxa"/>
          <w:jc w:val="center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52" w:rsidRPr="0014571E" w:rsidRDefault="00234952" w:rsidP="008A4386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34952" w:rsidRPr="0014571E" w:rsidTr="008A4386">
        <w:trPr>
          <w:trHeight w:val="42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Pilsonība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un migrācijas lietu pārvalde.</w:t>
            </w:r>
          </w:p>
        </w:tc>
      </w:tr>
      <w:tr w:rsidR="00234952" w:rsidRPr="0014571E" w:rsidTr="008A4386">
        <w:trPr>
          <w:trHeight w:val="45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hAnsi="Times New Roman" w:cs="Times New Roman"/>
                <w:sz w:val="24"/>
                <w:szCs w:val="24"/>
              </w:rPr>
              <w:t>Projekta izpildes rezultātā nav paredzēta esošu institūciju likvidācija vai reorganizācija. Iestāžu institucionālā struktūra netiek ietekmēta, papildus cilvēkresursi nav nepieciešami.</w:t>
            </w:r>
          </w:p>
        </w:tc>
      </w:tr>
      <w:tr w:rsidR="00234952" w:rsidRPr="0014571E" w:rsidTr="008A4386">
        <w:trPr>
          <w:trHeight w:val="39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952" w:rsidRPr="0014571E" w:rsidRDefault="00234952" w:rsidP="008A4386">
            <w:pPr>
              <w:spacing w:after="0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45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:rsidR="00234952" w:rsidRDefault="00234952" w:rsidP="00234952">
      <w:pPr>
        <w:tabs>
          <w:tab w:val="right" w:pos="907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4952" w:rsidRDefault="00234952" w:rsidP="0023495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952" w:rsidRPr="0014571E" w:rsidRDefault="00234952" w:rsidP="0023495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71E">
        <w:rPr>
          <w:rFonts w:ascii="Times New Roman" w:hAnsi="Times New Roman" w:cs="Times New Roman"/>
          <w:color w:val="000000" w:themeColor="text1"/>
          <w:sz w:val="24"/>
          <w:szCs w:val="24"/>
        </w:rPr>
        <w:t>Iekšlietu ministrs</w:t>
      </w:r>
      <w:proofErr w:type="gramStart"/>
      <w:r w:rsidRPr="0014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proofErr w:type="gramEnd"/>
      <w:r w:rsidRPr="0014571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14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234952" w:rsidRDefault="00234952" w:rsidP="0023495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34952" w:rsidRDefault="00234952" w:rsidP="0023495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34952" w:rsidRPr="0014571E" w:rsidRDefault="00234952" w:rsidP="0023495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234952" w:rsidRPr="0014571E" w:rsidRDefault="00234952" w:rsidP="0023495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71E"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457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Dimitrijs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Trofimovs</w:t>
      </w:r>
      <w:proofErr w:type="spellEnd"/>
    </w:p>
    <w:p w:rsidR="00234952" w:rsidRDefault="00234952" w:rsidP="00234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4952" w:rsidRDefault="00234952" w:rsidP="00234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4952" w:rsidRDefault="00234952" w:rsidP="00234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4952" w:rsidRDefault="00234952" w:rsidP="00234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4952" w:rsidRDefault="00234952" w:rsidP="002349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4952" w:rsidRPr="0087798C" w:rsidRDefault="00234952" w:rsidP="002349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98C">
        <w:rPr>
          <w:rFonts w:ascii="Times New Roman" w:hAnsi="Times New Roman" w:cs="Times New Roman"/>
          <w:sz w:val="20"/>
          <w:szCs w:val="20"/>
        </w:rPr>
        <w:t>Stone 67219425</w:t>
      </w:r>
    </w:p>
    <w:p w:rsidR="00234952" w:rsidRDefault="00234952" w:rsidP="00234952">
      <w:pPr>
        <w:spacing w:after="0"/>
      </w:pPr>
      <w:r w:rsidRPr="0087798C">
        <w:rPr>
          <w:rFonts w:ascii="Times New Roman" w:hAnsi="Times New Roman" w:cs="Times New Roman"/>
          <w:sz w:val="20"/>
          <w:szCs w:val="20"/>
        </w:rPr>
        <w:t>kristine.stone@pmlp.gov.lv</w:t>
      </w:r>
    </w:p>
    <w:p w:rsidR="000D0111" w:rsidRPr="00790F20" w:rsidRDefault="000D0111" w:rsidP="00790F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0F20" w:rsidRPr="00790F20" w:rsidRDefault="00790F20" w:rsidP="00790F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90F20">
        <w:rPr>
          <w:rFonts w:ascii="Times New Roman" w:hAnsi="Times New Roman" w:cs="Times New Roman"/>
          <w:sz w:val="20"/>
          <w:szCs w:val="20"/>
        </w:rPr>
        <w:t>Brīvniece</w:t>
      </w:r>
      <w:proofErr w:type="spellEnd"/>
      <w:r w:rsidRPr="00790F20">
        <w:rPr>
          <w:rFonts w:ascii="Times New Roman" w:hAnsi="Times New Roman" w:cs="Times New Roman"/>
          <w:sz w:val="20"/>
          <w:szCs w:val="20"/>
        </w:rPr>
        <w:t xml:space="preserve">, 67219453 </w:t>
      </w:r>
    </w:p>
    <w:p w:rsidR="00790F20" w:rsidRPr="00790F20" w:rsidRDefault="00F31336" w:rsidP="00790F2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90F20" w:rsidRPr="00790F20">
          <w:rPr>
            <w:rStyle w:val="Hyperlink"/>
            <w:rFonts w:ascii="Times New Roman" w:hAnsi="Times New Roman" w:cs="Times New Roman"/>
            <w:sz w:val="20"/>
            <w:szCs w:val="20"/>
          </w:rPr>
          <w:t>ramona.brīvniece@pmlp.gov.lv</w:t>
        </w:r>
      </w:hyperlink>
    </w:p>
    <w:sectPr w:rsidR="00790F20" w:rsidRPr="00790F20" w:rsidSect="00497A8B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85" w:rsidRDefault="00760585" w:rsidP="00760585">
      <w:pPr>
        <w:spacing w:after="0"/>
      </w:pPr>
      <w:r>
        <w:separator/>
      </w:r>
    </w:p>
  </w:endnote>
  <w:endnote w:type="continuationSeparator" w:id="0">
    <w:p w:rsidR="00760585" w:rsidRDefault="00760585" w:rsidP="0076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DA" w:rsidRPr="0054610A" w:rsidRDefault="00760585" w:rsidP="0054610A">
    <w:pPr>
      <w:spacing w:after="0"/>
      <w:jc w:val="both"/>
      <w:rPr>
        <w:sz w:val="20"/>
        <w:szCs w:val="20"/>
      </w:rPr>
    </w:pPr>
    <w:r w:rsidRPr="00B51D47">
      <w:rPr>
        <w:rFonts w:ascii="Times New Roman" w:hAnsi="Times New Roman" w:cs="Times New Roman"/>
        <w:sz w:val="20"/>
        <w:szCs w:val="20"/>
      </w:rPr>
      <w:t>IEMAnot_</w:t>
    </w:r>
    <w:r w:rsidR="00200943">
      <w:rPr>
        <w:rFonts w:ascii="Times New Roman" w:hAnsi="Times New Roman" w:cs="Times New Roman"/>
        <w:sz w:val="20"/>
        <w:szCs w:val="20"/>
      </w:rPr>
      <w:t>27</w:t>
    </w:r>
    <w:r>
      <w:rPr>
        <w:rFonts w:ascii="Times New Roman" w:hAnsi="Times New Roman" w:cs="Times New Roman"/>
        <w:sz w:val="20"/>
        <w:szCs w:val="20"/>
      </w:rPr>
      <w:t>12</w:t>
    </w:r>
    <w:r w:rsidRPr="00B51D47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LNG</w:t>
    </w:r>
    <w:r w:rsidRPr="00B51D47">
      <w:rPr>
        <w:rFonts w:ascii="Times New Roman" w:hAnsi="Times New Roman" w:cs="Times New Roman"/>
        <w:sz w:val="20"/>
        <w:szCs w:val="20"/>
      </w:rPr>
      <w:t xml:space="preserve">; </w:t>
    </w:r>
    <w:r w:rsidRPr="00B51D47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ta rīkojuma projekta </w:t>
    </w:r>
    <w:r w:rsidRPr="0076058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“</w:t>
    </w:r>
    <w:r w:rsidRPr="00760585">
      <w:rPr>
        <w:rFonts w:ascii="Times New Roman" w:hAnsi="Times New Roman" w:cs="Times New Roman"/>
        <w:sz w:val="20"/>
        <w:szCs w:val="20"/>
      </w:rPr>
      <w:t>Par finanšu līdzekļu piešķiršanu no valsts budžeta programmas “Līdzekļi neparedzētiem gadījumiem</w:t>
    </w:r>
    <w:r w:rsidRPr="00B51D47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 w:rsidRPr="00B51D4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DA" w:rsidRPr="00B51D47" w:rsidRDefault="009C2E1D" w:rsidP="0054610A">
    <w:pPr>
      <w:spacing w:after="0"/>
      <w:jc w:val="both"/>
      <w:rPr>
        <w:sz w:val="20"/>
        <w:szCs w:val="20"/>
      </w:rPr>
    </w:pPr>
    <w:r w:rsidRPr="00B51D47">
      <w:rPr>
        <w:rFonts w:ascii="Times New Roman" w:hAnsi="Times New Roman" w:cs="Times New Roman"/>
        <w:sz w:val="20"/>
        <w:szCs w:val="20"/>
      </w:rPr>
      <w:t>IEMAnot_</w:t>
    </w:r>
    <w:r w:rsidR="00200943">
      <w:rPr>
        <w:rFonts w:ascii="Times New Roman" w:hAnsi="Times New Roman" w:cs="Times New Roman"/>
        <w:sz w:val="20"/>
        <w:szCs w:val="20"/>
      </w:rPr>
      <w:t>27</w:t>
    </w:r>
    <w:r>
      <w:rPr>
        <w:rFonts w:ascii="Times New Roman" w:hAnsi="Times New Roman" w:cs="Times New Roman"/>
        <w:sz w:val="20"/>
        <w:szCs w:val="20"/>
      </w:rPr>
      <w:t>12</w:t>
    </w:r>
    <w:r w:rsidRPr="00B51D47">
      <w:rPr>
        <w:rFonts w:ascii="Times New Roman" w:hAnsi="Times New Roman" w:cs="Times New Roman"/>
        <w:sz w:val="20"/>
        <w:szCs w:val="20"/>
      </w:rPr>
      <w:t>17_</w:t>
    </w:r>
    <w:r w:rsidR="00760585">
      <w:rPr>
        <w:rFonts w:ascii="Times New Roman" w:hAnsi="Times New Roman" w:cs="Times New Roman"/>
        <w:sz w:val="20"/>
        <w:szCs w:val="20"/>
      </w:rPr>
      <w:t>LNG</w:t>
    </w:r>
    <w:r w:rsidRPr="00B51D47">
      <w:rPr>
        <w:rFonts w:ascii="Times New Roman" w:hAnsi="Times New Roman" w:cs="Times New Roman"/>
        <w:sz w:val="20"/>
        <w:szCs w:val="20"/>
      </w:rPr>
      <w:t xml:space="preserve">; </w:t>
    </w:r>
    <w:r w:rsidRPr="00B51D47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ta </w:t>
    </w:r>
    <w:r w:rsidR="00760585">
      <w:rPr>
        <w:rFonts w:ascii="Times New Roman" w:eastAsia="Times New Roman" w:hAnsi="Times New Roman" w:cs="Times New Roman"/>
        <w:bCs/>
        <w:sz w:val="20"/>
        <w:szCs w:val="20"/>
        <w:lang w:eastAsia="lv-LV"/>
      </w:rPr>
      <w:t>rīkojuma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projekta </w:t>
    </w:r>
    <w:r w:rsidRPr="00760585">
      <w:rPr>
        <w:rFonts w:ascii="Times New Roman" w:eastAsia="Times New Roman" w:hAnsi="Times New Roman" w:cs="Times New Roman"/>
        <w:bCs/>
        <w:sz w:val="20"/>
        <w:szCs w:val="20"/>
        <w:lang w:eastAsia="lv-LV"/>
      </w:rPr>
      <w:t>“</w:t>
    </w:r>
    <w:r w:rsidR="00760585" w:rsidRPr="00760585">
      <w:rPr>
        <w:rFonts w:ascii="Times New Roman" w:hAnsi="Times New Roman" w:cs="Times New Roman"/>
        <w:sz w:val="20"/>
        <w:szCs w:val="20"/>
      </w:rPr>
      <w:t>Par finanšu līdzekļu piešķiršanu no valsts budžeta programmas “Līdzekļi neparedzētiem gadījumiem</w:t>
    </w:r>
    <w:r w:rsidRPr="00B51D47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 w:rsidRPr="00B51D4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  <w:r w:rsidRPr="00B51D47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85" w:rsidRDefault="00760585" w:rsidP="00760585">
      <w:pPr>
        <w:spacing w:after="0"/>
      </w:pPr>
      <w:r>
        <w:separator/>
      </w:r>
    </w:p>
  </w:footnote>
  <w:footnote w:type="continuationSeparator" w:id="0">
    <w:p w:rsidR="00760585" w:rsidRDefault="00760585" w:rsidP="00760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0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7BDA" w:rsidRDefault="009C2E1D">
        <w:pPr>
          <w:pStyle w:val="Header"/>
          <w:jc w:val="center"/>
        </w:pPr>
        <w:r w:rsidRPr="00CE3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3E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133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7BDA" w:rsidRDefault="00F3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2"/>
    <w:rsid w:val="000D0111"/>
    <w:rsid w:val="00200943"/>
    <w:rsid w:val="00234952"/>
    <w:rsid w:val="00244D40"/>
    <w:rsid w:val="00401AC1"/>
    <w:rsid w:val="004976A8"/>
    <w:rsid w:val="005678FC"/>
    <w:rsid w:val="005B67C0"/>
    <w:rsid w:val="005C3341"/>
    <w:rsid w:val="006E4E43"/>
    <w:rsid w:val="00717563"/>
    <w:rsid w:val="00760585"/>
    <w:rsid w:val="00790F20"/>
    <w:rsid w:val="008539A0"/>
    <w:rsid w:val="009C2E1D"/>
    <w:rsid w:val="00B46826"/>
    <w:rsid w:val="00C1453F"/>
    <w:rsid w:val="00C428F7"/>
    <w:rsid w:val="00C94ACE"/>
    <w:rsid w:val="00DF3708"/>
    <w:rsid w:val="00EA6D13"/>
    <w:rsid w:val="00F31336"/>
    <w:rsid w:val="00F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E23B2E2A-E257-4023-9B76-B3D7A1E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52"/>
    <w:pPr>
      <w:spacing w:after="12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95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952"/>
    <w:rPr>
      <w:rFonts w:asciiTheme="minorHAnsi" w:hAnsiTheme="minorHAnsi"/>
      <w:sz w:val="22"/>
    </w:rPr>
  </w:style>
  <w:style w:type="paragraph" w:customStyle="1" w:styleId="naiskr">
    <w:name w:val="naiskr"/>
    <w:basedOn w:val="Normal"/>
    <w:rsid w:val="00234952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2349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058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58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678FC"/>
    <w:pPr>
      <w:ind w:left="720"/>
      <w:contextualSpacing/>
    </w:pPr>
  </w:style>
  <w:style w:type="paragraph" w:customStyle="1" w:styleId="NormalWebCharChar">
    <w:name w:val="Normal (Web) Char Char"/>
    <w:basedOn w:val="Normal"/>
    <w:rsid w:val="00401AC1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Hyperlink">
    <w:name w:val="Hyperlink"/>
    <w:unhideWhenUsed/>
    <w:rsid w:val="0079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.br&#299;vniec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4259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14</cp:revision>
  <dcterms:created xsi:type="dcterms:W3CDTF">2017-12-14T13:32:00Z</dcterms:created>
  <dcterms:modified xsi:type="dcterms:W3CDTF">2018-01-10T11:12:00Z</dcterms:modified>
</cp:coreProperties>
</file>