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093BD0" w:rsidRPr="00885EE2" w:rsidP="00093BD0">
      <w:pPr>
        <w:jc w:val="center"/>
        <w:rPr>
          <w:b/>
          <w:sz w:val="26"/>
          <w:szCs w:val="26"/>
        </w:rPr>
      </w:pPr>
      <w:r w:rsidRPr="00885EE2">
        <w:rPr>
          <w:b/>
          <w:sz w:val="26"/>
          <w:szCs w:val="26"/>
        </w:rPr>
        <w:t>Ministru kabineta noteikumu projekta</w:t>
      </w:r>
    </w:p>
    <w:p w:rsidR="001E7BB8" w:rsidRPr="00885EE2" w:rsidP="00093BD0">
      <w:pPr>
        <w:jc w:val="center"/>
        <w:rPr>
          <w:b/>
          <w:sz w:val="26"/>
          <w:szCs w:val="26"/>
        </w:rPr>
      </w:pPr>
      <w:r w:rsidRPr="00885EE2">
        <w:rPr>
          <w:b/>
          <w:sz w:val="26"/>
          <w:szCs w:val="26"/>
        </w:rPr>
        <w:t>“Grozījumi Ministru kabineta 2003.</w:t>
      </w:r>
      <w:r w:rsidRPr="00885EE2" w:rsidR="00D46A3F">
        <w:rPr>
          <w:b/>
          <w:sz w:val="26"/>
          <w:szCs w:val="26"/>
        </w:rPr>
        <w:t xml:space="preserve"> </w:t>
      </w:r>
      <w:r w:rsidRPr="00885EE2">
        <w:rPr>
          <w:b/>
          <w:sz w:val="26"/>
          <w:szCs w:val="26"/>
        </w:rPr>
        <w:t xml:space="preserve">gada </w:t>
      </w:r>
      <w:r w:rsidRPr="00885EE2">
        <w:rPr>
          <w:b/>
          <w:sz w:val="26"/>
          <w:szCs w:val="26"/>
        </w:rPr>
        <w:t>16.</w:t>
      </w:r>
      <w:r w:rsidRPr="00885EE2" w:rsidR="00D46A3F">
        <w:rPr>
          <w:b/>
          <w:sz w:val="26"/>
          <w:szCs w:val="26"/>
        </w:rPr>
        <w:t xml:space="preserve"> </w:t>
      </w:r>
      <w:r w:rsidRPr="00885EE2">
        <w:rPr>
          <w:b/>
          <w:sz w:val="26"/>
          <w:szCs w:val="26"/>
        </w:rPr>
        <w:t>septembra noteikumos Nr.</w:t>
      </w:r>
      <w:r w:rsidRPr="00885EE2" w:rsidR="00D46A3F">
        <w:rPr>
          <w:b/>
          <w:sz w:val="26"/>
          <w:szCs w:val="26"/>
        </w:rPr>
        <w:t xml:space="preserve"> </w:t>
      </w:r>
      <w:r w:rsidRPr="00885EE2">
        <w:rPr>
          <w:b/>
          <w:sz w:val="26"/>
          <w:szCs w:val="26"/>
        </w:rPr>
        <w:t>528</w:t>
      </w:r>
    </w:p>
    <w:p w:rsidR="00093BD0" w:rsidRPr="00885EE2" w:rsidP="00093BD0">
      <w:pPr>
        <w:jc w:val="center"/>
        <w:rPr>
          <w:b/>
          <w:sz w:val="26"/>
          <w:szCs w:val="26"/>
        </w:rPr>
      </w:pPr>
      <w:r w:rsidRPr="00885EE2">
        <w:rPr>
          <w:b/>
          <w:sz w:val="26"/>
          <w:szCs w:val="26"/>
        </w:rPr>
        <w:t xml:space="preserve">“Izglītības un zinātnes ministrijas nolikums”” </w:t>
      </w:r>
    </w:p>
    <w:p w:rsidR="00093BD0" w:rsidRPr="00885EE2" w:rsidP="00093BD0">
      <w:pPr>
        <w:pStyle w:val="naisc"/>
        <w:spacing w:before="0" w:beforeAutospacing="0" w:after="0" w:afterAutospacing="0"/>
        <w:rPr>
          <w:b/>
        </w:rPr>
      </w:pPr>
      <w:r w:rsidRPr="00885EE2">
        <w:rPr>
          <w:b/>
        </w:rPr>
        <w:t>sākotnējās ietekmes novērtējuma ziņojums (anotācija)</w:t>
      </w:r>
    </w:p>
    <w:p w:rsidR="001E7BB8" w:rsidRPr="00885EE2" w:rsidP="001E7BB8">
      <w:pPr>
        <w:jc w:val="both"/>
        <w:rPr>
          <w:rFonts w:eastAsiaTheme="minorHAnsi"/>
          <w:b/>
          <w:bCs/>
          <w:szCs w:val="22"/>
          <w:lang w:eastAsia="en-US"/>
        </w:rPr>
      </w:pPr>
    </w:p>
    <w:tbl>
      <w:tblPr>
        <w:tblW w:w="49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5"/>
        <w:gridCol w:w="6661"/>
      </w:tblGrid>
      <w:tr w:rsidTr="00760BBD">
        <w:tblPrEx>
          <w:tblW w:w="49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20"/>
        </w:trPr>
        <w:tc>
          <w:tcPr>
            <w:tcW w:w="5000" w:type="pct"/>
            <w:gridSpan w:val="2"/>
            <w:shd w:val="clear" w:color="auto" w:fill="auto"/>
            <w:hideMark/>
          </w:tcPr>
          <w:p w:rsidR="00D739A0" w:rsidRPr="00885EE2" w:rsidP="00760BBD">
            <w:pPr>
              <w:jc w:val="center"/>
              <w:rPr>
                <w:b/>
                <w:bCs/>
              </w:rPr>
            </w:pPr>
            <w:r w:rsidRPr="00885EE2">
              <w:rPr>
                <w:b/>
                <w:bCs/>
              </w:rPr>
              <w:t>Tiesību akta projekta anotācijas kopsavilkums</w:t>
            </w:r>
          </w:p>
        </w:tc>
      </w:tr>
      <w:tr w:rsidTr="00D739A0">
        <w:tblPrEx>
          <w:tblW w:w="4979" w:type="pct"/>
          <w:tblInd w:w="-5" w:type="dxa"/>
          <w:tblLook w:val="04A0"/>
        </w:tblPrEx>
        <w:trPr>
          <w:trHeight w:val="540"/>
        </w:trPr>
        <w:tc>
          <w:tcPr>
            <w:tcW w:w="1440" w:type="pct"/>
            <w:shd w:val="clear" w:color="auto" w:fill="auto"/>
            <w:hideMark/>
          </w:tcPr>
          <w:p w:rsidR="00D739A0" w:rsidRPr="00885EE2" w:rsidP="00760BBD">
            <w:r w:rsidRPr="00885EE2">
              <w:t>Mērķis, risinājums un projekta spēkā stāšanās laiks (500 zīmes bez atstarpēm)</w:t>
            </w:r>
          </w:p>
        </w:tc>
        <w:tc>
          <w:tcPr>
            <w:tcW w:w="3560" w:type="pct"/>
            <w:shd w:val="clear" w:color="auto" w:fill="auto"/>
            <w:hideMark/>
          </w:tcPr>
          <w:p w:rsidR="00E53B72" w:rsidRPr="00885EE2" w:rsidP="00CB675D">
            <w:pPr>
              <w:jc w:val="both"/>
              <w:rPr>
                <w:rFonts w:eastAsiaTheme="minorHAnsi"/>
                <w:lang w:bidi="lo-LA"/>
              </w:rPr>
            </w:pPr>
            <w:r w:rsidRPr="00885EE2">
              <w:t xml:space="preserve">    </w:t>
            </w:r>
            <w:r w:rsidRPr="00885EE2" w:rsidR="00CB675D">
              <w:t>Tiesību akta projekts</w:t>
            </w:r>
            <w:r w:rsidRPr="00885EE2">
              <w:t xml:space="preserve"> izstrādāts ar mērķi </w:t>
            </w:r>
            <w:r w:rsidRPr="00885EE2">
              <w:rPr>
                <w:rFonts w:eastAsiaTheme="minorHAnsi"/>
                <w:lang w:eastAsia="en-US" w:bidi="lo-LA"/>
              </w:rPr>
              <w:t xml:space="preserve">novērst pretrunas starp </w:t>
            </w:r>
            <w:r w:rsidRPr="00885EE2">
              <w:rPr>
                <w:rFonts w:eastAsiaTheme="minorHAnsi"/>
                <w:lang w:bidi="lo-LA"/>
              </w:rPr>
              <w:t>Ministru kabineta 2003. gada 16. septembra noteikumu Nr. 528 “Izglītības un zinātnes ministrijas nolikums” (turpmāk – Noteikumi Nr. 528)</w:t>
            </w:r>
            <w:r w:rsidRPr="00885EE2">
              <w:rPr>
                <w:lang w:bidi="lo-LA"/>
              </w:rPr>
              <w:t xml:space="preserve"> </w:t>
            </w:r>
            <w:r w:rsidRPr="00885EE2">
              <w:rPr>
                <w:rFonts w:eastAsiaTheme="minorHAnsi"/>
                <w:lang w:bidi="lo-LA"/>
              </w:rPr>
              <w:t>un citu ārējo tiesību aktu tiesību normām.</w:t>
            </w:r>
            <w:r w:rsidRPr="00885EE2" w:rsidR="00CB675D">
              <w:rPr>
                <w:rFonts w:eastAsiaTheme="minorHAnsi"/>
                <w:lang w:bidi="lo-LA"/>
              </w:rPr>
              <w:t xml:space="preserve"> Tiesību akta p</w:t>
            </w:r>
            <w:r w:rsidRPr="00885EE2" w:rsidR="00DF104F">
              <w:rPr>
                <w:rFonts w:eastAsiaTheme="minorHAnsi"/>
                <w:lang w:bidi="lo-LA"/>
              </w:rPr>
              <w:t>rojekts paredz izdarīt grozījumus Noteikumos Nr. 528</w:t>
            </w:r>
            <w:r w:rsidRPr="00885EE2" w:rsidR="009220AE">
              <w:rPr>
                <w:rFonts w:eastAsiaTheme="minorHAnsi"/>
                <w:lang w:bidi="lo-LA"/>
              </w:rPr>
              <w:t>, nodro</w:t>
            </w:r>
            <w:r w:rsidRPr="00885EE2" w:rsidR="00885EE2">
              <w:rPr>
                <w:rFonts w:eastAsiaTheme="minorHAnsi"/>
                <w:lang w:bidi="lo-LA"/>
              </w:rPr>
              <w:t>šinot Noteikumu Nr. 528</w:t>
            </w:r>
            <w:r w:rsidRPr="00885EE2" w:rsidR="009220AE">
              <w:rPr>
                <w:rFonts w:eastAsiaTheme="minorHAnsi"/>
                <w:lang w:bidi="lo-LA"/>
              </w:rPr>
              <w:t xml:space="preserve"> atbilstību </w:t>
            </w:r>
            <w:r w:rsidRPr="00885EE2" w:rsidR="00114037">
              <w:rPr>
                <w:rFonts w:eastAsiaTheme="minorHAnsi"/>
                <w:lang w:bidi="lo-LA"/>
              </w:rPr>
              <w:t>citiem ārējiem tiesību aktiem</w:t>
            </w:r>
            <w:r w:rsidRPr="00885EE2" w:rsidR="009F639C">
              <w:rPr>
                <w:rFonts w:eastAsiaTheme="minorHAnsi"/>
                <w:lang w:bidi="lo-LA"/>
              </w:rPr>
              <w:t>.</w:t>
            </w:r>
            <w:r w:rsidRPr="00885EE2" w:rsidR="001B298F">
              <w:rPr>
                <w:rFonts w:eastAsiaTheme="minorHAnsi"/>
                <w:lang w:bidi="lo-LA"/>
              </w:rPr>
              <w:t xml:space="preserve"> P</w:t>
            </w:r>
            <w:r w:rsidRPr="00885EE2" w:rsidR="00CB675D">
              <w:rPr>
                <w:rFonts w:eastAsiaTheme="minorHAnsi"/>
                <w:lang w:bidi="lo-LA"/>
              </w:rPr>
              <w:t>aredzēts, ka tiesību akta projekts</w:t>
            </w:r>
            <w:r w:rsidRPr="00885EE2" w:rsidR="009F639C">
              <w:rPr>
                <w:rFonts w:eastAsiaTheme="minorHAnsi"/>
                <w:lang w:bidi="lo-LA"/>
              </w:rPr>
              <w:t xml:space="preserve"> stāsies spēkā Oficiālo publikāciju un tiesiskās informācijas likumā noteiktajā kārtībā.</w:t>
            </w:r>
          </w:p>
        </w:tc>
      </w:tr>
    </w:tbl>
    <w:p w:rsidR="00D739A0" w:rsidRPr="00885EE2" w:rsidP="001E7BB8">
      <w:pPr>
        <w:jc w:val="both"/>
        <w:rPr>
          <w:rFonts w:eastAsiaTheme="minorHAnsi"/>
          <w:b/>
          <w:bCs/>
          <w:szCs w:val="22"/>
          <w:lang w:eastAsia="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9"/>
        <w:gridCol w:w="2218"/>
        <w:gridCol w:w="6702"/>
      </w:tblGrid>
      <w:tr w:rsidTr="005D1D15">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E7BB8" w:rsidRPr="00885EE2" w:rsidP="009A0553">
            <w:pPr>
              <w:jc w:val="center"/>
              <w:rPr>
                <w:rFonts w:eastAsiaTheme="minorHAnsi"/>
                <w:b/>
                <w:bCs/>
                <w:szCs w:val="22"/>
                <w:lang w:eastAsia="en-US"/>
              </w:rPr>
            </w:pPr>
            <w:r w:rsidRPr="00885EE2">
              <w:rPr>
                <w:rFonts w:eastAsiaTheme="minorHAnsi"/>
                <w:b/>
                <w:bCs/>
                <w:szCs w:val="22"/>
                <w:lang w:eastAsia="en-US"/>
              </w:rPr>
              <w:t>I. Tiesību akta projekta izstrādes nepieciešamība</w:t>
            </w:r>
          </w:p>
        </w:tc>
      </w:tr>
      <w:tr w:rsidTr="001D0195">
        <w:tblPrEx>
          <w:tblW w:w="5000" w:type="pct"/>
          <w:tblCellMar>
            <w:top w:w="30" w:type="dxa"/>
            <w:left w:w="30" w:type="dxa"/>
            <w:bottom w:w="30" w:type="dxa"/>
            <w:right w:w="30" w:type="dxa"/>
          </w:tblCellMar>
          <w:tblLook w:val="04A0"/>
        </w:tblPrEx>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1E7BB8" w:rsidRPr="00885EE2" w:rsidP="001E7BB8">
            <w:pPr>
              <w:rPr>
                <w:rFonts w:eastAsiaTheme="minorHAnsi"/>
                <w:szCs w:val="22"/>
                <w:lang w:eastAsia="en-US"/>
              </w:rPr>
            </w:pPr>
            <w:r w:rsidRPr="00885EE2">
              <w:rPr>
                <w:rFonts w:eastAsiaTheme="minorHAnsi"/>
                <w:szCs w:val="22"/>
                <w:lang w:eastAsia="en-US"/>
              </w:rPr>
              <w:t>1.</w:t>
            </w:r>
          </w:p>
        </w:tc>
        <w:tc>
          <w:tcPr>
            <w:tcW w:w="1181" w:type="pct"/>
            <w:tcBorders>
              <w:top w:val="outset" w:sz="6" w:space="0" w:color="414142"/>
              <w:left w:val="outset" w:sz="6" w:space="0" w:color="414142"/>
              <w:bottom w:val="outset" w:sz="6" w:space="0" w:color="414142"/>
              <w:right w:val="outset" w:sz="6" w:space="0" w:color="414142"/>
            </w:tcBorders>
            <w:hideMark/>
          </w:tcPr>
          <w:p w:rsidR="001E7BB8" w:rsidRPr="00885EE2" w:rsidP="001E7BB8">
            <w:pPr>
              <w:rPr>
                <w:rFonts w:eastAsiaTheme="minorHAnsi"/>
                <w:szCs w:val="22"/>
                <w:lang w:eastAsia="en-US"/>
              </w:rPr>
            </w:pPr>
            <w:r w:rsidRPr="00885EE2">
              <w:rPr>
                <w:rFonts w:eastAsiaTheme="minorHAnsi"/>
                <w:szCs w:val="22"/>
                <w:lang w:eastAsia="en-US"/>
              </w:rPr>
              <w:t>Pamatojums</w:t>
            </w:r>
          </w:p>
        </w:tc>
        <w:tc>
          <w:tcPr>
            <w:tcW w:w="3570" w:type="pct"/>
            <w:tcBorders>
              <w:top w:val="outset" w:sz="6" w:space="0" w:color="414142"/>
              <w:left w:val="outset" w:sz="6" w:space="0" w:color="414142"/>
              <w:bottom w:val="outset" w:sz="6" w:space="0" w:color="414142"/>
              <w:right w:val="outset" w:sz="6" w:space="0" w:color="414142"/>
            </w:tcBorders>
            <w:hideMark/>
          </w:tcPr>
          <w:p w:rsidR="00B637BA" w:rsidRPr="00885EE2" w:rsidP="001D0195">
            <w:pPr>
              <w:jc w:val="both"/>
            </w:pPr>
            <w:r w:rsidRPr="00885EE2">
              <w:t xml:space="preserve">   </w:t>
            </w:r>
            <w:r w:rsidRPr="00885EE2" w:rsidR="00C84D00">
              <w:t xml:space="preserve"> </w:t>
            </w:r>
            <w:r w:rsidRPr="00885EE2" w:rsidR="001E7BB8">
              <w:t>Ministru kabineta noteikumu projekta “Grozījumi Ministru kabineta 2003.</w:t>
            </w:r>
            <w:r w:rsidRPr="00885EE2" w:rsidR="00C84D00">
              <w:t xml:space="preserve"> </w:t>
            </w:r>
            <w:r w:rsidRPr="00885EE2" w:rsidR="001E7BB8">
              <w:t>gada 16.</w:t>
            </w:r>
            <w:r w:rsidRPr="00885EE2" w:rsidR="00C84D00">
              <w:t xml:space="preserve"> </w:t>
            </w:r>
            <w:r w:rsidRPr="00885EE2" w:rsidR="001E7BB8">
              <w:t>septembra noteikumos Nr.</w:t>
            </w:r>
            <w:r w:rsidRPr="00885EE2" w:rsidR="00C84D00">
              <w:t xml:space="preserve"> </w:t>
            </w:r>
            <w:r w:rsidRPr="00885EE2" w:rsidR="001E7BB8">
              <w:t xml:space="preserve">528 “Izglītības un zinātnes ministrijas </w:t>
            </w:r>
            <w:r w:rsidRPr="00885EE2" w:rsidR="00B9508B">
              <w:t xml:space="preserve">nolikums”” (turpmāk – </w:t>
            </w:r>
            <w:r w:rsidRPr="00885EE2" w:rsidR="001E7BB8">
              <w:t>projekts) izst</w:t>
            </w:r>
            <w:r w:rsidRPr="00885EE2">
              <w:t>rādes nepieciešamība izriet no:</w:t>
            </w:r>
          </w:p>
          <w:p w:rsidR="00456AD9" w:rsidRPr="00885EE2" w:rsidP="002E4731">
            <w:pPr>
              <w:jc w:val="both"/>
            </w:pPr>
            <w:r w:rsidRPr="00885EE2">
              <w:t xml:space="preserve">   </w:t>
            </w:r>
            <w:r w:rsidRPr="00885EE2" w:rsidR="00C84D00">
              <w:t xml:space="preserve"> </w:t>
            </w:r>
            <w:r w:rsidRPr="00885EE2" w:rsidR="00685C88">
              <w:t xml:space="preserve">1) </w:t>
            </w:r>
            <w:r w:rsidRPr="00885EE2" w:rsidR="00612287">
              <w:t>Valsts pārvaldes iekārtas likuma 16.</w:t>
            </w:r>
            <w:r w:rsidRPr="00885EE2" w:rsidR="00C84D00">
              <w:t xml:space="preserve"> </w:t>
            </w:r>
            <w:r w:rsidRPr="00885EE2" w:rsidR="00612287">
              <w:t>panta pirmās daļas</w:t>
            </w:r>
            <w:r w:rsidRPr="00885EE2" w:rsidR="000F35C6">
              <w:t xml:space="preserve">, kas noteic, ka </w:t>
            </w:r>
            <w:r w:rsidRPr="00885EE2" w:rsidR="00001E13">
              <w:t>t</w:t>
            </w:r>
            <w:r w:rsidRPr="00885EE2" w:rsidR="000F35C6">
              <w:t>iešās pārvaldes iestādes darbību reglamentē Ministru kabineta apstiprināts nolikums</w:t>
            </w:r>
            <w:r w:rsidRPr="00885EE2">
              <w:t>;</w:t>
            </w:r>
          </w:p>
          <w:p w:rsidR="00D1513D" w:rsidRPr="00885EE2" w:rsidP="002E4731">
            <w:pPr>
              <w:jc w:val="both"/>
            </w:pPr>
            <w:r w:rsidRPr="00885EE2">
              <w:t xml:space="preserve">    2) Augstskolu likuma </w:t>
            </w:r>
            <w:r w:rsidRPr="00885EE2" w:rsidR="00F23354">
              <w:rPr>
                <w:lang w:bidi="lo-LA"/>
              </w:rPr>
              <w:t>55.</w:t>
            </w:r>
            <w:r w:rsidRPr="00885EE2" w:rsidR="00F23354">
              <w:rPr>
                <w:vertAlign w:val="superscript"/>
                <w:lang w:bidi="lo-LA"/>
              </w:rPr>
              <w:t>2</w:t>
            </w:r>
            <w:r w:rsidRPr="00885EE2" w:rsidR="00F23354">
              <w:rPr>
                <w:lang w:bidi="lo-LA"/>
              </w:rPr>
              <w:t xml:space="preserve"> panta pirmās prim daļas un 55.</w:t>
            </w:r>
            <w:r w:rsidRPr="00885EE2" w:rsidR="00F23354">
              <w:rPr>
                <w:vertAlign w:val="superscript"/>
                <w:lang w:bidi="lo-LA"/>
              </w:rPr>
              <w:t>3</w:t>
            </w:r>
            <w:r w:rsidRPr="00885EE2" w:rsidR="007F2FE5">
              <w:rPr>
                <w:lang w:bidi="lo-LA"/>
              </w:rPr>
              <w:t> </w:t>
            </w:r>
            <w:r w:rsidRPr="00885EE2" w:rsidR="00F23354">
              <w:rPr>
                <w:lang w:bidi="lo-LA"/>
              </w:rPr>
              <w:t>panta pirmās prim daļas;</w:t>
            </w:r>
          </w:p>
          <w:p w:rsidR="00456AD9" w:rsidRPr="00885EE2" w:rsidP="002E4731">
            <w:pPr>
              <w:jc w:val="both"/>
            </w:pPr>
            <w:r w:rsidRPr="00885EE2">
              <w:t xml:space="preserve">    </w:t>
            </w:r>
            <w:r w:rsidRPr="00885EE2" w:rsidR="00D1513D">
              <w:t>3</w:t>
            </w:r>
            <w:r w:rsidRPr="00885EE2" w:rsidR="00612287">
              <w:t xml:space="preserve">) </w:t>
            </w:r>
            <w:r w:rsidRPr="00885EE2" w:rsidR="00C84D00">
              <w:t xml:space="preserve">2015. gada 10. decembra likuma “Par Rēzeknes Tehnoloģiju akadēmijas Satversmi”; </w:t>
            </w:r>
          </w:p>
          <w:p w:rsidR="00456AD9" w:rsidRPr="00885EE2" w:rsidP="002E4731">
            <w:pPr>
              <w:jc w:val="both"/>
            </w:pPr>
            <w:r w:rsidRPr="00885EE2">
              <w:t xml:space="preserve">    </w:t>
            </w:r>
            <w:r w:rsidRPr="00885EE2" w:rsidR="00D1513D">
              <w:t>4</w:t>
            </w:r>
            <w:r w:rsidRPr="00885EE2" w:rsidR="00C84D00">
              <w:t xml:space="preserve">) </w:t>
            </w:r>
            <w:r w:rsidRPr="00885EE2" w:rsidR="00393399">
              <w:t>2016. gada 15. decembra likuma “Par sabiedrību ar ierobežotu atbildību “Bulduru Dārzkopības vidusskola””</w:t>
            </w:r>
            <w:r w:rsidRPr="00885EE2">
              <w:t>;</w:t>
            </w:r>
          </w:p>
          <w:p w:rsidR="00456AD9" w:rsidRPr="00885EE2" w:rsidP="002E4731">
            <w:pPr>
              <w:jc w:val="both"/>
            </w:pPr>
            <w:r w:rsidRPr="00885EE2">
              <w:t xml:space="preserve">    </w:t>
            </w:r>
            <w:r w:rsidRPr="00885EE2" w:rsidR="00D1513D">
              <w:t>5</w:t>
            </w:r>
            <w:r w:rsidRPr="00885EE2" w:rsidR="00DC5678">
              <w:t xml:space="preserve">) </w:t>
            </w:r>
            <w:r w:rsidRPr="00885EE2" w:rsidR="00DC5678">
              <w:rPr>
                <w:lang w:bidi="lo-LA"/>
              </w:rPr>
              <w:t>Ministru kabineta 2016</w:t>
            </w:r>
            <w:r w:rsidRPr="00885EE2" w:rsidR="00D1513D">
              <w:rPr>
                <w:lang w:bidi="lo-LA"/>
              </w:rPr>
              <w:t>. gada 27. septembra noteikumu</w:t>
            </w:r>
            <w:r w:rsidRPr="00885EE2" w:rsidR="00DC5678">
              <w:rPr>
                <w:lang w:bidi="lo-LA"/>
              </w:rPr>
              <w:t xml:space="preserve"> Nr. 633 “Profesijas standarta, profesionālās kvalifikācijas prasību (ja profesijai neapstiprina profesijas standartu) un nozares kvalifikāciju struktūras izstrādes kārtība” </w:t>
            </w:r>
            <w:r w:rsidRPr="00885EE2" w:rsidR="00E108C7">
              <w:rPr>
                <w:lang w:bidi="lo-LA"/>
              </w:rPr>
              <w:t xml:space="preserve">(turpmāk – Noteikumi </w:t>
            </w:r>
            <w:r w:rsidRPr="00885EE2" w:rsidR="002A2987">
              <w:rPr>
                <w:lang w:bidi="lo-LA"/>
              </w:rPr>
              <w:t>Nr.</w:t>
            </w:r>
            <w:r w:rsidRPr="00885EE2" w:rsidR="007F2FE5">
              <w:rPr>
                <w:lang w:bidi="lo-LA"/>
              </w:rPr>
              <w:t> </w:t>
            </w:r>
            <w:r w:rsidRPr="00885EE2" w:rsidR="002A2987">
              <w:rPr>
                <w:lang w:bidi="lo-LA"/>
              </w:rPr>
              <w:t>633)</w:t>
            </w:r>
            <w:r w:rsidRPr="00885EE2" w:rsidR="00B82320">
              <w:rPr>
                <w:rFonts w:eastAsiaTheme="minorHAnsi"/>
                <w:lang w:bidi="lo-LA"/>
              </w:rPr>
              <w:t xml:space="preserve"> 5.1. </w:t>
            </w:r>
            <w:r w:rsidRPr="00885EE2" w:rsidR="00D1513D">
              <w:rPr>
                <w:rFonts w:eastAsiaTheme="minorHAnsi"/>
                <w:lang w:bidi="lo-LA"/>
              </w:rPr>
              <w:t>apakšpunkta un 6. punkta</w:t>
            </w:r>
            <w:r w:rsidRPr="00885EE2" w:rsidR="00DC5678">
              <w:rPr>
                <w:rFonts w:eastAsiaTheme="minorHAnsi"/>
                <w:lang w:eastAsia="en-US"/>
              </w:rPr>
              <w:t>;</w:t>
            </w:r>
          </w:p>
          <w:p w:rsidR="00456AD9" w:rsidRPr="00885EE2" w:rsidP="002E4731">
            <w:pPr>
              <w:jc w:val="both"/>
            </w:pPr>
            <w:r w:rsidRPr="00885EE2">
              <w:t xml:space="preserve">    </w:t>
            </w:r>
            <w:r w:rsidRPr="00885EE2" w:rsidR="00D1513D">
              <w:t>6</w:t>
            </w:r>
            <w:r w:rsidRPr="00885EE2" w:rsidR="00393399">
              <w:t xml:space="preserve">) </w:t>
            </w:r>
            <w:r w:rsidRPr="00885EE2" w:rsidR="00393399">
              <w:rPr>
                <w:lang w:bidi="lo-LA"/>
              </w:rPr>
              <w:t>Ministru kabineta 2016. gada 18. jūlija rīkojuma Nr. 394 “Par Jēkabpils Agrobiznesa koledžas un Barkavas Profesionālās vidusskolas reorganizāciju un Jēkabpils Agrobiznesa koledžas izveidi”</w:t>
            </w:r>
            <w:r w:rsidRPr="00885EE2">
              <w:t>;</w:t>
            </w:r>
          </w:p>
          <w:p w:rsidR="00456AD9" w:rsidRPr="00885EE2" w:rsidP="002E4731">
            <w:pPr>
              <w:jc w:val="both"/>
            </w:pPr>
            <w:r w:rsidRPr="00885EE2">
              <w:t xml:space="preserve">    </w:t>
            </w:r>
            <w:r w:rsidRPr="00885EE2" w:rsidR="00D1513D">
              <w:t>7</w:t>
            </w:r>
            <w:r w:rsidRPr="00885EE2" w:rsidR="00393399">
              <w:t xml:space="preserve">) </w:t>
            </w:r>
            <w:r w:rsidRPr="00885EE2" w:rsidR="00393399">
              <w:rPr>
                <w:lang w:bidi="lo-LA"/>
              </w:rPr>
              <w:t>Ministru kabineta 2017. gada 14. februāra rīkojuma Nr. 65 “Par profesionālās izglītības kompetences centra statusa piešķiršanu Rīgas Stila un modes profesionālajai vidusskolai”</w:t>
            </w:r>
            <w:r w:rsidRPr="00885EE2">
              <w:t>;</w:t>
            </w:r>
          </w:p>
          <w:p w:rsidR="00456AD9" w:rsidRPr="00885EE2" w:rsidP="002E4731">
            <w:pPr>
              <w:jc w:val="both"/>
            </w:pPr>
            <w:r w:rsidRPr="00885EE2">
              <w:t xml:space="preserve">    </w:t>
            </w:r>
            <w:r w:rsidRPr="00885EE2" w:rsidR="00D1513D">
              <w:t>8</w:t>
            </w:r>
            <w:r w:rsidRPr="00885EE2" w:rsidR="00393399">
              <w:t xml:space="preserve">) </w:t>
            </w:r>
            <w:r w:rsidRPr="00885EE2" w:rsidR="00393399">
              <w:rPr>
                <w:lang w:bidi="lo-LA"/>
              </w:rPr>
              <w:t>Ministru kabineta 2017. gada 3. aprīļa rīkojuma Nr. 164 “Par Rīgas Pedagoģijas un izglītības vadības akadēmijas likvidāciju”</w:t>
            </w:r>
            <w:r w:rsidRPr="00885EE2">
              <w:t>;</w:t>
            </w:r>
          </w:p>
          <w:p w:rsidR="00C851EB" w:rsidRPr="00885EE2" w:rsidP="002E4731">
            <w:pPr>
              <w:jc w:val="both"/>
            </w:pPr>
            <w:r w:rsidRPr="00885EE2">
              <w:t xml:space="preserve">    </w:t>
            </w:r>
            <w:r w:rsidRPr="00885EE2" w:rsidR="00D1513D">
              <w:t>9</w:t>
            </w:r>
            <w:r w:rsidRPr="00885EE2" w:rsidR="00393399">
              <w:t xml:space="preserve">) </w:t>
            </w:r>
            <w:r w:rsidRPr="00885EE2" w:rsidR="00393399">
              <w:rPr>
                <w:lang w:bidi="lo-LA"/>
              </w:rPr>
              <w:t>Ministru kabineta 2017. gada 13. septembra rīkojuma Nr. 495 “Par Daugavpils medicīnas koledžas reorganizāciju”</w:t>
            </w:r>
            <w:r w:rsidRPr="00885EE2" w:rsidR="000A7E85">
              <w:t>.</w:t>
            </w:r>
          </w:p>
        </w:tc>
      </w:tr>
      <w:tr w:rsidTr="001D0195">
        <w:tblPrEx>
          <w:tblW w:w="5000" w:type="pct"/>
          <w:tblCellMar>
            <w:top w:w="30" w:type="dxa"/>
            <w:left w:w="30" w:type="dxa"/>
            <w:bottom w:w="30" w:type="dxa"/>
            <w:right w:w="30" w:type="dxa"/>
          </w:tblCellMar>
          <w:tblLook w:val="04A0"/>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1E7BB8" w:rsidRPr="00885EE2" w:rsidP="001E7BB8">
            <w:pPr>
              <w:rPr>
                <w:rFonts w:eastAsiaTheme="minorHAnsi"/>
                <w:szCs w:val="22"/>
                <w:lang w:eastAsia="en-US"/>
              </w:rPr>
            </w:pPr>
            <w:r w:rsidRPr="00885EE2">
              <w:rPr>
                <w:rFonts w:eastAsiaTheme="minorHAnsi"/>
                <w:szCs w:val="22"/>
                <w:lang w:eastAsia="en-US"/>
              </w:rPr>
              <w:t>2.</w:t>
            </w:r>
          </w:p>
        </w:tc>
        <w:tc>
          <w:tcPr>
            <w:tcW w:w="1181" w:type="pct"/>
            <w:tcBorders>
              <w:top w:val="outset" w:sz="6" w:space="0" w:color="414142"/>
              <w:left w:val="outset" w:sz="6" w:space="0" w:color="414142"/>
              <w:bottom w:val="outset" w:sz="6" w:space="0" w:color="414142"/>
              <w:right w:val="outset" w:sz="6" w:space="0" w:color="414142"/>
            </w:tcBorders>
            <w:hideMark/>
          </w:tcPr>
          <w:p w:rsidR="001E7BB8" w:rsidRPr="00885EE2" w:rsidP="001E7BB8">
            <w:pPr>
              <w:rPr>
                <w:rFonts w:eastAsiaTheme="minorHAnsi"/>
                <w:szCs w:val="22"/>
                <w:lang w:eastAsia="en-US"/>
              </w:rPr>
            </w:pPr>
            <w:r w:rsidRPr="00885EE2">
              <w:rPr>
                <w:rFonts w:eastAsiaTheme="minorHAnsi"/>
                <w:szCs w:val="22"/>
                <w:lang w:eastAsia="en-US"/>
              </w:rPr>
              <w:t>Pašreizējā situācija un problēmas, kuru risināšanai tiesību akta projekts izstrādāts, tiesiskā regulējuma mērķis un būtība</w:t>
            </w:r>
          </w:p>
        </w:tc>
        <w:tc>
          <w:tcPr>
            <w:tcW w:w="3570" w:type="pct"/>
            <w:tcBorders>
              <w:top w:val="outset" w:sz="6" w:space="0" w:color="414142"/>
              <w:left w:val="outset" w:sz="6" w:space="0" w:color="414142"/>
              <w:bottom w:val="outset" w:sz="6" w:space="0" w:color="414142"/>
              <w:right w:val="outset" w:sz="6" w:space="0" w:color="414142"/>
            </w:tcBorders>
            <w:hideMark/>
          </w:tcPr>
          <w:p w:rsidR="00E47233" w:rsidRPr="00885EE2" w:rsidP="00E47233">
            <w:pPr>
              <w:jc w:val="both"/>
              <w:rPr>
                <w:lang w:bidi="lo-LA"/>
              </w:rPr>
            </w:pPr>
            <w:r w:rsidRPr="00885EE2">
              <w:rPr>
                <w:bCs/>
              </w:rPr>
              <w:t xml:space="preserve">    </w:t>
            </w:r>
            <w:r w:rsidRPr="00885EE2" w:rsidR="00A678AB">
              <w:rPr>
                <w:bCs/>
              </w:rPr>
              <w:t xml:space="preserve">1) </w:t>
            </w:r>
            <w:r w:rsidRPr="00885EE2">
              <w:rPr>
                <w:rFonts w:eastAsiaTheme="minorHAnsi"/>
                <w:lang w:eastAsia="en-US"/>
              </w:rPr>
              <w:t xml:space="preserve">2014. gada 17. decembrī tika pieņemts likums “Grozījumi Augstskolu likumā”, kas stājās spēkā 2015. gada 1. jūlijā un paredz, ka </w:t>
            </w:r>
            <w:r w:rsidRPr="00885EE2">
              <w:rPr>
                <w:rFonts w:eastAsiaTheme="minorHAnsi"/>
                <w:u w:val="single"/>
                <w:lang w:eastAsia="en-US"/>
              </w:rPr>
              <w:t>studiju programmu licencēšanu</w:t>
            </w:r>
            <w:r w:rsidRPr="00885EE2">
              <w:rPr>
                <w:u w:val="single"/>
                <w:lang w:bidi="lo-LA"/>
              </w:rPr>
              <w:t xml:space="preserve"> un studiju virzienu akreditāciju organizē Akadēmiskās info</w:t>
            </w:r>
            <w:bookmarkStart w:id="0" w:name="_GoBack"/>
            <w:bookmarkEnd w:id="0"/>
            <w:r w:rsidRPr="00885EE2">
              <w:rPr>
                <w:u w:val="single"/>
                <w:lang w:bidi="lo-LA"/>
              </w:rPr>
              <w:t>rmācijas centrs</w:t>
            </w:r>
            <w:r w:rsidRPr="00885EE2">
              <w:rPr>
                <w:lang w:bidi="lo-LA"/>
              </w:rPr>
              <w:t xml:space="preserve">. </w:t>
            </w:r>
            <w:r w:rsidRPr="00885EE2" w:rsidR="00FE5AB2">
              <w:rPr>
                <w:lang w:bidi="lo-LA"/>
              </w:rPr>
              <w:t xml:space="preserve">Līdz minētā likuma pieņemšanai Augstskolu likums noteica, ka </w:t>
            </w:r>
            <w:r w:rsidRPr="00885EE2" w:rsidR="008A2E6C">
              <w:rPr>
                <w:lang w:bidi="lo-LA"/>
              </w:rPr>
              <w:t>s</w:t>
            </w:r>
            <w:r w:rsidRPr="00885EE2" w:rsidR="008A2E6C">
              <w:rPr>
                <w:rFonts w:eastAsiaTheme="minorHAnsi"/>
                <w:lang w:eastAsia="en-US"/>
              </w:rPr>
              <w:t>tudiju programmu licencēšanas kārtību un studiju virzienu akreditācijas un ārpuskārtas akreditācijas kārtību nosaka Ministru kabinets, un attiecīgi</w:t>
            </w:r>
            <w:r w:rsidRPr="00885EE2" w:rsidR="008A2E6C">
              <w:rPr>
                <w:lang w:bidi="lo-LA"/>
              </w:rPr>
              <w:t xml:space="preserve"> Ministru kabineta 2013. gada 25. aprīļa noteikumi Nr. 230 “Studiju programmu licencēšanas noteikumi” (zaudējuši spēku 2015. gada 30. jūlijā) paredzēja, ka s</w:t>
            </w:r>
            <w:r w:rsidRPr="00885EE2" w:rsidR="008A2E6C">
              <w:rPr>
                <w:rFonts w:eastAsiaTheme="minorHAnsi"/>
                <w:lang w:eastAsia="en-US"/>
              </w:rPr>
              <w:t xml:space="preserve">tudiju programmu licencēšanu organizē Izglītības un zinātnes ministrija </w:t>
            </w:r>
            <w:r w:rsidRPr="00885EE2" w:rsidR="008A2E6C">
              <w:rPr>
                <w:lang w:bidi="lo-LA"/>
              </w:rPr>
              <w:t xml:space="preserve">(turpmāk – Ministrija) </w:t>
            </w:r>
            <w:r w:rsidRPr="00885EE2" w:rsidR="008A2E6C">
              <w:rPr>
                <w:rFonts w:eastAsiaTheme="minorHAnsi"/>
                <w:lang w:eastAsia="en-US"/>
              </w:rPr>
              <w:t>vai tās pilnvarotā institūcija, kura saskaņā ar Ministru kabineta noteikumiem par augstskolu, koledžu un studiju virzienu akreditāciju organizē augstskolu, koledžu un studiju virzienu novērtēšanu, kā arī</w:t>
            </w:r>
            <w:r w:rsidRPr="00885EE2" w:rsidR="00A81797">
              <w:rPr>
                <w:lang w:bidi="lo-LA"/>
              </w:rPr>
              <w:t xml:space="preserve"> Ministru kabineta 2012. </w:t>
            </w:r>
            <w:r w:rsidRPr="00885EE2" w:rsidR="008A2E6C">
              <w:rPr>
                <w:lang w:bidi="lo-LA"/>
              </w:rPr>
              <w:t xml:space="preserve">gada 25. septembra noteikumi Nr. 668 “Augstskolu, koledžu un studiju virzienu akreditācijas noteikumi” </w:t>
            </w:r>
            <w:r w:rsidRPr="00885EE2" w:rsidR="00A81797">
              <w:rPr>
                <w:lang w:bidi="lo-LA"/>
              </w:rPr>
              <w:t>(zaudējuši spēku 2015. </w:t>
            </w:r>
            <w:r w:rsidRPr="00885EE2" w:rsidR="00B82320">
              <w:rPr>
                <w:lang w:bidi="lo-LA"/>
              </w:rPr>
              <w:t>gada 30. </w:t>
            </w:r>
            <w:r w:rsidRPr="00885EE2" w:rsidR="008A2E6C">
              <w:rPr>
                <w:lang w:bidi="lo-LA"/>
              </w:rPr>
              <w:t>jūlijā) paredzēja, ka s</w:t>
            </w:r>
            <w:r w:rsidRPr="00885EE2" w:rsidR="008A2E6C">
              <w:rPr>
                <w:rFonts w:eastAsiaTheme="minorHAnsi"/>
                <w:lang w:eastAsia="en-US"/>
              </w:rPr>
              <w:t>tudiju virzienu novērtēšanu organizē Ministrija vai tās pilnvarota institūcija, ar kuru Ministrija noslēdz deleģēšanas līgumu.</w:t>
            </w:r>
            <w:r w:rsidRPr="00885EE2" w:rsidR="006900F9">
              <w:rPr>
                <w:lang w:bidi="lo-LA"/>
              </w:rPr>
              <w:t xml:space="preserve"> Ņemot vērā minēto,</w:t>
            </w:r>
            <w:r w:rsidRPr="00885EE2">
              <w:rPr>
                <w:lang w:bidi="lo-LA"/>
              </w:rPr>
              <w:t xml:space="preserve"> </w:t>
            </w:r>
            <w:r w:rsidRPr="00885EE2" w:rsidR="00A03F0C">
              <w:rPr>
                <w:rFonts w:eastAsiaTheme="minorHAnsi"/>
                <w:lang w:bidi="lo-LA"/>
              </w:rPr>
              <w:t>Noteikumu</w:t>
            </w:r>
            <w:r w:rsidRPr="00885EE2" w:rsidR="00A81797">
              <w:rPr>
                <w:rFonts w:eastAsiaTheme="minorHAnsi"/>
                <w:lang w:bidi="lo-LA"/>
              </w:rPr>
              <w:t xml:space="preserve"> Nr. </w:t>
            </w:r>
            <w:r w:rsidRPr="00885EE2" w:rsidR="00A03F0C">
              <w:rPr>
                <w:rFonts w:eastAsiaTheme="minorHAnsi"/>
                <w:lang w:bidi="lo-LA"/>
              </w:rPr>
              <w:t xml:space="preserve">528 </w:t>
            </w:r>
            <w:r w:rsidRPr="00885EE2" w:rsidR="00B82320">
              <w:rPr>
                <w:lang w:bidi="lo-LA"/>
              </w:rPr>
              <w:t>5.4. </w:t>
            </w:r>
            <w:r w:rsidRPr="00885EE2" w:rsidR="00F23354">
              <w:rPr>
                <w:lang w:bidi="lo-LA"/>
              </w:rPr>
              <w:t xml:space="preserve">apakšpunkts, kas noteic, ka viens no </w:t>
            </w:r>
            <w:r w:rsidRPr="00885EE2" w:rsidR="006900F9">
              <w:rPr>
                <w:lang w:bidi="lo-LA"/>
              </w:rPr>
              <w:t>Ministrijas</w:t>
            </w:r>
            <w:r w:rsidRPr="00885EE2" w:rsidR="00F23354">
              <w:rPr>
                <w:lang w:bidi="lo-LA"/>
              </w:rPr>
              <w:t xml:space="preserve"> uzdevumiem, kas tiek veikts, lai nodrošinātu Ministrijas funkciju izpildi, ir augstākās izglītības programmu licencēšana un akre</w:t>
            </w:r>
            <w:r w:rsidRPr="00885EE2" w:rsidR="006D5608">
              <w:rPr>
                <w:lang w:bidi="lo-LA"/>
              </w:rPr>
              <w:t xml:space="preserve">ditēšana, šobrīd neatbilst </w:t>
            </w:r>
            <w:r w:rsidRPr="00885EE2">
              <w:rPr>
                <w:lang w:bidi="lo-LA"/>
              </w:rPr>
              <w:t>Augstskolu likuma 55.</w:t>
            </w:r>
            <w:r w:rsidRPr="00885EE2">
              <w:rPr>
                <w:vertAlign w:val="superscript"/>
                <w:lang w:bidi="lo-LA"/>
              </w:rPr>
              <w:t>2</w:t>
            </w:r>
            <w:r w:rsidRPr="00885EE2">
              <w:rPr>
                <w:lang w:bidi="lo-LA"/>
              </w:rPr>
              <w:t xml:space="preserve"> panta pirmajā prim daļā un 55.</w:t>
            </w:r>
            <w:r w:rsidRPr="00885EE2">
              <w:rPr>
                <w:vertAlign w:val="superscript"/>
                <w:lang w:bidi="lo-LA"/>
              </w:rPr>
              <w:t>3</w:t>
            </w:r>
            <w:r w:rsidRPr="00885EE2" w:rsidR="00A81797">
              <w:rPr>
                <w:lang w:bidi="lo-LA"/>
              </w:rPr>
              <w:t> </w:t>
            </w:r>
            <w:r w:rsidRPr="00885EE2">
              <w:rPr>
                <w:lang w:bidi="lo-LA"/>
              </w:rPr>
              <w:t>panta pirmajā prim</w:t>
            </w:r>
            <w:r w:rsidRPr="00885EE2" w:rsidR="006D5608">
              <w:rPr>
                <w:lang w:bidi="lo-LA"/>
              </w:rPr>
              <w:t xml:space="preserve"> daļā noteiktajam</w:t>
            </w:r>
            <w:r w:rsidRPr="00885EE2" w:rsidR="00F23354">
              <w:rPr>
                <w:lang w:bidi="lo-LA"/>
              </w:rPr>
              <w:t>.</w:t>
            </w:r>
          </w:p>
          <w:p w:rsidR="00B0090C" w:rsidRPr="00885EE2" w:rsidP="001E7BB8">
            <w:pPr>
              <w:pStyle w:val="BodyTextIndent2"/>
              <w:tabs>
                <w:tab w:val="left" w:pos="540"/>
              </w:tabs>
              <w:ind w:firstLine="0"/>
              <w:rPr>
                <w:szCs w:val="24"/>
              </w:rPr>
            </w:pPr>
            <w:r w:rsidRPr="00885EE2">
              <w:rPr>
                <w:bCs/>
                <w:szCs w:val="24"/>
              </w:rPr>
              <w:t xml:space="preserve">    </w:t>
            </w:r>
            <w:r w:rsidRPr="00885EE2" w:rsidR="00A678AB">
              <w:rPr>
                <w:bCs/>
                <w:szCs w:val="24"/>
              </w:rPr>
              <w:t xml:space="preserve">2) </w:t>
            </w:r>
            <w:r w:rsidRPr="00885EE2" w:rsidR="00EE231C">
              <w:rPr>
                <w:bCs/>
                <w:szCs w:val="24"/>
              </w:rPr>
              <w:t>A</w:t>
            </w:r>
            <w:r w:rsidRPr="00885EE2" w:rsidR="00456AD9">
              <w:rPr>
                <w:bCs/>
                <w:szCs w:val="24"/>
              </w:rPr>
              <w:t xml:space="preserve">r </w:t>
            </w:r>
            <w:r w:rsidRPr="00885EE2" w:rsidR="00EE231C">
              <w:rPr>
                <w:szCs w:val="24"/>
              </w:rPr>
              <w:t>2015. gada 10. decembra likumu</w:t>
            </w:r>
            <w:r w:rsidRPr="00885EE2" w:rsidR="00456AD9">
              <w:rPr>
                <w:szCs w:val="24"/>
              </w:rPr>
              <w:t xml:space="preserve"> “Par Rēzeknes Tehnoloģiju akadēmijas Satversmi”</w:t>
            </w:r>
            <w:r w:rsidRPr="00885EE2" w:rsidR="00EE231C">
              <w:rPr>
                <w:szCs w:val="24"/>
              </w:rPr>
              <w:t xml:space="preserve"> tika apstiprināta Rēzeknes Augstskolas Satversmes sapulces 2012. gada 18. decembrī pieņemtā Rēzeknes Tehnoloģiju akadēmijas Satversme, kuras Preambulā noteikts, ka </w:t>
            </w:r>
            <w:r w:rsidRPr="00885EE2" w:rsidR="00EE231C">
              <w:rPr>
                <w:szCs w:val="24"/>
                <w:u w:val="single"/>
              </w:rPr>
              <w:t>Rēzeknes Augstskolas Satversmes sapulcē 2012. gada 18. decembrī pieņemts lēmums par Rēzeknes Augstskolas nosaukuma maiņu uz Rēzeknes Tehnoloģiju akadēmija</w:t>
            </w:r>
            <w:r w:rsidRPr="00885EE2" w:rsidR="00EE231C">
              <w:rPr>
                <w:szCs w:val="24"/>
              </w:rPr>
              <w:t>, vienlaicīgi pieņemot Rēzeknes Tehnoloģiju akadēmijas Satversmi.</w:t>
            </w:r>
          </w:p>
          <w:p w:rsidR="00E108C7" w:rsidRPr="00885EE2" w:rsidP="001E7BB8">
            <w:pPr>
              <w:pStyle w:val="BodyTextIndent2"/>
              <w:tabs>
                <w:tab w:val="left" w:pos="540"/>
              </w:tabs>
              <w:ind w:firstLine="0"/>
              <w:rPr>
                <w:szCs w:val="24"/>
              </w:rPr>
            </w:pPr>
            <w:r w:rsidRPr="00885EE2">
              <w:rPr>
                <w:szCs w:val="24"/>
              </w:rPr>
              <w:t xml:space="preserve">    </w:t>
            </w:r>
            <w:r w:rsidRPr="00885EE2" w:rsidR="00A678AB">
              <w:rPr>
                <w:szCs w:val="24"/>
              </w:rPr>
              <w:t xml:space="preserve">3) </w:t>
            </w:r>
            <w:r w:rsidRPr="00885EE2">
              <w:rPr>
                <w:szCs w:val="24"/>
              </w:rPr>
              <w:t>L</w:t>
            </w:r>
            <w:r w:rsidRPr="00885EE2">
              <w:t xml:space="preserve">ikuma “Par </w:t>
            </w:r>
            <w:r w:rsidRPr="00885EE2">
              <w:rPr>
                <w:szCs w:val="24"/>
              </w:rPr>
              <w:t xml:space="preserve">sabiedrību ar ierobežotu atbildību “Bulduru Dārzkopības vidusskola”” 2. pantā ir noteikts, ka </w:t>
            </w:r>
            <w:r w:rsidRPr="00885EE2">
              <w:rPr>
                <w:szCs w:val="24"/>
                <w:u w:val="single"/>
              </w:rPr>
              <w:t>sabiedrība ar ierobežotu atbildību “Bulduru Dārzkopības vidusskola”</w:t>
            </w:r>
            <w:r w:rsidRPr="00885EE2" w:rsidR="00323DA0">
              <w:rPr>
                <w:szCs w:val="24"/>
                <w:u w:val="single"/>
              </w:rPr>
              <w:t xml:space="preserve"> </w:t>
            </w:r>
            <w:r w:rsidRPr="00885EE2">
              <w:rPr>
                <w:szCs w:val="24"/>
                <w:u w:val="single"/>
              </w:rPr>
              <w:t>ir kapitālsabiedrība, kurā visas kapitāla daļas pieder atvasinātai publiskai personai – Latvijas Lauksaimniecības universitātei</w:t>
            </w:r>
            <w:r w:rsidRPr="00885EE2">
              <w:rPr>
                <w:szCs w:val="24"/>
              </w:rPr>
              <w:t>.</w:t>
            </w:r>
            <w:r w:rsidRPr="00885EE2" w:rsidR="008A1E2F">
              <w:rPr>
                <w:szCs w:val="24"/>
              </w:rPr>
              <w:t xml:space="preserve"> Ar likuma “Par sabiedrību ar ierobežotu atbildību “Bulduru Dārzkopības vidusskola”” spēkā stāšanos 2017. gada 15. janvārī spēku zaudējis likums “Par valsts sabiedrību ar ierobežotu atbildību “Bulduru dārzkopības vidusskola”, tās kapitāla daļām un nekustamajiem īpašumiem”</w:t>
            </w:r>
            <w:r w:rsidRPr="00885EE2" w:rsidR="00323DA0">
              <w:rPr>
                <w:szCs w:val="24"/>
              </w:rPr>
              <w:t>, kas noteica, ka valsts sabiedrība ar ierobežotu atbildību “Bulduru dārzkopības vidusskola” ir valsts kapitālsabiedrība, kurā visas kapitāla daļas pieder valstij, un izglītības iestāde, kura nodrošina izglītības programmu īstenošanu.</w:t>
            </w:r>
          </w:p>
          <w:p w:rsidR="00611502" w:rsidRPr="00885EE2" w:rsidP="001E7BB8">
            <w:pPr>
              <w:pStyle w:val="BodyTextIndent2"/>
              <w:tabs>
                <w:tab w:val="left" w:pos="540"/>
              </w:tabs>
              <w:ind w:firstLine="0"/>
              <w:rPr>
                <w:rFonts w:eastAsiaTheme="minorHAnsi"/>
                <w:szCs w:val="24"/>
              </w:rPr>
            </w:pPr>
            <w:r w:rsidRPr="00885EE2">
              <w:rPr>
                <w:szCs w:val="24"/>
              </w:rPr>
              <w:t xml:space="preserve">    </w:t>
            </w:r>
            <w:r w:rsidRPr="00885EE2" w:rsidR="00A678AB">
              <w:rPr>
                <w:szCs w:val="24"/>
              </w:rPr>
              <w:t xml:space="preserve">4) </w:t>
            </w:r>
            <w:r w:rsidRPr="00885EE2">
              <w:rPr>
                <w:lang w:bidi="lo-LA"/>
              </w:rPr>
              <w:t>Noteikumi Nr. 633</w:t>
            </w:r>
            <w:r w:rsidRPr="00885EE2" w:rsidR="00675EB7">
              <w:rPr>
                <w:lang w:bidi="lo-LA"/>
              </w:rPr>
              <w:t xml:space="preserve">, kas stājušies spēkā 2016. gada 30. septembrī, </w:t>
            </w:r>
            <w:r w:rsidRPr="00885EE2">
              <w:rPr>
                <w:lang w:bidi="lo-LA"/>
              </w:rPr>
              <w:t>n</w:t>
            </w:r>
            <w:r w:rsidRPr="00885EE2">
              <w:t xml:space="preserve">osaka profesijas standarta, profesionālās kvalifikācijas prasību (ja profesijai neapstiprina profesijas standartu) un nozares kvalifikāciju </w:t>
            </w:r>
            <w:r w:rsidRPr="00885EE2">
              <w:t xml:space="preserve">struktūras izstrādes kārtību, kā arī institūciju, kas izstrādā un aktualizē nozares kvalifikāciju struktūru. Saskaņā ar Noteikumu Nr. 633 </w:t>
            </w:r>
            <w:r w:rsidRPr="00885EE2" w:rsidR="00B82320">
              <w:t>5.1. </w:t>
            </w:r>
            <w:r w:rsidRPr="00885EE2" w:rsidR="002A2987">
              <w:rPr>
                <w:szCs w:val="24"/>
              </w:rPr>
              <w:t xml:space="preserve">apakšpunktu profesijas standarta vai profesionālās kvalifikācijas prasību (ja profesijai neapstiprina profesijas standartu) izstrādi vai aktualizāciju atbilstoši </w:t>
            </w:r>
            <w:r>
              <w:fldChar w:fldCharType="begin"/>
            </w:r>
            <w:r>
              <w:instrText xml:space="preserve"> HYPERLINK "https://likumi.lv/ta/id/50759-izglitibas-likums" \t "_blank" </w:instrText>
            </w:r>
            <w:r>
              <w:fldChar w:fldCharType="separate"/>
            </w:r>
            <w:r w:rsidRPr="00885EE2" w:rsidR="002A2987">
              <w:rPr>
                <w:szCs w:val="24"/>
              </w:rPr>
              <w:t>Izglītības likumā</w:t>
            </w:r>
            <w:r>
              <w:fldChar w:fldCharType="end"/>
            </w:r>
            <w:r w:rsidRPr="00885EE2" w:rsidR="002A2987">
              <w:rPr>
                <w:szCs w:val="24"/>
              </w:rPr>
              <w:t xml:space="preserve"> noteiktajam Latvijas kvalifikāciju ietvarstruktūras (t</w:t>
            </w:r>
            <w:r w:rsidRPr="00885EE2" w:rsidR="00B82320">
              <w:rPr>
                <w:szCs w:val="24"/>
              </w:rPr>
              <w:t>urpmāk ‒ ietvarstruktūra) 2.‒5. </w:t>
            </w:r>
            <w:r w:rsidRPr="00885EE2" w:rsidR="002A2987">
              <w:rPr>
                <w:szCs w:val="24"/>
              </w:rPr>
              <w:t xml:space="preserve">līmenim organizē Valsts izglītības satura centrs (turpmāk – Centrs). Savukārt, </w:t>
            </w:r>
            <w:r w:rsidRPr="00885EE2" w:rsidR="002A2987">
              <w:rPr>
                <w:szCs w:val="24"/>
                <w:u w:val="single"/>
              </w:rPr>
              <w:t xml:space="preserve">Noteikumu Nr. 633 6. punkts noteic, ka </w:t>
            </w:r>
            <w:r w:rsidRPr="00885EE2" w:rsidR="002A2987">
              <w:rPr>
                <w:rFonts w:eastAsiaTheme="minorHAnsi"/>
                <w:szCs w:val="24"/>
                <w:u w:val="single"/>
              </w:rPr>
              <w:t xml:space="preserve">profesiju standartu vai profesionālo kvalifikāciju prasību (ja profesijai neapstiprina profesijas standartu) izstrādi vai aktualizāciju atbilstoši ietvarstruktūras 6.–7. līmenim organizē </w:t>
            </w:r>
            <w:r w:rsidRPr="00885EE2" w:rsidR="00F23354">
              <w:rPr>
                <w:rFonts w:eastAsiaTheme="minorHAnsi"/>
                <w:szCs w:val="24"/>
                <w:u w:val="single"/>
              </w:rPr>
              <w:t>Ministrija</w:t>
            </w:r>
            <w:r w:rsidRPr="00885EE2" w:rsidR="002A2987">
              <w:rPr>
                <w:rFonts w:eastAsiaTheme="minorHAnsi"/>
                <w:szCs w:val="24"/>
              </w:rPr>
              <w:t>.</w:t>
            </w:r>
          </w:p>
          <w:p w:rsidR="008F2756" w:rsidRPr="00885EE2" w:rsidP="001E7BB8">
            <w:pPr>
              <w:pStyle w:val="BodyTextIndent2"/>
              <w:tabs>
                <w:tab w:val="left" w:pos="540"/>
              </w:tabs>
              <w:ind w:firstLine="0"/>
              <w:rPr>
                <w:rFonts w:eastAsiaTheme="minorHAnsi"/>
                <w:szCs w:val="24"/>
                <w:lang w:bidi="lo-LA"/>
              </w:rPr>
            </w:pPr>
            <w:r w:rsidRPr="00885EE2">
              <w:rPr>
                <w:rFonts w:eastAsiaTheme="minorHAnsi"/>
                <w:szCs w:val="24"/>
              </w:rPr>
              <w:t xml:space="preserve">    Ņemot vērā minēto, </w:t>
            </w:r>
            <w:r w:rsidRPr="00885EE2">
              <w:rPr>
                <w:rFonts w:eastAsiaTheme="minorHAnsi"/>
                <w:szCs w:val="24"/>
                <w:lang w:bidi="lo-LA"/>
              </w:rPr>
              <w:t>Noteikumu Nr. 528 5.11. apakšpunkts, kas noteic, ka Ministrija organizē ceturtajam un piektajam profesionālās kvalifikācijas līmenim atbilstošu profesiju standartu izstrādi (saskaņā ar Profesionālās izglītības likuma 5. pantu ceturtais un piektais profesionālās kvalifikācijas līmenis atbilst ietvarstruktūras 5.–7. līmenim)</w:t>
            </w:r>
            <w:r w:rsidRPr="00885EE2">
              <w:rPr>
                <w:rFonts w:eastAsiaTheme="minorHAnsi"/>
                <w:szCs w:val="24"/>
              </w:rPr>
              <w:t xml:space="preserve"> šobrīd ir pretrunā </w:t>
            </w:r>
            <w:r w:rsidRPr="00885EE2" w:rsidR="00675EB7">
              <w:rPr>
                <w:rFonts w:eastAsiaTheme="minorHAnsi"/>
                <w:szCs w:val="24"/>
                <w:lang w:bidi="lo-LA"/>
              </w:rPr>
              <w:t>Noteikumu Nr. 633 5.1.</w:t>
            </w:r>
            <w:r w:rsidRPr="00885EE2" w:rsidR="001E38B8">
              <w:rPr>
                <w:rFonts w:eastAsiaTheme="minorHAnsi"/>
                <w:szCs w:val="24"/>
                <w:lang w:bidi="lo-LA"/>
              </w:rPr>
              <w:t xml:space="preserve"> </w:t>
            </w:r>
            <w:r w:rsidRPr="00885EE2">
              <w:rPr>
                <w:rFonts w:eastAsiaTheme="minorHAnsi"/>
                <w:szCs w:val="24"/>
                <w:lang w:bidi="lo-LA"/>
              </w:rPr>
              <w:t xml:space="preserve">apakšpunktā un 6. punktā noteiktajam. </w:t>
            </w:r>
            <w:r w:rsidRPr="00885EE2" w:rsidR="00816FE9">
              <w:rPr>
                <w:rFonts w:eastAsiaTheme="minorHAnsi"/>
                <w:szCs w:val="24"/>
                <w:u w:val="single"/>
                <w:lang w:bidi="lo-LA"/>
              </w:rPr>
              <w:t>Lai novērstu pretrunu starp Noteikumiem Nr. 633 un Noteikumiem Nr. 528, nepieciešams izdarīt atbilstošu grozījumu Noteikumu Nr. 528 5.11. apakšpunktā, izsakot to jaunā</w:t>
            </w:r>
            <w:r w:rsidRPr="00885EE2" w:rsidR="007A6756">
              <w:rPr>
                <w:rFonts w:eastAsiaTheme="minorHAnsi"/>
                <w:szCs w:val="24"/>
                <w:u w:val="single"/>
                <w:lang w:bidi="lo-LA"/>
              </w:rPr>
              <w:t xml:space="preserve"> </w:t>
            </w:r>
            <w:r w:rsidRPr="00885EE2" w:rsidR="00816FE9">
              <w:rPr>
                <w:rFonts w:eastAsiaTheme="minorHAnsi"/>
                <w:szCs w:val="24"/>
                <w:u w:val="single"/>
                <w:lang w:bidi="lo-LA"/>
              </w:rPr>
              <w:t>redakcijā</w:t>
            </w:r>
            <w:r w:rsidRPr="00885EE2" w:rsidR="0045247E">
              <w:rPr>
                <w:rFonts w:eastAsiaTheme="minorHAnsi"/>
                <w:szCs w:val="24"/>
                <w:lang w:bidi="lo-LA"/>
              </w:rPr>
              <w:t xml:space="preserve"> (jaunās redakcijas izveidē cita starpā ņemot</w:t>
            </w:r>
            <w:r w:rsidRPr="00885EE2" w:rsidR="00016B72">
              <w:rPr>
                <w:rFonts w:eastAsiaTheme="minorHAnsi"/>
                <w:szCs w:val="24"/>
                <w:lang w:bidi="lo-LA"/>
              </w:rPr>
              <w:t xml:space="preserve"> vērā </w:t>
            </w:r>
            <w:r w:rsidRPr="00885EE2">
              <w:rPr>
                <w:rFonts w:eastAsiaTheme="minorHAnsi"/>
                <w:szCs w:val="24"/>
                <w:lang w:bidi="lo-LA"/>
              </w:rPr>
              <w:t>Pro</w:t>
            </w:r>
            <w:r w:rsidRPr="00885EE2" w:rsidR="003A11DD">
              <w:rPr>
                <w:rFonts w:eastAsiaTheme="minorHAnsi"/>
                <w:szCs w:val="24"/>
                <w:lang w:bidi="lo-LA"/>
              </w:rPr>
              <w:t>fesionālās izglītības likuma 7. </w:t>
            </w:r>
            <w:r w:rsidRPr="00885EE2">
              <w:rPr>
                <w:rFonts w:eastAsiaTheme="minorHAnsi"/>
                <w:szCs w:val="24"/>
                <w:lang w:bidi="lo-LA"/>
              </w:rPr>
              <w:t xml:space="preserve">panta 2. punktā </w:t>
            </w:r>
            <w:r w:rsidRPr="00885EE2" w:rsidR="00016B72">
              <w:rPr>
                <w:rFonts w:eastAsiaTheme="minorHAnsi"/>
                <w:szCs w:val="24"/>
                <w:lang w:bidi="lo-LA"/>
              </w:rPr>
              <w:t>lietot</w:t>
            </w:r>
            <w:r w:rsidRPr="00885EE2" w:rsidR="0045247E">
              <w:rPr>
                <w:rFonts w:eastAsiaTheme="minorHAnsi"/>
                <w:szCs w:val="24"/>
                <w:lang w:bidi="lo-LA"/>
              </w:rPr>
              <w:t>o</w:t>
            </w:r>
            <w:r w:rsidRPr="00885EE2" w:rsidR="00016B72">
              <w:rPr>
                <w:rFonts w:eastAsiaTheme="minorHAnsi"/>
                <w:szCs w:val="24"/>
                <w:lang w:bidi="lo-LA"/>
              </w:rPr>
              <w:t xml:space="preserve"> terminolo</w:t>
            </w:r>
            <w:r w:rsidRPr="00885EE2" w:rsidR="0045247E">
              <w:rPr>
                <w:rFonts w:eastAsiaTheme="minorHAnsi"/>
                <w:szCs w:val="24"/>
                <w:lang w:bidi="lo-LA"/>
              </w:rPr>
              <w:t>ģiju).</w:t>
            </w:r>
          </w:p>
          <w:p w:rsidR="00F90D0F" w:rsidRPr="00885EE2" w:rsidP="00F90D0F">
            <w:pPr>
              <w:pStyle w:val="BodyTextIndent2"/>
              <w:tabs>
                <w:tab w:val="left" w:pos="540"/>
              </w:tabs>
              <w:ind w:firstLine="0"/>
              <w:rPr>
                <w:szCs w:val="24"/>
              </w:rPr>
            </w:pPr>
            <w:r w:rsidRPr="00885EE2">
              <w:rPr>
                <w:rFonts w:eastAsiaTheme="minorHAnsi"/>
                <w:szCs w:val="24"/>
                <w:lang w:bidi="lo-LA"/>
              </w:rPr>
              <w:t xml:space="preserve">    </w:t>
            </w:r>
            <w:r w:rsidRPr="00885EE2" w:rsidR="00A678AB">
              <w:rPr>
                <w:rFonts w:eastAsiaTheme="minorHAnsi"/>
                <w:szCs w:val="24"/>
                <w:lang w:bidi="lo-LA"/>
              </w:rPr>
              <w:t xml:space="preserve">5) </w:t>
            </w:r>
            <w:r w:rsidRPr="00885EE2">
              <w:rPr>
                <w:rFonts w:eastAsiaTheme="minorHAnsi"/>
                <w:szCs w:val="24"/>
                <w:lang w:bidi="lo-LA"/>
              </w:rPr>
              <w:t xml:space="preserve">Saskaņā ar </w:t>
            </w:r>
            <w:r w:rsidRPr="00885EE2">
              <w:rPr>
                <w:szCs w:val="24"/>
                <w:lang w:bidi="lo-LA"/>
              </w:rPr>
              <w:t>Ministru kabineta 2016. gada 18. jūlija rīkojuma Nr. 394 “Par Jēkabpils Agrobiznesa koledžas un Barkavas Profesionālās vidusskolas reorganizāciju un Jēkabpils Agrobiznesa koledžas izveidi”</w:t>
            </w:r>
            <w:r w:rsidRPr="00885EE2">
              <w:rPr>
                <w:szCs w:val="24"/>
              </w:rPr>
              <w:t xml:space="preserve"> 1. punktu </w:t>
            </w:r>
            <w:r w:rsidRPr="00885EE2">
              <w:rPr>
                <w:szCs w:val="24"/>
                <w:u w:val="single"/>
              </w:rPr>
              <w:t xml:space="preserve">ar 2016. gada 1. novembri </w:t>
            </w:r>
            <w:r w:rsidRPr="00885EE2" w:rsidR="00FF55FC">
              <w:rPr>
                <w:szCs w:val="24"/>
                <w:u w:val="single"/>
              </w:rPr>
              <w:t xml:space="preserve">ir </w:t>
            </w:r>
            <w:r w:rsidRPr="00885EE2">
              <w:rPr>
                <w:szCs w:val="24"/>
                <w:u w:val="single"/>
              </w:rPr>
              <w:t>reorganizētas Ministrijas padotībā esošās valsts izglītības iestādes – Jēkabpils Agrobiznesa koledža un Barkavas Profesionālā vidusskola –, apvienojot tās un izveidojot Ministrijas padotībā esošu izglītības iestādi – Jēkabpils Agrobiznesa koledžu</w:t>
            </w:r>
            <w:r w:rsidRPr="00885EE2">
              <w:rPr>
                <w:szCs w:val="24"/>
              </w:rPr>
              <w:t>.</w:t>
            </w:r>
          </w:p>
          <w:p w:rsidR="00F90D0F" w:rsidRPr="00885EE2" w:rsidP="001E7BB8">
            <w:pPr>
              <w:pStyle w:val="BodyTextIndent2"/>
              <w:tabs>
                <w:tab w:val="left" w:pos="540"/>
              </w:tabs>
              <w:ind w:firstLine="0"/>
              <w:rPr>
                <w:szCs w:val="24"/>
              </w:rPr>
            </w:pPr>
            <w:r w:rsidRPr="00885EE2">
              <w:rPr>
                <w:szCs w:val="24"/>
              </w:rPr>
              <w:t xml:space="preserve">    </w:t>
            </w:r>
            <w:r w:rsidRPr="00885EE2" w:rsidR="00A678AB">
              <w:rPr>
                <w:szCs w:val="24"/>
              </w:rPr>
              <w:t xml:space="preserve">6) </w:t>
            </w:r>
            <w:r w:rsidRPr="00885EE2">
              <w:rPr>
                <w:szCs w:val="24"/>
              </w:rPr>
              <w:t xml:space="preserve">Saskaņā ar </w:t>
            </w:r>
            <w:r w:rsidRPr="00885EE2">
              <w:rPr>
                <w:szCs w:val="24"/>
                <w:lang w:bidi="lo-LA"/>
              </w:rPr>
              <w:t>Ministru kabineta 2017. gada 14. februāra rīkojuma Nr. 65 “Par profesionālās izglītības kompetences centra statusa piešķiršanu Rīgas Stila un modes profesionālajai vidusskolai”</w:t>
            </w:r>
            <w:r w:rsidRPr="00885EE2" w:rsidR="00B82320">
              <w:rPr>
                <w:szCs w:val="24"/>
              </w:rPr>
              <w:t xml:space="preserve"> 1 . un 2. </w:t>
            </w:r>
            <w:r w:rsidRPr="00885EE2">
              <w:rPr>
                <w:szCs w:val="24"/>
              </w:rPr>
              <w:t>punktu ar 2017. gada 16. februāri Rīgas Stila un modes profesionālajai vidusskolai piešķirts profesionālās izglītības kompetences centra statuss</w:t>
            </w:r>
            <w:r w:rsidRPr="00885EE2" w:rsidR="00F90D1A">
              <w:rPr>
                <w:szCs w:val="24"/>
              </w:rPr>
              <w:t xml:space="preserve"> un noteikts, ka </w:t>
            </w:r>
            <w:r w:rsidRPr="00885EE2" w:rsidR="00F90D1A">
              <w:rPr>
                <w:szCs w:val="24"/>
                <w:u w:val="single"/>
              </w:rPr>
              <w:t>ar 2017. gada 16. februāri Rīgas Stila un modes profesionālās vidusskolas nosaukums ir “Rīgas Stila un modes tehnikums”</w:t>
            </w:r>
            <w:r w:rsidRPr="00885EE2" w:rsidR="00F90D1A">
              <w:rPr>
                <w:szCs w:val="24"/>
              </w:rPr>
              <w:t>.</w:t>
            </w:r>
          </w:p>
          <w:p w:rsidR="00F90D1A" w:rsidRPr="00885EE2" w:rsidP="00F90D1A">
            <w:pPr>
              <w:jc w:val="both"/>
            </w:pPr>
            <w:r w:rsidRPr="00885EE2">
              <w:t xml:space="preserve">    </w:t>
            </w:r>
            <w:r w:rsidRPr="00885EE2" w:rsidR="00A678AB">
              <w:t xml:space="preserve">7) </w:t>
            </w:r>
            <w:r w:rsidRPr="00885EE2">
              <w:t xml:space="preserve">Ar </w:t>
            </w:r>
            <w:r w:rsidRPr="00885EE2">
              <w:rPr>
                <w:lang w:bidi="lo-LA"/>
              </w:rPr>
              <w:t>Ministru kabineta 2017. gada 3. aprīļa rīkojumu Nr. 164 “Par Rīgas Pedagoģijas un izglītības vadības akadēmijas likvidāciju” ir</w:t>
            </w:r>
            <w:r w:rsidRPr="00885EE2">
              <w:t xml:space="preserve"> noteikts, ka </w:t>
            </w:r>
            <w:r w:rsidRPr="00885EE2">
              <w:rPr>
                <w:u w:val="single"/>
              </w:rPr>
              <w:t>ar 2017. gada 1. oktobri ir likvidēta Ministrijas padotībā esošā valsts dibinātā izglītības iestāde, atvasināta publiska persona – Rīgas Pedagoģijas un izglītības vadības akadēmija</w:t>
            </w:r>
            <w:r w:rsidRPr="00885EE2">
              <w:t xml:space="preserve"> –, pievienojot to valsts dibinātai izglītības iestādei, atvasinātai publiskai personai – Latvijas Universitātei.</w:t>
            </w:r>
          </w:p>
          <w:p w:rsidR="00F90D1A" w:rsidP="00F90D1A">
            <w:pPr>
              <w:pStyle w:val="BodyTextIndent2"/>
              <w:tabs>
                <w:tab w:val="left" w:pos="540"/>
              </w:tabs>
              <w:ind w:firstLine="0"/>
              <w:rPr>
                <w:szCs w:val="24"/>
                <w:lang w:eastAsia="lv-LV" w:bidi="lo-LA"/>
              </w:rPr>
            </w:pPr>
            <w:r w:rsidRPr="00885EE2">
              <w:rPr>
                <w:szCs w:val="24"/>
              </w:rPr>
              <w:t xml:space="preserve">    </w:t>
            </w:r>
            <w:r w:rsidRPr="00885EE2" w:rsidR="00A678AB">
              <w:rPr>
                <w:szCs w:val="24"/>
              </w:rPr>
              <w:t xml:space="preserve">8) </w:t>
            </w:r>
            <w:r w:rsidRPr="00885EE2">
              <w:rPr>
                <w:szCs w:val="24"/>
              </w:rPr>
              <w:t xml:space="preserve">Saskaņā ar </w:t>
            </w:r>
            <w:r w:rsidRPr="00885EE2">
              <w:rPr>
                <w:szCs w:val="24"/>
                <w:lang w:bidi="lo-LA"/>
              </w:rPr>
              <w:t>Ministru kabineta 2017. gada 13. septembra rīkojuma Nr. 495 “Par Daugavpils medicīnas koledžas reorganizāciju”</w:t>
            </w:r>
            <w:r w:rsidRPr="00885EE2">
              <w:rPr>
                <w:szCs w:val="24"/>
              </w:rPr>
              <w:t xml:space="preserve"> </w:t>
            </w:r>
            <w:r w:rsidRPr="00885EE2">
              <w:rPr>
                <w:szCs w:val="24"/>
              </w:rPr>
              <w:t xml:space="preserve">(turpmāk – Rīkojums Nr. 495) 1. punktā noteikto, </w:t>
            </w:r>
            <w:r w:rsidRPr="00885EE2" w:rsidR="00B82320">
              <w:rPr>
                <w:szCs w:val="24"/>
                <w:u w:val="single"/>
              </w:rPr>
              <w:t>ar 2018. gada 1. </w:t>
            </w:r>
            <w:r w:rsidRPr="00885EE2">
              <w:rPr>
                <w:szCs w:val="24"/>
                <w:u w:val="single"/>
              </w:rPr>
              <w:t>martu paredzēts reorganizēt Ministrijas padotībā esošo valsts izglītības iestādi – Daugavpils medicīnas koledžu (turpmāk – koledža) – un nodot to atvasinātai publiskai personai – Daugavpils Universitātei</w:t>
            </w:r>
            <w:r w:rsidRPr="00885EE2">
              <w:rPr>
                <w:szCs w:val="24"/>
              </w:rPr>
              <w:t>. Rīkojums Nr. 495 noteic, ka koledža turpinās pastāvēt kā Daugavpils Uni</w:t>
            </w:r>
            <w:r w:rsidRPr="00885EE2" w:rsidR="00041D5C">
              <w:rPr>
                <w:szCs w:val="24"/>
              </w:rPr>
              <w:t>versitātes aģentūra “</w:t>
            </w:r>
            <w:r w:rsidRPr="00885EE2">
              <w:rPr>
                <w:szCs w:val="24"/>
              </w:rPr>
              <w:t>Daugavpils Universitātes Daugavpils medicīnas koledža”. Atbil</w:t>
            </w:r>
            <w:r w:rsidRPr="00885EE2" w:rsidR="00B82320">
              <w:rPr>
                <w:szCs w:val="24"/>
              </w:rPr>
              <w:t>stoši Rīkojuma Nr. 495 3. un 4. </w:t>
            </w:r>
            <w:r w:rsidRPr="00885EE2">
              <w:rPr>
                <w:szCs w:val="24"/>
              </w:rPr>
              <w:t>punktā noteiktajam, M</w:t>
            </w:r>
            <w:r w:rsidRPr="00885EE2">
              <w:rPr>
                <w:szCs w:val="24"/>
                <w:lang w:bidi="lo-LA"/>
              </w:rPr>
              <w:t>inistrijai uzdots līdz 2017. gada 1. oktobrim izveidot koledžas reorganizācijas komisiju, kā arī sagatavot un izglītības un zinātnes ministram l</w:t>
            </w:r>
            <w:r w:rsidRPr="00885EE2">
              <w:rPr>
                <w:szCs w:val="24"/>
                <w:lang w:eastAsia="lv-LV" w:bidi="lo-LA"/>
              </w:rPr>
              <w:t>īdz 2018. gada 1. februārim iesniegt Ministru kabinetā tiesību aktu projektus, kas saistīti ar koledžas reorganizāciju.</w:t>
            </w:r>
          </w:p>
          <w:p w:rsidR="005F587E" w:rsidP="00F90D1A">
            <w:pPr>
              <w:pStyle w:val="BodyTextIndent2"/>
              <w:tabs>
                <w:tab w:val="left" w:pos="540"/>
              </w:tabs>
              <w:ind w:firstLine="0"/>
              <w:rPr>
                <w:szCs w:val="24"/>
                <w:lang w:eastAsia="lv-LV" w:bidi="lo-LA"/>
              </w:rPr>
            </w:pPr>
            <w:r>
              <w:rPr>
                <w:szCs w:val="24"/>
                <w:lang w:eastAsia="lv-LV" w:bidi="lo-LA"/>
              </w:rPr>
              <w:t xml:space="preserve">    9) Noteikumu Nr. 528 25.4. apakšpunkts noteic, ka Ministrija ir valsts kapitāla daļu turētāja </w:t>
            </w:r>
            <w:r w:rsidR="002C40DB">
              <w:rPr>
                <w:szCs w:val="24"/>
                <w:lang w:eastAsia="lv-LV" w:bidi="lo-LA"/>
              </w:rPr>
              <w:t xml:space="preserve">kapitālsabiedrībā – </w:t>
            </w:r>
            <w:r>
              <w:rPr>
                <w:szCs w:val="24"/>
                <w:lang w:eastAsia="lv-LV" w:bidi="lo-LA"/>
              </w:rPr>
              <w:t>valsts sabiedrībā ar ierobežotu atbildību “Bobsleja un kamaniņu trase “Sigulda””</w:t>
            </w:r>
            <w:r w:rsidR="002C0F92">
              <w:rPr>
                <w:szCs w:val="24"/>
                <w:lang w:eastAsia="lv-LV" w:bidi="lo-LA"/>
              </w:rPr>
              <w:t xml:space="preserve"> (turpmāk – Kapitālsabiedrība)</w:t>
            </w:r>
            <w:r>
              <w:rPr>
                <w:szCs w:val="24"/>
                <w:lang w:eastAsia="lv-LV" w:bidi="lo-LA"/>
              </w:rPr>
              <w:t>.</w:t>
            </w:r>
            <w:r w:rsidR="002C0F92">
              <w:rPr>
                <w:szCs w:val="24"/>
                <w:lang w:eastAsia="lv-LV" w:bidi="lo-LA"/>
              </w:rPr>
              <w:t xml:space="preserve"> </w:t>
            </w:r>
            <w:r w:rsidRPr="0098204E" w:rsidR="002C0F92">
              <w:rPr>
                <w:szCs w:val="24"/>
                <w:u w:val="single"/>
                <w:lang w:eastAsia="lv-LV" w:bidi="lo-LA"/>
              </w:rPr>
              <w:t>Lai nodrošinātu</w:t>
            </w:r>
            <w:r w:rsidRPr="0098204E" w:rsidR="00F82409">
              <w:rPr>
                <w:szCs w:val="24"/>
                <w:u w:val="single"/>
                <w:lang w:eastAsia="lv-LV" w:bidi="lo-LA"/>
              </w:rPr>
              <w:t xml:space="preserve"> Noteikumos Nr. 528 noteiktā</w:t>
            </w:r>
            <w:r w:rsidRPr="0098204E" w:rsidR="002C0F92">
              <w:rPr>
                <w:szCs w:val="24"/>
                <w:u w:val="single"/>
                <w:lang w:eastAsia="lv-LV" w:bidi="lo-LA"/>
              </w:rPr>
              <w:t xml:space="preserve"> Kapitālsabiedrības nosaukuma atbilstību komercreģistrā ierakstītajai Kapitālsabiedrības firmai</w:t>
            </w:r>
            <w:r w:rsidRPr="0098204E" w:rsidR="00F82409">
              <w:rPr>
                <w:szCs w:val="24"/>
                <w:u w:val="single"/>
                <w:lang w:eastAsia="lv-LV" w:bidi="lo-LA"/>
              </w:rPr>
              <w:t xml:space="preserve"> (sabiedrība ar ierobežotu atbildību “Bobsleja un kamaniņu trase “Sigulda””)</w:t>
            </w:r>
            <w:r w:rsidR="002C40DB">
              <w:rPr>
                <w:szCs w:val="24"/>
                <w:lang w:eastAsia="lv-LV" w:bidi="lo-LA"/>
              </w:rPr>
              <w:t xml:space="preserve">, </w:t>
            </w:r>
            <w:r w:rsidR="002C0F92">
              <w:rPr>
                <w:szCs w:val="24"/>
                <w:lang w:eastAsia="lv-LV" w:bidi="lo-LA"/>
              </w:rPr>
              <w:t>preciz</w:t>
            </w:r>
            <w:r w:rsidR="002C40DB">
              <w:rPr>
                <w:szCs w:val="24"/>
                <w:lang w:eastAsia="lv-LV" w:bidi="lo-LA"/>
              </w:rPr>
              <w:t>ējams Noteikumu Nr. </w:t>
            </w:r>
            <w:r w:rsidR="002C0F92">
              <w:rPr>
                <w:szCs w:val="24"/>
                <w:lang w:eastAsia="lv-LV" w:bidi="lo-LA"/>
              </w:rPr>
              <w:t>528 25.4. apak</w:t>
            </w:r>
            <w:r w:rsidR="002C40DB">
              <w:rPr>
                <w:szCs w:val="24"/>
                <w:lang w:eastAsia="lv-LV" w:bidi="lo-LA"/>
              </w:rPr>
              <w:t>špunkts</w:t>
            </w:r>
            <w:r w:rsidR="002C0F92">
              <w:rPr>
                <w:szCs w:val="24"/>
                <w:lang w:eastAsia="lv-LV" w:bidi="lo-LA"/>
              </w:rPr>
              <w:t>, svītrojot no</w:t>
            </w:r>
            <w:r w:rsidR="00F82409">
              <w:rPr>
                <w:szCs w:val="24"/>
                <w:lang w:eastAsia="lv-LV" w:bidi="lo-LA"/>
              </w:rPr>
              <w:t xml:space="preserve"> šajā apakšpunktā minētā </w:t>
            </w:r>
            <w:r w:rsidR="002C0F92">
              <w:rPr>
                <w:szCs w:val="24"/>
                <w:lang w:eastAsia="lv-LV" w:bidi="lo-LA"/>
              </w:rPr>
              <w:t>Kapitālsabiedrības nosaukuma vārdu “valsts”.</w:t>
            </w:r>
          </w:p>
          <w:p w:rsidR="00561F8F" w:rsidP="001C3216">
            <w:pPr>
              <w:jc w:val="both"/>
            </w:pPr>
            <w:r w:rsidRPr="00885EE2">
              <w:t xml:space="preserve">   </w:t>
            </w:r>
            <w:r w:rsidRPr="00885EE2" w:rsidR="002D4A24">
              <w:t xml:space="preserve"> </w:t>
            </w:r>
            <w:r w:rsidRPr="00885EE2" w:rsidR="001E7BB8">
              <w:t>Ievērojot minēto</w:t>
            </w:r>
            <w:r w:rsidRPr="00885EE2" w:rsidR="001C3216">
              <w:t>,</w:t>
            </w:r>
            <w:r w:rsidRPr="00885EE2" w:rsidR="001E7BB8">
              <w:t xml:space="preserve"> </w:t>
            </w:r>
            <w:r w:rsidRPr="00885EE2" w:rsidR="001C3216">
              <w:rPr>
                <w:bCs/>
              </w:rPr>
              <w:t>Noteikumos Nr. 528</w:t>
            </w:r>
            <w:r w:rsidRPr="00885EE2" w:rsidR="001E7BB8">
              <w:rPr>
                <w:bCs/>
              </w:rPr>
              <w:t xml:space="preserve"> </w:t>
            </w:r>
            <w:r w:rsidRPr="00885EE2" w:rsidR="00240F6C">
              <w:rPr>
                <w:bCs/>
              </w:rPr>
              <w:t>izdarāmi grozījumi,</w:t>
            </w:r>
            <w:r w:rsidRPr="00885EE2" w:rsidR="001C3216">
              <w:rPr>
                <w:bCs/>
              </w:rPr>
              <w:t xml:space="preserve"> l</w:t>
            </w:r>
            <w:r w:rsidRPr="00885EE2" w:rsidR="001C3216">
              <w:rPr>
                <w:rFonts w:eastAsiaTheme="minorHAnsi"/>
                <w:lang w:eastAsia="en-US" w:bidi="lo-LA"/>
              </w:rPr>
              <w:t xml:space="preserve">ai novērstu </w:t>
            </w:r>
            <w:r w:rsidRPr="00885EE2" w:rsidR="00A678AB">
              <w:rPr>
                <w:rFonts w:eastAsiaTheme="minorHAnsi"/>
                <w:lang w:eastAsia="en-US" w:bidi="lo-LA"/>
              </w:rPr>
              <w:t>pretrunu starp Noteikumos Nr.</w:t>
            </w:r>
            <w:r w:rsidRPr="00885EE2" w:rsidR="00A678AB">
              <w:rPr>
                <w:rFonts w:eastAsiaTheme="minorHAnsi"/>
                <w:lang w:bidi="lo-LA"/>
              </w:rPr>
              <w:t xml:space="preserve"> </w:t>
            </w:r>
            <w:r w:rsidRPr="00885EE2" w:rsidR="00A678AB">
              <w:rPr>
                <w:rFonts w:eastAsiaTheme="minorHAnsi"/>
                <w:lang w:eastAsia="en-US" w:bidi="lo-LA"/>
              </w:rPr>
              <w:t>528 un Augstskolu likumā noteikto</w:t>
            </w:r>
            <w:r w:rsidRPr="00885EE2" w:rsidR="00582398">
              <w:rPr>
                <w:rFonts w:eastAsiaTheme="minorHAnsi"/>
                <w:lang w:eastAsia="en-US" w:bidi="lo-LA"/>
              </w:rPr>
              <w:t xml:space="preserve"> un</w:t>
            </w:r>
            <w:r w:rsidRPr="00885EE2" w:rsidR="00A678AB">
              <w:rPr>
                <w:rFonts w:eastAsiaTheme="minorHAnsi"/>
                <w:lang w:eastAsia="en-US" w:bidi="lo-LA"/>
              </w:rPr>
              <w:t xml:space="preserve"> </w:t>
            </w:r>
            <w:r w:rsidRPr="00885EE2" w:rsidR="001C3216">
              <w:rPr>
                <w:rFonts w:eastAsiaTheme="minorHAnsi"/>
                <w:lang w:eastAsia="en-US" w:bidi="lo-LA"/>
              </w:rPr>
              <w:t>pretrunu starp Noteikumiem Nr.</w:t>
            </w:r>
            <w:r w:rsidRPr="00885EE2" w:rsidR="001C3216">
              <w:rPr>
                <w:rFonts w:eastAsiaTheme="minorHAnsi"/>
                <w:lang w:bidi="lo-LA"/>
              </w:rPr>
              <w:t xml:space="preserve"> </w:t>
            </w:r>
            <w:r w:rsidRPr="00885EE2" w:rsidR="001C3216">
              <w:rPr>
                <w:rFonts w:eastAsiaTheme="minorHAnsi"/>
                <w:lang w:eastAsia="en-US" w:bidi="lo-LA"/>
              </w:rPr>
              <w:t>528 un Noteikumiem Nr.</w:t>
            </w:r>
            <w:r w:rsidRPr="00885EE2" w:rsidR="00A81797">
              <w:rPr>
                <w:rFonts w:eastAsiaTheme="minorHAnsi"/>
                <w:lang w:bidi="lo-LA"/>
              </w:rPr>
              <w:t> </w:t>
            </w:r>
            <w:r w:rsidRPr="00885EE2" w:rsidR="000C6D09">
              <w:rPr>
                <w:rFonts w:eastAsiaTheme="minorHAnsi"/>
                <w:lang w:eastAsia="en-US" w:bidi="lo-LA"/>
              </w:rPr>
              <w:t xml:space="preserve">633, </w:t>
            </w:r>
            <w:r w:rsidRPr="00885EE2" w:rsidR="001C3216">
              <w:rPr>
                <w:bCs/>
              </w:rPr>
              <w:t>precizētu</w:t>
            </w:r>
            <w:r w:rsidRPr="00885EE2" w:rsidR="00240F6C">
              <w:rPr>
                <w:bCs/>
              </w:rPr>
              <w:t xml:space="preserve"> M</w:t>
            </w:r>
            <w:r w:rsidRPr="00885EE2" w:rsidR="001E7BB8">
              <w:rPr>
                <w:bCs/>
              </w:rPr>
              <w:t>inistrijas padotībā esošo va</w:t>
            </w:r>
            <w:r w:rsidRPr="00885EE2" w:rsidR="00240F6C">
              <w:rPr>
                <w:bCs/>
              </w:rPr>
              <w:t xml:space="preserve">lsts pārvaldes iestāžu </w:t>
            </w:r>
            <w:r w:rsidRPr="00885EE2" w:rsidR="00DD0073">
              <w:rPr>
                <w:bCs/>
              </w:rPr>
              <w:t>nosaukumus un</w:t>
            </w:r>
            <w:r w:rsidRPr="00885EE2" w:rsidR="000C6D09">
              <w:rPr>
                <w:bCs/>
              </w:rPr>
              <w:t xml:space="preserve"> svītrotu</w:t>
            </w:r>
            <w:r w:rsidRPr="00885EE2" w:rsidR="001E7BB8">
              <w:rPr>
                <w:bCs/>
              </w:rPr>
              <w:t xml:space="preserve"> </w:t>
            </w:r>
            <w:r w:rsidRPr="00885EE2" w:rsidR="000C6D09">
              <w:rPr>
                <w:bCs/>
              </w:rPr>
              <w:t xml:space="preserve">no </w:t>
            </w:r>
            <w:r w:rsidRPr="00885EE2" w:rsidR="008A18BE">
              <w:rPr>
                <w:bCs/>
              </w:rPr>
              <w:t>Noteikumos Nr. 528 ietvert</w:t>
            </w:r>
            <w:r w:rsidRPr="00885EE2" w:rsidR="00582398">
              <w:rPr>
                <w:bCs/>
              </w:rPr>
              <w:t xml:space="preserve">ā </w:t>
            </w:r>
            <w:r w:rsidRPr="00885EE2" w:rsidR="000C6D09">
              <w:rPr>
                <w:bCs/>
              </w:rPr>
              <w:t xml:space="preserve">Ministrijas padotībā esošo valsts pārvaldes iestāžu </w:t>
            </w:r>
            <w:r w:rsidRPr="00885EE2" w:rsidR="007A6756">
              <w:rPr>
                <w:bCs/>
              </w:rPr>
              <w:t>uzskaitījuma</w:t>
            </w:r>
            <w:r w:rsidRPr="00885EE2" w:rsidR="000C6D09">
              <w:rPr>
                <w:bCs/>
              </w:rPr>
              <w:t xml:space="preserve"> </w:t>
            </w:r>
            <w:r w:rsidRPr="00885EE2" w:rsidR="008F1C98">
              <w:rPr>
                <w:bCs/>
              </w:rPr>
              <w:t xml:space="preserve">(turpmāk – iestāžu saraksts) </w:t>
            </w:r>
            <w:r w:rsidRPr="00885EE2" w:rsidR="001E7BB8">
              <w:rPr>
                <w:bCs/>
              </w:rPr>
              <w:t>likvidētā</w:t>
            </w:r>
            <w:r w:rsidRPr="00885EE2" w:rsidR="00240F6C">
              <w:rPr>
                <w:bCs/>
              </w:rPr>
              <w:t>s un reorganizētās iestādes</w:t>
            </w:r>
            <w:r w:rsidR="00E82077">
              <w:rPr>
                <w:bCs/>
              </w:rPr>
              <w:t xml:space="preserve">, kā arī lai </w:t>
            </w:r>
            <w:r w:rsidRPr="00885EE2" w:rsidR="000C6D09">
              <w:rPr>
                <w:bCs/>
              </w:rPr>
              <w:t xml:space="preserve">svītrotu no kapitālsabiedrību (uzņēmējsabiedrību), kurās Ministrija ir valsts </w:t>
            </w:r>
            <w:r w:rsidRPr="00885EE2" w:rsidR="007A6756">
              <w:rPr>
                <w:bCs/>
              </w:rPr>
              <w:t>kapitāla daļu turētāja, uzskaitījuma</w:t>
            </w:r>
            <w:r w:rsidRPr="00885EE2" w:rsidR="000C6D09">
              <w:rPr>
                <w:bCs/>
              </w:rPr>
              <w:t xml:space="preserve"> </w:t>
            </w:r>
            <w:r w:rsidRPr="00885EE2" w:rsidR="000C6D09">
              <w:t>valsts sabiedrību ar ierobežotu atbildību “</w:t>
            </w:r>
            <w:r w:rsidRPr="00885EE2" w:rsidR="00206266">
              <w:t>Bulduru D</w:t>
            </w:r>
            <w:r>
              <w:t xml:space="preserve">ārzkopības vidusskola” un precizētu </w:t>
            </w:r>
            <w:r>
              <w:rPr>
                <w:bCs/>
              </w:rPr>
              <w:t>kapitālsabiedrības, kurā</w:t>
            </w:r>
            <w:r w:rsidRPr="00885EE2">
              <w:rPr>
                <w:bCs/>
              </w:rPr>
              <w:t xml:space="preserve"> Ministrija ir valsts kapitāl</w:t>
            </w:r>
            <w:r>
              <w:rPr>
                <w:bCs/>
              </w:rPr>
              <w:t>a daļu turētāja, – s</w:t>
            </w:r>
            <w:r>
              <w:rPr>
                <w:lang w:bidi="lo-LA"/>
              </w:rPr>
              <w:t xml:space="preserve">abiedrības ar ierobežotu atbildību “Bobsleja un kamaniņu trase “Sigulda”” </w:t>
            </w:r>
            <w:r w:rsidR="008F0F69">
              <w:rPr>
                <w:lang w:bidi="lo-LA"/>
              </w:rPr>
              <w:t xml:space="preserve">– </w:t>
            </w:r>
            <w:r>
              <w:rPr>
                <w:lang w:bidi="lo-LA"/>
              </w:rPr>
              <w:t>nosaukumu.</w:t>
            </w:r>
          </w:p>
          <w:p w:rsidR="00714A32" w:rsidRPr="00885EE2" w:rsidP="008F1C98">
            <w:pPr>
              <w:jc w:val="both"/>
              <w:rPr>
                <w:bCs/>
              </w:rPr>
            </w:pPr>
            <w:r w:rsidRPr="00885EE2">
              <w:t xml:space="preserve">    Vienlaikus, lai nodrošinātu projekta atbilstību Rīkojumā Nr. 495 noteiktajam, projektā paredzēts, ka koledža tiks svītrota no </w:t>
            </w:r>
            <w:r w:rsidRPr="00885EE2">
              <w:rPr>
                <w:bCs/>
              </w:rPr>
              <w:t>iestāžu saraksta 2018. gada 1. martā.</w:t>
            </w:r>
          </w:p>
        </w:tc>
      </w:tr>
      <w:tr w:rsidTr="001D0195">
        <w:tblPrEx>
          <w:tblW w:w="5000" w:type="pct"/>
          <w:tblCellMar>
            <w:top w:w="30" w:type="dxa"/>
            <w:left w:w="30" w:type="dxa"/>
            <w:bottom w:w="30" w:type="dxa"/>
            <w:right w:w="30" w:type="dxa"/>
          </w:tblCellMar>
          <w:tblLook w:val="04A0"/>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1E7BB8" w:rsidRPr="00885EE2" w:rsidP="001E7BB8">
            <w:pPr>
              <w:rPr>
                <w:rFonts w:eastAsiaTheme="minorHAnsi"/>
                <w:szCs w:val="22"/>
                <w:lang w:eastAsia="en-US"/>
              </w:rPr>
            </w:pPr>
            <w:r w:rsidRPr="00885EE2">
              <w:rPr>
                <w:rFonts w:eastAsiaTheme="minorHAnsi"/>
                <w:szCs w:val="22"/>
                <w:lang w:eastAsia="en-US"/>
              </w:rPr>
              <w:t>3.</w:t>
            </w:r>
          </w:p>
        </w:tc>
        <w:tc>
          <w:tcPr>
            <w:tcW w:w="1181" w:type="pct"/>
            <w:tcBorders>
              <w:top w:val="outset" w:sz="6" w:space="0" w:color="414142"/>
              <w:left w:val="outset" w:sz="6" w:space="0" w:color="414142"/>
              <w:bottom w:val="outset" w:sz="6" w:space="0" w:color="414142"/>
              <w:right w:val="outset" w:sz="6" w:space="0" w:color="414142"/>
            </w:tcBorders>
            <w:hideMark/>
          </w:tcPr>
          <w:p w:rsidR="001E7BB8" w:rsidRPr="00885EE2" w:rsidP="001E7BB8">
            <w:pPr>
              <w:rPr>
                <w:rFonts w:eastAsiaTheme="minorHAnsi"/>
                <w:szCs w:val="22"/>
                <w:lang w:eastAsia="en-US"/>
              </w:rPr>
            </w:pPr>
            <w:r w:rsidRPr="00885EE2">
              <w:rPr>
                <w:rFonts w:eastAsiaTheme="minorHAnsi"/>
                <w:szCs w:val="22"/>
                <w:lang w:eastAsia="en-US"/>
              </w:rPr>
              <w:t>Projekta izstrādē iesaistītās institūcijas</w:t>
            </w:r>
            <w:r w:rsidRPr="00885EE2" w:rsidR="007545B2">
              <w:rPr>
                <w:rFonts w:eastAsiaTheme="minorHAnsi"/>
                <w:szCs w:val="22"/>
                <w:lang w:eastAsia="en-US"/>
              </w:rPr>
              <w:t xml:space="preserve"> un publiskas personas kapitālsabiedrības</w:t>
            </w:r>
          </w:p>
        </w:tc>
        <w:tc>
          <w:tcPr>
            <w:tcW w:w="3570" w:type="pct"/>
            <w:tcBorders>
              <w:top w:val="outset" w:sz="6" w:space="0" w:color="414142"/>
              <w:left w:val="outset" w:sz="6" w:space="0" w:color="414142"/>
              <w:bottom w:val="outset" w:sz="6" w:space="0" w:color="414142"/>
              <w:right w:val="outset" w:sz="6" w:space="0" w:color="414142"/>
            </w:tcBorders>
            <w:hideMark/>
          </w:tcPr>
          <w:p w:rsidR="001E7BB8" w:rsidRPr="00885EE2" w:rsidP="001E7BB8">
            <w:pPr>
              <w:rPr>
                <w:rFonts w:eastAsiaTheme="minorHAnsi"/>
                <w:szCs w:val="22"/>
                <w:lang w:eastAsia="en-US"/>
              </w:rPr>
            </w:pPr>
            <w:r w:rsidRPr="00885EE2">
              <w:rPr>
                <w:rFonts w:eastAsiaTheme="minorHAnsi"/>
                <w:szCs w:val="22"/>
                <w:lang w:eastAsia="en-US"/>
              </w:rPr>
              <w:t xml:space="preserve">    </w:t>
            </w:r>
            <w:r w:rsidRPr="00885EE2">
              <w:rPr>
                <w:rFonts w:eastAsiaTheme="minorHAnsi"/>
                <w:szCs w:val="22"/>
                <w:lang w:eastAsia="en-US"/>
              </w:rPr>
              <w:t>Ministrija.</w:t>
            </w:r>
          </w:p>
        </w:tc>
      </w:tr>
      <w:tr w:rsidTr="001D0195">
        <w:tblPrEx>
          <w:tblW w:w="5000" w:type="pct"/>
          <w:tblCellMar>
            <w:top w:w="30" w:type="dxa"/>
            <w:left w:w="30" w:type="dxa"/>
            <w:bottom w:w="30" w:type="dxa"/>
            <w:right w:w="30"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1E7BB8" w:rsidRPr="00885EE2" w:rsidP="001E7BB8">
            <w:pPr>
              <w:rPr>
                <w:rFonts w:eastAsiaTheme="minorHAnsi"/>
                <w:szCs w:val="22"/>
                <w:lang w:eastAsia="en-US"/>
              </w:rPr>
            </w:pPr>
            <w:r w:rsidRPr="00885EE2">
              <w:rPr>
                <w:rFonts w:eastAsiaTheme="minorHAnsi"/>
                <w:szCs w:val="22"/>
                <w:lang w:eastAsia="en-US"/>
              </w:rPr>
              <w:t>4.</w:t>
            </w:r>
          </w:p>
        </w:tc>
        <w:tc>
          <w:tcPr>
            <w:tcW w:w="1181" w:type="pct"/>
            <w:tcBorders>
              <w:top w:val="outset" w:sz="6" w:space="0" w:color="414142"/>
              <w:left w:val="outset" w:sz="6" w:space="0" w:color="414142"/>
              <w:bottom w:val="outset" w:sz="6" w:space="0" w:color="414142"/>
              <w:right w:val="outset" w:sz="6" w:space="0" w:color="414142"/>
            </w:tcBorders>
            <w:hideMark/>
          </w:tcPr>
          <w:p w:rsidR="001E7BB8" w:rsidRPr="00885EE2" w:rsidP="001E7BB8">
            <w:pPr>
              <w:jc w:val="both"/>
              <w:rPr>
                <w:rFonts w:eastAsiaTheme="minorHAnsi"/>
                <w:szCs w:val="22"/>
                <w:lang w:eastAsia="en-US"/>
              </w:rPr>
            </w:pPr>
            <w:r w:rsidRPr="00885EE2">
              <w:rPr>
                <w:rFonts w:eastAsiaTheme="minorHAnsi"/>
                <w:szCs w:val="22"/>
                <w:lang w:eastAsia="en-US"/>
              </w:rPr>
              <w:t>Cita informācija</w:t>
            </w:r>
          </w:p>
        </w:tc>
        <w:tc>
          <w:tcPr>
            <w:tcW w:w="3570" w:type="pct"/>
            <w:tcBorders>
              <w:top w:val="outset" w:sz="6" w:space="0" w:color="414142"/>
              <w:left w:val="outset" w:sz="6" w:space="0" w:color="414142"/>
              <w:bottom w:val="outset" w:sz="6" w:space="0" w:color="414142"/>
              <w:right w:val="outset" w:sz="6" w:space="0" w:color="414142"/>
            </w:tcBorders>
            <w:hideMark/>
          </w:tcPr>
          <w:p w:rsidR="001E7BB8" w:rsidRPr="00885EE2" w:rsidP="001E7BB8">
            <w:pPr>
              <w:jc w:val="both"/>
              <w:rPr>
                <w:rFonts w:eastAsiaTheme="minorHAnsi"/>
                <w:szCs w:val="22"/>
                <w:lang w:eastAsia="en-US"/>
              </w:rPr>
            </w:pPr>
            <w:r w:rsidRPr="00885EE2">
              <w:rPr>
                <w:rFonts w:eastAsiaTheme="minorHAnsi"/>
                <w:szCs w:val="22"/>
                <w:lang w:eastAsia="en-US"/>
              </w:rPr>
              <w:t xml:space="preserve">    </w:t>
            </w:r>
            <w:r w:rsidRPr="00885EE2">
              <w:rPr>
                <w:rFonts w:eastAsiaTheme="minorHAnsi"/>
                <w:szCs w:val="22"/>
                <w:lang w:eastAsia="en-US"/>
              </w:rPr>
              <w:t>Nav</w:t>
            </w:r>
            <w:r w:rsidRPr="00885EE2">
              <w:rPr>
                <w:rFonts w:eastAsiaTheme="minorHAnsi"/>
                <w:szCs w:val="22"/>
                <w:lang w:eastAsia="en-US"/>
              </w:rPr>
              <w:t>.</w:t>
            </w:r>
          </w:p>
        </w:tc>
      </w:tr>
    </w:tbl>
    <w:p w:rsidR="00A57838" w:rsidRPr="00885EE2" w:rsidP="00A57838">
      <w:pPr>
        <w:tabs>
          <w:tab w:val="left" w:pos="1020"/>
        </w:tabs>
        <w:jc w:val="both"/>
      </w:pPr>
    </w:p>
    <w:tbl>
      <w:tblPr>
        <w:tblpPr w:leftFromText="180" w:rightFromText="180" w:vertAnchor="text" w:horzAnchor="margin" w:tblpY="21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351"/>
      </w:tblGrid>
      <w:tr w:rsidTr="00B82320">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195"/>
        </w:trPr>
        <w:tc>
          <w:tcPr>
            <w:tcW w:w="9351" w:type="dxa"/>
            <w:vAlign w:val="center"/>
          </w:tcPr>
          <w:p w:rsidR="00C65DA2" w:rsidRPr="00885EE2" w:rsidP="004A01E5">
            <w:pPr>
              <w:ind w:left="421"/>
              <w:jc w:val="center"/>
              <w:rPr>
                <w:b/>
                <w:bCs/>
              </w:rPr>
            </w:pPr>
            <w:r w:rsidRPr="00885EE2">
              <w:rPr>
                <w:b/>
                <w:bCs/>
              </w:rPr>
              <w:t xml:space="preserve">II. Tiesību akta projekta ietekme uz sabiedrību, tautsaimniecības attīstību </w:t>
            </w:r>
          </w:p>
          <w:p w:rsidR="00A57838" w:rsidRPr="00885EE2" w:rsidP="004A01E5">
            <w:pPr>
              <w:ind w:left="421"/>
              <w:jc w:val="center"/>
              <w:rPr>
                <w:b/>
                <w:bCs/>
              </w:rPr>
            </w:pPr>
            <w:r w:rsidRPr="00885EE2">
              <w:rPr>
                <w:b/>
                <w:bCs/>
              </w:rPr>
              <w:t>un administratīvo slogu</w:t>
            </w:r>
          </w:p>
        </w:tc>
      </w:tr>
      <w:tr w:rsidTr="00B82320">
        <w:tblPrEx>
          <w:tblW w:w="9351" w:type="dxa"/>
          <w:tblCellMar>
            <w:left w:w="0" w:type="dxa"/>
            <w:right w:w="0" w:type="dxa"/>
          </w:tblCellMar>
          <w:tblLook w:val="0000"/>
        </w:tblPrEx>
        <w:trPr>
          <w:trHeight w:val="331"/>
        </w:trPr>
        <w:tc>
          <w:tcPr>
            <w:tcW w:w="9351" w:type="dxa"/>
          </w:tcPr>
          <w:p w:rsidR="00C76CD3" w:rsidRPr="00885EE2" w:rsidP="00C76CD3">
            <w:pPr>
              <w:jc w:val="center"/>
            </w:pPr>
            <w:r w:rsidRPr="00885EE2">
              <w:t>Projektam nav ietekmes uz sabiedrību, tautsaimniecības attīstību un administratīvo slogu</w:t>
            </w:r>
            <w:r w:rsidRPr="00885EE2" w:rsidR="00C025CB">
              <w:t>.</w:t>
            </w:r>
          </w:p>
        </w:tc>
      </w:tr>
    </w:tbl>
    <w:p w:rsidR="00A57838" w:rsidRPr="00885EE2" w:rsidP="00A57838">
      <w:pPr>
        <w:jc w:val="both"/>
      </w:pPr>
    </w:p>
    <w:tbl>
      <w:tblPr>
        <w:tblpPr w:leftFromText="180" w:rightFromText="180" w:vertAnchor="text" w:horzAnchor="margin" w:tblpY="21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351"/>
      </w:tblGrid>
      <w:tr w:rsidTr="00B82320">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195"/>
        </w:trPr>
        <w:tc>
          <w:tcPr>
            <w:tcW w:w="9351" w:type="dxa"/>
            <w:vAlign w:val="center"/>
          </w:tcPr>
          <w:p w:rsidR="00A57838" w:rsidRPr="00885EE2" w:rsidP="004A01E5">
            <w:pPr>
              <w:ind w:left="421"/>
              <w:jc w:val="center"/>
              <w:rPr>
                <w:b/>
                <w:bCs/>
              </w:rPr>
            </w:pPr>
            <w:r w:rsidRPr="00885EE2">
              <w:rPr>
                <w:b/>
                <w:bCs/>
              </w:rPr>
              <w:t>III. Tiesību akta projekta ietekme uz valsts budžetu un pašvaldību budžetiem</w:t>
            </w:r>
          </w:p>
        </w:tc>
      </w:tr>
      <w:tr w:rsidTr="00B82320">
        <w:tblPrEx>
          <w:tblW w:w="9351" w:type="dxa"/>
          <w:tblCellMar>
            <w:left w:w="0" w:type="dxa"/>
            <w:right w:w="0" w:type="dxa"/>
          </w:tblCellMar>
          <w:tblLook w:val="0000"/>
        </w:tblPrEx>
        <w:trPr>
          <w:trHeight w:val="331"/>
        </w:trPr>
        <w:tc>
          <w:tcPr>
            <w:tcW w:w="9351" w:type="dxa"/>
          </w:tcPr>
          <w:p w:rsidR="00A57838" w:rsidRPr="00885EE2" w:rsidP="004A01E5">
            <w:pPr>
              <w:jc w:val="center"/>
              <w:rPr>
                <w:iCs/>
              </w:rPr>
            </w:pPr>
            <w:r w:rsidRPr="00885EE2">
              <w:rPr>
                <w:iCs/>
              </w:rPr>
              <w:t xml:space="preserve">Projekts nerada ietekmi </w:t>
            </w:r>
            <w:r w:rsidRPr="00885EE2">
              <w:t>uz valsts budžetu un pašvaldību budžetiem.</w:t>
            </w:r>
          </w:p>
        </w:tc>
      </w:tr>
    </w:tbl>
    <w:p w:rsidR="00A57838" w:rsidRPr="00885EE2" w:rsidP="00A57838">
      <w:pPr>
        <w:jc w:val="both"/>
      </w:pPr>
    </w:p>
    <w:tbl>
      <w:tblPr>
        <w:tblpPr w:leftFromText="180" w:rightFromText="180" w:vertAnchor="text" w:horzAnchor="margin" w:tblpY="21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351"/>
      </w:tblGrid>
      <w:tr w:rsidTr="00B82320">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195"/>
        </w:trPr>
        <w:tc>
          <w:tcPr>
            <w:tcW w:w="9351" w:type="dxa"/>
            <w:tcBorders>
              <w:bottom w:val="single" w:sz="4" w:space="0" w:color="auto"/>
            </w:tcBorders>
            <w:vAlign w:val="center"/>
          </w:tcPr>
          <w:p w:rsidR="00A57838" w:rsidRPr="00885EE2" w:rsidP="004A01E5">
            <w:pPr>
              <w:ind w:left="421"/>
              <w:jc w:val="center"/>
              <w:rPr>
                <w:b/>
                <w:bCs/>
              </w:rPr>
            </w:pPr>
            <w:r w:rsidRPr="00885EE2">
              <w:rPr>
                <w:b/>
                <w:bCs/>
              </w:rPr>
              <w:t xml:space="preserve">IV. Tiesību akta projekta ietekme uz </w:t>
            </w:r>
            <w:r w:rsidRPr="00885EE2">
              <w:rPr>
                <w:b/>
                <w:bCs/>
                <w:lang w:bidi="lo-LA"/>
              </w:rPr>
              <w:t>spēkā esošo tiesību normu sistēmu</w:t>
            </w:r>
          </w:p>
        </w:tc>
      </w:tr>
      <w:tr w:rsidTr="00B82320">
        <w:tblPrEx>
          <w:tblW w:w="9351" w:type="dxa"/>
          <w:tblCellMar>
            <w:left w:w="0" w:type="dxa"/>
            <w:right w:w="0" w:type="dxa"/>
          </w:tblCellMar>
          <w:tblLook w:val="0000"/>
        </w:tblPrEx>
        <w:trPr>
          <w:trHeight w:val="331"/>
        </w:trPr>
        <w:tc>
          <w:tcPr>
            <w:tcW w:w="9351" w:type="dxa"/>
            <w:tcBorders>
              <w:top w:val="single" w:sz="4" w:space="0" w:color="auto"/>
              <w:left w:val="single" w:sz="4" w:space="0" w:color="auto"/>
              <w:bottom w:val="single" w:sz="4" w:space="0" w:color="auto"/>
              <w:right w:val="single" w:sz="4" w:space="0" w:color="auto"/>
            </w:tcBorders>
          </w:tcPr>
          <w:p w:rsidR="00A57838" w:rsidRPr="00885EE2" w:rsidP="004A01E5">
            <w:pPr>
              <w:jc w:val="center"/>
              <w:rPr>
                <w:iCs/>
              </w:rPr>
            </w:pPr>
            <w:r w:rsidRPr="00885EE2">
              <w:rPr>
                <w:iCs/>
              </w:rPr>
              <w:t>Projekts šo jomu neskar.</w:t>
            </w:r>
          </w:p>
        </w:tc>
      </w:tr>
    </w:tbl>
    <w:p w:rsidR="00A57838" w:rsidRPr="00885EE2" w:rsidP="00885EE2">
      <w:pPr>
        <w:tabs>
          <w:tab w:val="left" w:pos="3005"/>
        </w:tabs>
        <w:jc w:val="both"/>
      </w:pPr>
    </w:p>
    <w:tbl>
      <w:tblPr>
        <w:tblpPr w:leftFromText="180" w:rightFromText="180" w:vertAnchor="text" w:horzAnchor="margin" w:tblpY="21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351"/>
      </w:tblGrid>
      <w:tr w:rsidTr="00B82320">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195"/>
        </w:trPr>
        <w:tc>
          <w:tcPr>
            <w:tcW w:w="9351" w:type="dxa"/>
            <w:vAlign w:val="center"/>
          </w:tcPr>
          <w:p w:rsidR="00A57838" w:rsidRPr="00885EE2" w:rsidP="004A01E5">
            <w:pPr>
              <w:ind w:left="421"/>
              <w:jc w:val="center"/>
              <w:rPr>
                <w:b/>
                <w:bCs/>
              </w:rPr>
            </w:pPr>
            <w:r w:rsidRPr="00885EE2">
              <w:rPr>
                <w:b/>
                <w:bCs/>
              </w:rPr>
              <w:t>V. Tiesību akta projekta atbilstība Latvijas Republikas starptautiskajām saistībām</w:t>
            </w:r>
          </w:p>
        </w:tc>
      </w:tr>
      <w:tr w:rsidTr="00B82320">
        <w:tblPrEx>
          <w:tblW w:w="9351" w:type="dxa"/>
          <w:tblCellMar>
            <w:left w:w="0" w:type="dxa"/>
            <w:right w:w="0" w:type="dxa"/>
          </w:tblCellMar>
          <w:tblLook w:val="0000"/>
        </w:tblPrEx>
        <w:trPr>
          <w:trHeight w:val="331"/>
        </w:trPr>
        <w:tc>
          <w:tcPr>
            <w:tcW w:w="9351" w:type="dxa"/>
          </w:tcPr>
          <w:p w:rsidR="00A57838" w:rsidRPr="00885EE2" w:rsidP="004A01E5">
            <w:pPr>
              <w:jc w:val="center"/>
              <w:rPr>
                <w:iCs/>
              </w:rPr>
            </w:pPr>
            <w:r w:rsidRPr="00885EE2">
              <w:rPr>
                <w:iCs/>
              </w:rPr>
              <w:t>Projekts šo jomu neskar.</w:t>
            </w:r>
          </w:p>
        </w:tc>
      </w:tr>
    </w:tbl>
    <w:p w:rsidR="00A57838" w:rsidRPr="00885EE2" w:rsidP="00A57838">
      <w:pPr>
        <w:jc w:val="both"/>
      </w:pPr>
    </w:p>
    <w:tbl>
      <w:tblPr>
        <w:tblW w:w="49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
        <w:gridCol w:w="21"/>
        <w:gridCol w:w="2672"/>
        <w:gridCol w:w="161"/>
        <w:gridCol w:w="6083"/>
      </w:tblGrid>
      <w:tr w:rsidTr="00B82320">
        <w:tblPrEx>
          <w:tblW w:w="49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20"/>
        </w:trPr>
        <w:tc>
          <w:tcPr>
            <w:tcW w:w="5000" w:type="pct"/>
            <w:gridSpan w:val="5"/>
            <w:shd w:val="clear" w:color="auto" w:fill="auto"/>
            <w:hideMark/>
          </w:tcPr>
          <w:p w:rsidR="00A57838" w:rsidRPr="00885EE2" w:rsidP="004A01E5">
            <w:pPr>
              <w:jc w:val="center"/>
              <w:rPr>
                <w:b/>
                <w:bCs/>
              </w:rPr>
            </w:pPr>
            <w:r w:rsidRPr="00885EE2">
              <w:t> </w:t>
            </w:r>
            <w:r w:rsidRPr="00885EE2">
              <w:rPr>
                <w:b/>
                <w:bCs/>
              </w:rPr>
              <w:t>VI. Sabiedrības līdzdalība un komunikācijas aktivitātes</w:t>
            </w:r>
          </w:p>
        </w:tc>
      </w:tr>
      <w:tr w:rsidTr="00B82320">
        <w:tblPrEx>
          <w:tblW w:w="4979" w:type="pct"/>
          <w:tblInd w:w="-5" w:type="dxa"/>
          <w:tblLook w:val="04A0"/>
        </w:tblPrEx>
        <w:trPr>
          <w:trHeight w:val="540"/>
        </w:trPr>
        <w:tc>
          <w:tcPr>
            <w:tcW w:w="235" w:type="pct"/>
            <w:gridSpan w:val="2"/>
            <w:shd w:val="clear" w:color="auto" w:fill="auto"/>
            <w:hideMark/>
          </w:tcPr>
          <w:p w:rsidR="00A57838" w:rsidRPr="00885EE2" w:rsidP="004A01E5">
            <w:r w:rsidRPr="00885EE2">
              <w:t>1.</w:t>
            </w:r>
          </w:p>
        </w:tc>
        <w:tc>
          <w:tcPr>
            <w:tcW w:w="1514" w:type="pct"/>
            <w:gridSpan w:val="2"/>
            <w:shd w:val="clear" w:color="auto" w:fill="auto"/>
            <w:hideMark/>
          </w:tcPr>
          <w:p w:rsidR="00A57838" w:rsidRPr="00885EE2" w:rsidP="004A01E5">
            <w:r w:rsidRPr="00885EE2">
              <w:t>Plānotās sabiedrības līdzdalības un komunikācijas aktivitātes saistībā ar projektu</w:t>
            </w:r>
          </w:p>
        </w:tc>
        <w:tc>
          <w:tcPr>
            <w:tcW w:w="3251" w:type="pct"/>
            <w:shd w:val="clear" w:color="auto" w:fill="auto"/>
            <w:hideMark/>
          </w:tcPr>
          <w:p w:rsidR="00A57838" w:rsidRPr="00885EE2" w:rsidP="004A01E5">
            <w:pPr>
              <w:jc w:val="both"/>
            </w:pPr>
            <w:r w:rsidRPr="00885EE2">
              <w:t xml:space="preserve">    Projekts šo jomu neskar.</w:t>
            </w:r>
          </w:p>
        </w:tc>
      </w:tr>
      <w:tr w:rsidTr="00B82320">
        <w:tblPrEx>
          <w:tblW w:w="4979" w:type="pct"/>
          <w:tblInd w:w="-5" w:type="dxa"/>
          <w:tblLook w:val="04A0"/>
        </w:tblPrEx>
        <w:trPr>
          <w:trHeight w:val="330"/>
        </w:trPr>
        <w:tc>
          <w:tcPr>
            <w:tcW w:w="235" w:type="pct"/>
            <w:gridSpan w:val="2"/>
            <w:shd w:val="clear" w:color="auto" w:fill="auto"/>
            <w:hideMark/>
          </w:tcPr>
          <w:p w:rsidR="00A57838" w:rsidRPr="00885EE2" w:rsidP="004A01E5">
            <w:r w:rsidRPr="00885EE2">
              <w:t>2.</w:t>
            </w:r>
          </w:p>
        </w:tc>
        <w:tc>
          <w:tcPr>
            <w:tcW w:w="1514" w:type="pct"/>
            <w:gridSpan w:val="2"/>
            <w:shd w:val="clear" w:color="auto" w:fill="auto"/>
            <w:hideMark/>
          </w:tcPr>
          <w:p w:rsidR="00A57838" w:rsidRPr="00885EE2" w:rsidP="004A01E5">
            <w:r w:rsidRPr="00885EE2">
              <w:t>Sabiedrības līdzdalība projekta izstrādē</w:t>
            </w:r>
          </w:p>
        </w:tc>
        <w:tc>
          <w:tcPr>
            <w:tcW w:w="3251" w:type="pct"/>
            <w:shd w:val="clear" w:color="auto" w:fill="auto"/>
          </w:tcPr>
          <w:p w:rsidR="00A57838" w:rsidRPr="00885EE2" w:rsidP="004B3B49">
            <w:pPr>
              <w:jc w:val="both"/>
            </w:pPr>
            <w:r w:rsidRPr="00885EE2">
              <w:t xml:space="preserve">    Saskaņā ar Ministru kabineta 2009. gada 25. augusta noteikumu Nr. 970 “Sabiedrības līdzdalības kārtība attīstības plānošanas procesā” 5. punktu sabiedrības līdzdalības kārtība piemērojama tiesību aktu projektu izstrādē, kas būtiski maina esošo regulējumu vai paredz ieviest jaunas politiskās iniciatīvas. Ņemot vērā</w:t>
            </w:r>
            <w:r w:rsidRPr="00885EE2" w:rsidR="00CE4FC6">
              <w:t xml:space="preserve"> to</w:t>
            </w:r>
            <w:r w:rsidRPr="00885EE2">
              <w:t>, k</w:t>
            </w:r>
            <w:r w:rsidRPr="00885EE2" w:rsidR="00CE4FC6">
              <w:t>a ar projektu</w:t>
            </w:r>
            <w:r w:rsidRPr="00885EE2">
              <w:t xml:space="preserve"> </w:t>
            </w:r>
            <w:r w:rsidRPr="00885EE2" w:rsidR="00CE4FC6">
              <w:t xml:space="preserve">paredzēts izdarīt grozījumus </w:t>
            </w:r>
            <w:r w:rsidRPr="00885EE2" w:rsidR="004B3B49">
              <w:rPr>
                <w:bCs/>
              </w:rPr>
              <w:t>Noteikumos Nr. 528</w:t>
            </w:r>
            <w:r w:rsidRPr="00885EE2" w:rsidR="00CE4FC6">
              <w:rPr>
                <w:bCs/>
              </w:rPr>
              <w:t xml:space="preserve">, lai nodrošinātu </w:t>
            </w:r>
            <w:r w:rsidRPr="00885EE2" w:rsidR="004B3B49">
              <w:rPr>
                <w:bCs/>
              </w:rPr>
              <w:t>Noteikumos Nr. 528</w:t>
            </w:r>
            <w:r w:rsidRPr="00885EE2" w:rsidR="00CE4FC6">
              <w:rPr>
                <w:bCs/>
              </w:rPr>
              <w:t xml:space="preserve"> ietvertā normatīvā regulējuma atbilstību jau spēkā esošiem ārējiem tiesību aktiem</w:t>
            </w:r>
            <w:r w:rsidR="00B0616B">
              <w:rPr>
                <w:bCs/>
              </w:rPr>
              <w:t xml:space="preserve"> un faktiskajai situācijai</w:t>
            </w:r>
            <w:r w:rsidRPr="00885EE2">
              <w:t>, nemaina esošo regulējumu un neievieš jaunas politikas inici</w:t>
            </w:r>
            <w:r w:rsidRPr="00885EE2" w:rsidR="000F6FC7">
              <w:t>atīvas, sabiedrības līdzdalība p</w:t>
            </w:r>
            <w:r w:rsidRPr="00885EE2">
              <w:t>rojekta izstrādē nav nepieciešama.</w:t>
            </w:r>
          </w:p>
        </w:tc>
      </w:tr>
      <w:tr w:rsidTr="00B82320">
        <w:tblPrEx>
          <w:tblW w:w="4979" w:type="pct"/>
          <w:tblInd w:w="-5" w:type="dxa"/>
          <w:tblLook w:val="04A0"/>
        </w:tblPrEx>
        <w:trPr>
          <w:trHeight w:val="465"/>
        </w:trPr>
        <w:tc>
          <w:tcPr>
            <w:tcW w:w="235" w:type="pct"/>
            <w:gridSpan w:val="2"/>
            <w:tcBorders>
              <w:bottom w:val="single" w:sz="4" w:space="0" w:color="auto"/>
            </w:tcBorders>
            <w:shd w:val="clear" w:color="auto" w:fill="auto"/>
            <w:hideMark/>
          </w:tcPr>
          <w:p w:rsidR="00A57838" w:rsidRPr="00885EE2" w:rsidP="004A01E5">
            <w:r w:rsidRPr="00885EE2">
              <w:t>3.</w:t>
            </w:r>
          </w:p>
        </w:tc>
        <w:tc>
          <w:tcPr>
            <w:tcW w:w="1514" w:type="pct"/>
            <w:gridSpan w:val="2"/>
            <w:tcBorders>
              <w:bottom w:val="single" w:sz="4" w:space="0" w:color="auto"/>
            </w:tcBorders>
            <w:shd w:val="clear" w:color="auto" w:fill="auto"/>
            <w:hideMark/>
          </w:tcPr>
          <w:p w:rsidR="00A57838" w:rsidRPr="00885EE2" w:rsidP="004A01E5">
            <w:r w:rsidRPr="00885EE2">
              <w:t>Sabiedrības līdzdalības rezultāti</w:t>
            </w:r>
          </w:p>
        </w:tc>
        <w:tc>
          <w:tcPr>
            <w:tcW w:w="3251" w:type="pct"/>
            <w:tcBorders>
              <w:bottom w:val="single" w:sz="4" w:space="0" w:color="auto"/>
            </w:tcBorders>
            <w:shd w:val="clear" w:color="auto" w:fill="auto"/>
          </w:tcPr>
          <w:p w:rsidR="00A57838" w:rsidRPr="00885EE2" w:rsidP="004A01E5">
            <w:pPr>
              <w:jc w:val="both"/>
            </w:pPr>
            <w:r w:rsidRPr="00885EE2">
              <w:t xml:space="preserve">    Projekts šo jomu neskar.</w:t>
            </w:r>
          </w:p>
        </w:tc>
      </w:tr>
      <w:tr w:rsidTr="00B82320">
        <w:tblPrEx>
          <w:tblW w:w="4979" w:type="pct"/>
          <w:tblInd w:w="-5" w:type="dxa"/>
          <w:tblLook w:val="04A0"/>
        </w:tblPrEx>
        <w:trPr>
          <w:trHeight w:val="465"/>
        </w:trPr>
        <w:tc>
          <w:tcPr>
            <w:tcW w:w="235" w:type="pct"/>
            <w:gridSpan w:val="2"/>
            <w:tcBorders>
              <w:bottom w:val="single" w:sz="4" w:space="0" w:color="auto"/>
            </w:tcBorders>
            <w:shd w:val="clear" w:color="auto" w:fill="auto"/>
            <w:hideMark/>
          </w:tcPr>
          <w:p w:rsidR="00A57838" w:rsidRPr="00885EE2" w:rsidP="004A01E5">
            <w:r w:rsidRPr="00885EE2">
              <w:t>4.</w:t>
            </w:r>
          </w:p>
        </w:tc>
        <w:tc>
          <w:tcPr>
            <w:tcW w:w="1514" w:type="pct"/>
            <w:gridSpan w:val="2"/>
            <w:tcBorders>
              <w:bottom w:val="single" w:sz="4" w:space="0" w:color="auto"/>
            </w:tcBorders>
            <w:shd w:val="clear" w:color="auto" w:fill="auto"/>
            <w:hideMark/>
          </w:tcPr>
          <w:p w:rsidR="00A57838" w:rsidRPr="00885EE2" w:rsidP="004A01E5">
            <w:r w:rsidRPr="00885EE2">
              <w:t>Cita informācija</w:t>
            </w:r>
          </w:p>
        </w:tc>
        <w:tc>
          <w:tcPr>
            <w:tcW w:w="3251" w:type="pct"/>
            <w:tcBorders>
              <w:bottom w:val="single" w:sz="4" w:space="0" w:color="auto"/>
            </w:tcBorders>
            <w:shd w:val="clear" w:color="auto" w:fill="auto"/>
          </w:tcPr>
          <w:p w:rsidR="00A57838" w:rsidRPr="00885EE2" w:rsidP="004A01E5">
            <w:pPr>
              <w:jc w:val="both"/>
            </w:pPr>
            <w:r w:rsidRPr="00885EE2">
              <w:t xml:space="preserve">    Nav.</w:t>
            </w:r>
          </w:p>
        </w:tc>
      </w:tr>
      <w:tr w:rsidTr="00B82320">
        <w:tblPrEx>
          <w:tblW w:w="4979" w:type="pct"/>
          <w:jc w:val="center"/>
          <w:tblInd w:w="0" w:type="dxa"/>
          <w:tblCellMar>
            <w:top w:w="28" w:type="dxa"/>
            <w:left w:w="28" w:type="dxa"/>
            <w:bottom w:w="28" w:type="dxa"/>
            <w:right w:w="28" w:type="dxa"/>
          </w:tblCellMar>
          <w:tblLook w:val="0000"/>
        </w:tblPrEx>
        <w:trPr>
          <w:trHeight w:val="381"/>
          <w:jc w:val="center"/>
        </w:trPr>
        <w:tc>
          <w:tcPr>
            <w:tcW w:w="5000" w:type="pct"/>
            <w:gridSpan w:val="5"/>
            <w:tcBorders>
              <w:top w:val="single" w:sz="4" w:space="0" w:color="auto"/>
              <w:left w:val="nil"/>
              <w:bottom w:val="single" w:sz="4" w:space="0" w:color="auto"/>
              <w:right w:val="nil"/>
            </w:tcBorders>
            <w:vAlign w:val="center"/>
          </w:tcPr>
          <w:p w:rsidR="000F6FC7" w:rsidRPr="00885EE2" w:rsidP="004A01E5">
            <w:pPr>
              <w:pStyle w:val="naisnod"/>
              <w:spacing w:before="0" w:beforeAutospacing="0" w:after="0" w:afterAutospacing="0"/>
              <w:ind w:left="57" w:right="57"/>
              <w:jc w:val="center"/>
              <w:rPr>
                <w:b/>
              </w:rPr>
            </w:pPr>
          </w:p>
        </w:tc>
      </w:tr>
      <w:tr w:rsidTr="00B82320">
        <w:tblPrEx>
          <w:tblW w:w="4979" w:type="pct"/>
          <w:jc w:val="center"/>
          <w:tblInd w:w="0" w:type="dxa"/>
          <w:tblCellMar>
            <w:top w:w="28" w:type="dxa"/>
            <w:left w:w="28" w:type="dxa"/>
            <w:bottom w:w="28" w:type="dxa"/>
            <w:right w:w="28" w:type="dxa"/>
          </w:tblCellMar>
          <w:tblLook w:val="0000"/>
        </w:tblPrEx>
        <w:trPr>
          <w:trHeight w:val="381"/>
          <w:jc w:val="center"/>
        </w:trPr>
        <w:tc>
          <w:tcPr>
            <w:tcW w:w="5000" w:type="pct"/>
            <w:gridSpan w:val="5"/>
            <w:tcBorders>
              <w:top w:val="single" w:sz="4" w:space="0" w:color="auto"/>
            </w:tcBorders>
            <w:vAlign w:val="center"/>
          </w:tcPr>
          <w:p w:rsidR="000F6FC7" w:rsidRPr="00885EE2" w:rsidP="004A01E5">
            <w:pPr>
              <w:pStyle w:val="naisnod"/>
              <w:spacing w:before="0" w:beforeAutospacing="0" w:after="0" w:afterAutospacing="0"/>
              <w:ind w:left="57" w:right="57"/>
              <w:jc w:val="center"/>
            </w:pPr>
            <w:r w:rsidRPr="00885EE2">
              <w:rPr>
                <w:b/>
              </w:rPr>
              <w:t>VII. Tiesību akta projekta izpildes nodrošināšana un tās ietekme uz institūcijām</w:t>
            </w:r>
          </w:p>
        </w:tc>
      </w:tr>
      <w:tr w:rsidTr="00B82320">
        <w:tblPrEx>
          <w:tblW w:w="4979" w:type="pct"/>
          <w:jc w:val="center"/>
          <w:tblInd w:w="0" w:type="dxa"/>
          <w:tblCellMar>
            <w:top w:w="28" w:type="dxa"/>
            <w:left w:w="28" w:type="dxa"/>
            <w:bottom w:w="28" w:type="dxa"/>
            <w:right w:w="28" w:type="dxa"/>
          </w:tblCellMar>
          <w:tblLook w:val="0000"/>
        </w:tblPrEx>
        <w:trPr>
          <w:trHeight w:val="427"/>
          <w:jc w:val="center"/>
        </w:trPr>
        <w:tc>
          <w:tcPr>
            <w:tcW w:w="224" w:type="pct"/>
          </w:tcPr>
          <w:p w:rsidR="000F6FC7" w:rsidRPr="00885EE2" w:rsidP="004A01E5">
            <w:pPr>
              <w:pStyle w:val="naisnod"/>
              <w:spacing w:before="0" w:beforeAutospacing="0" w:after="0" w:afterAutospacing="0"/>
              <w:ind w:left="57" w:right="57"/>
              <w:jc w:val="both"/>
            </w:pPr>
            <w:r w:rsidRPr="00885EE2">
              <w:t>1.</w:t>
            </w:r>
          </w:p>
        </w:tc>
        <w:tc>
          <w:tcPr>
            <w:tcW w:w="1439" w:type="pct"/>
            <w:gridSpan w:val="2"/>
          </w:tcPr>
          <w:p w:rsidR="000F6FC7" w:rsidRPr="00885EE2" w:rsidP="004A01E5">
            <w:pPr>
              <w:pStyle w:val="naisf"/>
              <w:spacing w:before="0" w:after="0"/>
              <w:ind w:left="57" w:right="57"/>
            </w:pPr>
            <w:r w:rsidRPr="00885EE2">
              <w:t>Projekta izpildē iesaistītās institūcijas</w:t>
            </w:r>
          </w:p>
        </w:tc>
        <w:tc>
          <w:tcPr>
            <w:tcW w:w="3336" w:type="pct"/>
            <w:gridSpan w:val="2"/>
          </w:tcPr>
          <w:p w:rsidR="000F6FC7" w:rsidRPr="00885EE2" w:rsidP="00DA370A">
            <w:pPr>
              <w:ind w:right="114"/>
              <w:jc w:val="both"/>
              <w:rPr>
                <w:bCs/>
              </w:rPr>
            </w:pPr>
            <w:r w:rsidRPr="00885EE2">
              <w:rPr>
                <w:bCs/>
              </w:rPr>
              <w:t xml:space="preserve">    Projekta izpildi </w:t>
            </w:r>
            <w:r w:rsidRPr="00885EE2" w:rsidR="00DA370A">
              <w:rPr>
                <w:bCs/>
              </w:rPr>
              <w:t>nodrošinās Ministrija</w:t>
            </w:r>
            <w:r w:rsidRPr="00885EE2">
              <w:t>.</w:t>
            </w:r>
          </w:p>
        </w:tc>
      </w:tr>
      <w:tr w:rsidTr="00B82320">
        <w:tblPrEx>
          <w:tblW w:w="4979" w:type="pct"/>
          <w:jc w:val="center"/>
          <w:tblInd w:w="0" w:type="dxa"/>
          <w:tblCellMar>
            <w:top w:w="28" w:type="dxa"/>
            <w:left w:w="28" w:type="dxa"/>
            <w:bottom w:w="28" w:type="dxa"/>
            <w:right w:w="28" w:type="dxa"/>
          </w:tblCellMar>
          <w:tblLook w:val="0000"/>
        </w:tblPrEx>
        <w:trPr>
          <w:trHeight w:val="463"/>
          <w:jc w:val="center"/>
        </w:trPr>
        <w:tc>
          <w:tcPr>
            <w:tcW w:w="224" w:type="pct"/>
          </w:tcPr>
          <w:p w:rsidR="000F6FC7" w:rsidRPr="00885EE2" w:rsidP="004A01E5">
            <w:pPr>
              <w:pStyle w:val="naisnod"/>
              <w:spacing w:before="0" w:beforeAutospacing="0" w:after="0" w:afterAutospacing="0"/>
              <w:ind w:left="57" w:right="57"/>
              <w:jc w:val="both"/>
            </w:pPr>
            <w:r w:rsidRPr="00885EE2">
              <w:t>2.</w:t>
            </w:r>
          </w:p>
        </w:tc>
        <w:tc>
          <w:tcPr>
            <w:tcW w:w="1439" w:type="pct"/>
            <w:gridSpan w:val="2"/>
          </w:tcPr>
          <w:p w:rsidR="000F6FC7" w:rsidRPr="00885EE2" w:rsidP="0099052B">
            <w:pPr>
              <w:pStyle w:val="naisf"/>
              <w:spacing w:before="0" w:after="0"/>
              <w:ind w:left="57" w:right="57"/>
              <w:jc w:val="left"/>
            </w:pPr>
            <w:r w:rsidRPr="00885EE2">
              <w:t>Projekta izpildes ietekme uz pārvaldes funkcijām un institucionālo struktūru.</w:t>
            </w:r>
            <w:r w:rsidRPr="00885EE2" w:rsidR="00DA370A">
              <w:t xml:space="preserve"> </w:t>
            </w:r>
            <w:r w:rsidRPr="00885EE2">
              <w:t>Jaunu institūciju izveide, esošu institūciju likvidācija vai reorganizācija, to ietekme uz institūcijas cilvēkresursiem</w:t>
            </w:r>
          </w:p>
        </w:tc>
        <w:tc>
          <w:tcPr>
            <w:tcW w:w="3336" w:type="pct"/>
            <w:gridSpan w:val="2"/>
          </w:tcPr>
          <w:p w:rsidR="000F6FC7" w:rsidRPr="00885EE2" w:rsidP="004A01E5">
            <w:pPr>
              <w:ind w:left="-28"/>
              <w:jc w:val="both"/>
            </w:pPr>
            <w:r w:rsidRPr="00885EE2">
              <w:t xml:space="preserve">    Ar p</w:t>
            </w:r>
            <w:r w:rsidRPr="00885EE2">
              <w:t xml:space="preserve">rojektu netiek paplašinātas </w:t>
            </w:r>
            <w:r w:rsidRPr="00885EE2" w:rsidR="00DA370A">
              <w:t>M</w:t>
            </w:r>
            <w:r w:rsidRPr="00885EE2">
              <w:t>inistrijai normatīvajos aktos noteiktās funkcijas.</w:t>
            </w:r>
          </w:p>
          <w:p w:rsidR="000F6FC7" w:rsidRPr="00885EE2" w:rsidP="004A01E5">
            <w:pPr>
              <w:ind w:left="-28"/>
              <w:jc w:val="both"/>
            </w:pPr>
            <w:r w:rsidRPr="00885EE2">
              <w:t xml:space="preserve">    Projekts neparedz jaunu institūciju izveidi vai esošo institūciju likvidāc</w:t>
            </w:r>
            <w:r w:rsidRPr="00885EE2" w:rsidR="00161781">
              <w:t>iju vai reorganizāciju, kā arī p</w:t>
            </w:r>
            <w:r w:rsidRPr="00885EE2">
              <w:t>rojektam nav ietekmes uz esošo institūciju cilvēkresursiem.</w:t>
            </w:r>
          </w:p>
          <w:p w:rsidR="000F6FC7" w:rsidRPr="00885EE2" w:rsidP="004A01E5">
            <w:pPr>
              <w:ind w:left="121" w:right="114"/>
              <w:jc w:val="both"/>
            </w:pPr>
          </w:p>
        </w:tc>
      </w:tr>
      <w:tr w:rsidTr="00B82320">
        <w:tblPrEx>
          <w:tblW w:w="4979" w:type="pct"/>
          <w:jc w:val="center"/>
          <w:tblInd w:w="0" w:type="dxa"/>
          <w:tblCellMar>
            <w:top w:w="28" w:type="dxa"/>
            <w:left w:w="28" w:type="dxa"/>
            <w:bottom w:w="28" w:type="dxa"/>
            <w:right w:w="28" w:type="dxa"/>
          </w:tblCellMar>
          <w:tblLook w:val="0000"/>
        </w:tblPrEx>
        <w:trPr>
          <w:trHeight w:val="402"/>
          <w:jc w:val="center"/>
        </w:trPr>
        <w:tc>
          <w:tcPr>
            <w:tcW w:w="224" w:type="pct"/>
            <w:tcBorders>
              <w:top w:val="single" w:sz="4" w:space="0" w:color="auto"/>
              <w:left w:val="single" w:sz="4" w:space="0" w:color="auto"/>
              <w:bottom w:val="single" w:sz="4" w:space="0" w:color="auto"/>
              <w:right w:val="single" w:sz="4" w:space="0" w:color="auto"/>
            </w:tcBorders>
          </w:tcPr>
          <w:p w:rsidR="000F6FC7" w:rsidRPr="00885EE2" w:rsidP="004A01E5">
            <w:pPr>
              <w:pStyle w:val="naisnod"/>
              <w:spacing w:before="0" w:beforeAutospacing="0" w:after="0" w:afterAutospacing="0"/>
              <w:ind w:left="57" w:right="57"/>
              <w:jc w:val="both"/>
            </w:pPr>
            <w:r w:rsidRPr="00885EE2">
              <w:t>3.</w:t>
            </w:r>
          </w:p>
        </w:tc>
        <w:tc>
          <w:tcPr>
            <w:tcW w:w="1439" w:type="pct"/>
            <w:gridSpan w:val="2"/>
            <w:tcBorders>
              <w:top w:val="single" w:sz="4" w:space="0" w:color="auto"/>
              <w:left w:val="single" w:sz="4" w:space="0" w:color="auto"/>
              <w:bottom w:val="single" w:sz="4" w:space="0" w:color="auto"/>
              <w:right w:val="single" w:sz="4" w:space="0" w:color="auto"/>
            </w:tcBorders>
          </w:tcPr>
          <w:p w:rsidR="000F6FC7" w:rsidRPr="00885EE2" w:rsidP="004A01E5">
            <w:pPr>
              <w:pStyle w:val="naisf"/>
              <w:spacing w:before="0" w:after="0"/>
              <w:ind w:right="57" w:firstLine="74"/>
            </w:pPr>
            <w:r w:rsidRPr="00885EE2">
              <w:t>Cita informācija</w:t>
            </w:r>
          </w:p>
        </w:tc>
        <w:tc>
          <w:tcPr>
            <w:tcW w:w="3336" w:type="pct"/>
            <w:gridSpan w:val="2"/>
            <w:tcBorders>
              <w:top w:val="single" w:sz="4" w:space="0" w:color="auto"/>
              <w:left w:val="single" w:sz="4" w:space="0" w:color="auto"/>
              <w:bottom w:val="single" w:sz="4" w:space="0" w:color="auto"/>
              <w:right w:val="single" w:sz="4" w:space="0" w:color="auto"/>
            </w:tcBorders>
          </w:tcPr>
          <w:p w:rsidR="000F6FC7" w:rsidRPr="00885EE2" w:rsidP="004A01E5">
            <w:pPr>
              <w:ind w:right="57"/>
              <w:jc w:val="both"/>
            </w:pPr>
            <w:r w:rsidRPr="00885EE2">
              <w:t xml:space="preserve">    Nav.</w:t>
            </w:r>
          </w:p>
        </w:tc>
      </w:tr>
    </w:tbl>
    <w:p w:rsidR="0099052B" w:rsidRPr="00885EE2" w:rsidP="0099052B">
      <w:pPr>
        <w:keepNext/>
        <w:tabs>
          <w:tab w:val="left" w:pos="1215"/>
        </w:tabs>
        <w:rPr>
          <w:bCs/>
        </w:rPr>
      </w:pPr>
    </w:p>
    <w:p w:rsidR="00DD602A" w:rsidRPr="00885EE2" w:rsidP="0099052B">
      <w:pPr>
        <w:keepNext/>
        <w:tabs>
          <w:tab w:val="left" w:pos="1215"/>
        </w:tabs>
        <w:rPr>
          <w:bCs/>
        </w:rPr>
      </w:pPr>
    </w:p>
    <w:p w:rsidR="00DE64E8" w:rsidRPr="00885EE2" w:rsidP="00DE64E8">
      <w:pPr>
        <w:tabs>
          <w:tab w:val="left" w:pos="6804"/>
        </w:tabs>
        <w:autoSpaceDE w:val="0"/>
        <w:autoSpaceDN w:val="0"/>
        <w:adjustRightInd w:val="0"/>
      </w:pPr>
      <w:r w:rsidRPr="00885EE2">
        <w:t xml:space="preserve">   </w:t>
      </w:r>
      <w:r w:rsidRPr="00885EE2" w:rsidR="007F2FE5">
        <w:t xml:space="preserve">  </w:t>
      </w:r>
      <w:r w:rsidRPr="00885EE2">
        <w:t>Izglītības un zinātnes ministrs</w:t>
      </w:r>
      <w:r w:rsidRPr="00885EE2">
        <w:tab/>
        <w:t>Kārlis Šadurskis</w:t>
      </w:r>
    </w:p>
    <w:p w:rsidR="00DE64E8" w:rsidRPr="00885EE2" w:rsidP="00DE64E8">
      <w:pPr>
        <w:tabs>
          <w:tab w:val="left" w:pos="1134"/>
        </w:tabs>
        <w:contextualSpacing/>
      </w:pPr>
    </w:p>
    <w:p w:rsidR="00DE64E8" w:rsidRPr="00885EE2" w:rsidP="00DE64E8">
      <w:pPr>
        <w:tabs>
          <w:tab w:val="left" w:pos="1134"/>
          <w:tab w:val="left" w:pos="6804"/>
        </w:tabs>
        <w:contextualSpacing/>
      </w:pPr>
      <w:r w:rsidRPr="00885EE2">
        <w:t xml:space="preserve">   </w:t>
      </w:r>
      <w:r w:rsidRPr="00885EE2" w:rsidR="007F2FE5">
        <w:t xml:space="preserve">  </w:t>
      </w:r>
      <w:r w:rsidRPr="00885EE2">
        <w:t>Vīza:</w:t>
      </w:r>
    </w:p>
    <w:p w:rsidR="00DE64E8" w:rsidRPr="00885EE2" w:rsidP="00DE64E8">
      <w:pPr>
        <w:tabs>
          <w:tab w:val="left" w:pos="1134"/>
          <w:tab w:val="left" w:pos="6804"/>
        </w:tabs>
        <w:contextualSpacing/>
      </w:pPr>
      <w:r w:rsidRPr="00885EE2">
        <w:t xml:space="preserve">  </w:t>
      </w:r>
      <w:r w:rsidRPr="00885EE2" w:rsidR="007F2FE5">
        <w:t xml:space="preserve">  </w:t>
      </w:r>
      <w:r w:rsidRPr="00885EE2">
        <w:t xml:space="preserve"> Valsts sekretāre</w:t>
      </w:r>
      <w:r w:rsidRPr="00885EE2">
        <w:tab/>
        <w:t>Līga Lejiņa</w:t>
      </w:r>
    </w:p>
    <w:p w:rsidR="00DE64E8" w:rsidRPr="00885EE2" w:rsidP="00DE64E8">
      <w:pPr>
        <w:jc w:val="both"/>
      </w:pPr>
    </w:p>
    <w:p w:rsidR="00DD602A" w:rsidRPr="00885EE2" w:rsidP="00DE64E8">
      <w:pPr>
        <w:tabs>
          <w:tab w:val="center" w:pos="0"/>
        </w:tabs>
        <w:ind w:right="-108"/>
        <w:jc w:val="both"/>
        <w:rPr>
          <w:sz w:val="20"/>
          <w:szCs w:val="20"/>
        </w:rPr>
      </w:pPr>
    </w:p>
    <w:p w:rsidR="005222AA" w:rsidRPr="00885EE2" w:rsidP="00DE64E8">
      <w:pPr>
        <w:tabs>
          <w:tab w:val="center" w:pos="0"/>
        </w:tabs>
        <w:ind w:right="-108"/>
        <w:jc w:val="both"/>
        <w:rPr>
          <w:sz w:val="20"/>
          <w:szCs w:val="20"/>
        </w:rPr>
      </w:pPr>
    </w:p>
    <w:p w:rsidR="00DD602A" w:rsidRPr="00885EE2" w:rsidP="00DE64E8">
      <w:pPr>
        <w:tabs>
          <w:tab w:val="center" w:pos="0"/>
        </w:tabs>
        <w:ind w:right="-108"/>
        <w:jc w:val="both"/>
        <w:rPr>
          <w:sz w:val="20"/>
          <w:szCs w:val="20"/>
        </w:rPr>
      </w:pPr>
    </w:p>
    <w:p w:rsidR="00DE64E8" w:rsidRPr="00885EE2" w:rsidP="00DE64E8">
      <w:pPr>
        <w:tabs>
          <w:tab w:val="center" w:pos="0"/>
        </w:tabs>
        <w:ind w:right="-108"/>
        <w:jc w:val="both"/>
        <w:rPr>
          <w:sz w:val="20"/>
          <w:szCs w:val="20"/>
        </w:rPr>
      </w:pPr>
      <w:r w:rsidRPr="00885EE2">
        <w:rPr>
          <w:sz w:val="20"/>
          <w:szCs w:val="20"/>
        </w:rPr>
        <w:t>Krastiņa 67047768,</w:t>
      </w:r>
    </w:p>
    <w:p w:rsidR="00722E07" w:rsidRPr="00885EE2" w:rsidP="008F263A">
      <w:pPr>
        <w:tabs>
          <w:tab w:val="center" w:pos="0"/>
        </w:tabs>
        <w:ind w:right="-108"/>
        <w:jc w:val="both"/>
        <w:rPr>
          <w:sz w:val="20"/>
          <w:szCs w:val="20"/>
        </w:rPr>
      </w:pPr>
      <w:r w:rsidRPr="00885EE2">
        <w:rPr>
          <w:sz w:val="20"/>
          <w:szCs w:val="20"/>
        </w:rPr>
        <w:t>Ilze.Krastina@izm.gov.lv</w:t>
      </w:r>
    </w:p>
    <w:sectPr w:rsidSect="00EF7B56">
      <w:headerReference w:type="even" r:id="rId5"/>
      <w:headerReference w:type="default" r:id="rId6"/>
      <w:footerReference w:type="even" r:id="rId7"/>
      <w:footerReference w:type="default" r:id="rId8"/>
      <w:footerReference w:type="first" r:id="rId9"/>
      <w:pgSz w:w="12240" w:h="15840"/>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2F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022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2FAA" w:rsidRPr="00EF7B56" w:rsidP="00EF7B56">
    <w:pPr>
      <w:jc w:val="both"/>
      <w:rPr>
        <w:sz w:val="20"/>
        <w:szCs w:val="20"/>
      </w:rPr>
    </w:pPr>
    <w:r>
      <w:rPr>
        <w:sz w:val="20"/>
        <w:szCs w:val="20"/>
      </w:rPr>
      <w:t>IZMAnot_300118_VSS29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2FAA" w:rsidRPr="00EC1670" w:rsidP="00EC1670">
    <w:pPr>
      <w:jc w:val="both"/>
      <w:rPr>
        <w:sz w:val="20"/>
        <w:szCs w:val="20"/>
      </w:rPr>
    </w:pPr>
    <w:r>
      <w:rPr>
        <w:sz w:val="20"/>
        <w:szCs w:val="20"/>
      </w:rPr>
      <w:t>IZMAnot_300118_VSS29</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2F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22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2F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rsidR="00022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49AF0302"/>
    <w:multiLevelType w:val="hybridMultilevel"/>
    <w:tmpl w:val="7408D402"/>
    <w:lvl w:ilvl="0">
      <w:start w:val="1"/>
      <w:numFmt w:val="decimal"/>
      <w:lvlText w:val="%1)"/>
      <w:lvlJc w:val="left"/>
      <w:pPr>
        <w:ind w:left="720" w:hanging="360"/>
      </w:pPr>
      <w:rPr>
        <w:rFonts w:ascii="Times New Roman" w:hAnsi="Times New Roman" w:eastAsia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D0"/>
    <w:rsid w:val="00001E13"/>
    <w:rsid w:val="00016B72"/>
    <w:rsid w:val="00021B85"/>
    <w:rsid w:val="00022FAA"/>
    <w:rsid w:val="00031518"/>
    <w:rsid w:val="00034525"/>
    <w:rsid w:val="00041D5C"/>
    <w:rsid w:val="000859F4"/>
    <w:rsid w:val="00085D62"/>
    <w:rsid w:val="00092438"/>
    <w:rsid w:val="00093BD0"/>
    <w:rsid w:val="000A7E85"/>
    <w:rsid w:val="000C08E6"/>
    <w:rsid w:val="000C6D09"/>
    <w:rsid w:val="000D750D"/>
    <w:rsid w:val="000D7F7A"/>
    <w:rsid w:val="000F054E"/>
    <w:rsid w:val="000F35C6"/>
    <w:rsid w:val="000F6FC7"/>
    <w:rsid w:val="00114037"/>
    <w:rsid w:val="00141984"/>
    <w:rsid w:val="001550D7"/>
    <w:rsid w:val="00161781"/>
    <w:rsid w:val="001B298F"/>
    <w:rsid w:val="001C3216"/>
    <w:rsid w:val="001C6DFC"/>
    <w:rsid w:val="001D0195"/>
    <w:rsid w:val="001E38B8"/>
    <w:rsid w:val="001E6DFC"/>
    <w:rsid w:val="001E7BB8"/>
    <w:rsid w:val="001F04C3"/>
    <w:rsid w:val="001F6F96"/>
    <w:rsid w:val="00206266"/>
    <w:rsid w:val="00211F74"/>
    <w:rsid w:val="00214840"/>
    <w:rsid w:val="00214CFB"/>
    <w:rsid w:val="002238B3"/>
    <w:rsid w:val="00240F6C"/>
    <w:rsid w:val="00257E19"/>
    <w:rsid w:val="002623D8"/>
    <w:rsid w:val="00291E18"/>
    <w:rsid w:val="002967FD"/>
    <w:rsid w:val="002A2987"/>
    <w:rsid w:val="002C0F92"/>
    <w:rsid w:val="002C2251"/>
    <w:rsid w:val="002C40DB"/>
    <w:rsid w:val="002D4A24"/>
    <w:rsid w:val="002E4731"/>
    <w:rsid w:val="00323DA0"/>
    <w:rsid w:val="003452AF"/>
    <w:rsid w:val="0035710F"/>
    <w:rsid w:val="00365139"/>
    <w:rsid w:val="00393399"/>
    <w:rsid w:val="003A11DD"/>
    <w:rsid w:val="003B30B9"/>
    <w:rsid w:val="003F1F13"/>
    <w:rsid w:val="003F509C"/>
    <w:rsid w:val="0041455E"/>
    <w:rsid w:val="00430C2F"/>
    <w:rsid w:val="0045247E"/>
    <w:rsid w:val="00456AD9"/>
    <w:rsid w:val="004571D8"/>
    <w:rsid w:val="00457A6D"/>
    <w:rsid w:val="00481E91"/>
    <w:rsid w:val="00492D01"/>
    <w:rsid w:val="004A01E5"/>
    <w:rsid w:val="004A6F68"/>
    <w:rsid w:val="004B3B49"/>
    <w:rsid w:val="004C612D"/>
    <w:rsid w:val="004D2056"/>
    <w:rsid w:val="004E085D"/>
    <w:rsid w:val="004F08EE"/>
    <w:rsid w:val="004F4D58"/>
    <w:rsid w:val="005222AA"/>
    <w:rsid w:val="00531170"/>
    <w:rsid w:val="00537629"/>
    <w:rsid w:val="00543996"/>
    <w:rsid w:val="00561F8F"/>
    <w:rsid w:val="00562378"/>
    <w:rsid w:val="00565EBC"/>
    <w:rsid w:val="00582398"/>
    <w:rsid w:val="00583A27"/>
    <w:rsid w:val="005B6E5E"/>
    <w:rsid w:val="005F587E"/>
    <w:rsid w:val="00607762"/>
    <w:rsid w:val="00611502"/>
    <w:rsid w:val="00612287"/>
    <w:rsid w:val="00615748"/>
    <w:rsid w:val="00615C24"/>
    <w:rsid w:val="00626B86"/>
    <w:rsid w:val="0063658B"/>
    <w:rsid w:val="00636678"/>
    <w:rsid w:val="0064417A"/>
    <w:rsid w:val="006551EE"/>
    <w:rsid w:val="006610D4"/>
    <w:rsid w:val="006673A0"/>
    <w:rsid w:val="00670899"/>
    <w:rsid w:val="00675EB7"/>
    <w:rsid w:val="00685C88"/>
    <w:rsid w:val="006900F9"/>
    <w:rsid w:val="006A168D"/>
    <w:rsid w:val="006B218E"/>
    <w:rsid w:val="006D5608"/>
    <w:rsid w:val="006E493D"/>
    <w:rsid w:val="006E4EA0"/>
    <w:rsid w:val="006E7F65"/>
    <w:rsid w:val="006F25EF"/>
    <w:rsid w:val="007009DC"/>
    <w:rsid w:val="007059A7"/>
    <w:rsid w:val="00714A32"/>
    <w:rsid w:val="00722E07"/>
    <w:rsid w:val="007545B2"/>
    <w:rsid w:val="00760BBD"/>
    <w:rsid w:val="007A6756"/>
    <w:rsid w:val="007B755C"/>
    <w:rsid w:val="007D61A8"/>
    <w:rsid w:val="007E134D"/>
    <w:rsid w:val="007F2FE5"/>
    <w:rsid w:val="007F62A1"/>
    <w:rsid w:val="00801237"/>
    <w:rsid w:val="00806FD0"/>
    <w:rsid w:val="00813301"/>
    <w:rsid w:val="0081601E"/>
    <w:rsid w:val="0081634E"/>
    <w:rsid w:val="00816FE9"/>
    <w:rsid w:val="008345EF"/>
    <w:rsid w:val="00837048"/>
    <w:rsid w:val="00855991"/>
    <w:rsid w:val="008706B7"/>
    <w:rsid w:val="00874379"/>
    <w:rsid w:val="008751CA"/>
    <w:rsid w:val="00884927"/>
    <w:rsid w:val="00885EE2"/>
    <w:rsid w:val="008A18BE"/>
    <w:rsid w:val="008A1E2F"/>
    <w:rsid w:val="008A2E6C"/>
    <w:rsid w:val="008D0FBF"/>
    <w:rsid w:val="008D4920"/>
    <w:rsid w:val="008E685B"/>
    <w:rsid w:val="008F0F69"/>
    <w:rsid w:val="008F1C98"/>
    <w:rsid w:val="008F263A"/>
    <w:rsid w:val="008F2756"/>
    <w:rsid w:val="009220AE"/>
    <w:rsid w:val="00927598"/>
    <w:rsid w:val="00930E5E"/>
    <w:rsid w:val="009515EA"/>
    <w:rsid w:val="009733BA"/>
    <w:rsid w:val="0098204E"/>
    <w:rsid w:val="00985D38"/>
    <w:rsid w:val="0099052B"/>
    <w:rsid w:val="009A0553"/>
    <w:rsid w:val="009B475F"/>
    <w:rsid w:val="009C50BA"/>
    <w:rsid w:val="009E56BE"/>
    <w:rsid w:val="009F3CAB"/>
    <w:rsid w:val="009F639C"/>
    <w:rsid w:val="00A03F0C"/>
    <w:rsid w:val="00A24EC4"/>
    <w:rsid w:val="00A57838"/>
    <w:rsid w:val="00A57A5B"/>
    <w:rsid w:val="00A678AB"/>
    <w:rsid w:val="00A803B8"/>
    <w:rsid w:val="00A81797"/>
    <w:rsid w:val="00A86A2A"/>
    <w:rsid w:val="00A90379"/>
    <w:rsid w:val="00A90417"/>
    <w:rsid w:val="00AB1EE0"/>
    <w:rsid w:val="00AB4711"/>
    <w:rsid w:val="00AD2077"/>
    <w:rsid w:val="00B0090C"/>
    <w:rsid w:val="00B0616B"/>
    <w:rsid w:val="00B156C3"/>
    <w:rsid w:val="00B33A6D"/>
    <w:rsid w:val="00B475BE"/>
    <w:rsid w:val="00B637BA"/>
    <w:rsid w:val="00B81D0E"/>
    <w:rsid w:val="00B82320"/>
    <w:rsid w:val="00B86A62"/>
    <w:rsid w:val="00B87042"/>
    <w:rsid w:val="00B9508B"/>
    <w:rsid w:val="00BF0088"/>
    <w:rsid w:val="00BF4936"/>
    <w:rsid w:val="00BF7459"/>
    <w:rsid w:val="00C025CB"/>
    <w:rsid w:val="00C17AF7"/>
    <w:rsid w:val="00C22989"/>
    <w:rsid w:val="00C36BD2"/>
    <w:rsid w:val="00C569EF"/>
    <w:rsid w:val="00C65DA2"/>
    <w:rsid w:val="00C76CD3"/>
    <w:rsid w:val="00C84D00"/>
    <w:rsid w:val="00C851EB"/>
    <w:rsid w:val="00C908CC"/>
    <w:rsid w:val="00CA4285"/>
    <w:rsid w:val="00CB00B4"/>
    <w:rsid w:val="00CB675D"/>
    <w:rsid w:val="00CB6F2B"/>
    <w:rsid w:val="00CC2A4E"/>
    <w:rsid w:val="00CD1BF5"/>
    <w:rsid w:val="00CE4FC6"/>
    <w:rsid w:val="00CE5933"/>
    <w:rsid w:val="00CF1538"/>
    <w:rsid w:val="00D041CA"/>
    <w:rsid w:val="00D1513D"/>
    <w:rsid w:val="00D175D0"/>
    <w:rsid w:val="00D21E8C"/>
    <w:rsid w:val="00D27466"/>
    <w:rsid w:val="00D40ED8"/>
    <w:rsid w:val="00D46A3F"/>
    <w:rsid w:val="00D605DC"/>
    <w:rsid w:val="00D6642F"/>
    <w:rsid w:val="00D700C5"/>
    <w:rsid w:val="00D739A0"/>
    <w:rsid w:val="00DA370A"/>
    <w:rsid w:val="00DB42A8"/>
    <w:rsid w:val="00DC5678"/>
    <w:rsid w:val="00DD0073"/>
    <w:rsid w:val="00DD602A"/>
    <w:rsid w:val="00DD753D"/>
    <w:rsid w:val="00DE3329"/>
    <w:rsid w:val="00DE5248"/>
    <w:rsid w:val="00DE64E8"/>
    <w:rsid w:val="00DF104F"/>
    <w:rsid w:val="00DF62DE"/>
    <w:rsid w:val="00E108C7"/>
    <w:rsid w:val="00E44597"/>
    <w:rsid w:val="00E44F00"/>
    <w:rsid w:val="00E47233"/>
    <w:rsid w:val="00E4775A"/>
    <w:rsid w:val="00E47E5F"/>
    <w:rsid w:val="00E53B72"/>
    <w:rsid w:val="00E656C1"/>
    <w:rsid w:val="00E71B47"/>
    <w:rsid w:val="00E82077"/>
    <w:rsid w:val="00EA124D"/>
    <w:rsid w:val="00EA5736"/>
    <w:rsid w:val="00EA5935"/>
    <w:rsid w:val="00EC1670"/>
    <w:rsid w:val="00ED4FE9"/>
    <w:rsid w:val="00EE231C"/>
    <w:rsid w:val="00EE2892"/>
    <w:rsid w:val="00EF7B56"/>
    <w:rsid w:val="00F07D8A"/>
    <w:rsid w:val="00F208AA"/>
    <w:rsid w:val="00F21283"/>
    <w:rsid w:val="00F23354"/>
    <w:rsid w:val="00F27E8D"/>
    <w:rsid w:val="00F31B5C"/>
    <w:rsid w:val="00F371D9"/>
    <w:rsid w:val="00F41FD3"/>
    <w:rsid w:val="00F732C3"/>
    <w:rsid w:val="00F82050"/>
    <w:rsid w:val="00F82409"/>
    <w:rsid w:val="00F90D0F"/>
    <w:rsid w:val="00F90D1A"/>
    <w:rsid w:val="00FA1B18"/>
    <w:rsid w:val="00FE40AD"/>
    <w:rsid w:val="00FE5AB2"/>
    <w:rsid w:val="00FE76D5"/>
    <w:rsid w:val="00FF229D"/>
    <w:rsid w:val="00FF55FC"/>
  </w:rsids>
  <m:mathPr>
    <m:mathFont m:val="Cambria Math"/>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81FD06A-1FC8-4D25-B024-0403AE89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BD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093BD0"/>
    <w:pPr>
      <w:spacing w:before="100" w:beforeAutospacing="1" w:after="100" w:afterAutospacing="1"/>
      <w:jc w:val="center"/>
    </w:pPr>
    <w:rPr>
      <w:sz w:val="26"/>
      <w:szCs w:val="26"/>
      <w:lang w:eastAsia="en-US"/>
    </w:rPr>
  </w:style>
  <w:style w:type="paragraph" w:customStyle="1" w:styleId="naisf">
    <w:name w:val="naisf"/>
    <w:basedOn w:val="Normal"/>
    <w:rsid w:val="00093BD0"/>
    <w:pPr>
      <w:spacing w:before="100" w:beforeAutospacing="1" w:after="100" w:afterAutospacing="1"/>
      <w:jc w:val="both"/>
    </w:pPr>
    <w:rPr>
      <w:szCs w:val="20"/>
      <w:lang w:eastAsia="en-US"/>
    </w:rPr>
  </w:style>
  <w:style w:type="paragraph" w:styleId="NormalWeb">
    <w:name w:val="Normal (Web)"/>
    <w:basedOn w:val="Normal"/>
    <w:semiHidden/>
    <w:rsid w:val="00093BD0"/>
    <w:pPr>
      <w:spacing w:before="100" w:beforeAutospacing="1" w:after="100" w:afterAutospacing="1"/>
    </w:pPr>
    <w:rPr>
      <w:szCs w:val="20"/>
      <w:lang w:eastAsia="en-US"/>
    </w:rPr>
  </w:style>
  <w:style w:type="paragraph" w:styleId="BodyTextIndent2">
    <w:name w:val="Body Text Indent 2"/>
    <w:basedOn w:val="Normal"/>
    <w:link w:val="BodyTextIndent2Char"/>
    <w:semiHidden/>
    <w:rsid w:val="00093BD0"/>
    <w:pPr>
      <w:ind w:firstLine="435"/>
      <w:jc w:val="both"/>
    </w:pPr>
    <w:rPr>
      <w:szCs w:val="20"/>
      <w:lang w:eastAsia="en-US"/>
    </w:rPr>
  </w:style>
  <w:style w:type="character" w:customStyle="1" w:styleId="BodyTextIndent2Char">
    <w:name w:val="Body Text Indent 2 Char"/>
    <w:basedOn w:val="DefaultParagraphFont"/>
    <w:link w:val="BodyTextIndent2"/>
    <w:semiHidden/>
    <w:rsid w:val="00093BD0"/>
    <w:rPr>
      <w:rFonts w:ascii="Times New Roman" w:eastAsia="Times New Roman" w:hAnsi="Times New Roman" w:cs="Times New Roman"/>
      <w:sz w:val="24"/>
      <w:szCs w:val="20"/>
    </w:rPr>
  </w:style>
  <w:style w:type="character" w:styleId="PageNumber">
    <w:name w:val="page number"/>
    <w:basedOn w:val="DefaultParagraphFont"/>
    <w:semiHidden/>
    <w:rsid w:val="00093BD0"/>
  </w:style>
  <w:style w:type="paragraph" w:styleId="Footer">
    <w:name w:val="footer"/>
    <w:basedOn w:val="Normal"/>
    <w:link w:val="FooterChar"/>
    <w:semiHidden/>
    <w:rsid w:val="00093BD0"/>
    <w:pPr>
      <w:tabs>
        <w:tab w:val="center" w:pos="4153"/>
        <w:tab w:val="right" w:pos="8306"/>
      </w:tabs>
    </w:pPr>
    <w:rPr>
      <w:szCs w:val="20"/>
      <w:lang w:eastAsia="en-US"/>
    </w:rPr>
  </w:style>
  <w:style w:type="character" w:customStyle="1" w:styleId="FooterChar">
    <w:name w:val="Footer Char"/>
    <w:basedOn w:val="DefaultParagraphFont"/>
    <w:link w:val="Footer"/>
    <w:semiHidden/>
    <w:rsid w:val="00093BD0"/>
    <w:rPr>
      <w:rFonts w:ascii="Times New Roman" w:eastAsia="Times New Roman" w:hAnsi="Times New Roman" w:cs="Times New Roman"/>
      <w:sz w:val="24"/>
      <w:szCs w:val="20"/>
    </w:rPr>
  </w:style>
  <w:style w:type="paragraph" w:styleId="Header">
    <w:name w:val="header"/>
    <w:basedOn w:val="Normal"/>
    <w:link w:val="HeaderChar"/>
    <w:semiHidden/>
    <w:rsid w:val="00093BD0"/>
    <w:pPr>
      <w:tabs>
        <w:tab w:val="center" w:pos="4153"/>
        <w:tab w:val="right" w:pos="8306"/>
      </w:tabs>
    </w:pPr>
  </w:style>
  <w:style w:type="character" w:customStyle="1" w:styleId="HeaderChar">
    <w:name w:val="Header Char"/>
    <w:basedOn w:val="DefaultParagraphFont"/>
    <w:link w:val="Header"/>
    <w:semiHidden/>
    <w:rsid w:val="00093BD0"/>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1E7BB8"/>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E7BB8"/>
    <w:rPr>
      <w:rFonts w:ascii="Times New Roman" w:hAnsi="Times New Roman"/>
      <w:sz w:val="20"/>
      <w:szCs w:val="20"/>
    </w:rPr>
  </w:style>
  <w:style w:type="character" w:styleId="FootnoteReference">
    <w:name w:val="footnote reference"/>
    <w:basedOn w:val="DefaultParagraphFont"/>
    <w:uiPriority w:val="99"/>
    <w:semiHidden/>
    <w:unhideWhenUsed/>
    <w:rsid w:val="001E7BB8"/>
    <w:rPr>
      <w:vertAlign w:val="superscript"/>
    </w:rPr>
  </w:style>
  <w:style w:type="paragraph" w:styleId="ListParagraph">
    <w:name w:val="List Paragraph"/>
    <w:basedOn w:val="Normal"/>
    <w:uiPriority w:val="34"/>
    <w:qFormat/>
    <w:rsid w:val="00685C88"/>
    <w:pPr>
      <w:ind w:left="720"/>
      <w:contextualSpacing/>
    </w:pPr>
  </w:style>
  <w:style w:type="character" w:styleId="Hyperlink">
    <w:name w:val="Hyperlink"/>
    <w:basedOn w:val="DefaultParagraphFont"/>
    <w:uiPriority w:val="99"/>
    <w:unhideWhenUsed/>
    <w:rsid w:val="00722E07"/>
    <w:rPr>
      <w:color w:val="0563C1" w:themeColor="hyperlink"/>
      <w:u w:val="single"/>
    </w:rPr>
  </w:style>
  <w:style w:type="paragraph" w:customStyle="1" w:styleId="liknoteik1">
    <w:name w:val="lik_noteik1"/>
    <w:basedOn w:val="Normal"/>
    <w:rsid w:val="00C851EB"/>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Normal"/>
    <w:rsid w:val="00C851EB"/>
    <w:pPr>
      <w:spacing w:before="100" w:beforeAutospacing="1" w:after="100" w:afterAutospacing="1" w:line="360" w:lineRule="auto"/>
      <w:ind w:firstLine="300"/>
      <w:jc w:val="right"/>
    </w:pPr>
    <w:rPr>
      <w:color w:val="414142"/>
      <w:sz w:val="20"/>
      <w:szCs w:val="20"/>
    </w:rPr>
  </w:style>
  <w:style w:type="paragraph" w:customStyle="1" w:styleId="naisnod">
    <w:name w:val="naisnod"/>
    <w:basedOn w:val="Normal"/>
    <w:rsid w:val="00A57838"/>
    <w:pPr>
      <w:spacing w:before="100" w:beforeAutospacing="1" w:after="100" w:afterAutospacing="1"/>
    </w:pPr>
  </w:style>
  <w:style w:type="paragraph" w:styleId="BalloonText">
    <w:name w:val="Balloon Text"/>
    <w:basedOn w:val="Normal"/>
    <w:link w:val="BalloonTextChar"/>
    <w:uiPriority w:val="99"/>
    <w:semiHidden/>
    <w:unhideWhenUsed/>
    <w:rsid w:val="006D56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608"/>
    <w:rPr>
      <w:rFonts w:ascii="Segoe UI" w:eastAsia="Times New Roman" w:hAnsi="Segoe UI" w:cs="Segoe UI"/>
      <w:sz w:val="18"/>
      <w:szCs w:val="18"/>
      <w:lang w:eastAsia="lv-LV"/>
    </w:rPr>
  </w:style>
  <w:style w:type="paragraph" w:customStyle="1" w:styleId="tv2132">
    <w:name w:val="tv2132"/>
    <w:basedOn w:val="Normal"/>
    <w:rsid w:val="005F587E"/>
    <w:pPr>
      <w:spacing w:line="360" w:lineRule="auto"/>
      <w:ind w:firstLine="300"/>
    </w:pPr>
    <w:rPr>
      <w:color w:val="414142"/>
      <w:sz w:val="20"/>
      <w:szCs w:val="20"/>
      <w:lang w:bidi="lo-LA"/>
    </w:rPr>
  </w:style>
  <w:style w:type="character" w:customStyle="1" w:styleId="fontsize21">
    <w:name w:val="fontsize21"/>
    <w:basedOn w:val="DefaultParagraphFont"/>
    <w:rsid w:val="005F587E"/>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4D990-1DCC-4135-B164-0A4FBA39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Pages>
  <Words>8642</Words>
  <Characters>4927</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Krastiņa</dc:creator>
  <cp:lastModifiedBy>Ilze Krastiņa</cp:lastModifiedBy>
  <cp:revision>145</cp:revision>
  <cp:lastPrinted>2017-12-19T07:32:00Z</cp:lastPrinted>
  <dcterms:created xsi:type="dcterms:W3CDTF">2017-11-13T13:04:00Z</dcterms:created>
  <dcterms:modified xsi:type="dcterms:W3CDTF">2018-01-30T08:56:00Z</dcterms:modified>
</cp:coreProperties>
</file>