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E5" w:rsidRPr="00AF25BE" w:rsidRDefault="00BB78E5" w:rsidP="00AF25BE">
      <w:pPr>
        <w:shd w:val="clear" w:color="auto" w:fill="FFFFFF"/>
        <w:spacing w:after="0" w:line="240" w:lineRule="auto"/>
        <w:jc w:val="center"/>
        <w:rPr>
          <w:rFonts w:ascii="Times New Roman" w:hAnsi="Times New Roman"/>
          <w:b/>
          <w:bCs/>
          <w:sz w:val="28"/>
          <w:szCs w:val="28"/>
          <w:lang w:eastAsia="lv-LV"/>
        </w:rPr>
      </w:pPr>
      <w:bookmarkStart w:id="0" w:name="_GoBack"/>
      <w:bookmarkStart w:id="1" w:name="OLE_LINK1"/>
      <w:bookmarkStart w:id="2" w:name="OLE_LINK2"/>
      <w:bookmarkEnd w:id="0"/>
      <w:r w:rsidRPr="00AF25BE">
        <w:rPr>
          <w:rFonts w:ascii="Times New Roman" w:hAnsi="Times New Roman"/>
          <w:b/>
          <w:bCs/>
          <w:sz w:val="28"/>
          <w:szCs w:val="28"/>
          <w:lang w:eastAsia="lv-LV"/>
        </w:rPr>
        <w:t>Ministru kabineta rīkojuma projekta</w:t>
      </w:r>
    </w:p>
    <w:bookmarkEnd w:id="1"/>
    <w:bookmarkEnd w:id="2"/>
    <w:p w:rsidR="00BB78E5" w:rsidRPr="00AF25BE" w:rsidRDefault="00A1307C" w:rsidP="00AF25BE">
      <w:pPr>
        <w:spacing w:after="0" w:line="240" w:lineRule="auto"/>
        <w:jc w:val="center"/>
        <w:rPr>
          <w:rFonts w:ascii="Times New Roman" w:hAnsi="Times New Roman"/>
          <w:b/>
          <w:sz w:val="28"/>
          <w:szCs w:val="28"/>
        </w:rPr>
      </w:pPr>
      <w:r w:rsidRPr="00AF25BE">
        <w:rPr>
          <w:rFonts w:ascii="Times New Roman" w:hAnsi="Times New Roman"/>
          <w:b/>
          <w:bCs/>
          <w:sz w:val="28"/>
          <w:szCs w:val="28"/>
          <w:lang w:eastAsia="lv-LV"/>
        </w:rPr>
        <w:t>„</w:t>
      </w:r>
      <w:r w:rsidR="00BB78E5" w:rsidRPr="00AF25BE">
        <w:rPr>
          <w:rFonts w:ascii="Times New Roman" w:hAnsi="Times New Roman"/>
          <w:b/>
          <w:sz w:val="28"/>
          <w:szCs w:val="28"/>
        </w:rPr>
        <w:t xml:space="preserve">Par XXVI Vispārējo latviešu dziesmu un XVI Deju svētku </w:t>
      </w:r>
    </w:p>
    <w:p w:rsidR="00A1307C"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sz w:val="28"/>
          <w:szCs w:val="28"/>
        </w:rPr>
        <w:t>norises vietām</w:t>
      </w:r>
      <w:r w:rsidRPr="00AF25BE">
        <w:rPr>
          <w:rFonts w:ascii="Times New Roman" w:hAnsi="Times New Roman"/>
          <w:b/>
          <w:bCs/>
          <w:sz w:val="28"/>
          <w:szCs w:val="28"/>
          <w:lang w:eastAsia="lv-LV"/>
        </w:rPr>
        <w:t>”</w:t>
      </w:r>
      <w:r w:rsidRPr="00AF25BE" w:rsidDel="00BC4BE3">
        <w:rPr>
          <w:rFonts w:ascii="Times New Roman" w:hAnsi="Times New Roman"/>
          <w:b/>
          <w:bCs/>
          <w:sz w:val="28"/>
          <w:szCs w:val="28"/>
          <w:lang w:eastAsia="lv-LV"/>
        </w:rPr>
        <w:t xml:space="preserve"> </w:t>
      </w:r>
      <w:bookmarkStart w:id="3" w:name="OLE_LINK3"/>
      <w:bookmarkStart w:id="4" w:name="OLE_LINK4"/>
      <w:r w:rsidRPr="00AF25BE">
        <w:rPr>
          <w:rFonts w:ascii="Times New Roman" w:hAnsi="Times New Roman"/>
          <w:b/>
          <w:bCs/>
          <w:sz w:val="28"/>
          <w:szCs w:val="28"/>
          <w:lang w:eastAsia="lv-LV"/>
        </w:rPr>
        <w:t xml:space="preserve">sākotnējās ietekmes novērtējuma </w:t>
      </w:r>
    </w:p>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ziņojums (anotācija)</w:t>
      </w:r>
    </w:p>
    <w:bookmarkEnd w:id="3"/>
    <w:bookmarkEnd w:id="4"/>
    <w:p w:rsidR="00BB78E5" w:rsidRPr="00AF25BE" w:rsidRDefault="00BB78E5" w:rsidP="00AF25BE">
      <w:pPr>
        <w:shd w:val="clear" w:color="auto" w:fill="FFFFFF"/>
        <w:spacing w:after="0" w:line="240" w:lineRule="auto"/>
        <w:rPr>
          <w:rFonts w:ascii="Times New Roman" w:hAnsi="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6"/>
        <w:gridCol w:w="3396"/>
        <w:gridCol w:w="5267"/>
      </w:tblGrid>
      <w:tr w:rsidR="00BB78E5" w:rsidRPr="00AF25BE" w:rsidTr="00B67B12">
        <w:trPr>
          <w:trHeight w:val="474"/>
        </w:trPr>
        <w:tc>
          <w:tcPr>
            <w:tcW w:w="5000" w:type="pct"/>
            <w:gridSpan w:val="3"/>
            <w:tcBorders>
              <w:top w:val="outset" w:sz="6" w:space="0" w:color="414142"/>
              <w:bottom w:val="outset" w:sz="6" w:space="0" w:color="414142"/>
            </w:tcBorders>
            <w:vAlign w:val="center"/>
          </w:tcPr>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I. Tiesību akta projekta izstrādes nepieciešamība</w:t>
            </w:r>
          </w:p>
        </w:tc>
      </w:tr>
      <w:tr w:rsidR="00BB78E5" w:rsidRPr="00AF25BE" w:rsidTr="00A1307C">
        <w:trPr>
          <w:trHeight w:val="324"/>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Pamatojums</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ight="140"/>
              <w:jc w:val="both"/>
              <w:rPr>
                <w:rFonts w:ascii="Times New Roman" w:hAnsi="Times New Roman"/>
                <w:sz w:val="28"/>
                <w:szCs w:val="28"/>
                <w:lang w:eastAsia="lv-LV"/>
              </w:rPr>
            </w:pPr>
            <w:r w:rsidRPr="00AF25BE">
              <w:rPr>
                <w:rFonts w:ascii="Times New Roman" w:hAnsi="Times New Roman"/>
                <w:sz w:val="28"/>
                <w:szCs w:val="28"/>
              </w:rPr>
              <w:t>Ministru kabineta rīkojuma projekts „Par XXVI Vispārējo latviešu dziesmu un XVI Deju svētku norises vietām”</w:t>
            </w:r>
            <w:r w:rsidR="007F70BB" w:rsidRPr="00AF25BE">
              <w:rPr>
                <w:rFonts w:ascii="Times New Roman" w:hAnsi="Times New Roman"/>
                <w:sz w:val="28"/>
                <w:szCs w:val="28"/>
              </w:rPr>
              <w:t xml:space="preserve"> </w:t>
            </w:r>
            <w:r w:rsidRPr="00AF25BE">
              <w:rPr>
                <w:rFonts w:ascii="Times New Roman" w:hAnsi="Times New Roman"/>
                <w:sz w:val="28"/>
                <w:szCs w:val="28"/>
              </w:rPr>
              <w:t>(turpmāk</w:t>
            </w:r>
            <w:r w:rsidR="00A1307C" w:rsidRPr="00AF25BE">
              <w:rPr>
                <w:rFonts w:ascii="Times New Roman" w:hAnsi="Times New Roman"/>
                <w:sz w:val="28"/>
                <w:szCs w:val="28"/>
              </w:rPr>
              <w:t xml:space="preserve"> –</w:t>
            </w:r>
            <w:r w:rsidRPr="00AF25BE">
              <w:rPr>
                <w:rFonts w:ascii="Times New Roman" w:hAnsi="Times New Roman"/>
                <w:sz w:val="28"/>
                <w:szCs w:val="28"/>
              </w:rPr>
              <w:t xml:space="preserve"> Projekts)</w:t>
            </w:r>
            <w:r w:rsidR="00A1307C" w:rsidRPr="00AF25BE">
              <w:rPr>
                <w:rFonts w:ascii="Times New Roman" w:hAnsi="Times New Roman"/>
                <w:sz w:val="28"/>
                <w:szCs w:val="28"/>
              </w:rPr>
              <w:t xml:space="preserve"> </w:t>
            </w:r>
            <w:r w:rsidRPr="00AF25BE">
              <w:rPr>
                <w:rFonts w:ascii="Times New Roman" w:hAnsi="Times New Roman"/>
                <w:sz w:val="28"/>
                <w:szCs w:val="28"/>
              </w:rPr>
              <w:t>sagatavots</w:t>
            </w:r>
            <w:r w:rsidR="00A1307C" w:rsidRPr="00AF25BE">
              <w:rPr>
                <w:rFonts w:ascii="Times New Roman" w:hAnsi="Times New Roman"/>
                <w:sz w:val="28"/>
                <w:szCs w:val="28"/>
              </w:rPr>
              <w:t>,</w:t>
            </w:r>
            <w:r w:rsidRPr="00AF25BE">
              <w:rPr>
                <w:rFonts w:ascii="Times New Roman" w:hAnsi="Times New Roman"/>
                <w:sz w:val="28"/>
                <w:szCs w:val="28"/>
              </w:rPr>
              <w:t xml:space="preserve"> pamatojoties uz </w:t>
            </w:r>
            <w:r w:rsidR="007F70BB" w:rsidRPr="00AF25BE">
              <w:rPr>
                <w:rFonts w:ascii="Times New Roman" w:hAnsi="Times New Roman"/>
                <w:sz w:val="28"/>
                <w:szCs w:val="28"/>
              </w:rPr>
              <w:t xml:space="preserve">Valdības rīcības plāna Deklarācijas par Māra Kučinska vadītā Ministru kabineta iecerēto darbību īstenošanai (apstiprināts ar Ministru kabineta 2016.gada 3.maija rīkojumu Nr.275) 70.punktu un </w:t>
            </w:r>
            <w:r w:rsidRPr="00AF25BE">
              <w:rPr>
                <w:rFonts w:ascii="Times New Roman" w:hAnsi="Times New Roman"/>
                <w:sz w:val="28"/>
                <w:szCs w:val="28"/>
              </w:rPr>
              <w:t xml:space="preserve">Dziesmu un deju svētku likuma 7.panta pirmās daļas 1.punktu. </w:t>
            </w:r>
          </w:p>
        </w:tc>
      </w:tr>
      <w:tr w:rsidR="00BB78E5" w:rsidRPr="00AF25BE" w:rsidTr="00A1307C">
        <w:trPr>
          <w:trHeight w:val="372"/>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Pašreizējā situācija un problēmas, kuru risināšanai tiesību akta projekts izstrādāts, tiesiskā regulējuma mērķis un būtība</w:t>
            </w:r>
          </w:p>
        </w:tc>
        <w:tc>
          <w:tcPr>
            <w:tcW w:w="2888" w:type="pct"/>
            <w:tcBorders>
              <w:top w:val="outset" w:sz="6" w:space="0" w:color="414142"/>
              <w:left w:val="outset" w:sz="6" w:space="0" w:color="414142"/>
              <w:bottom w:val="outset" w:sz="6" w:space="0" w:color="414142"/>
            </w:tcBorders>
            <w:shd w:val="clear" w:color="auto" w:fill="FFFFFF"/>
          </w:tcPr>
          <w:p w:rsidR="0022440A" w:rsidRDefault="0022440A" w:rsidP="00E729AF">
            <w:pPr>
              <w:spacing w:after="0" w:line="240" w:lineRule="auto"/>
              <w:ind w:left="117" w:right="142" w:firstLine="567"/>
              <w:jc w:val="both"/>
              <w:rPr>
                <w:rFonts w:ascii="Times New Roman" w:hAnsi="Times New Roman"/>
                <w:sz w:val="28"/>
                <w:szCs w:val="28"/>
              </w:rPr>
            </w:pPr>
            <w:r w:rsidRPr="00204E17">
              <w:rPr>
                <w:rFonts w:ascii="Times New Roman" w:hAnsi="Times New Roman"/>
                <w:sz w:val="28"/>
                <w:szCs w:val="28"/>
              </w:rPr>
              <w:t xml:space="preserve">Saskaņā ar Ministru kabineta 2016.gada 13.aprīļa rīkojumu Nr.252 </w:t>
            </w:r>
            <w:r>
              <w:rPr>
                <w:rFonts w:ascii="Times New Roman" w:hAnsi="Times New Roman"/>
                <w:sz w:val="28"/>
                <w:szCs w:val="28"/>
              </w:rPr>
              <w:t>„</w:t>
            </w:r>
            <w:r w:rsidRPr="00A1307C">
              <w:rPr>
                <w:rFonts w:ascii="Times New Roman" w:hAnsi="Times New Roman"/>
                <w:sz w:val="28"/>
                <w:szCs w:val="28"/>
              </w:rPr>
              <w:t>Par XXVI Vispārējo latviešu dziesmu un XVI Deju svētku norises laiku</w:t>
            </w:r>
            <w:r>
              <w:rPr>
                <w:rFonts w:ascii="Times New Roman" w:hAnsi="Times New Roman"/>
                <w:sz w:val="28"/>
                <w:szCs w:val="28"/>
              </w:rPr>
              <w:t xml:space="preserve">”, pamatojoties uz </w:t>
            </w:r>
            <w:r w:rsidRPr="0022440A">
              <w:rPr>
                <w:rFonts w:ascii="Times New Roman" w:hAnsi="Times New Roman"/>
                <w:sz w:val="28"/>
                <w:szCs w:val="28"/>
              </w:rPr>
              <w:t>Dziesmu un deju svētku likuma 7.panta pirmās daļas 1.punktu</w:t>
            </w:r>
            <w:r>
              <w:rPr>
                <w:rFonts w:ascii="Times New Roman" w:hAnsi="Times New Roman"/>
                <w:sz w:val="28"/>
                <w:szCs w:val="28"/>
              </w:rPr>
              <w:t xml:space="preserve">, </w:t>
            </w:r>
            <w:r w:rsidRPr="00204E17">
              <w:rPr>
                <w:rFonts w:ascii="Times New Roman" w:hAnsi="Times New Roman"/>
                <w:sz w:val="28"/>
                <w:szCs w:val="28"/>
              </w:rPr>
              <w:t>noteikts XXVI Vispārējo latviešu dziesmu un XVI Deju svētku (turpmāk – Svētki) laiks no 2018.gada 30.jūnija līdz 8.jūlijam.</w:t>
            </w:r>
          </w:p>
          <w:p w:rsidR="00A1307C" w:rsidRPr="00AF25BE" w:rsidRDefault="00BB78E5" w:rsidP="00E729AF">
            <w:pPr>
              <w:spacing w:after="0" w:line="240" w:lineRule="auto"/>
              <w:ind w:left="117" w:right="142" w:firstLine="567"/>
              <w:jc w:val="both"/>
              <w:rPr>
                <w:rFonts w:ascii="Times New Roman" w:hAnsi="Times New Roman"/>
                <w:sz w:val="28"/>
                <w:szCs w:val="28"/>
              </w:rPr>
            </w:pPr>
            <w:r w:rsidRPr="00AF25BE">
              <w:rPr>
                <w:rFonts w:ascii="Times New Roman" w:hAnsi="Times New Roman"/>
                <w:sz w:val="28"/>
                <w:szCs w:val="28"/>
              </w:rPr>
              <w:t>Svētk</w:t>
            </w:r>
            <w:r w:rsidR="007F70BB" w:rsidRPr="00AF25BE">
              <w:rPr>
                <w:rFonts w:ascii="Times New Roman" w:hAnsi="Times New Roman"/>
                <w:sz w:val="28"/>
                <w:szCs w:val="28"/>
              </w:rPr>
              <w:t xml:space="preserve">u </w:t>
            </w:r>
            <w:r w:rsidR="00A302EF" w:rsidRPr="00AF25BE">
              <w:rPr>
                <w:rFonts w:ascii="Times New Roman" w:hAnsi="Times New Roman"/>
                <w:sz w:val="28"/>
                <w:szCs w:val="28"/>
              </w:rPr>
              <w:t xml:space="preserve">nedēļas </w:t>
            </w:r>
            <w:r w:rsidRPr="00AF25BE">
              <w:rPr>
                <w:rFonts w:ascii="Times New Roman" w:hAnsi="Times New Roman"/>
                <w:sz w:val="28"/>
                <w:szCs w:val="28"/>
              </w:rPr>
              <w:t xml:space="preserve">programmu veido </w:t>
            </w:r>
            <w:r w:rsidR="0000546C" w:rsidRPr="00AF25BE">
              <w:rPr>
                <w:rFonts w:ascii="Times New Roman" w:hAnsi="Times New Roman"/>
                <w:sz w:val="28"/>
                <w:szCs w:val="28"/>
              </w:rPr>
              <w:t>4</w:t>
            </w:r>
            <w:r w:rsidR="00A16D92" w:rsidRPr="00AF25BE">
              <w:rPr>
                <w:rFonts w:ascii="Times New Roman" w:hAnsi="Times New Roman"/>
                <w:sz w:val="28"/>
                <w:szCs w:val="28"/>
              </w:rPr>
              <w:t>2</w:t>
            </w:r>
            <w:r w:rsidR="0022440A">
              <w:rPr>
                <w:rFonts w:ascii="Times New Roman" w:hAnsi="Times New Roman"/>
                <w:sz w:val="28"/>
                <w:szCs w:val="28"/>
              </w:rPr>
              <w:t> </w:t>
            </w:r>
            <w:r w:rsidRPr="00AF25BE">
              <w:rPr>
                <w:rFonts w:ascii="Times New Roman" w:hAnsi="Times New Roman"/>
                <w:sz w:val="28"/>
                <w:szCs w:val="28"/>
              </w:rPr>
              <w:t>pasākum</w:t>
            </w:r>
            <w:r w:rsidR="00A16D92" w:rsidRPr="00AF25BE">
              <w:rPr>
                <w:rFonts w:ascii="Times New Roman" w:hAnsi="Times New Roman"/>
                <w:sz w:val="28"/>
                <w:szCs w:val="28"/>
              </w:rPr>
              <w:t>i</w:t>
            </w:r>
            <w:r w:rsidRPr="00AF25BE">
              <w:rPr>
                <w:rFonts w:ascii="Times New Roman" w:hAnsi="Times New Roman"/>
                <w:sz w:val="28"/>
                <w:szCs w:val="28"/>
              </w:rPr>
              <w:t>, t.sk. koru konkurss</w:t>
            </w:r>
            <w:r w:rsidR="00A1307C" w:rsidRPr="00AF25BE">
              <w:rPr>
                <w:rFonts w:ascii="Times New Roman" w:hAnsi="Times New Roman"/>
                <w:sz w:val="28"/>
                <w:szCs w:val="28"/>
              </w:rPr>
              <w:t xml:space="preserve"> „</w:t>
            </w:r>
            <w:r w:rsidR="0000546C" w:rsidRPr="00AF25BE">
              <w:rPr>
                <w:rFonts w:ascii="Times New Roman" w:hAnsi="Times New Roman"/>
                <w:sz w:val="28"/>
                <w:szCs w:val="28"/>
              </w:rPr>
              <w:t>Dziesmu</w:t>
            </w:r>
            <w:r w:rsidRPr="00AF25BE">
              <w:rPr>
                <w:rFonts w:ascii="Times New Roman" w:hAnsi="Times New Roman"/>
                <w:sz w:val="28"/>
                <w:szCs w:val="28"/>
              </w:rPr>
              <w:t xml:space="preserve"> kari</w:t>
            </w:r>
            <w:r w:rsidR="00A1307C" w:rsidRPr="00AF25BE">
              <w:rPr>
                <w:rFonts w:ascii="Times New Roman" w:hAnsi="Times New Roman"/>
                <w:sz w:val="28"/>
                <w:szCs w:val="28"/>
              </w:rPr>
              <w:t>”</w:t>
            </w:r>
            <w:r w:rsidR="0000546C" w:rsidRPr="00AF25BE">
              <w:rPr>
                <w:rFonts w:ascii="Times New Roman" w:hAnsi="Times New Roman"/>
                <w:sz w:val="28"/>
                <w:szCs w:val="28"/>
              </w:rPr>
              <w:t xml:space="preserve">, </w:t>
            </w:r>
            <w:r w:rsidR="00A16D92" w:rsidRPr="00AF25BE">
              <w:rPr>
                <w:rFonts w:ascii="Times New Roman" w:hAnsi="Times New Roman"/>
                <w:sz w:val="28"/>
                <w:szCs w:val="28"/>
              </w:rPr>
              <w:t xml:space="preserve">Dziesmu un deju svētku karoga cildināšana, </w:t>
            </w:r>
            <w:r w:rsidRPr="00AF25BE">
              <w:rPr>
                <w:rFonts w:ascii="Times New Roman" w:hAnsi="Times New Roman"/>
                <w:sz w:val="28"/>
                <w:szCs w:val="28"/>
              </w:rPr>
              <w:t>Svētku gājiens un atklāšanas pasākums dalībniekiem, Svētku virsdiriģentu un virsvadītāju godināšana, garīgās mūzikas koncerts</w:t>
            </w:r>
            <w:r w:rsidR="00A1307C" w:rsidRPr="00AF25BE">
              <w:rPr>
                <w:rFonts w:ascii="Times New Roman" w:hAnsi="Times New Roman"/>
                <w:sz w:val="28"/>
                <w:szCs w:val="28"/>
              </w:rPr>
              <w:t xml:space="preserve"> „</w:t>
            </w:r>
            <w:r w:rsidR="0000546C" w:rsidRPr="00AF25BE">
              <w:rPr>
                <w:rFonts w:ascii="Times New Roman" w:hAnsi="Times New Roman"/>
                <w:sz w:val="28"/>
                <w:szCs w:val="28"/>
              </w:rPr>
              <w:t>ES esmu”</w:t>
            </w:r>
            <w:r w:rsidR="00A1307C" w:rsidRPr="00AF25BE">
              <w:rPr>
                <w:rFonts w:ascii="Times New Roman" w:hAnsi="Times New Roman"/>
                <w:sz w:val="28"/>
                <w:szCs w:val="28"/>
              </w:rPr>
              <w:t>, deju lieluzvedums „Māras zeme”, noslēguma koncerts „</w:t>
            </w:r>
            <w:r w:rsidRPr="00AF25BE">
              <w:rPr>
                <w:rFonts w:ascii="Times New Roman" w:hAnsi="Times New Roman"/>
                <w:sz w:val="28"/>
                <w:szCs w:val="28"/>
              </w:rPr>
              <w:t>Zvaigžņu ceļā”</w:t>
            </w:r>
            <w:r w:rsidR="00A16D92" w:rsidRPr="00AF25BE">
              <w:rPr>
                <w:rFonts w:ascii="Times New Roman" w:hAnsi="Times New Roman"/>
                <w:sz w:val="28"/>
                <w:szCs w:val="28"/>
              </w:rPr>
              <w:t xml:space="preserve"> un sadziedāšanās nakts</w:t>
            </w:r>
            <w:r w:rsidRPr="00AF25BE">
              <w:rPr>
                <w:rFonts w:ascii="Times New Roman" w:hAnsi="Times New Roman"/>
                <w:sz w:val="28"/>
                <w:szCs w:val="28"/>
              </w:rPr>
              <w:t>, senioru koru koncerts</w:t>
            </w:r>
            <w:r w:rsidR="00A1307C" w:rsidRPr="00AF25BE">
              <w:rPr>
                <w:rFonts w:ascii="Times New Roman" w:hAnsi="Times New Roman"/>
                <w:sz w:val="28"/>
                <w:szCs w:val="28"/>
              </w:rPr>
              <w:t xml:space="preserve"> „</w:t>
            </w:r>
            <w:r w:rsidR="00264004" w:rsidRPr="00AF25BE">
              <w:rPr>
                <w:rFonts w:ascii="Times New Roman" w:hAnsi="Times New Roman"/>
                <w:sz w:val="28"/>
                <w:szCs w:val="28"/>
              </w:rPr>
              <w:t>Margodama saule lēca”</w:t>
            </w:r>
            <w:r w:rsidR="00A1307C" w:rsidRPr="00AF25BE">
              <w:rPr>
                <w:rFonts w:ascii="Times New Roman" w:hAnsi="Times New Roman"/>
                <w:sz w:val="28"/>
                <w:szCs w:val="28"/>
              </w:rPr>
              <w:t>, deju koncerts „</w:t>
            </w:r>
            <w:r w:rsidRPr="00AF25BE">
              <w:rPr>
                <w:rFonts w:ascii="Times New Roman" w:hAnsi="Times New Roman"/>
                <w:sz w:val="28"/>
                <w:szCs w:val="28"/>
              </w:rPr>
              <w:t xml:space="preserve">Vēl simts gadu dejai”, </w:t>
            </w:r>
            <w:r w:rsidR="0000546C" w:rsidRPr="00AF25BE">
              <w:rPr>
                <w:rFonts w:ascii="Times New Roman" w:hAnsi="Times New Roman"/>
                <w:sz w:val="28"/>
                <w:szCs w:val="28"/>
              </w:rPr>
              <w:t xml:space="preserve">vokālo ansambļu </w:t>
            </w:r>
            <w:r w:rsidRPr="00AF25BE">
              <w:rPr>
                <w:rFonts w:ascii="Times New Roman" w:hAnsi="Times New Roman"/>
                <w:sz w:val="28"/>
                <w:szCs w:val="28"/>
              </w:rPr>
              <w:t>garīgās mūzikas koncerts</w:t>
            </w:r>
            <w:r w:rsidR="00A1307C" w:rsidRPr="00AF25BE">
              <w:rPr>
                <w:rFonts w:ascii="Times New Roman" w:hAnsi="Times New Roman"/>
                <w:sz w:val="28"/>
                <w:szCs w:val="28"/>
              </w:rPr>
              <w:t xml:space="preserve"> „</w:t>
            </w:r>
            <w:r w:rsidR="00264004" w:rsidRPr="00AF25BE">
              <w:rPr>
                <w:rFonts w:ascii="Times New Roman" w:hAnsi="Times New Roman"/>
                <w:sz w:val="28"/>
                <w:szCs w:val="28"/>
              </w:rPr>
              <w:t>Tev tuvumā”</w:t>
            </w:r>
            <w:r w:rsidRPr="00AF25BE">
              <w:rPr>
                <w:rFonts w:ascii="Times New Roman" w:hAnsi="Times New Roman"/>
                <w:sz w:val="28"/>
                <w:szCs w:val="28"/>
              </w:rPr>
              <w:t xml:space="preserve">, </w:t>
            </w:r>
            <w:r w:rsidR="00264004" w:rsidRPr="00AF25BE">
              <w:rPr>
                <w:rFonts w:ascii="Times New Roman" w:hAnsi="Times New Roman"/>
                <w:sz w:val="28"/>
                <w:szCs w:val="28"/>
              </w:rPr>
              <w:t xml:space="preserve">latviešu </w:t>
            </w:r>
            <w:r w:rsidRPr="00AF25BE">
              <w:rPr>
                <w:rFonts w:ascii="Times New Roman" w:hAnsi="Times New Roman"/>
                <w:sz w:val="28"/>
                <w:szCs w:val="28"/>
              </w:rPr>
              <w:t>vokāli simfoniskās mūzikas koncerts, pūtēju orķestru Dižkoncerts, konference</w:t>
            </w:r>
            <w:r w:rsidR="00A1307C" w:rsidRPr="00AF25BE">
              <w:rPr>
                <w:rFonts w:ascii="Times New Roman" w:hAnsi="Times New Roman"/>
                <w:sz w:val="28"/>
                <w:szCs w:val="28"/>
              </w:rPr>
              <w:t xml:space="preserve"> „</w:t>
            </w:r>
            <w:r w:rsidRPr="00AF25BE">
              <w:rPr>
                <w:rFonts w:ascii="Times New Roman" w:hAnsi="Times New Roman"/>
                <w:sz w:val="28"/>
                <w:szCs w:val="28"/>
              </w:rPr>
              <w:t xml:space="preserve">Latvieši pasaulē – piederīgi Latvijai. Dziesmu un deju svētku tradīcijas saglabāšana un </w:t>
            </w:r>
            <w:r w:rsidRPr="00AF25BE">
              <w:rPr>
                <w:rFonts w:ascii="Times New Roman" w:hAnsi="Times New Roman"/>
                <w:sz w:val="28"/>
                <w:szCs w:val="28"/>
              </w:rPr>
              <w:lastRenderedPageBreak/>
              <w:t>attīstība”, ārvalstu latviešu māksliniecisko kolektīvu koncerts</w:t>
            </w:r>
            <w:r w:rsidR="00A1307C" w:rsidRPr="00AF25BE">
              <w:rPr>
                <w:rFonts w:ascii="Times New Roman" w:hAnsi="Times New Roman"/>
                <w:sz w:val="28"/>
                <w:szCs w:val="28"/>
              </w:rPr>
              <w:t xml:space="preserve"> „</w:t>
            </w:r>
            <w:r w:rsidR="00264004" w:rsidRPr="00AF25BE">
              <w:rPr>
                <w:rFonts w:ascii="Times New Roman" w:hAnsi="Times New Roman"/>
                <w:sz w:val="28"/>
                <w:szCs w:val="28"/>
              </w:rPr>
              <w:t>Cilvēks. Mūža ritums”</w:t>
            </w:r>
            <w:r w:rsidR="00A1307C" w:rsidRPr="00AF25BE">
              <w:rPr>
                <w:rFonts w:ascii="Times New Roman" w:hAnsi="Times New Roman"/>
                <w:sz w:val="28"/>
                <w:szCs w:val="28"/>
              </w:rPr>
              <w:t>, kokļu mūzikas koncerts „</w:t>
            </w:r>
            <w:r w:rsidRPr="00AF25BE">
              <w:rPr>
                <w:rFonts w:ascii="Times New Roman" w:hAnsi="Times New Roman"/>
                <w:sz w:val="28"/>
                <w:szCs w:val="28"/>
              </w:rPr>
              <w:t>Stīgo</w:t>
            </w:r>
            <w:r w:rsidR="007F70BB" w:rsidRPr="00AF25BE">
              <w:rPr>
                <w:rFonts w:ascii="Times New Roman" w:hAnsi="Times New Roman"/>
                <w:sz w:val="28"/>
                <w:szCs w:val="28"/>
              </w:rPr>
              <w:t xml:space="preserve"> </w:t>
            </w:r>
            <w:r w:rsidRPr="00AF25BE">
              <w:rPr>
                <w:rFonts w:ascii="Times New Roman" w:hAnsi="Times New Roman"/>
                <w:sz w:val="28"/>
                <w:szCs w:val="28"/>
              </w:rPr>
              <w:t xml:space="preserve">brālīt, stīgo māsiņ”, vokālo ansambļu konkurss, vokālo ansambļu ielu koncerti, </w:t>
            </w:r>
            <w:r w:rsidR="00A302EF" w:rsidRPr="00AF25BE">
              <w:rPr>
                <w:rFonts w:ascii="Times New Roman" w:hAnsi="Times New Roman"/>
                <w:sz w:val="28"/>
                <w:szCs w:val="28"/>
              </w:rPr>
              <w:t>vokālo ansambļu mūzikas koncerts</w:t>
            </w:r>
            <w:r w:rsidR="00A1307C" w:rsidRPr="00AF25BE">
              <w:rPr>
                <w:rFonts w:ascii="Times New Roman" w:hAnsi="Times New Roman"/>
                <w:sz w:val="28"/>
                <w:szCs w:val="28"/>
              </w:rPr>
              <w:t xml:space="preserve"> „</w:t>
            </w:r>
            <w:r w:rsidR="00264004" w:rsidRPr="00AF25BE">
              <w:rPr>
                <w:rFonts w:ascii="Times New Roman" w:hAnsi="Times New Roman"/>
                <w:sz w:val="28"/>
                <w:szCs w:val="28"/>
              </w:rPr>
              <w:t>Laiku viju gredzenā”</w:t>
            </w:r>
            <w:r w:rsidR="00A302EF" w:rsidRPr="00AF25BE">
              <w:rPr>
                <w:rFonts w:ascii="Times New Roman" w:hAnsi="Times New Roman"/>
                <w:sz w:val="28"/>
                <w:szCs w:val="28"/>
              </w:rPr>
              <w:t xml:space="preserve">, </w:t>
            </w:r>
            <w:r w:rsidRPr="00AF25BE">
              <w:rPr>
                <w:rFonts w:ascii="Times New Roman" w:hAnsi="Times New Roman"/>
                <w:sz w:val="28"/>
                <w:szCs w:val="28"/>
              </w:rPr>
              <w:t>bērnu vokālo ansambļu muzikālais uzvedums</w:t>
            </w:r>
            <w:r w:rsidR="00A1307C" w:rsidRPr="00AF25BE">
              <w:rPr>
                <w:rFonts w:ascii="Times New Roman" w:hAnsi="Times New Roman"/>
                <w:sz w:val="28"/>
                <w:szCs w:val="28"/>
              </w:rPr>
              <w:t xml:space="preserve"> „</w:t>
            </w:r>
            <w:r w:rsidR="00264004" w:rsidRPr="00AF25BE">
              <w:rPr>
                <w:rFonts w:ascii="Times New Roman" w:hAnsi="Times New Roman"/>
                <w:sz w:val="28"/>
                <w:szCs w:val="28"/>
              </w:rPr>
              <w:t>Vilkam tāda dvēselīt”</w:t>
            </w:r>
            <w:r w:rsidRPr="00AF25BE">
              <w:rPr>
                <w:rFonts w:ascii="Times New Roman" w:hAnsi="Times New Roman"/>
                <w:sz w:val="28"/>
                <w:szCs w:val="28"/>
              </w:rPr>
              <w:t>, kapelu maratons,</w:t>
            </w:r>
            <w:r w:rsidR="00A1307C" w:rsidRPr="00AF25BE">
              <w:rPr>
                <w:rFonts w:ascii="Times New Roman" w:hAnsi="Times New Roman"/>
                <w:sz w:val="28"/>
                <w:szCs w:val="28"/>
              </w:rPr>
              <w:t xml:space="preserve"> </w:t>
            </w:r>
            <w:r w:rsidRPr="00AF25BE">
              <w:rPr>
                <w:rFonts w:ascii="Times New Roman" w:hAnsi="Times New Roman"/>
                <w:sz w:val="28"/>
                <w:szCs w:val="28"/>
              </w:rPr>
              <w:t xml:space="preserve">mazākumtautību </w:t>
            </w:r>
            <w:r w:rsidR="0000546C" w:rsidRPr="00AF25BE">
              <w:rPr>
                <w:rFonts w:ascii="Times New Roman" w:hAnsi="Times New Roman"/>
                <w:sz w:val="28"/>
                <w:szCs w:val="28"/>
              </w:rPr>
              <w:t xml:space="preserve">kolektīvu </w:t>
            </w:r>
            <w:r w:rsidRPr="00AF25BE">
              <w:rPr>
                <w:rFonts w:ascii="Times New Roman" w:hAnsi="Times New Roman"/>
                <w:sz w:val="28"/>
                <w:szCs w:val="28"/>
              </w:rPr>
              <w:t>koncerts</w:t>
            </w:r>
            <w:r w:rsidR="00A1307C" w:rsidRPr="00AF25BE">
              <w:rPr>
                <w:rFonts w:ascii="Times New Roman" w:hAnsi="Times New Roman"/>
                <w:sz w:val="28"/>
                <w:szCs w:val="28"/>
              </w:rPr>
              <w:t xml:space="preserve"> „</w:t>
            </w:r>
            <w:r w:rsidR="0000546C" w:rsidRPr="00AF25BE">
              <w:rPr>
                <w:rFonts w:ascii="Times New Roman" w:hAnsi="Times New Roman"/>
                <w:sz w:val="28"/>
                <w:szCs w:val="28"/>
              </w:rPr>
              <w:t>Pa saulei”</w:t>
            </w:r>
            <w:r w:rsidRPr="00AF25BE">
              <w:rPr>
                <w:rFonts w:ascii="Times New Roman" w:hAnsi="Times New Roman"/>
                <w:sz w:val="28"/>
                <w:szCs w:val="28"/>
              </w:rPr>
              <w:t xml:space="preserve">, amatu meistaru </w:t>
            </w:r>
            <w:r w:rsidR="00A16D92" w:rsidRPr="00AF25BE">
              <w:rPr>
                <w:rFonts w:ascii="Times New Roman" w:hAnsi="Times New Roman"/>
                <w:sz w:val="28"/>
                <w:szCs w:val="28"/>
              </w:rPr>
              <w:t xml:space="preserve">darinājumu </w:t>
            </w:r>
            <w:r w:rsidRPr="00AF25BE">
              <w:rPr>
                <w:rFonts w:ascii="Times New Roman" w:hAnsi="Times New Roman"/>
                <w:sz w:val="28"/>
                <w:szCs w:val="28"/>
              </w:rPr>
              <w:t>gadatirgus, tautas lietišķās mākslas izstāde</w:t>
            </w:r>
            <w:r w:rsidR="00A1307C" w:rsidRPr="00AF25BE">
              <w:rPr>
                <w:rFonts w:ascii="Times New Roman" w:hAnsi="Times New Roman"/>
                <w:sz w:val="28"/>
                <w:szCs w:val="28"/>
              </w:rPr>
              <w:t xml:space="preserve"> „</w:t>
            </w:r>
            <w:r w:rsidR="00A16D92" w:rsidRPr="00AF25BE">
              <w:rPr>
                <w:rFonts w:ascii="Times New Roman" w:hAnsi="Times New Roman"/>
                <w:sz w:val="28"/>
                <w:szCs w:val="28"/>
              </w:rPr>
              <w:t>Radītprieks”</w:t>
            </w:r>
            <w:r w:rsidRPr="00AF25BE">
              <w:rPr>
                <w:rFonts w:ascii="Times New Roman" w:hAnsi="Times New Roman"/>
                <w:sz w:val="28"/>
                <w:szCs w:val="28"/>
              </w:rPr>
              <w:t xml:space="preserve">, latviešu tautas tērpu skate, </w:t>
            </w:r>
            <w:r w:rsidR="00A302EF" w:rsidRPr="00AF25BE">
              <w:rPr>
                <w:rFonts w:ascii="Times New Roman" w:hAnsi="Times New Roman"/>
                <w:sz w:val="28"/>
                <w:szCs w:val="28"/>
              </w:rPr>
              <w:t>tautas mūzikas koncerts</w:t>
            </w:r>
            <w:r w:rsidR="00A1307C" w:rsidRPr="00AF25BE">
              <w:rPr>
                <w:rFonts w:ascii="Times New Roman" w:hAnsi="Times New Roman"/>
                <w:sz w:val="28"/>
                <w:szCs w:val="28"/>
              </w:rPr>
              <w:t xml:space="preserve"> „</w:t>
            </w:r>
            <w:r w:rsidR="00A16D92" w:rsidRPr="00AF25BE">
              <w:rPr>
                <w:rFonts w:ascii="Times New Roman" w:hAnsi="Times New Roman"/>
                <w:sz w:val="28"/>
                <w:szCs w:val="28"/>
              </w:rPr>
              <w:t>Visas manas skaistas dziesmas”</w:t>
            </w:r>
            <w:r w:rsidR="00A302EF" w:rsidRPr="00AF25BE">
              <w:rPr>
                <w:rFonts w:ascii="Times New Roman" w:hAnsi="Times New Roman"/>
                <w:sz w:val="28"/>
                <w:szCs w:val="28"/>
              </w:rPr>
              <w:t xml:space="preserve">, </w:t>
            </w:r>
            <w:r w:rsidRPr="00AF25BE">
              <w:rPr>
                <w:rFonts w:ascii="Times New Roman" w:hAnsi="Times New Roman"/>
                <w:sz w:val="28"/>
                <w:szCs w:val="28"/>
              </w:rPr>
              <w:t>pūtēju orķestra latviešu mūzikas koncerts</w:t>
            </w:r>
            <w:r w:rsidR="00A1307C" w:rsidRPr="00AF25BE">
              <w:rPr>
                <w:rFonts w:ascii="Times New Roman" w:hAnsi="Times New Roman"/>
                <w:sz w:val="28"/>
                <w:szCs w:val="28"/>
              </w:rPr>
              <w:t xml:space="preserve"> „</w:t>
            </w:r>
            <w:r w:rsidR="00A16D92" w:rsidRPr="00AF25BE">
              <w:rPr>
                <w:rFonts w:ascii="Times New Roman" w:hAnsi="Times New Roman"/>
                <w:sz w:val="28"/>
                <w:szCs w:val="28"/>
              </w:rPr>
              <w:t>Pieskāriens laikam”</w:t>
            </w:r>
            <w:r w:rsidRPr="00AF25BE">
              <w:rPr>
                <w:rFonts w:ascii="Times New Roman" w:hAnsi="Times New Roman"/>
                <w:sz w:val="28"/>
                <w:szCs w:val="28"/>
              </w:rPr>
              <w:t>, pūtēju orķestru koncerti baznīcās, folkloras diena</w:t>
            </w:r>
            <w:r w:rsidR="00A1307C" w:rsidRPr="00AF25BE">
              <w:rPr>
                <w:rFonts w:ascii="Times New Roman" w:hAnsi="Times New Roman"/>
                <w:sz w:val="28"/>
                <w:szCs w:val="28"/>
              </w:rPr>
              <w:t xml:space="preserve"> „</w:t>
            </w:r>
            <w:r w:rsidR="00A16D92" w:rsidRPr="00AF25BE">
              <w:rPr>
                <w:rFonts w:ascii="Times New Roman" w:hAnsi="Times New Roman"/>
                <w:sz w:val="28"/>
                <w:szCs w:val="28"/>
              </w:rPr>
              <w:t>Taisat, tautas, augstas durvis”</w:t>
            </w:r>
            <w:r w:rsidRPr="00AF25BE">
              <w:rPr>
                <w:rFonts w:ascii="Times New Roman" w:hAnsi="Times New Roman"/>
                <w:sz w:val="28"/>
                <w:szCs w:val="28"/>
              </w:rPr>
              <w:t xml:space="preserve">, </w:t>
            </w:r>
            <w:r w:rsidR="00A1307C" w:rsidRPr="00AF25BE">
              <w:rPr>
                <w:rFonts w:ascii="Times New Roman" w:hAnsi="Times New Roman"/>
                <w:sz w:val="28"/>
                <w:szCs w:val="28"/>
              </w:rPr>
              <w:t>folkloras diena „Novadu sasaukšanās”, mūzikls „</w:t>
            </w:r>
            <w:r w:rsidR="00A16D92" w:rsidRPr="00AF25BE">
              <w:rPr>
                <w:rFonts w:ascii="Times New Roman" w:hAnsi="Times New Roman"/>
                <w:sz w:val="28"/>
                <w:szCs w:val="28"/>
              </w:rPr>
              <w:t>Brīnumputns”</w:t>
            </w:r>
            <w:r w:rsidR="00A302EF" w:rsidRPr="00AF25BE">
              <w:rPr>
                <w:rFonts w:ascii="Times New Roman" w:hAnsi="Times New Roman"/>
                <w:sz w:val="28"/>
                <w:szCs w:val="28"/>
              </w:rPr>
              <w:t>,</w:t>
            </w:r>
            <w:r w:rsidRPr="00AF25BE">
              <w:rPr>
                <w:rFonts w:ascii="Times New Roman" w:hAnsi="Times New Roman"/>
                <w:sz w:val="28"/>
                <w:szCs w:val="28"/>
              </w:rPr>
              <w:t xml:space="preserve"> Latvijas amatierteātru izrādes, </w:t>
            </w:r>
            <w:r w:rsidR="00A1307C" w:rsidRPr="00AF25BE">
              <w:rPr>
                <w:rFonts w:ascii="Times New Roman" w:hAnsi="Times New Roman"/>
                <w:sz w:val="28"/>
                <w:szCs w:val="28"/>
              </w:rPr>
              <w:t>Tautu diena „</w:t>
            </w:r>
            <w:r w:rsidR="00A16D92" w:rsidRPr="00AF25BE">
              <w:rPr>
                <w:rFonts w:ascii="Times New Roman" w:hAnsi="Times New Roman"/>
                <w:sz w:val="28"/>
                <w:szCs w:val="28"/>
              </w:rPr>
              <w:t xml:space="preserve">Rīta ausma”, </w:t>
            </w:r>
            <w:r w:rsidR="00A302EF" w:rsidRPr="00AF25BE">
              <w:rPr>
                <w:rFonts w:ascii="Times New Roman" w:hAnsi="Times New Roman"/>
                <w:sz w:val="28"/>
                <w:szCs w:val="28"/>
              </w:rPr>
              <w:t xml:space="preserve">kokļu mūzikas </w:t>
            </w:r>
            <w:r w:rsidR="00A16D92" w:rsidRPr="00AF25BE">
              <w:rPr>
                <w:rFonts w:ascii="Times New Roman" w:hAnsi="Times New Roman"/>
                <w:sz w:val="28"/>
                <w:szCs w:val="28"/>
              </w:rPr>
              <w:t xml:space="preserve">nakts </w:t>
            </w:r>
            <w:r w:rsidR="00A302EF" w:rsidRPr="00AF25BE">
              <w:rPr>
                <w:rFonts w:ascii="Times New Roman" w:hAnsi="Times New Roman"/>
                <w:sz w:val="28"/>
                <w:szCs w:val="28"/>
              </w:rPr>
              <w:t>koncert</w:t>
            </w:r>
            <w:r w:rsidR="00A1307C" w:rsidRPr="00AF25BE">
              <w:rPr>
                <w:rFonts w:ascii="Times New Roman" w:hAnsi="Times New Roman"/>
                <w:sz w:val="28"/>
                <w:szCs w:val="28"/>
              </w:rPr>
              <w:t>s „</w:t>
            </w:r>
            <w:r w:rsidR="00A16D92" w:rsidRPr="00AF25BE">
              <w:rPr>
                <w:rFonts w:ascii="Times New Roman" w:hAnsi="Times New Roman"/>
                <w:sz w:val="28"/>
                <w:szCs w:val="28"/>
              </w:rPr>
              <w:t>Skaņu raksti”</w:t>
            </w:r>
            <w:r w:rsidR="00A302EF" w:rsidRPr="00AF25BE">
              <w:rPr>
                <w:rFonts w:ascii="Times New Roman" w:hAnsi="Times New Roman"/>
                <w:sz w:val="28"/>
                <w:szCs w:val="28"/>
              </w:rPr>
              <w:t>, bērnu folkloras kopu koncerts</w:t>
            </w:r>
            <w:r w:rsidR="00A1307C" w:rsidRPr="00AF25BE">
              <w:rPr>
                <w:rFonts w:ascii="Times New Roman" w:hAnsi="Times New Roman"/>
                <w:sz w:val="28"/>
                <w:szCs w:val="28"/>
              </w:rPr>
              <w:t xml:space="preserve"> „</w:t>
            </w:r>
            <w:r w:rsidR="00A16D92" w:rsidRPr="00AF25BE">
              <w:rPr>
                <w:rFonts w:ascii="Times New Roman" w:hAnsi="Times New Roman"/>
                <w:sz w:val="28"/>
                <w:szCs w:val="28"/>
              </w:rPr>
              <w:t>Roku rokā ritinām”</w:t>
            </w:r>
            <w:r w:rsidRPr="00AF25BE">
              <w:rPr>
                <w:rFonts w:ascii="Times New Roman" w:hAnsi="Times New Roman"/>
                <w:sz w:val="28"/>
                <w:szCs w:val="28"/>
              </w:rPr>
              <w:t xml:space="preserve">. </w:t>
            </w:r>
          </w:p>
          <w:p w:rsidR="00A1307C" w:rsidRPr="00AF25BE" w:rsidRDefault="00BB78E5" w:rsidP="00E729AF">
            <w:pPr>
              <w:spacing w:after="0" w:line="240" w:lineRule="auto"/>
              <w:ind w:left="117" w:right="142" w:firstLine="567"/>
              <w:jc w:val="both"/>
              <w:rPr>
                <w:rFonts w:ascii="Times New Roman" w:hAnsi="Times New Roman"/>
                <w:sz w:val="28"/>
                <w:szCs w:val="28"/>
              </w:rPr>
            </w:pPr>
            <w:r w:rsidRPr="00AF25BE">
              <w:rPr>
                <w:rFonts w:ascii="Times New Roman" w:hAnsi="Times New Roman"/>
                <w:sz w:val="28"/>
                <w:szCs w:val="28"/>
              </w:rPr>
              <w:t>Saskaņā ar Dziesmu un deju svētku likuma 7.panta pirmās daļas 1.punktu Ministru kabinets nosaka kārtējo Vispārējo latviešu dziesmu un deju svētku norises vietu. Dziesmu un dej</w:t>
            </w:r>
            <w:r w:rsidR="00A1307C" w:rsidRPr="00AF25BE">
              <w:rPr>
                <w:rFonts w:ascii="Times New Roman" w:hAnsi="Times New Roman"/>
                <w:sz w:val="28"/>
                <w:szCs w:val="28"/>
              </w:rPr>
              <w:t xml:space="preserve">u svētku likuma 6.panta trešā daļa nosaka, ka </w:t>
            </w:r>
            <w:r w:rsidRPr="00AF25BE">
              <w:rPr>
                <w:rFonts w:ascii="Times New Roman" w:hAnsi="Times New Roman"/>
                <w:sz w:val="28"/>
                <w:szCs w:val="28"/>
              </w:rPr>
              <w:t>Dziesmu un deju svētku laikā kopmēģinājumu un koncertu norises vietas nodrošina valsts. Dziesmu un deju svētku kopmēģinājumi un koncerti notiek Rīgā, Mežaparka Lielajā estrādē, tās teritorijā un citās šiem</w:t>
            </w:r>
            <w:r w:rsidR="00CB666A" w:rsidRPr="00AF25BE">
              <w:rPr>
                <w:rFonts w:ascii="Times New Roman" w:hAnsi="Times New Roman"/>
                <w:sz w:val="28"/>
                <w:szCs w:val="28"/>
              </w:rPr>
              <w:t xml:space="preserve"> pasākumiem piemērotās vietās.</w:t>
            </w:r>
          </w:p>
          <w:p w:rsidR="00A1307C" w:rsidRPr="00AF25BE" w:rsidRDefault="00BB78E5" w:rsidP="00E729AF">
            <w:pPr>
              <w:spacing w:after="0" w:line="240" w:lineRule="auto"/>
              <w:ind w:left="117" w:right="142" w:firstLine="567"/>
              <w:jc w:val="both"/>
              <w:rPr>
                <w:rFonts w:ascii="Times New Roman" w:hAnsi="Times New Roman"/>
                <w:sz w:val="28"/>
                <w:szCs w:val="28"/>
              </w:rPr>
            </w:pPr>
            <w:r w:rsidRPr="00AF25BE">
              <w:rPr>
                <w:rFonts w:ascii="Times New Roman" w:hAnsi="Times New Roman"/>
                <w:sz w:val="28"/>
                <w:szCs w:val="28"/>
              </w:rPr>
              <w:t xml:space="preserve">Svētku norišu vietas nosaka konkrētā svētku pasākuma mākslinieciskā koncepcija (forma un saturs), infrastruktūras kapacitāte un pieejamība (maksimāli iespējamais dalībnieku un skatītāju skaits, ievērojot drošības nosacījumus), tehniskās iespējas (skaņa, gaisma, scenogrāfija) u.c. Ņemot vērā, ka Dziesmu un deju svētku pamats ir </w:t>
            </w:r>
            <w:r w:rsidRPr="00AF25BE">
              <w:rPr>
                <w:rFonts w:ascii="Times New Roman" w:hAnsi="Times New Roman"/>
                <w:sz w:val="28"/>
                <w:szCs w:val="28"/>
              </w:rPr>
              <w:lastRenderedPageBreak/>
              <w:t xml:space="preserve">tautas uzturētā un koptā kora dziedāšanas tradīcija un skatuviskā tautas deju kustība, kā tas tradicionāli ierasts, 2018.gada Dziesmu un deju svētku pasākumi Rīgā plānoti Mežaparka Lielajā estrādē (koru mūzikas koncerts) un Daugavas stadionā (deju lieluzvedums). Abām minētajām pasākumu vietām ir atbilstošā kapacitāte uzņemt apjomīgu dalībnieku un skatītāju skaitu, kā arī abās vietās ir iespējams kvalitatīvi īstenot māksliniecisko programmu un nodrošināt koncertu tehnisko aprīkojumu (gaismas režijas realizācija, apskaņošana, scenogrāfijas realizācija). </w:t>
            </w:r>
          </w:p>
          <w:p w:rsidR="00BB78E5" w:rsidRPr="00AF25BE" w:rsidRDefault="00BB78E5" w:rsidP="00E729AF">
            <w:pPr>
              <w:spacing w:after="0" w:line="240" w:lineRule="auto"/>
              <w:ind w:left="117" w:right="142" w:firstLine="567"/>
              <w:jc w:val="both"/>
              <w:rPr>
                <w:rFonts w:ascii="Times New Roman" w:hAnsi="Times New Roman"/>
                <w:sz w:val="28"/>
                <w:szCs w:val="28"/>
              </w:rPr>
            </w:pPr>
            <w:r w:rsidRPr="00AF25BE">
              <w:rPr>
                <w:rFonts w:ascii="Times New Roman" w:hAnsi="Times New Roman"/>
                <w:sz w:val="28"/>
                <w:szCs w:val="28"/>
              </w:rPr>
              <w:t xml:space="preserve">Atbilstoši mākslas žanra specifikai (kora mūzika, instrumentālā, vokālā mūzika u.c.), pasākuma mākslinieciskajai koncepcijai un saturam 2018.gada Dziesmu un deju svētku pasākumi plānoti arī Arēnā Rīga, Dailes teātrī, Doma baznīcā, Dziesmu svētku parkā, Esplanādē, Latvijas Universitātē, </w:t>
            </w:r>
            <w:r w:rsidR="004541D5" w:rsidRPr="00AF25BE">
              <w:rPr>
                <w:rFonts w:ascii="Times New Roman" w:hAnsi="Times New Roman"/>
                <w:sz w:val="28"/>
                <w:szCs w:val="28"/>
              </w:rPr>
              <w:t>L</w:t>
            </w:r>
            <w:r w:rsidRPr="00AF25BE">
              <w:rPr>
                <w:rFonts w:ascii="Times New Roman" w:hAnsi="Times New Roman"/>
                <w:sz w:val="28"/>
                <w:szCs w:val="28"/>
              </w:rPr>
              <w:t>ielā Ģild</w:t>
            </w:r>
            <w:r w:rsidR="004541D5" w:rsidRPr="00AF25BE">
              <w:rPr>
                <w:rFonts w:ascii="Times New Roman" w:hAnsi="Times New Roman"/>
                <w:sz w:val="28"/>
                <w:szCs w:val="28"/>
              </w:rPr>
              <w:t>ē</w:t>
            </w:r>
            <w:r w:rsidRPr="00AF25BE">
              <w:rPr>
                <w:rFonts w:ascii="Times New Roman" w:hAnsi="Times New Roman"/>
                <w:sz w:val="28"/>
                <w:szCs w:val="28"/>
              </w:rPr>
              <w:t>, Mazā ģild</w:t>
            </w:r>
            <w:r w:rsidR="004541D5" w:rsidRPr="00AF25BE">
              <w:rPr>
                <w:rFonts w:ascii="Times New Roman" w:hAnsi="Times New Roman"/>
                <w:sz w:val="28"/>
                <w:szCs w:val="28"/>
              </w:rPr>
              <w:t>ē</w:t>
            </w:r>
            <w:r w:rsidRPr="00AF25BE">
              <w:rPr>
                <w:rFonts w:ascii="Times New Roman" w:hAnsi="Times New Roman"/>
                <w:sz w:val="28"/>
                <w:szCs w:val="28"/>
              </w:rPr>
              <w:t xml:space="preserve">, Rīgas Latviešu biedrības namā, Rīgas pilsētas izstāžu zālē „Rīgas Mākslas telpa”, </w:t>
            </w:r>
            <w:r w:rsidR="005E5B63" w:rsidRPr="00AF25BE">
              <w:rPr>
                <w:rFonts w:ascii="Times New Roman" w:hAnsi="Times New Roman"/>
                <w:sz w:val="28"/>
                <w:szCs w:val="28"/>
              </w:rPr>
              <w:t xml:space="preserve">Skonto stadionā, </w:t>
            </w:r>
            <w:r w:rsidRPr="00AF25BE">
              <w:rPr>
                <w:rFonts w:ascii="Times New Roman" w:hAnsi="Times New Roman"/>
                <w:sz w:val="28"/>
                <w:szCs w:val="28"/>
              </w:rPr>
              <w:t>Sv.</w:t>
            </w:r>
            <w:r w:rsidR="0098514E" w:rsidRPr="00AF25BE">
              <w:rPr>
                <w:rFonts w:ascii="Times New Roman" w:hAnsi="Times New Roman"/>
                <w:sz w:val="28"/>
                <w:szCs w:val="28"/>
              </w:rPr>
              <w:t xml:space="preserve"> </w:t>
            </w:r>
            <w:r w:rsidRPr="00AF25BE">
              <w:rPr>
                <w:rFonts w:ascii="Times New Roman" w:hAnsi="Times New Roman"/>
                <w:sz w:val="28"/>
                <w:szCs w:val="28"/>
              </w:rPr>
              <w:t xml:space="preserve">Jēkaba </w:t>
            </w:r>
            <w:r w:rsidR="005E5B63" w:rsidRPr="00AF25BE">
              <w:rPr>
                <w:rFonts w:ascii="Times New Roman" w:hAnsi="Times New Roman"/>
                <w:sz w:val="28"/>
                <w:szCs w:val="28"/>
              </w:rPr>
              <w:t xml:space="preserve">Romas katoļu </w:t>
            </w:r>
            <w:r w:rsidRPr="00AF25BE">
              <w:rPr>
                <w:rFonts w:ascii="Times New Roman" w:hAnsi="Times New Roman"/>
                <w:sz w:val="28"/>
                <w:szCs w:val="28"/>
              </w:rPr>
              <w:t>katedrāl</w:t>
            </w:r>
            <w:r w:rsidR="004541D5" w:rsidRPr="00AF25BE">
              <w:rPr>
                <w:rFonts w:ascii="Times New Roman" w:hAnsi="Times New Roman"/>
                <w:sz w:val="28"/>
                <w:szCs w:val="28"/>
              </w:rPr>
              <w:t>ē</w:t>
            </w:r>
            <w:r w:rsidRPr="00AF25BE">
              <w:rPr>
                <w:rFonts w:ascii="Times New Roman" w:hAnsi="Times New Roman"/>
                <w:sz w:val="28"/>
                <w:szCs w:val="28"/>
              </w:rPr>
              <w:t xml:space="preserve"> un citas baznīc</w:t>
            </w:r>
            <w:r w:rsidR="0098514E" w:rsidRPr="00AF25BE">
              <w:rPr>
                <w:rFonts w:ascii="Times New Roman" w:hAnsi="Times New Roman"/>
                <w:sz w:val="28"/>
                <w:szCs w:val="28"/>
              </w:rPr>
              <w:t>ā</w:t>
            </w:r>
            <w:r w:rsidRPr="00AF25BE">
              <w:rPr>
                <w:rFonts w:ascii="Times New Roman" w:hAnsi="Times New Roman"/>
                <w:sz w:val="28"/>
                <w:szCs w:val="28"/>
              </w:rPr>
              <w:t>s, Vērmanes dārzā, koncertzāl</w:t>
            </w:r>
            <w:r w:rsidR="0098514E" w:rsidRPr="00AF25BE">
              <w:rPr>
                <w:rFonts w:ascii="Times New Roman" w:hAnsi="Times New Roman"/>
                <w:sz w:val="28"/>
                <w:szCs w:val="28"/>
              </w:rPr>
              <w:t>ē</w:t>
            </w:r>
            <w:r w:rsidR="00CB666A" w:rsidRPr="00AF25BE">
              <w:rPr>
                <w:rFonts w:ascii="Times New Roman" w:hAnsi="Times New Roman"/>
                <w:sz w:val="28"/>
                <w:szCs w:val="28"/>
              </w:rPr>
              <w:t xml:space="preserve"> „</w:t>
            </w:r>
            <w:r w:rsidRPr="00AF25BE">
              <w:rPr>
                <w:rFonts w:ascii="Times New Roman" w:hAnsi="Times New Roman"/>
                <w:sz w:val="28"/>
                <w:szCs w:val="28"/>
              </w:rPr>
              <w:t>Palladium”, M</w:t>
            </w:r>
            <w:r w:rsidR="005E5B63" w:rsidRPr="00AF25BE">
              <w:rPr>
                <w:rFonts w:ascii="Times New Roman" w:hAnsi="Times New Roman"/>
                <w:sz w:val="28"/>
                <w:szCs w:val="28"/>
              </w:rPr>
              <w:t>ihaila Č</w:t>
            </w:r>
            <w:r w:rsidRPr="00AF25BE">
              <w:rPr>
                <w:rFonts w:ascii="Times New Roman" w:hAnsi="Times New Roman"/>
                <w:sz w:val="28"/>
                <w:szCs w:val="28"/>
              </w:rPr>
              <w:t>ehova Rīgas Krievu teātr</w:t>
            </w:r>
            <w:r w:rsidR="0098514E" w:rsidRPr="00AF25BE">
              <w:rPr>
                <w:rFonts w:ascii="Times New Roman" w:hAnsi="Times New Roman"/>
                <w:sz w:val="28"/>
                <w:szCs w:val="28"/>
              </w:rPr>
              <w:t>ī</w:t>
            </w:r>
            <w:r w:rsidRPr="00AF25BE">
              <w:rPr>
                <w:rFonts w:ascii="Times New Roman" w:hAnsi="Times New Roman"/>
                <w:sz w:val="28"/>
                <w:szCs w:val="28"/>
              </w:rPr>
              <w:t xml:space="preserve">, </w:t>
            </w:r>
            <w:r w:rsidR="00867E9B" w:rsidRPr="00AF25BE">
              <w:rPr>
                <w:rFonts w:ascii="Times New Roman" w:hAnsi="Times New Roman"/>
                <w:sz w:val="28"/>
                <w:szCs w:val="28"/>
              </w:rPr>
              <w:t xml:space="preserve">Kronvalda parkā, </w:t>
            </w:r>
            <w:r w:rsidR="0098514E" w:rsidRPr="00AF25BE">
              <w:rPr>
                <w:rFonts w:ascii="Times New Roman" w:hAnsi="Times New Roman"/>
                <w:sz w:val="28"/>
                <w:szCs w:val="28"/>
              </w:rPr>
              <w:t>Latvijas Etnogrāfiskajā brīvdabas muzejā, VEF kultūras pilī un Vērmanes dārzā</w:t>
            </w:r>
            <w:r w:rsidRPr="00AF25BE">
              <w:rPr>
                <w:rFonts w:ascii="Times New Roman" w:hAnsi="Times New Roman"/>
                <w:sz w:val="28"/>
                <w:szCs w:val="28"/>
              </w:rPr>
              <w:t xml:space="preserve">. </w:t>
            </w:r>
          </w:p>
          <w:p w:rsidR="00A34042" w:rsidRPr="00F327F8" w:rsidRDefault="00F327F8" w:rsidP="00E729AF">
            <w:pPr>
              <w:spacing w:after="0" w:line="240" w:lineRule="auto"/>
              <w:ind w:left="117" w:right="142" w:firstLine="567"/>
              <w:jc w:val="both"/>
              <w:rPr>
                <w:rFonts w:ascii="Times New Roman" w:hAnsi="Times New Roman"/>
                <w:sz w:val="28"/>
                <w:szCs w:val="28"/>
              </w:rPr>
            </w:pPr>
            <w:r w:rsidRPr="00F327F8">
              <w:rPr>
                <w:rFonts w:ascii="Times New Roman" w:hAnsi="Times New Roman"/>
                <w:sz w:val="28"/>
                <w:szCs w:val="28"/>
              </w:rPr>
              <w:t xml:space="preserve">Saskaņā ar Publisku izklaides un svētku pasākumu drošības likuma 10.panta trešo daļu pasākuma organizators ir atbildīgs par tā drošību kopumā. Pasākuma organizators – Latvijas Nacionālais kultūras centrs – pirms līguma slēgšanas ar norises vietas īpašnieku izvērtē norises vietas atbilstību. Saskaņā ar Publisku izklaides un svētku pasākumu drošības likuma 10.panta otrās daļas 2. un 3.punktu pasākuma organizators rakstveidā vienosies par veidu, kādā par sabiedrisko kārtību un drošību </w:t>
            </w:r>
            <w:r w:rsidRPr="00F327F8">
              <w:rPr>
                <w:rFonts w:ascii="Times New Roman" w:hAnsi="Times New Roman"/>
                <w:sz w:val="28"/>
                <w:szCs w:val="28"/>
              </w:rPr>
              <w:lastRenderedPageBreak/>
              <w:t>atbildīgā persona, par tehnisko drošību atbildīgā persona un kārtīb</w:t>
            </w:r>
            <w:r w:rsidR="00DB2737">
              <w:rPr>
                <w:rFonts w:ascii="Times New Roman" w:hAnsi="Times New Roman"/>
                <w:sz w:val="28"/>
                <w:szCs w:val="28"/>
              </w:rPr>
              <w:t>as uzturētājs garantēs normatīvajos</w:t>
            </w:r>
            <w:r w:rsidRPr="00F327F8">
              <w:rPr>
                <w:rFonts w:ascii="Times New Roman" w:hAnsi="Times New Roman"/>
                <w:sz w:val="28"/>
                <w:szCs w:val="28"/>
              </w:rPr>
              <w:t xml:space="preserve"> aktos noteikto funkciju izpildi</w:t>
            </w:r>
            <w:r>
              <w:rPr>
                <w:rFonts w:ascii="Times New Roman" w:hAnsi="Times New Roman"/>
                <w:sz w:val="28"/>
                <w:szCs w:val="28"/>
              </w:rPr>
              <w:t>.</w:t>
            </w:r>
          </w:p>
        </w:tc>
      </w:tr>
      <w:tr w:rsidR="00BB78E5" w:rsidRPr="00AF25BE" w:rsidTr="00A1307C">
        <w:trPr>
          <w:trHeight w:val="372"/>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lastRenderedPageBreak/>
              <w:t>3.</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Projekta izstrādē iesaistītās institūcijas</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ight="140"/>
              <w:jc w:val="both"/>
              <w:rPr>
                <w:rFonts w:ascii="Times New Roman" w:hAnsi="Times New Roman"/>
                <w:sz w:val="28"/>
                <w:szCs w:val="28"/>
                <w:lang w:eastAsia="lv-LV"/>
              </w:rPr>
            </w:pPr>
            <w:r w:rsidRPr="00AF25BE">
              <w:rPr>
                <w:rFonts w:ascii="Times New Roman" w:hAnsi="Times New Roman"/>
                <w:sz w:val="28"/>
                <w:szCs w:val="28"/>
                <w:lang w:eastAsia="lv-LV"/>
              </w:rPr>
              <w:t>Kultūras ministrija, Latvijas Nacionālais kultūras centr</w:t>
            </w:r>
            <w:r w:rsidR="00CB666A" w:rsidRPr="00AF25BE">
              <w:rPr>
                <w:rFonts w:ascii="Times New Roman" w:hAnsi="Times New Roman"/>
                <w:sz w:val="28"/>
                <w:szCs w:val="28"/>
                <w:lang w:eastAsia="lv-LV"/>
              </w:rPr>
              <w:t>s.</w:t>
            </w:r>
          </w:p>
        </w:tc>
      </w:tr>
      <w:tr w:rsidR="00BB78E5" w:rsidRPr="00AF25BE" w:rsidTr="00CB666A">
        <w:trPr>
          <w:trHeight w:val="430"/>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4.</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Cita informācija</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Pr>
                <w:rFonts w:ascii="Times New Roman" w:hAnsi="Times New Roman"/>
                <w:sz w:val="28"/>
                <w:szCs w:val="28"/>
                <w:lang w:eastAsia="lv-LV"/>
              </w:rPr>
            </w:pPr>
            <w:r w:rsidRPr="00AF25BE">
              <w:rPr>
                <w:rFonts w:ascii="Times New Roman" w:hAnsi="Times New Roman"/>
                <w:sz w:val="28"/>
                <w:szCs w:val="28"/>
                <w:lang w:eastAsia="lv-LV"/>
              </w:rPr>
              <w:t>Nav</w:t>
            </w:r>
          </w:p>
        </w:tc>
      </w:tr>
    </w:tbl>
    <w:p w:rsidR="00BB78E5" w:rsidRPr="00AF25BE" w:rsidRDefault="00BB78E5" w:rsidP="00AF25BE">
      <w:pPr>
        <w:shd w:val="clear" w:color="auto" w:fill="FFFFFF"/>
        <w:spacing w:after="0" w:line="240" w:lineRule="auto"/>
        <w:rPr>
          <w:rFonts w:ascii="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6"/>
        <w:gridCol w:w="3396"/>
        <w:gridCol w:w="5267"/>
      </w:tblGrid>
      <w:tr w:rsidR="00BB78E5" w:rsidRPr="00AF25BE" w:rsidTr="00A1307C">
        <w:trPr>
          <w:trHeight w:val="444"/>
        </w:trPr>
        <w:tc>
          <w:tcPr>
            <w:tcW w:w="5000" w:type="pct"/>
            <w:gridSpan w:val="3"/>
            <w:tcBorders>
              <w:top w:val="outset" w:sz="6" w:space="0" w:color="414142"/>
              <w:bottom w:val="outset" w:sz="6" w:space="0" w:color="414142"/>
            </w:tcBorders>
            <w:vAlign w:val="center"/>
          </w:tcPr>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II. Tiesību akta projekta ietekme uz sabiedrību, tautsaimniecības attīstību un administratīvo slogu</w:t>
            </w:r>
          </w:p>
        </w:tc>
      </w:tr>
      <w:tr w:rsidR="00BB78E5" w:rsidRPr="00AF25BE" w:rsidTr="00A1307C">
        <w:trPr>
          <w:trHeight w:val="372"/>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Sabiedrības mērķgrupas, kuras tiesiskais regulējums ietekmē vai varētu ietekmēt</w:t>
            </w:r>
          </w:p>
        </w:tc>
        <w:tc>
          <w:tcPr>
            <w:tcW w:w="2888" w:type="pct"/>
            <w:tcBorders>
              <w:top w:val="outset" w:sz="6" w:space="0" w:color="414142"/>
              <w:left w:val="outset" w:sz="6" w:space="0" w:color="414142"/>
              <w:bottom w:val="outset" w:sz="6" w:space="0" w:color="414142"/>
            </w:tcBorders>
          </w:tcPr>
          <w:p w:rsidR="00BB78E5" w:rsidRPr="00107CD5" w:rsidRDefault="00107CD5" w:rsidP="00E729AF">
            <w:pPr>
              <w:spacing w:after="0" w:line="240" w:lineRule="auto"/>
              <w:ind w:left="117" w:right="140"/>
              <w:jc w:val="both"/>
              <w:rPr>
                <w:rFonts w:ascii="Times New Roman" w:hAnsi="Times New Roman"/>
                <w:sz w:val="28"/>
                <w:szCs w:val="28"/>
                <w:lang w:eastAsia="lv-LV"/>
              </w:rPr>
            </w:pPr>
            <w:r w:rsidRPr="00107CD5">
              <w:rPr>
                <w:rFonts w:ascii="Times New Roman" w:hAnsi="Times New Roman"/>
                <w:sz w:val="28"/>
                <w:szCs w:val="28"/>
              </w:rPr>
              <w:t xml:space="preserve">Projekts attiecas uz Svētku dalībniekiem, visām Svētku organizēšanā iesaistītajām institūcijām un personām, t.sk. XXVI Vispārējo latviešu dziesmu un XVI Deju svētku rīcības komiteju </w:t>
            </w:r>
            <w:r w:rsidR="000554FC">
              <w:rPr>
                <w:rFonts w:ascii="Times New Roman" w:hAnsi="Times New Roman"/>
                <w:sz w:val="28"/>
                <w:szCs w:val="28"/>
              </w:rPr>
              <w:t xml:space="preserve">(turpmāk – Rīcības komiteja) </w:t>
            </w:r>
            <w:r w:rsidRPr="00107CD5">
              <w:rPr>
                <w:rFonts w:ascii="Times New Roman" w:hAnsi="Times New Roman"/>
                <w:sz w:val="28"/>
                <w:szCs w:val="28"/>
              </w:rPr>
              <w:t xml:space="preserve">un Dziesmu un deju svētku padomi, Latvijas Nacionālo kultūras centru, operatīvās vadības grupas un pasākumu operatīvās vadības apakšgrupu dalībniekiem, Svētku apmeklētājiem, </w:t>
            </w:r>
            <w:r w:rsidR="000554FC">
              <w:rPr>
                <w:rFonts w:ascii="Times New Roman" w:hAnsi="Times New Roman"/>
                <w:sz w:val="28"/>
                <w:szCs w:val="28"/>
              </w:rPr>
              <w:t xml:space="preserve">kā arī </w:t>
            </w:r>
            <w:r w:rsidRPr="00107CD5">
              <w:rPr>
                <w:rFonts w:ascii="Times New Roman" w:hAnsi="Times New Roman"/>
                <w:sz w:val="28"/>
                <w:szCs w:val="28"/>
              </w:rPr>
              <w:t>uz ikvienu Latvijas un ārvalsts iedzīvotāju.</w:t>
            </w:r>
          </w:p>
        </w:tc>
      </w:tr>
      <w:tr w:rsidR="00BB78E5" w:rsidRPr="00AF25BE" w:rsidTr="00A1307C">
        <w:trPr>
          <w:trHeight w:val="408"/>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Tiesiskā regulējuma ietekme uz tautsaimniecību un administratīvo slogu</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Pr>
                <w:rFonts w:ascii="Times New Roman" w:hAnsi="Times New Roman"/>
                <w:sz w:val="28"/>
                <w:szCs w:val="28"/>
                <w:lang w:eastAsia="lv-LV"/>
              </w:rPr>
            </w:pPr>
            <w:r w:rsidRPr="00AF25BE">
              <w:rPr>
                <w:rFonts w:ascii="Times New Roman" w:hAnsi="Times New Roman"/>
                <w:sz w:val="28"/>
                <w:szCs w:val="28"/>
                <w:lang w:eastAsia="lv-LV"/>
              </w:rPr>
              <w:t>Projekts šo jomu neskar.</w:t>
            </w:r>
          </w:p>
        </w:tc>
      </w:tr>
      <w:tr w:rsidR="00BB78E5" w:rsidRPr="00AF25BE" w:rsidTr="00A1307C">
        <w:trPr>
          <w:trHeight w:val="408"/>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3.</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Administratīvo izmaksu monetārs novērtējums</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Pr>
                <w:rFonts w:ascii="Times New Roman" w:hAnsi="Times New Roman"/>
                <w:sz w:val="28"/>
                <w:szCs w:val="28"/>
                <w:lang w:eastAsia="lv-LV"/>
              </w:rPr>
            </w:pPr>
            <w:r w:rsidRPr="00AF25BE">
              <w:rPr>
                <w:rFonts w:ascii="Times New Roman" w:hAnsi="Times New Roman"/>
                <w:sz w:val="28"/>
                <w:szCs w:val="28"/>
                <w:lang w:eastAsia="lv-LV"/>
              </w:rPr>
              <w:t>Projekts šo jomu neskar.</w:t>
            </w:r>
          </w:p>
        </w:tc>
      </w:tr>
      <w:tr w:rsidR="00BB78E5" w:rsidRPr="00AF25BE" w:rsidTr="00A1307C">
        <w:trPr>
          <w:trHeight w:val="427"/>
        </w:trPr>
        <w:tc>
          <w:tcPr>
            <w:tcW w:w="250"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4.</w:t>
            </w:r>
          </w:p>
        </w:tc>
        <w:tc>
          <w:tcPr>
            <w:tcW w:w="1862"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Cita informācija</w:t>
            </w:r>
          </w:p>
        </w:tc>
        <w:tc>
          <w:tcPr>
            <w:tcW w:w="2888"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7"/>
              <w:rPr>
                <w:rFonts w:ascii="Times New Roman" w:hAnsi="Times New Roman"/>
                <w:sz w:val="28"/>
                <w:szCs w:val="28"/>
                <w:lang w:eastAsia="lv-LV"/>
              </w:rPr>
            </w:pPr>
            <w:r w:rsidRPr="00AF25BE">
              <w:rPr>
                <w:rFonts w:ascii="Times New Roman" w:hAnsi="Times New Roman"/>
                <w:sz w:val="28"/>
                <w:szCs w:val="28"/>
                <w:lang w:eastAsia="lv-LV"/>
              </w:rPr>
              <w:t>Nav</w:t>
            </w:r>
          </w:p>
        </w:tc>
      </w:tr>
    </w:tbl>
    <w:p w:rsidR="00BB78E5" w:rsidRPr="00AF25BE" w:rsidRDefault="00BB78E5" w:rsidP="00AF25BE">
      <w:pPr>
        <w:shd w:val="clear" w:color="auto" w:fill="FFFFFF"/>
        <w:spacing w:after="0" w:line="240" w:lineRule="auto"/>
        <w:rPr>
          <w:rFonts w:ascii="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BB78E5" w:rsidRPr="00AF25BE" w:rsidTr="00A1307C">
        <w:trPr>
          <w:trHeight w:val="288"/>
          <w:jc w:val="center"/>
        </w:trPr>
        <w:tc>
          <w:tcPr>
            <w:tcW w:w="5000" w:type="pct"/>
            <w:tcBorders>
              <w:top w:val="outset" w:sz="6" w:space="0" w:color="414142"/>
              <w:bottom w:val="outset" w:sz="6" w:space="0" w:color="414142"/>
            </w:tcBorders>
            <w:vAlign w:val="center"/>
          </w:tcPr>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III. Tiesību akta projekta ietekme uz valsts budžetu un pašvaldību budžetiem</w:t>
            </w:r>
          </w:p>
        </w:tc>
      </w:tr>
      <w:tr w:rsidR="00326A46" w:rsidRPr="00AF25BE" w:rsidTr="00A1307C">
        <w:trPr>
          <w:jc w:val="center"/>
        </w:trPr>
        <w:tc>
          <w:tcPr>
            <w:tcW w:w="5000" w:type="pct"/>
            <w:tcBorders>
              <w:top w:val="outset" w:sz="6" w:space="0" w:color="414142"/>
              <w:bottom w:val="outset" w:sz="6" w:space="0" w:color="414142"/>
            </w:tcBorders>
            <w:vAlign w:val="center"/>
          </w:tcPr>
          <w:p w:rsidR="00326A46" w:rsidRPr="00AF25BE" w:rsidRDefault="00326A46"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 xml:space="preserve">Projekts </w:t>
            </w:r>
            <w:r w:rsidR="00455462" w:rsidRPr="00AF25BE">
              <w:rPr>
                <w:rFonts w:ascii="Times New Roman" w:hAnsi="Times New Roman"/>
                <w:sz w:val="28"/>
                <w:szCs w:val="28"/>
                <w:lang w:eastAsia="lv-LV"/>
              </w:rPr>
              <w:t>šo jomu neskar.</w:t>
            </w:r>
          </w:p>
        </w:tc>
      </w:tr>
    </w:tbl>
    <w:p w:rsidR="00BB78E5" w:rsidRPr="00AF25BE" w:rsidRDefault="00BB78E5" w:rsidP="00AF25BE">
      <w:pPr>
        <w:shd w:val="clear" w:color="auto" w:fill="FFFFFF"/>
        <w:spacing w:after="0" w:line="240" w:lineRule="auto"/>
        <w:rPr>
          <w:rFonts w:ascii="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C77B92" w:rsidRPr="00AF25BE" w:rsidTr="00A1307C">
        <w:trPr>
          <w:trHeight w:val="288"/>
          <w:jc w:val="center"/>
        </w:trPr>
        <w:tc>
          <w:tcPr>
            <w:tcW w:w="0" w:type="auto"/>
            <w:tcBorders>
              <w:top w:val="outset" w:sz="6" w:space="0" w:color="414142"/>
              <w:bottom w:val="outset" w:sz="6" w:space="0" w:color="414142"/>
            </w:tcBorders>
            <w:vAlign w:val="center"/>
          </w:tcPr>
          <w:p w:rsidR="00C77B92" w:rsidRPr="00AF25BE" w:rsidRDefault="00C77B92"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I</w:t>
            </w:r>
            <w:r w:rsidR="00AE231B" w:rsidRPr="00AF25BE">
              <w:rPr>
                <w:rFonts w:ascii="Times New Roman" w:hAnsi="Times New Roman"/>
                <w:b/>
                <w:bCs/>
                <w:sz w:val="28"/>
                <w:szCs w:val="28"/>
                <w:lang w:eastAsia="lv-LV"/>
              </w:rPr>
              <w:t>V</w:t>
            </w:r>
            <w:r w:rsidRPr="00AF25BE">
              <w:rPr>
                <w:rFonts w:ascii="Times New Roman" w:hAnsi="Times New Roman"/>
                <w:b/>
                <w:bCs/>
                <w:sz w:val="28"/>
                <w:szCs w:val="28"/>
                <w:lang w:eastAsia="lv-LV"/>
              </w:rPr>
              <w:t>. </w:t>
            </w:r>
            <w:r w:rsidR="002366D4" w:rsidRPr="00AF25BE">
              <w:rPr>
                <w:rFonts w:ascii="Times New Roman" w:hAnsi="Times New Roman"/>
                <w:b/>
                <w:sz w:val="28"/>
                <w:szCs w:val="28"/>
                <w:lang w:eastAsia="lv-LV"/>
              </w:rPr>
              <w:t>Tiesību akta projekta ietekme uz spēkā esošo tiesību normu sistēmu</w:t>
            </w:r>
          </w:p>
        </w:tc>
      </w:tr>
      <w:tr w:rsidR="00C77B92" w:rsidRPr="00AF25BE" w:rsidTr="00A1307C">
        <w:trPr>
          <w:jc w:val="center"/>
        </w:trPr>
        <w:tc>
          <w:tcPr>
            <w:tcW w:w="5000" w:type="pct"/>
            <w:tcBorders>
              <w:top w:val="outset" w:sz="6" w:space="0" w:color="414142"/>
              <w:bottom w:val="outset" w:sz="6" w:space="0" w:color="414142"/>
            </w:tcBorders>
            <w:vAlign w:val="center"/>
          </w:tcPr>
          <w:p w:rsidR="00C77B92" w:rsidRPr="00AF25BE" w:rsidRDefault="00C77B92"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Projekts šo jomu neskar.</w:t>
            </w:r>
          </w:p>
        </w:tc>
      </w:tr>
    </w:tbl>
    <w:p w:rsidR="00C77B92" w:rsidRPr="00AF25BE" w:rsidRDefault="00C77B92" w:rsidP="00AF25BE">
      <w:pPr>
        <w:shd w:val="clear" w:color="auto" w:fill="FFFFFF"/>
        <w:spacing w:after="0" w:line="240" w:lineRule="auto"/>
        <w:rPr>
          <w:rFonts w:ascii="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C77B92" w:rsidRPr="00AF25BE" w:rsidTr="00A1307C">
        <w:trPr>
          <w:trHeight w:val="288"/>
          <w:jc w:val="center"/>
        </w:trPr>
        <w:tc>
          <w:tcPr>
            <w:tcW w:w="5000" w:type="pct"/>
            <w:tcBorders>
              <w:top w:val="outset" w:sz="6" w:space="0" w:color="414142"/>
              <w:bottom w:val="outset" w:sz="6" w:space="0" w:color="414142"/>
            </w:tcBorders>
            <w:vAlign w:val="center"/>
          </w:tcPr>
          <w:p w:rsidR="002366D4" w:rsidRPr="00AF25BE" w:rsidRDefault="00AE231B" w:rsidP="00AF25BE">
            <w:pPr>
              <w:autoSpaceDE w:val="0"/>
              <w:autoSpaceDN w:val="0"/>
              <w:adjustRightInd w:val="0"/>
              <w:spacing w:after="0" w:line="240" w:lineRule="auto"/>
              <w:jc w:val="center"/>
              <w:rPr>
                <w:rFonts w:ascii="Times New Roman" w:hAnsi="Times New Roman"/>
                <w:b/>
                <w:sz w:val="28"/>
                <w:szCs w:val="28"/>
                <w:lang w:eastAsia="lv-LV"/>
              </w:rPr>
            </w:pPr>
            <w:r w:rsidRPr="00AF25BE">
              <w:rPr>
                <w:rFonts w:ascii="Times New Roman" w:hAnsi="Times New Roman"/>
                <w:b/>
                <w:bCs/>
                <w:sz w:val="28"/>
                <w:szCs w:val="28"/>
                <w:lang w:eastAsia="lv-LV"/>
              </w:rPr>
              <w:t>V</w:t>
            </w:r>
            <w:r w:rsidR="00C77B92" w:rsidRPr="00AF25BE">
              <w:rPr>
                <w:rFonts w:ascii="Times New Roman" w:hAnsi="Times New Roman"/>
                <w:b/>
                <w:bCs/>
                <w:sz w:val="28"/>
                <w:szCs w:val="28"/>
                <w:lang w:eastAsia="lv-LV"/>
              </w:rPr>
              <w:t>. </w:t>
            </w:r>
            <w:r w:rsidR="002366D4" w:rsidRPr="00AF25BE">
              <w:rPr>
                <w:rFonts w:ascii="Times New Roman" w:hAnsi="Times New Roman"/>
                <w:b/>
                <w:sz w:val="28"/>
                <w:szCs w:val="28"/>
                <w:lang w:eastAsia="lv-LV"/>
              </w:rPr>
              <w:t>Tiesību akta projekta atbilstība Latvijas Republikas starptautiskajām</w:t>
            </w:r>
          </w:p>
          <w:p w:rsidR="00C77B92" w:rsidRPr="00AF25BE" w:rsidRDefault="002366D4" w:rsidP="00AF25BE">
            <w:pPr>
              <w:autoSpaceDE w:val="0"/>
              <w:autoSpaceDN w:val="0"/>
              <w:adjustRightInd w:val="0"/>
              <w:spacing w:after="0" w:line="240" w:lineRule="auto"/>
              <w:jc w:val="center"/>
              <w:rPr>
                <w:rFonts w:ascii="Times New Roman" w:hAnsi="Times New Roman"/>
                <w:b/>
                <w:bCs/>
                <w:sz w:val="28"/>
                <w:szCs w:val="28"/>
                <w:lang w:eastAsia="lv-LV"/>
              </w:rPr>
            </w:pPr>
            <w:r w:rsidRPr="00AF25BE">
              <w:rPr>
                <w:rFonts w:ascii="Times New Roman" w:hAnsi="Times New Roman"/>
                <w:b/>
                <w:sz w:val="28"/>
                <w:szCs w:val="28"/>
                <w:lang w:eastAsia="lv-LV"/>
              </w:rPr>
              <w:t>saistībām</w:t>
            </w:r>
          </w:p>
        </w:tc>
      </w:tr>
      <w:tr w:rsidR="00C77B92" w:rsidRPr="00AF25BE" w:rsidTr="00A1307C">
        <w:trPr>
          <w:jc w:val="center"/>
        </w:trPr>
        <w:tc>
          <w:tcPr>
            <w:tcW w:w="5000" w:type="pct"/>
            <w:tcBorders>
              <w:top w:val="outset" w:sz="6" w:space="0" w:color="414142"/>
              <w:bottom w:val="outset" w:sz="6" w:space="0" w:color="414142"/>
            </w:tcBorders>
            <w:vAlign w:val="center"/>
          </w:tcPr>
          <w:p w:rsidR="00C77B92" w:rsidRPr="00AF25BE" w:rsidRDefault="00C77B92"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Projekts šo jomu neskar.</w:t>
            </w:r>
          </w:p>
        </w:tc>
      </w:tr>
    </w:tbl>
    <w:p w:rsidR="00BB78E5" w:rsidRDefault="00BB78E5" w:rsidP="00AF25BE">
      <w:pPr>
        <w:shd w:val="clear" w:color="auto" w:fill="FFFFFF"/>
        <w:spacing w:after="0" w:line="240" w:lineRule="auto"/>
        <w:rPr>
          <w:rFonts w:ascii="Times New Roman" w:hAnsi="Times New Roman"/>
          <w:sz w:val="28"/>
          <w:szCs w:val="28"/>
          <w:lang w:eastAsia="lv-LV"/>
        </w:rPr>
      </w:pPr>
    </w:p>
    <w:p w:rsidR="00E729AF" w:rsidRPr="00AF25BE" w:rsidRDefault="00E729AF" w:rsidP="00AF25BE">
      <w:pPr>
        <w:shd w:val="clear" w:color="auto" w:fill="FFFFFF"/>
        <w:spacing w:after="0" w:line="240" w:lineRule="auto"/>
        <w:rPr>
          <w:rFonts w:ascii="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71"/>
        <w:gridCol w:w="3239"/>
        <w:gridCol w:w="5409"/>
      </w:tblGrid>
      <w:tr w:rsidR="00BB78E5" w:rsidRPr="00AF25BE" w:rsidTr="00CB666A">
        <w:trPr>
          <w:trHeight w:val="445"/>
          <w:jc w:val="center"/>
        </w:trPr>
        <w:tc>
          <w:tcPr>
            <w:tcW w:w="5000" w:type="pct"/>
            <w:gridSpan w:val="3"/>
            <w:tcBorders>
              <w:top w:val="outset" w:sz="6" w:space="0" w:color="414142"/>
              <w:bottom w:val="outset" w:sz="6" w:space="0" w:color="414142"/>
            </w:tcBorders>
            <w:vAlign w:val="center"/>
          </w:tcPr>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lastRenderedPageBreak/>
              <w:t>VI. Sabiedrības līdzdalība un komunikācijas aktivitātes</w:t>
            </w:r>
          </w:p>
        </w:tc>
      </w:tr>
      <w:tr w:rsidR="00BB78E5" w:rsidRPr="00AF25BE" w:rsidTr="00A1307C">
        <w:trPr>
          <w:trHeight w:val="432"/>
          <w:jc w:val="center"/>
        </w:trPr>
        <w:tc>
          <w:tcPr>
            <w:tcW w:w="258"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1.</w:t>
            </w:r>
          </w:p>
        </w:tc>
        <w:tc>
          <w:tcPr>
            <w:tcW w:w="1776"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Plānotās sabiedrības līdzdalības un komunikācijas aktivitātes saistībā ar projektu</w:t>
            </w:r>
          </w:p>
        </w:tc>
        <w:tc>
          <w:tcPr>
            <w:tcW w:w="2966" w:type="pct"/>
            <w:tcBorders>
              <w:top w:val="outset" w:sz="6" w:space="0" w:color="414142"/>
              <w:left w:val="outset" w:sz="6" w:space="0" w:color="414142"/>
              <w:bottom w:val="outset" w:sz="6" w:space="0" w:color="414142"/>
            </w:tcBorders>
          </w:tcPr>
          <w:p w:rsidR="00BB78E5" w:rsidRPr="00AF25BE" w:rsidRDefault="00542BD8" w:rsidP="00E729AF">
            <w:pPr>
              <w:spacing w:after="0" w:line="240" w:lineRule="auto"/>
              <w:ind w:left="118" w:right="140"/>
              <w:jc w:val="both"/>
              <w:rPr>
                <w:rFonts w:ascii="Times New Roman" w:hAnsi="Times New Roman"/>
                <w:sz w:val="28"/>
                <w:szCs w:val="28"/>
                <w:highlight w:val="yellow"/>
                <w:lang w:eastAsia="lv-LV"/>
              </w:rPr>
            </w:pPr>
            <w:r w:rsidRPr="00542BD8">
              <w:rPr>
                <w:rFonts w:ascii="Times New Roman" w:hAnsi="Times New Roman"/>
                <w:sz w:val="28"/>
                <w:szCs w:val="28"/>
              </w:rPr>
              <w:t xml:space="preserve">Svētku norišu jautājums izskatīts </w:t>
            </w:r>
            <w:r w:rsidR="000554FC" w:rsidRPr="00542BD8">
              <w:rPr>
                <w:rFonts w:ascii="Times New Roman" w:hAnsi="Times New Roman"/>
                <w:sz w:val="28"/>
                <w:szCs w:val="28"/>
              </w:rPr>
              <w:t xml:space="preserve">Dziesmu un deju svētku padomes </w:t>
            </w:r>
            <w:r w:rsidR="000554FC">
              <w:rPr>
                <w:rFonts w:ascii="Times New Roman" w:hAnsi="Times New Roman"/>
                <w:sz w:val="28"/>
                <w:szCs w:val="28"/>
              </w:rPr>
              <w:t>un Rīcības komitejas</w:t>
            </w:r>
            <w:r w:rsidRPr="00542BD8">
              <w:rPr>
                <w:rFonts w:ascii="Times New Roman" w:hAnsi="Times New Roman"/>
                <w:sz w:val="28"/>
                <w:szCs w:val="28"/>
              </w:rPr>
              <w:t xml:space="preserve"> sēdēs. </w:t>
            </w:r>
            <w:r w:rsidR="000554FC">
              <w:rPr>
                <w:rFonts w:ascii="Times New Roman" w:hAnsi="Times New Roman"/>
                <w:sz w:val="28"/>
                <w:szCs w:val="28"/>
              </w:rPr>
              <w:t>Saskaņā a</w:t>
            </w:r>
            <w:r w:rsidRPr="00542BD8">
              <w:rPr>
                <w:rFonts w:ascii="Times New Roman" w:hAnsi="Times New Roman"/>
                <w:sz w:val="28"/>
                <w:szCs w:val="28"/>
              </w:rPr>
              <w:t xml:space="preserve">r Ministru kabineta 2016.gada 11.oktobra rīkojumu Nr.584 „Par XXVI Vispārējo latviešu dziesmu un XVI Deju svētku rīcības komiteju” apstiprinātās </w:t>
            </w:r>
            <w:r w:rsidR="000554FC">
              <w:rPr>
                <w:rFonts w:ascii="Times New Roman" w:hAnsi="Times New Roman"/>
                <w:sz w:val="28"/>
                <w:szCs w:val="28"/>
              </w:rPr>
              <w:t>R</w:t>
            </w:r>
            <w:r w:rsidRPr="00542BD8">
              <w:rPr>
                <w:rFonts w:ascii="Times New Roman" w:hAnsi="Times New Roman"/>
                <w:sz w:val="28"/>
                <w:szCs w:val="28"/>
              </w:rPr>
              <w:t xml:space="preserve">īcības komitejas sastāvā </w:t>
            </w:r>
            <w:r w:rsidR="000554FC">
              <w:rPr>
                <w:rFonts w:ascii="Times New Roman" w:hAnsi="Times New Roman"/>
                <w:sz w:val="28"/>
                <w:szCs w:val="28"/>
              </w:rPr>
              <w:t>cita starpā iekļauts arī</w:t>
            </w:r>
            <w:r w:rsidRPr="00542BD8">
              <w:rPr>
                <w:rFonts w:ascii="Times New Roman" w:hAnsi="Times New Roman"/>
                <w:sz w:val="28"/>
                <w:szCs w:val="28"/>
              </w:rPr>
              <w:t xml:space="preserve"> Iekšlietu ministrijas pārstāvis. 2017.gada 21.decembrī Saeimā tika pieņemti Dziesmu un deju svētku likuma grozījumi, kas paredz operatīvās vadības grupas izveidi. Operatīvās vadības grupa tiks izveidota pēc m</w:t>
            </w:r>
            <w:r w:rsidR="000554FC">
              <w:rPr>
                <w:rFonts w:ascii="Times New Roman" w:hAnsi="Times New Roman"/>
                <w:sz w:val="28"/>
                <w:szCs w:val="28"/>
              </w:rPr>
              <w:t>inēto grozījumu stāšanās spēkā 2018.gada 10.janvārī</w:t>
            </w:r>
            <w:r w:rsidRPr="00542BD8">
              <w:rPr>
                <w:rFonts w:ascii="Times New Roman" w:hAnsi="Times New Roman"/>
                <w:sz w:val="28"/>
                <w:szCs w:val="28"/>
              </w:rPr>
              <w:t>.</w:t>
            </w:r>
          </w:p>
        </w:tc>
      </w:tr>
      <w:tr w:rsidR="00BB78E5" w:rsidRPr="00AF25BE" w:rsidTr="00A1307C">
        <w:trPr>
          <w:trHeight w:val="264"/>
          <w:jc w:val="center"/>
        </w:trPr>
        <w:tc>
          <w:tcPr>
            <w:tcW w:w="258"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2.</w:t>
            </w:r>
          </w:p>
        </w:tc>
        <w:tc>
          <w:tcPr>
            <w:tcW w:w="1776"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Sabiedrības līdzdalība projekta izstrādē</w:t>
            </w:r>
          </w:p>
        </w:tc>
        <w:tc>
          <w:tcPr>
            <w:tcW w:w="2966" w:type="pct"/>
            <w:tcBorders>
              <w:top w:val="outset" w:sz="6" w:space="0" w:color="414142"/>
              <w:left w:val="outset" w:sz="6" w:space="0" w:color="414142"/>
              <w:bottom w:val="outset" w:sz="6" w:space="0" w:color="414142"/>
            </w:tcBorders>
          </w:tcPr>
          <w:p w:rsidR="00BB78E5" w:rsidRPr="00A35E43" w:rsidRDefault="00CB666A" w:rsidP="00E729AF">
            <w:pPr>
              <w:spacing w:after="0" w:line="240" w:lineRule="auto"/>
              <w:ind w:left="118" w:right="140"/>
              <w:jc w:val="both"/>
              <w:rPr>
                <w:rFonts w:ascii="Times New Roman" w:hAnsi="Times New Roman"/>
                <w:sz w:val="28"/>
                <w:szCs w:val="28"/>
                <w:lang w:eastAsia="lv-LV"/>
              </w:rPr>
            </w:pPr>
            <w:r w:rsidRPr="00A35E43">
              <w:rPr>
                <w:rFonts w:ascii="Times New Roman" w:hAnsi="Times New Roman"/>
                <w:sz w:val="28"/>
                <w:szCs w:val="28"/>
              </w:rPr>
              <w:t xml:space="preserve">Dziesmu un deju svētku padomes </w:t>
            </w:r>
            <w:r w:rsidR="000554FC">
              <w:rPr>
                <w:rFonts w:ascii="Times New Roman" w:hAnsi="Times New Roman"/>
                <w:sz w:val="28"/>
                <w:szCs w:val="28"/>
              </w:rPr>
              <w:t xml:space="preserve">un Rīcības komitejas </w:t>
            </w:r>
            <w:r w:rsidRPr="00A35E43">
              <w:rPr>
                <w:rFonts w:ascii="Times New Roman" w:hAnsi="Times New Roman"/>
                <w:sz w:val="28"/>
                <w:szCs w:val="28"/>
              </w:rPr>
              <w:t>sēdes.</w:t>
            </w:r>
          </w:p>
        </w:tc>
      </w:tr>
      <w:tr w:rsidR="00BB78E5" w:rsidRPr="00AF25BE" w:rsidTr="00A1307C">
        <w:trPr>
          <w:trHeight w:val="372"/>
          <w:jc w:val="center"/>
        </w:trPr>
        <w:tc>
          <w:tcPr>
            <w:tcW w:w="258"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3.</w:t>
            </w:r>
          </w:p>
        </w:tc>
        <w:tc>
          <w:tcPr>
            <w:tcW w:w="1776"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Sabiedrības līdzdalības rezultāti</w:t>
            </w:r>
          </w:p>
        </w:tc>
        <w:tc>
          <w:tcPr>
            <w:tcW w:w="2966" w:type="pct"/>
            <w:tcBorders>
              <w:top w:val="outset" w:sz="6" w:space="0" w:color="414142"/>
              <w:left w:val="outset" w:sz="6" w:space="0" w:color="414142"/>
              <w:bottom w:val="outset" w:sz="6" w:space="0" w:color="414142"/>
            </w:tcBorders>
          </w:tcPr>
          <w:p w:rsidR="00BB78E5" w:rsidRPr="00A35E43" w:rsidRDefault="00A35E43" w:rsidP="00E729AF">
            <w:pPr>
              <w:spacing w:after="0" w:line="240" w:lineRule="auto"/>
              <w:ind w:left="118" w:right="140"/>
              <w:jc w:val="both"/>
              <w:rPr>
                <w:rFonts w:ascii="Times New Roman" w:hAnsi="Times New Roman"/>
                <w:sz w:val="28"/>
                <w:szCs w:val="28"/>
                <w:lang w:eastAsia="lv-LV"/>
              </w:rPr>
            </w:pPr>
            <w:r w:rsidRPr="00A35E43">
              <w:rPr>
                <w:rFonts w:ascii="Times New Roman" w:hAnsi="Times New Roman"/>
                <w:sz w:val="28"/>
                <w:szCs w:val="28"/>
              </w:rPr>
              <w:t xml:space="preserve">Dziesmu un deju svētku padome </w:t>
            </w:r>
            <w:r w:rsidR="000554FC">
              <w:rPr>
                <w:rFonts w:ascii="Times New Roman" w:hAnsi="Times New Roman"/>
                <w:sz w:val="28"/>
                <w:szCs w:val="28"/>
              </w:rPr>
              <w:t>un Rīcības komiteja, t.sk.</w:t>
            </w:r>
            <w:r w:rsidR="000554FC" w:rsidRPr="00A35E43">
              <w:rPr>
                <w:rFonts w:ascii="Times New Roman" w:hAnsi="Times New Roman"/>
                <w:sz w:val="28"/>
                <w:szCs w:val="28"/>
              </w:rPr>
              <w:t xml:space="preserve"> </w:t>
            </w:r>
            <w:r w:rsidR="000554FC">
              <w:rPr>
                <w:rFonts w:ascii="Times New Roman" w:hAnsi="Times New Roman"/>
                <w:sz w:val="28"/>
                <w:szCs w:val="28"/>
              </w:rPr>
              <w:t>R</w:t>
            </w:r>
            <w:r w:rsidR="000554FC" w:rsidRPr="00542BD8">
              <w:rPr>
                <w:rFonts w:ascii="Times New Roman" w:hAnsi="Times New Roman"/>
                <w:sz w:val="28"/>
                <w:szCs w:val="28"/>
              </w:rPr>
              <w:t xml:space="preserve">īcības komitejas sastāvā </w:t>
            </w:r>
            <w:r w:rsidR="000554FC">
              <w:rPr>
                <w:rFonts w:ascii="Times New Roman" w:hAnsi="Times New Roman"/>
                <w:sz w:val="28"/>
                <w:szCs w:val="28"/>
              </w:rPr>
              <w:t xml:space="preserve">iekļautais </w:t>
            </w:r>
            <w:r w:rsidR="000554FC" w:rsidRPr="00A35E43">
              <w:rPr>
                <w:rFonts w:ascii="Times New Roman" w:hAnsi="Times New Roman"/>
                <w:sz w:val="28"/>
                <w:szCs w:val="28"/>
              </w:rPr>
              <w:t>Iekšlietu ministrija</w:t>
            </w:r>
            <w:r w:rsidR="000554FC">
              <w:rPr>
                <w:rFonts w:ascii="Times New Roman" w:hAnsi="Times New Roman"/>
                <w:sz w:val="28"/>
                <w:szCs w:val="28"/>
              </w:rPr>
              <w:t>s pārstāvis</w:t>
            </w:r>
            <w:r w:rsidR="000554FC" w:rsidRPr="00A35E43">
              <w:rPr>
                <w:rFonts w:ascii="Times New Roman" w:hAnsi="Times New Roman"/>
                <w:sz w:val="28"/>
                <w:szCs w:val="28"/>
              </w:rPr>
              <w:t xml:space="preserve">, </w:t>
            </w:r>
            <w:r w:rsidRPr="00A35E43">
              <w:rPr>
                <w:rFonts w:ascii="Times New Roman" w:hAnsi="Times New Roman"/>
                <w:sz w:val="28"/>
                <w:szCs w:val="28"/>
              </w:rPr>
              <w:t>atbalsta Svētku norišu vietu izvēli</w:t>
            </w:r>
            <w:r>
              <w:rPr>
                <w:rFonts w:ascii="Times New Roman" w:hAnsi="Times New Roman"/>
                <w:sz w:val="28"/>
                <w:szCs w:val="28"/>
              </w:rPr>
              <w:t>.</w:t>
            </w:r>
          </w:p>
        </w:tc>
      </w:tr>
      <w:tr w:rsidR="00BB78E5" w:rsidRPr="00AF25BE" w:rsidTr="00A1307C">
        <w:trPr>
          <w:trHeight w:val="372"/>
          <w:jc w:val="center"/>
        </w:trPr>
        <w:tc>
          <w:tcPr>
            <w:tcW w:w="258"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4.</w:t>
            </w:r>
          </w:p>
        </w:tc>
        <w:tc>
          <w:tcPr>
            <w:tcW w:w="1776"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Cita informācija</w:t>
            </w:r>
          </w:p>
        </w:tc>
        <w:tc>
          <w:tcPr>
            <w:tcW w:w="2966" w:type="pct"/>
            <w:tcBorders>
              <w:top w:val="outset" w:sz="6" w:space="0" w:color="414142"/>
              <w:left w:val="outset" w:sz="6" w:space="0" w:color="414142"/>
              <w:bottom w:val="outset" w:sz="6" w:space="0" w:color="414142"/>
            </w:tcBorders>
          </w:tcPr>
          <w:p w:rsidR="00BB78E5" w:rsidRPr="00A35E43" w:rsidRDefault="00BB78E5" w:rsidP="00E729AF">
            <w:pPr>
              <w:spacing w:after="0" w:line="240" w:lineRule="auto"/>
              <w:ind w:left="118"/>
              <w:rPr>
                <w:rFonts w:ascii="Times New Roman" w:hAnsi="Times New Roman"/>
                <w:sz w:val="28"/>
                <w:szCs w:val="28"/>
                <w:lang w:eastAsia="lv-LV"/>
              </w:rPr>
            </w:pPr>
            <w:r w:rsidRPr="00A35E43">
              <w:rPr>
                <w:rFonts w:ascii="Times New Roman" w:hAnsi="Times New Roman"/>
                <w:sz w:val="28"/>
                <w:szCs w:val="28"/>
                <w:lang w:eastAsia="lv-LV"/>
              </w:rPr>
              <w:t>Nav</w:t>
            </w:r>
          </w:p>
        </w:tc>
      </w:tr>
    </w:tbl>
    <w:p w:rsidR="00BB78E5" w:rsidRPr="00AF25BE" w:rsidRDefault="00BB78E5" w:rsidP="00AF25BE">
      <w:pPr>
        <w:shd w:val="clear" w:color="auto" w:fill="FFFFFF"/>
        <w:spacing w:after="0" w:line="240" w:lineRule="auto"/>
        <w:rPr>
          <w:rFonts w:ascii="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5"/>
        <w:gridCol w:w="3255"/>
        <w:gridCol w:w="5409"/>
      </w:tblGrid>
      <w:tr w:rsidR="00BB78E5" w:rsidRPr="00AF25BE" w:rsidTr="00894C55">
        <w:trPr>
          <w:trHeight w:val="300"/>
          <w:jc w:val="center"/>
        </w:trPr>
        <w:tc>
          <w:tcPr>
            <w:tcW w:w="0" w:type="auto"/>
            <w:gridSpan w:val="3"/>
            <w:tcBorders>
              <w:top w:val="outset" w:sz="6" w:space="0" w:color="414142"/>
              <w:bottom w:val="outset" w:sz="6" w:space="0" w:color="414142"/>
            </w:tcBorders>
            <w:vAlign w:val="center"/>
          </w:tcPr>
          <w:p w:rsidR="00BB78E5" w:rsidRPr="00AF25BE" w:rsidRDefault="00BB78E5" w:rsidP="00AF25BE">
            <w:pPr>
              <w:spacing w:after="0" w:line="240" w:lineRule="auto"/>
              <w:jc w:val="center"/>
              <w:rPr>
                <w:rFonts w:ascii="Times New Roman" w:hAnsi="Times New Roman"/>
                <w:b/>
                <w:bCs/>
                <w:sz w:val="28"/>
                <w:szCs w:val="28"/>
                <w:lang w:eastAsia="lv-LV"/>
              </w:rPr>
            </w:pPr>
            <w:r w:rsidRPr="00AF25BE">
              <w:rPr>
                <w:rFonts w:ascii="Times New Roman" w:hAnsi="Times New Roman"/>
                <w:b/>
                <w:bCs/>
                <w:sz w:val="28"/>
                <w:szCs w:val="28"/>
                <w:lang w:eastAsia="lv-LV"/>
              </w:rPr>
              <w:t>VII. Tiesību akta projekta izpildes nodrošināšana un tās ietekme uz institūcijām</w:t>
            </w:r>
          </w:p>
        </w:tc>
      </w:tr>
      <w:tr w:rsidR="00BB78E5" w:rsidRPr="00AF25BE" w:rsidTr="00896EFE">
        <w:trPr>
          <w:trHeight w:val="336"/>
          <w:jc w:val="center"/>
        </w:trPr>
        <w:tc>
          <w:tcPr>
            <w:tcW w:w="249"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1.</w:t>
            </w:r>
          </w:p>
        </w:tc>
        <w:tc>
          <w:tcPr>
            <w:tcW w:w="1785"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Projekta izpildē iesaistītās institūcijas</w:t>
            </w:r>
          </w:p>
        </w:tc>
        <w:tc>
          <w:tcPr>
            <w:tcW w:w="2966"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8" w:right="140"/>
              <w:jc w:val="both"/>
              <w:rPr>
                <w:rFonts w:ascii="Times New Roman" w:hAnsi="Times New Roman"/>
                <w:sz w:val="28"/>
                <w:szCs w:val="28"/>
                <w:lang w:eastAsia="lv-LV"/>
              </w:rPr>
            </w:pPr>
            <w:r w:rsidRPr="00AF25BE">
              <w:rPr>
                <w:rFonts w:ascii="Times New Roman" w:hAnsi="Times New Roman"/>
                <w:sz w:val="28"/>
                <w:szCs w:val="28"/>
                <w:lang w:eastAsia="lv-LV"/>
              </w:rPr>
              <w:t>Kultūras ministrija, Latvijas Nacionālais kultūras centrs.</w:t>
            </w:r>
          </w:p>
        </w:tc>
      </w:tr>
      <w:tr w:rsidR="00BB78E5" w:rsidRPr="00AF25BE" w:rsidTr="00896EFE">
        <w:trPr>
          <w:trHeight w:val="360"/>
          <w:jc w:val="center"/>
        </w:trPr>
        <w:tc>
          <w:tcPr>
            <w:tcW w:w="249"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2.</w:t>
            </w:r>
          </w:p>
        </w:tc>
        <w:tc>
          <w:tcPr>
            <w:tcW w:w="1785" w:type="pct"/>
            <w:tcBorders>
              <w:top w:val="outset" w:sz="6" w:space="0" w:color="414142"/>
              <w:left w:val="outset" w:sz="6" w:space="0" w:color="414142"/>
              <w:bottom w:val="outset" w:sz="6" w:space="0" w:color="414142"/>
              <w:right w:val="outset" w:sz="6" w:space="0" w:color="414142"/>
            </w:tcBorders>
          </w:tcPr>
          <w:p w:rsidR="00E92B45"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Projekta izpildes ietekme uz pārvaldes funkcijām un institucionālo struktūru.</w:t>
            </w:r>
            <w:r w:rsidR="00896EFE" w:rsidRPr="00AF25BE">
              <w:rPr>
                <w:rFonts w:ascii="Times New Roman" w:hAnsi="Times New Roman"/>
                <w:sz w:val="28"/>
                <w:szCs w:val="28"/>
                <w:lang w:eastAsia="lv-LV"/>
              </w:rPr>
              <w:t xml:space="preserve"> </w:t>
            </w:r>
          </w:p>
          <w:p w:rsidR="00E92B45" w:rsidRDefault="00E92B45" w:rsidP="00AF25BE">
            <w:pPr>
              <w:spacing w:after="0" w:line="240" w:lineRule="auto"/>
              <w:rPr>
                <w:rFonts w:ascii="Times New Roman" w:hAnsi="Times New Roman"/>
                <w:sz w:val="28"/>
                <w:szCs w:val="28"/>
                <w:lang w:eastAsia="lv-LV"/>
              </w:rPr>
            </w:pPr>
          </w:p>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Jaunu institūciju izveide, esošu institūciju likvidācija vai reorganizācija, to ietekme uz institūcijas cilvēkresursiem</w:t>
            </w:r>
          </w:p>
        </w:tc>
        <w:tc>
          <w:tcPr>
            <w:tcW w:w="2966" w:type="pct"/>
            <w:tcBorders>
              <w:top w:val="outset" w:sz="6" w:space="0" w:color="414142"/>
              <w:left w:val="outset" w:sz="6" w:space="0" w:color="414142"/>
              <w:bottom w:val="outset" w:sz="6" w:space="0" w:color="414142"/>
            </w:tcBorders>
          </w:tcPr>
          <w:p w:rsidR="00BB78E5" w:rsidRPr="00AF25BE" w:rsidRDefault="00BB78E5" w:rsidP="00E729AF">
            <w:pPr>
              <w:spacing w:after="0" w:line="240" w:lineRule="auto"/>
              <w:ind w:left="118"/>
              <w:rPr>
                <w:rFonts w:ascii="Times New Roman" w:hAnsi="Times New Roman"/>
                <w:sz w:val="28"/>
                <w:szCs w:val="28"/>
                <w:lang w:eastAsia="lv-LV"/>
              </w:rPr>
            </w:pPr>
            <w:r w:rsidRPr="00AF25BE">
              <w:rPr>
                <w:rFonts w:ascii="Times New Roman" w:hAnsi="Times New Roman"/>
                <w:sz w:val="28"/>
                <w:szCs w:val="28"/>
                <w:lang w:eastAsia="lv-LV"/>
              </w:rPr>
              <w:t>Projekts šo jomu neskar.</w:t>
            </w:r>
          </w:p>
        </w:tc>
      </w:tr>
      <w:tr w:rsidR="00BB78E5" w:rsidRPr="00AF25BE" w:rsidTr="00896EFE">
        <w:trPr>
          <w:trHeight w:val="381"/>
          <w:jc w:val="center"/>
        </w:trPr>
        <w:tc>
          <w:tcPr>
            <w:tcW w:w="249" w:type="pct"/>
            <w:tcBorders>
              <w:top w:val="outset" w:sz="6" w:space="0" w:color="414142"/>
              <w:bottom w:val="outset" w:sz="6" w:space="0" w:color="414142"/>
              <w:right w:val="outset" w:sz="6" w:space="0" w:color="414142"/>
            </w:tcBorders>
          </w:tcPr>
          <w:p w:rsidR="00BB78E5" w:rsidRPr="00AF25BE" w:rsidRDefault="00BB78E5" w:rsidP="00AF25BE">
            <w:pPr>
              <w:spacing w:after="0" w:line="240" w:lineRule="auto"/>
              <w:jc w:val="center"/>
              <w:rPr>
                <w:rFonts w:ascii="Times New Roman" w:hAnsi="Times New Roman"/>
                <w:sz w:val="28"/>
                <w:szCs w:val="28"/>
                <w:lang w:eastAsia="lv-LV"/>
              </w:rPr>
            </w:pPr>
            <w:r w:rsidRPr="00AF25BE">
              <w:rPr>
                <w:rFonts w:ascii="Times New Roman" w:hAnsi="Times New Roman"/>
                <w:sz w:val="28"/>
                <w:szCs w:val="28"/>
                <w:lang w:eastAsia="lv-LV"/>
              </w:rPr>
              <w:t>3.</w:t>
            </w:r>
          </w:p>
        </w:tc>
        <w:tc>
          <w:tcPr>
            <w:tcW w:w="1785" w:type="pct"/>
            <w:tcBorders>
              <w:top w:val="outset" w:sz="6" w:space="0" w:color="414142"/>
              <w:left w:val="outset" w:sz="6" w:space="0" w:color="414142"/>
              <w:bottom w:val="outset" w:sz="6" w:space="0" w:color="414142"/>
              <w:right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Cita informācija</w:t>
            </w:r>
          </w:p>
        </w:tc>
        <w:tc>
          <w:tcPr>
            <w:tcW w:w="2966" w:type="pct"/>
            <w:tcBorders>
              <w:top w:val="outset" w:sz="6" w:space="0" w:color="414142"/>
              <w:left w:val="outset" w:sz="6" w:space="0" w:color="414142"/>
              <w:bottom w:val="outset" w:sz="6" w:space="0" w:color="414142"/>
            </w:tcBorders>
          </w:tcPr>
          <w:p w:rsidR="00BB78E5" w:rsidRPr="00AF25BE" w:rsidRDefault="00BB78E5" w:rsidP="00AF25BE">
            <w:pPr>
              <w:spacing w:after="0" w:line="240" w:lineRule="auto"/>
              <w:rPr>
                <w:rFonts w:ascii="Times New Roman" w:hAnsi="Times New Roman"/>
                <w:sz w:val="28"/>
                <w:szCs w:val="28"/>
                <w:lang w:eastAsia="lv-LV"/>
              </w:rPr>
            </w:pPr>
            <w:r w:rsidRPr="00AF25BE">
              <w:rPr>
                <w:rFonts w:ascii="Times New Roman" w:hAnsi="Times New Roman"/>
                <w:sz w:val="28"/>
                <w:szCs w:val="28"/>
                <w:lang w:eastAsia="lv-LV"/>
              </w:rPr>
              <w:t>Nav</w:t>
            </w:r>
          </w:p>
        </w:tc>
      </w:tr>
    </w:tbl>
    <w:p w:rsidR="00BB78E5" w:rsidRDefault="00BB78E5" w:rsidP="00AF25BE">
      <w:pPr>
        <w:tabs>
          <w:tab w:val="left" w:pos="6237"/>
        </w:tabs>
        <w:spacing w:after="0" w:line="240" w:lineRule="auto"/>
        <w:rPr>
          <w:rFonts w:ascii="Times New Roman" w:hAnsi="Times New Roman"/>
          <w:sz w:val="28"/>
          <w:szCs w:val="28"/>
        </w:rPr>
      </w:pPr>
    </w:p>
    <w:p w:rsidR="00E92B45" w:rsidRDefault="00E92B45" w:rsidP="00AF25BE">
      <w:pPr>
        <w:tabs>
          <w:tab w:val="left" w:pos="6804"/>
        </w:tabs>
        <w:spacing w:after="0" w:line="240" w:lineRule="auto"/>
        <w:ind w:left="142"/>
        <w:jc w:val="both"/>
        <w:rPr>
          <w:rFonts w:ascii="Times New Roman" w:eastAsia="Times New Roman" w:hAnsi="Times New Roman"/>
          <w:sz w:val="28"/>
          <w:szCs w:val="28"/>
          <w:lang w:eastAsia="lv-LV"/>
        </w:rPr>
      </w:pPr>
    </w:p>
    <w:p w:rsidR="00A1307C" w:rsidRPr="00AF25BE" w:rsidRDefault="00A1307C" w:rsidP="00AF25BE">
      <w:pPr>
        <w:tabs>
          <w:tab w:val="left" w:pos="6804"/>
        </w:tabs>
        <w:spacing w:after="0" w:line="240" w:lineRule="auto"/>
        <w:ind w:left="142"/>
        <w:jc w:val="both"/>
        <w:rPr>
          <w:rFonts w:ascii="Times New Roman" w:eastAsia="Times New Roman" w:hAnsi="Times New Roman"/>
          <w:sz w:val="28"/>
          <w:szCs w:val="28"/>
          <w:lang w:eastAsia="lv-LV"/>
        </w:rPr>
      </w:pPr>
      <w:r w:rsidRPr="00AF25BE">
        <w:rPr>
          <w:rFonts w:ascii="Times New Roman" w:eastAsia="Times New Roman" w:hAnsi="Times New Roman"/>
          <w:sz w:val="28"/>
          <w:szCs w:val="28"/>
          <w:lang w:eastAsia="lv-LV"/>
        </w:rPr>
        <w:t>Kultūras ministre</w:t>
      </w:r>
      <w:r w:rsidRPr="00AF25BE">
        <w:rPr>
          <w:rFonts w:ascii="Times New Roman" w:eastAsia="Times New Roman" w:hAnsi="Times New Roman"/>
          <w:sz w:val="28"/>
          <w:szCs w:val="28"/>
          <w:lang w:eastAsia="lv-LV"/>
        </w:rPr>
        <w:tab/>
      </w:r>
      <w:r w:rsidRPr="00AF25BE">
        <w:rPr>
          <w:rFonts w:ascii="Times New Roman" w:eastAsia="Times New Roman" w:hAnsi="Times New Roman"/>
          <w:sz w:val="28"/>
          <w:szCs w:val="28"/>
          <w:lang w:eastAsia="lv-LV"/>
        </w:rPr>
        <w:tab/>
        <w:t>D.Melbārde</w:t>
      </w:r>
    </w:p>
    <w:p w:rsidR="00A1307C" w:rsidRPr="00AF25BE" w:rsidRDefault="00A1307C" w:rsidP="00AF25BE">
      <w:pPr>
        <w:tabs>
          <w:tab w:val="left" w:pos="6120"/>
        </w:tabs>
        <w:spacing w:after="0" w:line="240" w:lineRule="auto"/>
        <w:ind w:left="142"/>
        <w:jc w:val="both"/>
        <w:rPr>
          <w:rFonts w:ascii="Times New Roman" w:eastAsia="Times New Roman" w:hAnsi="Times New Roman"/>
          <w:sz w:val="28"/>
          <w:szCs w:val="28"/>
          <w:lang w:eastAsia="lv-LV"/>
        </w:rPr>
      </w:pPr>
      <w:r w:rsidRPr="00AF25BE">
        <w:rPr>
          <w:rFonts w:ascii="Times New Roman" w:eastAsia="Times New Roman" w:hAnsi="Times New Roman"/>
          <w:sz w:val="28"/>
          <w:szCs w:val="28"/>
          <w:lang w:eastAsia="lv-LV"/>
        </w:rPr>
        <w:lastRenderedPageBreak/>
        <w:t>Vīza: Valsts sekretār</w:t>
      </w:r>
      <w:r w:rsidR="005516BA" w:rsidRPr="00AF25BE">
        <w:rPr>
          <w:rFonts w:ascii="Times New Roman" w:eastAsia="Times New Roman" w:hAnsi="Times New Roman"/>
          <w:sz w:val="28"/>
          <w:szCs w:val="28"/>
          <w:lang w:eastAsia="lv-LV"/>
        </w:rPr>
        <w:t>a p.i.</w:t>
      </w:r>
      <w:r w:rsidRPr="00AF25BE">
        <w:rPr>
          <w:rFonts w:ascii="Times New Roman" w:eastAsia="Times New Roman" w:hAnsi="Times New Roman"/>
          <w:sz w:val="28"/>
          <w:szCs w:val="28"/>
          <w:lang w:eastAsia="lv-LV"/>
        </w:rPr>
        <w:t xml:space="preserve"> </w:t>
      </w:r>
      <w:r w:rsidRPr="00AF25BE">
        <w:rPr>
          <w:rFonts w:ascii="Times New Roman" w:eastAsia="Times New Roman" w:hAnsi="Times New Roman"/>
          <w:sz w:val="28"/>
          <w:szCs w:val="28"/>
          <w:lang w:eastAsia="lv-LV"/>
        </w:rPr>
        <w:tab/>
      </w:r>
      <w:r w:rsidRPr="00AF25BE">
        <w:rPr>
          <w:rFonts w:ascii="Times New Roman" w:eastAsia="Times New Roman" w:hAnsi="Times New Roman"/>
          <w:sz w:val="28"/>
          <w:szCs w:val="28"/>
          <w:lang w:eastAsia="lv-LV"/>
        </w:rPr>
        <w:tab/>
      </w:r>
      <w:r w:rsidRPr="00AF25BE">
        <w:rPr>
          <w:rFonts w:ascii="Times New Roman" w:eastAsia="Times New Roman" w:hAnsi="Times New Roman"/>
          <w:sz w:val="28"/>
          <w:szCs w:val="28"/>
          <w:lang w:eastAsia="lv-LV"/>
        </w:rPr>
        <w:tab/>
      </w:r>
      <w:r w:rsidR="005516BA" w:rsidRPr="00AF25BE">
        <w:rPr>
          <w:rFonts w:ascii="Times New Roman" w:eastAsia="Times New Roman" w:hAnsi="Times New Roman"/>
          <w:sz w:val="28"/>
          <w:szCs w:val="28"/>
          <w:lang w:eastAsia="lv-LV"/>
        </w:rPr>
        <w:t>B</w:t>
      </w:r>
      <w:r w:rsidRPr="00AF25BE">
        <w:rPr>
          <w:rFonts w:ascii="Times New Roman" w:eastAsia="Times New Roman" w:hAnsi="Times New Roman"/>
          <w:sz w:val="28"/>
          <w:szCs w:val="28"/>
          <w:lang w:eastAsia="lv-LV"/>
        </w:rPr>
        <w:t>.</w:t>
      </w:r>
      <w:r w:rsidR="005516BA" w:rsidRPr="00AF25BE">
        <w:rPr>
          <w:rFonts w:ascii="Times New Roman" w:eastAsia="Times New Roman" w:hAnsi="Times New Roman"/>
          <w:sz w:val="28"/>
          <w:szCs w:val="28"/>
          <w:lang w:eastAsia="lv-LV"/>
        </w:rPr>
        <w:t>Zakevica</w:t>
      </w:r>
    </w:p>
    <w:p w:rsidR="00896EFE" w:rsidRDefault="00896EFE" w:rsidP="00A1307C">
      <w:pPr>
        <w:spacing w:after="0" w:line="240" w:lineRule="auto"/>
        <w:rPr>
          <w:rFonts w:ascii="Times New Roman" w:eastAsia="Times New Roman" w:hAnsi="Times New Roman"/>
          <w:bCs/>
          <w:sz w:val="20"/>
          <w:szCs w:val="24"/>
          <w:lang w:eastAsia="lv-LV"/>
        </w:rPr>
      </w:pPr>
    </w:p>
    <w:p w:rsidR="00896EFE" w:rsidRDefault="00896EFE"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E729AF" w:rsidRDefault="00E729AF" w:rsidP="00A1307C">
      <w:pPr>
        <w:spacing w:after="0" w:line="240" w:lineRule="auto"/>
        <w:rPr>
          <w:rFonts w:ascii="Times New Roman" w:eastAsia="Times New Roman" w:hAnsi="Times New Roman"/>
          <w:bCs/>
          <w:sz w:val="20"/>
          <w:szCs w:val="24"/>
          <w:lang w:eastAsia="lv-LV"/>
        </w:rPr>
      </w:pPr>
    </w:p>
    <w:p w:rsidR="00896EFE" w:rsidRDefault="00896EFE" w:rsidP="00A1307C">
      <w:pPr>
        <w:spacing w:after="0" w:line="240" w:lineRule="auto"/>
        <w:rPr>
          <w:rFonts w:ascii="Times New Roman" w:eastAsia="Times New Roman" w:hAnsi="Times New Roman"/>
          <w:bCs/>
          <w:sz w:val="20"/>
          <w:szCs w:val="24"/>
          <w:lang w:eastAsia="lv-LV"/>
        </w:rPr>
      </w:pPr>
    </w:p>
    <w:p w:rsidR="00896EFE" w:rsidRDefault="00896EFE" w:rsidP="00A1307C">
      <w:pPr>
        <w:spacing w:after="0" w:line="240" w:lineRule="auto"/>
        <w:rPr>
          <w:rFonts w:ascii="Times New Roman" w:eastAsia="Times New Roman" w:hAnsi="Times New Roman"/>
          <w:bCs/>
          <w:sz w:val="20"/>
          <w:szCs w:val="24"/>
          <w:lang w:eastAsia="lv-LV"/>
        </w:rPr>
      </w:pPr>
    </w:p>
    <w:p w:rsidR="00A1307C" w:rsidRPr="00A1307C" w:rsidRDefault="00A1307C" w:rsidP="00A1307C">
      <w:pPr>
        <w:spacing w:after="0" w:line="240" w:lineRule="auto"/>
        <w:rPr>
          <w:rFonts w:ascii="Times New Roman" w:eastAsia="Times New Roman" w:hAnsi="Times New Roman"/>
          <w:sz w:val="20"/>
          <w:szCs w:val="24"/>
          <w:lang w:eastAsia="lv-LV"/>
        </w:rPr>
      </w:pPr>
      <w:bookmarkStart w:id="5" w:name="OLE_LINK5"/>
      <w:bookmarkStart w:id="6" w:name="OLE_LINK6"/>
      <w:r w:rsidRPr="00A1307C">
        <w:rPr>
          <w:rFonts w:ascii="Times New Roman" w:eastAsia="Times New Roman" w:hAnsi="Times New Roman"/>
          <w:bCs/>
          <w:sz w:val="20"/>
          <w:szCs w:val="24"/>
          <w:lang w:eastAsia="lv-LV"/>
        </w:rPr>
        <w:t>Jaunkalne-Kapustāne</w:t>
      </w:r>
      <w:r w:rsidRPr="00A1307C">
        <w:rPr>
          <w:rFonts w:ascii="Times New Roman" w:eastAsia="Times New Roman" w:hAnsi="Times New Roman"/>
          <w:sz w:val="20"/>
          <w:szCs w:val="24"/>
          <w:lang w:eastAsia="lv-LV"/>
        </w:rPr>
        <w:t xml:space="preserve"> 67228985</w:t>
      </w:r>
    </w:p>
    <w:p w:rsidR="00BB78E5" w:rsidRPr="00A1307C" w:rsidRDefault="00B72B8F" w:rsidP="007F6BB7">
      <w:pPr>
        <w:spacing w:after="0" w:line="240" w:lineRule="auto"/>
        <w:rPr>
          <w:rFonts w:ascii="Times New Roman" w:hAnsi="Times New Roman"/>
          <w:color w:val="2F5496"/>
          <w:sz w:val="20"/>
          <w:szCs w:val="20"/>
        </w:rPr>
      </w:pPr>
      <w:hyperlink r:id="rId7" w:history="1">
        <w:r w:rsidR="007E03AF" w:rsidRPr="003865EB">
          <w:rPr>
            <w:rStyle w:val="Hipersaite"/>
            <w:rFonts w:ascii="Times New Roman" w:eastAsia="Times New Roman" w:hAnsi="Times New Roman"/>
            <w:bCs/>
            <w:sz w:val="20"/>
            <w:szCs w:val="24"/>
            <w:lang w:eastAsia="lv-LV"/>
          </w:rPr>
          <w:t>Dace.Jaunkalne-Kapustane</w:t>
        </w:r>
        <w:r w:rsidR="007E03AF" w:rsidRPr="003865EB">
          <w:rPr>
            <w:rStyle w:val="Hipersaite"/>
            <w:rFonts w:ascii="Times New Roman" w:eastAsia="Times New Roman" w:hAnsi="Times New Roman"/>
            <w:sz w:val="20"/>
            <w:szCs w:val="24"/>
            <w:lang w:eastAsia="lv-LV"/>
          </w:rPr>
          <w:t>@lnkc.gov.lv</w:t>
        </w:r>
      </w:hyperlink>
      <w:bookmarkEnd w:id="5"/>
      <w:bookmarkEnd w:id="6"/>
    </w:p>
    <w:sectPr w:rsidR="00BB78E5" w:rsidRPr="00A1307C" w:rsidSect="00896EFE">
      <w:headerReference w:type="default" r:id="rId8"/>
      <w:footerReference w:type="default" r:id="rId9"/>
      <w:footerReference w:type="first" r:id="rId10"/>
      <w:pgSz w:w="11906" w:h="16838"/>
      <w:pgMar w:top="1418"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D7" w:rsidRDefault="00920AD7" w:rsidP="00894C55">
      <w:pPr>
        <w:spacing w:after="0" w:line="240" w:lineRule="auto"/>
      </w:pPr>
      <w:r>
        <w:separator/>
      </w:r>
    </w:p>
  </w:endnote>
  <w:endnote w:type="continuationSeparator" w:id="0">
    <w:p w:rsidR="00920AD7" w:rsidRDefault="00920AD7"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Pr="00A1307C" w:rsidRDefault="00A1307C">
    <w:pPr>
      <w:pStyle w:val="Kjene"/>
    </w:pPr>
    <w:r w:rsidRPr="00BF7099">
      <w:rPr>
        <w:rFonts w:ascii="Times New Roman" w:hAnsi="Times New Roman"/>
        <w:sz w:val="20"/>
        <w:szCs w:val="20"/>
      </w:rPr>
      <w:t>KMAnot_</w:t>
    </w:r>
    <w:r w:rsidR="00F3144E">
      <w:rPr>
        <w:rFonts w:ascii="Times New Roman" w:hAnsi="Times New Roman"/>
        <w:sz w:val="20"/>
        <w:szCs w:val="20"/>
      </w:rPr>
      <w:t>1</w:t>
    </w:r>
    <w:r w:rsidR="008440EF">
      <w:rPr>
        <w:rFonts w:ascii="Times New Roman" w:hAnsi="Times New Roman"/>
        <w:sz w:val="20"/>
        <w:szCs w:val="20"/>
      </w:rPr>
      <w:t>7</w:t>
    </w:r>
    <w:r w:rsidR="00896EFE">
      <w:rPr>
        <w:rFonts w:ascii="Times New Roman" w:hAnsi="Times New Roman"/>
        <w:sz w:val="20"/>
        <w:szCs w:val="20"/>
      </w:rPr>
      <w:t>0</w:t>
    </w:r>
    <w:r>
      <w:rPr>
        <w:rFonts w:ascii="Times New Roman" w:hAnsi="Times New Roman"/>
        <w:sz w:val="20"/>
        <w:szCs w:val="20"/>
      </w:rPr>
      <w:t>11</w:t>
    </w:r>
    <w:r w:rsidR="00896EFE">
      <w:rPr>
        <w:rFonts w:ascii="Times New Roman" w:hAnsi="Times New Roman"/>
        <w:sz w:val="20"/>
        <w:szCs w:val="20"/>
      </w:rPr>
      <w:t>8</w:t>
    </w:r>
    <w:r w:rsidRPr="00BF7099">
      <w:rPr>
        <w:rFonts w:ascii="Times New Roman" w:hAnsi="Times New Roman"/>
        <w:sz w:val="20"/>
        <w:szCs w:val="20"/>
      </w:rPr>
      <w:t>_</w:t>
    </w:r>
    <w:r>
      <w:rPr>
        <w:rFonts w:ascii="Times New Roman" w:hAnsi="Times New Roman"/>
        <w:sz w:val="20"/>
        <w:szCs w:val="20"/>
      </w:rPr>
      <w:t>DZSV_</w:t>
    </w:r>
    <w:r w:rsidR="00E2124A">
      <w:rPr>
        <w:rFonts w:ascii="Times New Roman" w:hAnsi="Times New Roman"/>
        <w:sz w:val="20"/>
        <w:szCs w:val="20"/>
      </w:rPr>
      <w:t>n</w:t>
    </w:r>
    <w:r>
      <w:rPr>
        <w:rFonts w:ascii="Times New Roman" w:hAnsi="Times New Roman"/>
        <w:sz w:val="20"/>
        <w:szCs w:val="20"/>
      </w:rPr>
      <w:t>orises_vietas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Default="00A1307C">
    <w:pPr>
      <w:pStyle w:val="Kjene"/>
    </w:pPr>
    <w:r w:rsidRPr="00BF7099">
      <w:rPr>
        <w:rFonts w:ascii="Times New Roman" w:hAnsi="Times New Roman"/>
        <w:sz w:val="20"/>
        <w:szCs w:val="20"/>
      </w:rPr>
      <w:t>KMAnot_</w:t>
    </w:r>
    <w:r w:rsidR="00F3144E">
      <w:rPr>
        <w:rFonts w:ascii="Times New Roman" w:hAnsi="Times New Roman"/>
        <w:sz w:val="20"/>
        <w:szCs w:val="20"/>
      </w:rPr>
      <w:t>1</w:t>
    </w:r>
    <w:r w:rsidR="008440EF">
      <w:rPr>
        <w:rFonts w:ascii="Times New Roman" w:hAnsi="Times New Roman"/>
        <w:sz w:val="20"/>
        <w:szCs w:val="20"/>
      </w:rPr>
      <w:t>7</w:t>
    </w:r>
    <w:r w:rsidR="00896EFE">
      <w:rPr>
        <w:rFonts w:ascii="Times New Roman" w:hAnsi="Times New Roman"/>
        <w:sz w:val="20"/>
        <w:szCs w:val="20"/>
      </w:rPr>
      <w:t>0</w:t>
    </w:r>
    <w:r>
      <w:rPr>
        <w:rFonts w:ascii="Times New Roman" w:hAnsi="Times New Roman"/>
        <w:sz w:val="20"/>
        <w:szCs w:val="20"/>
      </w:rPr>
      <w:t>11</w:t>
    </w:r>
    <w:r w:rsidR="00896EFE">
      <w:rPr>
        <w:rFonts w:ascii="Times New Roman" w:hAnsi="Times New Roman"/>
        <w:sz w:val="20"/>
        <w:szCs w:val="20"/>
      </w:rPr>
      <w:t>8</w:t>
    </w:r>
    <w:r w:rsidRPr="00BF7099">
      <w:rPr>
        <w:rFonts w:ascii="Times New Roman" w:hAnsi="Times New Roman"/>
        <w:sz w:val="20"/>
        <w:szCs w:val="20"/>
      </w:rPr>
      <w:t>_</w:t>
    </w:r>
    <w:r>
      <w:rPr>
        <w:rFonts w:ascii="Times New Roman" w:hAnsi="Times New Roman"/>
        <w:sz w:val="20"/>
        <w:szCs w:val="20"/>
      </w:rPr>
      <w:t>DZSV_</w:t>
    </w:r>
    <w:r w:rsidR="00E2124A">
      <w:rPr>
        <w:rFonts w:ascii="Times New Roman" w:hAnsi="Times New Roman"/>
        <w:sz w:val="20"/>
        <w:szCs w:val="20"/>
      </w:rPr>
      <w:t>n</w:t>
    </w:r>
    <w:r>
      <w:rPr>
        <w:rFonts w:ascii="Times New Roman" w:hAnsi="Times New Roman"/>
        <w:sz w:val="20"/>
        <w:szCs w:val="20"/>
      </w:rPr>
      <w:t>orises_vietas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D7" w:rsidRDefault="00920AD7" w:rsidP="00894C55">
      <w:pPr>
        <w:spacing w:after="0" w:line="240" w:lineRule="auto"/>
      </w:pPr>
      <w:r>
        <w:separator/>
      </w:r>
    </w:p>
  </w:footnote>
  <w:footnote w:type="continuationSeparator" w:id="0">
    <w:p w:rsidR="00920AD7" w:rsidRDefault="00920AD7"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Pr="00A1307C" w:rsidRDefault="00B72B8F">
    <w:pPr>
      <w:pStyle w:val="Galvene"/>
      <w:jc w:val="center"/>
      <w:rPr>
        <w:rFonts w:ascii="Times New Roman" w:hAnsi="Times New Roman"/>
      </w:rPr>
    </w:pPr>
    <w:r w:rsidRPr="00A1307C">
      <w:rPr>
        <w:rFonts w:ascii="Times New Roman" w:hAnsi="Times New Roman"/>
      </w:rPr>
      <w:fldChar w:fldCharType="begin"/>
    </w:r>
    <w:r w:rsidR="00A1307C" w:rsidRPr="00A1307C">
      <w:rPr>
        <w:rFonts w:ascii="Times New Roman" w:hAnsi="Times New Roman"/>
      </w:rPr>
      <w:instrText xml:space="preserve"> PAGE   \* MERGEFORMAT </w:instrText>
    </w:r>
    <w:r w:rsidRPr="00A1307C">
      <w:rPr>
        <w:rFonts w:ascii="Times New Roman" w:hAnsi="Times New Roman"/>
      </w:rPr>
      <w:fldChar w:fldCharType="separate"/>
    </w:r>
    <w:r w:rsidR="00EE201A">
      <w:rPr>
        <w:rFonts w:ascii="Times New Roman" w:hAnsi="Times New Roman"/>
        <w:noProof/>
      </w:rPr>
      <w:t>2</w:t>
    </w:r>
    <w:r w:rsidRPr="00A1307C">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894C55"/>
    <w:rsid w:val="0000546C"/>
    <w:rsid w:val="000179E4"/>
    <w:rsid w:val="000430B1"/>
    <w:rsid w:val="000554FC"/>
    <w:rsid w:val="00073DA7"/>
    <w:rsid w:val="000A25B6"/>
    <w:rsid w:val="000B02EC"/>
    <w:rsid w:val="000C0D5E"/>
    <w:rsid w:val="000D5139"/>
    <w:rsid w:val="000D7162"/>
    <w:rsid w:val="00107CD5"/>
    <w:rsid w:val="00123BA0"/>
    <w:rsid w:val="00140B4C"/>
    <w:rsid w:val="001445F4"/>
    <w:rsid w:val="00167096"/>
    <w:rsid w:val="00175459"/>
    <w:rsid w:val="00175829"/>
    <w:rsid w:val="00187A08"/>
    <w:rsid w:val="001A5F6D"/>
    <w:rsid w:val="001C3D5A"/>
    <w:rsid w:val="001C6144"/>
    <w:rsid w:val="001E4628"/>
    <w:rsid w:val="002019A7"/>
    <w:rsid w:val="00204E17"/>
    <w:rsid w:val="00222121"/>
    <w:rsid w:val="0022440A"/>
    <w:rsid w:val="002366D4"/>
    <w:rsid w:val="00243426"/>
    <w:rsid w:val="0026248C"/>
    <w:rsid w:val="00263A09"/>
    <w:rsid w:val="00264004"/>
    <w:rsid w:val="002858B8"/>
    <w:rsid w:val="002D0371"/>
    <w:rsid w:val="002D6B51"/>
    <w:rsid w:val="002F2BE9"/>
    <w:rsid w:val="00314E0D"/>
    <w:rsid w:val="0031734E"/>
    <w:rsid w:val="00326A46"/>
    <w:rsid w:val="00332108"/>
    <w:rsid w:val="00345FAC"/>
    <w:rsid w:val="00352FD7"/>
    <w:rsid w:val="00386D9C"/>
    <w:rsid w:val="003A59B9"/>
    <w:rsid w:val="003B0BF9"/>
    <w:rsid w:val="003B603B"/>
    <w:rsid w:val="003E0791"/>
    <w:rsid w:val="003F28AC"/>
    <w:rsid w:val="00433E6D"/>
    <w:rsid w:val="00436241"/>
    <w:rsid w:val="0043676A"/>
    <w:rsid w:val="004454FE"/>
    <w:rsid w:val="004541D5"/>
    <w:rsid w:val="00455462"/>
    <w:rsid w:val="00471F27"/>
    <w:rsid w:val="004E049B"/>
    <w:rsid w:val="0050178F"/>
    <w:rsid w:val="00521C42"/>
    <w:rsid w:val="00540360"/>
    <w:rsid w:val="0054251C"/>
    <w:rsid w:val="00542BD8"/>
    <w:rsid w:val="005513D6"/>
    <w:rsid w:val="005516BA"/>
    <w:rsid w:val="00556C09"/>
    <w:rsid w:val="005C7AA4"/>
    <w:rsid w:val="005E5B63"/>
    <w:rsid w:val="005F7109"/>
    <w:rsid w:val="00607310"/>
    <w:rsid w:val="0062061D"/>
    <w:rsid w:val="006224F1"/>
    <w:rsid w:val="00627305"/>
    <w:rsid w:val="0063274F"/>
    <w:rsid w:val="00650ECC"/>
    <w:rsid w:val="006A16B7"/>
    <w:rsid w:val="006D4201"/>
    <w:rsid w:val="006E1081"/>
    <w:rsid w:val="006F6531"/>
    <w:rsid w:val="007022A7"/>
    <w:rsid w:val="00720585"/>
    <w:rsid w:val="00743E0D"/>
    <w:rsid w:val="00773408"/>
    <w:rsid w:val="00773AF6"/>
    <w:rsid w:val="00795F71"/>
    <w:rsid w:val="007B3429"/>
    <w:rsid w:val="007B60B4"/>
    <w:rsid w:val="007C510E"/>
    <w:rsid w:val="007D1138"/>
    <w:rsid w:val="007E03AF"/>
    <w:rsid w:val="007E73AB"/>
    <w:rsid w:val="007F52C3"/>
    <w:rsid w:val="007F635C"/>
    <w:rsid w:val="007F6BB7"/>
    <w:rsid w:val="007F70BB"/>
    <w:rsid w:val="00816C11"/>
    <w:rsid w:val="00826783"/>
    <w:rsid w:val="008440EF"/>
    <w:rsid w:val="00867E9B"/>
    <w:rsid w:val="00894C55"/>
    <w:rsid w:val="00896EFE"/>
    <w:rsid w:val="008B7325"/>
    <w:rsid w:val="008C6F6B"/>
    <w:rsid w:val="008F127E"/>
    <w:rsid w:val="00920AD7"/>
    <w:rsid w:val="00921293"/>
    <w:rsid w:val="0095345A"/>
    <w:rsid w:val="009628DC"/>
    <w:rsid w:val="00975B03"/>
    <w:rsid w:val="0098514E"/>
    <w:rsid w:val="009A2654"/>
    <w:rsid w:val="009C2EE1"/>
    <w:rsid w:val="009C3B11"/>
    <w:rsid w:val="00A1307C"/>
    <w:rsid w:val="00A16D92"/>
    <w:rsid w:val="00A302EF"/>
    <w:rsid w:val="00A32204"/>
    <w:rsid w:val="00A34042"/>
    <w:rsid w:val="00A35E43"/>
    <w:rsid w:val="00A360E3"/>
    <w:rsid w:val="00A51F5E"/>
    <w:rsid w:val="00A6073E"/>
    <w:rsid w:val="00A76B00"/>
    <w:rsid w:val="00A95B80"/>
    <w:rsid w:val="00AC5AFF"/>
    <w:rsid w:val="00AE1533"/>
    <w:rsid w:val="00AE231B"/>
    <w:rsid w:val="00AE5567"/>
    <w:rsid w:val="00AF25BE"/>
    <w:rsid w:val="00AF4527"/>
    <w:rsid w:val="00B11FE4"/>
    <w:rsid w:val="00B2165C"/>
    <w:rsid w:val="00B67676"/>
    <w:rsid w:val="00B67B12"/>
    <w:rsid w:val="00B72B8F"/>
    <w:rsid w:val="00B93FA3"/>
    <w:rsid w:val="00BA20AA"/>
    <w:rsid w:val="00BB1356"/>
    <w:rsid w:val="00BB78E5"/>
    <w:rsid w:val="00BC4BE3"/>
    <w:rsid w:val="00BD4425"/>
    <w:rsid w:val="00BE3C3E"/>
    <w:rsid w:val="00BF20FB"/>
    <w:rsid w:val="00BF7099"/>
    <w:rsid w:val="00C17792"/>
    <w:rsid w:val="00C25B49"/>
    <w:rsid w:val="00C77B92"/>
    <w:rsid w:val="00C967CD"/>
    <w:rsid w:val="00CB666A"/>
    <w:rsid w:val="00CC511B"/>
    <w:rsid w:val="00CE243A"/>
    <w:rsid w:val="00CE5657"/>
    <w:rsid w:val="00D03B7F"/>
    <w:rsid w:val="00D03F9F"/>
    <w:rsid w:val="00D041F4"/>
    <w:rsid w:val="00D1224E"/>
    <w:rsid w:val="00D133F8"/>
    <w:rsid w:val="00D14DCC"/>
    <w:rsid w:val="00DB2737"/>
    <w:rsid w:val="00DD19E4"/>
    <w:rsid w:val="00DF60ED"/>
    <w:rsid w:val="00E17622"/>
    <w:rsid w:val="00E17B90"/>
    <w:rsid w:val="00E2124A"/>
    <w:rsid w:val="00E316BB"/>
    <w:rsid w:val="00E34610"/>
    <w:rsid w:val="00E3716B"/>
    <w:rsid w:val="00E41D55"/>
    <w:rsid w:val="00E50144"/>
    <w:rsid w:val="00E522DE"/>
    <w:rsid w:val="00E61791"/>
    <w:rsid w:val="00E62337"/>
    <w:rsid w:val="00E64492"/>
    <w:rsid w:val="00E71AD6"/>
    <w:rsid w:val="00E729AF"/>
    <w:rsid w:val="00E81926"/>
    <w:rsid w:val="00E8232A"/>
    <w:rsid w:val="00E90C01"/>
    <w:rsid w:val="00E92B45"/>
    <w:rsid w:val="00EA486E"/>
    <w:rsid w:val="00ED440A"/>
    <w:rsid w:val="00ED62C1"/>
    <w:rsid w:val="00EE064B"/>
    <w:rsid w:val="00EE201A"/>
    <w:rsid w:val="00F01E1A"/>
    <w:rsid w:val="00F3144E"/>
    <w:rsid w:val="00F327F8"/>
    <w:rsid w:val="00F55434"/>
    <w:rsid w:val="00F564A4"/>
    <w:rsid w:val="00F57B0C"/>
    <w:rsid w:val="00F715E7"/>
    <w:rsid w:val="00F72B4C"/>
    <w:rsid w:val="00F973D5"/>
    <w:rsid w:val="00FD0A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1734E"/>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894C55"/>
    <w:rPr>
      <w:rFonts w:cs="Times New Roman"/>
    </w:rPr>
  </w:style>
  <w:style w:type="character" w:styleId="Hipersaite">
    <w:name w:val="Hyperlink"/>
    <w:uiPriority w:val="99"/>
    <w:rsid w:val="00894C55"/>
    <w:rPr>
      <w:rFonts w:cs="Times New Roman"/>
      <w:color w:val="0000FF"/>
      <w:u w:val="single"/>
    </w:rPr>
  </w:style>
  <w:style w:type="paragraph" w:customStyle="1" w:styleId="tvhtml">
    <w:name w:val="tv_html"/>
    <w:basedOn w:val="Parastais"/>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rsid w:val="00894C55"/>
    <w:pPr>
      <w:tabs>
        <w:tab w:val="center" w:pos="4153"/>
        <w:tab w:val="right" w:pos="8306"/>
      </w:tabs>
      <w:spacing w:after="0" w:line="240" w:lineRule="auto"/>
    </w:pPr>
  </w:style>
  <w:style w:type="character" w:customStyle="1" w:styleId="GalveneRakstz">
    <w:name w:val="Galvene Rakstz."/>
    <w:link w:val="Galvene"/>
    <w:uiPriority w:val="99"/>
    <w:locked/>
    <w:rsid w:val="00894C55"/>
    <w:rPr>
      <w:rFonts w:cs="Times New Roman"/>
    </w:rPr>
  </w:style>
  <w:style w:type="paragraph" w:styleId="Kjene">
    <w:name w:val="footer"/>
    <w:basedOn w:val="Parastais"/>
    <w:link w:val="KjeneRakstz"/>
    <w:uiPriority w:val="99"/>
    <w:rsid w:val="00894C55"/>
    <w:pPr>
      <w:tabs>
        <w:tab w:val="center" w:pos="4153"/>
        <w:tab w:val="right" w:pos="8306"/>
      </w:tabs>
      <w:spacing w:after="0" w:line="240" w:lineRule="auto"/>
    </w:pPr>
  </w:style>
  <w:style w:type="character" w:customStyle="1" w:styleId="KjeneRakstz">
    <w:name w:val="Kājene Rakstz."/>
    <w:link w:val="Kjene"/>
    <w:uiPriority w:val="99"/>
    <w:locked/>
    <w:rsid w:val="00894C55"/>
    <w:rPr>
      <w:rFonts w:cs="Times New Roman"/>
    </w:rPr>
  </w:style>
  <w:style w:type="character" w:styleId="Vietturateksts">
    <w:name w:val="Placeholder Text"/>
    <w:uiPriority w:val="99"/>
    <w:semiHidden/>
    <w:rsid w:val="00E90C01"/>
    <w:rPr>
      <w:rFonts w:cs="Times New Roman"/>
      <w:color w:val="808080"/>
    </w:rPr>
  </w:style>
  <w:style w:type="character" w:styleId="Izmantotahipersaite">
    <w:name w:val="FollowedHyperlink"/>
    <w:uiPriority w:val="99"/>
    <w:semiHidden/>
    <w:rsid w:val="003E0791"/>
    <w:rPr>
      <w:rFonts w:cs="Times New Roman"/>
      <w:color w:val="954F72"/>
      <w:u w:val="single"/>
    </w:rPr>
  </w:style>
  <w:style w:type="paragraph" w:styleId="Balonteksts">
    <w:name w:val="Balloon Text"/>
    <w:basedOn w:val="Parastais"/>
    <w:link w:val="BalontekstsRakstz"/>
    <w:uiPriority w:val="99"/>
    <w:semiHidden/>
    <w:rsid w:val="003F28A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894C55"/>
    <w:rPr>
      <w:rFonts w:cs="Times New Roman"/>
    </w:rPr>
  </w:style>
  <w:style w:type="character" w:styleId="Hyperlink">
    <w:name w:val="Hyperlink"/>
    <w:uiPriority w:val="99"/>
    <w:rsid w:val="00894C55"/>
    <w:rPr>
      <w:rFonts w:cs="Times New Roman"/>
      <w:color w:val="0000FF"/>
      <w:u w:val="single"/>
    </w:rPr>
  </w:style>
  <w:style w:type="paragraph" w:customStyle="1" w:styleId="tvhtml">
    <w:name w:val="tv_html"/>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894C55"/>
    <w:pPr>
      <w:tabs>
        <w:tab w:val="center" w:pos="4153"/>
        <w:tab w:val="right" w:pos="8306"/>
      </w:tabs>
      <w:spacing w:after="0" w:line="240" w:lineRule="auto"/>
    </w:pPr>
  </w:style>
  <w:style w:type="character" w:customStyle="1" w:styleId="HeaderChar">
    <w:name w:val="Header Char"/>
    <w:link w:val="Header"/>
    <w:uiPriority w:val="99"/>
    <w:locked/>
    <w:rsid w:val="00894C55"/>
    <w:rPr>
      <w:rFonts w:cs="Times New Roman"/>
    </w:rPr>
  </w:style>
  <w:style w:type="paragraph" w:styleId="Footer">
    <w:name w:val="footer"/>
    <w:basedOn w:val="Normal"/>
    <w:link w:val="FooterChar"/>
    <w:uiPriority w:val="99"/>
    <w:rsid w:val="00894C55"/>
    <w:pPr>
      <w:tabs>
        <w:tab w:val="center" w:pos="4153"/>
        <w:tab w:val="right" w:pos="8306"/>
      </w:tabs>
      <w:spacing w:after="0" w:line="240" w:lineRule="auto"/>
    </w:pPr>
  </w:style>
  <w:style w:type="character" w:customStyle="1" w:styleId="FooterChar">
    <w:name w:val="Footer Char"/>
    <w:link w:val="Footer"/>
    <w:uiPriority w:val="99"/>
    <w:locked/>
    <w:rsid w:val="00894C55"/>
    <w:rPr>
      <w:rFonts w:cs="Times New Roman"/>
    </w:rPr>
  </w:style>
  <w:style w:type="character" w:styleId="PlaceholderText">
    <w:name w:val="Placeholder Text"/>
    <w:uiPriority w:val="99"/>
    <w:semiHidden/>
    <w:rsid w:val="00E90C01"/>
    <w:rPr>
      <w:rFonts w:cs="Times New Roman"/>
      <w:color w:val="808080"/>
    </w:rPr>
  </w:style>
  <w:style w:type="character" w:styleId="FollowedHyperlink">
    <w:name w:val="FollowedHyperlink"/>
    <w:uiPriority w:val="99"/>
    <w:semiHidden/>
    <w:rsid w:val="003E0791"/>
    <w:rPr>
      <w:rFonts w:cs="Times New Roman"/>
      <w:color w:val="954F72"/>
      <w:u w:val="single"/>
    </w:rPr>
  </w:style>
  <w:style w:type="paragraph" w:styleId="BalloonText">
    <w:name w:val="Balloon Text"/>
    <w:basedOn w:val="Normal"/>
    <w:link w:val="BalloonTextChar"/>
    <w:uiPriority w:val="99"/>
    <w:semiHidden/>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395853">
      <w:marLeft w:val="0"/>
      <w:marRight w:val="0"/>
      <w:marTop w:val="0"/>
      <w:marBottom w:val="0"/>
      <w:divBdr>
        <w:top w:val="none" w:sz="0" w:space="0" w:color="auto"/>
        <w:left w:val="none" w:sz="0" w:space="0" w:color="auto"/>
        <w:bottom w:val="none" w:sz="0" w:space="0" w:color="auto"/>
        <w:right w:val="none" w:sz="0" w:space="0" w:color="auto"/>
      </w:divBdr>
      <w:divsChild>
        <w:div w:id="750395854">
          <w:marLeft w:val="0"/>
          <w:marRight w:val="0"/>
          <w:marTop w:val="400"/>
          <w:marBottom w:val="0"/>
          <w:divBdr>
            <w:top w:val="none" w:sz="0" w:space="0" w:color="auto"/>
            <w:left w:val="none" w:sz="0" w:space="0" w:color="auto"/>
            <w:bottom w:val="none" w:sz="0" w:space="0" w:color="auto"/>
            <w:right w:val="none" w:sz="0" w:space="0" w:color="auto"/>
          </w:divBdr>
        </w:div>
        <w:div w:id="7503958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4F16-1CD5-4EB8-8B4F-13C90251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7225</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XXVI Vispārējo latviešu dziesmu un XVI Deju svētku norises vietām</vt:lpstr>
      <vt:lpstr>Par XXVI Vispārējo latviešu dziesmu un XVI Deju svētku norises vietām</vt:lpstr>
    </vt:vector>
  </TitlesOfParts>
  <Company>LNKC</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XXVI Vispārējo latviešu dziesmu un XVI Deju svētku norises vietām</dc:title>
  <dc:subject>Ministru kabineta rīkojuma projekta sākotnējās ietekmes novērtējuma ziņojums (anotācija)</dc:subject>
  <dc:creator>Dace Jaunkalne-Kapustane</dc:creator>
  <cp:keywords>KMAnot_090118_DZSV_Norises_vietas</cp:keywords>
  <dc:description>Jaunkalne-Kapustāne 67228985
Dace.Jaunkalne-Kapustane@lnkc.gov.lv</dc:description>
  <cp:lastModifiedBy>Dzintra Rozīte</cp:lastModifiedBy>
  <cp:revision>3</cp:revision>
  <cp:lastPrinted>2018-01-03T10:10:00Z</cp:lastPrinted>
  <dcterms:created xsi:type="dcterms:W3CDTF">2018-01-18T12:34:00Z</dcterms:created>
  <dcterms:modified xsi:type="dcterms:W3CDTF">2018-01-22T07:34:00Z</dcterms:modified>
</cp:coreProperties>
</file>