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99" w:rsidRPr="00A60D5D" w:rsidRDefault="00AF7299" w:rsidP="00EA0625">
      <w:pPr>
        <w:spacing w:after="0" w:line="240" w:lineRule="auto"/>
        <w:ind w:right="-1"/>
        <w:jc w:val="center"/>
        <w:rPr>
          <w:rFonts w:ascii="Times New Roman" w:hAnsi="Times New Roman"/>
          <w:b/>
          <w:sz w:val="28"/>
          <w:szCs w:val="28"/>
        </w:rPr>
      </w:pPr>
      <w:bookmarkStart w:id="0" w:name="372832"/>
      <w:bookmarkEnd w:id="0"/>
      <w:r w:rsidRPr="00A60D5D">
        <w:rPr>
          <w:rFonts w:ascii="Times New Roman" w:hAnsi="Times New Roman"/>
          <w:b/>
          <w:color w:val="000000"/>
          <w:sz w:val="28"/>
          <w:szCs w:val="28"/>
        </w:rPr>
        <w:t>Ministru kabineta noteikumu projekta „</w:t>
      </w:r>
      <w:r w:rsidRPr="00A60D5D">
        <w:rPr>
          <w:rFonts w:ascii="Times New Roman" w:hAnsi="Times New Roman"/>
          <w:b/>
          <w:sz w:val="28"/>
          <w:szCs w:val="28"/>
        </w:rPr>
        <w:t xml:space="preserve">Grozījumi </w:t>
      </w:r>
      <w:r w:rsidRPr="00A60D5D">
        <w:rPr>
          <w:rFonts w:ascii="Times New Roman" w:hAnsi="Times New Roman"/>
          <w:b/>
          <w:color w:val="000000"/>
          <w:sz w:val="28"/>
          <w:szCs w:val="28"/>
        </w:rPr>
        <w:t xml:space="preserve">Ministru kabineta </w:t>
      </w:r>
      <w:r w:rsidRPr="00A60D5D">
        <w:rPr>
          <w:rFonts w:ascii="Times New Roman" w:hAnsi="Times New Roman"/>
          <w:b/>
          <w:sz w:val="28"/>
          <w:szCs w:val="28"/>
        </w:rPr>
        <w:t xml:space="preserve">2003.gada 27.maija </w:t>
      </w:r>
      <w:r w:rsidRPr="00A60D5D">
        <w:rPr>
          <w:rFonts w:ascii="Times New Roman" w:hAnsi="Times New Roman"/>
          <w:b/>
          <w:color w:val="000000"/>
          <w:sz w:val="28"/>
          <w:szCs w:val="28"/>
        </w:rPr>
        <w:t xml:space="preserve">noteikumos Nr.272 „Noteikumi par valsts fondēto pensiju shēmas darbību”” </w:t>
      </w:r>
      <w:r w:rsidRPr="00A60D5D">
        <w:rPr>
          <w:rFonts w:ascii="Times New Roman" w:hAnsi="Times New Roman"/>
          <w:b/>
          <w:sz w:val="28"/>
          <w:szCs w:val="28"/>
        </w:rPr>
        <w:t xml:space="preserve">sākotnējās ietekmes novērtējuma ziņojums (anotācija) </w:t>
      </w:r>
    </w:p>
    <w:p w:rsidR="00AF7299" w:rsidRPr="00E01B33" w:rsidRDefault="00AF7299" w:rsidP="00EA0625">
      <w:pPr>
        <w:spacing w:after="0" w:line="240" w:lineRule="auto"/>
        <w:ind w:right="-1"/>
        <w:jc w:val="center"/>
        <w:rPr>
          <w:rFonts w:ascii="Times New Roman" w:hAnsi="Times New Roman"/>
          <w:b/>
          <w:sz w:val="26"/>
          <w:szCs w:val="26"/>
        </w:rPr>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3117"/>
        <w:gridCol w:w="5955"/>
      </w:tblGrid>
      <w:tr w:rsidR="00AF7299" w:rsidRPr="000919C7" w:rsidTr="00236533">
        <w:trPr>
          <w:trHeight w:val="467"/>
        </w:trPr>
        <w:tc>
          <w:tcPr>
            <w:tcW w:w="5000" w:type="pct"/>
            <w:gridSpan w:val="3"/>
            <w:vAlign w:val="center"/>
          </w:tcPr>
          <w:p w:rsidR="00AF7299" w:rsidRPr="00E01B33" w:rsidRDefault="00AF7299" w:rsidP="00236533">
            <w:pPr>
              <w:spacing w:after="0" w:line="240" w:lineRule="auto"/>
              <w:ind w:right="-1"/>
              <w:jc w:val="center"/>
              <w:rPr>
                <w:rFonts w:ascii="Times New Roman" w:hAnsi="Times New Roman"/>
                <w:b/>
                <w:sz w:val="26"/>
                <w:szCs w:val="26"/>
                <w:lang w:eastAsia="lv-LV"/>
              </w:rPr>
            </w:pPr>
            <w:r w:rsidRPr="00E01B33">
              <w:rPr>
                <w:rFonts w:ascii="Times New Roman" w:hAnsi="Times New Roman"/>
                <w:b/>
                <w:sz w:val="26"/>
                <w:szCs w:val="26"/>
                <w:lang w:eastAsia="lv-LV"/>
              </w:rPr>
              <w:t>I. Tiesību akta projekta izstrādes nepieciešamība</w:t>
            </w:r>
          </w:p>
        </w:tc>
      </w:tr>
      <w:tr w:rsidR="00AF7299" w:rsidRPr="000919C7" w:rsidTr="00236533">
        <w:trPr>
          <w:trHeight w:val="94"/>
        </w:trPr>
        <w:tc>
          <w:tcPr>
            <w:tcW w:w="227" w:type="pct"/>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sz w:val="26"/>
                <w:szCs w:val="26"/>
                <w:lang w:eastAsia="lv-LV"/>
              </w:rPr>
              <w:t>1.</w:t>
            </w:r>
          </w:p>
        </w:tc>
        <w:tc>
          <w:tcPr>
            <w:tcW w:w="1640" w:type="pct"/>
          </w:tcPr>
          <w:p w:rsidR="00AF7299" w:rsidRPr="00E01B33" w:rsidRDefault="00AF7299" w:rsidP="00236533">
            <w:pPr>
              <w:spacing w:after="0" w:line="240" w:lineRule="auto"/>
              <w:ind w:left="140" w:right="334"/>
              <w:rPr>
                <w:rFonts w:ascii="Times New Roman" w:hAnsi="Times New Roman"/>
                <w:sz w:val="26"/>
                <w:szCs w:val="26"/>
                <w:lang w:eastAsia="lv-LV"/>
              </w:rPr>
            </w:pPr>
            <w:r w:rsidRPr="00E01B33">
              <w:rPr>
                <w:rFonts w:ascii="Times New Roman" w:hAnsi="Times New Roman"/>
                <w:sz w:val="26"/>
                <w:szCs w:val="26"/>
                <w:lang w:eastAsia="lv-LV"/>
              </w:rPr>
              <w:t>Pamatojums</w:t>
            </w:r>
          </w:p>
        </w:tc>
        <w:tc>
          <w:tcPr>
            <w:tcW w:w="3133" w:type="pct"/>
          </w:tcPr>
          <w:p w:rsidR="00AF7299" w:rsidRPr="000919C7" w:rsidRDefault="00AF7299" w:rsidP="00236533">
            <w:pPr>
              <w:spacing w:after="0" w:line="240" w:lineRule="auto"/>
              <w:ind w:left="96" w:right="120"/>
              <w:jc w:val="both"/>
              <w:rPr>
                <w:rFonts w:ascii="Times New Roman" w:hAnsi="Times New Roman"/>
                <w:sz w:val="26"/>
                <w:szCs w:val="26"/>
              </w:rPr>
            </w:pPr>
            <w:r w:rsidRPr="000919C7">
              <w:rPr>
                <w:rFonts w:ascii="Times New Roman" w:hAnsi="Times New Roman"/>
                <w:sz w:val="26"/>
                <w:szCs w:val="26"/>
              </w:rPr>
              <w:t xml:space="preserve">2017.gada 22.novembrī Saeimā pieņemtie grozījumi </w:t>
            </w:r>
            <w:r>
              <w:rPr>
                <w:rFonts w:ascii="Times New Roman" w:hAnsi="Times New Roman"/>
                <w:bCs/>
                <w:sz w:val="26"/>
                <w:szCs w:val="26"/>
                <w:shd w:val="clear" w:color="auto" w:fill="FFFFFF"/>
              </w:rPr>
              <w:t>Valsts fondēto pensiju likumā</w:t>
            </w:r>
            <w:r w:rsidRPr="00E01B33">
              <w:rPr>
                <w:rFonts w:ascii="Times New Roman" w:hAnsi="Times New Roman"/>
                <w:bCs/>
                <w:sz w:val="26"/>
                <w:szCs w:val="26"/>
                <w:shd w:val="clear" w:color="auto" w:fill="FFFFFF"/>
              </w:rPr>
              <w:t xml:space="preserve"> </w:t>
            </w:r>
            <w:r w:rsidRPr="000919C7">
              <w:rPr>
                <w:rFonts w:ascii="Times New Roman" w:hAnsi="Times New Roman"/>
                <w:sz w:val="26"/>
                <w:szCs w:val="26"/>
              </w:rPr>
              <w:t xml:space="preserve">(turpmāk – likums). </w:t>
            </w:r>
          </w:p>
          <w:p w:rsidR="00AF7299" w:rsidRPr="00E01B33" w:rsidRDefault="00AF7299" w:rsidP="008C08DA">
            <w:pPr>
              <w:spacing w:after="0" w:line="240" w:lineRule="auto"/>
              <w:ind w:left="96" w:right="12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2017.gada 28.jūlijā Saeimā pieņemtie grozījumi Solidaritātes nodokļa likumā.</w:t>
            </w:r>
          </w:p>
        </w:tc>
      </w:tr>
      <w:tr w:rsidR="00AF7299" w:rsidRPr="000919C7" w:rsidTr="00236533">
        <w:tblPrEx>
          <w:tblCellMar>
            <w:left w:w="108" w:type="dxa"/>
            <w:right w:w="108" w:type="dxa"/>
          </w:tblCellMar>
        </w:tblPrEx>
        <w:trPr>
          <w:trHeight w:val="90"/>
        </w:trPr>
        <w:tc>
          <w:tcPr>
            <w:tcW w:w="227" w:type="pct"/>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sz w:val="26"/>
                <w:szCs w:val="26"/>
                <w:lang w:eastAsia="lv-LV"/>
              </w:rPr>
              <w:t>2.</w:t>
            </w:r>
          </w:p>
        </w:tc>
        <w:tc>
          <w:tcPr>
            <w:tcW w:w="1640" w:type="pct"/>
          </w:tcPr>
          <w:p w:rsidR="00AF7299" w:rsidRPr="00E01B33" w:rsidRDefault="00AF7299" w:rsidP="00236533">
            <w:pPr>
              <w:tabs>
                <w:tab w:val="left" w:pos="170"/>
              </w:tabs>
              <w:spacing w:after="0" w:line="240" w:lineRule="auto"/>
              <w:ind w:left="140" w:right="193"/>
              <w:jc w:val="both"/>
              <w:rPr>
                <w:rFonts w:ascii="Times New Roman" w:hAnsi="Times New Roman"/>
                <w:sz w:val="26"/>
                <w:szCs w:val="26"/>
                <w:lang w:eastAsia="lv-LV"/>
              </w:rPr>
            </w:pPr>
            <w:r w:rsidRPr="00E01B33">
              <w:rPr>
                <w:rFonts w:ascii="Times New Roman" w:hAnsi="Times New Roman"/>
                <w:sz w:val="26"/>
                <w:szCs w:val="26"/>
                <w:lang w:eastAsia="lv-LV"/>
              </w:rPr>
              <w:t>Pašreizējā situācija un problēmas, kuru risināšanai tiesību akta projekts izstrādāts, tiesiskā regulējuma mērķis un būtība</w:t>
            </w:r>
          </w:p>
          <w:p w:rsidR="00AF7299" w:rsidRPr="00E01B33" w:rsidRDefault="00AF7299" w:rsidP="00236533">
            <w:pPr>
              <w:rPr>
                <w:lang w:eastAsia="lv-LV"/>
              </w:rPr>
            </w:pPr>
          </w:p>
          <w:p w:rsidR="00AF7299" w:rsidRPr="00E01B33" w:rsidRDefault="00AF7299" w:rsidP="00236533">
            <w:pPr>
              <w:rPr>
                <w:lang w:eastAsia="lv-LV"/>
              </w:rPr>
            </w:pPr>
          </w:p>
          <w:p w:rsidR="00AF7299" w:rsidRPr="00E01B33" w:rsidRDefault="00AF7299" w:rsidP="00236533">
            <w:pPr>
              <w:rPr>
                <w:lang w:eastAsia="lv-LV"/>
              </w:rPr>
            </w:pPr>
          </w:p>
          <w:p w:rsidR="00AF7299" w:rsidRPr="00E01B33" w:rsidRDefault="00AF7299" w:rsidP="00236533">
            <w:pPr>
              <w:rPr>
                <w:lang w:eastAsia="lv-LV"/>
              </w:rPr>
            </w:pPr>
          </w:p>
          <w:p w:rsidR="00AF7299" w:rsidRPr="00E01B33" w:rsidRDefault="00AF7299" w:rsidP="00236533">
            <w:pPr>
              <w:jc w:val="center"/>
              <w:rPr>
                <w:lang w:eastAsia="lv-LV"/>
              </w:rPr>
            </w:pPr>
          </w:p>
        </w:tc>
        <w:tc>
          <w:tcPr>
            <w:tcW w:w="3133" w:type="pct"/>
          </w:tcPr>
          <w:p w:rsidR="00AF7299" w:rsidRPr="000919C7" w:rsidRDefault="00AF7299" w:rsidP="00236533">
            <w:pPr>
              <w:pStyle w:val="naisf"/>
              <w:spacing w:before="0" w:beforeAutospacing="0" w:after="0" w:afterAutospacing="0"/>
              <w:ind w:firstLine="312"/>
              <w:jc w:val="both"/>
              <w:rPr>
                <w:sz w:val="26"/>
                <w:szCs w:val="26"/>
              </w:rPr>
            </w:pPr>
            <w:r w:rsidRPr="000919C7">
              <w:rPr>
                <w:sz w:val="26"/>
                <w:szCs w:val="26"/>
              </w:rPr>
              <w:t xml:space="preserve">Ministru kabineta noteikumu projekta „Grozījumi Ministru kabineta 2003.gada 27.maija noteikumos Nr.272 „Noteikumi par valsts fondēto pensiju shēmas darbību”” (turpmāk – Noteikumu projekts) mērķis ir aktualizēt Ministru kabineta 2003.gada 27.maija noteikumus Nr.272 „Noteikumi par valsts fondēto pensiju shēmas darbību” (turpmāk – MK noteikumi) atbilstoši likuma un Solidaritātes nodokļa likuma izmaiņām, kas stājās spēkā no 2018.gada 1.janvāra, kā arī veikt vairākus tehniskus precizējumus. </w:t>
            </w:r>
          </w:p>
          <w:p w:rsidR="00AF7299" w:rsidRPr="000919C7" w:rsidRDefault="00AF7299" w:rsidP="00236533">
            <w:pPr>
              <w:spacing w:after="0" w:line="240" w:lineRule="auto"/>
              <w:ind w:firstLine="317"/>
              <w:jc w:val="both"/>
              <w:rPr>
                <w:rFonts w:ascii="Times New Roman" w:hAnsi="Times New Roman"/>
                <w:sz w:val="26"/>
                <w:szCs w:val="26"/>
              </w:rPr>
            </w:pPr>
            <w:r w:rsidRPr="000919C7">
              <w:rPr>
                <w:rFonts w:ascii="Times New Roman" w:hAnsi="Times New Roman"/>
                <w:sz w:val="26"/>
                <w:szCs w:val="26"/>
              </w:rPr>
              <w:t xml:space="preserve">Lai popularizētu valsts fondēto pensiju shēmas (turpmāk - VFPS) darbību un veicinātu personu brīvprātīgu pieteikšanos dalībai VFPS, 2008.gadā MK noteikumi tika papildināti ar </w:t>
            </w:r>
            <w:r w:rsidRPr="000919C7">
              <w:rPr>
                <w:rFonts w:ascii="Times New Roman" w:hAnsi="Times New Roman"/>
                <w:color w:val="414142"/>
                <w:sz w:val="26"/>
                <w:szCs w:val="26"/>
              </w:rPr>
              <w:t>8.</w:t>
            </w:r>
            <w:r w:rsidRPr="000919C7">
              <w:rPr>
                <w:rFonts w:ascii="Times New Roman" w:hAnsi="Times New Roman"/>
                <w:color w:val="414142"/>
                <w:sz w:val="26"/>
                <w:szCs w:val="26"/>
                <w:vertAlign w:val="superscript"/>
              </w:rPr>
              <w:t>1</w:t>
            </w:r>
            <w:r w:rsidRPr="000919C7">
              <w:rPr>
                <w:rFonts w:ascii="Times New Roman" w:hAnsi="Times New Roman"/>
                <w:color w:val="414142"/>
                <w:sz w:val="26"/>
                <w:szCs w:val="26"/>
              </w:rPr>
              <w:t> un 8.</w:t>
            </w:r>
            <w:r w:rsidRPr="000919C7">
              <w:rPr>
                <w:rFonts w:ascii="Times New Roman" w:hAnsi="Times New Roman"/>
                <w:color w:val="414142"/>
                <w:sz w:val="26"/>
                <w:szCs w:val="26"/>
                <w:vertAlign w:val="superscript"/>
              </w:rPr>
              <w:t>2</w:t>
            </w:r>
            <w:r w:rsidRPr="000919C7">
              <w:rPr>
                <w:rFonts w:ascii="Times New Roman" w:hAnsi="Times New Roman"/>
                <w:color w:val="414142"/>
                <w:sz w:val="26"/>
                <w:szCs w:val="26"/>
              </w:rPr>
              <w:t xml:space="preserve"> punktu, kas nosaka, ka iesniegumu par līdzekļu pārvaldītāja un ieguldījumu plāna izvēli vai maiņu personas ir tiesīgas iesniegt Valsts sociālās apdrošināšanas aģentūrā (turpmāk - VSAA) arī ar Latvijas Republikā reģistrētas bankas vai Eiropas Savienības vai Eiropas Ekonomikas zonas valstī (turpmāk – dalībvalsts) reģistrētas bankas filiāles Latvijā (turpmāk - banka) starpniecību, ja attiecīgā banka ar VSAA ir noslēgusi līgumu par šāda pakalpojuma sniegšanu. </w:t>
            </w:r>
            <w:r w:rsidRPr="000919C7">
              <w:rPr>
                <w:rFonts w:ascii="Times New Roman" w:hAnsi="Times New Roman"/>
                <w:sz w:val="26"/>
                <w:szCs w:val="26"/>
              </w:rPr>
              <w:t>VSAA tika noslēgusi līgumus ar astoņām bankām par sadarbību– VFPS dalībnieku iesniegumu reģistrācijas nodrošināšanā. Sākotnējie sadarbības mērķi- atvieglot VSAA pakalpojumu pieejamību klientiem, popularizēt VFPS darbību un veicināt personu brīvprātīgu pieteikšanos dalībai VFPS ir daļēji zaudējuši aktualitāti: personas, kurām bija tiesības brīvprātīgi pievienoties VFPS (s</w:t>
            </w:r>
            <w:r w:rsidRPr="000919C7">
              <w:rPr>
                <w:rFonts w:ascii="Times New Roman" w:hAnsi="Times New Roman"/>
                <w:sz w:val="26"/>
                <w:szCs w:val="26"/>
                <w:lang w:eastAsia="lv-LV"/>
              </w:rPr>
              <w:t>askaņā ar likuma 3.panta pirmo un otro daļu tiem sociālās apdrošināšanas iemaksu veicējiem, kas dzimuši pēc 1971.gada 1.jūlija, līdzdalība VFPS ir noteikta obligāta, savukārt tiem, kas dzimuši no 1951.gada 2.jūlija līdz 1971.gada 1.jūlijam (ieskaitot), - brīvprātīga)</w:t>
            </w:r>
            <w:r w:rsidRPr="000919C7">
              <w:rPr>
                <w:rFonts w:ascii="Times New Roman" w:hAnsi="Times New Roman"/>
                <w:sz w:val="26"/>
                <w:szCs w:val="26"/>
              </w:rPr>
              <w:t xml:space="preserve">, savu izvēli jau ir </w:t>
            </w:r>
            <w:r w:rsidRPr="000919C7">
              <w:rPr>
                <w:rFonts w:ascii="Times New Roman" w:hAnsi="Times New Roman"/>
                <w:sz w:val="26"/>
                <w:szCs w:val="26"/>
              </w:rPr>
              <w:lastRenderedPageBreak/>
              <w:t xml:space="preserve">izdarījušas, personām ir iespējas izmantot elektronisko pakalpojumu iesniegumu iesniegšanai VSAA portālā </w:t>
            </w:r>
            <w:proofErr w:type="spellStart"/>
            <w:r w:rsidRPr="000919C7">
              <w:rPr>
                <w:rFonts w:ascii="Times New Roman" w:hAnsi="Times New Roman"/>
                <w:i/>
                <w:iCs/>
                <w:sz w:val="26"/>
                <w:szCs w:val="26"/>
              </w:rPr>
              <w:t>latvija.lv</w:t>
            </w:r>
            <w:proofErr w:type="spellEnd"/>
            <w:r w:rsidRPr="000919C7">
              <w:rPr>
                <w:rFonts w:ascii="Times New Roman" w:hAnsi="Times New Roman"/>
                <w:sz w:val="26"/>
                <w:szCs w:val="26"/>
              </w:rPr>
              <w:t xml:space="preserve">. Tāpat ir izveidota interneta vietne </w:t>
            </w:r>
            <w:proofErr w:type="spellStart"/>
            <w:r w:rsidRPr="000919C7">
              <w:rPr>
                <w:rFonts w:ascii="Times New Roman" w:hAnsi="Times New Roman"/>
                <w:i/>
                <w:iCs/>
                <w:sz w:val="26"/>
                <w:szCs w:val="26"/>
              </w:rPr>
              <w:t>manapensija.lv</w:t>
            </w:r>
            <w:proofErr w:type="spellEnd"/>
            <w:r w:rsidRPr="000919C7">
              <w:rPr>
                <w:rFonts w:ascii="Times New Roman" w:hAnsi="Times New Roman"/>
                <w:sz w:val="26"/>
                <w:szCs w:val="26"/>
              </w:rPr>
              <w:t>, kurā interesenti var iepazīties ar detalizētu informāciju par jebkuru ieguldījumu plānu un veikt to savstarpēju salīdzināšanu.</w:t>
            </w:r>
          </w:p>
          <w:p w:rsidR="00AF7299" w:rsidRPr="000919C7" w:rsidRDefault="00AF7299" w:rsidP="00236533">
            <w:pPr>
              <w:spacing w:after="0" w:line="240" w:lineRule="auto"/>
              <w:ind w:firstLine="317"/>
              <w:jc w:val="both"/>
              <w:rPr>
                <w:rFonts w:ascii="Times New Roman" w:hAnsi="Times New Roman"/>
                <w:sz w:val="26"/>
                <w:szCs w:val="26"/>
              </w:rPr>
            </w:pPr>
            <w:r w:rsidRPr="000919C7">
              <w:rPr>
                <w:rFonts w:ascii="Times New Roman" w:hAnsi="Times New Roman"/>
                <w:sz w:val="26"/>
                <w:szCs w:val="26"/>
              </w:rPr>
              <w:t>Novērtējot pozitīvo, ko devusi sadarbība ar bankām, parādās arī negatīvi aspekti:</w:t>
            </w:r>
          </w:p>
          <w:p w:rsidR="00AF7299" w:rsidRPr="000919C7" w:rsidRDefault="00AF7299" w:rsidP="00236533">
            <w:pPr>
              <w:spacing w:after="0" w:line="240" w:lineRule="auto"/>
              <w:ind w:left="176"/>
              <w:jc w:val="both"/>
              <w:rPr>
                <w:rFonts w:ascii="Times New Roman" w:hAnsi="Times New Roman"/>
                <w:sz w:val="26"/>
                <w:szCs w:val="26"/>
              </w:rPr>
            </w:pPr>
            <w:r w:rsidRPr="000919C7">
              <w:rPr>
                <w:rFonts w:ascii="Times New Roman" w:hAnsi="Times New Roman"/>
                <w:sz w:val="26"/>
                <w:szCs w:val="26"/>
              </w:rPr>
              <w:t>- sabiedrība arvien vairāk VFPS darbību asociē ar bankas pakalpojumiem</w:t>
            </w:r>
            <w:proofErr w:type="gramStart"/>
            <w:r w:rsidRPr="000919C7">
              <w:rPr>
                <w:rFonts w:ascii="Times New Roman" w:hAnsi="Times New Roman"/>
                <w:sz w:val="26"/>
                <w:szCs w:val="26"/>
              </w:rPr>
              <w:t xml:space="preserve"> nevis</w:t>
            </w:r>
            <w:proofErr w:type="gramEnd"/>
            <w:r w:rsidRPr="000919C7">
              <w:rPr>
                <w:rFonts w:ascii="Times New Roman" w:hAnsi="Times New Roman"/>
                <w:sz w:val="26"/>
                <w:szCs w:val="26"/>
              </w:rPr>
              <w:t xml:space="preserve"> valsts publiskajiem pakalpojumiem; </w:t>
            </w:r>
          </w:p>
          <w:p w:rsidR="00AF7299" w:rsidRPr="000919C7" w:rsidRDefault="00AF7299" w:rsidP="00236533">
            <w:pPr>
              <w:spacing w:after="0" w:line="240" w:lineRule="auto"/>
              <w:ind w:left="176"/>
              <w:jc w:val="both"/>
              <w:rPr>
                <w:rFonts w:ascii="Times New Roman" w:hAnsi="Times New Roman"/>
                <w:sz w:val="26"/>
                <w:szCs w:val="26"/>
              </w:rPr>
            </w:pPr>
            <w:r w:rsidRPr="000919C7">
              <w:rPr>
                <w:rFonts w:ascii="Times New Roman" w:hAnsi="Times New Roman"/>
                <w:sz w:val="26"/>
                <w:szCs w:val="26"/>
              </w:rPr>
              <w:t xml:space="preserve">- VFPS darbībā iesaistoties jauniem līdzekļu pārvaldītājiem, kas nav meitas uzņēmumi bankām </w:t>
            </w:r>
            <w:r w:rsidRPr="000919C7">
              <w:rPr>
                <w:rFonts w:ascii="Times New Roman" w:hAnsi="Times New Roman"/>
                <w:i/>
                <w:iCs/>
                <w:sz w:val="26"/>
                <w:szCs w:val="26"/>
              </w:rPr>
              <w:t xml:space="preserve">(šobrīd “INVL </w:t>
            </w:r>
            <w:proofErr w:type="spellStart"/>
            <w:r w:rsidRPr="000919C7">
              <w:rPr>
                <w:rFonts w:ascii="Times New Roman" w:hAnsi="Times New Roman"/>
                <w:i/>
                <w:iCs/>
                <w:sz w:val="26"/>
                <w:szCs w:val="26"/>
              </w:rPr>
              <w:t>Asset</w:t>
            </w:r>
            <w:proofErr w:type="spellEnd"/>
            <w:r w:rsidRPr="000919C7">
              <w:rPr>
                <w:rFonts w:ascii="Times New Roman" w:hAnsi="Times New Roman"/>
                <w:i/>
                <w:iCs/>
                <w:sz w:val="26"/>
                <w:szCs w:val="26"/>
              </w:rPr>
              <w:t xml:space="preserve"> </w:t>
            </w:r>
            <w:proofErr w:type="spellStart"/>
            <w:r w:rsidRPr="000919C7">
              <w:rPr>
                <w:rFonts w:ascii="Times New Roman" w:hAnsi="Times New Roman"/>
                <w:i/>
                <w:iCs/>
                <w:sz w:val="26"/>
                <w:szCs w:val="26"/>
              </w:rPr>
              <w:t>Management</w:t>
            </w:r>
            <w:proofErr w:type="spellEnd"/>
            <w:r w:rsidRPr="000919C7">
              <w:rPr>
                <w:rFonts w:ascii="Times New Roman" w:hAnsi="Times New Roman"/>
                <w:i/>
                <w:iCs/>
                <w:sz w:val="26"/>
                <w:szCs w:val="26"/>
              </w:rPr>
              <w:t xml:space="preserve">” un </w:t>
            </w:r>
            <w:proofErr w:type="spellStart"/>
            <w:r w:rsidRPr="000919C7">
              <w:rPr>
                <w:rFonts w:ascii="Times New Roman" w:hAnsi="Times New Roman"/>
                <w:i/>
                <w:iCs/>
                <w:sz w:val="26"/>
                <w:szCs w:val="26"/>
              </w:rPr>
              <w:t>IPAS“Indexo</w:t>
            </w:r>
            <w:proofErr w:type="spellEnd"/>
            <w:r w:rsidRPr="000919C7">
              <w:rPr>
                <w:rFonts w:ascii="Times New Roman" w:hAnsi="Times New Roman"/>
                <w:i/>
                <w:iCs/>
                <w:sz w:val="26"/>
                <w:szCs w:val="26"/>
              </w:rPr>
              <w:t>”)</w:t>
            </w:r>
            <w:r w:rsidRPr="000919C7">
              <w:rPr>
                <w:rFonts w:ascii="Times New Roman" w:hAnsi="Times New Roman"/>
                <w:sz w:val="26"/>
                <w:szCs w:val="26"/>
              </w:rPr>
              <w:t>, tiem nav vienlīdzīgu iespēju jaunu VPFS dalībnieku piesaistīšanā;</w:t>
            </w:r>
          </w:p>
          <w:p w:rsidR="00AF7299" w:rsidRPr="000919C7" w:rsidRDefault="00AF7299" w:rsidP="00236533">
            <w:pPr>
              <w:spacing w:after="0" w:line="240" w:lineRule="auto"/>
              <w:ind w:left="176"/>
              <w:jc w:val="both"/>
              <w:rPr>
                <w:rFonts w:ascii="Times New Roman" w:hAnsi="Times New Roman"/>
                <w:sz w:val="26"/>
                <w:szCs w:val="26"/>
              </w:rPr>
            </w:pPr>
            <w:r w:rsidRPr="000919C7">
              <w:rPr>
                <w:rFonts w:ascii="Times New Roman" w:hAnsi="Times New Roman"/>
                <w:sz w:val="26"/>
                <w:szCs w:val="26"/>
              </w:rPr>
              <w:t>– klientam klātienē vēršoties bankā pēc jebkāda pakalpojuma, nereti bankas darbinieki izmanto iespēju piedāvāt klientam izvēlēties arī VFPS pakalpojumus</w:t>
            </w:r>
            <w:proofErr w:type="gramStart"/>
            <w:r w:rsidRPr="000919C7">
              <w:rPr>
                <w:rFonts w:ascii="Times New Roman" w:hAnsi="Times New Roman"/>
                <w:sz w:val="26"/>
                <w:szCs w:val="26"/>
              </w:rPr>
              <w:t xml:space="preserve"> un</w:t>
            </w:r>
            <w:proofErr w:type="gramEnd"/>
            <w:r w:rsidRPr="000919C7">
              <w:rPr>
                <w:rFonts w:ascii="Times New Roman" w:hAnsi="Times New Roman"/>
                <w:sz w:val="26"/>
                <w:szCs w:val="26"/>
              </w:rPr>
              <w:t xml:space="preserve"> netieši ietekmējot personas izvēli;</w:t>
            </w:r>
          </w:p>
          <w:p w:rsidR="00AF7299" w:rsidRPr="000919C7" w:rsidRDefault="00AF7299" w:rsidP="00236533">
            <w:pPr>
              <w:spacing w:after="0" w:line="240" w:lineRule="auto"/>
              <w:ind w:left="176"/>
              <w:jc w:val="both"/>
              <w:rPr>
                <w:rFonts w:ascii="Times New Roman" w:hAnsi="Times New Roman"/>
                <w:sz w:val="26"/>
                <w:szCs w:val="26"/>
              </w:rPr>
            </w:pPr>
            <w:r w:rsidRPr="000919C7">
              <w:rPr>
                <w:rFonts w:ascii="Times New Roman" w:hAnsi="Times New Roman"/>
                <w:sz w:val="26"/>
                <w:szCs w:val="26"/>
              </w:rPr>
              <w:t xml:space="preserve">- </w:t>
            </w:r>
            <w:r>
              <w:rPr>
                <w:rFonts w:ascii="Times New Roman" w:hAnsi="Times New Roman"/>
                <w:sz w:val="26"/>
                <w:szCs w:val="26"/>
              </w:rPr>
              <w:t>48</w:t>
            </w:r>
            <w:r w:rsidRPr="000919C7">
              <w:rPr>
                <w:rFonts w:ascii="Times New Roman" w:hAnsi="Times New Roman"/>
                <w:sz w:val="26"/>
                <w:szCs w:val="26"/>
              </w:rPr>
              <w:t xml:space="preserve"> procentos gadījumu VFPS dalībnieku iesniegumi, kas VSAA saņemti ar banku starpniecību 201</w:t>
            </w:r>
            <w:r>
              <w:rPr>
                <w:rFonts w:ascii="Times New Roman" w:hAnsi="Times New Roman"/>
                <w:sz w:val="26"/>
                <w:szCs w:val="26"/>
              </w:rPr>
              <w:t>7</w:t>
            </w:r>
            <w:r w:rsidRPr="000919C7">
              <w:rPr>
                <w:rFonts w:ascii="Times New Roman" w:hAnsi="Times New Roman"/>
                <w:sz w:val="26"/>
                <w:szCs w:val="26"/>
              </w:rPr>
              <w:t>. gadā, ir nepamatoti un ir atteikti, jo izvēlētais ieguldījumu plāns sakritis ar jau dalībniekam reģistrēto ieguldījumu plānu;</w:t>
            </w:r>
          </w:p>
          <w:p w:rsidR="00AF7299" w:rsidRPr="000919C7" w:rsidRDefault="00AF7299" w:rsidP="00236533">
            <w:pPr>
              <w:spacing w:after="0" w:line="240" w:lineRule="auto"/>
              <w:ind w:left="176"/>
              <w:jc w:val="both"/>
              <w:rPr>
                <w:rFonts w:ascii="Times New Roman" w:hAnsi="Times New Roman"/>
                <w:sz w:val="26"/>
                <w:szCs w:val="26"/>
              </w:rPr>
            </w:pPr>
            <w:r w:rsidRPr="000919C7">
              <w:rPr>
                <w:rFonts w:ascii="Times New Roman" w:hAnsi="Times New Roman"/>
                <w:sz w:val="26"/>
                <w:szCs w:val="26"/>
              </w:rPr>
              <w:t xml:space="preserve">- procesa nepilnību dēļ dalībniekiem netiek nodrošināta atbilde par iesnieguma izpildi vai atteikumu.  </w:t>
            </w:r>
          </w:p>
          <w:p w:rsidR="00AF7299" w:rsidRPr="001263D1" w:rsidRDefault="00AF7299" w:rsidP="00236533">
            <w:pPr>
              <w:spacing w:after="0" w:line="240" w:lineRule="auto"/>
              <w:ind w:firstLine="317"/>
              <w:jc w:val="both"/>
              <w:rPr>
                <w:rFonts w:ascii="Times New Roman" w:hAnsi="Times New Roman"/>
                <w:sz w:val="26"/>
                <w:szCs w:val="26"/>
              </w:rPr>
            </w:pPr>
            <w:r w:rsidRPr="001263D1">
              <w:rPr>
                <w:rFonts w:ascii="Times New Roman" w:hAnsi="Times New Roman"/>
                <w:sz w:val="26"/>
                <w:szCs w:val="26"/>
              </w:rPr>
              <w:t>VSAA izbeidza līgumus ar bankām par VFPS iesniegumu pieņemšanu 2017. gada 31. decembrī.</w:t>
            </w:r>
          </w:p>
          <w:p w:rsidR="00AF7299" w:rsidRPr="000919C7" w:rsidRDefault="00AF7299" w:rsidP="00236533">
            <w:pPr>
              <w:spacing w:after="0" w:line="240" w:lineRule="auto"/>
              <w:ind w:firstLine="317"/>
              <w:jc w:val="both"/>
              <w:rPr>
                <w:rFonts w:ascii="Times New Roman" w:hAnsi="Times New Roman"/>
                <w:sz w:val="26"/>
                <w:szCs w:val="26"/>
              </w:rPr>
            </w:pPr>
            <w:r w:rsidRPr="000919C7">
              <w:rPr>
                <w:rFonts w:ascii="Times New Roman" w:hAnsi="Times New Roman"/>
                <w:sz w:val="26"/>
                <w:szCs w:val="26"/>
              </w:rPr>
              <w:t xml:space="preserve">Paredzamie ieguvumi, </w:t>
            </w:r>
            <w:r w:rsidR="002B798C">
              <w:rPr>
                <w:rFonts w:ascii="Times New Roman" w:hAnsi="Times New Roman"/>
                <w:sz w:val="26"/>
                <w:szCs w:val="26"/>
              </w:rPr>
              <w:t>izbeidzot</w:t>
            </w:r>
            <w:r w:rsidRPr="000919C7">
              <w:rPr>
                <w:rFonts w:ascii="Times New Roman" w:hAnsi="Times New Roman"/>
                <w:sz w:val="26"/>
                <w:szCs w:val="26"/>
              </w:rPr>
              <w:t xml:space="preserve"> sadarbību ar bankām iesniegumu pieņemšanā:</w:t>
            </w:r>
          </w:p>
          <w:p w:rsidR="00AF7299" w:rsidRPr="000919C7" w:rsidRDefault="00AF7299" w:rsidP="00EA0625">
            <w:pPr>
              <w:widowControl w:val="0"/>
              <w:numPr>
                <w:ilvl w:val="0"/>
                <w:numId w:val="1"/>
              </w:numPr>
              <w:tabs>
                <w:tab w:val="clear" w:pos="1440"/>
                <w:tab w:val="num" w:pos="176"/>
              </w:tabs>
              <w:spacing w:after="0" w:line="240" w:lineRule="auto"/>
              <w:ind w:left="176" w:firstLine="141"/>
              <w:jc w:val="both"/>
              <w:rPr>
                <w:rFonts w:ascii="Times New Roman" w:hAnsi="Times New Roman"/>
                <w:sz w:val="26"/>
                <w:szCs w:val="26"/>
              </w:rPr>
            </w:pPr>
            <w:r w:rsidRPr="000919C7">
              <w:rPr>
                <w:rFonts w:ascii="Times New Roman" w:hAnsi="Times New Roman"/>
                <w:sz w:val="26"/>
                <w:szCs w:val="26"/>
              </w:rPr>
              <w:t xml:space="preserve">tiks veicināta VSAA e-pakalpojumu izmantošana portālā </w:t>
            </w:r>
            <w:hyperlink r:id="rId8" w:history="1">
              <w:r w:rsidRPr="000919C7">
                <w:rPr>
                  <w:rStyle w:val="Hyperlink"/>
                  <w:rFonts w:ascii="Times New Roman" w:hAnsi="Times New Roman"/>
                  <w:sz w:val="26"/>
                  <w:szCs w:val="26"/>
                </w:rPr>
                <w:t>www.latvija.lv</w:t>
              </w:r>
            </w:hyperlink>
            <w:r w:rsidRPr="000919C7">
              <w:rPr>
                <w:rFonts w:ascii="Times New Roman" w:hAnsi="Times New Roman"/>
                <w:sz w:val="26"/>
                <w:szCs w:val="26"/>
              </w:rPr>
              <w:t>;</w:t>
            </w:r>
          </w:p>
          <w:p w:rsidR="00AF7299" w:rsidRPr="000919C7" w:rsidRDefault="00AF7299" w:rsidP="00EA0625">
            <w:pPr>
              <w:widowControl w:val="0"/>
              <w:numPr>
                <w:ilvl w:val="0"/>
                <w:numId w:val="1"/>
              </w:numPr>
              <w:tabs>
                <w:tab w:val="clear" w:pos="1440"/>
                <w:tab w:val="num" w:pos="176"/>
              </w:tabs>
              <w:spacing w:after="0" w:line="240" w:lineRule="auto"/>
              <w:ind w:left="176" w:firstLine="141"/>
              <w:jc w:val="both"/>
              <w:rPr>
                <w:rFonts w:ascii="Times New Roman" w:hAnsi="Times New Roman"/>
                <w:sz w:val="26"/>
                <w:szCs w:val="26"/>
              </w:rPr>
            </w:pPr>
            <w:r w:rsidRPr="000919C7">
              <w:rPr>
                <w:rFonts w:ascii="Times New Roman" w:hAnsi="Times New Roman"/>
                <w:sz w:val="26"/>
                <w:szCs w:val="26"/>
              </w:rPr>
              <w:t>samazināsies nepamatoti pieprasīto ieguldījumu plānu maiņas gadījumu skaits un līdz ar to arī administratīvais slogs VSAA atteikumu sagatavošanā;</w:t>
            </w:r>
          </w:p>
          <w:p w:rsidR="00AF7299" w:rsidRPr="000919C7" w:rsidRDefault="00AF7299" w:rsidP="00EA0625">
            <w:pPr>
              <w:widowControl w:val="0"/>
              <w:numPr>
                <w:ilvl w:val="0"/>
                <w:numId w:val="1"/>
              </w:numPr>
              <w:tabs>
                <w:tab w:val="clear" w:pos="1440"/>
                <w:tab w:val="num" w:pos="176"/>
              </w:tabs>
              <w:spacing w:after="0" w:line="240" w:lineRule="auto"/>
              <w:ind w:left="176" w:firstLine="141"/>
              <w:jc w:val="both"/>
              <w:rPr>
                <w:rFonts w:ascii="Times New Roman" w:hAnsi="Times New Roman"/>
                <w:sz w:val="26"/>
                <w:szCs w:val="26"/>
              </w:rPr>
            </w:pPr>
            <w:r w:rsidRPr="000919C7">
              <w:rPr>
                <w:rFonts w:ascii="Times New Roman" w:hAnsi="Times New Roman"/>
                <w:sz w:val="26"/>
                <w:szCs w:val="26"/>
              </w:rPr>
              <w:t>samazināsies sūdzību skaits un to cēloņu izmeklēšanai un atbilžu sagatavošanai nepieciešamais laiks banku kļūdu un neatbilstošas rīcības gadījumos;</w:t>
            </w:r>
          </w:p>
          <w:p w:rsidR="00AF7299" w:rsidRPr="000919C7" w:rsidRDefault="00AF7299" w:rsidP="00EA0625">
            <w:pPr>
              <w:widowControl w:val="0"/>
              <w:numPr>
                <w:ilvl w:val="0"/>
                <w:numId w:val="1"/>
              </w:numPr>
              <w:tabs>
                <w:tab w:val="clear" w:pos="1440"/>
                <w:tab w:val="num" w:pos="176"/>
              </w:tabs>
              <w:spacing w:after="0" w:line="240" w:lineRule="auto"/>
              <w:ind w:left="176" w:firstLine="141"/>
              <w:jc w:val="both"/>
              <w:rPr>
                <w:rFonts w:ascii="Times New Roman" w:hAnsi="Times New Roman"/>
                <w:sz w:val="26"/>
                <w:szCs w:val="26"/>
              </w:rPr>
            </w:pPr>
            <w:r w:rsidRPr="000919C7">
              <w:rPr>
                <w:rFonts w:ascii="Times New Roman" w:hAnsi="Times New Roman"/>
                <w:sz w:val="26"/>
                <w:szCs w:val="26"/>
              </w:rPr>
              <w:t>uz visiem iesniegumiem klientiem tiks nodrošināta atbilde par iesniegumu izpildi vai atteikumu;</w:t>
            </w:r>
          </w:p>
          <w:p w:rsidR="00AF7299" w:rsidRPr="000919C7" w:rsidRDefault="00AF7299" w:rsidP="00EA0625">
            <w:pPr>
              <w:widowControl w:val="0"/>
              <w:numPr>
                <w:ilvl w:val="0"/>
                <w:numId w:val="1"/>
              </w:numPr>
              <w:tabs>
                <w:tab w:val="clear" w:pos="1440"/>
                <w:tab w:val="num" w:pos="176"/>
              </w:tabs>
              <w:spacing w:after="0" w:line="240" w:lineRule="auto"/>
              <w:ind w:left="176" w:firstLine="141"/>
              <w:jc w:val="both"/>
              <w:rPr>
                <w:rFonts w:ascii="Times New Roman" w:hAnsi="Times New Roman"/>
                <w:sz w:val="26"/>
                <w:szCs w:val="26"/>
              </w:rPr>
            </w:pPr>
            <w:r w:rsidRPr="000919C7">
              <w:rPr>
                <w:rFonts w:ascii="Times New Roman" w:hAnsi="Times New Roman"/>
                <w:sz w:val="26"/>
                <w:szCs w:val="26"/>
              </w:rPr>
              <w:t>visiem līdzekļu pārvaldītājiem būs radītas vienādas iespējas piesaistīt VFPS dalībniekus.</w:t>
            </w:r>
          </w:p>
          <w:p w:rsidR="00AF7299" w:rsidRPr="001B34C4" w:rsidRDefault="00AF7299" w:rsidP="00236533">
            <w:pPr>
              <w:pStyle w:val="tv2131"/>
              <w:spacing w:line="240" w:lineRule="auto"/>
              <w:ind w:left="142" w:right="143" w:firstLine="425"/>
              <w:jc w:val="both"/>
              <w:rPr>
                <w:color w:val="auto"/>
                <w:sz w:val="26"/>
                <w:szCs w:val="26"/>
              </w:rPr>
            </w:pPr>
          </w:p>
          <w:p w:rsidR="00AF7299" w:rsidRPr="005255E3" w:rsidRDefault="00AF7299" w:rsidP="005C0A34">
            <w:pPr>
              <w:pStyle w:val="tv2131"/>
              <w:spacing w:line="240" w:lineRule="auto"/>
              <w:ind w:left="34" w:right="35" w:firstLine="283"/>
              <w:jc w:val="both"/>
              <w:rPr>
                <w:color w:val="auto"/>
                <w:sz w:val="26"/>
                <w:szCs w:val="26"/>
              </w:rPr>
            </w:pPr>
            <w:r w:rsidRPr="005255E3">
              <w:rPr>
                <w:color w:val="auto"/>
                <w:sz w:val="26"/>
                <w:szCs w:val="26"/>
              </w:rPr>
              <w:t xml:space="preserve">Attiecībā uz dokumentiem, kas nodrošina VFPS dalībnieku kontu izveidi un aktualizāciju, likums līdz 2017.gada 31.decembrim noteica, ka dokumenti, kas iesniegti </w:t>
            </w:r>
            <w:r w:rsidRPr="005255E3">
              <w:rPr>
                <w:iCs/>
                <w:color w:val="auto"/>
                <w:sz w:val="26"/>
                <w:szCs w:val="26"/>
              </w:rPr>
              <w:t>VSAA, glabājami, kamēr turpinās attiecīgās personas dalība VFPS un vēl 30 gadus pēc dalības izbeigšanas. No 2018.gada 1.janvāra šī kārtība no likuma ir izslēgta.</w:t>
            </w:r>
            <w:r w:rsidRPr="005255E3">
              <w:rPr>
                <w:color w:val="auto"/>
                <w:sz w:val="26"/>
                <w:szCs w:val="26"/>
              </w:rPr>
              <w:t xml:space="preserve"> </w:t>
            </w:r>
            <w:r w:rsidRPr="005255E3">
              <w:rPr>
                <w:iCs/>
                <w:color w:val="auto"/>
                <w:sz w:val="26"/>
                <w:szCs w:val="26"/>
              </w:rPr>
              <w:t xml:space="preserve"> Dokumentu glabāšanas termiņi turpmāk tiks noteikti šajos Ministru kabineta noteikumos.</w:t>
            </w:r>
            <w:r w:rsidRPr="005255E3">
              <w:rPr>
                <w:color w:val="auto"/>
                <w:sz w:val="26"/>
                <w:szCs w:val="26"/>
              </w:rPr>
              <w:t xml:space="preserve"> Lai </w:t>
            </w:r>
            <w:proofErr w:type="spellStart"/>
            <w:r w:rsidRPr="005255E3">
              <w:rPr>
                <w:color w:val="auto"/>
                <w:sz w:val="26"/>
                <w:szCs w:val="26"/>
              </w:rPr>
              <w:t>efektivizētu</w:t>
            </w:r>
            <w:proofErr w:type="spellEnd"/>
            <w:r w:rsidRPr="005255E3">
              <w:rPr>
                <w:color w:val="auto"/>
                <w:sz w:val="26"/>
                <w:szCs w:val="26"/>
              </w:rPr>
              <w:t xml:space="preserve"> dokumentu pārvaldību un samazinātu izmaksas to glabāšanai, visa informācija, kas attiecas uz VFPS dalībniekiem, tiks uzglabāta VSAA informācijas sistēmā elektronisku datu formātā. Saskaņā ar Fizisko personu datu aizsardzības likumu datu apstrāde (tai skaitā glabāšana) ir jāveic tikai atbilstoši paredzētajam mērķim un tam nepieciešamajā apjomā.  </w:t>
            </w:r>
          </w:p>
          <w:p w:rsidR="00AF7299" w:rsidRPr="000919C7" w:rsidRDefault="00AF7299" w:rsidP="00236533">
            <w:pPr>
              <w:spacing w:after="0" w:line="240" w:lineRule="auto"/>
              <w:jc w:val="both"/>
              <w:rPr>
                <w:rFonts w:ascii="Times New Roman" w:hAnsi="Times New Roman"/>
                <w:sz w:val="26"/>
                <w:szCs w:val="26"/>
              </w:rPr>
            </w:pPr>
          </w:p>
          <w:p w:rsidR="00AF7299" w:rsidRPr="001B34C4" w:rsidRDefault="00AF7299" w:rsidP="00236533">
            <w:pPr>
              <w:pStyle w:val="tv2132"/>
              <w:spacing w:line="240" w:lineRule="auto"/>
              <w:ind w:firstLine="317"/>
              <w:jc w:val="both"/>
              <w:rPr>
                <w:bCs/>
                <w:color w:val="auto"/>
                <w:sz w:val="26"/>
                <w:szCs w:val="26"/>
              </w:rPr>
            </w:pPr>
            <w:r w:rsidRPr="001B34C4">
              <w:rPr>
                <w:bCs/>
                <w:color w:val="auto"/>
                <w:sz w:val="26"/>
                <w:szCs w:val="26"/>
              </w:rPr>
              <w:t>Saskaņā ar likumu VFPS līdzekļu pārvaldītājs ir ieguldījumu pārvaldes sabiedrība, kas Latvijā var būt tikai akciju sabiedrība. Akciju sabiedrībai ir trīs pārvaldes sabiedrības - akcionāru sapulce, padome un valde (Komerclikuma 266.pants). Komerclikums arī regulē katras pārvaldes institūcijas kompetenci. Akcionāru sapulce ir institūcija, kurā akcionāri realizē savas balsstiesības, savukārt padome ir pārraudzības institūcija. Saskaņā ar Komerclikumu tikai valde ir sabiedrības izpildinstitūcija (Komerclikuma 301.pants) un tikai valdes locekļiem ir tiesības pārstāvēt sabiedrību (Komerclikums 303.pants). Plāna prospekta sagatavošana un apstiprināšana ir valdes kompetences jautājums. Līdz ar to arī apliecinājums par plāna prospektā iekļautās informācijas patiesumu ir jāsniedz valdei.</w:t>
            </w:r>
          </w:p>
          <w:p w:rsidR="00AF7299" w:rsidRPr="001B34C4" w:rsidRDefault="00AF7299" w:rsidP="00236533">
            <w:pPr>
              <w:pStyle w:val="tv2132"/>
              <w:spacing w:line="240" w:lineRule="auto"/>
              <w:jc w:val="both"/>
              <w:rPr>
                <w:bCs/>
                <w:color w:val="auto"/>
                <w:sz w:val="26"/>
                <w:szCs w:val="26"/>
              </w:rPr>
            </w:pPr>
          </w:p>
          <w:p w:rsidR="00AF7299" w:rsidRPr="001B34C4" w:rsidRDefault="00AF7299" w:rsidP="00236533">
            <w:pPr>
              <w:pStyle w:val="tv2132"/>
              <w:spacing w:line="240" w:lineRule="auto"/>
              <w:jc w:val="both"/>
              <w:rPr>
                <w:bCs/>
                <w:color w:val="auto"/>
                <w:sz w:val="26"/>
                <w:szCs w:val="26"/>
              </w:rPr>
            </w:pPr>
            <w:r w:rsidRPr="001B34C4">
              <w:rPr>
                <w:bCs/>
                <w:color w:val="auto"/>
                <w:sz w:val="26"/>
                <w:szCs w:val="26"/>
              </w:rPr>
              <w:t>Valsts sociālās apdrošināšanas obligātās iemaksas VFPS dalībniekiem tiek reģistrētas, pamatojoties uz MK noteikumu 46.1.apakšpunktā minēto informāciju. Pamatojoties uz 2017.gada 28.jūlijā Saeimā pieņemtajiem grozījumiem Solidaritātes nodokļa likumā (spēkā no 2018.gada 1.janvāra), kā arī grozījumiem likumā, kas pieņemti Saeimā 2017.gada 22.novembrī, MK noteikumu 46.1. apakšpunktā minētais uzskaitījums papildināms ar to, ka valsts sociālās apdrošināšanas obligātās iemaksas VFPS dalībniekiem tiek reģistrētas, pamatojoties arī uz aprēķināto solidaritātes nodokli.</w:t>
            </w:r>
          </w:p>
          <w:p w:rsidR="00AF7299" w:rsidRPr="000919C7" w:rsidRDefault="00AF7299" w:rsidP="00236533">
            <w:pPr>
              <w:spacing w:after="0" w:line="240" w:lineRule="auto"/>
              <w:jc w:val="both"/>
              <w:rPr>
                <w:rFonts w:ascii="Times New Roman" w:hAnsi="Times New Roman"/>
                <w:sz w:val="26"/>
                <w:szCs w:val="26"/>
              </w:rPr>
            </w:pPr>
          </w:p>
          <w:p w:rsidR="00AF7299" w:rsidRPr="000919C7" w:rsidRDefault="00AF7299" w:rsidP="00236533">
            <w:pPr>
              <w:spacing w:after="0" w:line="240" w:lineRule="auto"/>
              <w:ind w:firstLine="317"/>
              <w:jc w:val="both"/>
              <w:rPr>
                <w:rFonts w:ascii="Times New Roman" w:hAnsi="Times New Roman"/>
                <w:sz w:val="26"/>
                <w:szCs w:val="26"/>
              </w:rPr>
            </w:pPr>
            <w:r w:rsidRPr="000919C7">
              <w:rPr>
                <w:rFonts w:ascii="Times New Roman" w:hAnsi="Times New Roman"/>
                <w:sz w:val="26"/>
                <w:szCs w:val="26"/>
              </w:rPr>
              <w:t xml:space="preserve">MK noteikumu 57.punkts nosaka, ka VFPS līdzekļu pārvaldītājam ir pienākums atlīdzināt zaudējumus, kas tā darbinieku izdarītas krāpšanas, zādzības, nolaidības vai cita noziedzīga nodarījuma rezultātā nodarīti VFPS dalībniekiem.  VFPS līdzekļu pārvaldītājam būtu pienākums atlīdzināt zaudējumus arī tajos gadījumos, kad zaudējumi ir radušies, piemēram, aiz neuzmanības tiek nepareizi aprēķināta daļu vērtība. Praksē šādus zaudējumus līdzekļu pārvaldītāji atlīdzina jau šobrīd.  </w:t>
            </w:r>
          </w:p>
          <w:p w:rsidR="00AF7299" w:rsidRPr="000919C7" w:rsidRDefault="00AF7299" w:rsidP="00236533">
            <w:pPr>
              <w:spacing w:after="120" w:line="240" w:lineRule="auto"/>
              <w:ind w:firstLine="317"/>
              <w:jc w:val="both"/>
              <w:rPr>
                <w:rFonts w:ascii="Times New Roman" w:hAnsi="Times New Roman"/>
                <w:sz w:val="26"/>
                <w:szCs w:val="26"/>
              </w:rPr>
            </w:pPr>
          </w:p>
          <w:p w:rsidR="00AF7299" w:rsidRPr="000919C7" w:rsidRDefault="00AF7299" w:rsidP="00236533">
            <w:pPr>
              <w:spacing w:after="120" w:line="240" w:lineRule="auto"/>
              <w:ind w:firstLine="317"/>
              <w:jc w:val="both"/>
              <w:rPr>
                <w:rFonts w:ascii="Times New Roman" w:hAnsi="Times New Roman"/>
                <w:sz w:val="26"/>
                <w:szCs w:val="26"/>
              </w:rPr>
            </w:pPr>
            <w:r w:rsidRPr="000919C7">
              <w:rPr>
                <w:rFonts w:ascii="Times New Roman" w:hAnsi="Times New Roman"/>
                <w:sz w:val="26"/>
                <w:szCs w:val="26"/>
              </w:rPr>
              <w:t>MK noteikumu 59.punkts nosaka VSAA rīcību gadījumos, kad valsts sociālās apdrošināšanas obligāto iemaksu objekts tiek samazināts vai palielināts. Taču iemaksu objekta samazināšanas gadījumā VSAA noteiktas darbības jāveic jau piecu darbdienu laikā, kas tik īsā laikā praktiski nav iespējams. Tā kā iemaksu objekta palielināšanas gadījumā šāds termiņš VSAA nav noteikts, tad arī šāds termiņš nebūtu nosakāms gadījumā, kad iemaksu objekts tiek samazināts. Šajā gadījumā, tiklīdz tas būs iespējams, VSAA dos līdzekļu pārvaldītājam rīkojumu par attiecīga ieguldījumu plāna daļu skaita dzēšanu un naudas summas pārskaitīšanu valsts pensiju speciālajā budžetā, kā to paredz šobrīd spēkā esošie MK noteikumi.</w:t>
            </w:r>
          </w:p>
          <w:p w:rsidR="00AF7299" w:rsidRPr="000919C7" w:rsidRDefault="00AF7299" w:rsidP="00236533">
            <w:pPr>
              <w:spacing w:after="120" w:line="240" w:lineRule="auto"/>
              <w:ind w:firstLine="317"/>
              <w:jc w:val="both"/>
              <w:rPr>
                <w:rFonts w:ascii="Times New Roman" w:hAnsi="Times New Roman"/>
                <w:sz w:val="26"/>
                <w:szCs w:val="26"/>
              </w:rPr>
            </w:pPr>
            <w:r w:rsidRPr="000919C7">
              <w:rPr>
                <w:rFonts w:ascii="Times New Roman" w:hAnsi="Times New Roman"/>
                <w:sz w:val="26"/>
                <w:szCs w:val="26"/>
              </w:rPr>
              <w:t xml:space="preserve">MK noteikumos minēti gadījumi, kad tiek izmantots VFPS uzkrātais pensijas kapitāls, taču pārsvarā reglamentēts tikai vecuma pensijas pieprasīšanas gadījums. MK noteikumu projektā ir jāprecizē punkti, papildinot ar dzīvības apdrošināšanas (mūža polises) iegādi un fondētās pensijas kapitāla pārskaitīšanu Eiropas Savienības pensiju shēmā vai, ja šāds uzskaitījums nav nepieciešams, svītrot tikai vecuma pensijas pieprasīšanas gadījumu. </w:t>
            </w:r>
          </w:p>
          <w:p w:rsidR="00AF7299" w:rsidRPr="000919C7" w:rsidRDefault="00AF7299" w:rsidP="009E5464">
            <w:pPr>
              <w:spacing w:after="0" w:line="240" w:lineRule="auto"/>
              <w:ind w:left="34"/>
              <w:jc w:val="both"/>
            </w:pPr>
            <w:r w:rsidRPr="000919C7">
              <w:rPr>
                <w:rFonts w:ascii="Times New Roman" w:hAnsi="Times New Roman"/>
                <w:sz w:val="26"/>
                <w:szCs w:val="26"/>
              </w:rPr>
              <w:t xml:space="preserve">Kopš ir izveidota interneta vietne </w:t>
            </w:r>
            <w:proofErr w:type="spellStart"/>
            <w:r w:rsidRPr="000919C7">
              <w:rPr>
                <w:rFonts w:ascii="Times New Roman" w:hAnsi="Times New Roman"/>
                <w:i/>
                <w:iCs/>
                <w:sz w:val="26"/>
                <w:szCs w:val="26"/>
              </w:rPr>
              <w:t>manapensija.lv</w:t>
            </w:r>
            <w:proofErr w:type="spellEnd"/>
            <w:r w:rsidRPr="000919C7">
              <w:rPr>
                <w:rFonts w:ascii="Times New Roman" w:hAnsi="Times New Roman"/>
                <w:sz w:val="26"/>
                <w:szCs w:val="26"/>
              </w:rPr>
              <w:t xml:space="preserve">, kurā var iepazīties ar detalizētu informāciju par jebkuru ieguldījumu plānu, kā arī ir iespējas izmantot portālā </w:t>
            </w:r>
            <w:proofErr w:type="spellStart"/>
            <w:r w:rsidRPr="000919C7">
              <w:rPr>
                <w:rFonts w:ascii="Times New Roman" w:hAnsi="Times New Roman"/>
                <w:i/>
                <w:iCs/>
                <w:sz w:val="26"/>
                <w:szCs w:val="26"/>
              </w:rPr>
              <w:t>latvija.lv</w:t>
            </w:r>
            <w:proofErr w:type="spellEnd"/>
            <w:r w:rsidRPr="000919C7">
              <w:rPr>
                <w:rFonts w:ascii="Times New Roman" w:hAnsi="Times New Roman"/>
                <w:sz w:val="26"/>
                <w:szCs w:val="26"/>
              </w:rPr>
              <w:t xml:space="preserve"> pieejamos pakalpojumus, VSAA vairs nesūta VFPS dalībniekiem pa pastu MK noteikumu 64.punktā minēto informāciju, bet nodrošina, lai šī informācija būtu pieejama. Informāciju var saņemt arī VSAA klientu apkalpošanas centros un vienotajos klientu apkalpošanas punktos. Vienlaikus tiek izvērtētas aizvien jaunas iespējas, kā padarīt šo </w:t>
            </w:r>
            <w:r w:rsidRPr="000919C7">
              <w:rPr>
                <w:rFonts w:ascii="Times New Roman" w:hAnsi="Times New Roman"/>
                <w:sz w:val="26"/>
                <w:szCs w:val="26"/>
              </w:rPr>
              <w:lastRenderedPageBreak/>
              <w:t xml:space="preserve">informāciju pieejamu VFPS dalībniekiem, tai skaitā sadarbībā ar vietējām pašvaldībām. Tāpat nav nepieciešams termiņš, kādā VSAA sniedz šo informāciju, jo konta izrakstu ir iespējams saņemt uzreiz, ja VFPS dalībnieks ir vērsies VSAA nodaļā vai izmantojis portālu </w:t>
            </w:r>
            <w:hyperlink r:id="rId9" w:history="1">
              <w:r w:rsidRPr="000919C7">
                <w:rPr>
                  <w:rStyle w:val="Hyperlink"/>
                  <w:rFonts w:ascii="Times New Roman" w:hAnsi="Times New Roman"/>
                  <w:sz w:val="26"/>
                  <w:szCs w:val="26"/>
                </w:rPr>
                <w:t>www.latvija.lv</w:t>
              </w:r>
            </w:hyperlink>
            <w:r w:rsidRPr="000919C7">
              <w:rPr>
                <w:rFonts w:ascii="Times New Roman" w:hAnsi="Times New Roman"/>
                <w:sz w:val="26"/>
                <w:szCs w:val="26"/>
              </w:rPr>
              <w:t>. Līdz ar to jāveic attiecīgi precizējumi MK noteikumu 64.punktā.</w:t>
            </w:r>
          </w:p>
          <w:p w:rsidR="00AF7299" w:rsidRPr="000919C7" w:rsidRDefault="00AF7299" w:rsidP="00236533">
            <w:pPr>
              <w:spacing w:after="0" w:line="240" w:lineRule="auto"/>
              <w:ind w:firstLine="317"/>
              <w:jc w:val="both"/>
              <w:rPr>
                <w:rFonts w:ascii="Times New Roman" w:hAnsi="Times New Roman"/>
                <w:sz w:val="26"/>
                <w:szCs w:val="26"/>
              </w:rPr>
            </w:pPr>
            <w:r w:rsidRPr="000919C7">
              <w:rPr>
                <w:rFonts w:ascii="Times New Roman" w:hAnsi="Times New Roman"/>
                <w:sz w:val="26"/>
                <w:szCs w:val="26"/>
              </w:rPr>
              <w:t>Tomēr pastāv atsevišķi gadījumi, kad VSAA sazinās ar VFPS dalībnieku, izmantojot pasta pakalpojumus, t.i., sūtot informāciju jaunajiem VFPS dalībniekiem gadījumā, ja tiek apvienoti ieguldījumu plāni, ja VFPS kapitāls tiek izmantots mūža pensijas polises iegādei. Šajos gadījumos jābūt atrunātam, uz kādu adresi šo informāciju nosūtīt, lai tā sasniegtu adresātu.</w:t>
            </w:r>
          </w:p>
          <w:p w:rsidR="00AF7299" w:rsidRPr="000919C7" w:rsidRDefault="00AF7299" w:rsidP="00236533">
            <w:pPr>
              <w:spacing w:after="0" w:line="240" w:lineRule="auto"/>
              <w:ind w:firstLine="317"/>
              <w:jc w:val="both"/>
              <w:rPr>
                <w:rFonts w:ascii="Times New Roman" w:hAnsi="Times New Roman"/>
                <w:sz w:val="26"/>
                <w:szCs w:val="26"/>
              </w:rPr>
            </w:pPr>
          </w:p>
          <w:p w:rsidR="00AF7299" w:rsidRPr="000919C7" w:rsidRDefault="00AF7299" w:rsidP="00236533">
            <w:pPr>
              <w:spacing w:after="0" w:line="240" w:lineRule="auto"/>
              <w:ind w:firstLine="452"/>
              <w:jc w:val="both"/>
              <w:rPr>
                <w:rFonts w:ascii="Times New Roman" w:hAnsi="Times New Roman"/>
                <w:sz w:val="26"/>
                <w:szCs w:val="26"/>
              </w:rPr>
            </w:pPr>
            <w:r w:rsidRPr="000919C7">
              <w:rPr>
                <w:rFonts w:ascii="Times New Roman" w:hAnsi="Times New Roman"/>
                <w:sz w:val="26"/>
                <w:szCs w:val="26"/>
              </w:rPr>
              <w:t>Ja VFPS dalībniekam par uzkrāto fondēto pensijas kapitālu ir tiesības iegādāties mūža pensijas polisi, VSAA informē VFPS dalībnieku par shēmā uzkrātā kapitāla apmēru, par apdrošināšanas sabiedrībām, to tīmekļa vietnēm, kurās pieejamas prognozējamo mēneša izmaksu noteikšanas kalkulatori, minimālajiem uzkrātā fondētās pensijas kapitāla apmēriem, kas dod tiesības iegādāties mūža pensijas polisi, par kārtību, kādā shēmas dalībnieks var iegādāties minēto polisi. Vienlaikus nepieciešams VFPS dalībnieku informēt arī par termiņu, kādā ir jānoslēdz mūža pensijas apdrošināšanas līgums un atrunāt kārtību, kādā VSAA to nosaka.</w:t>
            </w:r>
          </w:p>
          <w:p w:rsidR="00AF7299" w:rsidRPr="000919C7" w:rsidRDefault="00AF7299" w:rsidP="00236533">
            <w:pPr>
              <w:spacing w:after="0" w:line="240" w:lineRule="auto"/>
              <w:ind w:firstLine="317"/>
              <w:jc w:val="both"/>
              <w:rPr>
                <w:rFonts w:ascii="Times New Roman" w:hAnsi="Times New Roman"/>
                <w:sz w:val="26"/>
                <w:szCs w:val="26"/>
              </w:rPr>
            </w:pPr>
          </w:p>
          <w:p w:rsidR="00AF7299" w:rsidRPr="000919C7" w:rsidRDefault="00AF7299" w:rsidP="00236533">
            <w:pPr>
              <w:spacing w:after="0" w:line="240" w:lineRule="auto"/>
              <w:ind w:firstLine="452"/>
              <w:jc w:val="both"/>
              <w:rPr>
                <w:rFonts w:ascii="Times New Roman" w:hAnsi="Times New Roman"/>
                <w:sz w:val="26"/>
                <w:szCs w:val="26"/>
                <w:lang w:eastAsia="lv-LV"/>
              </w:rPr>
            </w:pPr>
            <w:r w:rsidRPr="000919C7">
              <w:rPr>
                <w:rFonts w:ascii="Times New Roman" w:hAnsi="Times New Roman"/>
                <w:sz w:val="26"/>
                <w:szCs w:val="26"/>
              </w:rPr>
              <w:t xml:space="preserve">MK noteikumu 69.punkts nosaka, ka VFPS dalībnieks vēršas izvēlētajā apdrošināšanas sabiedrībā, kur pēc apdrošināšanas nosacījumu saskaņošanas, apdrošināšanas sabiedrība un VFPS dalībnieks noslēdz mūža pensijas apdrošināšanas līgumu. Līgumu slēdz saskaņā ar likumu „Par apdrošināšanas līgumu” un MK noteikumiem. Apdrošināšanas sabiedrība vienas darbdienas laikā pēc tam, kad mūža pensijas apdrošināšanas līgums kļuvis neapstrīdams, informē VSAA un VFPS dalībnieku par to, ka ar VFPS dalībnieku ir noslēgts mūža pensijas apdrošināšanas līgums, norādot datumu, ar kuru šis līgums kļuvis neapstrīdams. VSAA pēc šīs informācijas saņemšanas 10 darbdienu laikā pārskaita VFPS dalībnieka fondētās pensijas kapitālu attiecīgajai apdrošināšanas sabiedrībai. Mūža pensijas apdrošināšanas līgumā VFPS dalībnieks var norādīt labuma guvēju, kuram </w:t>
            </w:r>
            <w:r w:rsidRPr="000919C7">
              <w:rPr>
                <w:rFonts w:ascii="Times New Roman" w:hAnsi="Times New Roman"/>
                <w:sz w:val="26"/>
                <w:szCs w:val="26"/>
              </w:rPr>
              <w:lastRenderedPageBreak/>
              <w:t xml:space="preserve">viņa nāves gadījumā turpina izmaksāt mūža pensiju garantētajā izmaksas periodā. MK noteikumos nav noteikts, vai mūža pensija būtu jāizmaksā labuma guvējam, ja VFPS dalībnieks </w:t>
            </w:r>
            <w:r w:rsidRPr="000919C7">
              <w:rPr>
                <w:rFonts w:ascii="Times New Roman" w:hAnsi="Times New Roman"/>
                <w:sz w:val="26"/>
                <w:szCs w:val="26"/>
                <w:lang w:eastAsia="lv-LV"/>
              </w:rPr>
              <w:t>miris pēc mūža pensijas apdrošināšanas līguma noslēgšanas, bet tas vēl nav stājies spēkā un VSAA nav pārskaitījusi mirušā VFPS dalībnieka kapitālu attiecīgajai apdrošināšanas sabiedrībai.</w:t>
            </w:r>
          </w:p>
          <w:p w:rsidR="00AF7299" w:rsidRPr="000919C7" w:rsidRDefault="00AF7299" w:rsidP="00236533">
            <w:pPr>
              <w:pStyle w:val="naisf"/>
              <w:spacing w:before="0" w:beforeAutospacing="0" w:after="0" w:afterAutospacing="0"/>
              <w:ind w:firstLine="312"/>
              <w:rPr>
                <w:sz w:val="26"/>
                <w:szCs w:val="26"/>
              </w:rPr>
            </w:pPr>
          </w:p>
          <w:p w:rsidR="00AF7299" w:rsidRPr="000919C7" w:rsidRDefault="00AF7299" w:rsidP="00236533">
            <w:pPr>
              <w:spacing w:after="0" w:line="240" w:lineRule="auto"/>
              <w:ind w:firstLine="452"/>
              <w:jc w:val="both"/>
              <w:rPr>
                <w:rFonts w:ascii="Times New Roman" w:hAnsi="Times New Roman"/>
                <w:sz w:val="26"/>
                <w:szCs w:val="26"/>
              </w:rPr>
            </w:pPr>
            <w:r w:rsidRPr="000919C7">
              <w:rPr>
                <w:rFonts w:ascii="Times New Roman" w:hAnsi="Times New Roman"/>
                <w:sz w:val="26"/>
                <w:szCs w:val="26"/>
              </w:rPr>
              <w:t>MK noteikumu projekts nosaka, ka:</w:t>
            </w:r>
          </w:p>
          <w:p w:rsidR="00AF7299" w:rsidRPr="000919C7" w:rsidRDefault="00AF7299" w:rsidP="00236533">
            <w:pPr>
              <w:spacing w:after="0" w:line="240" w:lineRule="auto"/>
              <w:ind w:firstLine="452"/>
              <w:jc w:val="both"/>
              <w:rPr>
                <w:rFonts w:ascii="Times New Roman" w:hAnsi="Times New Roman"/>
                <w:sz w:val="26"/>
                <w:szCs w:val="26"/>
              </w:rPr>
            </w:pPr>
            <w:r w:rsidRPr="000919C7">
              <w:rPr>
                <w:rFonts w:ascii="Times New Roman" w:hAnsi="Times New Roman"/>
                <w:sz w:val="26"/>
                <w:szCs w:val="26"/>
              </w:rPr>
              <w:t>1) izslēgta iespēja VFPS dalībniekam iesniegumu par līdzekļu pārvaldītāja un ieguldījuma plāna izvēli vai maiņu iesniegt VSAA ar banku starpniecību (2.punkts);</w:t>
            </w:r>
          </w:p>
          <w:p w:rsidR="00AF7299" w:rsidRPr="000919C7" w:rsidRDefault="00AF7299" w:rsidP="00236533">
            <w:pPr>
              <w:spacing w:after="0" w:line="240" w:lineRule="auto"/>
              <w:ind w:firstLine="317"/>
              <w:jc w:val="both"/>
              <w:rPr>
                <w:rFonts w:ascii="Times New Roman" w:hAnsi="Times New Roman"/>
                <w:sz w:val="26"/>
                <w:szCs w:val="26"/>
              </w:rPr>
            </w:pPr>
            <w:r w:rsidRPr="000919C7">
              <w:rPr>
                <w:rFonts w:ascii="Times New Roman" w:hAnsi="Times New Roman"/>
                <w:sz w:val="26"/>
                <w:szCs w:val="26"/>
              </w:rPr>
              <w:t>2) datus, kas nodrošina VFPS dalībnieku kontu izveidi un aktualizāciju, VSAA glabā elektroniski, kamēr turpinās attiecīgās personas dalība fondēto pensiju shēmā un vēl piecus gadus pēc tam, kad VFPS dalībnieks ir sasniedzis vecumu, kas dod tiesības saņemt vecuma pensiju un fondētās pensijas kapitāls ir izmantots. Iesniegumus par VFPS līdzekļu pārvaldītāja un ieguldījumu plāna izvēli vai maiņu VSAA glabās vienu gadu no saņemšanas dienas,</w:t>
            </w:r>
            <w:proofErr w:type="gramStart"/>
            <w:r w:rsidRPr="000919C7">
              <w:rPr>
                <w:rFonts w:ascii="Times New Roman" w:hAnsi="Times New Roman"/>
                <w:sz w:val="26"/>
                <w:szCs w:val="26"/>
              </w:rPr>
              <w:t xml:space="preserve">  </w:t>
            </w:r>
            <w:proofErr w:type="gramEnd"/>
            <w:r w:rsidRPr="000919C7">
              <w:rPr>
                <w:rFonts w:ascii="Times New Roman" w:hAnsi="Times New Roman"/>
                <w:sz w:val="26"/>
                <w:szCs w:val="26"/>
              </w:rPr>
              <w:t>ņemot vērā Administratīvā procesa likuma 64.punktā noteikto administratīvā akta izdošanas termiņu un 79.punktā noteikto administratīvā akta</w:t>
            </w:r>
            <w:r w:rsidRPr="000919C7">
              <w:rPr>
                <w:rFonts w:ascii="Times New Roman" w:hAnsi="Times New Roman"/>
                <w:bCs/>
                <w:sz w:val="26"/>
                <w:szCs w:val="26"/>
              </w:rPr>
              <w:t xml:space="preserve"> apstrīdēšanas</w:t>
            </w:r>
            <w:r w:rsidRPr="000919C7">
              <w:rPr>
                <w:rFonts w:ascii="Times New Roman" w:hAnsi="Times New Roman"/>
                <w:b/>
                <w:bCs/>
                <w:sz w:val="26"/>
                <w:szCs w:val="26"/>
              </w:rPr>
              <w:t xml:space="preserve"> </w:t>
            </w:r>
            <w:r w:rsidRPr="000919C7">
              <w:rPr>
                <w:rFonts w:ascii="Times New Roman" w:hAnsi="Times New Roman"/>
                <w:bCs/>
                <w:sz w:val="26"/>
                <w:szCs w:val="26"/>
              </w:rPr>
              <w:t xml:space="preserve">termiņu </w:t>
            </w:r>
            <w:r w:rsidRPr="000919C7">
              <w:rPr>
                <w:rFonts w:ascii="Times New Roman" w:hAnsi="Times New Roman"/>
                <w:sz w:val="26"/>
                <w:szCs w:val="26"/>
              </w:rPr>
              <w:t>(3.un 22.punkts);</w:t>
            </w:r>
          </w:p>
          <w:p w:rsidR="00AF7299" w:rsidRPr="001B34C4" w:rsidRDefault="00AF7299" w:rsidP="00236533">
            <w:pPr>
              <w:pStyle w:val="tv2132"/>
              <w:spacing w:line="240" w:lineRule="auto"/>
              <w:ind w:firstLine="317"/>
              <w:jc w:val="both"/>
              <w:rPr>
                <w:bCs/>
                <w:color w:val="auto"/>
                <w:sz w:val="26"/>
                <w:szCs w:val="26"/>
              </w:rPr>
            </w:pPr>
            <w:r w:rsidRPr="001B34C4">
              <w:rPr>
                <w:sz w:val="26"/>
                <w:szCs w:val="26"/>
              </w:rPr>
              <w:t xml:space="preserve">3) </w:t>
            </w:r>
            <w:r w:rsidRPr="001B34C4">
              <w:rPr>
                <w:bCs/>
                <w:color w:val="auto"/>
                <w:sz w:val="26"/>
                <w:szCs w:val="26"/>
              </w:rPr>
              <w:t xml:space="preserve">apliecinājumu par plāna prospektā iekļautās informācijas patiesumu sniedz valde </w:t>
            </w:r>
            <w:r w:rsidRPr="001B34C4">
              <w:rPr>
                <w:sz w:val="26"/>
                <w:szCs w:val="26"/>
              </w:rPr>
              <w:t>(4.un 6.punkts)</w:t>
            </w:r>
            <w:r w:rsidRPr="001B34C4">
              <w:rPr>
                <w:bCs/>
                <w:color w:val="auto"/>
                <w:sz w:val="26"/>
                <w:szCs w:val="26"/>
              </w:rPr>
              <w:t>;</w:t>
            </w:r>
          </w:p>
          <w:p w:rsidR="00AF7299" w:rsidRPr="001B34C4" w:rsidRDefault="00AF7299" w:rsidP="00236533">
            <w:pPr>
              <w:pStyle w:val="tv2132"/>
              <w:spacing w:line="240" w:lineRule="auto"/>
              <w:ind w:firstLine="317"/>
              <w:jc w:val="both"/>
              <w:rPr>
                <w:bCs/>
                <w:color w:val="auto"/>
                <w:sz w:val="26"/>
                <w:szCs w:val="26"/>
              </w:rPr>
            </w:pPr>
            <w:r w:rsidRPr="001B34C4">
              <w:rPr>
                <w:bCs/>
                <w:color w:val="auto"/>
                <w:sz w:val="26"/>
                <w:szCs w:val="26"/>
              </w:rPr>
              <w:t xml:space="preserve">4) valsts sociālās apdrošināšanas obligātās iemaksas VFPS dalībniekiem tiek reģistrētas, pamatojoties arī uz aprēķināto solidaritātes nodokli </w:t>
            </w:r>
            <w:r w:rsidRPr="001B34C4">
              <w:rPr>
                <w:sz w:val="26"/>
                <w:szCs w:val="26"/>
              </w:rPr>
              <w:t>(7.punkts)</w:t>
            </w:r>
            <w:r w:rsidRPr="001B34C4">
              <w:rPr>
                <w:bCs/>
                <w:color w:val="auto"/>
                <w:sz w:val="26"/>
                <w:szCs w:val="26"/>
              </w:rPr>
              <w:t>;</w:t>
            </w:r>
          </w:p>
          <w:p w:rsidR="00AF7299" w:rsidRPr="001B34C4" w:rsidRDefault="00AF7299" w:rsidP="00236533">
            <w:pPr>
              <w:pStyle w:val="tv2132"/>
              <w:spacing w:line="240" w:lineRule="auto"/>
              <w:ind w:firstLine="317"/>
              <w:jc w:val="both"/>
              <w:rPr>
                <w:sz w:val="26"/>
                <w:szCs w:val="26"/>
              </w:rPr>
            </w:pPr>
            <w:r w:rsidRPr="001B34C4">
              <w:rPr>
                <w:bCs/>
                <w:color w:val="auto"/>
                <w:sz w:val="26"/>
                <w:szCs w:val="26"/>
              </w:rPr>
              <w:t xml:space="preserve">5) </w:t>
            </w:r>
            <w:r w:rsidRPr="001B34C4">
              <w:rPr>
                <w:sz w:val="26"/>
                <w:szCs w:val="26"/>
              </w:rPr>
              <w:t>VFPS līdzekļu pārvaldītājam pienākums atlīdzināt zaudējumus arī citos gadījumos, ne tikai krāpšanas, zādzības, nolaidības vai cita noziedzīga nodarījuma rezultātā radušos zaudējumus (8.punkts);</w:t>
            </w:r>
          </w:p>
          <w:p w:rsidR="00AF7299" w:rsidRPr="001B34C4" w:rsidRDefault="00AF7299" w:rsidP="00236533">
            <w:pPr>
              <w:pStyle w:val="tv2132"/>
              <w:spacing w:line="240" w:lineRule="auto"/>
              <w:ind w:firstLine="317"/>
              <w:jc w:val="both"/>
              <w:rPr>
                <w:bCs/>
                <w:color w:val="auto"/>
                <w:sz w:val="26"/>
                <w:szCs w:val="26"/>
              </w:rPr>
            </w:pPr>
            <w:r w:rsidRPr="001B34C4">
              <w:rPr>
                <w:sz w:val="26"/>
                <w:szCs w:val="26"/>
              </w:rPr>
              <w:t>6) ja valsts sociālās apdrošināšanas obligāto iemaksu objekts tiek samazināts, tiklīdz tas būs iespējams VSAA dos līdzekļu pārvaldītājam rīkojumu par attiecīga ieguldījumu plāna daļu skaita dzēšanu un naudas summas pārskaitīšanu valsts pensiju speciālajā budžetā (9.punkts);</w:t>
            </w:r>
          </w:p>
          <w:p w:rsidR="00AF7299" w:rsidRPr="000919C7" w:rsidRDefault="00AF7299" w:rsidP="00236533">
            <w:pPr>
              <w:spacing w:after="0" w:line="240" w:lineRule="auto"/>
              <w:ind w:firstLine="317"/>
              <w:jc w:val="both"/>
              <w:rPr>
                <w:rFonts w:ascii="Times New Roman" w:hAnsi="Times New Roman"/>
                <w:sz w:val="26"/>
                <w:szCs w:val="26"/>
              </w:rPr>
            </w:pPr>
            <w:r w:rsidRPr="000919C7">
              <w:rPr>
                <w:rFonts w:ascii="Times New Roman" w:hAnsi="Times New Roman"/>
                <w:sz w:val="26"/>
                <w:szCs w:val="26"/>
              </w:rPr>
              <w:t xml:space="preserve">7) VFPS uzkrāto pensijas kapitālu var izmantot ne tikai vecuma pensijas piešķiršanai, bet arī dzīvības apdrošināšanas (mūža polises) iegādei un fondētās pensijas kapitāla pārskaitīšanai Eiropas Savienības </w:t>
            </w:r>
            <w:r w:rsidRPr="000919C7">
              <w:rPr>
                <w:rFonts w:ascii="Times New Roman" w:hAnsi="Times New Roman"/>
                <w:sz w:val="26"/>
                <w:szCs w:val="26"/>
              </w:rPr>
              <w:lastRenderedPageBreak/>
              <w:t>pensiju shēmā. Ja šāds uzskaitījums nav nepieciešams, no MK noteikumiem svītrots tikai vecuma pensijas pieprasīšanas gadījums (1., 10., 11., 16. un 19. punkts);</w:t>
            </w:r>
          </w:p>
          <w:p w:rsidR="00AF7299" w:rsidRPr="000919C7" w:rsidRDefault="00AF7299" w:rsidP="00236533">
            <w:pPr>
              <w:spacing w:after="0" w:line="240" w:lineRule="auto"/>
              <w:ind w:firstLine="317"/>
              <w:jc w:val="both"/>
              <w:rPr>
                <w:rFonts w:ascii="Times New Roman" w:hAnsi="Times New Roman"/>
                <w:sz w:val="26"/>
                <w:szCs w:val="26"/>
              </w:rPr>
            </w:pPr>
            <w:r w:rsidRPr="000919C7">
              <w:rPr>
                <w:rFonts w:ascii="Times New Roman" w:hAnsi="Times New Roman"/>
                <w:sz w:val="26"/>
                <w:szCs w:val="26"/>
              </w:rPr>
              <w:t xml:space="preserve">8) VSAA nodrošina, lai VFPS dalībniekiem būtu pieejama informācija gan par līdzekļu pārvaldītājiem, ieguldījumu plāniem, </w:t>
            </w:r>
            <w:proofErr w:type="gramStart"/>
            <w:r w:rsidRPr="000919C7">
              <w:rPr>
                <w:rFonts w:ascii="Times New Roman" w:hAnsi="Times New Roman"/>
                <w:sz w:val="26"/>
                <w:szCs w:val="26"/>
              </w:rPr>
              <w:t>VFPS uzkrāto pensijas kapitālu, par veiktajām valsts sociālās apdrošināšanas obligātajām iemaksām</w:t>
            </w:r>
            <w:proofErr w:type="gramEnd"/>
            <w:r w:rsidRPr="000919C7">
              <w:rPr>
                <w:rFonts w:ascii="Times New Roman" w:hAnsi="Times New Roman"/>
                <w:sz w:val="26"/>
                <w:szCs w:val="26"/>
              </w:rPr>
              <w:t xml:space="preserve"> u.c. saistīto informāciju (12., 13.un 14.punkts);</w:t>
            </w:r>
          </w:p>
          <w:p w:rsidR="00AF7299" w:rsidRPr="001B34C4" w:rsidRDefault="00AF7299" w:rsidP="00236533">
            <w:pPr>
              <w:pStyle w:val="tv2132"/>
              <w:spacing w:line="240" w:lineRule="auto"/>
              <w:ind w:firstLine="317"/>
              <w:jc w:val="both"/>
              <w:rPr>
                <w:bCs/>
                <w:color w:val="auto"/>
                <w:sz w:val="26"/>
                <w:szCs w:val="26"/>
              </w:rPr>
            </w:pPr>
            <w:r w:rsidRPr="001B34C4">
              <w:rPr>
                <w:color w:val="auto"/>
                <w:sz w:val="26"/>
                <w:szCs w:val="26"/>
              </w:rPr>
              <w:t>9) uz kādu adresi VFPS dalībniekam nepieciešamības gadījumā nosūtīt informāciju, lai tā sasniegtu adresātu (15.punkts);</w:t>
            </w:r>
          </w:p>
          <w:p w:rsidR="00AF7299" w:rsidRPr="001B34C4" w:rsidRDefault="00AF7299" w:rsidP="00236533">
            <w:pPr>
              <w:pStyle w:val="tv2132"/>
              <w:spacing w:line="240" w:lineRule="auto"/>
              <w:ind w:firstLine="317"/>
              <w:jc w:val="both"/>
              <w:rPr>
                <w:bCs/>
                <w:color w:val="auto"/>
                <w:sz w:val="26"/>
                <w:szCs w:val="26"/>
              </w:rPr>
            </w:pPr>
            <w:r w:rsidRPr="001B34C4">
              <w:rPr>
                <w:sz w:val="26"/>
                <w:szCs w:val="26"/>
              </w:rPr>
              <w:t>10) VSAA nosaka un informē VFPS dalībnieku par termiņu, kādā ir jānoslēdz mūža pensijas apdrošināšanas līgums (17.un 18.punkts);</w:t>
            </w:r>
          </w:p>
          <w:p w:rsidR="00AF7299" w:rsidRPr="001B34C4" w:rsidRDefault="00AF7299" w:rsidP="00236533">
            <w:pPr>
              <w:pStyle w:val="tv2132"/>
              <w:spacing w:line="240" w:lineRule="auto"/>
              <w:ind w:firstLine="317"/>
              <w:jc w:val="both"/>
              <w:rPr>
                <w:bCs/>
                <w:color w:val="auto"/>
                <w:sz w:val="26"/>
                <w:szCs w:val="26"/>
              </w:rPr>
            </w:pPr>
            <w:r w:rsidRPr="001B34C4">
              <w:rPr>
                <w:sz w:val="26"/>
                <w:szCs w:val="26"/>
              </w:rPr>
              <w:t>11) kārtību, kādā mūža pensija būtu jāizmaksā labuma guvējam, ja VFPS dalībnieks miris pēc mūža pensijas apdrošināšanas līguma noslēgšanas, bet tas vēl nav stājies spēkā (21.punkts).</w:t>
            </w:r>
          </w:p>
          <w:p w:rsidR="00AF7299" w:rsidRPr="000919C7" w:rsidRDefault="00AF7299" w:rsidP="003336B2">
            <w:pPr>
              <w:spacing w:after="0" w:line="240" w:lineRule="auto"/>
              <w:ind w:firstLine="317"/>
              <w:jc w:val="both"/>
              <w:rPr>
                <w:rFonts w:ascii="Times New Roman" w:hAnsi="Times New Roman"/>
                <w:bCs/>
                <w:sz w:val="26"/>
                <w:szCs w:val="26"/>
              </w:rPr>
            </w:pPr>
            <w:r w:rsidRPr="000919C7">
              <w:rPr>
                <w:rFonts w:ascii="Times New Roman" w:hAnsi="Times New Roman"/>
                <w:sz w:val="26"/>
                <w:szCs w:val="26"/>
              </w:rPr>
              <w:t>Veikti tehniski grozījumi MK noteikumu 18.1.8.apakšpunktā (MK noteikumu projekta 5.punkts), svītrojot vārdus „un īss apraksts”, jo plāna prospekti ir publiski pieejami un ar tiem ir iespējams iepazīties. Redakcionāli precizēts 69.3.apakšpunkts (MK noteikumu projekta 20.punkts).</w:t>
            </w:r>
          </w:p>
          <w:p w:rsidR="00AF7299" w:rsidRPr="000919C7" w:rsidRDefault="00AF7299" w:rsidP="003336B2">
            <w:pPr>
              <w:spacing w:after="0" w:line="240" w:lineRule="auto"/>
              <w:ind w:firstLine="317"/>
              <w:jc w:val="both"/>
              <w:rPr>
                <w:rFonts w:ascii="Times New Roman" w:hAnsi="Times New Roman"/>
                <w:bCs/>
                <w:sz w:val="26"/>
                <w:szCs w:val="26"/>
              </w:rPr>
            </w:pPr>
          </w:p>
        </w:tc>
      </w:tr>
      <w:tr w:rsidR="00AF7299" w:rsidRPr="000919C7" w:rsidTr="00236533">
        <w:trPr>
          <w:trHeight w:val="2"/>
        </w:trPr>
        <w:tc>
          <w:tcPr>
            <w:tcW w:w="227" w:type="pct"/>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sz w:val="26"/>
                <w:szCs w:val="26"/>
                <w:lang w:eastAsia="lv-LV"/>
              </w:rPr>
              <w:lastRenderedPageBreak/>
              <w:t>3.</w:t>
            </w:r>
          </w:p>
        </w:tc>
        <w:tc>
          <w:tcPr>
            <w:tcW w:w="1640" w:type="pct"/>
          </w:tcPr>
          <w:p w:rsidR="00AF7299" w:rsidRPr="00E01B33" w:rsidRDefault="00AF7299" w:rsidP="00236533">
            <w:pPr>
              <w:spacing w:after="0" w:line="240" w:lineRule="auto"/>
              <w:ind w:left="140" w:right="188"/>
              <w:rPr>
                <w:rFonts w:ascii="Times New Roman" w:hAnsi="Times New Roman"/>
                <w:sz w:val="26"/>
                <w:szCs w:val="26"/>
                <w:lang w:eastAsia="lv-LV"/>
              </w:rPr>
            </w:pPr>
            <w:r w:rsidRPr="00E01B33">
              <w:rPr>
                <w:rFonts w:ascii="Times New Roman" w:hAnsi="Times New Roman"/>
                <w:sz w:val="26"/>
                <w:szCs w:val="26"/>
                <w:lang w:eastAsia="lv-LV"/>
              </w:rPr>
              <w:t>Projekta izstrādē iesaistītās institūcijas</w:t>
            </w:r>
          </w:p>
        </w:tc>
        <w:tc>
          <w:tcPr>
            <w:tcW w:w="3133" w:type="pct"/>
          </w:tcPr>
          <w:p w:rsidR="00AF7299" w:rsidRDefault="00AF7299" w:rsidP="003336B2">
            <w:pPr>
              <w:spacing w:after="120" w:line="240" w:lineRule="auto"/>
              <w:ind w:left="142" w:right="142" w:firstLine="312"/>
              <w:jc w:val="both"/>
              <w:rPr>
                <w:rFonts w:ascii="Times New Roman" w:hAnsi="Times New Roman"/>
                <w:iCs/>
                <w:sz w:val="26"/>
                <w:szCs w:val="26"/>
              </w:rPr>
            </w:pPr>
            <w:r w:rsidRPr="000919C7">
              <w:rPr>
                <w:rFonts w:ascii="Times New Roman" w:hAnsi="Times New Roman"/>
                <w:iCs/>
                <w:sz w:val="26"/>
                <w:szCs w:val="26"/>
              </w:rPr>
              <w:t>Izmaiņas MK noteikumos tika pārrunātas ar VSAA, Latvijas Apdrošināšanas asociāciju, Finanšu un kapitāla tirgus komisiju un Latvijas Komercbanku asociāciju, kā arī grozījumi tika nosūtīti saskaņošanai.</w:t>
            </w:r>
          </w:p>
          <w:p w:rsidR="00683355" w:rsidRPr="000919C7" w:rsidRDefault="00683355" w:rsidP="003336B2">
            <w:pPr>
              <w:spacing w:after="120" w:line="240" w:lineRule="auto"/>
              <w:ind w:left="142" w:right="142" w:firstLine="312"/>
              <w:jc w:val="both"/>
              <w:rPr>
                <w:rFonts w:ascii="Times New Roman" w:hAnsi="Times New Roman"/>
                <w:iCs/>
                <w:sz w:val="26"/>
                <w:szCs w:val="26"/>
              </w:rPr>
            </w:pPr>
          </w:p>
        </w:tc>
      </w:tr>
      <w:tr w:rsidR="00AF7299" w:rsidRPr="000919C7" w:rsidTr="00236533">
        <w:trPr>
          <w:trHeight w:val="6"/>
        </w:trPr>
        <w:tc>
          <w:tcPr>
            <w:tcW w:w="227" w:type="pct"/>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sz w:val="26"/>
                <w:szCs w:val="26"/>
                <w:lang w:eastAsia="lv-LV"/>
              </w:rPr>
              <w:t>4.</w:t>
            </w:r>
          </w:p>
        </w:tc>
        <w:tc>
          <w:tcPr>
            <w:tcW w:w="1640" w:type="pct"/>
          </w:tcPr>
          <w:p w:rsidR="00AF7299" w:rsidRPr="00E01B33" w:rsidRDefault="00AF7299" w:rsidP="00236533">
            <w:pPr>
              <w:spacing w:after="0" w:line="240" w:lineRule="auto"/>
              <w:ind w:left="140" w:right="188"/>
              <w:rPr>
                <w:rFonts w:ascii="Times New Roman" w:hAnsi="Times New Roman"/>
                <w:sz w:val="26"/>
                <w:szCs w:val="26"/>
                <w:lang w:eastAsia="lv-LV"/>
              </w:rPr>
            </w:pPr>
            <w:r w:rsidRPr="00E01B33">
              <w:rPr>
                <w:rFonts w:ascii="Times New Roman" w:hAnsi="Times New Roman"/>
                <w:sz w:val="26"/>
                <w:szCs w:val="26"/>
                <w:lang w:eastAsia="lv-LV"/>
              </w:rPr>
              <w:t>Cita informācija</w:t>
            </w:r>
          </w:p>
        </w:tc>
        <w:tc>
          <w:tcPr>
            <w:tcW w:w="3133" w:type="pct"/>
          </w:tcPr>
          <w:p w:rsidR="00AF7299" w:rsidRDefault="00AF7299" w:rsidP="00236533">
            <w:pPr>
              <w:spacing w:after="0" w:line="240" w:lineRule="auto"/>
              <w:ind w:left="96" w:right="-1"/>
              <w:jc w:val="both"/>
              <w:rPr>
                <w:rFonts w:ascii="Times New Roman" w:hAnsi="Times New Roman"/>
                <w:sz w:val="26"/>
                <w:szCs w:val="26"/>
                <w:lang w:eastAsia="lv-LV"/>
              </w:rPr>
            </w:pPr>
            <w:r w:rsidRPr="001B34C4">
              <w:rPr>
                <w:rFonts w:ascii="Times New Roman" w:hAnsi="Times New Roman"/>
                <w:sz w:val="26"/>
                <w:szCs w:val="26"/>
                <w:lang w:eastAsia="lv-LV"/>
              </w:rPr>
              <w:t>Nav</w:t>
            </w:r>
          </w:p>
          <w:p w:rsidR="00683355" w:rsidRPr="001B34C4" w:rsidRDefault="00683355" w:rsidP="00236533">
            <w:pPr>
              <w:spacing w:after="0" w:line="240" w:lineRule="auto"/>
              <w:ind w:left="96" w:right="-1"/>
              <w:jc w:val="both"/>
              <w:rPr>
                <w:rFonts w:ascii="Times New Roman" w:hAnsi="Times New Roman"/>
                <w:sz w:val="26"/>
                <w:szCs w:val="26"/>
                <w:lang w:eastAsia="lv-LV"/>
              </w:rPr>
            </w:pPr>
          </w:p>
        </w:tc>
      </w:tr>
    </w:tbl>
    <w:p w:rsidR="00AF7299" w:rsidRPr="00E01B33" w:rsidRDefault="00AF7299" w:rsidP="00EA0625">
      <w:pPr>
        <w:spacing w:after="0" w:line="240" w:lineRule="auto"/>
        <w:ind w:right="-1"/>
        <w:rPr>
          <w:rFonts w:ascii="Times New Roman" w:hAnsi="Times New Roman"/>
          <w:sz w:val="26"/>
          <w:szCs w:val="26"/>
        </w:rPr>
      </w:pPr>
    </w:p>
    <w:tbl>
      <w:tblPr>
        <w:tblpPr w:leftFromText="180" w:rightFromText="180" w:vertAnchor="text" w:horzAnchor="margin" w:tblpXSpec="center" w:tblpY="119"/>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18"/>
        <w:gridCol w:w="6092"/>
      </w:tblGrid>
      <w:tr w:rsidR="00AF7299" w:rsidRPr="000919C7" w:rsidTr="00236533">
        <w:trPr>
          <w:trHeight w:val="11"/>
        </w:trPr>
        <w:tc>
          <w:tcPr>
            <w:tcW w:w="9641" w:type="dxa"/>
            <w:gridSpan w:val="3"/>
            <w:vAlign w:val="center"/>
          </w:tcPr>
          <w:p w:rsidR="00AF7299" w:rsidRPr="00E01B33" w:rsidRDefault="00AF7299" w:rsidP="00236533">
            <w:pPr>
              <w:spacing w:after="0" w:line="240" w:lineRule="auto"/>
              <w:ind w:right="-1"/>
              <w:jc w:val="center"/>
              <w:rPr>
                <w:rFonts w:ascii="Times New Roman" w:hAnsi="Times New Roman"/>
                <w:b/>
                <w:sz w:val="26"/>
                <w:szCs w:val="26"/>
                <w:lang w:eastAsia="lv-LV"/>
              </w:rPr>
            </w:pPr>
            <w:r w:rsidRPr="00E01B33">
              <w:rPr>
                <w:rFonts w:ascii="Times New Roman" w:hAnsi="Times New Roman"/>
                <w:b/>
                <w:sz w:val="26"/>
                <w:szCs w:val="26"/>
                <w:lang w:eastAsia="lv-LV"/>
              </w:rPr>
              <w:t>II. Tiesību akta projekta ietekme uz sabiedrību, tautsaimniecības attīstību</w:t>
            </w:r>
          </w:p>
          <w:p w:rsidR="00AF7299" w:rsidRPr="00E01B33" w:rsidRDefault="00AF7299" w:rsidP="00236533">
            <w:pPr>
              <w:spacing w:after="0" w:line="240" w:lineRule="auto"/>
              <w:ind w:right="-1"/>
              <w:jc w:val="center"/>
              <w:rPr>
                <w:rFonts w:ascii="Times New Roman" w:hAnsi="Times New Roman"/>
                <w:b/>
                <w:sz w:val="26"/>
                <w:szCs w:val="26"/>
                <w:lang w:eastAsia="lv-LV"/>
              </w:rPr>
            </w:pPr>
            <w:r w:rsidRPr="00E01B33">
              <w:rPr>
                <w:rFonts w:ascii="Times New Roman" w:hAnsi="Times New Roman"/>
                <w:b/>
                <w:sz w:val="26"/>
                <w:szCs w:val="26"/>
                <w:lang w:eastAsia="lv-LV"/>
              </w:rPr>
              <w:t>un administratīvo slogu</w:t>
            </w:r>
          </w:p>
        </w:tc>
      </w:tr>
      <w:tr w:rsidR="00AF7299" w:rsidRPr="000919C7" w:rsidTr="00236533">
        <w:trPr>
          <w:trHeight w:val="9"/>
        </w:trPr>
        <w:tc>
          <w:tcPr>
            <w:tcW w:w="431" w:type="dxa"/>
          </w:tcPr>
          <w:p w:rsidR="00AF7299" w:rsidRPr="00E01B33" w:rsidRDefault="00AF7299" w:rsidP="00236533">
            <w:pPr>
              <w:spacing w:after="0" w:line="240" w:lineRule="auto"/>
              <w:ind w:right="-142"/>
              <w:jc w:val="center"/>
              <w:rPr>
                <w:rFonts w:ascii="Times New Roman" w:hAnsi="Times New Roman"/>
                <w:sz w:val="26"/>
                <w:szCs w:val="26"/>
                <w:lang w:eastAsia="lv-LV"/>
              </w:rPr>
            </w:pPr>
            <w:r w:rsidRPr="00E01B33">
              <w:rPr>
                <w:rFonts w:ascii="Times New Roman" w:hAnsi="Times New Roman"/>
                <w:sz w:val="26"/>
                <w:szCs w:val="26"/>
                <w:lang w:eastAsia="lv-LV"/>
              </w:rPr>
              <w:t>1.</w:t>
            </w:r>
          </w:p>
        </w:tc>
        <w:tc>
          <w:tcPr>
            <w:tcW w:w="3118" w:type="dxa"/>
          </w:tcPr>
          <w:p w:rsidR="00AF7299" w:rsidRPr="00E01B33" w:rsidRDefault="00AF7299" w:rsidP="00236533">
            <w:pPr>
              <w:spacing w:after="0" w:line="240" w:lineRule="auto"/>
              <w:ind w:left="142" w:right="142"/>
              <w:rPr>
                <w:rFonts w:ascii="Times New Roman" w:hAnsi="Times New Roman"/>
                <w:sz w:val="26"/>
                <w:szCs w:val="26"/>
                <w:lang w:eastAsia="lv-LV"/>
              </w:rPr>
            </w:pPr>
            <w:r w:rsidRPr="00E01B33">
              <w:rPr>
                <w:rFonts w:ascii="Times New Roman" w:hAnsi="Times New Roman"/>
                <w:sz w:val="26"/>
                <w:szCs w:val="26"/>
                <w:lang w:eastAsia="lv-LV"/>
              </w:rPr>
              <w:t>Sabiedrības mērķgrupas, kuras tiesiskais regulējums ietekmē vai varētu ietekmēt</w:t>
            </w:r>
          </w:p>
        </w:tc>
        <w:tc>
          <w:tcPr>
            <w:tcW w:w="6092" w:type="dxa"/>
          </w:tcPr>
          <w:p w:rsidR="00AF7299" w:rsidRPr="000919C7" w:rsidRDefault="00AF7299" w:rsidP="00236533">
            <w:pPr>
              <w:spacing w:after="0" w:line="240" w:lineRule="auto"/>
              <w:ind w:left="142" w:right="141" w:firstLine="425"/>
              <w:jc w:val="both"/>
              <w:rPr>
                <w:rFonts w:ascii="Times New Roman" w:hAnsi="Times New Roman"/>
                <w:sz w:val="26"/>
                <w:szCs w:val="26"/>
                <w:lang w:eastAsia="lv-LV"/>
              </w:rPr>
            </w:pPr>
            <w:bookmarkStart w:id="1" w:name="p21"/>
            <w:bookmarkEnd w:id="1"/>
            <w:r w:rsidRPr="000919C7">
              <w:rPr>
                <w:rFonts w:ascii="Times New Roman" w:hAnsi="Times New Roman"/>
                <w:sz w:val="26"/>
                <w:szCs w:val="26"/>
                <w:lang w:eastAsia="lv-LV"/>
              </w:rPr>
              <w:t xml:space="preserve">2017.gada 21.novembrī VFPS dalībniekiem bija pieejami 23 ieguldījumu plāni, kurus pārvaldīja astoņi līdzekļu pārvaldītāji. </w:t>
            </w:r>
          </w:p>
          <w:p w:rsidR="00AF7299" w:rsidRPr="000919C7" w:rsidRDefault="00AF7299" w:rsidP="00236533">
            <w:pPr>
              <w:spacing w:after="0" w:line="240" w:lineRule="auto"/>
              <w:ind w:left="142" w:right="141" w:firstLine="425"/>
              <w:jc w:val="both"/>
              <w:rPr>
                <w:rFonts w:ascii="Times New Roman" w:hAnsi="Times New Roman"/>
                <w:sz w:val="26"/>
                <w:szCs w:val="26"/>
                <w:lang w:eastAsia="lv-LV"/>
              </w:rPr>
            </w:pPr>
            <w:r w:rsidRPr="000919C7">
              <w:rPr>
                <w:rFonts w:ascii="Times New Roman" w:hAnsi="Times New Roman"/>
                <w:sz w:val="26"/>
                <w:szCs w:val="26"/>
                <w:lang w:eastAsia="lv-LV"/>
              </w:rPr>
              <w:t>Šobrīd četras apdrošināšanas sabiedrības piedāvā VFPS dalībniekiem iegādāties dzīvības apdrošināšanas (mūža pensijas) polisi. 201</w:t>
            </w:r>
            <w:r>
              <w:rPr>
                <w:rFonts w:ascii="Times New Roman" w:hAnsi="Times New Roman"/>
                <w:sz w:val="26"/>
                <w:szCs w:val="26"/>
                <w:lang w:eastAsia="lv-LV"/>
              </w:rPr>
              <w:t>7</w:t>
            </w:r>
            <w:r w:rsidRPr="000919C7">
              <w:rPr>
                <w:rFonts w:ascii="Times New Roman" w:hAnsi="Times New Roman"/>
                <w:sz w:val="26"/>
                <w:szCs w:val="26"/>
                <w:lang w:eastAsia="lv-LV"/>
              </w:rPr>
              <w:t xml:space="preserve">.gadā </w:t>
            </w:r>
            <w:r>
              <w:rPr>
                <w:rFonts w:ascii="Times New Roman" w:hAnsi="Times New Roman"/>
                <w:sz w:val="26"/>
                <w:szCs w:val="26"/>
                <w:lang w:eastAsia="lv-LV"/>
              </w:rPr>
              <w:t>2695</w:t>
            </w:r>
            <w:r w:rsidRPr="000919C7">
              <w:rPr>
                <w:rFonts w:ascii="Times New Roman" w:hAnsi="Times New Roman"/>
                <w:sz w:val="26"/>
                <w:szCs w:val="26"/>
                <w:lang w:eastAsia="lv-LV"/>
              </w:rPr>
              <w:t xml:space="preserve"> VFPS dalībnieki (</w:t>
            </w:r>
            <w:r>
              <w:rPr>
                <w:rFonts w:ascii="Times New Roman" w:hAnsi="Times New Roman"/>
                <w:sz w:val="26"/>
                <w:szCs w:val="26"/>
                <w:lang w:eastAsia="lv-LV"/>
              </w:rPr>
              <w:t>19</w:t>
            </w:r>
            <w:r w:rsidRPr="000919C7">
              <w:rPr>
                <w:rFonts w:ascii="Times New Roman" w:hAnsi="Times New Roman"/>
                <w:sz w:val="26"/>
                <w:szCs w:val="26"/>
                <w:lang w:eastAsia="lv-LV"/>
              </w:rPr>
              <w:t xml:space="preserve">%), kas izstājušies no VFPS, sasniedzot pensijas vecumu, iegādājās mūža pensijas polisi.  </w:t>
            </w:r>
          </w:p>
          <w:p w:rsidR="00AF7299" w:rsidRPr="000919C7" w:rsidRDefault="00AF7299" w:rsidP="00236533">
            <w:pPr>
              <w:spacing w:after="0" w:line="240" w:lineRule="auto"/>
              <w:ind w:left="142" w:right="141" w:firstLine="425"/>
              <w:jc w:val="both"/>
              <w:rPr>
                <w:rFonts w:ascii="Times New Roman" w:hAnsi="Times New Roman"/>
                <w:sz w:val="26"/>
                <w:szCs w:val="26"/>
                <w:lang w:eastAsia="lv-LV"/>
              </w:rPr>
            </w:pPr>
            <w:r w:rsidRPr="000919C7">
              <w:rPr>
                <w:rFonts w:ascii="Times New Roman" w:hAnsi="Times New Roman"/>
                <w:sz w:val="26"/>
                <w:szCs w:val="26"/>
                <w:lang w:eastAsia="lv-LV"/>
              </w:rPr>
              <w:lastRenderedPageBreak/>
              <w:t>2017.gada 30.jūnijā VFPS bija reģistrēti 1 268,5 tūkst. dalībnieku, no tiem kā obligātie shēmas dalībnieki bija reģistrēti 808,8 tūkst. personu un brīvprātīgie – 459,7 tūkst. personu.</w:t>
            </w:r>
          </w:p>
          <w:p w:rsidR="00AF7299" w:rsidRPr="00E01B33" w:rsidRDefault="00AF7299" w:rsidP="00236533">
            <w:pPr>
              <w:spacing w:after="0" w:line="240" w:lineRule="auto"/>
              <w:ind w:left="142" w:right="141" w:firstLine="425"/>
              <w:jc w:val="both"/>
              <w:rPr>
                <w:rFonts w:ascii="Times New Roman" w:hAnsi="Times New Roman"/>
                <w:sz w:val="26"/>
                <w:szCs w:val="26"/>
              </w:rPr>
            </w:pPr>
          </w:p>
        </w:tc>
      </w:tr>
      <w:tr w:rsidR="00AF7299" w:rsidRPr="000919C7" w:rsidTr="00236533">
        <w:trPr>
          <w:trHeight w:val="5"/>
        </w:trPr>
        <w:tc>
          <w:tcPr>
            <w:tcW w:w="431" w:type="dxa"/>
          </w:tcPr>
          <w:p w:rsidR="00AF7299" w:rsidRPr="00E01B33" w:rsidRDefault="00AF7299" w:rsidP="00236533">
            <w:pPr>
              <w:spacing w:after="0" w:line="240" w:lineRule="auto"/>
              <w:ind w:right="-142"/>
              <w:jc w:val="center"/>
              <w:rPr>
                <w:rFonts w:ascii="Times New Roman" w:hAnsi="Times New Roman"/>
                <w:sz w:val="26"/>
                <w:szCs w:val="26"/>
                <w:lang w:eastAsia="lv-LV"/>
              </w:rPr>
            </w:pPr>
            <w:r w:rsidRPr="00E01B33">
              <w:rPr>
                <w:rFonts w:ascii="Times New Roman" w:hAnsi="Times New Roman"/>
                <w:sz w:val="26"/>
                <w:szCs w:val="26"/>
                <w:lang w:eastAsia="lv-LV"/>
              </w:rPr>
              <w:lastRenderedPageBreak/>
              <w:t>2.</w:t>
            </w:r>
          </w:p>
        </w:tc>
        <w:tc>
          <w:tcPr>
            <w:tcW w:w="3118" w:type="dxa"/>
          </w:tcPr>
          <w:p w:rsidR="00AF7299" w:rsidRPr="00E01B33" w:rsidRDefault="00AF7299" w:rsidP="00236533">
            <w:pPr>
              <w:spacing w:after="0" w:line="240" w:lineRule="auto"/>
              <w:ind w:left="142" w:right="142"/>
              <w:rPr>
                <w:rFonts w:ascii="Times New Roman" w:hAnsi="Times New Roman"/>
                <w:sz w:val="26"/>
                <w:szCs w:val="26"/>
                <w:lang w:eastAsia="lv-LV"/>
              </w:rPr>
            </w:pPr>
            <w:r w:rsidRPr="00E01B33">
              <w:rPr>
                <w:rFonts w:ascii="Times New Roman" w:hAnsi="Times New Roman"/>
                <w:sz w:val="26"/>
                <w:szCs w:val="26"/>
                <w:lang w:eastAsia="lv-LV"/>
              </w:rPr>
              <w:t>Tiesiskā regulējuma ietekme uz tautsaimniecību un administratīvo slogu</w:t>
            </w:r>
          </w:p>
        </w:tc>
        <w:tc>
          <w:tcPr>
            <w:tcW w:w="6092" w:type="dxa"/>
          </w:tcPr>
          <w:p w:rsidR="00AF7299" w:rsidRPr="000919C7" w:rsidRDefault="00AF7299" w:rsidP="00236533">
            <w:pPr>
              <w:shd w:val="clear" w:color="auto" w:fill="FFFFFF"/>
              <w:spacing w:after="0" w:line="240" w:lineRule="auto"/>
              <w:ind w:right="141" w:firstLine="142"/>
              <w:jc w:val="both"/>
              <w:rPr>
                <w:rFonts w:ascii="Times New Roman" w:hAnsi="Times New Roman"/>
                <w:sz w:val="26"/>
                <w:szCs w:val="26"/>
              </w:rPr>
            </w:pPr>
            <w:r>
              <w:rPr>
                <w:rFonts w:ascii="Times New Roman" w:hAnsi="Times New Roman"/>
                <w:sz w:val="26"/>
                <w:szCs w:val="26"/>
              </w:rPr>
              <w:t>MK noteikumu p</w:t>
            </w:r>
            <w:r w:rsidRPr="00E01B33">
              <w:rPr>
                <w:rFonts w:ascii="Times New Roman" w:hAnsi="Times New Roman"/>
                <w:sz w:val="26"/>
                <w:szCs w:val="26"/>
              </w:rPr>
              <w:t>rojekts šo jomu neskar.</w:t>
            </w:r>
          </w:p>
        </w:tc>
      </w:tr>
      <w:tr w:rsidR="00AF7299" w:rsidRPr="000919C7" w:rsidTr="00236533">
        <w:trPr>
          <w:trHeight w:val="10"/>
        </w:trPr>
        <w:tc>
          <w:tcPr>
            <w:tcW w:w="431" w:type="dxa"/>
          </w:tcPr>
          <w:p w:rsidR="00AF7299" w:rsidRPr="00E01B33" w:rsidRDefault="00AF7299" w:rsidP="00236533">
            <w:pPr>
              <w:spacing w:after="0" w:line="240" w:lineRule="auto"/>
              <w:ind w:right="-142"/>
              <w:jc w:val="center"/>
              <w:rPr>
                <w:rFonts w:ascii="Times New Roman" w:hAnsi="Times New Roman"/>
                <w:sz w:val="26"/>
                <w:szCs w:val="26"/>
                <w:lang w:eastAsia="lv-LV"/>
              </w:rPr>
            </w:pPr>
            <w:r w:rsidRPr="00E01B33">
              <w:rPr>
                <w:rFonts w:ascii="Times New Roman" w:hAnsi="Times New Roman"/>
                <w:sz w:val="26"/>
                <w:szCs w:val="26"/>
                <w:lang w:eastAsia="lv-LV"/>
              </w:rPr>
              <w:t>3.</w:t>
            </w:r>
          </w:p>
        </w:tc>
        <w:tc>
          <w:tcPr>
            <w:tcW w:w="3118" w:type="dxa"/>
          </w:tcPr>
          <w:p w:rsidR="00AF7299" w:rsidRPr="00E01B33" w:rsidRDefault="00AF7299" w:rsidP="00236533">
            <w:pPr>
              <w:spacing w:after="0" w:line="240" w:lineRule="auto"/>
              <w:ind w:left="142" w:right="142"/>
              <w:rPr>
                <w:rFonts w:ascii="Times New Roman" w:hAnsi="Times New Roman"/>
                <w:sz w:val="26"/>
                <w:szCs w:val="26"/>
                <w:lang w:eastAsia="lv-LV"/>
              </w:rPr>
            </w:pPr>
            <w:r w:rsidRPr="00E01B33">
              <w:rPr>
                <w:rFonts w:ascii="Times New Roman" w:hAnsi="Times New Roman"/>
                <w:sz w:val="26"/>
                <w:szCs w:val="26"/>
                <w:lang w:eastAsia="lv-LV"/>
              </w:rPr>
              <w:t>Administratīvo izmaksu monetārs novērtējums</w:t>
            </w:r>
          </w:p>
        </w:tc>
        <w:tc>
          <w:tcPr>
            <w:tcW w:w="6092" w:type="dxa"/>
          </w:tcPr>
          <w:p w:rsidR="00AF7299" w:rsidRPr="00E01B33" w:rsidRDefault="00AF7299" w:rsidP="00236533">
            <w:pPr>
              <w:shd w:val="clear" w:color="auto" w:fill="FFFFFF"/>
              <w:spacing w:after="0" w:line="240" w:lineRule="auto"/>
              <w:ind w:left="142" w:right="141"/>
              <w:jc w:val="both"/>
              <w:rPr>
                <w:rFonts w:ascii="Times New Roman" w:hAnsi="Times New Roman"/>
                <w:sz w:val="26"/>
                <w:szCs w:val="26"/>
                <w:lang w:eastAsia="lv-LV"/>
              </w:rPr>
            </w:pPr>
            <w:r>
              <w:rPr>
                <w:rFonts w:ascii="Times New Roman" w:hAnsi="Times New Roman"/>
                <w:sz w:val="26"/>
                <w:szCs w:val="26"/>
              </w:rPr>
              <w:t>MK noteikumu p</w:t>
            </w:r>
            <w:r w:rsidRPr="00E01B33">
              <w:rPr>
                <w:rFonts w:ascii="Times New Roman" w:hAnsi="Times New Roman"/>
                <w:sz w:val="26"/>
                <w:szCs w:val="26"/>
              </w:rPr>
              <w:t>rojekts šo jomu neskar.</w:t>
            </w:r>
          </w:p>
        </w:tc>
      </w:tr>
      <w:tr w:rsidR="00AF7299" w:rsidRPr="000919C7" w:rsidTr="00236533">
        <w:trPr>
          <w:trHeight w:val="8"/>
        </w:trPr>
        <w:tc>
          <w:tcPr>
            <w:tcW w:w="431" w:type="dxa"/>
          </w:tcPr>
          <w:p w:rsidR="00AF7299" w:rsidRPr="00E01B33" w:rsidRDefault="00AF7299" w:rsidP="00236533">
            <w:pPr>
              <w:spacing w:after="0" w:line="240" w:lineRule="auto"/>
              <w:ind w:right="-142"/>
              <w:jc w:val="center"/>
              <w:rPr>
                <w:rFonts w:ascii="Times New Roman" w:hAnsi="Times New Roman"/>
                <w:sz w:val="26"/>
                <w:szCs w:val="26"/>
                <w:lang w:eastAsia="lv-LV"/>
              </w:rPr>
            </w:pPr>
            <w:r w:rsidRPr="00E01B33">
              <w:rPr>
                <w:rFonts w:ascii="Times New Roman" w:hAnsi="Times New Roman"/>
                <w:sz w:val="26"/>
                <w:szCs w:val="26"/>
                <w:lang w:eastAsia="lv-LV"/>
              </w:rPr>
              <w:t>4.</w:t>
            </w:r>
          </w:p>
        </w:tc>
        <w:tc>
          <w:tcPr>
            <w:tcW w:w="3118" w:type="dxa"/>
          </w:tcPr>
          <w:p w:rsidR="00AF7299" w:rsidRPr="00E01B33" w:rsidRDefault="00AF7299" w:rsidP="00236533">
            <w:pPr>
              <w:spacing w:after="0" w:line="240" w:lineRule="auto"/>
              <w:ind w:left="142" w:right="142"/>
              <w:rPr>
                <w:rFonts w:ascii="Times New Roman" w:hAnsi="Times New Roman"/>
                <w:sz w:val="26"/>
                <w:szCs w:val="26"/>
                <w:lang w:eastAsia="lv-LV"/>
              </w:rPr>
            </w:pPr>
            <w:r w:rsidRPr="00E01B33">
              <w:rPr>
                <w:rFonts w:ascii="Times New Roman" w:hAnsi="Times New Roman"/>
                <w:sz w:val="26"/>
                <w:szCs w:val="26"/>
                <w:lang w:eastAsia="lv-LV"/>
              </w:rPr>
              <w:t>Cita informācija</w:t>
            </w:r>
          </w:p>
        </w:tc>
        <w:tc>
          <w:tcPr>
            <w:tcW w:w="6092" w:type="dxa"/>
          </w:tcPr>
          <w:p w:rsidR="00AF7299" w:rsidRDefault="00AF7299" w:rsidP="00ED4270">
            <w:pPr>
              <w:shd w:val="clear" w:color="auto" w:fill="FFFFFF"/>
              <w:spacing w:after="0" w:line="240" w:lineRule="auto"/>
              <w:ind w:left="142" w:right="-1"/>
              <w:jc w:val="both"/>
              <w:rPr>
                <w:rFonts w:ascii="Times New Roman" w:hAnsi="Times New Roman"/>
                <w:sz w:val="26"/>
                <w:szCs w:val="26"/>
                <w:lang w:eastAsia="lv-LV"/>
              </w:rPr>
            </w:pPr>
            <w:r w:rsidRPr="00E01B33">
              <w:rPr>
                <w:rFonts w:ascii="Times New Roman" w:hAnsi="Times New Roman"/>
                <w:sz w:val="26"/>
                <w:szCs w:val="26"/>
                <w:lang w:eastAsia="lv-LV"/>
              </w:rPr>
              <w:t xml:space="preserve">Nav </w:t>
            </w:r>
          </w:p>
          <w:p w:rsidR="00683355" w:rsidRPr="00E01B33" w:rsidRDefault="00683355" w:rsidP="00ED4270">
            <w:pPr>
              <w:shd w:val="clear" w:color="auto" w:fill="FFFFFF"/>
              <w:spacing w:after="0" w:line="240" w:lineRule="auto"/>
              <w:ind w:left="142" w:right="-1"/>
              <w:jc w:val="both"/>
              <w:rPr>
                <w:rFonts w:ascii="Times New Roman" w:hAnsi="Times New Roman"/>
                <w:sz w:val="26"/>
                <w:szCs w:val="26"/>
                <w:lang w:eastAsia="lv-LV"/>
              </w:rPr>
            </w:pPr>
          </w:p>
        </w:tc>
      </w:tr>
    </w:tbl>
    <w:p w:rsidR="00AF7299" w:rsidRPr="00E01B33" w:rsidRDefault="00AF7299" w:rsidP="00EA0625">
      <w:pPr>
        <w:spacing w:after="0" w:line="240" w:lineRule="auto"/>
        <w:ind w:right="-1"/>
        <w:rPr>
          <w:rFonts w:ascii="Times New Roman" w:hAnsi="Times New Roman"/>
          <w:sz w:val="26"/>
          <w:szCs w:val="26"/>
        </w:rPr>
      </w:pPr>
    </w:p>
    <w:p w:rsidR="00AF7299" w:rsidRPr="00E01B33" w:rsidRDefault="00AF7299" w:rsidP="00EA0625">
      <w:pPr>
        <w:spacing w:after="0" w:line="240" w:lineRule="auto"/>
        <w:ind w:right="-1"/>
        <w:rPr>
          <w:rFonts w:ascii="Times New Roman" w:hAnsi="Times New Roman"/>
          <w:sz w:val="26"/>
          <w:szCs w:val="26"/>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9"/>
        <w:gridCol w:w="3175"/>
        <w:gridCol w:w="5826"/>
      </w:tblGrid>
      <w:tr w:rsidR="00AF7299" w:rsidRPr="000919C7" w:rsidTr="00236533">
        <w:trPr>
          <w:trHeight w:val="414"/>
          <w:jc w:val="center"/>
        </w:trPr>
        <w:tc>
          <w:tcPr>
            <w:tcW w:w="9640" w:type="dxa"/>
            <w:gridSpan w:val="3"/>
            <w:vAlign w:val="center"/>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b/>
                <w:sz w:val="26"/>
                <w:szCs w:val="26"/>
                <w:lang w:eastAsia="lv-LV"/>
              </w:rPr>
              <w:t>VI. Sabiedrības līdzdalība un komunikācijas aktivitātes</w:t>
            </w:r>
          </w:p>
        </w:tc>
      </w:tr>
      <w:tr w:rsidR="00AF7299" w:rsidRPr="000919C7" w:rsidTr="00236533">
        <w:trPr>
          <w:trHeight w:val="544"/>
          <w:jc w:val="center"/>
        </w:trPr>
        <w:tc>
          <w:tcPr>
            <w:tcW w:w="639" w:type="dxa"/>
          </w:tcPr>
          <w:p w:rsidR="00AF7299" w:rsidRPr="00E01B33" w:rsidRDefault="00AF7299" w:rsidP="00236533">
            <w:pPr>
              <w:spacing w:after="0" w:line="240" w:lineRule="auto"/>
              <w:ind w:right="-142"/>
              <w:jc w:val="center"/>
              <w:rPr>
                <w:rFonts w:ascii="Times New Roman" w:hAnsi="Times New Roman"/>
                <w:bCs/>
                <w:sz w:val="26"/>
                <w:szCs w:val="26"/>
              </w:rPr>
            </w:pPr>
            <w:r w:rsidRPr="00E01B33">
              <w:rPr>
                <w:rFonts w:ascii="Times New Roman" w:hAnsi="Times New Roman"/>
                <w:bCs/>
                <w:sz w:val="26"/>
                <w:szCs w:val="26"/>
              </w:rPr>
              <w:t>1.</w:t>
            </w:r>
          </w:p>
        </w:tc>
        <w:tc>
          <w:tcPr>
            <w:tcW w:w="3175" w:type="dxa"/>
          </w:tcPr>
          <w:p w:rsidR="00AF7299" w:rsidRPr="00E01B33" w:rsidRDefault="00AF7299" w:rsidP="00236533">
            <w:pPr>
              <w:tabs>
                <w:tab w:val="left" w:pos="170"/>
              </w:tabs>
              <w:spacing w:after="0" w:line="240" w:lineRule="auto"/>
              <w:ind w:left="142" w:right="97"/>
              <w:rPr>
                <w:rFonts w:ascii="Times New Roman" w:hAnsi="Times New Roman"/>
                <w:sz w:val="26"/>
                <w:szCs w:val="26"/>
                <w:lang w:eastAsia="lv-LV"/>
              </w:rPr>
            </w:pPr>
            <w:r w:rsidRPr="00E01B33">
              <w:rPr>
                <w:rFonts w:ascii="Times New Roman" w:hAnsi="Times New Roman"/>
                <w:sz w:val="26"/>
                <w:szCs w:val="26"/>
                <w:lang w:eastAsia="lv-LV"/>
              </w:rPr>
              <w:t>Plānotās sabiedrības līdzdalības un komunikācijas aktivitātes saistībā ar projektu</w:t>
            </w:r>
          </w:p>
        </w:tc>
        <w:tc>
          <w:tcPr>
            <w:tcW w:w="5826" w:type="dxa"/>
          </w:tcPr>
          <w:p w:rsidR="00AF7299" w:rsidRPr="00F4206B" w:rsidRDefault="00AF7299" w:rsidP="008C08DA">
            <w:pPr>
              <w:autoSpaceDE w:val="0"/>
              <w:autoSpaceDN w:val="0"/>
              <w:adjustRightInd w:val="0"/>
              <w:spacing w:after="0" w:line="240" w:lineRule="auto"/>
              <w:ind w:left="186" w:right="60" w:hanging="12"/>
              <w:jc w:val="both"/>
              <w:rPr>
                <w:rFonts w:ascii="Times New Roman" w:hAnsi="Times New Roman"/>
                <w:sz w:val="24"/>
                <w:szCs w:val="24"/>
                <w:lang w:eastAsia="lv-LV"/>
              </w:rPr>
            </w:pPr>
            <w:bookmarkStart w:id="2" w:name="p61"/>
            <w:bookmarkEnd w:id="2"/>
            <w:r w:rsidRPr="00957E43">
              <w:rPr>
                <w:rFonts w:ascii="Times New Roman" w:hAnsi="Times New Roman"/>
                <w:sz w:val="26"/>
                <w:szCs w:val="26"/>
              </w:rPr>
              <w:t xml:space="preserve">2017.gada </w:t>
            </w:r>
            <w:r>
              <w:rPr>
                <w:rFonts w:ascii="Times New Roman" w:hAnsi="Times New Roman"/>
                <w:sz w:val="26"/>
                <w:szCs w:val="26"/>
              </w:rPr>
              <w:t>4.decembrī</w:t>
            </w:r>
            <w:r w:rsidRPr="00957E43">
              <w:rPr>
                <w:rFonts w:ascii="Times New Roman" w:hAnsi="Times New Roman"/>
                <w:sz w:val="26"/>
                <w:szCs w:val="26"/>
              </w:rPr>
              <w:t xml:space="preserve"> </w:t>
            </w:r>
            <w:r>
              <w:rPr>
                <w:rFonts w:ascii="Times New Roman" w:hAnsi="Times New Roman"/>
                <w:sz w:val="26"/>
                <w:szCs w:val="26"/>
              </w:rPr>
              <w:t>MK noteikumu projekts</w:t>
            </w:r>
            <w:r w:rsidRPr="00957E43">
              <w:rPr>
                <w:rFonts w:ascii="Times New Roman" w:hAnsi="Times New Roman"/>
                <w:sz w:val="26"/>
                <w:szCs w:val="26"/>
              </w:rPr>
              <w:t xml:space="preserve"> tika ievietots Labklājības ministrijas mājas lapā </w:t>
            </w:r>
            <w:hyperlink r:id="rId10" w:history="1">
              <w:r w:rsidRPr="00957E43">
                <w:rPr>
                  <w:rFonts w:ascii="Times New Roman" w:hAnsi="Times New Roman"/>
                  <w:sz w:val="26"/>
                  <w:szCs w:val="26"/>
                </w:rPr>
                <w:t>www.lm.gov.lv</w:t>
              </w:r>
            </w:hyperlink>
            <w:r w:rsidRPr="00957E43">
              <w:rPr>
                <w:rFonts w:ascii="Times New Roman" w:hAnsi="Times New Roman"/>
                <w:sz w:val="26"/>
                <w:szCs w:val="26"/>
              </w:rPr>
              <w:t xml:space="preserve"> viedokļa izteikšanai.</w:t>
            </w:r>
          </w:p>
        </w:tc>
      </w:tr>
      <w:tr w:rsidR="00AF7299" w:rsidRPr="000919C7" w:rsidTr="00236533">
        <w:trPr>
          <w:trHeight w:val="333"/>
          <w:jc w:val="center"/>
        </w:trPr>
        <w:tc>
          <w:tcPr>
            <w:tcW w:w="639" w:type="dxa"/>
          </w:tcPr>
          <w:p w:rsidR="00AF7299" w:rsidRPr="00E01B33" w:rsidRDefault="00AF7299" w:rsidP="00236533">
            <w:pPr>
              <w:spacing w:after="0" w:line="240" w:lineRule="auto"/>
              <w:ind w:right="-142"/>
              <w:jc w:val="center"/>
              <w:rPr>
                <w:rFonts w:ascii="Times New Roman" w:hAnsi="Times New Roman"/>
                <w:bCs/>
                <w:sz w:val="26"/>
                <w:szCs w:val="26"/>
              </w:rPr>
            </w:pPr>
            <w:r w:rsidRPr="00E01B33">
              <w:rPr>
                <w:rFonts w:ascii="Times New Roman" w:hAnsi="Times New Roman"/>
                <w:bCs/>
                <w:sz w:val="26"/>
                <w:szCs w:val="26"/>
              </w:rPr>
              <w:t>2.</w:t>
            </w:r>
          </w:p>
        </w:tc>
        <w:tc>
          <w:tcPr>
            <w:tcW w:w="3175" w:type="dxa"/>
          </w:tcPr>
          <w:p w:rsidR="00AF7299" w:rsidRPr="00E01B33" w:rsidRDefault="00AF7299" w:rsidP="00236533">
            <w:pPr>
              <w:spacing w:after="0" w:line="240" w:lineRule="auto"/>
              <w:ind w:left="142" w:right="97"/>
              <w:rPr>
                <w:rFonts w:ascii="Times New Roman" w:hAnsi="Times New Roman"/>
                <w:sz w:val="26"/>
                <w:szCs w:val="26"/>
                <w:lang w:eastAsia="lv-LV"/>
              </w:rPr>
            </w:pPr>
            <w:r w:rsidRPr="00E01B33">
              <w:rPr>
                <w:rFonts w:ascii="Times New Roman" w:hAnsi="Times New Roman"/>
                <w:sz w:val="26"/>
                <w:szCs w:val="26"/>
                <w:lang w:eastAsia="lv-LV"/>
              </w:rPr>
              <w:t>Sabiedrības līdzdalība projekta izstrādē</w:t>
            </w:r>
          </w:p>
        </w:tc>
        <w:tc>
          <w:tcPr>
            <w:tcW w:w="5826" w:type="dxa"/>
            <w:vMerge w:val="restart"/>
          </w:tcPr>
          <w:p w:rsidR="00AF7299" w:rsidRPr="00E01B33" w:rsidRDefault="00AF7299" w:rsidP="00D341DB">
            <w:pPr>
              <w:spacing w:after="0" w:line="240" w:lineRule="auto"/>
              <w:ind w:left="186" w:right="60" w:hanging="12"/>
              <w:jc w:val="both"/>
              <w:rPr>
                <w:rFonts w:ascii="Times New Roman" w:hAnsi="Times New Roman"/>
                <w:sz w:val="26"/>
                <w:szCs w:val="26"/>
              </w:rPr>
            </w:pPr>
            <w:bookmarkStart w:id="3" w:name="p62"/>
            <w:bookmarkEnd w:id="3"/>
            <w:r w:rsidRPr="00957E43">
              <w:rPr>
                <w:rFonts w:ascii="Times New Roman" w:hAnsi="Times New Roman"/>
                <w:sz w:val="26"/>
                <w:szCs w:val="26"/>
              </w:rPr>
              <w:t xml:space="preserve">Atsauksmes un viedokļi par </w:t>
            </w:r>
            <w:r>
              <w:rPr>
                <w:rFonts w:ascii="Times New Roman" w:hAnsi="Times New Roman"/>
                <w:sz w:val="26"/>
                <w:szCs w:val="26"/>
              </w:rPr>
              <w:t>MK noteikumu projektu</w:t>
            </w:r>
            <w:r w:rsidRPr="00957E43">
              <w:rPr>
                <w:rFonts w:ascii="Times New Roman" w:hAnsi="Times New Roman"/>
                <w:sz w:val="26"/>
                <w:szCs w:val="26"/>
              </w:rPr>
              <w:t xml:space="preserve"> netika saņemti.</w:t>
            </w:r>
            <w:r>
              <w:rPr>
                <w:rFonts w:ascii="Times New Roman" w:hAnsi="Times New Roman"/>
                <w:sz w:val="26"/>
                <w:szCs w:val="26"/>
              </w:rPr>
              <w:t xml:space="preserve"> </w:t>
            </w:r>
          </w:p>
        </w:tc>
      </w:tr>
      <w:tr w:rsidR="00AF7299" w:rsidRPr="000919C7" w:rsidTr="00236533">
        <w:trPr>
          <w:trHeight w:val="468"/>
          <w:jc w:val="center"/>
        </w:trPr>
        <w:tc>
          <w:tcPr>
            <w:tcW w:w="639" w:type="dxa"/>
          </w:tcPr>
          <w:p w:rsidR="00AF7299" w:rsidRPr="00E01B33" w:rsidRDefault="00AF7299" w:rsidP="00236533">
            <w:pPr>
              <w:spacing w:after="0" w:line="240" w:lineRule="auto"/>
              <w:ind w:right="-142"/>
              <w:jc w:val="center"/>
              <w:rPr>
                <w:rFonts w:ascii="Times New Roman" w:hAnsi="Times New Roman"/>
                <w:bCs/>
                <w:sz w:val="26"/>
                <w:szCs w:val="26"/>
              </w:rPr>
            </w:pPr>
            <w:r w:rsidRPr="00E01B33">
              <w:rPr>
                <w:rFonts w:ascii="Times New Roman" w:hAnsi="Times New Roman"/>
                <w:bCs/>
                <w:sz w:val="26"/>
                <w:szCs w:val="26"/>
              </w:rPr>
              <w:t>3.</w:t>
            </w:r>
          </w:p>
        </w:tc>
        <w:tc>
          <w:tcPr>
            <w:tcW w:w="3175" w:type="dxa"/>
          </w:tcPr>
          <w:p w:rsidR="00AF7299" w:rsidRPr="00E01B33" w:rsidRDefault="00AF7299" w:rsidP="00236533">
            <w:pPr>
              <w:spacing w:after="0" w:line="240" w:lineRule="auto"/>
              <w:ind w:left="142" w:right="97"/>
              <w:rPr>
                <w:rFonts w:ascii="Times New Roman" w:hAnsi="Times New Roman"/>
                <w:sz w:val="26"/>
                <w:szCs w:val="26"/>
                <w:lang w:eastAsia="lv-LV"/>
              </w:rPr>
            </w:pPr>
            <w:r w:rsidRPr="00E01B33">
              <w:rPr>
                <w:rFonts w:ascii="Times New Roman" w:hAnsi="Times New Roman"/>
                <w:sz w:val="26"/>
                <w:szCs w:val="26"/>
                <w:lang w:eastAsia="lv-LV"/>
              </w:rPr>
              <w:t>Sabiedrības līdzdalības rezultāti</w:t>
            </w:r>
          </w:p>
        </w:tc>
        <w:tc>
          <w:tcPr>
            <w:tcW w:w="5826" w:type="dxa"/>
            <w:vMerge/>
          </w:tcPr>
          <w:p w:rsidR="00AF7299" w:rsidRPr="00E01B33" w:rsidRDefault="00AF7299" w:rsidP="00236533">
            <w:pPr>
              <w:spacing w:after="0" w:line="240" w:lineRule="auto"/>
              <w:ind w:left="186" w:right="60"/>
              <w:jc w:val="both"/>
              <w:rPr>
                <w:rFonts w:ascii="Times New Roman" w:hAnsi="Times New Roman"/>
                <w:sz w:val="26"/>
                <w:szCs w:val="26"/>
                <w:lang w:eastAsia="lv-LV"/>
              </w:rPr>
            </w:pPr>
          </w:p>
        </w:tc>
      </w:tr>
      <w:tr w:rsidR="00AF7299" w:rsidRPr="000919C7" w:rsidTr="00236533">
        <w:trPr>
          <w:trHeight w:val="474"/>
          <w:jc w:val="center"/>
        </w:trPr>
        <w:tc>
          <w:tcPr>
            <w:tcW w:w="639" w:type="dxa"/>
          </w:tcPr>
          <w:p w:rsidR="00AF7299" w:rsidRPr="00E01B33" w:rsidRDefault="00AF7299" w:rsidP="00236533">
            <w:pPr>
              <w:spacing w:after="0" w:line="240" w:lineRule="auto"/>
              <w:ind w:right="-142"/>
              <w:jc w:val="center"/>
              <w:rPr>
                <w:rFonts w:ascii="Times New Roman" w:hAnsi="Times New Roman"/>
                <w:bCs/>
                <w:sz w:val="26"/>
                <w:szCs w:val="26"/>
              </w:rPr>
            </w:pPr>
            <w:r w:rsidRPr="00E01B33">
              <w:rPr>
                <w:rFonts w:ascii="Times New Roman" w:hAnsi="Times New Roman"/>
                <w:bCs/>
                <w:sz w:val="26"/>
                <w:szCs w:val="26"/>
              </w:rPr>
              <w:t>4.</w:t>
            </w:r>
          </w:p>
        </w:tc>
        <w:tc>
          <w:tcPr>
            <w:tcW w:w="3175" w:type="dxa"/>
          </w:tcPr>
          <w:p w:rsidR="00AF7299" w:rsidRPr="00E01B33" w:rsidRDefault="00AF7299" w:rsidP="00236533">
            <w:pPr>
              <w:spacing w:after="0" w:line="240" w:lineRule="auto"/>
              <w:ind w:left="142" w:right="97"/>
              <w:rPr>
                <w:rFonts w:ascii="Times New Roman" w:hAnsi="Times New Roman"/>
                <w:sz w:val="26"/>
                <w:szCs w:val="26"/>
                <w:lang w:eastAsia="lv-LV"/>
              </w:rPr>
            </w:pPr>
            <w:r w:rsidRPr="00E01B33">
              <w:rPr>
                <w:rFonts w:ascii="Times New Roman" w:hAnsi="Times New Roman"/>
                <w:sz w:val="26"/>
                <w:szCs w:val="26"/>
                <w:lang w:eastAsia="lv-LV"/>
              </w:rPr>
              <w:t>Cita informācija</w:t>
            </w:r>
          </w:p>
        </w:tc>
        <w:tc>
          <w:tcPr>
            <w:tcW w:w="5826" w:type="dxa"/>
          </w:tcPr>
          <w:p w:rsidR="00AF7299" w:rsidRPr="001B34C4" w:rsidRDefault="00AF7299" w:rsidP="00236533">
            <w:pPr>
              <w:spacing w:after="0" w:line="240" w:lineRule="auto"/>
              <w:ind w:left="186" w:right="60"/>
              <w:jc w:val="both"/>
              <w:rPr>
                <w:rFonts w:ascii="Times New Roman" w:hAnsi="Times New Roman"/>
                <w:sz w:val="26"/>
                <w:szCs w:val="26"/>
                <w:lang w:eastAsia="lv-LV"/>
              </w:rPr>
            </w:pPr>
            <w:r w:rsidRPr="001B34C4">
              <w:rPr>
                <w:rFonts w:ascii="Times New Roman" w:hAnsi="Times New Roman"/>
                <w:sz w:val="26"/>
                <w:szCs w:val="26"/>
                <w:lang w:eastAsia="lv-LV"/>
              </w:rPr>
              <w:t>Nav</w:t>
            </w:r>
          </w:p>
        </w:tc>
      </w:tr>
    </w:tbl>
    <w:p w:rsidR="00AF7299" w:rsidRPr="00E01B33" w:rsidRDefault="00AF7299" w:rsidP="00EA0625">
      <w:pPr>
        <w:spacing w:after="0" w:line="240" w:lineRule="auto"/>
        <w:ind w:right="-1"/>
        <w:rPr>
          <w:rFonts w:ascii="Times New Roman" w:hAnsi="Times New Roman"/>
          <w:sz w:val="26"/>
          <w:szCs w:val="26"/>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0"/>
        <w:gridCol w:w="3268"/>
        <w:gridCol w:w="5795"/>
      </w:tblGrid>
      <w:tr w:rsidR="00AF7299" w:rsidRPr="000919C7" w:rsidTr="00236533">
        <w:trPr>
          <w:trHeight w:val="381"/>
          <w:jc w:val="center"/>
        </w:trPr>
        <w:tc>
          <w:tcPr>
            <w:tcW w:w="9623" w:type="dxa"/>
            <w:gridSpan w:val="3"/>
            <w:vAlign w:val="center"/>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b/>
                <w:sz w:val="26"/>
                <w:szCs w:val="26"/>
                <w:lang w:eastAsia="lv-LV"/>
              </w:rPr>
              <w:t>VII. Tiesību akta projekta izpildes nodrošināšana un tās ietekme uz institūcijām</w:t>
            </w:r>
          </w:p>
        </w:tc>
      </w:tr>
      <w:tr w:rsidR="00AF7299" w:rsidRPr="000919C7" w:rsidTr="00236533">
        <w:trPr>
          <w:trHeight w:val="427"/>
          <w:jc w:val="center"/>
        </w:trPr>
        <w:tc>
          <w:tcPr>
            <w:tcW w:w="560" w:type="dxa"/>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sz w:val="26"/>
                <w:szCs w:val="26"/>
                <w:lang w:eastAsia="lv-LV"/>
              </w:rPr>
              <w:t>1.</w:t>
            </w:r>
          </w:p>
        </w:tc>
        <w:tc>
          <w:tcPr>
            <w:tcW w:w="3268" w:type="dxa"/>
          </w:tcPr>
          <w:p w:rsidR="00AF7299" w:rsidRPr="00E01B33" w:rsidRDefault="00AF7299" w:rsidP="00236533">
            <w:pPr>
              <w:spacing w:after="0" w:line="240" w:lineRule="auto"/>
              <w:ind w:left="114" w:right="186"/>
              <w:jc w:val="both"/>
              <w:rPr>
                <w:rFonts w:ascii="Times New Roman" w:hAnsi="Times New Roman"/>
                <w:sz w:val="26"/>
                <w:szCs w:val="26"/>
                <w:lang w:eastAsia="lv-LV"/>
              </w:rPr>
            </w:pPr>
            <w:r w:rsidRPr="00E01B33">
              <w:rPr>
                <w:rFonts w:ascii="Times New Roman" w:hAnsi="Times New Roman"/>
                <w:sz w:val="26"/>
                <w:szCs w:val="26"/>
                <w:lang w:eastAsia="lv-LV"/>
              </w:rPr>
              <w:t>Projekta izpildē iesaistītās institūcijas</w:t>
            </w:r>
          </w:p>
        </w:tc>
        <w:tc>
          <w:tcPr>
            <w:tcW w:w="5795" w:type="dxa"/>
          </w:tcPr>
          <w:p w:rsidR="00AF7299" w:rsidRPr="001B34C4" w:rsidRDefault="00AF7299" w:rsidP="00236533">
            <w:pPr>
              <w:pStyle w:val="naisnod"/>
              <w:spacing w:before="0" w:after="0"/>
              <w:jc w:val="both"/>
              <w:rPr>
                <w:b w:val="0"/>
                <w:iCs/>
                <w:sz w:val="26"/>
                <w:szCs w:val="26"/>
              </w:rPr>
            </w:pPr>
            <w:bookmarkStart w:id="4" w:name="p66"/>
            <w:bookmarkStart w:id="5" w:name="p67"/>
            <w:bookmarkStart w:id="6" w:name="p68"/>
            <w:bookmarkStart w:id="7" w:name="p69"/>
            <w:bookmarkEnd w:id="4"/>
            <w:bookmarkEnd w:id="5"/>
            <w:bookmarkEnd w:id="6"/>
            <w:bookmarkEnd w:id="7"/>
            <w:r w:rsidRPr="001B34C4">
              <w:rPr>
                <w:b w:val="0"/>
                <w:iCs/>
                <w:sz w:val="26"/>
                <w:szCs w:val="26"/>
              </w:rPr>
              <w:t xml:space="preserve">MK noteikumu projekta izpildi nodrošinās </w:t>
            </w:r>
            <w:r w:rsidRPr="001B34C4">
              <w:rPr>
                <w:b w:val="0"/>
                <w:sz w:val="26"/>
                <w:szCs w:val="26"/>
              </w:rPr>
              <w:t>VSAA</w:t>
            </w:r>
            <w:r w:rsidRPr="001B34C4">
              <w:rPr>
                <w:b w:val="0"/>
                <w:iCs/>
                <w:sz w:val="26"/>
                <w:szCs w:val="26"/>
              </w:rPr>
              <w:t xml:space="preserve">, </w:t>
            </w:r>
            <w:r w:rsidRPr="001B34C4">
              <w:rPr>
                <w:b w:val="0"/>
                <w:sz w:val="26"/>
                <w:szCs w:val="26"/>
              </w:rPr>
              <w:t>VFPS līdzekļu pārvaldītāji un apdrošināšanas sabiedrības</w:t>
            </w:r>
            <w:r w:rsidRPr="001B34C4">
              <w:rPr>
                <w:b w:val="0"/>
                <w:iCs/>
                <w:sz w:val="26"/>
                <w:szCs w:val="26"/>
              </w:rPr>
              <w:t>.</w:t>
            </w:r>
          </w:p>
          <w:p w:rsidR="00AF7299" w:rsidRPr="000919C7" w:rsidRDefault="00AF7299" w:rsidP="00236533">
            <w:pPr>
              <w:jc w:val="both"/>
              <w:rPr>
                <w:rFonts w:ascii="Times New Roman" w:hAnsi="Times New Roman"/>
                <w:sz w:val="26"/>
                <w:szCs w:val="26"/>
              </w:rPr>
            </w:pPr>
          </w:p>
        </w:tc>
      </w:tr>
      <w:tr w:rsidR="00AF7299" w:rsidRPr="000919C7" w:rsidTr="00236533">
        <w:trPr>
          <w:trHeight w:val="463"/>
          <w:jc w:val="center"/>
        </w:trPr>
        <w:tc>
          <w:tcPr>
            <w:tcW w:w="560" w:type="dxa"/>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sz w:val="26"/>
                <w:szCs w:val="26"/>
                <w:lang w:eastAsia="lv-LV"/>
              </w:rPr>
              <w:t>2.</w:t>
            </w:r>
          </w:p>
        </w:tc>
        <w:tc>
          <w:tcPr>
            <w:tcW w:w="3268" w:type="dxa"/>
          </w:tcPr>
          <w:p w:rsidR="00AF7299" w:rsidRPr="00E01B33" w:rsidRDefault="00AF7299" w:rsidP="00236533">
            <w:pPr>
              <w:spacing w:after="0" w:line="240" w:lineRule="auto"/>
              <w:ind w:left="114" w:right="186"/>
              <w:jc w:val="both"/>
              <w:rPr>
                <w:rFonts w:ascii="Times New Roman" w:hAnsi="Times New Roman"/>
                <w:sz w:val="26"/>
                <w:szCs w:val="26"/>
                <w:lang w:eastAsia="lv-LV"/>
              </w:rPr>
            </w:pPr>
            <w:r w:rsidRPr="00E01B33">
              <w:rPr>
                <w:rFonts w:ascii="Times New Roman" w:hAnsi="Times New Roman"/>
                <w:sz w:val="26"/>
                <w:szCs w:val="26"/>
                <w:lang w:eastAsia="lv-LV"/>
              </w:rPr>
              <w:t>Projekta izpildes ietekme uz pār</w:t>
            </w:r>
            <w:r w:rsidRPr="00E01B33">
              <w:rPr>
                <w:rFonts w:ascii="Times New Roman" w:hAnsi="Times New Roman"/>
                <w:sz w:val="26"/>
                <w:szCs w:val="26"/>
                <w:lang w:eastAsia="lv-LV"/>
              </w:rPr>
              <w:softHyphen/>
              <w:t>valdes funkcijām un institucionālo struktūru.</w:t>
            </w:r>
          </w:p>
          <w:p w:rsidR="00AF7299" w:rsidRPr="00E01B33" w:rsidRDefault="00AF7299" w:rsidP="00236533">
            <w:pPr>
              <w:spacing w:after="0" w:line="240" w:lineRule="auto"/>
              <w:ind w:left="114" w:right="186"/>
              <w:jc w:val="both"/>
              <w:rPr>
                <w:rFonts w:ascii="Times New Roman" w:hAnsi="Times New Roman"/>
                <w:sz w:val="26"/>
                <w:szCs w:val="26"/>
                <w:lang w:eastAsia="lv-LV"/>
              </w:rPr>
            </w:pPr>
            <w:r w:rsidRPr="00E01B33">
              <w:rPr>
                <w:rFonts w:ascii="Times New Roman" w:hAnsi="Times New Roman"/>
                <w:sz w:val="26"/>
                <w:szCs w:val="26"/>
                <w:lang w:eastAsia="lv-LV"/>
              </w:rPr>
              <w:t>Jaunu institūciju izveide, esošu institūciju likvidācija vai reorga</w:t>
            </w:r>
            <w:r w:rsidRPr="00E01B33">
              <w:rPr>
                <w:rFonts w:ascii="Times New Roman" w:hAnsi="Times New Roman"/>
                <w:sz w:val="26"/>
                <w:szCs w:val="26"/>
                <w:lang w:eastAsia="lv-LV"/>
              </w:rPr>
              <w:softHyphen/>
              <w:t>nizācija, to ietekme uz institūcijas cilvēkresursiem</w:t>
            </w:r>
          </w:p>
        </w:tc>
        <w:tc>
          <w:tcPr>
            <w:tcW w:w="5795" w:type="dxa"/>
          </w:tcPr>
          <w:p w:rsidR="00AF7299" w:rsidRPr="000919C7" w:rsidRDefault="00AF7299" w:rsidP="00236533">
            <w:pPr>
              <w:jc w:val="both"/>
              <w:rPr>
                <w:rFonts w:ascii="Times New Roman" w:hAnsi="Times New Roman"/>
                <w:sz w:val="26"/>
                <w:szCs w:val="26"/>
              </w:rPr>
            </w:pPr>
            <w:r w:rsidRPr="000919C7">
              <w:rPr>
                <w:rFonts w:ascii="Times New Roman" w:hAnsi="Times New Roman"/>
                <w:sz w:val="26"/>
                <w:szCs w:val="26"/>
              </w:rPr>
              <w:t xml:space="preserve">MK noteikumu projekta izpildi VSAA, </w:t>
            </w:r>
            <w:r w:rsidRPr="000919C7">
              <w:rPr>
                <w:rFonts w:ascii="Times New Roman" w:hAnsi="Times New Roman"/>
                <w:sz w:val="26"/>
                <w:szCs w:val="26"/>
                <w:lang w:eastAsia="lv-LV"/>
              </w:rPr>
              <w:t>VFPS līdzekļu pārvaldītāji un apdrošināšanas sabiedrības</w:t>
            </w:r>
            <w:r w:rsidRPr="000919C7">
              <w:rPr>
                <w:rFonts w:ascii="Times New Roman" w:hAnsi="Times New Roman"/>
                <w:sz w:val="26"/>
                <w:szCs w:val="26"/>
              </w:rPr>
              <w:t xml:space="preserve"> nodrošinās esošo funkciju ietvaros.</w:t>
            </w:r>
          </w:p>
          <w:p w:rsidR="00AF7299" w:rsidRPr="000919C7" w:rsidRDefault="00AF7299" w:rsidP="00236533">
            <w:pPr>
              <w:jc w:val="both"/>
              <w:rPr>
                <w:rFonts w:ascii="Times New Roman" w:hAnsi="Times New Roman"/>
                <w:sz w:val="26"/>
                <w:szCs w:val="26"/>
              </w:rPr>
            </w:pPr>
          </w:p>
        </w:tc>
      </w:tr>
      <w:tr w:rsidR="00AF7299" w:rsidRPr="000919C7" w:rsidTr="00236533">
        <w:trPr>
          <w:trHeight w:val="402"/>
          <w:jc w:val="center"/>
        </w:trPr>
        <w:tc>
          <w:tcPr>
            <w:tcW w:w="560" w:type="dxa"/>
          </w:tcPr>
          <w:p w:rsidR="00AF7299" w:rsidRPr="00E01B33" w:rsidRDefault="00AF7299" w:rsidP="00236533">
            <w:pPr>
              <w:spacing w:after="0" w:line="240" w:lineRule="auto"/>
              <w:ind w:right="-1"/>
              <w:jc w:val="center"/>
              <w:rPr>
                <w:rFonts w:ascii="Times New Roman" w:hAnsi="Times New Roman"/>
                <w:sz w:val="26"/>
                <w:szCs w:val="26"/>
                <w:lang w:eastAsia="lv-LV"/>
              </w:rPr>
            </w:pPr>
            <w:r w:rsidRPr="00E01B33">
              <w:rPr>
                <w:rFonts w:ascii="Times New Roman" w:hAnsi="Times New Roman"/>
                <w:sz w:val="26"/>
                <w:szCs w:val="26"/>
                <w:lang w:eastAsia="lv-LV"/>
              </w:rPr>
              <w:t>3.</w:t>
            </w:r>
          </w:p>
        </w:tc>
        <w:tc>
          <w:tcPr>
            <w:tcW w:w="3268" w:type="dxa"/>
          </w:tcPr>
          <w:p w:rsidR="00AF7299" w:rsidRPr="00E01B33" w:rsidRDefault="00AF7299" w:rsidP="00236533">
            <w:pPr>
              <w:spacing w:after="0" w:line="240" w:lineRule="auto"/>
              <w:ind w:left="114" w:right="-1" w:hanging="114"/>
              <w:rPr>
                <w:rFonts w:ascii="Times New Roman" w:hAnsi="Times New Roman"/>
                <w:sz w:val="26"/>
                <w:szCs w:val="26"/>
                <w:lang w:eastAsia="lv-LV"/>
              </w:rPr>
            </w:pPr>
            <w:r w:rsidRPr="00E01B33">
              <w:rPr>
                <w:rFonts w:ascii="Times New Roman" w:hAnsi="Times New Roman"/>
                <w:sz w:val="26"/>
                <w:szCs w:val="26"/>
                <w:lang w:eastAsia="lv-LV"/>
              </w:rPr>
              <w:t xml:space="preserve"> Cita informācija</w:t>
            </w:r>
          </w:p>
        </w:tc>
        <w:tc>
          <w:tcPr>
            <w:tcW w:w="5795" w:type="dxa"/>
          </w:tcPr>
          <w:p w:rsidR="00AF7299" w:rsidRPr="001B34C4" w:rsidRDefault="00AF7299" w:rsidP="00236533">
            <w:pPr>
              <w:spacing w:after="0" w:line="240" w:lineRule="auto"/>
              <w:ind w:right="-1"/>
              <w:jc w:val="both"/>
              <w:rPr>
                <w:rFonts w:ascii="Times New Roman" w:hAnsi="Times New Roman"/>
                <w:sz w:val="26"/>
                <w:szCs w:val="26"/>
                <w:lang w:eastAsia="lv-LV"/>
              </w:rPr>
            </w:pPr>
            <w:r w:rsidRPr="001B34C4">
              <w:rPr>
                <w:rFonts w:ascii="Times New Roman" w:hAnsi="Times New Roman"/>
                <w:sz w:val="26"/>
                <w:szCs w:val="26"/>
                <w:lang w:eastAsia="lv-LV"/>
              </w:rPr>
              <w:t>Nav</w:t>
            </w:r>
          </w:p>
        </w:tc>
      </w:tr>
    </w:tbl>
    <w:p w:rsidR="00AF7299" w:rsidRDefault="00AF7299" w:rsidP="00EA0625">
      <w:pPr>
        <w:pStyle w:val="naisf"/>
        <w:rPr>
          <w:sz w:val="28"/>
          <w:szCs w:val="28"/>
        </w:rPr>
      </w:pPr>
    </w:p>
    <w:p w:rsidR="00AF7299" w:rsidRPr="00E01B33" w:rsidRDefault="00AF7299" w:rsidP="00EA0625">
      <w:pPr>
        <w:pStyle w:val="naisf"/>
        <w:rPr>
          <w:sz w:val="28"/>
          <w:szCs w:val="28"/>
        </w:rPr>
      </w:pPr>
      <w:r w:rsidRPr="00E01B33">
        <w:rPr>
          <w:sz w:val="28"/>
          <w:szCs w:val="28"/>
        </w:rPr>
        <w:lastRenderedPageBreak/>
        <w:t>Anotācijas III, IV un V sadaļa - projekts šīs jomas neskar.</w:t>
      </w:r>
    </w:p>
    <w:p w:rsidR="00AF7299" w:rsidRPr="00E01B33" w:rsidRDefault="00AF7299" w:rsidP="00EA0625">
      <w:pPr>
        <w:tabs>
          <w:tab w:val="left" w:pos="6480"/>
        </w:tabs>
        <w:spacing w:after="0" w:line="240" w:lineRule="auto"/>
        <w:ind w:right="-1"/>
        <w:rPr>
          <w:rFonts w:ascii="Times New Roman" w:hAnsi="Times New Roman"/>
          <w:sz w:val="28"/>
          <w:szCs w:val="28"/>
        </w:rPr>
      </w:pPr>
    </w:p>
    <w:p w:rsidR="00AF7299" w:rsidRPr="00E01B33" w:rsidRDefault="00AF7299" w:rsidP="00EA0625">
      <w:pPr>
        <w:tabs>
          <w:tab w:val="left" w:pos="720"/>
          <w:tab w:val="left" w:pos="7020"/>
        </w:tabs>
        <w:spacing w:after="0" w:line="240" w:lineRule="auto"/>
        <w:jc w:val="both"/>
        <w:rPr>
          <w:rFonts w:ascii="Times New Roman" w:hAnsi="Times New Roman"/>
          <w:sz w:val="28"/>
          <w:szCs w:val="28"/>
          <w:lang w:val="de-DE"/>
        </w:rPr>
      </w:pPr>
      <w:r w:rsidRPr="00E01B33">
        <w:rPr>
          <w:rFonts w:ascii="Times New Roman" w:hAnsi="Times New Roman"/>
          <w:sz w:val="28"/>
          <w:szCs w:val="28"/>
          <w:lang w:val="de-DE"/>
        </w:rPr>
        <w:t xml:space="preserve">Iesniedzējs: </w:t>
      </w:r>
    </w:p>
    <w:p w:rsidR="00AF7299" w:rsidRPr="00E01B33" w:rsidRDefault="00AF7299" w:rsidP="00EA0625">
      <w:pPr>
        <w:tabs>
          <w:tab w:val="left" w:pos="720"/>
          <w:tab w:val="left" w:pos="7020"/>
        </w:tabs>
        <w:spacing w:after="0" w:line="240" w:lineRule="auto"/>
        <w:jc w:val="both"/>
        <w:rPr>
          <w:rFonts w:ascii="Times New Roman" w:hAnsi="Times New Roman"/>
          <w:sz w:val="28"/>
          <w:szCs w:val="28"/>
          <w:lang w:val="de-DE"/>
        </w:rPr>
      </w:pPr>
      <w:r w:rsidRPr="00E01B33">
        <w:rPr>
          <w:rFonts w:ascii="Times New Roman" w:hAnsi="Times New Roman"/>
          <w:sz w:val="28"/>
          <w:szCs w:val="28"/>
          <w:lang w:val="de-DE"/>
        </w:rPr>
        <w:t>labklājības ministrs</w:t>
      </w:r>
      <w:r w:rsidRPr="00E01B33">
        <w:rPr>
          <w:rFonts w:ascii="Times New Roman" w:hAnsi="Times New Roman"/>
          <w:sz w:val="28"/>
          <w:szCs w:val="28"/>
          <w:lang w:val="de-DE"/>
        </w:rPr>
        <w:tab/>
        <w:t xml:space="preserve">         J.Reirs</w:t>
      </w:r>
    </w:p>
    <w:p w:rsidR="00AF7299" w:rsidRPr="00E01B33" w:rsidRDefault="00AF7299" w:rsidP="00EA0625">
      <w:pPr>
        <w:tabs>
          <w:tab w:val="left" w:pos="720"/>
          <w:tab w:val="left" w:pos="7020"/>
        </w:tabs>
        <w:spacing w:after="0" w:line="240" w:lineRule="auto"/>
        <w:jc w:val="both"/>
        <w:rPr>
          <w:rFonts w:ascii="Times New Roman" w:hAnsi="Times New Roman"/>
          <w:sz w:val="28"/>
          <w:szCs w:val="28"/>
          <w:lang w:val="de-DE"/>
        </w:rPr>
      </w:pPr>
    </w:p>
    <w:p w:rsidR="00AF7299" w:rsidRPr="00E01B33" w:rsidRDefault="00AF7299" w:rsidP="00EA0625">
      <w:pPr>
        <w:tabs>
          <w:tab w:val="left" w:pos="720"/>
          <w:tab w:val="left" w:pos="7020"/>
        </w:tabs>
        <w:spacing w:after="0" w:line="240" w:lineRule="auto"/>
        <w:jc w:val="both"/>
        <w:rPr>
          <w:rFonts w:ascii="Times New Roman" w:hAnsi="Times New Roman"/>
          <w:sz w:val="28"/>
          <w:szCs w:val="28"/>
          <w:lang w:val="de-DE"/>
        </w:rPr>
      </w:pPr>
    </w:p>
    <w:p w:rsidR="00AF7299" w:rsidRPr="00E01B33" w:rsidRDefault="00AF7299" w:rsidP="00EA0625">
      <w:pPr>
        <w:tabs>
          <w:tab w:val="left" w:pos="720"/>
          <w:tab w:val="left" w:pos="7020"/>
        </w:tabs>
        <w:spacing w:after="0" w:line="240" w:lineRule="auto"/>
        <w:jc w:val="both"/>
        <w:rPr>
          <w:rFonts w:ascii="Times New Roman" w:hAnsi="Times New Roman"/>
          <w:sz w:val="28"/>
          <w:szCs w:val="28"/>
          <w:lang w:val="de-DE"/>
        </w:rPr>
      </w:pPr>
      <w:r w:rsidRPr="00E01B33">
        <w:rPr>
          <w:rFonts w:ascii="Times New Roman" w:hAnsi="Times New Roman"/>
          <w:sz w:val="28"/>
          <w:szCs w:val="28"/>
          <w:lang w:val="de-DE"/>
        </w:rPr>
        <w:t>valsts sekretārs</w:t>
      </w:r>
      <w:r w:rsidRPr="00E01B33">
        <w:rPr>
          <w:rFonts w:ascii="Times New Roman" w:hAnsi="Times New Roman"/>
          <w:sz w:val="28"/>
          <w:szCs w:val="28"/>
          <w:lang w:val="de-DE"/>
        </w:rPr>
        <w:tab/>
      </w:r>
      <w:r w:rsidRPr="00E01B33">
        <w:rPr>
          <w:rFonts w:ascii="Times New Roman" w:hAnsi="Times New Roman"/>
          <w:sz w:val="28"/>
          <w:szCs w:val="28"/>
          <w:lang w:val="de-DE"/>
        </w:rPr>
        <w:tab/>
        <w:t xml:space="preserve">      I.Alliks</w:t>
      </w:r>
    </w:p>
    <w:p w:rsidR="00AF7299" w:rsidRPr="00E01B33" w:rsidRDefault="00AF7299" w:rsidP="00EA0625">
      <w:pPr>
        <w:tabs>
          <w:tab w:val="left" w:pos="6480"/>
        </w:tabs>
        <w:spacing w:after="0" w:line="240" w:lineRule="auto"/>
        <w:ind w:right="-1"/>
        <w:rPr>
          <w:rFonts w:ascii="Times New Roman" w:hAnsi="Times New Roman"/>
          <w:sz w:val="28"/>
          <w:szCs w:val="28"/>
          <w:lang w:val="de-DE"/>
        </w:rPr>
      </w:pPr>
    </w:p>
    <w:p w:rsidR="00AF7299" w:rsidRDefault="00AF7299" w:rsidP="00EA0625">
      <w:pPr>
        <w:tabs>
          <w:tab w:val="left" w:pos="6480"/>
        </w:tabs>
        <w:spacing w:after="0" w:line="240" w:lineRule="auto"/>
        <w:ind w:right="-1"/>
        <w:rPr>
          <w:rFonts w:ascii="Times New Roman" w:hAnsi="Times New Roman"/>
          <w:sz w:val="20"/>
          <w:szCs w:val="20"/>
          <w:lang w:val="de-DE"/>
        </w:rPr>
      </w:pPr>
    </w:p>
    <w:p w:rsidR="00AF7299" w:rsidRDefault="00AF7299" w:rsidP="00EA0625">
      <w:pPr>
        <w:tabs>
          <w:tab w:val="left" w:pos="6480"/>
        </w:tabs>
        <w:spacing w:after="0" w:line="240" w:lineRule="auto"/>
        <w:ind w:right="-1"/>
        <w:rPr>
          <w:rFonts w:ascii="Times New Roman" w:hAnsi="Times New Roman"/>
          <w:sz w:val="20"/>
          <w:szCs w:val="20"/>
          <w:lang w:val="de-DE"/>
        </w:rPr>
      </w:pPr>
    </w:p>
    <w:p w:rsidR="00AF7299" w:rsidRDefault="00AF7299" w:rsidP="00EA0625">
      <w:pPr>
        <w:tabs>
          <w:tab w:val="left" w:pos="6480"/>
        </w:tabs>
        <w:spacing w:after="0" w:line="240" w:lineRule="auto"/>
        <w:ind w:right="-1"/>
        <w:rPr>
          <w:rFonts w:ascii="Times New Roman" w:hAnsi="Times New Roman"/>
          <w:sz w:val="20"/>
          <w:szCs w:val="20"/>
          <w:lang w:val="de-DE"/>
        </w:rPr>
      </w:pPr>
    </w:p>
    <w:p w:rsidR="00AF7299" w:rsidRDefault="00AF7299" w:rsidP="00EA0625">
      <w:pPr>
        <w:tabs>
          <w:tab w:val="left" w:pos="6480"/>
        </w:tabs>
        <w:spacing w:after="0" w:line="240" w:lineRule="auto"/>
        <w:ind w:right="-1"/>
        <w:rPr>
          <w:rFonts w:ascii="Times New Roman" w:hAnsi="Times New Roman"/>
          <w:sz w:val="20"/>
          <w:szCs w:val="20"/>
          <w:lang w:val="de-DE"/>
        </w:rPr>
      </w:pPr>
    </w:p>
    <w:p w:rsidR="00AF7299" w:rsidRDefault="00AF7299" w:rsidP="00EA0625">
      <w:pPr>
        <w:tabs>
          <w:tab w:val="left" w:pos="6480"/>
        </w:tabs>
        <w:spacing w:after="0" w:line="240" w:lineRule="auto"/>
        <w:ind w:right="-1"/>
        <w:rPr>
          <w:rFonts w:ascii="Times New Roman" w:hAnsi="Times New Roman"/>
          <w:sz w:val="20"/>
          <w:szCs w:val="20"/>
          <w:lang w:val="de-DE"/>
        </w:rPr>
      </w:pPr>
    </w:p>
    <w:p w:rsidR="00AF7299" w:rsidRPr="00E01B33" w:rsidRDefault="00AF7299" w:rsidP="00EA0625">
      <w:pPr>
        <w:tabs>
          <w:tab w:val="left" w:pos="6480"/>
        </w:tabs>
        <w:spacing w:after="0" w:line="240" w:lineRule="auto"/>
        <w:ind w:right="-1"/>
        <w:rPr>
          <w:rFonts w:ascii="Times New Roman" w:hAnsi="Times New Roman"/>
          <w:sz w:val="20"/>
          <w:szCs w:val="20"/>
          <w:lang w:val="de-DE"/>
        </w:rPr>
      </w:pPr>
    </w:p>
    <w:p w:rsidR="00AF7299" w:rsidRPr="00E01B33" w:rsidRDefault="00AF7299" w:rsidP="00EA0625">
      <w:pPr>
        <w:tabs>
          <w:tab w:val="left" w:pos="6480"/>
        </w:tabs>
        <w:spacing w:after="0" w:line="240" w:lineRule="auto"/>
        <w:ind w:right="-1"/>
        <w:rPr>
          <w:rFonts w:ascii="Times New Roman" w:hAnsi="Times New Roman"/>
          <w:sz w:val="20"/>
          <w:szCs w:val="20"/>
        </w:rPr>
      </w:pPr>
    </w:p>
    <w:p w:rsidR="008B314A" w:rsidRDefault="008B314A" w:rsidP="00EA0625">
      <w:pPr>
        <w:spacing w:after="0" w:line="240" w:lineRule="auto"/>
        <w:ind w:right="-1"/>
        <w:rPr>
          <w:rFonts w:ascii="Times New Roman" w:hAnsi="Times New Roman"/>
        </w:rPr>
      </w:pPr>
      <w:r>
        <w:rPr>
          <w:rFonts w:ascii="Times New Roman" w:hAnsi="Times New Roman"/>
        </w:rPr>
        <w:t>15.01.2018 13:51</w:t>
      </w:r>
    </w:p>
    <w:p w:rsidR="00AF7299" w:rsidRPr="00940C59" w:rsidRDefault="00683355" w:rsidP="00EA0625">
      <w:pPr>
        <w:spacing w:after="0" w:line="240" w:lineRule="auto"/>
        <w:ind w:right="-1"/>
        <w:rPr>
          <w:rFonts w:ascii="Times New Roman" w:hAnsi="Times New Roman"/>
        </w:rPr>
      </w:pPr>
      <w:bookmarkStart w:id="8" w:name="_GoBack"/>
      <w:bookmarkEnd w:id="8"/>
      <w:r>
        <w:rPr>
          <w:rFonts w:ascii="Times New Roman" w:hAnsi="Times New Roman"/>
        </w:rPr>
        <w:t>2064</w:t>
      </w:r>
    </w:p>
    <w:p w:rsidR="00AF7299" w:rsidRPr="00940C59" w:rsidRDefault="00AF7299" w:rsidP="00EA0625">
      <w:pPr>
        <w:spacing w:after="0" w:line="240" w:lineRule="auto"/>
        <w:ind w:right="-1"/>
        <w:rPr>
          <w:rFonts w:ascii="Times New Roman" w:hAnsi="Times New Roman"/>
        </w:rPr>
      </w:pPr>
      <w:proofErr w:type="spellStart"/>
      <w:r>
        <w:rPr>
          <w:rFonts w:ascii="Times New Roman" w:hAnsi="Times New Roman"/>
        </w:rPr>
        <w:t>D.Trušinska</w:t>
      </w:r>
      <w:proofErr w:type="spellEnd"/>
      <w:r>
        <w:rPr>
          <w:rFonts w:ascii="Times New Roman" w:hAnsi="Times New Roman"/>
        </w:rPr>
        <w:t>, 67021553</w:t>
      </w:r>
    </w:p>
    <w:p w:rsidR="00AF7299" w:rsidRPr="00940C59" w:rsidRDefault="00254D7E" w:rsidP="00EA0625">
      <w:pPr>
        <w:tabs>
          <w:tab w:val="center" w:pos="4153"/>
          <w:tab w:val="right" w:pos="8306"/>
        </w:tabs>
        <w:rPr>
          <w:rFonts w:ascii="Times New Roman" w:hAnsi="Times New Roman"/>
        </w:rPr>
      </w:pPr>
      <w:hyperlink r:id="rId11" w:history="1">
        <w:r w:rsidR="00AF7299" w:rsidRPr="00940C59">
          <w:rPr>
            <w:rStyle w:val="Hyperlink"/>
            <w:rFonts w:ascii="Times New Roman" w:hAnsi="Times New Roman"/>
          </w:rPr>
          <w:t>Dace.Trusinska@lm.gov.lv</w:t>
        </w:r>
      </w:hyperlink>
    </w:p>
    <w:p w:rsidR="00AF7299" w:rsidRDefault="00AF7299" w:rsidP="00EA0625"/>
    <w:p w:rsidR="00AF7299" w:rsidRDefault="00AF7299"/>
    <w:sectPr w:rsidR="00AF7299" w:rsidSect="00D415AF">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7E" w:rsidRDefault="00254D7E">
      <w:pPr>
        <w:spacing w:after="0" w:line="240" w:lineRule="auto"/>
      </w:pPr>
      <w:r>
        <w:separator/>
      </w:r>
    </w:p>
  </w:endnote>
  <w:endnote w:type="continuationSeparator" w:id="0">
    <w:p w:rsidR="00254D7E" w:rsidRDefault="0025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99" w:rsidRPr="003847CC" w:rsidRDefault="002B798C" w:rsidP="00F72610">
    <w:pPr>
      <w:spacing w:after="0" w:line="240" w:lineRule="auto"/>
    </w:pPr>
    <w:r>
      <w:rPr>
        <w:rFonts w:ascii="Times New Roman" w:hAnsi="Times New Roman"/>
        <w:sz w:val="24"/>
        <w:szCs w:val="24"/>
      </w:rPr>
      <w:t>LManot_15</w:t>
    </w:r>
    <w:r w:rsidR="00AF7299">
      <w:rPr>
        <w:rFonts w:ascii="Times New Roman" w:hAnsi="Times New Roman"/>
        <w:sz w:val="24"/>
        <w:szCs w:val="24"/>
      </w:rPr>
      <w:t>0118</w:t>
    </w:r>
    <w:r w:rsidR="00AF7299" w:rsidRPr="00EC6666">
      <w:rPr>
        <w:rFonts w:ascii="Times New Roman" w:hAnsi="Times New Roman"/>
        <w:sz w:val="24"/>
        <w:szCs w:val="24"/>
      </w:rPr>
      <w:t xml:space="preserve">; </w:t>
    </w:r>
    <w:r w:rsidR="00AF7299">
      <w:rPr>
        <w:rFonts w:ascii="Times New Roman" w:hAnsi="Times New Roman"/>
        <w:sz w:val="24"/>
        <w:szCs w:val="24"/>
      </w:rPr>
      <w:t xml:space="preserve">Grozījumi 2003.gada 27.maija </w:t>
    </w:r>
    <w:r w:rsidR="00AF7299" w:rsidRPr="00EC6666">
      <w:rPr>
        <w:rFonts w:ascii="Times New Roman" w:hAnsi="Times New Roman"/>
        <w:color w:val="000000"/>
        <w:sz w:val="24"/>
        <w:szCs w:val="24"/>
      </w:rPr>
      <w:t>Ministru kabineta noteikum</w:t>
    </w:r>
    <w:r w:rsidR="00AF7299">
      <w:rPr>
        <w:rFonts w:ascii="Times New Roman" w:hAnsi="Times New Roman"/>
        <w:color w:val="000000"/>
        <w:sz w:val="24"/>
        <w:szCs w:val="24"/>
      </w:rPr>
      <w:t>os Nr.272 „Noteikumi par valsts fondēto pensiju shēmas darbību”</w:t>
    </w:r>
    <w:r w:rsidR="00AF7299" w:rsidRPr="00EC6666">
      <w:rPr>
        <w:rFonts w:ascii="Times New Roman" w:hAnsi="Times New Roman"/>
        <w:color w:val="00000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99" w:rsidRPr="006750C6" w:rsidRDefault="002B798C" w:rsidP="006750C6">
    <w:pPr>
      <w:spacing w:after="0" w:line="240" w:lineRule="auto"/>
    </w:pPr>
    <w:r>
      <w:rPr>
        <w:rFonts w:ascii="Times New Roman" w:hAnsi="Times New Roman"/>
        <w:sz w:val="24"/>
        <w:szCs w:val="24"/>
      </w:rPr>
      <w:t>LManot_15</w:t>
    </w:r>
    <w:r w:rsidR="00AF7299">
      <w:rPr>
        <w:rFonts w:ascii="Times New Roman" w:hAnsi="Times New Roman"/>
        <w:sz w:val="24"/>
        <w:szCs w:val="24"/>
      </w:rPr>
      <w:t>0118</w:t>
    </w:r>
    <w:r w:rsidR="00AF7299" w:rsidRPr="00EC6666">
      <w:rPr>
        <w:rFonts w:ascii="Times New Roman" w:hAnsi="Times New Roman"/>
        <w:sz w:val="24"/>
        <w:szCs w:val="24"/>
      </w:rPr>
      <w:t xml:space="preserve">; </w:t>
    </w:r>
    <w:r w:rsidR="00AF7299">
      <w:rPr>
        <w:rFonts w:ascii="Times New Roman" w:hAnsi="Times New Roman"/>
        <w:sz w:val="24"/>
        <w:szCs w:val="24"/>
      </w:rPr>
      <w:t xml:space="preserve">Grozījumi 2003.gada 27.maija </w:t>
    </w:r>
    <w:r w:rsidR="00AF7299" w:rsidRPr="00EC6666">
      <w:rPr>
        <w:rFonts w:ascii="Times New Roman" w:hAnsi="Times New Roman"/>
        <w:color w:val="000000"/>
        <w:sz w:val="24"/>
        <w:szCs w:val="24"/>
      </w:rPr>
      <w:t>Ministru kabineta noteikum</w:t>
    </w:r>
    <w:r w:rsidR="00AF7299">
      <w:rPr>
        <w:rFonts w:ascii="Times New Roman" w:hAnsi="Times New Roman"/>
        <w:color w:val="000000"/>
        <w:sz w:val="24"/>
        <w:szCs w:val="24"/>
      </w:rPr>
      <w:t>os Nr.272 „Noteikumi par valsts fondēto pensiju shēmas darbību”</w:t>
    </w:r>
    <w:r w:rsidR="00AF7299" w:rsidRPr="00EC6666">
      <w:rPr>
        <w:rFonts w:ascii="Times New Roman" w:hAnsi="Times New Roman"/>
        <w:color w:val="00000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7E" w:rsidRDefault="00254D7E">
      <w:pPr>
        <w:spacing w:after="0" w:line="240" w:lineRule="auto"/>
      </w:pPr>
      <w:r>
        <w:separator/>
      </w:r>
    </w:p>
  </w:footnote>
  <w:footnote w:type="continuationSeparator" w:id="0">
    <w:p w:rsidR="00254D7E" w:rsidRDefault="0025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99" w:rsidRDefault="002D2DCF">
    <w:pPr>
      <w:pStyle w:val="Header"/>
      <w:jc w:val="center"/>
    </w:pPr>
    <w:r>
      <w:fldChar w:fldCharType="begin"/>
    </w:r>
    <w:r>
      <w:instrText xml:space="preserve"> PAGE   \* MERGEFORMAT </w:instrText>
    </w:r>
    <w:r>
      <w:fldChar w:fldCharType="separate"/>
    </w:r>
    <w:r w:rsidR="008B314A">
      <w:rPr>
        <w:noProof/>
      </w:rPr>
      <w:t>9</w:t>
    </w:r>
    <w:r>
      <w:rPr>
        <w:noProof/>
      </w:rPr>
      <w:fldChar w:fldCharType="end"/>
    </w:r>
  </w:p>
  <w:p w:rsidR="00AF7299" w:rsidRDefault="00AF7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440"/>
    <w:multiLevelType w:val="hybridMultilevel"/>
    <w:tmpl w:val="7D0A8A40"/>
    <w:lvl w:ilvl="0" w:tplc="B0BA5288">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3EF87BAD"/>
    <w:multiLevelType w:val="hybridMultilevel"/>
    <w:tmpl w:val="F4E242EA"/>
    <w:lvl w:ilvl="0" w:tplc="1634067A">
      <w:numFmt w:val="bullet"/>
      <w:lvlText w:val="-"/>
      <w:lvlJc w:val="left"/>
      <w:pPr>
        <w:tabs>
          <w:tab w:val="num" w:pos="1440"/>
        </w:tabs>
        <w:ind w:left="1440" w:hanging="360"/>
      </w:pPr>
      <w:rPr>
        <w:rFonts w:ascii="Times New Roman" w:eastAsia="Times New Roman" w:hAnsi="Times New Roman" w:hint="default"/>
      </w:rPr>
    </w:lvl>
    <w:lvl w:ilvl="1" w:tplc="04260019" w:tentative="1">
      <w:start w:val="1"/>
      <w:numFmt w:val="lowerLetter"/>
      <w:lvlText w:val="%2."/>
      <w:lvlJc w:val="left"/>
      <w:pPr>
        <w:tabs>
          <w:tab w:val="num" w:pos="1506"/>
        </w:tabs>
        <w:ind w:left="1506" w:hanging="360"/>
      </w:pPr>
      <w:rPr>
        <w:rFonts w:cs="Times New Roman"/>
      </w:rPr>
    </w:lvl>
    <w:lvl w:ilvl="2" w:tplc="0426001B" w:tentative="1">
      <w:start w:val="1"/>
      <w:numFmt w:val="lowerRoman"/>
      <w:lvlText w:val="%3."/>
      <w:lvlJc w:val="right"/>
      <w:pPr>
        <w:tabs>
          <w:tab w:val="num" w:pos="2226"/>
        </w:tabs>
        <w:ind w:left="2226" w:hanging="180"/>
      </w:pPr>
      <w:rPr>
        <w:rFonts w:cs="Times New Roman"/>
      </w:rPr>
    </w:lvl>
    <w:lvl w:ilvl="3" w:tplc="0426000F" w:tentative="1">
      <w:start w:val="1"/>
      <w:numFmt w:val="decimal"/>
      <w:lvlText w:val="%4."/>
      <w:lvlJc w:val="left"/>
      <w:pPr>
        <w:tabs>
          <w:tab w:val="num" w:pos="2946"/>
        </w:tabs>
        <w:ind w:left="2946" w:hanging="360"/>
      </w:pPr>
      <w:rPr>
        <w:rFonts w:cs="Times New Roman"/>
      </w:rPr>
    </w:lvl>
    <w:lvl w:ilvl="4" w:tplc="04260019" w:tentative="1">
      <w:start w:val="1"/>
      <w:numFmt w:val="lowerLetter"/>
      <w:lvlText w:val="%5."/>
      <w:lvlJc w:val="left"/>
      <w:pPr>
        <w:tabs>
          <w:tab w:val="num" w:pos="3666"/>
        </w:tabs>
        <w:ind w:left="3666" w:hanging="360"/>
      </w:pPr>
      <w:rPr>
        <w:rFonts w:cs="Times New Roman"/>
      </w:rPr>
    </w:lvl>
    <w:lvl w:ilvl="5" w:tplc="0426001B" w:tentative="1">
      <w:start w:val="1"/>
      <w:numFmt w:val="lowerRoman"/>
      <w:lvlText w:val="%6."/>
      <w:lvlJc w:val="right"/>
      <w:pPr>
        <w:tabs>
          <w:tab w:val="num" w:pos="4386"/>
        </w:tabs>
        <w:ind w:left="4386" w:hanging="180"/>
      </w:pPr>
      <w:rPr>
        <w:rFonts w:cs="Times New Roman"/>
      </w:rPr>
    </w:lvl>
    <w:lvl w:ilvl="6" w:tplc="0426000F" w:tentative="1">
      <w:start w:val="1"/>
      <w:numFmt w:val="decimal"/>
      <w:lvlText w:val="%7."/>
      <w:lvlJc w:val="left"/>
      <w:pPr>
        <w:tabs>
          <w:tab w:val="num" w:pos="5106"/>
        </w:tabs>
        <w:ind w:left="5106" w:hanging="360"/>
      </w:pPr>
      <w:rPr>
        <w:rFonts w:cs="Times New Roman"/>
      </w:rPr>
    </w:lvl>
    <w:lvl w:ilvl="7" w:tplc="04260019" w:tentative="1">
      <w:start w:val="1"/>
      <w:numFmt w:val="lowerLetter"/>
      <w:lvlText w:val="%8."/>
      <w:lvlJc w:val="left"/>
      <w:pPr>
        <w:tabs>
          <w:tab w:val="num" w:pos="5826"/>
        </w:tabs>
        <w:ind w:left="5826" w:hanging="360"/>
      </w:pPr>
      <w:rPr>
        <w:rFonts w:cs="Times New Roman"/>
      </w:rPr>
    </w:lvl>
    <w:lvl w:ilvl="8" w:tplc="0426001B" w:tentative="1">
      <w:start w:val="1"/>
      <w:numFmt w:val="lowerRoman"/>
      <w:lvlText w:val="%9."/>
      <w:lvlJc w:val="right"/>
      <w:pPr>
        <w:tabs>
          <w:tab w:val="num" w:pos="6546"/>
        </w:tabs>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625"/>
    <w:rsid w:val="000007D1"/>
    <w:rsid w:val="00002048"/>
    <w:rsid w:val="00003790"/>
    <w:rsid w:val="00013003"/>
    <w:rsid w:val="0001453B"/>
    <w:rsid w:val="00016458"/>
    <w:rsid w:val="00024E24"/>
    <w:rsid w:val="000251DA"/>
    <w:rsid w:val="0003315A"/>
    <w:rsid w:val="00034C32"/>
    <w:rsid w:val="00041368"/>
    <w:rsid w:val="00045021"/>
    <w:rsid w:val="000478B2"/>
    <w:rsid w:val="00050441"/>
    <w:rsid w:val="0005065F"/>
    <w:rsid w:val="00051A86"/>
    <w:rsid w:val="00051C61"/>
    <w:rsid w:val="00057D2E"/>
    <w:rsid w:val="000631FA"/>
    <w:rsid w:val="00064FE0"/>
    <w:rsid w:val="00073F63"/>
    <w:rsid w:val="00081BD5"/>
    <w:rsid w:val="000852B7"/>
    <w:rsid w:val="00085402"/>
    <w:rsid w:val="00086B42"/>
    <w:rsid w:val="00087B52"/>
    <w:rsid w:val="000910D7"/>
    <w:rsid w:val="000914AE"/>
    <w:rsid w:val="000919C7"/>
    <w:rsid w:val="00093CF3"/>
    <w:rsid w:val="000958DF"/>
    <w:rsid w:val="000A0A43"/>
    <w:rsid w:val="000A4600"/>
    <w:rsid w:val="000B57A7"/>
    <w:rsid w:val="000B57D0"/>
    <w:rsid w:val="000C0120"/>
    <w:rsid w:val="000C680D"/>
    <w:rsid w:val="000D0439"/>
    <w:rsid w:val="000D1590"/>
    <w:rsid w:val="000D2757"/>
    <w:rsid w:val="000D7EB3"/>
    <w:rsid w:val="000E3E07"/>
    <w:rsid w:val="000E6C9D"/>
    <w:rsid w:val="000F1A90"/>
    <w:rsid w:val="000F2970"/>
    <w:rsid w:val="000F30AB"/>
    <w:rsid w:val="000F4D42"/>
    <w:rsid w:val="000F6B4A"/>
    <w:rsid w:val="00102775"/>
    <w:rsid w:val="00102835"/>
    <w:rsid w:val="00103B28"/>
    <w:rsid w:val="00106774"/>
    <w:rsid w:val="0011250A"/>
    <w:rsid w:val="00117DDF"/>
    <w:rsid w:val="001225BB"/>
    <w:rsid w:val="001229FF"/>
    <w:rsid w:val="00123B64"/>
    <w:rsid w:val="00123C42"/>
    <w:rsid w:val="001251C0"/>
    <w:rsid w:val="001263D1"/>
    <w:rsid w:val="00132C38"/>
    <w:rsid w:val="00136B3C"/>
    <w:rsid w:val="00145599"/>
    <w:rsid w:val="00146E5F"/>
    <w:rsid w:val="00152651"/>
    <w:rsid w:val="0015430F"/>
    <w:rsid w:val="00155211"/>
    <w:rsid w:val="00160473"/>
    <w:rsid w:val="00171268"/>
    <w:rsid w:val="0017149A"/>
    <w:rsid w:val="00180E23"/>
    <w:rsid w:val="001877A1"/>
    <w:rsid w:val="0019570A"/>
    <w:rsid w:val="001A0666"/>
    <w:rsid w:val="001A49F2"/>
    <w:rsid w:val="001A4F97"/>
    <w:rsid w:val="001A7073"/>
    <w:rsid w:val="001B0C2A"/>
    <w:rsid w:val="001B34C4"/>
    <w:rsid w:val="001B5C66"/>
    <w:rsid w:val="001B73F2"/>
    <w:rsid w:val="001C011B"/>
    <w:rsid w:val="001C2260"/>
    <w:rsid w:val="001D3509"/>
    <w:rsid w:val="001D4F8C"/>
    <w:rsid w:val="001D66EF"/>
    <w:rsid w:val="001D6B38"/>
    <w:rsid w:val="001E6583"/>
    <w:rsid w:val="001F366A"/>
    <w:rsid w:val="001F653B"/>
    <w:rsid w:val="00200EFB"/>
    <w:rsid w:val="002025C4"/>
    <w:rsid w:val="002075AD"/>
    <w:rsid w:val="00216D1B"/>
    <w:rsid w:val="00220916"/>
    <w:rsid w:val="00221E9F"/>
    <w:rsid w:val="00222BD6"/>
    <w:rsid w:val="00224F59"/>
    <w:rsid w:val="00225AD1"/>
    <w:rsid w:val="00226973"/>
    <w:rsid w:val="002279EC"/>
    <w:rsid w:val="00227C20"/>
    <w:rsid w:val="002351EA"/>
    <w:rsid w:val="00236533"/>
    <w:rsid w:val="00244629"/>
    <w:rsid w:val="00244756"/>
    <w:rsid w:val="002465AC"/>
    <w:rsid w:val="0025319B"/>
    <w:rsid w:val="00254D7E"/>
    <w:rsid w:val="00255179"/>
    <w:rsid w:val="00255EE7"/>
    <w:rsid w:val="00260C0D"/>
    <w:rsid w:val="00264BE9"/>
    <w:rsid w:val="00267722"/>
    <w:rsid w:val="00271E13"/>
    <w:rsid w:val="002727D5"/>
    <w:rsid w:val="00272F11"/>
    <w:rsid w:val="00273BB1"/>
    <w:rsid w:val="00277A72"/>
    <w:rsid w:val="00280692"/>
    <w:rsid w:val="00290C80"/>
    <w:rsid w:val="00290FD6"/>
    <w:rsid w:val="002919C2"/>
    <w:rsid w:val="00291EA8"/>
    <w:rsid w:val="00292C7B"/>
    <w:rsid w:val="00292DDF"/>
    <w:rsid w:val="00295C2E"/>
    <w:rsid w:val="002A0203"/>
    <w:rsid w:val="002A0493"/>
    <w:rsid w:val="002A0D7F"/>
    <w:rsid w:val="002A1BD1"/>
    <w:rsid w:val="002A3886"/>
    <w:rsid w:val="002B1B6A"/>
    <w:rsid w:val="002B3D72"/>
    <w:rsid w:val="002B7543"/>
    <w:rsid w:val="002B798C"/>
    <w:rsid w:val="002B7C4C"/>
    <w:rsid w:val="002C0859"/>
    <w:rsid w:val="002C2A57"/>
    <w:rsid w:val="002C4377"/>
    <w:rsid w:val="002C5CAA"/>
    <w:rsid w:val="002C72D7"/>
    <w:rsid w:val="002D0FBC"/>
    <w:rsid w:val="002D2DCF"/>
    <w:rsid w:val="002D58D5"/>
    <w:rsid w:val="002D753D"/>
    <w:rsid w:val="002F1A31"/>
    <w:rsid w:val="00304010"/>
    <w:rsid w:val="00306B6E"/>
    <w:rsid w:val="003071F8"/>
    <w:rsid w:val="00325132"/>
    <w:rsid w:val="003324D3"/>
    <w:rsid w:val="003336B2"/>
    <w:rsid w:val="003338A4"/>
    <w:rsid w:val="00344821"/>
    <w:rsid w:val="00344A68"/>
    <w:rsid w:val="00347F41"/>
    <w:rsid w:val="003508AC"/>
    <w:rsid w:val="003578FA"/>
    <w:rsid w:val="00365AC6"/>
    <w:rsid w:val="00365BC5"/>
    <w:rsid w:val="003671D6"/>
    <w:rsid w:val="00371332"/>
    <w:rsid w:val="003770FD"/>
    <w:rsid w:val="003847CC"/>
    <w:rsid w:val="00391E15"/>
    <w:rsid w:val="00392694"/>
    <w:rsid w:val="00393F09"/>
    <w:rsid w:val="003A2114"/>
    <w:rsid w:val="003A3670"/>
    <w:rsid w:val="003A3DE6"/>
    <w:rsid w:val="003A76BA"/>
    <w:rsid w:val="003B1B9D"/>
    <w:rsid w:val="003B3271"/>
    <w:rsid w:val="003B518A"/>
    <w:rsid w:val="003B72BC"/>
    <w:rsid w:val="003C7369"/>
    <w:rsid w:val="003D1C5A"/>
    <w:rsid w:val="003D22E1"/>
    <w:rsid w:val="003D2E11"/>
    <w:rsid w:val="003E12E1"/>
    <w:rsid w:val="003E5E78"/>
    <w:rsid w:val="003E5FDF"/>
    <w:rsid w:val="003F1980"/>
    <w:rsid w:val="003F66B5"/>
    <w:rsid w:val="003F7418"/>
    <w:rsid w:val="00405272"/>
    <w:rsid w:val="00417035"/>
    <w:rsid w:val="004220D5"/>
    <w:rsid w:val="00426F66"/>
    <w:rsid w:val="00431574"/>
    <w:rsid w:val="00432CEF"/>
    <w:rsid w:val="0043302D"/>
    <w:rsid w:val="00433C24"/>
    <w:rsid w:val="004401C8"/>
    <w:rsid w:val="004406B4"/>
    <w:rsid w:val="00444C27"/>
    <w:rsid w:val="00445425"/>
    <w:rsid w:val="004511B8"/>
    <w:rsid w:val="00452DB7"/>
    <w:rsid w:val="00454159"/>
    <w:rsid w:val="004612B2"/>
    <w:rsid w:val="004638D6"/>
    <w:rsid w:val="004672D6"/>
    <w:rsid w:val="0047156D"/>
    <w:rsid w:val="004715AD"/>
    <w:rsid w:val="00476D7E"/>
    <w:rsid w:val="0047789D"/>
    <w:rsid w:val="00482437"/>
    <w:rsid w:val="00483DE3"/>
    <w:rsid w:val="00493ADB"/>
    <w:rsid w:val="00493B2F"/>
    <w:rsid w:val="00496A7A"/>
    <w:rsid w:val="00497660"/>
    <w:rsid w:val="004A3840"/>
    <w:rsid w:val="004A5697"/>
    <w:rsid w:val="004A7AE1"/>
    <w:rsid w:val="004A7D9C"/>
    <w:rsid w:val="004A7E40"/>
    <w:rsid w:val="004B3CBF"/>
    <w:rsid w:val="004C2AFD"/>
    <w:rsid w:val="004C43AD"/>
    <w:rsid w:val="004C48D9"/>
    <w:rsid w:val="004C5BA8"/>
    <w:rsid w:val="004C6BDF"/>
    <w:rsid w:val="004D2E6B"/>
    <w:rsid w:val="004D2F15"/>
    <w:rsid w:val="004D64CD"/>
    <w:rsid w:val="004E0AB0"/>
    <w:rsid w:val="004E19F0"/>
    <w:rsid w:val="004E2E28"/>
    <w:rsid w:val="004E3383"/>
    <w:rsid w:val="004E4718"/>
    <w:rsid w:val="004E4CD6"/>
    <w:rsid w:val="004E5CCA"/>
    <w:rsid w:val="004E5D2E"/>
    <w:rsid w:val="004F00C0"/>
    <w:rsid w:val="004F0ACD"/>
    <w:rsid w:val="004F2C07"/>
    <w:rsid w:val="004F31A8"/>
    <w:rsid w:val="004F6366"/>
    <w:rsid w:val="00500173"/>
    <w:rsid w:val="00512F96"/>
    <w:rsid w:val="005135CC"/>
    <w:rsid w:val="005146C5"/>
    <w:rsid w:val="005206BC"/>
    <w:rsid w:val="00521B97"/>
    <w:rsid w:val="00522DFF"/>
    <w:rsid w:val="005255E3"/>
    <w:rsid w:val="00525ACD"/>
    <w:rsid w:val="00526569"/>
    <w:rsid w:val="00531678"/>
    <w:rsid w:val="00535DF3"/>
    <w:rsid w:val="00536FCB"/>
    <w:rsid w:val="00540D7F"/>
    <w:rsid w:val="00545C7C"/>
    <w:rsid w:val="0054688D"/>
    <w:rsid w:val="0054764E"/>
    <w:rsid w:val="00550A89"/>
    <w:rsid w:val="00551BF0"/>
    <w:rsid w:val="00552B83"/>
    <w:rsid w:val="005618ED"/>
    <w:rsid w:val="0056487A"/>
    <w:rsid w:val="0056546D"/>
    <w:rsid w:val="00572EEC"/>
    <w:rsid w:val="00577C5D"/>
    <w:rsid w:val="00583219"/>
    <w:rsid w:val="0058365E"/>
    <w:rsid w:val="00591A84"/>
    <w:rsid w:val="005A0B6B"/>
    <w:rsid w:val="005A2BB6"/>
    <w:rsid w:val="005A5729"/>
    <w:rsid w:val="005A6459"/>
    <w:rsid w:val="005A69D6"/>
    <w:rsid w:val="005A6FCB"/>
    <w:rsid w:val="005B1106"/>
    <w:rsid w:val="005B1AA5"/>
    <w:rsid w:val="005B2263"/>
    <w:rsid w:val="005B2B4B"/>
    <w:rsid w:val="005B5345"/>
    <w:rsid w:val="005C0A34"/>
    <w:rsid w:val="005E0804"/>
    <w:rsid w:val="005E3464"/>
    <w:rsid w:val="005E3ABC"/>
    <w:rsid w:val="005F0731"/>
    <w:rsid w:val="005F11A9"/>
    <w:rsid w:val="005F5584"/>
    <w:rsid w:val="005F598A"/>
    <w:rsid w:val="00601A83"/>
    <w:rsid w:val="006047DC"/>
    <w:rsid w:val="006108F0"/>
    <w:rsid w:val="00612609"/>
    <w:rsid w:val="00617618"/>
    <w:rsid w:val="00617865"/>
    <w:rsid w:val="00617F87"/>
    <w:rsid w:val="00620B34"/>
    <w:rsid w:val="00622EB3"/>
    <w:rsid w:val="00626B97"/>
    <w:rsid w:val="00626D6A"/>
    <w:rsid w:val="006272DF"/>
    <w:rsid w:val="006302D8"/>
    <w:rsid w:val="00630727"/>
    <w:rsid w:val="00631302"/>
    <w:rsid w:val="00633934"/>
    <w:rsid w:val="006358C3"/>
    <w:rsid w:val="006462B0"/>
    <w:rsid w:val="00655F02"/>
    <w:rsid w:val="00656093"/>
    <w:rsid w:val="006564BB"/>
    <w:rsid w:val="00656961"/>
    <w:rsid w:val="00657C10"/>
    <w:rsid w:val="00666279"/>
    <w:rsid w:val="0066748D"/>
    <w:rsid w:val="00667E8F"/>
    <w:rsid w:val="006750C6"/>
    <w:rsid w:val="00683355"/>
    <w:rsid w:val="00686EF8"/>
    <w:rsid w:val="00690637"/>
    <w:rsid w:val="00691795"/>
    <w:rsid w:val="00692709"/>
    <w:rsid w:val="00693DA8"/>
    <w:rsid w:val="006A04BF"/>
    <w:rsid w:val="006A3204"/>
    <w:rsid w:val="006A3767"/>
    <w:rsid w:val="006A389C"/>
    <w:rsid w:val="006A3DEA"/>
    <w:rsid w:val="006A43CD"/>
    <w:rsid w:val="006A43D1"/>
    <w:rsid w:val="006A5394"/>
    <w:rsid w:val="006A59C7"/>
    <w:rsid w:val="006B037A"/>
    <w:rsid w:val="006C14B3"/>
    <w:rsid w:val="006C62EB"/>
    <w:rsid w:val="006D1174"/>
    <w:rsid w:val="006D238C"/>
    <w:rsid w:val="006E110E"/>
    <w:rsid w:val="006E7373"/>
    <w:rsid w:val="006F17FC"/>
    <w:rsid w:val="006F2F2C"/>
    <w:rsid w:val="006F3D25"/>
    <w:rsid w:val="00701C20"/>
    <w:rsid w:val="00706E80"/>
    <w:rsid w:val="00711CA2"/>
    <w:rsid w:val="007137C7"/>
    <w:rsid w:val="00716B50"/>
    <w:rsid w:val="00716EDB"/>
    <w:rsid w:val="007206A0"/>
    <w:rsid w:val="00725188"/>
    <w:rsid w:val="0072571E"/>
    <w:rsid w:val="00725C26"/>
    <w:rsid w:val="0072729D"/>
    <w:rsid w:val="00731C30"/>
    <w:rsid w:val="00732ABA"/>
    <w:rsid w:val="00735D76"/>
    <w:rsid w:val="007401DC"/>
    <w:rsid w:val="00745D57"/>
    <w:rsid w:val="007508B7"/>
    <w:rsid w:val="00750D09"/>
    <w:rsid w:val="007525C5"/>
    <w:rsid w:val="0075356C"/>
    <w:rsid w:val="00760642"/>
    <w:rsid w:val="00761191"/>
    <w:rsid w:val="00766256"/>
    <w:rsid w:val="00770931"/>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D02C0"/>
    <w:rsid w:val="007D344D"/>
    <w:rsid w:val="007D5ABB"/>
    <w:rsid w:val="007F21DA"/>
    <w:rsid w:val="007F7820"/>
    <w:rsid w:val="007F7EB5"/>
    <w:rsid w:val="0080360C"/>
    <w:rsid w:val="00803EDE"/>
    <w:rsid w:val="00806204"/>
    <w:rsid w:val="00807BCE"/>
    <w:rsid w:val="00810812"/>
    <w:rsid w:val="0081595C"/>
    <w:rsid w:val="0081608E"/>
    <w:rsid w:val="0081658C"/>
    <w:rsid w:val="00820598"/>
    <w:rsid w:val="00821B64"/>
    <w:rsid w:val="00821E4E"/>
    <w:rsid w:val="008259BF"/>
    <w:rsid w:val="008266F2"/>
    <w:rsid w:val="008307B7"/>
    <w:rsid w:val="008317AF"/>
    <w:rsid w:val="00840775"/>
    <w:rsid w:val="00852CD8"/>
    <w:rsid w:val="008554B7"/>
    <w:rsid w:val="00856A03"/>
    <w:rsid w:val="00867AD1"/>
    <w:rsid w:val="00872B06"/>
    <w:rsid w:val="008751E1"/>
    <w:rsid w:val="00881F00"/>
    <w:rsid w:val="00885048"/>
    <w:rsid w:val="00892440"/>
    <w:rsid w:val="00892575"/>
    <w:rsid w:val="00894316"/>
    <w:rsid w:val="00895010"/>
    <w:rsid w:val="00895EFC"/>
    <w:rsid w:val="008961D2"/>
    <w:rsid w:val="008A0BB4"/>
    <w:rsid w:val="008A157B"/>
    <w:rsid w:val="008A2BAC"/>
    <w:rsid w:val="008B314A"/>
    <w:rsid w:val="008B561A"/>
    <w:rsid w:val="008B7994"/>
    <w:rsid w:val="008C065E"/>
    <w:rsid w:val="008C08DA"/>
    <w:rsid w:val="008C3E16"/>
    <w:rsid w:val="008C62A0"/>
    <w:rsid w:val="008D3FFE"/>
    <w:rsid w:val="008D4FF7"/>
    <w:rsid w:val="008D57CB"/>
    <w:rsid w:val="008E18BC"/>
    <w:rsid w:val="008E2054"/>
    <w:rsid w:val="008E4E50"/>
    <w:rsid w:val="008E5D8E"/>
    <w:rsid w:val="008E6551"/>
    <w:rsid w:val="008F0FC4"/>
    <w:rsid w:val="008F1A3A"/>
    <w:rsid w:val="008F4F4F"/>
    <w:rsid w:val="00901762"/>
    <w:rsid w:val="009020E7"/>
    <w:rsid w:val="009041DC"/>
    <w:rsid w:val="00905ACF"/>
    <w:rsid w:val="00906953"/>
    <w:rsid w:val="00906E2A"/>
    <w:rsid w:val="00906EC7"/>
    <w:rsid w:val="009142A9"/>
    <w:rsid w:val="00915542"/>
    <w:rsid w:val="00915B2A"/>
    <w:rsid w:val="0091674B"/>
    <w:rsid w:val="00930514"/>
    <w:rsid w:val="00930ABC"/>
    <w:rsid w:val="0093474C"/>
    <w:rsid w:val="00936A2A"/>
    <w:rsid w:val="00936F7D"/>
    <w:rsid w:val="00940C59"/>
    <w:rsid w:val="0095102F"/>
    <w:rsid w:val="00951DF6"/>
    <w:rsid w:val="0095309A"/>
    <w:rsid w:val="009566E1"/>
    <w:rsid w:val="00957E43"/>
    <w:rsid w:val="00960509"/>
    <w:rsid w:val="00961067"/>
    <w:rsid w:val="009631D2"/>
    <w:rsid w:val="0096343C"/>
    <w:rsid w:val="00963DDB"/>
    <w:rsid w:val="0096626A"/>
    <w:rsid w:val="0097034B"/>
    <w:rsid w:val="009703AF"/>
    <w:rsid w:val="00974AD4"/>
    <w:rsid w:val="00977E20"/>
    <w:rsid w:val="00982381"/>
    <w:rsid w:val="0098688C"/>
    <w:rsid w:val="009914CA"/>
    <w:rsid w:val="009924FB"/>
    <w:rsid w:val="009A050E"/>
    <w:rsid w:val="009A27ED"/>
    <w:rsid w:val="009A396E"/>
    <w:rsid w:val="009A5222"/>
    <w:rsid w:val="009B2BFA"/>
    <w:rsid w:val="009B4BE5"/>
    <w:rsid w:val="009C2C5B"/>
    <w:rsid w:val="009C7832"/>
    <w:rsid w:val="009D2B22"/>
    <w:rsid w:val="009D4DAF"/>
    <w:rsid w:val="009D74F2"/>
    <w:rsid w:val="009E0E55"/>
    <w:rsid w:val="009E12DB"/>
    <w:rsid w:val="009E1E8F"/>
    <w:rsid w:val="009E5464"/>
    <w:rsid w:val="009F3C8A"/>
    <w:rsid w:val="009F5DB9"/>
    <w:rsid w:val="00A0003B"/>
    <w:rsid w:val="00A0379B"/>
    <w:rsid w:val="00A05951"/>
    <w:rsid w:val="00A10437"/>
    <w:rsid w:val="00A10C79"/>
    <w:rsid w:val="00A1471F"/>
    <w:rsid w:val="00A15B76"/>
    <w:rsid w:val="00A172B5"/>
    <w:rsid w:val="00A21892"/>
    <w:rsid w:val="00A23955"/>
    <w:rsid w:val="00A276A8"/>
    <w:rsid w:val="00A329A2"/>
    <w:rsid w:val="00A35349"/>
    <w:rsid w:val="00A36FB6"/>
    <w:rsid w:val="00A43C76"/>
    <w:rsid w:val="00A44828"/>
    <w:rsid w:val="00A448C7"/>
    <w:rsid w:val="00A45CA8"/>
    <w:rsid w:val="00A4751A"/>
    <w:rsid w:val="00A60D5D"/>
    <w:rsid w:val="00A631E8"/>
    <w:rsid w:val="00A705C7"/>
    <w:rsid w:val="00A7104F"/>
    <w:rsid w:val="00A72E00"/>
    <w:rsid w:val="00A75F2F"/>
    <w:rsid w:val="00A80E85"/>
    <w:rsid w:val="00A81FA4"/>
    <w:rsid w:val="00A82F32"/>
    <w:rsid w:val="00A875CC"/>
    <w:rsid w:val="00A919F9"/>
    <w:rsid w:val="00AA1BEF"/>
    <w:rsid w:val="00AA1DEC"/>
    <w:rsid w:val="00AA1EE9"/>
    <w:rsid w:val="00AA32DE"/>
    <w:rsid w:val="00AB077B"/>
    <w:rsid w:val="00AC348C"/>
    <w:rsid w:val="00AC457A"/>
    <w:rsid w:val="00AC53B8"/>
    <w:rsid w:val="00AC6541"/>
    <w:rsid w:val="00AC7928"/>
    <w:rsid w:val="00AD536E"/>
    <w:rsid w:val="00AD5BC5"/>
    <w:rsid w:val="00AD60E5"/>
    <w:rsid w:val="00AD7B09"/>
    <w:rsid w:val="00AE6084"/>
    <w:rsid w:val="00AF02AD"/>
    <w:rsid w:val="00AF03DC"/>
    <w:rsid w:val="00AF266F"/>
    <w:rsid w:val="00AF2855"/>
    <w:rsid w:val="00AF3022"/>
    <w:rsid w:val="00AF7091"/>
    <w:rsid w:val="00AF7299"/>
    <w:rsid w:val="00B00B5A"/>
    <w:rsid w:val="00B018FC"/>
    <w:rsid w:val="00B01B60"/>
    <w:rsid w:val="00B020DB"/>
    <w:rsid w:val="00B03603"/>
    <w:rsid w:val="00B04FA4"/>
    <w:rsid w:val="00B055D8"/>
    <w:rsid w:val="00B07B26"/>
    <w:rsid w:val="00B12107"/>
    <w:rsid w:val="00B13681"/>
    <w:rsid w:val="00B14AEB"/>
    <w:rsid w:val="00B15573"/>
    <w:rsid w:val="00B17214"/>
    <w:rsid w:val="00B2593D"/>
    <w:rsid w:val="00B25B35"/>
    <w:rsid w:val="00B27037"/>
    <w:rsid w:val="00B30971"/>
    <w:rsid w:val="00B30B35"/>
    <w:rsid w:val="00B32230"/>
    <w:rsid w:val="00B344B5"/>
    <w:rsid w:val="00B34B0F"/>
    <w:rsid w:val="00B35D6B"/>
    <w:rsid w:val="00B36396"/>
    <w:rsid w:val="00B37331"/>
    <w:rsid w:val="00B425C2"/>
    <w:rsid w:val="00B42ABF"/>
    <w:rsid w:val="00B436BB"/>
    <w:rsid w:val="00B50907"/>
    <w:rsid w:val="00B5315B"/>
    <w:rsid w:val="00B577B3"/>
    <w:rsid w:val="00B605AA"/>
    <w:rsid w:val="00B6124E"/>
    <w:rsid w:val="00B63CEB"/>
    <w:rsid w:val="00B645A1"/>
    <w:rsid w:val="00B64EE4"/>
    <w:rsid w:val="00B65C9B"/>
    <w:rsid w:val="00B67B26"/>
    <w:rsid w:val="00B71FE1"/>
    <w:rsid w:val="00B73F50"/>
    <w:rsid w:val="00B74A8D"/>
    <w:rsid w:val="00B74BF1"/>
    <w:rsid w:val="00B81339"/>
    <w:rsid w:val="00B81F18"/>
    <w:rsid w:val="00B851B4"/>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D6E8E"/>
    <w:rsid w:val="00BE2272"/>
    <w:rsid w:val="00BE4007"/>
    <w:rsid w:val="00BE4010"/>
    <w:rsid w:val="00BF02C8"/>
    <w:rsid w:val="00BF0ADA"/>
    <w:rsid w:val="00BF0B52"/>
    <w:rsid w:val="00BF1BD3"/>
    <w:rsid w:val="00BF3837"/>
    <w:rsid w:val="00BF5213"/>
    <w:rsid w:val="00C00854"/>
    <w:rsid w:val="00C01F56"/>
    <w:rsid w:val="00C02920"/>
    <w:rsid w:val="00C10CE7"/>
    <w:rsid w:val="00C12152"/>
    <w:rsid w:val="00C12AF2"/>
    <w:rsid w:val="00C14FB3"/>
    <w:rsid w:val="00C1718F"/>
    <w:rsid w:val="00C20365"/>
    <w:rsid w:val="00C2386F"/>
    <w:rsid w:val="00C25484"/>
    <w:rsid w:val="00C2675B"/>
    <w:rsid w:val="00C26D28"/>
    <w:rsid w:val="00C30EE2"/>
    <w:rsid w:val="00C374F0"/>
    <w:rsid w:val="00C37F27"/>
    <w:rsid w:val="00C42A4B"/>
    <w:rsid w:val="00C463BC"/>
    <w:rsid w:val="00C5014E"/>
    <w:rsid w:val="00C56528"/>
    <w:rsid w:val="00C601F7"/>
    <w:rsid w:val="00C6037A"/>
    <w:rsid w:val="00C603E3"/>
    <w:rsid w:val="00C6143C"/>
    <w:rsid w:val="00C625A5"/>
    <w:rsid w:val="00C62771"/>
    <w:rsid w:val="00C71C6E"/>
    <w:rsid w:val="00C72669"/>
    <w:rsid w:val="00C73CEE"/>
    <w:rsid w:val="00C75757"/>
    <w:rsid w:val="00C76429"/>
    <w:rsid w:val="00C806AF"/>
    <w:rsid w:val="00C8157D"/>
    <w:rsid w:val="00C84088"/>
    <w:rsid w:val="00C84390"/>
    <w:rsid w:val="00C84EE4"/>
    <w:rsid w:val="00C874CB"/>
    <w:rsid w:val="00C91F19"/>
    <w:rsid w:val="00C9375A"/>
    <w:rsid w:val="00C943CA"/>
    <w:rsid w:val="00C957C1"/>
    <w:rsid w:val="00C97EBC"/>
    <w:rsid w:val="00CA1361"/>
    <w:rsid w:val="00CA4A6A"/>
    <w:rsid w:val="00CA4D3F"/>
    <w:rsid w:val="00CB17D9"/>
    <w:rsid w:val="00CB69AF"/>
    <w:rsid w:val="00CB7C96"/>
    <w:rsid w:val="00CD10B6"/>
    <w:rsid w:val="00CD1587"/>
    <w:rsid w:val="00CD6471"/>
    <w:rsid w:val="00CE2583"/>
    <w:rsid w:val="00CF16C4"/>
    <w:rsid w:val="00CF1BED"/>
    <w:rsid w:val="00D01646"/>
    <w:rsid w:val="00D03AFF"/>
    <w:rsid w:val="00D1117D"/>
    <w:rsid w:val="00D11A33"/>
    <w:rsid w:val="00D11CF6"/>
    <w:rsid w:val="00D12984"/>
    <w:rsid w:val="00D140F6"/>
    <w:rsid w:val="00D15C5B"/>
    <w:rsid w:val="00D20EB2"/>
    <w:rsid w:val="00D25573"/>
    <w:rsid w:val="00D33271"/>
    <w:rsid w:val="00D341DB"/>
    <w:rsid w:val="00D4078A"/>
    <w:rsid w:val="00D413DF"/>
    <w:rsid w:val="00D415AF"/>
    <w:rsid w:val="00D41E42"/>
    <w:rsid w:val="00D45456"/>
    <w:rsid w:val="00D5049E"/>
    <w:rsid w:val="00D50A53"/>
    <w:rsid w:val="00D51CD8"/>
    <w:rsid w:val="00D53C15"/>
    <w:rsid w:val="00D53EF1"/>
    <w:rsid w:val="00D5525D"/>
    <w:rsid w:val="00D649A7"/>
    <w:rsid w:val="00D72144"/>
    <w:rsid w:val="00D7528F"/>
    <w:rsid w:val="00D75677"/>
    <w:rsid w:val="00D75E1E"/>
    <w:rsid w:val="00D7660B"/>
    <w:rsid w:val="00D81EBE"/>
    <w:rsid w:val="00D8494A"/>
    <w:rsid w:val="00D93AD9"/>
    <w:rsid w:val="00D94B6A"/>
    <w:rsid w:val="00D95F8B"/>
    <w:rsid w:val="00D9607E"/>
    <w:rsid w:val="00D97758"/>
    <w:rsid w:val="00DA0352"/>
    <w:rsid w:val="00DA4F10"/>
    <w:rsid w:val="00DB1312"/>
    <w:rsid w:val="00DB674B"/>
    <w:rsid w:val="00DB7BF8"/>
    <w:rsid w:val="00DC100F"/>
    <w:rsid w:val="00DC41D0"/>
    <w:rsid w:val="00DD36E2"/>
    <w:rsid w:val="00DE5F1B"/>
    <w:rsid w:val="00DE6432"/>
    <w:rsid w:val="00DF51A0"/>
    <w:rsid w:val="00DF5B63"/>
    <w:rsid w:val="00DF5E56"/>
    <w:rsid w:val="00DF609F"/>
    <w:rsid w:val="00DF725A"/>
    <w:rsid w:val="00DF73C2"/>
    <w:rsid w:val="00E01043"/>
    <w:rsid w:val="00E01B33"/>
    <w:rsid w:val="00E026A1"/>
    <w:rsid w:val="00E03073"/>
    <w:rsid w:val="00E052C0"/>
    <w:rsid w:val="00E0601C"/>
    <w:rsid w:val="00E07025"/>
    <w:rsid w:val="00E119F0"/>
    <w:rsid w:val="00E14190"/>
    <w:rsid w:val="00E15D73"/>
    <w:rsid w:val="00E25029"/>
    <w:rsid w:val="00E261B9"/>
    <w:rsid w:val="00E33221"/>
    <w:rsid w:val="00E40719"/>
    <w:rsid w:val="00E41EFF"/>
    <w:rsid w:val="00E42C10"/>
    <w:rsid w:val="00E44912"/>
    <w:rsid w:val="00E45EFC"/>
    <w:rsid w:val="00E471ED"/>
    <w:rsid w:val="00E47B83"/>
    <w:rsid w:val="00E47F3C"/>
    <w:rsid w:val="00E50004"/>
    <w:rsid w:val="00E53818"/>
    <w:rsid w:val="00E55218"/>
    <w:rsid w:val="00E55B0C"/>
    <w:rsid w:val="00E55FA2"/>
    <w:rsid w:val="00E570ED"/>
    <w:rsid w:val="00E615B6"/>
    <w:rsid w:val="00E61AF1"/>
    <w:rsid w:val="00E62F64"/>
    <w:rsid w:val="00E63730"/>
    <w:rsid w:val="00E63DD6"/>
    <w:rsid w:val="00E6441C"/>
    <w:rsid w:val="00E6490F"/>
    <w:rsid w:val="00E6552A"/>
    <w:rsid w:val="00E70D31"/>
    <w:rsid w:val="00E7274C"/>
    <w:rsid w:val="00E73DA5"/>
    <w:rsid w:val="00E747D8"/>
    <w:rsid w:val="00E76268"/>
    <w:rsid w:val="00E846D2"/>
    <w:rsid w:val="00E93DFB"/>
    <w:rsid w:val="00E95284"/>
    <w:rsid w:val="00E956E5"/>
    <w:rsid w:val="00E96E01"/>
    <w:rsid w:val="00EA0625"/>
    <w:rsid w:val="00EA37B5"/>
    <w:rsid w:val="00EA7718"/>
    <w:rsid w:val="00EB0812"/>
    <w:rsid w:val="00EB46CC"/>
    <w:rsid w:val="00EC11A8"/>
    <w:rsid w:val="00EC6666"/>
    <w:rsid w:val="00ED2EEF"/>
    <w:rsid w:val="00ED38C0"/>
    <w:rsid w:val="00ED4270"/>
    <w:rsid w:val="00ED7571"/>
    <w:rsid w:val="00EE7778"/>
    <w:rsid w:val="00F018EA"/>
    <w:rsid w:val="00F02475"/>
    <w:rsid w:val="00F0458B"/>
    <w:rsid w:val="00F04B39"/>
    <w:rsid w:val="00F055A1"/>
    <w:rsid w:val="00F066F6"/>
    <w:rsid w:val="00F103D7"/>
    <w:rsid w:val="00F10A0F"/>
    <w:rsid w:val="00F14FD3"/>
    <w:rsid w:val="00F150C5"/>
    <w:rsid w:val="00F16672"/>
    <w:rsid w:val="00F22A37"/>
    <w:rsid w:val="00F24CD6"/>
    <w:rsid w:val="00F30D68"/>
    <w:rsid w:val="00F3188C"/>
    <w:rsid w:val="00F332A2"/>
    <w:rsid w:val="00F35D29"/>
    <w:rsid w:val="00F3793D"/>
    <w:rsid w:val="00F40AA0"/>
    <w:rsid w:val="00F4165A"/>
    <w:rsid w:val="00F4206B"/>
    <w:rsid w:val="00F44D8F"/>
    <w:rsid w:val="00F47CE2"/>
    <w:rsid w:val="00F52110"/>
    <w:rsid w:val="00F5460A"/>
    <w:rsid w:val="00F54FE7"/>
    <w:rsid w:val="00F57F00"/>
    <w:rsid w:val="00F60525"/>
    <w:rsid w:val="00F60566"/>
    <w:rsid w:val="00F67568"/>
    <w:rsid w:val="00F70E49"/>
    <w:rsid w:val="00F714D0"/>
    <w:rsid w:val="00F717B2"/>
    <w:rsid w:val="00F72610"/>
    <w:rsid w:val="00F73DB1"/>
    <w:rsid w:val="00F76882"/>
    <w:rsid w:val="00F83298"/>
    <w:rsid w:val="00F853CF"/>
    <w:rsid w:val="00F864B5"/>
    <w:rsid w:val="00F8698D"/>
    <w:rsid w:val="00F942C8"/>
    <w:rsid w:val="00FA045E"/>
    <w:rsid w:val="00FA1C82"/>
    <w:rsid w:val="00FA2563"/>
    <w:rsid w:val="00FB099D"/>
    <w:rsid w:val="00FB2659"/>
    <w:rsid w:val="00FB5C1D"/>
    <w:rsid w:val="00FC588F"/>
    <w:rsid w:val="00FC625C"/>
    <w:rsid w:val="00FC7DB6"/>
    <w:rsid w:val="00FD0F03"/>
    <w:rsid w:val="00FD28F6"/>
    <w:rsid w:val="00FD334C"/>
    <w:rsid w:val="00FD4503"/>
    <w:rsid w:val="00FD6D78"/>
    <w:rsid w:val="00FE1A39"/>
    <w:rsid w:val="00FE36B5"/>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0625"/>
    <w:pPr>
      <w:tabs>
        <w:tab w:val="center" w:pos="4153"/>
        <w:tab w:val="right" w:pos="8306"/>
      </w:tabs>
      <w:spacing w:after="0" w:line="240" w:lineRule="auto"/>
    </w:pPr>
  </w:style>
  <w:style w:type="character" w:customStyle="1" w:styleId="HeaderChar">
    <w:name w:val="Header Char"/>
    <w:link w:val="Header"/>
    <w:uiPriority w:val="99"/>
    <w:locked/>
    <w:rsid w:val="00EA0625"/>
    <w:rPr>
      <w:rFonts w:cs="Times New Roman"/>
    </w:rPr>
  </w:style>
  <w:style w:type="character" w:styleId="Hyperlink">
    <w:name w:val="Hyperlink"/>
    <w:uiPriority w:val="99"/>
    <w:rsid w:val="00EA0625"/>
    <w:rPr>
      <w:rFonts w:cs="Times New Roman"/>
      <w:color w:val="0000FF"/>
      <w:u w:val="single"/>
    </w:rPr>
  </w:style>
  <w:style w:type="paragraph" w:customStyle="1" w:styleId="naisf">
    <w:name w:val="naisf"/>
    <w:basedOn w:val="Normal"/>
    <w:link w:val="naisfChar"/>
    <w:uiPriority w:val="99"/>
    <w:rsid w:val="00EA06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uiPriority w:val="99"/>
    <w:locked/>
    <w:rsid w:val="00EA0625"/>
    <w:rPr>
      <w:rFonts w:ascii="Times New Roman" w:hAnsi="Times New Roman"/>
      <w:sz w:val="24"/>
      <w:lang w:eastAsia="lv-LV"/>
    </w:rPr>
  </w:style>
  <w:style w:type="paragraph" w:customStyle="1" w:styleId="tv2131">
    <w:name w:val="tv2131"/>
    <w:basedOn w:val="Normal"/>
    <w:uiPriority w:val="99"/>
    <w:rsid w:val="00EA0625"/>
    <w:pPr>
      <w:spacing w:after="0" w:line="360" w:lineRule="auto"/>
      <w:ind w:firstLine="300"/>
    </w:pPr>
    <w:rPr>
      <w:rFonts w:ascii="Times New Roman" w:eastAsia="Times New Roman" w:hAnsi="Times New Roman"/>
      <w:color w:val="414142"/>
      <w:sz w:val="20"/>
      <w:szCs w:val="20"/>
      <w:lang w:eastAsia="lv-LV"/>
    </w:rPr>
  </w:style>
  <w:style w:type="paragraph" w:customStyle="1" w:styleId="tv2132">
    <w:name w:val="tv2132"/>
    <w:basedOn w:val="Normal"/>
    <w:uiPriority w:val="99"/>
    <w:rsid w:val="00EA0625"/>
    <w:pPr>
      <w:spacing w:after="0" w:line="360" w:lineRule="auto"/>
      <w:ind w:firstLine="300"/>
    </w:pPr>
    <w:rPr>
      <w:rFonts w:ascii="Times New Roman" w:eastAsia="Times New Roman" w:hAnsi="Times New Roman"/>
      <w:color w:val="414142"/>
      <w:sz w:val="20"/>
      <w:szCs w:val="20"/>
      <w:lang w:eastAsia="lv-LV"/>
    </w:rPr>
  </w:style>
  <w:style w:type="paragraph" w:customStyle="1" w:styleId="naisnod">
    <w:name w:val="naisnod"/>
    <w:basedOn w:val="Normal"/>
    <w:uiPriority w:val="99"/>
    <w:rsid w:val="00EA0625"/>
    <w:pPr>
      <w:spacing w:before="150" w:after="150" w:line="240" w:lineRule="auto"/>
      <w:jc w:val="center"/>
    </w:pPr>
    <w:rPr>
      <w:rFonts w:ascii="Times New Roman" w:eastAsia="Times New Roman" w:hAnsi="Times New Roman"/>
      <w:b/>
      <w:bCs/>
      <w:sz w:val="24"/>
      <w:szCs w:val="24"/>
      <w:lang w:eastAsia="lv-LV"/>
    </w:rPr>
  </w:style>
  <w:style w:type="character" w:styleId="CommentReference">
    <w:name w:val="annotation reference"/>
    <w:uiPriority w:val="99"/>
    <w:semiHidden/>
    <w:rsid w:val="00EA0625"/>
    <w:rPr>
      <w:rFonts w:cs="Times New Roman"/>
      <w:sz w:val="16"/>
      <w:szCs w:val="16"/>
    </w:rPr>
  </w:style>
  <w:style w:type="paragraph" w:styleId="CommentText">
    <w:name w:val="annotation text"/>
    <w:basedOn w:val="Normal"/>
    <w:link w:val="CommentTextChar"/>
    <w:uiPriority w:val="99"/>
    <w:semiHidden/>
    <w:rsid w:val="00EA0625"/>
    <w:pPr>
      <w:spacing w:line="240" w:lineRule="auto"/>
    </w:pPr>
    <w:rPr>
      <w:sz w:val="20"/>
      <w:szCs w:val="20"/>
    </w:rPr>
  </w:style>
  <w:style w:type="character" w:customStyle="1" w:styleId="CommentTextChar">
    <w:name w:val="Comment Text Char"/>
    <w:link w:val="CommentText"/>
    <w:uiPriority w:val="99"/>
    <w:semiHidden/>
    <w:locked/>
    <w:rsid w:val="00EA0625"/>
    <w:rPr>
      <w:rFonts w:cs="Times New Roman"/>
      <w:sz w:val="20"/>
      <w:szCs w:val="20"/>
    </w:rPr>
  </w:style>
  <w:style w:type="paragraph" w:styleId="BalloonText">
    <w:name w:val="Balloon Text"/>
    <w:basedOn w:val="Normal"/>
    <w:link w:val="BalloonTextChar"/>
    <w:uiPriority w:val="99"/>
    <w:semiHidden/>
    <w:rsid w:val="00EA06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A0625"/>
    <w:rPr>
      <w:rFonts w:ascii="Tahoma" w:hAnsi="Tahoma" w:cs="Tahoma"/>
      <w:sz w:val="16"/>
      <w:szCs w:val="16"/>
    </w:rPr>
  </w:style>
  <w:style w:type="paragraph" w:styleId="Footer">
    <w:name w:val="footer"/>
    <w:basedOn w:val="Normal"/>
    <w:link w:val="FooterChar"/>
    <w:uiPriority w:val="99"/>
    <w:rsid w:val="001B34C4"/>
    <w:pPr>
      <w:tabs>
        <w:tab w:val="center" w:pos="4153"/>
        <w:tab w:val="right" w:pos="8306"/>
      </w:tabs>
      <w:spacing w:after="0" w:line="240" w:lineRule="auto"/>
    </w:pPr>
  </w:style>
  <w:style w:type="character" w:customStyle="1" w:styleId="FooterChar">
    <w:name w:val="Footer Char"/>
    <w:link w:val="Footer"/>
    <w:uiPriority w:val="99"/>
    <w:locked/>
    <w:rsid w:val="001B34C4"/>
    <w:rPr>
      <w:rFonts w:cs="Times New Roman"/>
    </w:rPr>
  </w:style>
  <w:style w:type="paragraph" w:styleId="CommentSubject">
    <w:name w:val="annotation subject"/>
    <w:basedOn w:val="CommentText"/>
    <w:next w:val="CommentText"/>
    <w:link w:val="CommentSubjectChar"/>
    <w:uiPriority w:val="99"/>
    <w:semiHidden/>
    <w:rsid w:val="005255E3"/>
    <w:rPr>
      <w:b/>
      <w:bCs/>
    </w:rPr>
  </w:style>
  <w:style w:type="character" w:customStyle="1" w:styleId="CommentSubjectChar">
    <w:name w:val="Comment Subject Char"/>
    <w:link w:val="CommentSubject"/>
    <w:uiPriority w:val="99"/>
    <w:semiHidden/>
    <w:locked/>
    <w:rsid w:val="005255E3"/>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ce.Trusinska@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9</Pages>
  <Words>10617</Words>
  <Characters>6052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2003.gada 27.maija Ministru kabineta noteikumos Nr.272 „Noteikumi par valsts fondēto pensiju shēmas darbību” </vt:lpstr>
    </vt:vector>
  </TitlesOfParts>
  <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2003.gada 27.maija Ministru kabineta noteikumos Nr.272 „Noteikumi par valsts fondēto pensiju shēmas darbību” </dc:title>
  <dc:subject>anotācija</dc:subject>
  <dc:creator>Dace Trusinska</dc:creator>
  <cp:keywords/>
  <dc:description>D.Trušinska, 67021553Dace.Trusinska@lm.gov.lv</dc:description>
  <cp:lastModifiedBy>Dace Trusinska</cp:lastModifiedBy>
  <cp:revision>26</cp:revision>
  <cp:lastPrinted>2018-01-10T09:46:00Z</cp:lastPrinted>
  <dcterms:created xsi:type="dcterms:W3CDTF">2017-12-04T12:20:00Z</dcterms:created>
  <dcterms:modified xsi:type="dcterms:W3CDTF">2018-01-15T11:51:00Z</dcterms:modified>
</cp:coreProperties>
</file>