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4BA4" w14:textId="5A228FA9" w:rsidR="001D64A6" w:rsidRPr="001054E9" w:rsidRDefault="0052594D" w:rsidP="003B5BF8">
      <w:pPr>
        <w:jc w:val="center"/>
        <w:rPr>
          <w:b/>
          <w:bCs/>
        </w:rPr>
      </w:pPr>
      <w:r w:rsidRPr="001054E9">
        <w:rPr>
          <w:b/>
          <w:bCs/>
        </w:rPr>
        <w:t xml:space="preserve">Ministru kabineta noteikumu </w:t>
      </w:r>
      <w:r w:rsidR="001D64A6" w:rsidRPr="001054E9">
        <w:rPr>
          <w:b/>
          <w:bCs/>
        </w:rPr>
        <w:t xml:space="preserve">projekta </w:t>
      </w:r>
      <w:r w:rsidR="00A6594A">
        <w:rPr>
          <w:b/>
        </w:rPr>
        <w:t>“Grozījums</w:t>
      </w:r>
      <w:r w:rsidR="00C96D2E" w:rsidRPr="001054E9">
        <w:rPr>
          <w:b/>
        </w:rPr>
        <w:t xml:space="preserve"> Ministru kabineta</w:t>
      </w:r>
      <w:r w:rsidR="007962C4">
        <w:rPr>
          <w:b/>
        </w:rPr>
        <w:t xml:space="preserve"> 2009.gada 11.augusta</w:t>
      </w:r>
      <w:r w:rsidR="00C96D2E" w:rsidRPr="001054E9">
        <w:rPr>
          <w:b/>
        </w:rPr>
        <w:t xml:space="preserve"> noteikumos Nr.892 “Noteikumi par numerācijas lietošanas tiesību ikgadējo valsts nodevu””</w:t>
      </w:r>
      <w:r w:rsidR="001D64A6" w:rsidRPr="001054E9">
        <w:rPr>
          <w:b/>
          <w:bCs/>
        </w:rPr>
        <w:t xml:space="preserve"> sākotnējās ietekmes novērtējuma ziņojums (anotācija)</w:t>
      </w:r>
    </w:p>
    <w:p w14:paraId="05E17B7E" w14:textId="77777777" w:rsidR="00A43184" w:rsidRDefault="00A43184" w:rsidP="00A43184">
      <w:pP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65"/>
        <w:gridCol w:w="6266"/>
      </w:tblGrid>
      <w:tr w:rsidR="00BA6A2B" w:rsidRPr="000B79B2" w14:paraId="0188D149" w14:textId="77777777" w:rsidTr="00060A4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4B4AFE" w14:textId="77777777" w:rsidR="00BA6A2B" w:rsidRPr="00993C84" w:rsidRDefault="00BA6A2B" w:rsidP="00060A45">
            <w:pPr>
              <w:spacing w:before="100" w:beforeAutospacing="1" w:after="100" w:afterAutospacing="1" w:line="360" w:lineRule="auto"/>
              <w:ind w:firstLine="300"/>
              <w:jc w:val="center"/>
              <w:rPr>
                <w:b/>
                <w:bCs/>
              </w:rPr>
            </w:pPr>
            <w:r w:rsidRPr="00993C84">
              <w:rPr>
                <w:b/>
                <w:bCs/>
              </w:rPr>
              <w:t>Tiesību akta projekta anotācijas kopsavilkums</w:t>
            </w:r>
          </w:p>
        </w:tc>
      </w:tr>
      <w:tr w:rsidR="00BA6A2B" w:rsidRPr="000B79B2" w14:paraId="005755EC" w14:textId="77777777" w:rsidTr="0060717B">
        <w:tc>
          <w:tcPr>
            <w:tcW w:w="1569" w:type="pct"/>
            <w:tcBorders>
              <w:top w:val="outset" w:sz="6" w:space="0" w:color="414142"/>
              <w:left w:val="outset" w:sz="6" w:space="0" w:color="414142"/>
              <w:bottom w:val="outset" w:sz="6" w:space="0" w:color="414142"/>
              <w:right w:val="outset" w:sz="6" w:space="0" w:color="414142"/>
            </w:tcBorders>
            <w:hideMark/>
          </w:tcPr>
          <w:p w14:paraId="78D19D48" w14:textId="77777777" w:rsidR="00BA6A2B" w:rsidRPr="00993C84" w:rsidRDefault="00BA6A2B" w:rsidP="00060A45">
            <w:pPr>
              <w:jc w:val="both"/>
            </w:pPr>
            <w:r w:rsidRPr="00993C84">
              <w:t>Mērķis, risinājums un projekta spēkā stāšanās laiks (500 zīmes bez atstarpēm)</w:t>
            </w:r>
          </w:p>
        </w:tc>
        <w:tc>
          <w:tcPr>
            <w:tcW w:w="3431" w:type="pct"/>
            <w:tcBorders>
              <w:top w:val="outset" w:sz="6" w:space="0" w:color="414142"/>
              <w:left w:val="outset" w:sz="6" w:space="0" w:color="414142"/>
              <w:bottom w:val="outset" w:sz="6" w:space="0" w:color="414142"/>
              <w:right w:val="outset" w:sz="6" w:space="0" w:color="414142"/>
            </w:tcBorders>
            <w:hideMark/>
          </w:tcPr>
          <w:p w14:paraId="1C8BC31A" w14:textId="20C217C3" w:rsidR="00BA6A2B" w:rsidRDefault="00BA6A2B" w:rsidP="00F405E1">
            <w:pPr>
              <w:ind w:left="27" w:right="105" w:hanging="27"/>
              <w:jc w:val="both"/>
            </w:pPr>
            <w:r>
              <w:t xml:space="preserve">     </w:t>
            </w:r>
            <w:r w:rsidRPr="00BA6A2B">
              <w:t>Mini</w:t>
            </w:r>
            <w:r>
              <w:t>stru kabineta noteikumu projekts</w:t>
            </w:r>
            <w:r w:rsidR="00A6594A">
              <w:t xml:space="preserve"> “Grozījums</w:t>
            </w:r>
            <w:r w:rsidRPr="00BA6A2B">
              <w:t xml:space="preserve"> Ministru kabineta</w:t>
            </w:r>
            <w:r w:rsidR="007962C4">
              <w:t xml:space="preserve"> 2009.gada 11.augusta</w:t>
            </w:r>
            <w:r w:rsidRPr="00BA6A2B">
              <w:t xml:space="preserve"> noteikumos Nr.892 “Noteikumi par numerācijas lietošanas tiesību ikgadējo valsts nodevu”” </w:t>
            </w:r>
            <w:r>
              <w:t xml:space="preserve">(turpmāk – projekts) nosaka, </w:t>
            </w:r>
            <w:r w:rsidR="00FD593F">
              <w:t xml:space="preserve">ka numerācijas lietošanas tiesību ikgadējā valsts nodeva valsts </w:t>
            </w:r>
            <w:r w:rsidRPr="006B5174">
              <w:t>budžetā ir samaksājam</w:t>
            </w:r>
            <w:r>
              <w:t>a</w:t>
            </w:r>
            <w:r w:rsidRPr="006B5174">
              <w:t xml:space="preserve"> ne vēlāk kā līdz pārskata iesniegšanas mēneša 23.datumam</w:t>
            </w:r>
            <w:r>
              <w:t>, kā arī nosaka, ka numerācijas lietošanas tiesību ikgadējās valsts nodevas deklarācija</w:t>
            </w:r>
            <w:r w:rsidRPr="00D5130B">
              <w:rPr>
                <w:color w:val="FF0000"/>
              </w:rPr>
              <w:t xml:space="preserve"> </w:t>
            </w:r>
            <w:r w:rsidRPr="006B5174">
              <w:t>ir iesniedzama</w:t>
            </w:r>
            <w:r w:rsidR="005E5DE0">
              <w:t xml:space="preserve"> trīs dienas</w:t>
            </w:r>
            <w:r w:rsidRPr="006B5174">
              <w:t xml:space="preserve"> pirms </w:t>
            </w:r>
            <w:r>
              <w:t xml:space="preserve">vienotā </w:t>
            </w:r>
            <w:r w:rsidRPr="006B5174">
              <w:t xml:space="preserve">nodokļa maksāšanas </w:t>
            </w:r>
            <w:r>
              <w:t xml:space="preserve">gala </w:t>
            </w:r>
            <w:r w:rsidRPr="006B5174">
              <w:t>termiņa.</w:t>
            </w:r>
          </w:p>
          <w:p w14:paraId="38C889B2" w14:textId="77777777" w:rsidR="00BA6A2B" w:rsidRPr="006B5174" w:rsidRDefault="00FD593F" w:rsidP="00F405E1">
            <w:pPr>
              <w:ind w:left="27" w:right="105" w:hanging="27"/>
              <w:jc w:val="both"/>
              <w:rPr>
                <w:color w:val="7030A0"/>
              </w:rPr>
            </w:pPr>
            <w:r>
              <w:t xml:space="preserve">     Projekts stājas spēkā 20</w:t>
            </w:r>
            <w:r w:rsidR="00BA6A2B">
              <w:t xml:space="preserve">21.gada 1.janvārī. </w:t>
            </w:r>
          </w:p>
        </w:tc>
      </w:tr>
    </w:tbl>
    <w:p w14:paraId="3187F38F" w14:textId="77777777" w:rsidR="00A43184" w:rsidRPr="001054E9" w:rsidRDefault="00A43184" w:rsidP="00A43184">
      <w:pPr>
        <w:spacing w:line="120" w:lineRule="auto"/>
        <w:rPr>
          <w:b/>
          <w:bCs/>
        </w:rPr>
      </w:pP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405"/>
        <w:gridCol w:w="6237"/>
      </w:tblGrid>
      <w:tr w:rsidR="00DE5BE7" w:rsidRPr="001054E9" w14:paraId="1CA117B1" w14:textId="77777777" w:rsidTr="00F13AB9">
        <w:trPr>
          <w:trHeight w:val="1"/>
        </w:trPr>
        <w:tc>
          <w:tcPr>
            <w:tcW w:w="9067" w:type="dxa"/>
            <w:gridSpan w:val="3"/>
            <w:vAlign w:val="center"/>
          </w:tcPr>
          <w:p w14:paraId="479790F6" w14:textId="77777777" w:rsidR="00DE5BE7" w:rsidRPr="001054E9" w:rsidRDefault="00551F1E" w:rsidP="00551F1E">
            <w:pPr>
              <w:pStyle w:val="naisnod"/>
              <w:spacing w:before="0" w:after="0"/>
              <w:ind w:left="1800"/>
              <w:jc w:val="left"/>
            </w:pPr>
            <w:r w:rsidRPr="001054E9">
              <w:t>I. </w:t>
            </w:r>
            <w:r w:rsidR="00DE5BE7" w:rsidRPr="001054E9">
              <w:t>Tiesību akta projekta izstrādes nepieciešamība</w:t>
            </w:r>
          </w:p>
        </w:tc>
      </w:tr>
      <w:tr w:rsidR="00DE5BE7" w:rsidRPr="001054E9" w14:paraId="03FB7214" w14:textId="77777777" w:rsidTr="00F13AB9">
        <w:trPr>
          <w:trHeight w:val="9"/>
        </w:trPr>
        <w:tc>
          <w:tcPr>
            <w:tcW w:w="425" w:type="dxa"/>
          </w:tcPr>
          <w:p w14:paraId="6B16B179" w14:textId="77777777" w:rsidR="00DE5BE7" w:rsidRPr="001054E9" w:rsidRDefault="00DE5BE7" w:rsidP="00A63A7D">
            <w:pPr>
              <w:pStyle w:val="naiskr"/>
              <w:spacing w:before="0" w:after="0"/>
              <w:jc w:val="center"/>
            </w:pPr>
            <w:r w:rsidRPr="001054E9">
              <w:t>1.</w:t>
            </w:r>
          </w:p>
        </w:tc>
        <w:tc>
          <w:tcPr>
            <w:tcW w:w="2405" w:type="dxa"/>
          </w:tcPr>
          <w:p w14:paraId="60A3566E" w14:textId="77777777" w:rsidR="00DE5BE7" w:rsidRPr="001054E9" w:rsidRDefault="009A197C" w:rsidP="009A197C">
            <w:pPr>
              <w:pStyle w:val="naiskr"/>
              <w:spacing w:before="0" w:after="0"/>
              <w:ind w:hanging="10"/>
            </w:pPr>
            <w:r>
              <w:t xml:space="preserve">   </w:t>
            </w:r>
            <w:r w:rsidR="00DE5BE7" w:rsidRPr="001054E9">
              <w:t>Pamatojums</w:t>
            </w:r>
          </w:p>
        </w:tc>
        <w:tc>
          <w:tcPr>
            <w:tcW w:w="6237" w:type="dxa"/>
          </w:tcPr>
          <w:p w14:paraId="7537B451" w14:textId="536E4876" w:rsidR="001E287E" w:rsidRPr="006B5174" w:rsidRDefault="001E287E" w:rsidP="00F405E1">
            <w:pPr>
              <w:ind w:left="143" w:right="142" w:firstLine="141"/>
              <w:jc w:val="both"/>
            </w:pPr>
            <w:r>
              <w:t xml:space="preserve">     </w:t>
            </w:r>
            <w:r w:rsidRPr="006B5174">
              <w:t xml:space="preserve"> Ministru kabineta 2017.gada 26.septembra</w:t>
            </w:r>
            <w:r>
              <w:t xml:space="preserve"> sēdes</w:t>
            </w:r>
            <w:r w:rsidRPr="006B5174">
              <w:t xml:space="preserve"> proto</w:t>
            </w:r>
            <w:r>
              <w:t>kollēmuma</w:t>
            </w:r>
            <w:r w:rsidR="00FD593F">
              <w:t xml:space="preserve"> (Prot. </w:t>
            </w:r>
            <w:r>
              <w:t>Nr.48) 44.§ 3.punkts</w:t>
            </w:r>
            <w:r w:rsidRPr="006B5174">
              <w:t>, kas paredz, lai mazinātu administratīvo slogu nodokļu maksātājiem un nodrošinātu iespēju vairākus nodokļu maksājumus, kā arī valsts nodevu par numerācijas lietošanas tiesībām vienotajā nodokļu kontā samaksāt vienā maksājumā</w:t>
            </w:r>
            <w:r w:rsidR="002609AC">
              <w:t xml:space="preserve">, </w:t>
            </w:r>
            <w:r w:rsidRPr="006B5174">
              <w:t>Finanšu ministrijai, Ekonomikas ministrijai, Labklājības ministrijai, Satiksmes ministrijai un Vides aizsardzības un reģionālās attīstības ministrijai izvērtēt kompetencē esošos normatīvos aktus un pārskatīt nodokļu deklarāciju iesniegšanas un nodokļu (t. sk. valsts nodevas par numerācijas lietošanas tiesībām) maksāšanas termiņus, un vienlaikus ar nākamajiem grozījumiem attiecīgajos normatīvajos aktos, bet ne vēlāk kā līdz 2018.gada 1.martam, iesniegt izskatīšanai Ministru kabinetā normatīvo aktu projektus, kas paredz, ka:</w:t>
            </w:r>
          </w:p>
          <w:p w14:paraId="750D7904" w14:textId="77777777" w:rsidR="001E287E" w:rsidRPr="006B5174" w:rsidRDefault="001E287E" w:rsidP="00F405E1">
            <w:pPr>
              <w:ind w:left="143" w:right="142" w:firstLine="141"/>
              <w:jc w:val="both"/>
            </w:pPr>
            <w:r w:rsidRPr="006B5174">
              <w:t>- regulāri maksājamie (t.i., reizi mēnesī, reizi ceturksnī un reizi pusgadā maksājamie) Valsts ieņēmumu dienesta administrētie nodokļi un valsts nodeva par numerācijas lietošanas tiesībām budžetā ir samaksājama ne vēlāk kā līdz pārskata iesniegšanas mēneša 23.datumam. Mēneša 23.datums ir vienotais regulāri maksājamo nodokļu un valsts nodevas par numerācijas lietošanas tiesībām maksāšanas gala termiņš;</w:t>
            </w:r>
          </w:p>
          <w:p w14:paraId="20E87662" w14:textId="77777777" w:rsidR="001E287E" w:rsidRPr="006B5174" w:rsidRDefault="001E287E" w:rsidP="00F405E1">
            <w:pPr>
              <w:ind w:left="143" w:right="142" w:firstLine="141"/>
              <w:jc w:val="both"/>
            </w:pPr>
            <w:r w:rsidRPr="006B5174">
              <w:t xml:space="preserve">- regulāri iesniedzamās (t.i., reizi mēnesī, reizi ceturksnī un reizi pusgadā iesniedzamās) nodokļu deklarācijas un numerācijas lietošanas tiesību ikgadējās valsts nodevas deklarācija nodokļu administrācijai iesniedzamas pirms nodokļu un valsts nodevas par numerācijas lietošanas tiesībām maksāšanas gala termiņa, nodokļu deklarācijas un numerācijas lietošanas tiesību ikgadējās valsts nodevas deklarācijas iesniegšanas termiņu nosakot ne mazāk kā trīs dienas pirms vienotā nodokļu un numerācijas lietošanas tiesību ikgadējās valsts nodevas maksāšanas gala termiņa </w:t>
            </w:r>
            <w:r w:rsidRPr="006B5174">
              <w:lastRenderedPageBreak/>
              <w:t>iestāšanās;</w:t>
            </w:r>
          </w:p>
          <w:p w14:paraId="11123EAF" w14:textId="7F0B8818" w:rsidR="00D03D4B" w:rsidRPr="001054E9" w:rsidRDefault="001E287E" w:rsidP="00D03D4B">
            <w:pPr>
              <w:ind w:left="143" w:firstLine="141"/>
              <w:jc w:val="both"/>
              <w:rPr>
                <w:lang w:eastAsia="x-none"/>
              </w:rPr>
            </w:pPr>
            <w:r w:rsidRPr="006B5174">
              <w:t>-</w:t>
            </w:r>
            <w:r w:rsidR="00D03D4B">
              <w:rPr>
                <w:lang w:eastAsia="x-none"/>
              </w:rPr>
              <w:t xml:space="preserve"> </w:t>
            </w:r>
            <w:r w:rsidR="00D03D4B" w:rsidRPr="00D03D4B">
              <w:rPr>
                <w:lang w:eastAsia="x-none"/>
              </w:rPr>
              <w:t>minētie normatīvo aktu grozījumi spēkā stājas 2021.gada 1.janvārī un attiecināmi uz deklarācijām, kas iesniedzamas ar 2021.gada 1.janvāri, un nodokļu un numerācijas lietošanas tiesību ikgadējās valsts nodevas maksājumiem, kuru maksāšanas termiņš iestājas ar 2021.gada 1.janvāri.</w:t>
            </w:r>
          </w:p>
        </w:tc>
      </w:tr>
      <w:tr w:rsidR="00DE5BE7" w:rsidRPr="001054E9" w14:paraId="5DBDA3B7" w14:textId="77777777" w:rsidTr="00F13AB9">
        <w:trPr>
          <w:trHeight w:val="5"/>
        </w:trPr>
        <w:tc>
          <w:tcPr>
            <w:tcW w:w="425" w:type="dxa"/>
          </w:tcPr>
          <w:p w14:paraId="60542D13" w14:textId="77777777" w:rsidR="00DE5BE7" w:rsidRPr="001054E9" w:rsidRDefault="00DE5BE7" w:rsidP="009A197C">
            <w:pPr>
              <w:pStyle w:val="naiskr"/>
              <w:spacing w:before="0" w:after="0"/>
              <w:jc w:val="center"/>
            </w:pPr>
            <w:r w:rsidRPr="001054E9">
              <w:lastRenderedPageBreak/>
              <w:t>2.</w:t>
            </w:r>
          </w:p>
        </w:tc>
        <w:tc>
          <w:tcPr>
            <w:tcW w:w="2405" w:type="dxa"/>
          </w:tcPr>
          <w:p w14:paraId="18521A81" w14:textId="77777777" w:rsidR="000F47AB" w:rsidRPr="001054E9" w:rsidRDefault="00A63A7D" w:rsidP="00DC444E">
            <w:pPr>
              <w:pStyle w:val="naiskr"/>
              <w:tabs>
                <w:tab w:val="left" w:pos="170"/>
              </w:tabs>
              <w:spacing w:before="0" w:after="0"/>
              <w:rPr>
                <w:color w:val="000000"/>
              </w:rPr>
            </w:pPr>
            <w:r>
              <w:rPr>
                <w:color w:val="000000"/>
              </w:rPr>
              <w:t xml:space="preserve">   </w:t>
            </w:r>
            <w:r w:rsidR="00DE5BE7" w:rsidRPr="001054E9">
              <w:rPr>
                <w:color w:val="000000"/>
              </w:rPr>
              <w:t>Pašreizējā situācija un problēmas, kuru risināšanai tiesību akta projekts izstrādāts, tiesiskā regulējuma mērķis un būtība</w:t>
            </w:r>
          </w:p>
          <w:p w14:paraId="20CF9038" w14:textId="77777777" w:rsidR="00DE5BE7" w:rsidRPr="001054E9" w:rsidRDefault="00DE5BE7" w:rsidP="000F47AB">
            <w:pPr>
              <w:ind w:firstLine="720"/>
              <w:rPr>
                <w:color w:val="000000"/>
              </w:rPr>
            </w:pPr>
          </w:p>
        </w:tc>
        <w:tc>
          <w:tcPr>
            <w:tcW w:w="6237" w:type="dxa"/>
          </w:tcPr>
          <w:p w14:paraId="55DC8783" w14:textId="37BC3515" w:rsidR="00E56D1E" w:rsidRPr="001054E9" w:rsidRDefault="00AE02B3" w:rsidP="006024BF">
            <w:pPr>
              <w:ind w:left="143" w:right="141"/>
              <w:jc w:val="both"/>
              <w:rPr>
                <w:color w:val="000000"/>
              </w:rPr>
            </w:pPr>
            <w:r w:rsidRPr="001054E9">
              <w:rPr>
                <w:color w:val="000000"/>
              </w:rPr>
              <w:t xml:space="preserve">     </w:t>
            </w:r>
            <w:r w:rsidR="005A0553" w:rsidRPr="001054E9">
              <w:rPr>
                <w:color w:val="000000"/>
              </w:rPr>
              <w:t>Saskaņā ar</w:t>
            </w:r>
            <w:r w:rsidR="00617D9E" w:rsidRPr="001054E9">
              <w:rPr>
                <w:color w:val="000000"/>
              </w:rPr>
              <w:t xml:space="preserve"> šobrīd spēkā esošo regulējumu -</w:t>
            </w:r>
            <w:r w:rsidR="005A0553" w:rsidRPr="001054E9">
              <w:rPr>
                <w:color w:val="000000"/>
              </w:rPr>
              <w:t xml:space="preserve"> Ministru kabineta 2009.gada 11.augusta noteikumu Nr.892 “Noteikumi par numerācijas lietošanas tiesību ikgadējo valsts nodevu” 5.punktu</w:t>
            </w:r>
            <w:r w:rsidR="00DC03C3">
              <w:rPr>
                <w:color w:val="000000"/>
              </w:rPr>
              <w:t xml:space="preserve">, </w:t>
            </w:r>
            <w:r w:rsidR="00617D9E" w:rsidRPr="001054E9">
              <w:rPr>
                <w:color w:val="000000"/>
              </w:rPr>
              <w:t>e</w:t>
            </w:r>
            <w:r w:rsidR="005A0553" w:rsidRPr="001054E9">
              <w:rPr>
                <w:color w:val="000000"/>
              </w:rPr>
              <w:t>lektronisko sakaru komersants reizi ceturksnī līdz ta</w:t>
            </w:r>
            <w:r w:rsidR="0060717B">
              <w:rPr>
                <w:color w:val="000000"/>
              </w:rPr>
              <w:t>m sekojošā mēneša 30.</w:t>
            </w:r>
            <w:r w:rsidR="005A0553" w:rsidRPr="001054E9">
              <w:rPr>
                <w:color w:val="000000"/>
              </w:rPr>
              <w:t>datumam ieskaita valsts nodevu</w:t>
            </w:r>
            <w:r w:rsidR="002709AD" w:rsidRPr="001054E9">
              <w:rPr>
                <w:color w:val="000000"/>
              </w:rPr>
              <w:t xml:space="preserve"> par numerācijas lietošanas tiesībām</w:t>
            </w:r>
            <w:r w:rsidR="005A0553" w:rsidRPr="001054E9">
              <w:rPr>
                <w:color w:val="000000"/>
              </w:rPr>
              <w:t xml:space="preserve"> valsts budžeta ieņēmumu kontā Valsts kasē un iesniedz deklarāciju Valsts ieņēmumu dienestā </w:t>
            </w:r>
            <w:r w:rsidRPr="001054E9">
              <w:rPr>
                <w:color w:val="000000"/>
              </w:rPr>
              <w:t xml:space="preserve">(turpmāk – VID) </w:t>
            </w:r>
            <w:r w:rsidR="005A0553" w:rsidRPr="001054E9">
              <w:rPr>
                <w:color w:val="000000"/>
              </w:rPr>
              <w:t xml:space="preserve">atbilstoši nodokļu maksātāja reģistrācijas vietai. </w:t>
            </w:r>
          </w:p>
          <w:p w14:paraId="08479E43" w14:textId="77777777" w:rsidR="007C319F" w:rsidRPr="007C319F" w:rsidRDefault="00520320" w:rsidP="007C319F">
            <w:pPr>
              <w:ind w:left="143" w:right="142"/>
              <w:jc w:val="both"/>
            </w:pPr>
            <w:r>
              <w:t xml:space="preserve">    </w:t>
            </w:r>
            <w:r w:rsidR="007C319F" w:rsidRPr="007C319F">
              <w:rPr>
                <w:rFonts w:eastAsiaTheme="minorHAnsi"/>
                <w:lang w:eastAsia="en-US"/>
              </w:rPr>
              <w:t xml:space="preserve"> </w:t>
            </w:r>
            <w:r w:rsidR="007C319F" w:rsidRPr="007C319F">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w:t>
            </w:r>
            <w:r w:rsidR="00FD593F">
              <w:t xml:space="preserve">budžeta ieņēmumu klasifikāciju. </w:t>
            </w:r>
            <w:r w:rsidR="007C319F" w:rsidRPr="007C319F">
              <w:t xml:space="preserve">Ņemot vērā minēto un izvērtējot situāciju ar nodokļu maksāšanas sistēmu, konstatēts, ka pašlaik nodokļu maksātājs (fiziskās un juridiskās personas) veic nodokļu iemaksu 49 nodokļu kontos (valsts budžeta ieņēmumu kontos Valsts kasē). </w:t>
            </w:r>
          </w:p>
          <w:p w14:paraId="3E8F1282" w14:textId="77777777" w:rsidR="007C319F" w:rsidRPr="007C319F" w:rsidRDefault="0030512D" w:rsidP="007C319F">
            <w:pPr>
              <w:ind w:left="143" w:right="142"/>
              <w:jc w:val="both"/>
            </w:pPr>
            <w:r>
              <w:t xml:space="preserve">     </w:t>
            </w:r>
            <w:r w:rsidR="007C319F" w:rsidRPr="007C319F">
              <w:t>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normatīvajos aktos ir noteikts savs samaksas termiņš, kurš jāievēro grāmatvedim vai uzņēmuma vadītājam, lai nenokavētu maksājuma veikšanu.</w:t>
            </w:r>
          </w:p>
          <w:p w14:paraId="11C5D87A" w14:textId="77777777" w:rsidR="007C319F" w:rsidRPr="007C319F" w:rsidRDefault="0030512D" w:rsidP="007C319F">
            <w:pPr>
              <w:ind w:left="143" w:right="142"/>
              <w:jc w:val="both"/>
            </w:pPr>
            <w:r>
              <w:t xml:space="preserve">     </w:t>
            </w:r>
            <w:r w:rsidR="007C319F" w:rsidRPr="007C319F">
              <w:t>Lai atrisinātu minētās problēmas un samazinātu resursus nodokļu samaksai un administrēšanai, ar 2021.gadu, kā to paredz Saeimā 2017.gada 23.novembrī pieņemtais likums “Grozījumi likumā “Par nodokļiem un nodevām””, VID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6E0E6C3A" w14:textId="3E4FF9D1" w:rsidR="007C319F" w:rsidRPr="007C319F" w:rsidRDefault="0030512D" w:rsidP="007C319F">
            <w:pPr>
              <w:ind w:left="143" w:right="142"/>
              <w:jc w:val="both"/>
            </w:pPr>
            <w:r>
              <w:t xml:space="preserve">     </w:t>
            </w:r>
            <w:r w:rsidR="007C319F" w:rsidRPr="007C319F">
              <w:t xml:space="preserve">Savukārt, lai radītu iespēju, ka vienā maksājumā ir iespējams samaksāt vairākus nodokļu maksājumus, tādējādi samazinot maksājumu izmaksas un maksājumu veikšanai </w:t>
            </w:r>
            <w:r w:rsidR="007C319F" w:rsidRPr="007C319F">
              <w:lastRenderedPageBreak/>
              <w:t>nepieciešamos cilvēkresursus, nepieciešams pārskatīt nodokļu maksāšanas termiņus un attiecīgajos normatīvajos aktos noteikt, ka regulāri maksājamie (t.i., reizi mēnesī, reizi ceturksnī un reizi pusgadā maksājamie) VID administrētie nodokļi</w:t>
            </w:r>
            <w:r w:rsidR="00FD593F">
              <w:t>, tostarp numerācijas lietošanas tiesību nodeva,</w:t>
            </w:r>
            <w:r w:rsidR="007C319F" w:rsidRPr="007C319F">
              <w:t xml:space="preserve"> budžetā ir samaksājami ne vēlāk kā lī</w:t>
            </w:r>
            <w:r w:rsidR="00355C12">
              <w:t xml:space="preserve">dz pārskata iesniegšanas mēneša 23.datumam. </w:t>
            </w:r>
            <w:r w:rsidR="00B54CC1">
              <w:t>V</w:t>
            </w:r>
            <w:r w:rsidR="007C319F" w:rsidRPr="007C319F">
              <w:t>ienādojot maksāšanas termiņu regulāri maksājamiem VID administrētiem nodokļiem, tik</w:t>
            </w:r>
            <w:r w:rsidR="00B54CC1">
              <w:t>s</w:t>
            </w:r>
            <w:r w:rsidR="007C319F" w:rsidRPr="007C319F">
              <w:t xml:space="preserve"> radīta iespēja nodokļu maksātājam minētos maksājumus samaksāt vienotajā nodokļu kontā vienā maksājumā līdz vienotajam nodokļu maksāšanas gala termiņam - pārskata iesniegšanas mēneša 23.datumam. Vienotais nodokļu maksāšanas gala termiņš neliedz iespēju nodokļu maksātājam veikt nodokļu maksājumus valsts budžetā vairākos maksājumos, ja tas būs ērtāk no nodokļu maksātāja finanšu plūsmas organizācijas viedokļa, taču mēneša 23.datums ir datums, kad VID administrētiem nodokļiem ir jābūt samaksātiem.</w:t>
            </w:r>
          </w:p>
          <w:p w14:paraId="3A5AD7D8" w14:textId="77777777" w:rsidR="007C319F" w:rsidRPr="007C319F" w:rsidRDefault="0030512D" w:rsidP="007C319F">
            <w:pPr>
              <w:ind w:left="143" w:right="142"/>
              <w:jc w:val="both"/>
            </w:pPr>
            <w:r>
              <w:t xml:space="preserve">     </w:t>
            </w:r>
            <w:r w:rsidR="007C319F" w:rsidRPr="007C319F">
              <w:t xml:space="preserve">Vienotā nodokļu konta risinājums, kas paredz vienādot nodokļu maksāšanas termiņus, ļaus ietaupīt gan pārskaitījumu veikšanas izdevumus, gan cilvēkresursus pārskaitījuma veikšanai, t.sk. laiku maksājuma sagatavošanai un veikšanai. </w:t>
            </w:r>
          </w:p>
          <w:p w14:paraId="4A174D2A" w14:textId="77777777" w:rsidR="007C319F" w:rsidRPr="007C319F" w:rsidRDefault="007C319F" w:rsidP="007C319F">
            <w:pPr>
              <w:ind w:left="143" w:right="142"/>
              <w:jc w:val="both"/>
            </w:pPr>
            <w:r w:rsidRPr="007C319F">
              <w:t>Vienlaikus, lai nodrošinātu, ka vienotajā nodokļu kontā saņemto maksājumu ir iespējams attiecināt pret VID administrēto nodokļu maksājumu saistībām, normatīvajos aktos ir jānosaka, ka nodokļu deklarācija ir iesniedzama pirms nodokļa maksāšanas termiņa, tādējādi vispirms tiktu uzskaitīta VID administrēto nodokļu maksājumu saistība un vienotajā nodokļu kontā saņemto maksājumu būs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 iesniegšanas, saistību segšanai. Tādējādi ir jāpārskata nodokļu deklarāciju iesniegšanas termiņi un attiecīgajos normatīvajos aktos ir jānosaka, ka nodokļu deklarācijas iesniegšanas termiņš nosakāms ne mazāk kā trīs dienas pirms vienotā nodokļu maksāšanas gala termiņa iestāšanās.</w:t>
            </w:r>
          </w:p>
          <w:p w14:paraId="7AF819F9" w14:textId="77777777" w:rsidR="0097003F" w:rsidRDefault="00355C12" w:rsidP="0097003F">
            <w:pPr>
              <w:ind w:left="143" w:right="142"/>
              <w:jc w:val="both"/>
            </w:pPr>
            <w:r>
              <w:t xml:space="preserve">    Ņemot vērā minēto un </w:t>
            </w:r>
            <w:r w:rsidR="0097003F">
              <w:t xml:space="preserve">ievērojot </w:t>
            </w:r>
            <w:r w:rsidR="0097003F" w:rsidRPr="006B5174">
              <w:t>Ministru kabineta 2017.gada 26.septembra protokollēmum</w:t>
            </w:r>
            <w:r w:rsidR="0097003F">
              <w:t xml:space="preserve">a (Protokols Nr.48) </w:t>
            </w:r>
            <w:r w:rsidR="0097003F" w:rsidRPr="006B5174">
              <w:t>44.§ 3</w:t>
            </w:r>
            <w:r w:rsidR="0097003F">
              <w:t>.punktu, projekts paredz jaunas prasības numerācijas lietošanas tiesību</w:t>
            </w:r>
            <w:r>
              <w:t xml:space="preserve"> ikgadējās valsts</w:t>
            </w:r>
            <w:r w:rsidR="0097003F">
              <w:t xml:space="preserve"> nodevas maksāšanas un ar to saistītās deklarācijas iesniegšanas termiņam,  nosakot, ka e</w:t>
            </w:r>
            <w:r w:rsidR="0097003F" w:rsidRPr="004A3E51">
              <w:t>lektronisko sakaru komersants reizi ceturksnī līdz tam sekojošā mēneša 23. datumam ieskaita</w:t>
            </w:r>
            <w:r>
              <w:t xml:space="preserve"> numerācijas lietošanas tiesību ikgadējo</w:t>
            </w:r>
            <w:r w:rsidR="0097003F" w:rsidRPr="004A3E51">
              <w:t xml:space="preserve"> valsts nodevu valsts budžeta ieņēmumu kontā Valsts kasē un līdz ceturkšņa sekojošā mēneša 20.datumam iesniedz</w:t>
            </w:r>
            <w:r>
              <w:t xml:space="preserve"> numerācijas lietošanas tiesību ikgadējās </w:t>
            </w:r>
            <w:r>
              <w:lastRenderedPageBreak/>
              <w:t xml:space="preserve">valsts nodevas </w:t>
            </w:r>
            <w:r w:rsidR="0097003F" w:rsidRPr="004A3E51">
              <w:t>deklarāciju Valsts ieņēmumu dienestā atbilstoši nodokļu maksātāja reģistrācijas vietai</w:t>
            </w:r>
            <w:r w:rsidR="0097003F">
              <w:t>.</w:t>
            </w:r>
          </w:p>
          <w:p w14:paraId="5162E397" w14:textId="77777777" w:rsidR="002A62EE" w:rsidRPr="001054E9" w:rsidRDefault="00520320" w:rsidP="006024BF">
            <w:pPr>
              <w:ind w:left="143" w:right="142"/>
              <w:jc w:val="both"/>
            </w:pPr>
            <w:r>
              <w:t xml:space="preserve"> </w:t>
            </w:r>
            <w:r w:rsidR="003035A9">
              <w:t xml:space="preserve">   </w:t>
            </w:r>
            <w:r w:rsidR="00E15CC4" w:rsidRPr="001054E9">
              <w:t>Ministru kabineta 2017.gada 26.septembra sēdē</w:t>
            </w:r>
            <w:r w:rsidR="00CC6EFA" w:rsidRPr="001054E9">
              <w:t xml:space="preserve">  (prot.Nr.48, 44.§) </w:t>
            </w:r>
            <w:r w:rsidR="00E15CC4" w:rsidRPr="001054E9">
              <w:t xml:space="preserve"> ir atbalstīts</w:t>
            </w:r>
            <w:r w:rsidR="00BA6A2B">
              <w:t xml:space="preserve"> un </w:t>
            </w:r>
            <w:r w:rsidR="00BA6A2B" w:rsidRPr="006B5174">
              <w:t xml:space="preserve">2017.gada 23.novembrī Saeimā </w:t>
            </w:r>
            <w:r w:rsidR="00BA6A2B">
              <w:t xml:space="preserve">pieņemts </w:t>
            </w:r>
            <w:r w:rsidR="00E15CC4" w:rsidRPr="001054E9">
              <w:t>Finanšu ministrijas izstrādātais likumprojekts “Grozījumi liku</w:t>
            </w:r>
            <w:r w:rsidR="00F42C11">
              <w:t xml:space="preserve">mā “Par nodokļiem un nodevām””, ar ko tiek </w:t>
            </w:r>
            <w:r w:rsidR="00E15CC4" w:rsidRPr="001054E9">
              <w:t>ieviest</w:t>
            </w:r>
            <w:r w:rsidR="00F42C11">
              <w:t>s vienotais nodokļu konts</w:t>
            </w:r>
            <w:r w:rsidR="00617D9E" w:rsidRPr="001054E9">
              <w:t xml:space="preserve"> VID administrētiem nodokļiem, tostarp valsts nodevai par numerācijas lietošanas tiesībām</w:t>
            </w:r>
            <w:r w:rsidR="00F42C11">
              <w:t xml:space="preserve"> un noteikts</w:t>
            </w:r>
            <w:r w:rsidR="003148B0" w:rsidRPr="001054E9">
              <w:t>, ka vienotajā nodokļu kontā nodokļu maksātājs iemaksā arī valsts nodevu par numerācijas lietošanas tiesībām.</w:t>
            </w:r>
          </w:p>
          <w:p w14:paraId="59C1FECE" w14:textId="77777777" w:rsidR="0097003F" w:rsidRPr="0097003F" w:rsidRDefault="003035A9" w:rsidP="0097003F">
            <w:pPr>
              <w:ind w:left="143" w:right="142"/>
              <w:jc w:val="both"/>
            </w:pPr>
            <w:r>
              <w:t xml:space="preserve">     </w:t>
            </w:r>
            <w:r w:rsidR="0097003F" w:rsidRPr="0097003F">
              <w:t>Saeimā 2017.gada 23.novembrī pieņemtais likums “Grozījumi likumā “Par nodokļiem un nodevām”” paredz ieviest vienoto nodokļu kontu ar 2021.gada 1.janvāri, t.i., ar 2021.gada 1.janvāri VID administrētos nodokļu maksājumus būs iespējams veikt vienotajā nodokļu kontā. Ņemot vērā minēto, VID savlaicīgi jāveic sagatavošanās darbi, tai skaitā jānodrošina informācijas sistēmas atbalsts vienotā nodokļu konta ieviešanai (t.i., jānodrošina</w:t>
            </w:r>
            <w:r w:rsidR="007962C4">
              <w:t xml:space="preserve"> </w:t>
            </w:r>
            <w:r w:rsidR="007962C4" w:rsidRPr="000B208D">
              <w:t>Maksājumu administrēšanas informācijas</w:t>
            </w:r>
            <w:r w:rsidR="007962C4">
              <w:t xml:space="preserve"> sistēmas</w:t>
            </w:r>
            <w:r w:rsidR="0097003F" w:rsidRPr="0097003F">
              <w:t xml:space="preserve"> </w:t>
            </w:r>
            <w:r w:rsidR="0097003F">
              <w:t>(turpmāk – MAIS)</w:t>
            </w:r>
            <w:r w:rsidR="0097003F" w:rsidRPr="0097003F">
              <w:t xml:space="preserve"> izstrāde), jo esošajā VID informācijas sistēmā vienotā nodokļu konta risinājumu nav iespējams ieviest. </w:t>
            </w:r>
          </w:p>
          <w:p w14:paraId="025914B5" w14:textId="77777777" w:rsidR="0097003F" w:rsidRPr="0097003F" w:rsidRDefault="003035A9" w:rsidP="0097003F">
            <w:pPr>
              <w:ind w:left="143" w:right="142"/>
              <w:jc w:val="both"/>
            </w:pPr>
            <w:r>
              <w:t xml:space="preserve">     </w:t>
            </w:r>
            <w:r w:rsidR="0097003F" w:rsidRPr="0097003F">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2E7C1E80" w14:textId="77777777" w:rsidR="0097003F" w:rsidRDefault="007962C4" w:rsidP="0097003F">
            <w:pPr>
              <w:ind w:left="143" w:right="142"/>
              <w:jc w:val="both"/>
            </w:pPr>
            <w:r>
              <w:t xml:space="preserve">     </w:t>
            </w:r>
            <w:r w:rsidR="0097003F" w:rsidRPr="0097003F">
              <w:t>Ņemot vērā ievērojamās izmaiņas, lai nodrošinātu, ka MAIS tiek izstrādāta plānotajos termiņos, t.i., līdz 2020.gada 31.decembrim, MAIS izstrāde ir jāuzsāk ne vēlāk kā 2018.ga</w:t>
            </w:r>
            <w:r w:rsidR="003035A9">
              <w:t>da 1.jūnijā. Ņemot vērā minēto, projekts</w:t>
            </w:r>
            <w:r w:rsidR="0097003F" w:rsidRPr="0097003F">
              <w:t xml:space="preserve"> tiek virzīt</w:t>
            </w:r>
            <w:r w:rsidR="003035A9">
              <w:t xml:space="preserve">s apstiprināšanai </w:t>
            </w:r>
            <w:r w:rsidR="0097003F" w:rsidRPr="0097003F">
              <w:t xml:space="preserve">2018.gadā, lai savlaicīgi </w:t>
            </w:r>
            <w:r w:rsidR="0030512D">
              <w:t xml:space="preserve">reglamentētu ar </w:t>
            </w:r>
            <w:r w:rsidR="0097003F" w:rsidRPr="0097003F">
              <w:t>vienotā nodokļu konta ieviešanu un izmantošanu saistītus jautājumus un būtu iespējams savlaicīgi uzsākt MAIS izstrādi.</w:t>
            </w:r>
          </w:p>
          <w:p w14:paraId="6AAAD790" w14:textId="77777777" w:rsidR="004A3E51" w:rsidRDefault="0030512D" w:rsidP="006024BF">
            <w:pPr>
              <w:ind w:left="143" w:right="142"/>
              <w:jc w:val="both"/>
            </w:pPr>
            <w:r>
              <w:t xml:space="preserve">    </w:t>
            </w:r>
            <w:r w:rsidR="00B63276">
              <w:t xml:space="preserve"> </w:t>
            </w:r>
            <w:r w:rsidR="00520320">
              <w:t xml:space="preserve">Projekts </w:t>
            </w:r>
            <w:r w:rsidR="004A3E51">
              <w:t>stājas spēkā 2021.gada 1.janvārī un tajā iekļautās normas attiecināmas</w:t>
            </w:r>
            <w:r w:rsidR="009A197C">
              <w:t xml:space="preserve"> uz </w:t>
            </w:r>
            <w:r w:rsidR="009A197C" w:rsidRPr="001054E9">
              <w:t>numerācijas lietošanas tiesību ikgadējās valsts nodeva</w:t>
            </w:r>
            <w:r w:rsidR="009A197C">
              <w:t>s maksājumu</w:t>
            </w:r>
            <w:r w:rsidR="009A197C" w:rsidRPr="001054E9">
              <w:t xml:space="preserve">, kuru maksāšanas termiņš </w:t>
            </w:r>
            <w:r w:rsidR="009A197C">
              <w:t>iestājas ar 2021.gada 1.janvāri, kā arī uz atbilstošo deklarāciju</w:t>
            </w:r>
            <w:r w:rsidR="004A3E51" w:rsidRPr="001054E9">
              <w:t>, kas iesnied</w:t>
            </w:r>
            <w:r w:rsidR="009A197C">
              <w:t>zama</w:t>
            </w:r>
            <w:r w:rsidR="00B63276">
              <w:t>, sākot no 2021.gada 1.janvāra</w:t>
            </w:r>
            <w:r w:rsidR="009A197C">
              <w:t>.</w:t>
            </w:r>
            <w:r w:rsidR="004A3E51" w:rsidRPr="001054E9">
              <w:t xml:space="preserve"> </w:t>
            </w:r>
          </w:p>
          <w:p w14:paraId="371C8F99" w14:textId="77777777" w:rsidR="00D202F1" w:rsidRPr="001054E9" w:rsidRDefault="004A3E51" w:rsidP="009A197C">
            <w:pPr>
              <w:ind w:left="143" w:right="142"/>
              <w:jc w:val="both"/>
              <w:rPr>
                <w:color w:val="000000"/>
              </w:rPr>
            </w:pPr>
            <w:r>
              <w:t xml:space="preserve"> </w:t>
            </w:r>
            <w:r w:rsidRPr="001054E9">
              <w:t xml:space="preserve">  </w:t>
            </w:r>
            <w:r w:rsidR="00CC6EFA" w:rsidRPr="001054E9">
              <w:t xml:space="preserve"> </w:t>
            </w:r>
          </w:p>
        </w:tc>
      </w:tr>
      <w:tr w:rsidR="00DE5BE7" w:rsidRPr="001054E9" w14:paraId="495C0C10" w14:textId="77777777" w:rsidTr="00F13AB9">
        <w:trPr>
          <w:trHeight w:val="8"/>
        </w:trPr>
        <w:tc>
          <w:tcPr>
            <w:tcW w:w="425" w:type="dxa"/>
          </w:tcPr>
          <w:p w14:paraId="4F3E9A17" w14:textId="77777777" w:rsidR="00DE5BE7" w:rsidRPr="001054E9" w:rsidRDefault="00DE5BE7" w:rsidP="008F2C79">
            <w:pPr>
              <w:pStyle w:val="naiskr"/>
              <w:spacing w:before="0" w:after="0"/>
            </w:pPr>
            <w:r w:rsidRPr="001054E9">
              <w:lastRenderedPageBreak/>
              <w:t>3.</w:t>
            </w:r>
          </w:p>
        </w:tc>
        <w:tc>
          <w:tcPr>
            <w:tcW w:w="2405" w:type="dxa"/>
          </w:tcPr>
          <w:p w14:paraId="2FAA52CD" w14:textId="77777777" w:rsidR="00DE5BE7" w:rsidRPr="001054E9" w:rsidRDefault="00F965C3" w:rsidP="008F2C79">
            <w:pPr>
              <w:pStyle w:val="naiskr"/>
              <w:spacing w:before="0" w:after="0"/>
            </w:pPr>
            <w:r w:rsidRPr="001054E9">
              <w:t>Projekta izstrādē iesaistītās institūcijas un publiskas personas kapitālsabiedrības</w:t>
            </w:r>
          </w:p>
        </w:tc>
        <w:tc>
          <w:tcPr>
            <w:tcW w:w="6237" w:type="dxa"/>
          </w:tcPr>
          <w:p w14:paraId="34375246" w14:textId="77777777" w:rsidR="007E22B9" w:rsidRPr="001054E9" w:rsidRDefault="00FD593F" w:rsidP="00F13AB9">
            <w:pPr>
              <w:pStyle w:val="naiskr"/>
              <w:tabs>
                <w:tab w:val="left" w:pos="6357"/>
              </w:tabs>
              <w:spacing w:before="0" w:after="0"/>
              <w:ind w:right="138"/>
              <w:jc w:val="both"/>
            </w:pPr>
            <w:r>
              <w:t xml:space="preserve">Satiksmes ministrija, </w:t>
            </w:r>
            <w:r w:rsidR="00A50340" w:rsidRPr="001054E9">
              <w:t>Finanšu ministrija</w:t>
            </w:r>
            <w:r w:rsidR="00F13AB9">
              <w:t>.</w:t>
            </w:r>
          </w:p>
        </w:tc>
      </w:tr>
      <w:tr w:rsidR="00DE5BE7" w:rsidRPr="001054E9" w14:paraId="0545E559" w14:textId="77777777" w:rsidTr="00F13AB9">
        <w:trPr>
          <w:trHeight w:val="246"/>
        </w:trPr>
        <w:tc>
          <w:tcPr>
            <w:tcW w:w="425" w:type="dxa"/>
          </w:tcPr>
          <w:p w14:paraId="6B47AA56" w14:textId="77777777" w:rsidR="00DE5BE7" w:rsidRPr="001054E9" w:rsidRDefault="00DE5BE7" w:rsidP="008F2C79">
            <w:pPr>
              <w:pStyle w:val="naiskr"/>
              <w:spacing w:before="0" w:after="0"/>
            </w:pPr>
            <w:r w:rsidRPr="001054E9">
              <w:t>4.</w:t>
            </w:r>
          </w:p>
        </w:tc>
        <w:tc>
          <w:tcPr>
            <w:tcW w:w="2405" w:type="dxa"/>
          </w:tcPr>
          <w:p w14:paraId="375E8DFE" w14:textId="77777777" w:rsidR="00DE5BE7" w:rsidRPr="001054E9" w:rsidRDefault="00DE5BE7" w:rsidP="008F2C79">
            <w:pPr>
              <w:pStyle w:val="naiskr"/>
              <w:spacing w:before="0" w:after="0"/>
            </w:pPr>
            <w:r w:rsidRPr="001054E9">
              <w:t>Cita informācija</w:t>
            </w:r>
          </w:p>
        </w:tc>
        <w:tc>
          <w:tcPr>
            <w:tcW w:w="6237" w:type="dxa"/>
          </w:tcPr>
          <w:p w14:paraId="417A20B7" w14:textId="77777777" w:rsidR="0058508C" w:rsidRPr="001054E9" w:rsidRDefault="00616488" w:rsidP="0058508C">
            <w:pPr>
              <w:jc w:val="both"/>
              <w:rPr>
                <w:lang w:eastAsia="ru-RU"/>
              </w:rPr>
            </w:pPr>
            <w:r w:rsidRPr="001054E9">
              <w:rPr>
                <w:lang w:eastAsia="ru-RU"/>
              </w:rPr>
              <w:t>Nav</w:t>
            </w:r>
            <w:r w:rsidR="0058508C" w:rsidRPr="001054E9">
              <w:rPr>
                <w:lang w:eastAsia="ru-RU"/>
              </w:rPr>
              <w:t>.</w:t>
            </w:r>
          </w:p>
        </w:tc>
      </w:tr>
    </w:tbl>
    <w:p w14:paraId="657C4B24" w14:textId="77777777" w:rsidR="00041713" w:rsidRDefault="00041713" w:rsidP="008F2C79">
      <w:pPr>
        <w:jc w:val="both"/>
      </w:pPr>
    </w:p>
    <w:p w14:paraId="6C5B8CAD" w14:textId="77777777" w:rsidR="003035A9" w:rsidRDefault="003035A9" w:rsidP="008F2C79">
      <w:pPr>
        <w:jc w:val="both"/>
      </w:pPr>
    </w:p>
    <w:p w14:paraId="0F30B892" w14:textId="77777777" w:rsidR="003035A9" w:rsidRDefault="003035A9" w:rsidP="008F2C79">
      <w:pPr>
        <w:jc w:val="both"/>
      </w:pPr>
    </w:p>
    <w:p w14:paraId="5B2565EB" w14:textId="77777777" w:rsidR="003035A9" w:rsidRDefault="003035A9" w:rsidP="008F2C79">
      <w:pPr>
        <w:jc w:val="both"/>
      </w:pPr>
    </w:p>
    <w:p w14:paraId="44C3E101" w14:textId="77777777" w:rsidR="003035A9" w:rsidRPr="001054E9" w:rsidRDefault="003035A9" w:rsidP="008F2C79">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52"/>
        <w:gridCol w:w="5868"/>
      </w:tblGrid>
      <w:tr w:rsidR="00D65035" w:rsidRPr="001054E9" w14:paraId="593FE855" w14:textId="77777777" w:rsidTr="001B5AA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BCE23" w14:textId="77777777" w:rsidR="00D65035" w:rsidRPr="001054E9" w:rsidRDefault="00D65035" w:rsidP="001B5AA3">
            <w:pPr>
              <w:jc w:val="center"/>
              <w:rPr>
                <w:b/>
                <w:bCs/>
              </w:rPr>
            </w:pPr>
            <w:r w:rsidRPr="001054E9">
              <w:rPr>
                <w:b/>
                <w:bCs/>
              </w:rPr>
              <w:t>II. Tiesību akta projekta ietekme uz sabiedrību, tautsaimniecības attīstību un administratīvo slogu</w:t>
            </w:r>
          </w:p>
        </w:tc>
      </w:tr>
      <w:tr w:rsidR="00D65035" w:rsidRPr="001054E9" w14:paraId="791B5EFF"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03C0F9FF" w14:textId="77777777" w:rsidR="00D65035" w:rsidRPr="001054E9" w:rsidRDefault="00D65035" w:rsidP="001B5AA3">
            <w:r w:rsidRPr="001054E9">
              <w:t>1.</w:t>
            </w:r>
          </w:p>
        </w:tc>
        <w:tc>
          <w:tcPr>
            <w:tcW w:w="1530" w:type="pct"/>
            <w:tcBorders>
              <w:top w:val="outset" w:sz="6" w:space="0" w:color="auto"/>
              <w:left w:val="outset" w:sz="6" w:space="0" w:color="auto"/>
              <w:bottom w:val="outset" w:sz="6" w:space="0" w:color="auto"/>
              <w:right w:val="outset" w:sz="6" w:space="0" w:color="auto"/>
            </w:tcBorders>
          </w:tcPr>
          <w:p w14:paraId="1D435B72" w14:textId="77777777" w:rsidR="00D65035" w:rsidRPr="001054E9" w:rsidRDefault="00D65035" w:rsidP="001B5AA3">
            <w:r w:rsidRPr="001054E9">
              <w:t>Sabiedrības mērķgrupas, kuras tiesiskais regulējums ietekmē vai varētu ietekmēt</w:t>
            </w:r>
          </w:p>
        </w:tc>
        <w:tc>
          <w:tcPr>
            <w:tcW w:w="3157" w:type="pct"/>
            <w:tcBorders>
              <w:top w:val="outset" w:sz="6" w:space="0" w:color="auto"/>
              <w:left w:val="outset" w:sz="6" w:space="0" w:color="auto"/>
              <w:bottom w:val="outset" w:sz="6" w:space="0" w:color="auto"/>
              <w:right w:val="outset" w:sz="6" w:space="0" w:color="auto"/>
            </w:tcBorders>
          </w:tcPr>
          <w:p w14:paraId="3C17D38B" w14:textId="196BE92A" w:rsidR="00D65035" w:rsidRPr="001054E9" w:rsidRDefault="005F406F" w:rsidP="003F5B93">
            <w:pPr>
              <w:jc w:val="both"/>
            </w:pPr>
            <w:r>
              <w:rPr>
                <w:bCs/>
              </w:rPr>
              <w:t xml:space="preserve">   </w:t>
            </w:r>
            <w:r w:rsidR="003F5B93">
              <w:rPr>
                <w:bCs/>
              </w:rPr>
              <w:t>Numerācijas lietošanas tiesību ikgadējās valsts nodevas maksātāji - e</w:t>
            </w:r>
            <w:r w:rsidR="00D65035" w:rsidRPr="001054E9">
              <w:rPr>
                <w:bCs/>
              </w:rPr>
              <w:t>lektronisko sakaru komersanti</w:t>
            </w:r>
            <w:r w:rsidR="002B1FD2">
              <w:rPr>
                <w:bCs/>
              </w:rPr>
              <w:t xml:space="preserve"> (2018.gada 23.janvārī Sabiedrisko pakalpojumu regulēšanas komisijā reģistrēti 312 elektronisko sakaru komersanti).</w:t>
            </w:r>
          </w:p>
        </w:tc>
      </w:tr>
      <w:tr w:rsidR="00110FDD" w:rsidRPr="001054E9" w14:paraId="639D24C1"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2A18653C" w14:textId="77777777" w:rsidR="00110FDD" w:rsidRPr="001054E9" w:rsidRDefault="00110FDD" w:rsidP="00110FDD">
            <w:r w:rsidRPr="001054E9">
              <w:t>2.</w:t>
            </w:r>
          </w:p>
        </w:tc>
        <w:tc>
          <w:tcPr>
            <w:tcW w:w="1530" w:type="pct"/>
            <w:tcBorders>
              <w:top w:val="outset" w:sz="6" w:space="0" w:color="auto"/>
              <w:left w:val="outset" w:sz="6" w:space="0" w:color="auto"/>
              <w:bottom w:val="outset" w:sz="6" w:space="0" w:color="auto"/>
              <w:right w:val="outset" w:sz="6" w:space="0" w:color="auto"/>
            </w:tcBorders>
          </w:tcPr>
          <w:p w14:paraId="04F0675F" w14:textId="77777777" w:rsidR="00110FDD" w:rsidRPr="001054E9" w:rsidRDefault="00110FDD" w:rsidP="00110FDD">
            <w:r w:rsidRPr="001054E9">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tcPr>
          <w:p w14:paraId="15BA604F" w14:textId="77777777" w:rsidR="00110FDD" w:rsidRPr="005F406F" w:rsidRDefault="00110FDD" w:rsidP="00110FDD">
            <w:pPr>
              <w:jc w:val="both"/>
            </w:pPr>
            <w:r w:rsidRPr="005F406F">
              <w:t xml:space="preserve">Ar projektā </w:t>
            </w:r>
            <w:r w:rsidR="003F5B93" w:rsidRPr="005F406F">
              <w:t xml:space="preserve">noteikto </w:t>
            </w:r>
            <w:r w:rsidRPr="005F406F">
              <w:t>netiek noteikti jauni pienākumi vai radītas jaunas procedūras, bet tiek mainīti izpildes</w:t>
            </w:r>
            <w:r w:rsidR="003F5B93" w:rsidRPr="005F406F">
              <w:t xml:space="preserve"> termiņi esošajiem pienākumiem, </w:t>
            </w:r>
            <w:r w:rsidRPr="005F406F">
              <w:t>t.i, tiek noteikts vienotais numerācijas lietošanas tiesību</w:t>
            </w:r>
            <w:r w:rsidR="003F5B93" w:rsidRPr="005F406F">
              <w:t xml:space="preserve"> ikgadējās valsts</w:t>
            </w:r>
            <w:r w:rsidRPr="005F406F">
              <w:t xml:space="preserve"> nodevas maksāšanas gala termiņš, kā arī noteikts, ka numerācijas lietošanas tiesību ikgadējās valsts nodevas deklarācija iesniedzama pirms vienotā nodokļu maksāšanas gala termiņa. Nosakot vienoto nodevas maksāšanas gala termiņu, nodevas maksātājam bū</w:t>
            </w:r>
            <w:r w:rsidR="00FD593F" w:rsidRPr="005F406F">
              <w:t>s vienkāršāk sekot līdzi nodevas</w:t>
            </w:r>
            <w:r w:rsidRPr="005F406F">
              <w:t xml:space="preserve"> saistību izpildei (jo būs viens termiņš, nevis kā šobrīd - dažādi un atšķirīgi), savukārt nosakot, ka nodevas deklarācija iesniedzama pirms vienotā nodokļu maksāšanas gala termiņa, samazināsies iespēja kļūdīties attiecībā uz veicamās nodevas maksājumu.</w:t>
            </w:r>
          </w:p>
          <w:p w14:paraId="2A0D8467" w14:textId="26CC8AC3" w:rsidR="00110FDD" w:rsidRPr="005F406F" w:rsidRDefault="00B45D2C" w:rsidP="00B54CC1">
            <w:pPr>
              <w:jc w:val="both"/>
            </w:pPr>
            <w:r>
              <w:t xml:space="preserve">     </w:t>
            </w:r>
            <w:r w:rsidR="00110FDD" w:rsidRPr="005F406F">
              <w:t>Projektā ietvertajam tiesiskajam regulējumam ir pozitīva ietekme uz tautsaimniecību</w:t>
            </w:r>
            <w:r w:rsidR="00B54CC1">
              <w:t>, jo</w:t>
            </w:r>
            <w:r w:rsidR="00110FDD" w:rsidRPr="005F406F">
              <w:t xml:space="preserve"> paredzams, ka samazināsies administ</w:t>
            </w:r>
            <w:r>
              <w:t xml:space="preserve">ratīvais slogs nodokļu nomaksā. </w:t>
            </w:r>
            <w:r w:rsidR="00110FDD" w:rsidRPr="005F406F">
              <w:t>Nodokļu maksātājiem VID administrētos nodokļu maksājumus, t.sk. numerācijas lietošanas tiesību</w:t>
            </w:r>
            <w:r w:rsidR="00893FC0" w:rsidRPr="005F406F">
              <w:t xml:space="preserve"> ikgadējo valsts</w:t>
            </w:r>
            <w:r w:rsidR="00110FDD" w:rsidRPr="005F406F">
              <w:t xml:space="preserve"> nodevu</w:t>
            </w:r>
            <w:r w:rsidR="00893FC0" w:rsidRPr="005F406F">
              <w:t xml:space="preserve">, </w:t>
            </w:r>
            <w:r w:rsidR="00110FDD" w:rsidRPr="005F406F">
              <w:t>būs iespēja samaksāt vienā nodokļu kontā un vienā maksājumā, tādējādi tiks radīta iespēja ietaupīt gan pārskaitījumu veikšanas izdevumus, gan cilvēkresursus pārskaitījuma veikšanai, t.sk. laiku maksājuma sagatavošanai un veikšanai.</w:t>
            </w:r>
          </w:p>
        </w:tc>
      </w:tr>
      <w:tr w:rsidR="00110FDD" w:rsidRPr="001054E9" w14:paraId="3925C5EB"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E97E8F1" w14:textId="77777777" w:rsidR="00110FDD" w:rsidRPr="001054E9" w:rsidRDefault="00110FDD" w:rsidP="00110FDD">
            <w:r w:rsidRPr="001054E9">
              <w:t>3.</w:t>
            </w:r>
          </w:p>
        </w:tc>
        <w:tc>
          <w:tcPr>
            <w:tcW w:w="1530" w:type="pct"/>
            <w:tcBorders>
              <w:top w:val="outset" w:sz="6" w:space="0" w:color="auto"/>
              <w:left w:val="outset" w:sz="6" w:space="0" w:color="auto"/>
              <w:bottom w:val="outset" w:sz="6" w:space="0" w:color="auto"/>
              <w:right w:val="outset" w:sz="6" w:space="0" w:color="auto"/>
            </w:tcBorders>
            <w:hideMark/>
          </w:tcPr>
          <w:p w14:paraId="44D01D73" w14:textId="77777777" w:rsidR="00110FDD" w:rsidRPr="001054E9" w:rsidRDefault="00110FDD" w:rsidP="00110FDD">
            <w:r w:rsidRPr="001054E9">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14:paraId="7F068B95" w14:textId="2011FFD6" w:rsidR="00110FDD" w:rsidRPr="001054E9" w:rsidRDefault="00B45D2C" w:rsidP="00110FDD">
            <w:pPr>
              <w:jc w:val="both"/>
            </w:pPr>
            <w:r>
              <w:t xml:space="preserve">     </w:t>
            </w:r>
            <w:r w:rsidR="0077663E" w:rsidRPr="00A43ED4">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110FDD" w:rsidRPr="001054E9" w14:paraId="6AEC32C8" w14:textId="77777777" w:rsidTr="00110FDD">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926ACB2" w14:textId="77777777" w:rsidR="00110FDD" w:rsidRPr="001054E9" w:rsidRDefault="00110FDD" w:rsidP="00110FDD">
            <w:r w:rsidRPr="001054E9">
              <w:t>4.</w:t>
            </w:r>
          </w:p>
        </w:tc>
        <w:tc>
          <w:tcPr>
            <w:tcW w:w="1530" w:type="pct"/>
            <w:tcBorders>
              <w:top w:val="outset" w:sz="6" w:space="0" w:color="auto"/>
              <w:left w:val="outset" w:sz="6" w:space="0" w:color="auto"/>
              <w:bottom w:val="outset" w:sz="6" w:space="0" w:color="auto"/>
              <w:right w:val="outset" w:sz="6" w:space="0" w:color="auto"/>
            </w:tcBorders>
            <w:hideMark/>
          </w:tcPr>
          <w:p w14:paraId="5BBC312F" w14:textId="77777777" w:rsidR="00110FDD" w:rsidRPr="001054E9" w:rsidRDefault="00110FDD" w:rsidP="00110FDD">
            <w:r w:rsidRPr="001054E9">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DB7B01D" w14:textId="77777777" w:rsidR="00110FDD" w:rsidRPr="001054E9" w:rsidRDefault="00110FDD" w:rsidP="00110FDD">
            <w:r w:rsidRPr="001054E9">
              <w:t>Nav.</w:t>
            </w:r>
          </w:p>
        </w:tc>
      </w:tr>
    </w:tbl>
    <w:p w14:paraId="0265123B" w14:textId="77777777" w:rsidR="00AF28BD" w:rsidRPr="001054E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1054E9" w14:paraId="0F1063C2"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790060" w14:textId="77777777" w:rsidR="00AF28BD" w:rsidRPr="001054E9" w:rsidRDefault="00AF28BD" w:rsidP="007F3773">
            <w:pPr>
              <w:pStyle w:val="naisnod"/>
              <w:spacing w:before="0" w:after="0"/>
              <w:ind w:left="57" w:right="57"/>
              <w:rPr>
                <w:bCs w:val="0"/>
              </w:rPr>
            </w:pPr>
            <w:r w:rsidRPr="001054E9">
              <w:t xml:space="preserve">III. </w:t>
            </w:r>
            <w:r w:rsidRPr="001054E9">
              <w:rPr>
                <w:bCs w:val="0"/>
              </w:rPr>
              <w:t>Tiesību akta projekta ietekme uz valsts budžetu un pašvaldību budžetiem</w:t>
            </w:r>
          </w:p>
        </w:tc>
      </w:tr>
      <w:tr w:rsidR="00AF28BD" w:rsidRPr="001054E9" w14:paraId="76B32CC2"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2CFBDDB" w14:textId="77777777" w:rsidR="00AF28BD" w:rsidRPr="001054E9" w:rsidRDefault="00AF28BD" w:rsidP="007F3773">
            <w:pPr>
              <w:ind w:left="57" w:right="57"/>
              <w:jc w:val="center"/>
              <w:rPr>
                <w:bCs/>
              </w:rPr>
            </w:pPr>
            <w:r w:rsidRPr="001054E9">
              <w:t>Noteikumu projekts šo jomu neskar.</w:t>
            </w:r>
          </w:p>
        </w:tc>
      </w:tr>
    </w:tbl>
    <w:p w14:paraId="52C90324" w14:textId="77777777" w:rsidR="00AF28BD" w:rsidRPr="001054E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F28BD" w:rsidRPr="001054E9" w14:paraId="4C704EA0" w14:textId="77777777" w:rsidTr="007F3773">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8A65CE" w14:textId="77777777" w:rsidR="00AF28BD" w:rsidRPr="001054E9" w:rsidRDefault="00AF28BD" w:rsidP="007F3773">
            <w:pPr>
              <w:ind w:firstLine="300"/>
              <w:jc w:val="center"/>
              <w:rPr>
                <w:b/>
                <w:bCs/>
              </w:rPr>
            </w:pPr>
            <w:r w:rsidRPr="001054E9">
              <w:rPr>
                <w:b/>
                <w:bCs/>
              </w:rPr>
              <w:t>IV. Tiesību akta projekta ietekme uz spēkā esošo tiesību normu sistēmu</w:t>
            </w:r>
          </w:p>
        </w:tc>
      </w:tr>
      <w:tr w:rsidR="002E1FBB" w:rsidRPr="001054E9" w14:paraId="0FE3EC2E" w14:textId="77777777" w:rsidTr="002E1FBB">
        <w:tc>
          <w:tcPr>
            <w:tcW w:w="5000" w:type="pct"/>
            <w:tcBorders>
              <w:top w:val="outset" w:sz="6" w:space="0" w:color="414142"/>
              <w:left w:val="outset" w:sz="6" w:space="0" w:color="414142"/>
              <w:bottom w:val="outset" w:sz="6" w:space="0" w:color="414142"/>
              <w:right w:val="outset" w:sz="6" w:space="0" w:color="414142"/>
            </w:tcBorders>
            <w:hideMark/>
          </w:tcPr>
          <w:p w14:paraId="0B853236" w14:textId="77777777" w:rsidR="002E1FBB" w:rsidRPr="002E1FBB" w:rsidRDefault="002E1FBB" w:rsidP="002E1FBB">
            <w:pPr>
              <w:pStyle w:val="ListParagraph"/>
              <w:spacing w:after="0" w:line="240" w:lineRule="auto"/>
              <w:ind w:left="0"/>
              <w:jc w:val="center"/>
              <w:rPr>
                <w:rFonts w:ascii="Times New Roman" w:eastAsia="Times New Roman" w:hAnsi="Times New Roman"/>
                <w:sz w:val="24"/>
                <w:szCs w:val="24"/>
                <w:lang w:eastAsia="lv-LV"/>
              </w:rPr>
            </w:pPr>
            <w:r w:rsidRPr="002E1FBB">
              <w:rPr>
                <w:rFonts w:ascii="Times New Roman" w:hAnsi="Times New Roman"/>
                <w:sz w:val="24"/>
                <w:szCs w:val="24"/>
              </w:rPr>
              <w:t>Noteikumu projekts šo jomu neskar</w:t>
            </w:r>
            <w:r w:rsidR="009A197C">
              <w:rPr>
                <w:rFonts w:ascii="Times New Roman" w:hAnsi="Times New Roman"/>
                <w:sz w:val="24"/>
                <w:szCs w:val="24"/>
              </w:rPr>
              <w:t>.</w:t>
            </w:r>
          </w:p>
        </w:tc>
      </w:tr>
    </w:tbl>
    <w:p w14:paraId="35E85AC8" w14:textId="77777777" w:rsidR="00AF28BD" w:rsidRDefault="00AF28BD" w:rsidP="008F2C79">
      <w:pPr>
        <w:jc w:val="both"/>
      </w:pPr>
    </w:p>
    <w:p w14:paraId="2DEF7BBB" w14:textId="77777777" w:rsidR="005F406F" w:rsidRDefault="005F406F" w:rsidP="008F2C79">
      <w:pPr>
        <w:jc w:val="both"/>
      </w:pPr>
    </w:p>
    <w:p w14:paraId="576A7CF0" w14:textId="77777777" w:rsidR="005F406F" w:rsidRPr="001054E9" w:rsidRDefault="005F406F"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DD1242" w:rsidRPr="001054E9" w14:paraId="022A625C"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2B47F262" w14:textId="77777777" w:rsidR="00DD1242" w:rsidRPr="001054E9" w:rsidRDefault="00DD1242" w:rsidP="007F3773">
            <w:pPr>
              <w:ind w:firstLine="300"/>
              <w:jc w:val="center"/>
              <w:rPr>
                <w:b/>
                <w:bCs/>
              </w:rPr>
            </w:pPr>
            <w:r w:rsidRPr="001054E9">
              <w:rPr>
                <w:b/>
                <w:bCs/>
              </w:rPr>
              <w:t>V. Tiesību akta projekta atbilstība Latvijas Republikas starptautiskajām saistībām</w:t>
            </w:r>
          </w:p>
        </w:tc>
      </w:tr>
      <w:tr w:rsidR="00DD1242" w:rsidRPr="001054E9" w14:paraId="7FFC4E86"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F0C2536" w14:textId="77777777" w:rsidR="00DD1242" w:rsidRPr="001054E9" w:rsidRDefault="00AF28BD" w:rsidP="007F3773">
            <w:pPr>
              <w:jc w:val="center"/>
            </w:pPr>
            <w:r w:rsidRPr="001054E9">
              <w:t>Noteikumu projekts šo jomu neskar.</w:t>
            </w:r>
          </w:p>
        </w:tc>
      </w:tr>
    </w:tbl>
    <w:p w14:paraId="0D5D6D95" w14:textId="77777777" w:rsidR="00DD1242" w:rsidRPr="001054E9" w:rsidRDefault="00DD1242"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3220"/>
        <w:gridCol w:w="5525"/>
      </w:tblGrid>
      <w:tr w:rsidR="0040612C" w:rsidRPr="001054E9" w14:paraId="769E1640" w14:textId="77777777" w:rsidTr="007F3773">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5441AD31" w14:textId="77777777" w:rsidR="0040612C" w:rsidRPr="001054E9" w:rsidRDefault="0040612C" w:rsidP="007F3773">
            <w:pPr>
              <w:pStyle w:val="naisnod"/>
              <w:spacing w:before="0" w:after="0"/>
              <w:ind w:left="57" w:right="57"/>
            </w:pPr>
            <w:r w:rsidRPr="001054E9">
              <w:t>VI. Sabiedrības līdzdalība un komunikācijas aktivitātes</w:t>
            </w:r>
          </w:p>
        </w:tc>
      </w:tr>
      <w:tr w:rsidR="0040612C" w:rsidRPr="001054E9" w14:paraId="6D4C8192" w14:textId="77777777" w:rsidTr="00A74B0E">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29C89335" w14:textId="77777777" w:rsidR="0040612C" w:rsidRPr="001054E9" w:rsidRDefault="0040612C" w:rsidP="007F3773">
            <w:pPr>
              <w:ind w:left="57" w:right="57"/>
              <w:jc w:val="both"/>
              <w:rPr>
                <w:bCs/>
              </w:rPr>
            </w:pPr>
            <w:r w:rsidRPr="001054E9">
              <w:rPr>
                <w:bCs/>
              </w:rPr>
              <w:t>1.</w:t>
            </w:r>
          </w:p>
        </w:tc>
        <w:tc>
          <w:tcPr>
            <w:tcW w:w="3220" w:type="dxa"/>
            <w:tcBorders>
              <w:top w:val="single" w:sz="4" w:space="0" w:color="auto"/>
              <w:left w:val="single" w:sz="4" w:space="0" w:color="auto"/>
              <w:bottom w:val="single" w:sz="4" w:space="0" w:color="auto"/>
              <w:right w:val="single" w:sz="4" w:space="0" w:color="auto"/>
            </w:tcBorders>
            <w:hideMark/>
          </w:tcPr>
          <w:p w14:paraId="0EC418C5" w14:textId="77777777" w:rsidR="0040612C" w:rsidRPr="001054E9" w:rsidRDefault="0040612C" w:rsidP="007F3773">
            <w:pPr>
              <w:tabs>
                <w:tab w:val="left" w:pos="170"/>
              </w:tabs>
              <w:ind w:left="57" w:right="57"/>
            </w:pPr>
            <w:r w:rsidRPr="001054E9">
              <w:t>Plānotās sabiedrības līdzdalības un komunikācijas aktivitātes saistībā ar projektu</w:t>
            </w:r>
          </w:p>
        </w:tc>
        <w:tc>
          <w:tcPr>
            <w:tcW w:w="5525" w:type="dxa"/>
            <w:tcBorders>
              <w:top w:val="single" w:sz="4" w:space="0" w:color="auto"/>
              <w:left w:val="single" w:sz="4" w:space="0" w:color="auto"/>
              <w:bottom w:val="single" w:sz="4" w:space="0" w:color="auto"/>
              <w:right w:val="single" w:sz="4" w:space="0" w:color="auto"/>
            </w:tcBorders>
          </w:tcPr>
          <w:p w14:paraId="5FB2DE18" w14:textId="77777777" w:rsidR="00BB49DA" w:rsidRDefault="00B45D2C" w:rsidP="00BB49DA">
            <w:pPr>
              <w:spacing w:after="120"/>
              <w:ind w:left="57" w:right="57"/>
              <w:jc w:val="both"/>
            </w:pPr>
            <w:bookmarkStart w:id="0" w:name="p61"/>
            <w:bookmarkEnd w:id="0"/>
            <w:r>
              <w:t xml:space="preserve">     </w:t>
            </w:r>
            <w:r w:rsidR="00CC6EFA" w:rsidRPr="001054E9">
              <w:t>Atbilstoši Ministru kabineta 2009.gada 25.augusta noteikumiem Nr.970 „Sabiedrības līdzdalības kārtība attīstības plānošanas procesā” par projekta izstrādi ir informēti sabiedrības pārstāvji,</w:t>
            </w:r>
            <w:r>
              <w:t xml:space="preserve"> 2018.gada 24.</w:t>
            </w:r>
            <w:r w:rsidR="005F406F">
              <w:t>janvārī</w:t>
            </w:r>
            <w:r w:rsidR="00CC6EFA" w:rsidRPr="001054E9">
              <w:t xml:space="preserve"> ievietojot Paziņojumu par līdzdalības iespējām tiesību akta izstrādes procesā Satiksmes ministrijas tīmekļa vietnē.</w:t>
            </w:r>
          </w:p>
          <w:p w14:paraId="762B1188" w14:textId="5D3C60C3" w:rsidR="00CC6EFA" w:rsidRPr="001054E9" w:rsidRDefault="00B45D2C" w:rsidP="0061468E">
            <w:pPr>
              <w:spacing w:after="120"/>
              <w:ind w:left="57" w:right="57"/>
              <w:jc w:val="both"/>
            </w:pPr>
            <w:r>
              <w:t xml:space="preserve">     Satiksmes ministrija ar </w:t>
            </w:r>
            <w:r w:rsidR="00B54CC1">
              <w:t>2018.gada</w:t>
            </w:r>
            <w:r>
              <w:t xml:space="preserve"> 24.janvāra</w:t>
            </w:r>
            <w:r w:rsidR="00B54CC1">
              <w:t xml:space="preserve"> elektroniskā pasta vēstuli </w:t>
            </w:r>
            <w:r w:rsidR="00EC680F">
              <w:t>ir informējusi elektronisko sakaru nozares asociācijas</w:t>
            </w:r>
            <w:r w:rsidR="0061468E">
              <w:t xml:space="preserve"> </w:t>
            </w:r>
            <w:bookmarkStart w:id="1" w:name="_GoBack"/>
            <w:bookmarkEnd w:id="1"/>
            <w:r w:rsidR="00EC680F">
              <w:t xml:space="preserve">par </w:t>
            </w:r>
            <w:r w:rsidR="00EC680F" w:rsidRPr="001054E9">
              <w:t>līdzdalības iespējām tiesību akta izstrādes procesā Satiksmes ministrijas tīmekļa vietnē.</w:t>
            </w:r>
          </w:p>
        </w:tc>
      </w:tr>
      <w:tr w:rsidR="0040612C" w:rsidRPr="001054E9" w14:paraId="246A3948" w14:textId="77777777" w:rsidTr="00A74B0E">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2B139EEC" w14:textId="77777777" w:rsidR="0040612C" w:rsidRPr="001054E9" w:rsidRDefault="0040612C" w:rsidP="007F3773">
            <w:pPr>
              <w:ind w:left="57" w:right="57"/>
              <w:jc w:val="both"/>
              <w:rPr>
                <w:bCs/>
              </w:rPr>
            </w:pPr>
            <w:r w:rsidRPr="001054E9">
              <w:rPr>
                <w:bCs/>
              </w:rPr>
              <w:t>2.</w:t>
            </w:r>
          </w:p>
        </w:tc>
        <w:tc>
          <w:tcPr>
            <w:tcW w:w="3220" w:type="dxa"/>
            <w:tcBorders>
              <w:top w:val="single" w:sz="4" w:space="0" w:color="auto"/>
              <w:left w:val="single" w:sz="4" w:space="0" w:color="auto"/>
              <w:bottom w:val="single" w:sz="4" w:space="0" w:color="auto"/>
              <w:right w:val="single" w:sz="4" w:space="0" w:color="auto"/>
            </w:tcBorders>
            <w:hideMark/>
          </w:tcPr>
          <w:p w14:paraId="2AC49854" w14:textId="77777777" w:rsidR="0040612C" w:rsidRPr="001054E9" w:rsidRDefault="0040612C" w:rsidP="007F3773">
            <w:pPr>
              <w:ind w:left="57" w:right="57"/>
            </w:pPr>
            <w:r w:rsidRPr="001054E9">
              <w:t>Sabiedrības līdzdalība projekta izstrādē</w:t>
            </w:r>
          </w:p>
        </w:tc>
        <w:tc>
          <w:tcPr>
            <w:tcW w:w="5525" w:type="dxa"/>
            <w:tcBorders>
              <w:top w:val="single" w:sz="4" w:space="0" w:color="auto"/>
              <w:left w:val="single" w:sz="4" w:space="0" w:color="auto"/>
              <w:bottom w:val="single" w:sz="4" w:space="0" w:color="auto"/>
              <w:right w:val="single" w:sz="4" w:space="0" w:color="auto"/>
            </w:tcBorders>
          </w:tcPr>
          <w:p w14:paraId="5AF5D7F2" w14:textId="145DD980" w:rsidR="0040612C" w:rsidRPr="001054E9" w:rsidRDefault="00793F88" w:rsidP="00BB49DA">
            <w:pPr>
              <w:jc w:val="both"/>
            </w:pPr>
            <w:bookmarkStart w:id="2" w:name="p62"/>
            <w:bookmarkEnd w:id="2"/>
            <w:r w:rsidRPr="008D1AC7">
              <w:t>Sabiedrī</w:t>
            </w:r>
            <w:r>
              <w:t>bas līdzdalība projekta</w:t>
            </w:r>
            <w:r w:rsidRPr="008D1AC7">
              <w:t xml:space="preserve"> izstrādē tiks no</w:t>
            </w:r>
            <w:r>
              <w:t>drošināta turpmākā projekta</w:t>
            </w:r>
            <w:r w:rsidRPr="008D1AC7">
              <w:t xml:space="preserve"> saskaņošanas gaitā pēc t</w:t>
            </w:r>
            <w:r>
              <w:t>ā</w:t>
            </w:r>
            <w:r w:rsidRPr="008D1AC7">
              <w:t xml:space="preserve"> izsludināšanas Valsts sekretāru sanāksmē.</w:t>
            </w:r>
          </w:p>
        </w:tc>
      </w:tr>
      <w:tr w:rsidR="0040612C" w:rsidRPr="001054E9" w14:paraId="56E82EEC"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1A2434E2" w14:textId="77777777" w:rsidR="0040612C" w:rsidRPr="001054E9" w:rsidRDefault="0040612C" w:rsidP="007F3773">
            <w:pPr>
              <w:ind w:left="57" w:right="57"/>
              <w:jc w:val="both"/>
              <w:rPr>
                <w:bCs/>
              </w:rPr>
            </w:pPr>
            <w:r w:rsidRPr="001054E9">
              <w:rPr>
                <w:bCs/>
              </w:rPr>
              <w:t>3.</w:t>
            </w:r>
          </w:p>
        </w:tc>
        <w:tc>
          <w:tcPr>
            <w:tcW w:w="3220" w:type="dxa"/>
            <w:tcBorders>
              <w:top w:val="single" w:sz="4" w:space="0" w:color="auto"/>
              <w:left w:val="single" w:sz="4" w:space="0" w:color="auto"/>
              <w:bottom w:val="single" w:sz="4" w:space="0" w:color="auto"/>
              <w:right w:val="single" w:sz="4" w:space="0" w:color="auto"/>
            </w:tcBorders>
            <w:hideMark/>
          </w:tcPr>
          <w:p w14:paraId="7A0D7EA4" w14:textId="77777777" w:rsidR="0040612C" w:rsidRPr="001054E9" w:rsidRDefault="0040612C" w:rsidP="007F3773">
            <w:pPr>
              <w:ind w:left="57" w:right="57"/>
            </w:pPr>
            <w:r w:rsidRPr="001054E9">
              <w:t>Sabiedrības līdzdalības rezultāti</w:t>
            </w:r>
          </w:p>
        </w:tc>
        <w:tc>
          <w:tcPr>
            <w:tcW w:w="5525" w:type="dxa"/>
            <w:tcBorders>
              <w:top w:val="single" w:sz="4" w:space="0" w:color="auto"/>
              <w:left w:val="single" w:sz="4" w:space="0" w:color="auto"/>
              <w:bottom w:val="single" w:sz="4" w:space="0" w:color="auto"/>
              <w:right w:val="single" w:sz="4" w:space="0" w:color="auto"/>
            </w:tcBorders>
            <w:hideMark/>
          </w:tcPr>
          <w:p w14:paraId="72C050C9" w14:textId="2CC105B3" w:rsidR="0040612C" w:rsidRPr="001054E9" w:rsidRDefault="00BA2F82" w:rsidP="00BA2F82">
            <w:pPr>
              <w:shd w:val="clear" w:color="auto" w:fill="FFFFFF"/>
              <w:ind w:left="57" w:right="57"/>
              <w:jc w:val="both"/>
            </w:pPr>
            <w:r>
              <w:t xml:space="preserve">Ar 2018.gada 1.februāra elektronisko vēstuli </w:t>
            </w:r>
            <w:r w:rsidR="00475ECD">
              <w:t>Latvijas Informācijas un komunikācijas tehnoloģijas asociācija ir</w:t>
            </w:r>
            <w:r>
              <w:t xml:space="preserve"> informējusi, ka </w:t>
            </w:r>
            <w:r w:rsidR="00475ECD">
              <w:t>atbalst</w:t>
            </w:r>
            <w:r>
              <w:t xml:space="preserve">a projektu. </w:t>
            </w:r>
            <w:r w:rsidR="00056C71">
              <w:t>Par projektu nav saņemti iebildumi</w:t>
            </w:r>
            <w:r>
              <w:t xml:space="preserve"> un priekšlikumi.</w:t>
            </w:r>
          </w:p>
        </w:tc>
      </w:tr>
      <w:tr w:rsidR="0040612C" w:rsidRPr="001054E9" w14:paraId="434BBDF6"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245CEFF9" w14:textId="77777777" w:rsidR="0040612C" w:rsidRPr="001054E9" w:rsidRDefault="0040612C" w:rsidP="007F3773">
            <w:pPr>
              <w:ind w:left="57" w:right="57"/>
              <w:jc w:val="both"/>
              <w:rPr>
                <w:bCs/>
              </w:rPr>
            </w:pPr>
            <w:r w:rsidRPr="001054E9">
              <w:rPr>
                <w:bCs/>
              </w:rPr>
              <w:t>4.</w:t>
            </w:r>
          </w:p>
        </w:tc>
        <w:tc>
          <w:tcPr>
            <w:tcW w:w="3220" w:type="dxa"/>
            <w:tcBorders>
              <w:top w:val="single" w:sz="4" w:space="0" w:color="auto"/>
              <w:left w:val="single" w:sz="4" w:space="0" w:color="auto"/>
              <w:bottom w:val="single" w:sz="4" w:space="0" w:color="auto"/>
              <w:right w:val="single" w:sz="4" w:space="0" w:color="auto"/>
            </w:tcBorders>
            <w:hideMark/>
          </w:tcPr>
          <w:p w14:paraId="1C6EEDF0" w14:textId="77777777" w:rsidR="0040612C" w:rsidRPr="001054E9" w:rsidRDefault="0040612C" w:rsidP="007F3773">
            <w:pPr>
              <w:ind w:left="57" w:right="57"/>
            </w:pPr>
            <w:r w:rsidRPr="001054E9">
              <w:t>Cita informācija</w:t>
            </w:r>
          </w:p>
        </w:tc>
        <w:tc>
          <w:tcPr>
            <w:tcW w:w="5525" w:type="dxa"/>
            <w:tcBorders>
              <w:top w:val="single" w:sz="4" w:space="0" w:color="auto"/>
              <w:left w:val="single" w:sz="4" w:space="0" w:color="auto"/>
              <w:bottom w:val="single" w:sz="4" w:space="0" w:color="auto"/>
              <w:right w:val="single" w:sz="4" w:space="0" w:color="auto"/>
            </w:tcBorders>
            <w:hideMark/>
          </w:tcPr>
          <w:p w14:paraId="66AAD8CA" w14:textId="77777777" w:rsidR="0040612C" w:rsidRPr="001054E9" w:rsidRDefault="009A197C" w:rsidP="007F3773">
            <w:pPr>
              <w:ind w:right="57"/>
              <w:jc w:val="both"/>
            </w:pPr>
            <w:r>
              <w:t xml:space="preserve">  </w:t>
            </w:r>
            <w:r w:rsidR="003B5BF8" w:rsidRPr="001054E9">
              <w:t>Nav.</w:t>
            </w:r>
          </w:p>
        </w:tc>
      </w:tr>
    </w:tbl>
    <w:p w14:paraId="4BC35484" w14:textId="77777777" w:rsidR="0040612C" w:rsidRPr="001054E9" w:rsidRDefault="0040612C"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7"/>
        <w:gridCol w:w="3125"/>
        <w:gridCol w:w="5555"/>
      </w:tblGrid>
      <w:tr w:rsidR="007E1773" w:rsidRPr="001054E9" w14:paraId="2DE4B08C" w14:textId="77777777" w:rsidTr="007E1773">
        <w:trPr>
          <w:trHeight w:val="231"/>
        </w:trPr>
        <w:tc>
          <w:tcPr>
            <w:tcW w:w="5000" w:type="pct"/>
            <w:gridSpan w:val="3"/>
            <w:tcBorders>
              <w:top w:val="single" w:sz="4" w:space="0" w:color="auto"/>
            </w:tcBorders>
          </w:tcPr>
          <w:p w14:paraId="1F8E371A" w14:textId="77777777" w:rsidR="007E1773" w:rsidRPr="001054E9" w:rsidRDefault="007E1773" w:rsidP="007E1773">
            <w:pPr>
              <w:pStyle w:val="naisnod"/>
              <w:spacing w:before="0" w:after="0"/>
              <w:ind w:left="57" w:right="57"/>
            </w:pPr>
            <w:r w:rsidRPr="001054E9">
              <w:t>VII. Tiesību akta projekta izpildes nodrošināšana un tās ietekme uz institūcijām</w:t>
            </w:r>
          </w:p>
        </w:tc>
      </w:tr>
      <w:tr w:rsidR="007E1773" w:rsidRPr="001054E9" w14:paraId="06F66554" w14:textId="77777777" w:rsidTr="00A74B0E">
        <w:trPr>
          <w:trHeight w:val="42"/>
        </w:trPr>
        <w:tc>
          <w:tcPr>
            <w:tcW w:w="245" w:type="pct"/>
          </w:tcPr>
          <w:p w14:paraId="3955A501" w14:textId="77777777" w:rsidR="007E1773" w:rsidRPr="001054E9" w:rsidRDefault="007E1773" w:rsidP="007E1773">
            <w:pPr>
              <w:pStyle w:val="naisnod"/>
              <w:spacing w:before="0" w:after="0"/>
              <w:ind w:left="57" w:right="57"/>
              <w:rPr>
                <w:b w:val="0"/>
              </w:rPr>
            </w:pPr>
            <w:r w:rsidRPr="001054E9">
              <w:rPr>
                <w:b w:val="0"/>
              </w:rPr>
              <w:t>1.</w:t>
            </w:r>
          </w:p>
        </w:tc>
        <w:tc>
          <w:tcPr>
            <w:tcW w:w="1712" w:type="pct"/>
          </w:tcPr>
          <w:p w14:paraId="25A7EF68" w14:textId="77777777" w:rsidR="007E1773" w:rsidRPr="001054E9" w:rsidRDefault="007E1773" w:rsidP="007E1773">
            <w:pPr>
              <w:pStyle w:val="naisf"/>
              <w:spacing w:before="0" w:after="0"/>
              <w:ind w:firstLine="0"/>
              <w:jc w:val="left"/>
            </w:pPr>
            <w:r w:rsidRPr="001054E9">
              <w:t xml:space="preserve">Projekta izpildē iesaistītās institūcijas </w:t>
            </w:r>
          </w:p>
        </w:tc>
        <w:tc>
          <w:tcPr>
            <w:tcW w:w="3043" w:type="pct"/>
          </w:tcPr>
          <w:p w14:paraId="36982CAB" w14:textId="77777777" w:rsidR="007E1773" w:rsidRPr="00FD593F" w:rsidRDefault="00DF3645" w:rsidP="007E1773">
            <w:pPr>
              <w:pStyle w:val="naisnod"/>
              <w:spacing w:before="0" w:after="0"/>
              <w:jc w:val="both"/>
              <w:rPr>
                <w:b w:val="0"/>
              </w:rPr>
            </w:pPr>
            <w:r w:rsidRPr="0066257B">
              <w:rPr>
                <w:b w:val="0"/>
              </w:rPr>
              <w:t>VID, Valsts kase.</w:t>
            </w:r>
          </w:p>
        </w:tc>
      </w:tr>
      <w:tr w:rsidR="007E1773" w:rsidRPr="001054E9" w14:paraId="0B189EC4" w14:textId="77777777" w:rsidTr="00A74B0E">
        <w:trPr>
          <w:trHeight w:val="373"/>
        </w:trPr>
        <w:tc>
          <w:tcPr>
            <w:tcW w:w="245" w:type="pct"/>
          </w:tcPr>
          <w:p w14:paraId="359A0CC0" w14:textId="77777777" w:rsidR="007E1773" w:rsidRPr="001054E9" w:rsidRDefault="007E1773" w:rsidP="007E1773">
            <w:pPr>
              <w:pStyle w:val="naisnod"/>
              <w:spacing w:before="0" w:after="0"/>
              <w:ind w:left="57" w:right="57"/>
              <w:rPr>
                <w:b w:val="0"/>
              </w:rPr>
            </w:pPr>
            <w:r w:rsidRPr="001054E9">
              <w:rPr>
                <w:b w:val="0"/>
              </w:rPr>
              <w:t>2.</w:t>
            </w:r>
          </w:p>
        </w:tc>
        <w:tc>
          <w:tcPr>
            <w:tcW w:w="1712" w:type="pct"/>
          </w:tcPr>
          <w:p w14:paraId="71E7F54B" w14:textId="77777777" w:rsidR="007E1773" w:rsidRPr="001054E9" w:rsidRDefault="007E1773" w:rsidP="007E1773">
            <w:r w:rsidRPr="001054E9">
              <w:t xml:space="preserve">Projekta izpildes ietekme uz pārvaldes funkcijām un institucionālo struktūru. </w:t>
            </w:r>
          </w:p>
          <w:p w14:paraId="0345D2C5" w14:textId="77777777" w:rsidR="007E1773" w:rsidRPr="001054E9" w:rsidRDefault="007E1773" w:rsidP="007E1773">
            <w:pPr>
              <w:pStyle w:val="naisf"/>
              <w:spacing w:before="0" w:after="0"/>
              <w:ind w:firstLine="0"/>
              <w:jc w:val="left"/>
            </w:pPr>
            <w:r w:rsidRPr="001054E9">
              <w:t>Jaunu institūciju izveide, esošu institūciju likvidācija vai reorganizācija, to ietekme uz institūcijas cilvēkresursiem</w:t>
            </w:r>
          </w:p>
        </w:tc>
        <w:tc>
          <w:tcPr>
            <w:tcW w:w="3043" w:type="pct"/>
          </w:tcPr>
          <w:p w14:paraId="28B38C43" w14:textId="77777777" w:rsidR="007E1773" w:rsidRPr="001054E9" w:rsidRDefault="00DF3645" w:rsidP="007E1773">
            <w:pPr>
              <w:jc w:val="both"/>
            </w:pPr>
            <w:r>
              <w:t>Projekts šo jomu neskar</w:t>
            </w:r>
            <w:r w:rsidR="00FD593F">
              <w:t>.</w:t>
            </w:r>
          </w:p>
        </w:tc>
      </w:tr>
      <w:tr w:rsidR="007E1773" w:rsidRPr="001054E9" w14:paraId="79E8AE00" w14:textId="77777777" w:rsidTr="00A74B0E">
        <w:trPr>
          <w:trHeight w:val="201"/>
        </w:trPr>
        <w:tc>
          <w:tcPr>
            <w:tcW w:w="245" w:type="pct"/>
          </w:tcPr>
          <w:p w14:paraId="4A8F8711" w14:textId="77777777" w:rsidR="007E1773" w:rsidRPr="001054E9" w:rsidRDefault="007E1773" w:rsidP="007E1773">
            <w:pPr>
              <w:pStyle w:val="naiskr"/>
              <w:spacing w:before="0" w:after="0"/>
              <w:ind w:left="57" w:right="57"/>
              <w:jc w:val="center"/>
            </w:pPr>
            <w:r w:rsidRPr="001054E9">
              <w:t>3.</w:t>
            </w:r>
          </w:p>
        </w:tc>
        <w:tc>
          <w:tcPr>
            <w:tcW w:w="1712" w:type="pct"/>
          </w:tcPr>
          <w:p w14:paraId="7F3D640C" w14:textId="77777777" w:rsidR="007E1773" w:rsidRPr="001054E9" w:rsidRDefault="007E1773" w:rsidP="007E1773">
            <w:pPr>
              <w:pStyle w:val="naiskr"/>
              <w:spacing w:before="0" w:after="0"/>
            </w:pPr>
            <w:r w:rsidRPr="001054E9">
              <w:t>Cita informācija</w:t>
            </w:r>
          </w:p>
        </w:tc>
        <w:tc>
          <w:tcPr>
            <w:tcW w:w="3043" w:type="pct"/>
          </w:tcPr>
          <w:p w14:paraId="71342E7F" w14:textId="77777777" w:rsidR="007E1773" w:rsidRPr="001054E9" w:rsidRDefault="007E1773" w:rsidP="007E1773">
            <w:pPr>
              <w:jc w:val="both"/>
            </w:pPr>
            <w:r w:rsidRPr="001054E9">
              <w:t xml:space="preserve">Nav. </w:t>
            </w:r>
          </w:p>
        </w:tc>
      </w:tr>
    </w:tbl>
    <w:p w14:paraId="300DEDF7" w14:textId="77777777" w:rsidR="00FD593F" w:rsidRPr="001054E9" w:rsidRDefault="00FD593F" w:rsidP="008F2C79">
      <w:pPr>
        <w:rPr>
          <w:vanish/>
        </w:rPr>
      </w:pPr>
    </w:p>
    <w:p w14:paraId="216EE8EF" w14:textId="77777777" w:rsidR="00E446B1" w:rsidRPr="001054E9" w:rsidRDefault="00E446B1" w:rsidP="00BA5EB9">
      <w:pPr>
        <w:pStyle w:val="StyleRight"/>
        <w:spacing w:after="0"/>
        <w:ind w:firstLine="0"/>
        <w:jc w:val="both"/>
        <w:rPr>
          <w:sz w:val="24"/>
          <w:szCs w:val="24"/>
        </w:rPr>
      </w:pPr>
    </w:p>
    <w:p w14:paraId="36EAE840" w14:textId="77777777" w:rsidR="007E1773" w:rsidRPr="001054E9" w:rsidRDefault="00C96D2E" w:rsidP="007E1773">
      <w:pPr>
        <w:pStyle w:val="StyleRight"/>
        <w:spacing w:after="0"/>
        <w:ind w:firstLine="0"/>
        <w:jc w:val="both"/>
        <w:rPr>
          <w:sz w:val="24"/>
          <w:szCs w:val="24"/>
        </w:rPr>
      </w:pPr>
      <w:r w:rsidRPr="001054E9">
        <w:rPr>
          <w:sz w:val="24"/>
          <w:szCs w:val="24"/>
        </w:rPr>
        <w:t>Satiksmes</w:t>
      </w:r>
      <w:r w:rsidR="005A0553" w:rsidRPr="001054E9">
        <w:rPr>
          <w:sz w:val="24"/>
          <w:szCs w:val="24"/>
        </w:rPr>
        <w:t xml:space="preserve"> ministrs                                                                            Uldis Augulis</w:t>
      </w:r>
    </w:p>
    <w:p w14:paraId="6CDCA767" w14:textId="77777777" w:rsidR="00F35D04" w:rsidRDefault="00F35D04" w:rsidP="00B10543">
      <w:pPr>
        <w:pStyle w:val="naisf"/>
        <w:tabs>
          <w:tab w:val="left" w:pos="6804"/>
        </w:tabs>
        <w:spacing w:before="0" w:after="0"/>
        <w:ind w:firstLine="0"/>
      </w:pPr>
    </w:p>
    <w:p w14:paraId="680F178C" w14:textId="77777777" w:rsidR="00FD593F" w:rsidRDefault="00FD593F" w:rsidP="00B10543">
      <w:pPr>
        <w:pStyle w:val="naisf"/>
        <w:tabs>
          <w:tab w:val="left" w:pos="6804"/>
        </w:tabs>
        <w:spacing w:before="0" w:after="0"/>
        <w:ind w:firstLine="0"/>
      </w:pPr>
      <w:r>
        <w:t>Vīza:</w:t>
      </w:r>
    </w:p>
    <w:p w14:paraId="26073CE3" w14:textId="77777777" w:rsidR="00FD593F" w:rsidRDefault="00FD593F" w:rsidP="00B10543">
      <w:pPr>
        <w:pStyle w:val="naisf"/>
        <w:tabs>
          <w:tab w:val="left" w:pos="6804"/>
        </w:tabs>
        <w:spacing w:before="0" w:after="0"/>
        <w:ind w:firstLine="0"/>
      </w:pPr>
      <w:r>
        <w:t>valsts sekretārs                                                                                 Kaspars Ozoliņš</w:t>
      </w:r>
    </w:p>
    <w:p w14:paraId="51406EDB" w14:textId="77777777" w:rsidR="00B45D2C" w:rsidRPr="001054E9" w:rsidRDefault="00B45D2C" w:rsidP="00B10543">
      <w:pPr>
        <w:pStyle w:val="naisf"/>
        <w:tabs>
          <w:tab w:val="left" w:pos="6804"/>
        </w:tabs>
        <w:spacing w:before="0" w:after="0"/>
        <w:ind w:firstLine="0"/>
      </w:pPr>
    </w:p>
    <w:p w14:paraId="76F1873E" w14:textId="77777777" w:rsidR="00B45D2C" w:rsidRDefault="00C96D2E" w:rsidP="00A83488">
      <w:pPr>
        <w:rPr>
          <w:sz w:val="20"/>
          <w:szCs w:val="20"/>
        </w:rPr>
      </w:pPr>
      <w:r w:rsidRPr="001054E9">
        <w:rPr>
          <w:sz w:val="20"/>
          <w:szCs w:val="20"/>
        </w:rPr>
        <w:t>Linde</w:t>
      </w:r>
      <w:r w:rsidR="00F35D04" w:rsidRPr="001054E9">
        <w:rPr>
          <w:sz w:val="20"/>
          <w:szCs w:val="20"/>
        </w:rPr>
        <w:t xml:space="preserve"> </w:t>
      </w:r>
      <w:r w:rsidR="008B4FF7" w:rsidRPr="001054E9">
        <w:rPr>
          <w:sz w:val="20"/>
          <w:szCs w:val="20"/>
        </w:rPr>
        <w:t>67</w:t>
      </w:r>
      <w:r w:rsidRPr="001054E9">
        <w:rPr>
          <w:sz w:val="20"/>
          <w:szCs w:val="20"/>
        </w:rPr>
        <w:t>028101</w:t>
      </w:r>
    </w:p>
    <w:p w14:paraId="36DA35A6" w14:textId="46B7096D" w:rsidR="00823BAC" w:rsidRDefault="0061468E" w:rsidP="00A83488">
      <w:pPr>
        <w:rPr>
          <w:sz w:val="20"/>
          <w:szCs w:val="20"/>
        </w:rPr>
      </w:pPr>
      <w:hyperlink r:id="rId8" w:history="1">
        <w:r w:rsidR="001054E9" w:rsidRPr="00735F9C">
          <w:rPr>
            <w:rStyle w:val="Hyperlink"/>
            <w:sz w:val="20"/>
            <w:szCs w:val="20"/>
          </w:rPr>
          <w:t>Daina.Linde@sam.gov.lv</w:t>
        </w:r>
      </w:hyperlink>
    </w:p>
    <w:p w14:paraId="6C48FB24" w14:textId="77777777" w:rsidR="001054E9" w:rsidRPr="001054E9" w:rsidRDefault="001054E9" w:rsidP="00A83488">
      <w:pPr>
        <w:rPr>
          <w:sz w:val="20"/>
          <w:szCs w:val="20"/>
        </w:rPr>
      </w:pPr>
    </w:p>
    <w:sectPr w:rsidR="001054E9" w:rsidRPr="001054E9" w:rsidSect="003B5BF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4210F" w14:textId="77777777" w:rsidR="00E0664E" w:rsidRDefault="00E0664E">
      <w:r>
        <w:separator/>
      </w:r>
    </w:p>
  </w:endnote>
  <w:endnote w:type="continuationSeparator" w:id="0">
    <w:p w14:paraId="37481D72" w14:textId="77777777" w:rsidR="00E0664E" w:rsidRDefault="00E0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1B73" w14:textId="77777777" w:rsidR="00BB49DA" w:rsidRDefault="00BB4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084D" w14:textId="1D542A56" w:rsidR="007F3773" w:rsidRPr="00255740" w:rsidRDefault="00C96D2E" w:rsidP="00C51999">
    <w:pPr>
      <w:jc w:val="both"/>
      <w:rPr>
        <w:sz w:val="20"/>
        <w:szCs w:val="20"/>
      </w:rPr>
    </w:pPr>
    <w:r>
      <w:rPr>
        <w:color w:val="000000"/>
        <w:sz w:val="20"/>
        <w:szCs w:val="20"/>
      </w:rPr>
      <w:t>SM</w:t>
    </w:r>
    <w:r w:rsidR="007F3773">
      <w:rPr>
        <w:color w:val="000000"/>
        <w:sz w:val="20"/>
        <w:szCs w:val="20"/>
      </w:rPr>
      <w:t>a</w:t>
    </w:r>
    <w:r w:rsidR="00786BFC">
      <w:rPr>
        <w:color w:val="000000"/>
        <w:sz w:val="20"/>
        <w:szCs w:val="20"/>
      </w:rPr>
      <w:t>not_0902</w:t>
    </w:r>
    <w:r>
      <w:rPr>
        <w:color w:val="000000"/>
        <w:sz w:val="20"/>
        <w:szCs w:val="20"/>
      </w:rPr>
      <w:t>18_Numer_nodeva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3697" w14:textId="76B25309" w:rsidR="007F3773" w:rsidRPr="00B9379E" w:rsidRDefault="00C96D2E" w:rsidP="00B9379E">
    <w:pPr>
      <w:jc w:val="both"/>
      <w:rPr>
        <w:sz w:val="20"/>
        <w:szCs w:val="20"/>
      </w:rPr>
    </w:pPr>
    <w:r>
      <w:rPr>
        <w:color w:val="000000"/>
        <w:sz w:val="20"/>
        <w:szCs w:val="20"/>
      </w:rPr>
      <w:t>SM</w:t>
    </w:r>
    <w:r w:rsidR="007F3773">
      <w:rPr>
        <w:color w:val="000000"/>
        <w:sz w:val="20"/>
        <w:szCs w:val="20"/>
      </w:rPr>
      <w:t>a</w:t>
    </w:r>
    <w:r w:rsidR="007F3773" w:rsidRPr="006C5932">
      <w:rPr>
        <w:color w:val="000000"/>
        <w:sz w:val="20"/>
        <w:szCs w:val="20"/>
      </w:rPr>
      <w:t>not_</w:t>
    </w:r>
    <w:r w:rsidR="00786BFC">
      <w:rPr>
        <w:color w:val="000000"/>
        <w:sz w:val="20"/>
        <w:szCs w:val="20"/>
      </w:rPr>
      <w:t>0902</w:t>
    </w:r>
    <w:r w:rsidR="007F3773">
      <w:rPr>
        <w:color w:val="000000"/>
        <w:sz w:val="20"/>
        <w:szCs w:val="20"/>
      </w:rPr>
      <w:t>18</w:t>
    </w:r>
    <w:r w:rsidR="007F3773" w:rsidRPr="006C5932">
      <w:rPr>
        <w:color w:val="000000"/>
        <w:sz w:val="20"/>
        <w:szCs w:val="20"/>
      </w:rPr>
      <w:t>_</w:t>
    </w:r>
    <w:r>
      <w:rPr>
        <w:color w:val="000000"/>
        <w:sz w:val="20"/>
        <w:szCs w:val="20"/>
      </w:rPr>
      <w:t>Numer_nodeva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7BF1" w14:textId="77777777" w:rsidR="00E0664E" w:rsidRDefault="00E0664E">
      <w:r>
        <w:separator/>
      </w:r>
    </w:p>
  </w:footnote>
  <w:footnote w:type="continuationSeparator" w:id="0">
    <w:p w14:paraId="09B0360F" w14:textId="77777777" w:rsidR="00E0664E" w:rsidRDefault="00E0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EC30"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C1F5"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1062" w14:textId="3FB5A156"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68E">
      <w:rPr>
        <w:rStyle w:val="PageNumber"/>
        <w:noProof/>
      </w:rPr>
      <w:t>6</w:t>
    </w:r>
    <w:r>
      <w:rPr>
        <w:rStyle w:val="PageNumber"/>
      </w:rPr>
      <w:fldChar w:fldCharType="end"/>
    </w:r>
  </w:p>
  <w:p w14:paraId="3D1F59BE" w14:textId="77777777" w:rsidR="007F3773" w:rsidRPr="00DC444E" w:rsidRDefault="007F3773" w:rsidP="00DC444E">
    <w:pPr>
      <w:tabs>
        <w:tab w:val="left" w:pos="14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9769" w14:textId="77777777" w:rsidR="00BB49DA" w:rsidRDefault="00BB4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6"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5"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47667"/>
    <w:multiLevelType w:val="hybridMultilevel"/>
    <w:tmpl w:val="3FE0EC1A"/>
    <w:lvl w:ilvl="0" w:tplc="49D6F122">
      <w:numFmt w:val="bullet"/>
      <w:lvlText w:val="-"/>
      <w:lvlJc w:val="left"/>
      <w:pPr>
        <w:ind w:left="943" w:hanging="360"/>
      </w:pPr>
      <w:rPr>
        <w:rFonts w:ascii="Times New Roman" w:eastAsia="Times New Roman" w:hAnsi="Times New Roman" w:cs="Times New Roman" w:hint="default"/>
      </w:rPr>
    </w:lvl>
    <w:lvl w:ilvl="1" w:tplc="04260003" w:tentative="1">
      <w:start w:val="1"/>
      <w:numFmt w:val="bullet"/>
      <w:lvlText w:val="o"/>
      <w:lvlJc w:val="left"/>
      <w:pPr>
        <w:ind w:left="1663" w:hanging="360"/>
      </w:pPr>
      <w:rPr>
        <w:rFonts w:ascii="Courier New" w:hAnsi="Courier New" w:cs="Courier New" w:hint="default"/>
      </w:rPr>
    </w:lvl>
    <w:lvl w:ilvl="2" w:tplc="04260005" w:tentative="1">
      <w:start w:val="1"/>
      <w:numFmt w:val="bullet"/>
      <w:lvlText w:val=""/>
      <w:lvlJc w:val="left"/>
      <w:pPr>
        <w:ind w:left="2383" w:hanging="360"/>
      </w:pPr>
      <w:rPr>
        <w:rFonts w:ascii="Wingdings" w:hAnsi="Wingdings" w:hint="default"/>
      </w:rPr>
    </w:lvl>
    <w:lvl w:ilvl="3" w:tplc="04260001" w:tentative="1">
      <w:start w:val="1"/>
      <w:numFmt w:val="bullet"/>
      <w:lvlText w:val=""/>
      <w:lvlJc w:val="left"/>
      <w:pPr>
        <w:ind w:left="3103" w:hanging="360"/>
      </w:pPr>
      <w:rPr>
        <w:rFonts w:ascii="Symbol" w:hAnsi="Symbol" w:hint="default"/>
      </w:rPr>
    </w:lvl>
    <w:lvl w:ilvl="4" w:tplc="04260003" w:tentative="1">
      <w:start w:val="1"/>
      <w:numFmt w:val="bullet"/>
      <w:lvlText w:val="o"/>
      <w:lvlJc w:val="left"/>
      <w:pPr>
        <w:ind w:left="3823" w:hanging="360"/>
      </w:pPr>
      <w:rPr>
        <w:rFonts w:ascii="Courier New" w:hAnsi="Courier New" w:cs="Courier New" w:hint="default"/>
      </w:rPr>
    </w:lvl>
    <w:lvl w:ilvl="5" w:tplc="04260005" w:tentative="1">
      <w:start w:val="1"/>
      <w:numFmt w:val="bullet"/>
      <w:lvlText w:val=""/>
      <w:lvlJc w:val="left"/>
      <w:pPr>
        <w:ind w:left="4543" w:hanging="360"/>
      </w:pPr>
      <w:rPr>
        <w:rFonts w:ascii="Wingdings" w:hAnsi="Wingdings" w:hint="default"/>
      </w:rPr>
    </w:lvl>
    <w:lvl w:ilvl="6" w:tplc="04260001" w:tentative="1">
      <w:start w:val="1"/>
      <w:numFmt w:val="bullet"/>
      <w:lvlText w:val=""/>
      <w:lvlJc w:val="left"/>
      <w:pPr>
        <w:ind w:left="5263" w:hanging="360"/>
      </w:pPr>
      <w:rPr>
        <w:rFonts w:ascii="Symbol" w:hAnsi="Symbol" w:hint="default"/>
      </w:rPr>
    </w:lvl>
    <w:lvl w:ilvl="7" w:tplc="04260003" w:tentative="1">
      <w:start w:val="1"/>
      <w:numFmt w:val="bullet"/>
      <w:lvlText w:val="o"/>
      <w:lvlJc w:val="left"/>
      <w:pPr>
        <w:ind w:left="5983" w:hanging="360"/>
      </w:pPr>
      <w:rPr>
        <w:rFonts w:ascii="Courier New" w:hAnsi="Courier New" w:cs="Courier New" w:hint="default"/>
      </w:rPr>
    </w:lvl>
    <w:lvl w:ilvl="8" w:tplc="04260005" w:tentative="1">
      <w:start w:val="1"/>
      <w:numFmt w:val="bullet"/>
      <w:lvlText w:val=""/>
      <w:lvlJc w:val="left"/>
      <w:pPr>
        <w:ind w:left="6703" w:hanging="360"/>
      </w:pPr>
      <w:rPr>
        <w:rFonts w:ascii="Wingdings" w:hAnsi="Wingdings" w:hint="default"/>
      </w:r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3"/>
  </w:num>
  <w:num w:numId="2">
    <w:abstractNumId w:val="31"/>
  </w:num>
  <w:num w:numId="3">
    <w:abstractNumId w:val="10"/>
  </w:num>
  <w:num w:numId="4">
    <w:abstractNumId w:val="6"/>
  </w:num>
  <w:num w:numId="5">
    <w:abstractNumId w:val="2"/>
  </w:num>
  <w:num w:numId="6">
    <w:abstractNumId w:val="25"/>
  </w:num>
  <w:num w:numId="7">
    <w:abstractNumId w:val="33"/>
  </w:num>
  <w:num w:numId="8">
    <w:abstractNumId w:val="17"/>
  </w:num>
  <w:num w:numId="9">
    <w:abstractNumId w:val="7"/>
  </w:num>
  <w:num w:numId="10">
    <w:abstractNumId w:val="18"/>
  </w:num>
  <w:num w:numId="11">
    <w:abstractNumId w:val="20"/>
  </w:num>
  <w:num w:numId="12">
    <w:abstractNumId w:val="27"/>
  </w:num>
  <w:num w:numId="13">
    <w:abstractNumId w:val="30"/>
  </w:num>
  <w:num w:numId="14">
    <w:abstractNumId w:val="40"/>
  </w:num>
  <w:num w:numId="15">
    <w:abstractNumId w:val="8"/>
  </w:num>
  <w:num w:numId="16">
    <w:abstractNumId w:val="15"/>
  </w:num>
  <w:num w:numId="17">
    <w:abstractNumId w:val="1"/>
  </w:num>
  <w:num w:numId="18">
    <w:abstractNumId w:val="12"/>
  </w:num>
  <w:num w:numId="19">
    <w:abstractNumId w:val="34"/>
  </w:num>
  <w:num w:numId="20">
    <w:abstractNumId w:val="9"/>
  </w:num>
  <w:num w:numId="21">
    <w:abstractNumId w:val="16"/>
  </w:num>
  <w:num w:numId="22">
    <w:abstractNumId w:val="26"/>
  </w:num>
  <w:num w:numId="23">
    <w:abstractNumId w:val="11"/>
  </w:num>
  <w:num w:numId="24">
    <w:abstractNumId w:val="21"/>
  </w:num>
  <w:num w:numId="25">
    <w:abstractNumId w:val="29"/>
  </w:num>
  <w:num w:numId="26">
    <w:abstractNumId w:val="36"/>
  </w:num>
  <w:num w:numId="27">
    <w:abstractNumId w:val="3"/>
  </w:num>
  <w:num w:numId="28">
    <w:abstractNumId w:val="14"/>
  </w:num>
  <w:num w:numId="29">
    <w:abstractNumId w:val="5"/>
  </w:num>
  <w:num w:numId="30">
    <w:abstractNumId w:val="24"/>
  </w:num>
  <w:num w:numId="31">
    <w:abstractNumId w:val="19"/>
  </w:num>
  <w:num w:numId="32">
    <w:abstractNumId w:val="4"/>
  </w:num>
  <w:num w:numId="33">
    <w:abstractNumId w:val="35"/>
  </w:num>
  <w:num w:numId="34">
    <w:abstractNumId w:val="23"/>
  </w:num>
  <w:num w:numId="35">
    <w:abstractNumId w:val="38"/>
  </w:num>
  <w:num w:numId="36">
    <w:abstractNumId w:val="32"/>
  </w:num>
  <w:num w:numId="37">
    <w:abstractNumId w:val="0"/>
  </w:num>
  <w:num w:numId="38">
    <w:abstractNumId w:val="39"/>
  </w:num>
  <w:num w:numId="39">
    <w:abstractNumId w:val="22"/>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2FA8"/>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25F8"/>
    <w:rsid w:val="00054D80"/>
    <w:rsid w:val="0005553B"/>
    <w:rsid w:val="00056C71"/>
    <w:rsid w:val="00057062"/>
    <w:rsid w:val="000604D2"/>
    <w:rsid w:val="00063BE2"/>
    <w:rsid w:val="00064FAF"/>
    <w:rsid w:val="0006550E"/>
    <w:rsid w:val="00065979"/>
    <w:rsid w:val="0006710B"/>
    <w:rsid w:val="00070987"/>
    <w:rsid w:val="00070C1D"/>
    <w:rsid w:val="00072781"/>
    <w:rsid w:val="00072A2A"/>
    <w:rsid w:val="00072E85"/>
    <w:rsid w:val="0007404F"/>
    <w:rsid w:val="00081403"/>
    <w:rsid w:val="00084880"/>
    <w:rsid w:val="000848A1"/>
    <w:rsid w:val="00084ED2"/>
    <w:rsid w:val="0009005E"/>
    <w:rsid w:val="00090F27"/>
    <w:rsid w:val="0009189E"/>
    <w:rsid w:val="00093162"/>
    <w:rsid w:val="000941C5"/>
    <w:rsid w:val="00094466"/>
    <w:rsid w:val="000947D6"/>
    <w:rsid w:val="00094B78"/>
    <w:rsid w:val="00094FB6"/>
    <w:rsid w:val="000A04D2"/>
    <w:rsid w:val="000A08C1"/>
    <w:rsid w:val="000A0E24"/>
    <w:rsid w:val="000A18C6"/>
    <w:rsid w:val="000A1977"/>
    <w:rsid w:val="000A1D0A"/>
    <w:rsid w:val="000A3E6B"/>
    <w:rsid w:val="000A42F9"/>
    <w:rsid w:val="000A4D5D"/>
    <w:rsid w:val="000A5A38"/>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54E9"/>
    <w:rsid w:val="00110FDD"/>
    <w:rsid w:val="001140C8"/>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87ED0"/>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E1DBF"/>
    <w:rsid w:val="001E287E"/>
    <w:rsid w:val="001E29EF"/>
    <w:rsid w:val="001E2AA3"/>
    <w:rsid w:val="001E3FA7"/>
    <w:rsid w:val="001E4639"/>
    <w:rsid w:val="001E4A7D"/>
    <w:rsid w:val="001E57BA"/>
    <w:rsid w:val="001E598F"/>
    <w:rsid w:val="001E67BE"/>
    <w:rsid w:val="001E786F"/>
    <w:rsid w:val="001F01DC"/>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CD"/>
    <w:rsid w:val="0025402D"/>
    <w:rsid w:val="00255740"/>
    <w:rsid w:val="0025590E"/>
    <w:rsid w:val="00256F53"/>
    <w:rsid w:val="002574FA"/>
    <w:rsid w:val="00257C70"/>
    <w:rsid w:val="002606B0"/>
    <w:rsid w:val="002609AC"/>
    <w:rsid w:val="002620AF"/>
    <w:rsid w:val="00262E2B"/>
    <w:rsid w:val="00263232"/>
    <w:rsid w:val="0026404D"/>
    <w:rsid w:val="00264624"/>
    <w:rsid w:val="00265CEA"/>
    <w:rsid w:val="00265E61"/>
    <w:rsid w:val="0026775D"/>
    <w:rsid w:val="00267BDE"/>
    <w:rsid w:val="00267FF7"/>
    <w:rsid w:val="00270429"/>
    <w:rsid w:val="0027056F"/>
    <w:rsid w:val="002709AD"/>
    <w:rsid w:val="002712BF"/>
    <w:rsid w:val="002719AA"/>
    <w:rsid w:val="002720AE"/>
    <w:rsid w:val="002721C1"/>
    <w:rsid w:val="002723E9"/>
    <w:rsid w:val="00273F9A"/>
    <w:rsid w:val="00275B0D"/>
    <w:rsid w:val="0027791E"/>
    <w:rsid w:val="00277929"/>
    <w:rsid w:val="00280E2D"/>
    <w:rsid w:val="0028344B"/>
    <w:rsid w:val="00283B82"/>
    <w:rsid w:val="002846E9"/>
    <w:rsid w:val="00284C34"/>
    <w:rsid w:val="00286B25"/>
    <w:rsid w:val="002877DC"/>
    <w:rsid w:val="0029066C"/>
    <w:rsid w:val="00294C7C"/>
    <w:rsid w:val="0029573C"/>
    <w:rsid w:val="00296536"/>
    <w:rsid w:val="00296D69"/>
    <w:rsid w:val="00297248"/>
    <w:rsid w:val="002A08B4"/>
    <w:rsid w:val="002A1578"/>
    <w:rsid w:val="002A24EA"/>
    <w:rsid w:val="002A2B73"/>
    <w:rsid w:val="002A3250"/>
    <w:rsid w:val="002A3DC7"/>
    <w:rsid w:val="002A5143"/>
    <w:rsid w:val="002A53DB"/>
    <w:rsid w:val="002A5A8D"/>
    <w:rsid w:val="002A62EE"/>
    <w:rsid w:val="002A7D2C"/>
    <w:rsid w:val="002B01CD"/>
    <w:rsid w:val="002B0BAD"/>
    <w:rsid w:val="002B1FD2"/>
    <w:rsid w:val="002B24AA"/>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E7A"/>
    <w:rsid w:val="002D7F54"/>
    <w:rsid w:val="002E09AB"/>
    <w:rsid w:val="002E13A9"/>
    <w:rsid w:val="002E1FBB"/>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51DD"/>
    <w:rsid w:val="002F5D18"/>
    <w:rsid w:val="002F6D9F"/>
    <w:rsid w:val="002F78C8"/>
    <w:rsid w:val="00300415"/>
    <w:rsid w:val="00300F7E"/>
    <w:rsid w:val="00301CF3"/>
    <w:rsid w:val="003024E0"/>
    <w:rsid w:val="00302743"/>
    <w:rsid w:val="003035A9"/>
    <w:rsid w:val="00303EB0"/>
    <w:rsid w:val="0030512D"/>
    <w:rsid w:val="00306B00"/>
    <w:rsid w:val="003119E6"/>
    <w:rsid w:val="003124BA"/>
    <w:rsid w:val="00312D7A"/>
    <w:rsid w:val="003148B0"/>
    <w:rsid w:val="00315C09"/>
    <w:rsid w:val="00317C87"/>
    <w:rsid w:val="00320BEC"/>
    <w:rsid w:val="00320F33"/>
    <w:rsid w:val="00322F64"/>
    <w:rsid w:val="00324274"/>
    <w:rsid w:val="00324B3B"/>
    <w:rsid w:val="00326779"/>
    <w:rsid w:val="0032715C"/>
    <w:rsid w:val="00327507"/>
    <w:rsid w:val="00330284"/>
    <w:rsid w:val="00330722"/>
    <w:rsid w:val="00330849"/>
    <w:rsid w:val="00332069"/>
    <w:rsid w:val="003339DD"/>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C12"/>
    <w:rsid w:val="00355DE3"/>
    <w:rsid w:val="00357E59"/>
    <w:rsid w:val="00360E49"/>
    <w:rsid w:val="00362478"/>
    <w:rsid w:val="0036294E"/>
    <w:rsid w:val="00363A6F"/>
    <w:rsid w:val="00363E26"/>
    <w:rsid w:val="00366373"/>
    <w:rsid w:val="00366662"/>
    <w:rsid w:val="003710D8"/>
    <w:rsid w:val="003717A6"/>
    <w:rsid w:val="00371EA6"/>
    <w:rsid w:val="003741E7"/>
    <w:rsid w:val="003742EC"/>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5DDF"/>
    <w:rsid w:val="003C7C24"/>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5B93"/>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4799"/>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ECD"/>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38FE"/>
    <w:rsid w:val="004A3E51"/>
    <w:rsid w:val="004A4508"/>
    <w:rsid w:val="004A58CB"/>
    <w:rsid w:val="004A781D"/>
    <w:rsid w:val="004B1795"/>
    <w:rsid w:val="004B26C1"/>
    <w:rsid w:val="004B4136"/>
    <w:rsid w:val="004B56DD"/>
    <w:rsid w:val="004B6484"/>
    <w:rsid w:val="004B69E0"/>
    <w:rsid w:val="004C0114"/>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B47"/>
    <w:rsid w:val="00520320"/>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B25"/>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0553"/>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5DE0"/>
    <w:rsid w:val="005E64F6"/>
    <w:rsid w:val="005E65A7"/>
    <w:rsid w:val="005E72A6"/>
    <w:rsid w:val="005E7871"/>
    <w:rsid w:val="005F17AF"/>
    <w:rsid w:val="005F2166"/>
    <w:rsid w:val="005F406F"/>
    <w:rsid w:val="005F4ADF"/>
    <w:rsid w:val="005F5411"/>
    <w:rsid w:val="00600343"/>
    <w:rsid w:val="00600CEE"/>
    <w:rsid w:val="00600D27"/>
    <w:rsid w:val="00601453"/>
    <w:rsid w:val="00601836"/>
    <w:rsid w:val="006024BF"/>
    <w:rsid w:val="00602990"/>
    <w:rsid w:val="00602FF7"/>
    <w:rsid w:val="006049F9"/>
    <w:rsid w:val="00605421"/>
    <w:rsid w:val="0060717B"/>
    <w:rsid w:val="00610F7B"/>
    <w:rsid w:val="0061468E"/>
    <w:rsid w:val="00616488"/>
    <w:rsid w:val="00617D9E"/>
    <w:rsid w:val="00617F55"/>
    <w:rsid w:val="0062087E"/>
    <w:rsid w:val="006211B3"/>
    <w:rsid w:val="00621D96"/>
    <w:rsid w:val="0062298A"/>
    <w:rsid w:val="00625B21"/>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E44"/>
    <w:rsid w:val="0066257B"/>
    <w:rsid w:val="00662833"/>
    <w:rsid w:val="00664C54"/>
    <w:rsid w:val="00665755"/>
    <w:rsid w:val="0066669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7663E"/>
    <w:rsid w:val="007805FD"/>
    <w:rsid w:val="00780AE8"/>
    <w:rsid w:val="007815DD"/>
    <w:rsid w:val="00783AE2"/>
    <w:rsid w:val="00784422"/>
    <w:rsid w:val="007848B8"/>
    <w:rsid w:val="00786BFC"/>
    <w:rsid w:val="00787077"/>
    <w:rsid w:val="00787644"/>
    <w:rsid w:val="007879B1"/>
    <w:rsid w:val="00790E38"/>
    <w:rsid w:val="00791727"/>
    <w:rsid w:val="00791DFB"/>
    <w:rsid w:val="00792C93"/>
    <w:rsid w:val="00793B93"/>
    <w:rsid w:val="00793F88"/>
    <w:rsid w:val="00795951"/>
    <w:rsid w:val="00796257"/>
    <w:rsid w:val="007962C4"/>
    <w:rsid w:val="007A03AE"/>
    <w:rsid w:val="007A0966"/>
    <w:rsid w:val="007A0975"/>
    <w:rsid w:val="007A0D21"/>
    <w:rsid w:val="007A50A4"/>
    <w:rsid w:val="007A574A"/>
    <w:rsid w:val="007A7446"/>
    <w:rsid w:val="007A7969"/>
    <w:rsid w:val="007A7C87"/>
    <w:rsid w:val="007B10C8"/>
    <w:rsid w:val="007B3B54"/>
    <w:rsid w:val="007B3FA0"/>
    <w:rsid w:val="007B4C01"/>
    <w:rsid w:val="007B67FD"/>
    <w:rsid w:val="007B7359"/>
    <w:rsid w:val="007C03A0"/>
    <w:rsid w:val="007C0F2C"/>
    <w:rsid w:val="007C24DD"/>
    <w:rsid w:val="007C2BCC"/>
    <w:rsid w:val="007C319F"/>
    <w:rsid w:val="007C4EF0"/>
    <w:rsid w:val="007C5861"/>
    <w:rsid w:val="007C710A"/>
    <w:rsid w:val="007D06EC"/>
    <w:rsid w:val="007D099D"/>
    <w:rsid w:val="007D117E"/>
    <w:rsid w:val="007D229F"/>
    <w:rsid w:val="007D2A6E"/>
    <w:rsid w:val="007D5969"/>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29BC"/>
    <w:rsid w:val="0086327E"/>
    <w:rsid w:val="008655F6"/>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3FC0"/>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1BE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03F"/>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518"/>
    <w:rsid w:val="00993653"/>
    <w:rsid w:val="00994C0F"/>
    <w:rsid w:val="00996270"/>
    <w:rsid w:val="009A00A2"/>
    <w:rsid w:val="009A197C"/>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4260"/>
    <w:rsid w:val="00A34D44"/>
    <w:rsid w:val="00A35B6D"/>
    <w:rsid w:val="00A35B73"/>
    <w:rsid w:val="00A3631C"/>
    <w:rsid w:val="00A3646B"/>
    <w:rsid w:val="00A372C5"/>
    <w:rsid w:val="00A377BC"/>
    <w:rsid w:val="00A426C7"/>
    <w:rsid w:val="00A43184"/>
    <w:rsid w:val="00A43E39"/>
    <w:rsid w:val="00A4607F"/>
    <w:rsid w:val="00A477BA"/>
    <w:rsid w:val="00A50340"/>
    <w:rsid w:val="00A50F88"/>
    <w:rsid w:val="00A52F31"/>
    <w:rsid w:val="00A5646A"/>
    <w:rsid w:val="00A56B20"/>
    <w:rsid w:val="00A60162"/>
    <w:rsid w:val="00A61358"/>
    <w:rsid w:val="00A63A7D"/>
    <w:rsid w:val="00A63B5D"/>
    <w:rsid w:val="00A63D82"/>
    <w:rsid w:val="00A642CB"/>
    <w:rsid w:val="00A6594A"/>
    <w:rsid w:val="00A66798"/>
    <w:rsid w:val="00A667C2"/>
    <w:rsid w:val="00A67E98"/>
    <w:rsid w:val="00A70198"/>
    <w:rsid w:val="00A70CFD"/>
    <w:rsid w:val="00A72806"/>
    <w:rsid w:val="00A72A0B"/>
    <w:rsid w:val="00A74B0E"/>
    <w:rsid w:val="00A74E77"/>
    <w:rsid w:val="00A753A0"/>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97A0F"/>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586B"/>
    <w:rsid w:val="00AC672C"/>
    <w:rsid w:val="00AC75CE"/>
    <w:rsid w:val="00AC7937"/>
    <w:rsid w:val="00AD157A"/>
    <w:rsid w:val="00AD3269"/>
    <w:rsid w:val="00AD476B"/>
    <w:rsid w:val="00AD50B5"/>
    <w:rsid w:val="00AD5A27"/>
    <w:rsid w:val="00AD655B"/>
    <w:rsid w:val="00AD6678"/>
    <w:rsid w:val="00AD6E20"/>
    <w:rsid w:val="00AD7326"/>
    <w:rsid w:val="00AD7446"/>
    <w:rsid w:val="00AD77C1"/>
    <w:rsid w:val="00AE02B3"/>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5D2C"/>
    <w:rsid w:val="00B47BE9"/>
    <w:rsid w:val="00B50708"/>
    <w:rsid w:val="00B50C68"/>
    <w:rsid w:val="00B51293"/>
    <w:rsid w:val="00B52B1E"/>
    <w:rsid w:val="00B54CC1"/>
    <w:rsid w:val="00B5537A"/>
    <w:rsid w:val="00B5545D"/>
    <w:rsid w:val="00B55481"/>
    <w:rsid w:val="00B56C32"/>
    <w:rsid w:val="00B57385"/>
    <w:rsid w:val="00B57ACF"/>
    <w:rsid w:val="00B63276"/>
    <w:rsid w:val="00B63CCC"/>
    <w:rsid w:val="00B63F07"/>
    <w:rsid w:val="00B64699"/>
    <w:rsid w:val="00B64BB1"/>
    <w:rsid w:val="00B661E4"/>
    <w:rsid w:val="00B66339"/>
    <w:rsid w:val="00B70507"/>
    <w:rsid w:val="00B73166"/>
    <w:rsid w:val="00B735AB"/>
    <w:rsid w:val="00B7372B"/>
    <w:rsid w:val="00B73A39"/>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C36"/>
    <w:rsid w:val="00BA23A6"/>
    <w:rsid w:val="00BA2F82"/>
    <w:rsid w:val="00BA3ED0"/>
    <w:rsid w:val="00BA529F"/>
    <w:rsid w:val="00BA5EB9"/>
    <w:rsid w:val="00BA6A2B"/>
    <w:rsid w:val="00BB0A82"/>
    <w:rsid w:val="00BB0C9A"/>
    <w:rsid w:val="00BB4305"/>
    <w:rsid w:val="00BB49DA"/>
    <w:rsid w:val="00BB4B89"/>
    <w:rsid w:val="00BB5E83"/>
    <w:rsid w:val="00BB6374"/>
    <w:rsid w:val="00BB6DE8"/>
    <w:rsid w:val="00BB764A"/>
    <w:rsid w:val="00BB7C94"/>
    <w:rsid w:val="00BC071B"/>
    <w:rsid w:val="00BC0A9D"/>
    <w:rsid w:val="00BC0AAC"/>
    <w:rsid w:val="00BC20E7"/>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4C2"/>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96D2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6EFA"/>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3D4B"/>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C9E"/>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035"/>
    <w:rsid w:val="00D65F1E"/>
    <w:rsid w:val="00D66020"/>
    <w:rsid w:val="00D67826"/>
    <w:rsid w:val="00D70F99"/>
    <w:rsid w:val="00D720D5"/>
    <w:rsid w:val="00D72F4E"/>
    <w:rsid w:val="00D744A8"/>
    <w:rsid w:val="00D76D7B"/>
    <w:rsid w:val="00D81A7F"/>
    <w:rsid w:val="00D83030"/>
    <w:rsid w:val="00D8353D"/>
    <w:rsid w:val="00D865A2"/>
    <w:rsid w:val="00D8741E"/>
    <w:rsid w:val="00D8790F"/>
    <w:rsid w:val="00D87A5D"/>
    <w:rsid w:val="00D907B9"/>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C03C3"/>
    <w:rsid w:val="00DC0CEA"/>
    <w:rsid w:val="00DC0CF2"/>
    <w:rsid w:val="00DC2E43"/>
    <w:rsid w:val="00DC444E"/>
    <w:rsid w:val="00DC5090"/>
    <w:rsid w:val="00DC6F60"/>
    <w:rsid w:val="00DC7FA6"/>
    <w:rsid w:val="00DD095C"/>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645"/>
    <w:rsid w:val="00DF5ABD"/>
    <w:rsid w:val="00DF7037"/>
    <w:rsid w:val="00DF798F"/>
    <w:rsid w:val="00E0128E"/>
    <w:rsid w:val="00E02ABF"/>
    <w:rsid w:val="00E03A07"/>
    <w:rsid w:val="00E04A58"/>
    <w:rsid w:val="00E0551A"/>
    <w:rsid w:val="00E05A6B"/>
    <w:rsid w:val="00E0664E"/>
    <w:rsid w:val="00E07BAF"/>
    <w:rsid w:val="00E1201B"/>
    <w:rsid w:val="00E1272A"/>
    <w:rsid w:val="00E1356E"/>
    <w:rsid w:val="00E1420B"/>
    <w:rsid w:val="00E14600"/>
    <w:rsid w:val="00E14995"/>
    <w:rsid w:val="00E15CC4"/>
    <w:rsid w:val="00E171FA"/>
    <w:rsid w:val="00E179CD"/>
    <w:rsid w:val="00E20D6B"/>
    <w:rsid w:val="00E216A1"/>
    <w:rsid w:val="00E22BB1"/>
    <w:rsid w:val="00E23E8D"/>
    <w:rsid w:val="00E2650D"/>
    <w:rsid w:val="00E27FB1"/>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6D1E"/>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E39"/>
    <w:rsid w:val="00EC23F7"/>
    <w:rsid w:val="00EC3812"/>
    <w:rsid w:val="00EC4481"/>
    <w:rsid w:val="00EC47A0"/>
    <w:rsid w:val="00EC4B50"/>
    <w:rsid w:val="00EC4BD8"/>
    <w:rsid w:val="00EC5AE3"/>
    <w:rsid w:val="00EC63EB"/>
    <w:rsid w:val="00EC680F"/>
    <w:rsid w:val="00EC6C67"/>
    <w:rsid w:val="00EC71C8"/>
    <w:rsid w:val="00ED0076"/>
    <w:rsid w:val="00ED0D1E"/>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1D8F"/>
    <w:rsid w:val="00F1246B"/>
    <w:rsid w:val="00F13AB9"/>
    <w:rsid w:val="00F14CD7"/>
    <w:rsid w:val="00F16E30"/>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5E1"/>
    <w:rsid w:val="00F408F4"/>
    <w:rsid w:val="00F41D75"/>
    <w:rsid w:val="00F42C11"/>
    <w:rsid w:val="00F42FC7"/>
    <w:rsid w:val="00F43DE6"/>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7C2"/>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505"/>
    <w:rsid w:val="00FD593F"/>
    <w:rsid w:val="00FD5E5B"/>
    <w:rsid w:val="00FD608C"/>
    <w:rsid w:val="00FD63BF"/>
    <w:rsid w:val="00FD6CEC"/>
    <w:rsid w:val="00FD7492"/>
    <w:rsid w:val="00FE0C85"/>
    <w:rsid w:val="00FE39D6"/>
    <w:rsid w:val="00FE4557"/>
    <w:rsid w:val="00FE49C5"/>
    <w:rsid w:val="00FE49DF"/>
    <w:rsid w:val="00FE4BEF"/>
    <w:rsid w:val="00FE4E98"/>
    <w:rsid w:val="00FE4FB3"/>
    <w:rsid w:val="00FE5A37"/>
    <w:rsid w:val="00FE607A"/>
    <w:rsid w:val="00FE716D"/>
    <w:rsid w:val="00FE781F"/>
    <w:rsid w:val="00FF027D"/>
    <w:rsid w:val="00FF107D"/>
    <w:rsid w:val="00FF14EC"/>
    <w:rsid w:val="00FF1517"/>
    <w:rsid w:val="00FF1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821D9"/>
  <w15:docId w15:val="{336CC06F-0F2D-41D3-8371-7EEB26E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na.Linde@s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C4B1-4124-4E02-B440-A9B673B3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9624</Words>
  <Characters>5486</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2009.gada 11.augusta noteikumos Nr.892 “Noteikumi par numerācijas lietošanas tiesību ikgadējo valsts nodevu”</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Satiksmes ministrija</Company>
  <LinksUpToDate>false</LinksUpToDate>
  <CharactersWithSpaces>15080</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11.augusta noteikumos Nr.892 “Noteikumi par numerācijas lietošanas tiesību ikgadējo valsts nodevu”</dc:title>
  <dc:subject>sākotnējās ietekmes novērtējuma ziņojums (anotācija)</dc:subject>
  <dc:creator>Daina Linde</dc:creator>
  <cp:keywords/>
  <dc:description>Daina Linde, 67028101   daina.linde@sam.gov.lv</dc:description>
  <cp:lastModifiedBy>Daina Linde</cp:lastModifiedBy>
  <cp:revision>71</cp:revision>
  <cp:lastPrinted>2018-02-09T06:59:00Z</cp:lastPrinted>
  <dcterms:created xsi:type="dcterms:W3CDTF">2018-01-12T11:17:00Z</dcterms:created>
  <dcterms:modified xsi:type="dcterms:W3CDTF">2018-02-12T11:09:00Z</dcterms:modified>
</cp:coreProperties>
</file>