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F68B" w14:textId="3581742B" w:rsidR="006705FF" w:rsidRDefault="006705FF" w:rsidP="00F818DA">
      <w:pPr>
        <w:spacing w:after="0" w:line="240" w:lineRule="auto"/>
        <w:jc w:val="center"/>
        <w:rPr>
          <w:rFonts w:ascii="Times New Roman" w:hAnsi="Times New Roman" w:cs="Times New Roman"/>
          <w:b/>
          <w:sz w:val="24"/>
          <w:szCs w:val="24"/>
        </w:rPr>
      </w:pPr>
      <w:bookmarkStart w:id="0" w:name="_GoBack"/>
      <w:bookmarkEnd w:id="0"/>
      <w:r w:rsidRPr="00F818DA">
        <w:rPr>
          <w:rFonts w:ascii="Times New Roman" w:hAnsi="Times New Roman" w:cs="Times New Roman"/>
          <w:b/>
          <w:sz w:val="24"/>
          <w:szCs w:val="24"/>
        </w:rPr>
        <w:t>Ministru kabineta noteikumu projekta "</w:t>
      </w:r>
      <w:r w:rsidR="009001AE" w:rsidRPr="009001AE">
        <w:rPr>
          <w:rFonts w:ascii="Times New Roman" w:hAnsi="Times New Roman" w:cs="Times New Roman"/>
          <w:b/>
          <w:sz w:val="24"/>
          <w:szCs w:val="24"/>
        </w:rPr>
        <w:t>Grozījumi M</w:t>
      </w:r>
      <w:r w:rsidR="009001AE">
        <w:rPr>
          <w:rFonts w:ascii="Times New Roman" w:hAnsi="Times New Roman" w:cs="Times New Roman"/>
          <w:b/>
          <w:sz w:val="24"/>
          <w:szCs w:val="24"/>
        </w:rPr>
        <w:t>inistru kabineta 2004.</w:t>
      </w:r>
      <w:r w:rsidR="00954A9E">
        <w:rPr>
          <w:rFonts w:ascii="Times New Roman" w:hAnsi="Times New Roman" w:cs="Times New Roman"/>
          <w:b/>
          <w:sz w:val="24"/>
          <w:szCs w:val="24"/>
        </w:rPr>
        <w:t> </w:t>
      </w:r>
      <w:r w:rsidR="009001AE">
        <w:rPr>
          <w:rFonts w:ascii="Times New Roman" w:hAnsi="Times New Roman" w:cs="Times New Roman"/>
          <w:b/>
          <w:sz w:val="24"/>
          <w:szCs w:val="24"/>
        </w:rPr>
        <w:t>gada 20. </w:t>
      </w:r>
      <w:r w:rsidR="009001AE" w:rsidRPr="009001AE">
        <w:rPr>
          <w:rFonts w:ascii="Times New Roman" w:hAnsi="Times New Roman" w:cs="Times New Roman"/>
          <w:b/>
          <w:sz w:val="24"/>
          <w:szCs w:val="24"/>
        </w:rPr>
        <w:t>janvāra noteikumos Nr.</w:t>
      </w:r>
      <w:r w:rsidR="00954A9E">
        <w:rPr>
          <w:rFonts w:ascii="Times New Roman" w:hAnsi="Times New Roman" w:cs="Times New Roman"/>
          <w:b/>
          <w:sz w:val="24"/>
          <w:szCs w:val="24"/>
        </w:rPr>
        <w:t> </w:t>
      </w:r>
      <w:r w:rsidR="009001AE" w:rsidRPr="009001AE">
        <w:rPr>
          <w:rFonts w:ascii="Times New Roman" w:hAnsi="Times New Roman" w:cs="Times New Roman"/>
          <w:b/>
          <w:sz w:val="24"/>
          <w:szCs w:val="24"/>
        </w:rPr>
        <w:t>42 "Noziedzības novēršanas padomes nolikums"</w:t>
      </w:r>
      <w:r w:rsidRPr="00F818DA">
        <w:rPr>
          <w:rFonts w:ascii="Times New Roman" w:hAnsi="Times New Roman" w:cs="Times New Roman"/>
          <w:b/>
          <w:sz w:val="24"/>
          <w:szCs w:val="24"/>
        </w:rPr>
        <w:t>" sākotnējās ietekmes novērtējuma ziņojums (anotācija)</w:t>
      </w:r>
    </w:p>
    <w:p w14:paraId="49A31BEC" w14:textId="77777777" w:rsidR="00F818DA" w:rsidRDefault="00F818DA"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106"/>
        <w:gridCol w:w="268"/>
        <w:gridCol w:w="6228"/>
        <w:gridCol w:w="44"/>
      </w:tblGrid>
      <w:tr w:rsidR="006705FF" w:rsidRPr="00F818DA" w14:paraId="0254C3A9" w14:textId="77777777" w:rsidTr="00C62DCC">
        <w:trPr>
          <w:trHeight w:val="434"/>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172F604" w14:textId="77777777" w:rsidR="006705FF" w:rsidRPr="00F818DA" w:rsidRDefault="006705FF" w:rsidP="009001AE">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6705FF" w:rsidRPr="00F818DA" w14:paraId="53837523" w14:textId="77777777" w:rsidTr="00C62DCC">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08E2D375"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14:paraId="00D6F7A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593" w:type="pct"/>
            <w:gridSpan w:val="3"/>
            <w:tcBorders>
              <w:top w:val="outset" w:sz="6" w:space="0" w:color="414142"/>
              <w:left w:val="outset" w:sz="6" w:space="0" w:color="414142"/>
              <w:bottom w:val="outset" w:sz="6" w:space="0" w:color="414142"/>
              <w:right w:val="outset" w:sz="6" w:space="0" w:color="414142"/>
            </w:tcBorders>
            <w:hideMark/>
          </w:tcPr>
          <w:p w14:paraId="51E7FC28" w14:textId="6DB09EE8" w:rsidR="00B1426B" w:rsidRPr="00877049" w:rsidRDefault="00C61D26" w:rsidP="00877049">
            <w:pPr>
              <w:spacing w:after="0" w:line="240" w:lineRule="auto"/>
              <w:ind w:firstLine="383"/>
              <w:jc w:val="both"/>
              <w:rPr>
                <w:rFonts w:ascii="Times New Roman" w:hAnsi="Times New Roman" w:cs="Times New Roman"/>
                <w:bCs/>
                <w:iCs/>
                <w:sz w:val="24"/>
                <w:szCs w:val="24"/>
              </w:rPr>
            </w:pPr>
            <w:r w:rsidRPr="00C61D26">
              <w:rPr>
                <w:rFonts w:ascii="Times New Roman" w:hAnsi="Times New Roman" w:cs="Times New Roman"/>
                <w:bCs/>
                <w:sz w:val="24"/>
                <w:szCs w:val="24"/>
              </w:rPr>
              <w:t>Ministru kabineta noteikumu projekt</w:t>
            </w:r>
            <w:r w:rsidR="005236A5">
              <w:rPr>
                <w:rFonts w:ascii="Times New Roman" w:hAnsi="Times New Roman" w:cs="Times New Roman"/>
                <w:bCs/>
                <w:sz w:val="24"/>
                <w:szCs w:val="24"/>
              </w:rPr>
              <w:t>s</w:t>
            </w:r>
            <w:r w:rsidRPr="00C61D26">
              <w:rPr>
                <w:rFonts w:ascii="Times New Roman" w:hAnsi="Times New Roman" w:cs="Times New Roman"/>
                <w:bCs/>
                <w:sz w:val="24"/>
                <w:szCs w:val="24"/>
              </w:rPr>
              <w:t xml:space="preserve"> "</w:t>
            </w:r>
            <w:r w:rsidR="00C553FA" w:rsidRPr="00C553FA">
              <w:rPr>
                <w:rFonts w:ascii="Times New Roman" w:hAnsi="Times New Roman" w:cs="Times New Roman"/>
                <w:bCs/>
                <w:sz w:val="24"/>
                <w:szCs w:val="24"/>
              </w:rPr>
              <w:t>Grozījumi Ministru kabineta 2004.</w:t>
            </w:r>
            <w:r w:rsidR="00954A9E">
              <w:rPr>
                <w:rFonts w:ascii="Times New Roman" w:hAnsi="Times New Roman" w:cs="Times New Roman"/>
                <w:bCs/>
                <w:sz w:val="24"/>
                <w:szCs w:val="24"/>
              </w:rPr>
              <w:t> </w:t>
            </w:r>
            <w:r w:rsidR="00C553FA" w:rsidRPr="00C553FA">
              <w:rPr>
                <w:rFonts w:ascii="Times New Roman" w:hAnsi="Times New Roman" w:cs="Times New Roman"/>
                <w:bCs/>
                <w:sz w:val="24"/>
                <w:szCs w:val="24"/>
              </w:rPr>
              <w:t>gada 20.</w:t>
            </w:r>
            <w:r w:rsidR="00954A9E">
              <w:rPr>
                <w:rFonts w:ascii="Times New Roman" w:hAnsi="Times New Roman" w:cs="Times New Roman"/>
                <w:bCs/>
                <w:sz w:val="24"/>
                <w:szCs w:val="24"/>
              </w:rPr>
              <w:t> </w:t>
            </w:r>
            <w:r w:rsidR="00C553FA" w:rsidRPr="00C553FA">
              <w:rPr>
                <w:rFonts w:ascii="Times New Roman" w:hAnsi="Times New Roman" w:cs="Times New Roman"/>
                <w:bCs/>
                <w:sz w:val="24"/>
                <w:szCs w:val="24"/>
              </w:rPr>
              <w:t>janvāra noteikumos Nr.</w:t>
            </w:r>
            <w:r w:rsidR="00954A9E">
              <w:rPr>
                <w:rFonts w:ascii="Times New Roman" w:hAnsi="Times New Roman" w:cs="Times New Roman"/>
                <w:bCs/>
                <w:sz w:val="24"/>
                <w:szCs w:val="24"/>
              </w:rPr>
              <w:t> </w:t>
            </w:r>
            <w:r w:rsidR="00C553FA" w:rsidRPr="00C553FA">
              <w:rPr>
                <w:rFonts w:ascii="Times New Roman" w:hAnsi="Times New Roman" w:cs="Times New Roman"/>
                <w:bCs/>
                <w:sz w:val="24"/>
                <w:szCs w:val="24"/>
              </w:rPr>
              <w:t>42 "Noziedzības novēršanas padomes nolikums"</w:t>
            </w:r>
            <w:r w:rsidRPr="00C61D26">
              <w:rPr>
                <w:rFonts w:ascii="Times New Roman" w:hAnsi="Times New Roman" w:cs="Times New Roman"/>
                <w:bCs/>
                <w:sz w:val="24"/>
                <w:szCs w:val="24"/>
              </w:rPr>
              <w:t>"</w:t>
            </w:r>
            <w:r w:rsidR="00BD6DD0">
              <w:rPr>
                <w:rFonts w:ascii="Times New Roman" w:hAnsi="Times New Roman" w:cs="Times New Roman"/>
                <w:bCs/>
                <w:sz w:val="24"/>
                <w:szCs w:val="24"/>
              </w:rPr>
              <w:t xml:space="preserve"> (turpmāk –</w:t>
            </w:r>
            <w:r w:rsidR="005236A5">
              <w:rPr>
                <w:rFonts w:ascii="Times New Roman" w:hAnsi="Times New Roman" w:cs="Times New Roman"/>
                <w:bCs/>
                <w:sz w:val="24"/>
                <w:szCs w:val="24"/>
              </w:rPr>
              <w:t xml:space="preserve"> </w:t>
            </w:r>
            <w:r w:rsidR="004F7AC7" w:rsidRPr="00F818DA">
              <w:rPr>
                <w:rFonts w:ascii="Times New Roman" w:hAnsi="Times New Roman" w:cs="Times New Roman"/>
                <w:bCs/>
                <w:sz w:val="24"/>
                <w:szCs w:val="24"/>
              </w:rPr>
              <w:t>Noteikumu projekts</w:t>
            </w:r>
            <w:r w:rsidR="005236A5">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izstrādāts </w:t>
            </w:r>
            <w:r w:rsidR="005236A5">
              <w:rPr>
                <w:rFonts w:ascii="Times New Roman" w:hAnsi="Times New Roman" w:cs="Times New Roman"/>
                <w:bCs/>
                <w:sz w:val="24"/>
                <w:szCs w:val="24"/>
              </w:rPr>
              <w:t>atbilstoši</w:t>
            </w:r>
            <w:r w:rsidR="004F7AC7" w:rsidRPr="00F818DA">
              <w:rPr>
                <w:rFonts w:ascii="Times New Roman" w:hAnsi="Times New Roman" w:cs="Times New Roman"/>
                <w:bCs/>
                <w:sz w:val="24"/>
                <w:szCs w:val="24"/>
              </w:rPr>
              <w:t xml:space="preserve"> </w:t>
            </w:r>
            <w:r w:rsidR="002F331D" w:rsidRPr="00877049">
              <w:rPr>
                <w:rFonts w:ascii="Times New Roman" w:hAnsi="Times New Roman" w:cs="Times New Roman"/>
                <w:bCs/>
                <w:iCs/>
                <w:sz w:val="24"/>
                <w:szCs w:val="24"/>
              </w:rPr>
              <w:t xml:space="preserve">Ministru kabineta 2017. gada 11. aprīļa sēdes </w:t>
            </w:r>
            <w:proofErr w:type="spellStart"/>
            <w:r w:rsidR="002F331D" w:rsidRPr="00877049">
              <w:rPr>
                <w:rFonts w:ascii="Times New Roman" w:hAnsi="Times New Roman" w:cs="Times New Roman"/>
                <w:bCs/>
                <w:iCs/>
                <w:sz w:val="24"/>
                <w:szCs w:val="24"/>
              </w:rPr>
              <w:t>protokollēmuma</w:t>
            </w:r>
            <w:proofErr w:type="spellEnd"/>
            <w:r w:rsidR="002F331D" w:rsidRPr="00877049">
              <w:rPr>
                <w:rFonts w:ascii="Times New Roman" w:hAnsi="Times New Roman" w:cs="Times New Roman"/>
                <w:bCs/>
                <w:iCs/>
                <w:sz w:val="24"/>
                <w:szCs w:val="24"/>
              </w:rPr>
              <w:t xml:space="preserve"> (Nr. 19, </w:t>
            </w:r>
            <w:r w:rsidR="002F331D" w:rsidRPr="00877049">
              <w:rPr>
                <w:rFonts w:ascii="Times New Roman" w:hAnsi="Times New Roman" w:cs="Times New Roman"/>
                <w:bCs/>
                <w:sz w:val="24"/>
                <w:szCs w:val="24"/>
              </w:rPr>
              <w:t>30. </w:t>
            </w:r>
            <w:r w:rsidR="0089117B" w:rsidRPr="00877049">
              <w:rPr>
                <w:rFonts w:ascii="Times New Roman" w:hAnsi="Times New Roman" w:cs="Times New Roman"/>
                <w:bCs/>
                <w:sz w:val="24"/>
                <w:szCs w:val="24"/>
              </w:rPr>
              <w:t xml:space="preserve">§) </w:t>
            </w:r>
            <w:r w:rsidR="00964222" w:rsidRPr="00877049">
              <w:rPr>
                <w:rFonts w:ascii="Times New Roman" w:hAnsi="Times New Roman" w:cs="Times New Roman"/>
                <w:bCs/>
                <w:sz w:val="24"/>
                <w:szCs w:val="24"/>
              </w:rPr>
              <w:t xml:space="preserve">(turpmāk </w:t>
            </w:r>
            <w:r w:rsidR="00EA0F3C" w:rsidRPr="00877049">
              <w:rPr>
                <w:rFonts w:ascii="Times New Roman" w:hAnsi="Times New Roman" w:cs="Times New Roman"/>
                <w:bCs/>
                <w:sz w:val="24"/>
                <w:szCs w:val="24"/>
              </w:rPr>
              <w:t>–</w:t>
            </w:r>
            <w:r w:rsidR="00964222" w:rsidRPr="00877049">
              <w:rPr>
                <w:rFonts w:ascii="Times New Roman" w:hAnsi="Times New Roman" w:cs="Times New Roman"/>
                <w:bCs/>
                <w:sz w:val="24"/>
                <w:szCs w:val="24"/>
              </w:rPr>
              <w:t xml:space="preserve"> </w:t>
            </w:r>
            <w:proofErr w:type="spellStart"/>
            <w:r w:rsidR="00EA0F3C" w:rsidRPr="00877049">
              <w:rPr>
                <w:rFonts w:ascii="Times New Roman" w:hAnsi="Times New Roman" w:cs="Times New Roman"/>
                <w:bCs/>
                <w:sz w:val="24"/>
                <w:szCs w:val="24"/>
              </w:rPr>
              <w:t>Protokollēmums</w:t>
            </w:r>
            <w:proofErr w:type="spellEnd"/>
            <w:r w:rsidR="00EA0F3C" w:rsidRPr="00877049">
              <w:rPr>
                <w:rFonts w:ascii="Times New Roman" w:hAnsi="Times New Roman" w:cs="Times New Roman"/>
                <w:bCs/>
                <w:sz w:val="24"/>
                <w:szCs w:val="24"/>
              </w:rPr>
              <w:t xml:space="preserve">) </w:t>
            </w:r>
            <w:r w:rsidR="002F331D" w:rsidRPr="00877049">
              <w:rPr>
                <w:rFonts w:ascii="Times New Roman" w:hAnsi="Times New Roman" w:cs="Times New Roman"/>
                <w:bCs/>
                <w:sz w:val="24"/>
                <w:szCs w:val="24"/>
              </w:rPr>
              <w:t>2. </w:t>
            </w:r>
            <w:r w:rsidR="0089117B" w:rsidRPr="00877049">
              <w:rPr>
                <w:rFonts w:ascii="Times New Roman" w:hAnsi="Times New Roman" w:cs="Times New Roman"/>
                <w:bCs/>
                <w:sz w:val="24"/>
                <w:szCs w:val="24"/>
              </w:rPr>
              <w:t xml:space="preserve">punktam, </w:t>
            </w:r>
            <w:r w:rsidR="00532172">
              <w:rPr>
                <w:rFonts w:ascii="Times New Roman" w:hAnsi="Times New Roman" w:cs="Times New Roman"/>
                <w:bCs/>
                <w:sz w:val="24"/>
                <w:szCs w:val="24"/>
              </w:rPr>
              <w:t xml:space="preserve">saskaņā ar kuru </w:t>
            </w:r>
            <w:r w:rsidR="0089117B" w:rsidRPr="00877049">
              <w:rPr>
                <w:rFonts w:ascii="Times New Roman" w:hAnsi="Times New Roman" w:cs="Times New Roman"/>
                <w:bCs/>
                <w:sz w:val="24"/>
                <w:szCs w:val="24"/>
              </w:rPr>
              <w:t xml:space="preserve">Ministru kabinets </w:t>
            </w:r>
            <w:r w:rsidR="0089117B" w:rsidRPr="00877049">
              <w:rPr>
                <w:rFonts w:ascii="Times New Roman" w:hAnsi="Times New Roman" w:cs="Times New Roman"/>
                <w:sz w:val="24"/>
                <w:szCs w:val="24"/>
              </w:rPr>
              <w:t>atbalstīja</w:t>
            </w:r>
            <w:r w:rsidR="002F331D" w:rsidRPr="00877049">
              <w:rPr>
                <w:rFonts w:ascii="Times New Roman" w:hAnsi="Times New Roman" w:cs="Times New Roman"/>
                <w:sz w:val="24"/>
                <w:szCs w:val="24"/>
              </w:rPr>
              <w:t xml:space="preserve"> informatīvajā ziņojumā "Par priekšlikumiem turpmākai rīcībai, lai izveidotu mehānismu konfiscēto noziedzīgi iegūto līdzekļu izmantošanai"</w:t>
            </w:r>
            <w:r w:rsidR="00EA0F3C" w:rsidRPr="00877049">
              <w:rPr>
                <w:rFonts w:ascii="Times New Roman" w:hAnsi="Times New Roman" w:cs="Times New Roman"/>
                <w:sz w:val="24"/>
                <w:szCs w:val="24"/>
              </w:rPr>
              <w:t xml:space="preserve"> (turpmāk – informatīvais ziņojums)</w:t>
            </w:r>
            <w:r w:rsidR="002F331D" w:rsidRPr="00877049">
              <w:rPr>
                <w:rFonts w:ascii="Times New Roman" w:hAnsi="Times New Roman" w:cs="Times New Roman"/>
                <w:sz w:val="24"/>
                <w:szCs w:val="24"/>
              </w:rPr>
              <w:t xml:space="preserve"> plānot</w:t>
            </w:r>
            <w:r w:rsidR="0089117B" w:rsidRPr="00877049">
              <w:rPr>
                <w:rFonts w:ascii="Times New Roman" w:hAnsi="Times New Roman" w:cs="Times New Roman"/>
                <w:sz w:val="24"/>
                <w:szCs w:val="24"/>
              </w:rPr>
              <w:t>o mehānismu</w:t>
            </w:r>
            <w:r w:rsidR="002F331D" w:rsidRPr="00877049">
              <w:rPr>
                <w:rFonts w:ascii="Times New Roman" w:hAnsi="Times New Roman" w:cs="Times New Roman"/>
                <w:sz w:val="24"/>
                <w:szCs w:val="24"/>
              </w:rPr>
              <w:t xml:space="preserve"> konfiscēto noziedzīgi iegūto līdzekļu izmantošanai un tā administrēšanai, kas paredzēja, </w:t>
            </w:r>
            <w:r w:rsidR="0089117B" w:rsidRPr="00877049">
              <w:rPr>
                <w:rFonts w:ascii="Times New Roman" w:hAnsi="Times New Roman" w:cs="Times New Roman"/>
                <w:sz w:val="24"/>
                <w:szCs w:val="24"/>
              </w:rPr>
              <w:t xml:space="preserve">ka </w:t>
            </w:r>
            <w:r w:rsidR="002F331D" w:rsidRPr="00877049">
              <w:rPr>
                <w:rFonts w:ascii="Times New Roman" w:hAnsi="Times New Roman" w:cs="Times New Roman"/>
                <w:sz w:val="24"/>
                <w:szCs w:val="24"/>
              </w:rPr>
              <w:t>padome</w:t>
            </w:r>
            <w:r w:rsidR="0089117B" w:rsidRPr="00877049">
              <w:rPr>
                <w:rFonts w:ascii="Times New Roman" w:hAnsi="Times New Roman" w:cs="Times New Roman"/>
                <w:sz w:val="24"/>
                <w:szCs w:val="24"/>
              </w:rPr>
              <w:t xml:space="preserve">s locekļi būs tie, kas </w:t>
            </w:r>
            <w:r w:rsidR="00EF0022" w:rsidRPr="00877049">
              <w:rPr>
                <w:rFonts w:ascii="Times New Roman" w:hAnsi="Times New Roman" w:cs="Times New Roman"/>
                <w:sz w:val="24"/>
                <w:szCs w:val="24"/>
              </w:rPr>
              <w:t>iz</w:t>
            </w:r>
            <w:r w:rsidR="00EA0F3C" w:rsidRPr="00877049">
              <w:rPr>
                <w:rFonts w:ascii="Times New Roman" w:hAnsi="Times New Roman" w:cs="Times New Roman"/>
                <w:sz w:val="24"/>
                <w:szCs w:val="24"/>
              </w:rPr>
              <w:t>lems</w:t>
            </w:r>
            <w:r w:rsidR="0089117B" w:rsidRPr="00877049">
              <w:rPr>
                <w:rFonts w:ascii="Times New Roman" w:hAnsi="Times New Roman" w:cs="Times New Roman"/>
                <w:sz w:val="24"/>
                <w:szCs w:val="24"/>
              </w:rPr>
              <w:t xml:space="preserve"> par Tieslietu ministrijas budžeta programmas </w:t>
            </w:r>
            <w:r w:rsidR="004361EB">
              <w:rPr>
                <w:rFonts w:ascii="Times New Roman" w:hAnsi="Times New Roman" w:cs="Times New Roman"/>
                <w:sz w:val="24"/>
                <w:szCs w:val="24"/>
              </w:rPr>
              <w:t>"</w:t>
            </w:r>
            <w:r w:rsidR="0089117B" w:rsidRPr="00877049">
              <w:rPr>
                <w:rFonts w:ascii="Times New Roman" w:hAnsi="Times New Roman" w:cs="Times New Roman"/>
                <w:sz w:val="24"/>
                <w:szCs w:val="24"/>
              </w:rPr>
              <w:t>Noziedzīgi iegūtu līdzekļu konfiskācijas fonds</w:t>
            </w:r>
            <w:r w:rsidR="004361EB">
              <w:rPr>
                <w:rFonts w:ascii="Times New Roman" w:hAnsi="Times New Roman" w:cs="Times New Roman"/>
                <w:sz w:val="24"/>
                <w:szCs w:val="24"/>
              </w:rPr>
              <w:t>"</w:t>
            </w:r>
            <w:r w:rsidR="00EA0F3C" w:rsidRPr="00877049">
              <w:rPr>
                <w:rFonts w:ascii="Times New Roman" w:hAnsi="Times New Roman" w:cs="Times New Roman"/>
                <w:sz w:val="24"/>
                <w:szCs w:val="24"/>
              </w:rPr>
              <w:t xml:space="preserve"> </w:t>
            </w:r>
            <w:r w:rsidR="0089117B" w:rsidRPr="00877049">
              <w:rPr>
                <w:rFonts w:ascii="Times New Roman" w:hAnsi="Times New Roman" w:cs="Times New Roman"/>
                <w:sz w:val="24"/>
                <w:szCs w:val="24"/>
              </w:rPr>
              <w:t>finanšu līdzekļu izlietojumu konkrētiem mērķiem un pasākumiem, un to sadali starp iesaistītajām institūcijām</w:t>
            </w:r>
            <w:r w:rsidR="00877049" w:rsidRPr="00877049">
              <w:rPr>
                <w:rFonts w:ascii="Times New Roman" w:hAnsi="Times New Roman" w:cs="Times New Roman"/>
                <w:sz w:val="24"/>
                <w:szCs w:val="24"/>
              </w:rPr>
              <w:t>.</w:t>
            </w:r>
          </w:p>
          <w:p w14:paraId="4BC15916" w14:textId="13EAFDBB" w:rsidR="00405068" w:rsidRPr="00877049" w:rsidRDefault="00877049" w:rsidP="000B1544">
            <w:pPr>
              <w:spacing w:after="0" w:line="240" w:lineRule="auto"/>
              <w:ind w:firstLine="383"/>
              <w:jc w:val="both"/>
              <w:rPr>
                <w:rFonts w:ascii="Times New Roman" w:hAnsi="Times New Roman" w:cs="Times New Roman"/>
                <w:sz w:val="24"/>
                <w:szCs w:val="24"/>
              </w:rPr>
            </w:pPr>
            <w:r w:rsidRPr="00877049">
              <w:rPr>
                <w:rFonts w:ascii="Times New Roman" w:hAnsi="Times New Roman" w:cs="Times New Roman"/>
                <w:bCs/>
                <w:sz w:val="24"/>
                <w:szCs w:val="24"/>
              </w:rPr>
              <w:t xml:space="preserve">Noteikumu projekts izstrādāts </w:t>
            </w:r>
            <w:r>
              <w:rPr>
                <w:rFonts w:ascii="Times New Roman" w:hAnsi="Times New Roman" w:cs="Times New Roman"/>
                <w:bCs/>
                <w:sz w:val="24"/>
                <w:szCs w:val="24"/>
              </w:rPr>
              <w:t xml:space="preserve">arī </w:t>
            </w:r>
            <w:r w:rsidRPr="00877049">
              <w:rPr>
                <w:rFonts w:ascii="Times New Roman" w:hAnsi="Times New Roman" w:cs="Times New Roman"/>
                <w:bCs/>
                <w:sz w:val="24"/>
                <w:szCs w:val="24"/>
              </w:rPr>
              <w:t xml:space="preserve">atbilstoši </w:t>
            </w:r>
            <w:r w:rsidRPr="00877049">
              <w:rPr>
                <w:rFonts w:ascii="Times New Roman" w:hAnsi="Times New Roman" w:cs="Times New Roman"/>
                <w:sz w:val="24"/>
                <w:szCs w:val="24"/>
              </w:rPr>
              <w:t>Noziedzības novēršanas padomes (turpmāk – padome) 2017. gada 17. maija sēdes protokola Nr.</w:t>
            </w:r>
            <w:r w:rsidR="00954A9E">
              <w:rPr>
                <w:rFonts w:ascii="Times New Roman" w:hAnsi="Times New Roman" w:cs="Times New Roman"/>
                <w:sz w:val="24"/>
                <w:szCs w:val="24"/>
              </w:rPr>
              <w:t> </w:t>
            </w:r>
            <w:r w:rsidRPr="00877049">
              <w:rPr>
                <w:rFonts w:ascii="Times New Roman" w:hAnsi="Times New Roman" w:cs="Times New Roman"/>
                <w:sz w:val="24"/>
                <w:szCs w:val="24"/>
              </w:rPr>
              <w:t>4, 4.</w:t>
            </w:r>
            <w:r w:rsidR="00954A9E">
              <w:rPr>
                <w:rFonts w:ascii="Times New Roman" w:hAnsi="Times New Roman" w:cs="Times New Roman"/>
                <w:sz w:val="24"/>
                <w:szCs w:val="24"/>
              </w:rPr>
              <w:t> </w:t>
            </w:r>
            <w:r w:rsidRPr="00877049">
              <w:rPr>
                <w:rFonts w:ascii="Times New Roman" w:hAnsi="Times New Roman" w:cs="Times New Roman"/>
                <w:sz w:val="24"/>
                <w:szCs w:val="24"/>
              </w:rPr>
              <w:t>§, 2.</w:t>
            </w:r>
            <w:r w:rsidR="00954A9E">
              <w:rPr>
                <w:rFonts w:ascii="Times New Roman" w:hAnsi="Times New Roman" w:cs="Times New Roman"/>
                <w:sz w:val="24"/>
                <w:szCs w:val="24"/>
              </w:rPr>
              <w:t> </w:t>
            </w:r>
            <w:r w:rsidRPr="00877049">
              <w:rPr>
                <w:rFonts w:ascii="Times New Roman" w:hAnsi="Times New Roman" w:cs="Times New Roman"/>
                <w:sz w:val="24"/>
                <w:szCs w:val="24"/>
              </w:rPr>
              <w:t xml:space="preserve">punktā uzdotajam </w:t>
            </w:r>
            <w:r w:rsidRPr="00877049">
              <w:rPr>
                <w:rFonts w:ascii="Times New Roman" w:hAnsi="Times New Roman" w:cs="Times New Roman"/>
                <w:bCs/>
                <w:sz w:val="24"/>
                <w:szCs w:val="24"/>
              </w:rPr>
              <w:t xml:space="preserve">– </w:t>
            </w:r>
            <w:r w:rsidRPr="00877049">
              <w:rPr>
                <w:rFonts w:ascii="Times New Roman" w:hAnsi="Times New Roman" w:cs="Times New Roman"/>
                <w:sz w:val="24"/>
                <w:szCs w:val="24"/>
              </w:rPr>
              <w:t>Tieslietu ministrijai izvērtēt iespēju veikt turpmāko padome</w:t>
            </w:r>
            <w:r w:rsidR="00AB200E">
              <w:rPr>
                <w:rFonts w:ascii="Times New Roman" w:hAnsi="Times New Roman" w:cs="Times New Roman"/>
                <w:sz w:val="24"/>
                <w:szCs w:val="24"/>
              </w:rPr>
              <w:t>s</w:t>
            </w:r>
            <w:r w:rsidRPr="00877049">
              <w:rPr>
                <w:rFonts w:ascii="Times New Roman" w:hAnsi="Times New Roman" w:cs="Times New Roman"/>
                <w:sz w:val="24"/>
                <w:szCs w:val="24"/>
              </w:rPr>
              <w:t xml:space="preserve"> materiāltehnisko nodrošināšanu un attiecīgā gadījumā iesniegt noteiktā kārtībā izskatīšanai Ministru kabineta sēdē Ministru kabineta noteikumu projektu par nepieciešamajiem grozījumiem Ministru kabineta 2004.</w:t>
            </w:r>
            <w:r w:rsidR="00954A9E">
              <w:rPr>
                <w:rFonts w:ascii="Times New Roman" w:hAnsi="Times New Roman" w:cs="Times New Roman"/>
                <w:sz w:val="24"/>
                <w:szCs w:val="24"/>
              </w:rPr>
              <w:t> </w:t>
            </w:r>
            <w:r w:rsidRPr="00877049">
              <w:rPr>
                <w:rFonts w:ascii="Times New Roman" w:hAnsi="Times New Roman" w:cs="Times New Roman"/>
                <w:sz w:val="24"/>
                <w:szCs w:val="24"/>
              </w:rPr>
              <w:t>gada 20.</w:t>
            </w:r>
            <w:r w:rsidR="00954A9E">
              <w:rPr>
                <w:rFonts w:ascii="Times New Roman" w:hAnsi="Times New Roman" w:cs="Times New Roman"/>
                <w:sz w:val="24"/>
                <w:szCs w:val="24"/>
              </w:rPr>
              <w:t> </w:t>
            </w:r>
            <w:r w:rsidRPr="00877049">
              <w:rPr>
                <w:rFonts w:ascii="Times New Roman" w:hAnsi="Times New Roman" w:cs="Times New Roman"/>
                <w:sz w:val="24"/>
                <w:szCs w:val="24"/>
              </w:rPr>
              <w:t>janvāra noteikumos Nr.</w:t>
            </w:r>
            <w:r w:rsidR="00954A9E">
              <w:rPr>
                <w:rFonts w:ascii="Times New Roman" w:hAnsi="Times New Roman" w:cs="Times New Roman"/>
                <w:sz w:val="24"/>
                <w:szCs w:val="24"/>
              </w:rPr>
              <w:t> </w:t>
            </w:r>
            <w:r w:rsidRPr="00877049">
              <w:rPr>
                <w:rFonts w:ascii="Times New Roman" w:hAnsi="Times New Roman" w:cs="Times New Roman"/>
                <w:sz w:val="24"/>
                <w:szCs w:val="24"/>
              </w:rPr>
              <w:t>42 "Noziedzības novēršanas padomes nolikums</w:t>
            </w:r>
            <w:r w:rsidR="004834B7">
              <w:rPr>
                <w:rFonts w:ascii="Times New Roman" w:hAnsi="Times New Roman" w:cs="Times New Roman"/>
                <w:sz w:val="24"/>
                <w:szCs w:val="24"/>
              </w:rPr>
              <w:t>"</w:t>
            </w:r>
            <w:r w:rsidRPr="00877049">
              <w:rPr>
                <w:rFonts w:ascii="Times New Roman" w:hAnsi="Times New Roman" w:cs="Times New Roman"/>
                <w:sz w:val="24"/>
                <w:szCs w:val="24"/>
              </w:rPr>
              <w:t xml:space="preserve"> (turpmāk – Noteikumi).</w:t>
            </w:r>
          </w:p>
        </w:tc>
      </w:tr>
      <w:tr w:rsidR="006705FF" w:rsidRPr="00F818DA" w14:paraId="73662A2D" w14:textId="77777777" w:rsidTr="00C62DCC">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753198E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14:paraId="0AC2CF6D" w14:textId="791F9E40" w:rsidR="00985A25"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BA6F8C" w14:textId="77777777" w:rsidR="00985A25" w:rsidRPr="00985A25" w:rsidRDefault="00985A25" w:rsidP="00985A25">
            <w:pPr>
              <w:rPr>
                <w:rFonts w:ascii="Times New Roman" w:eastAsia="Times New Roman" w:hAnsi="Times New Roman" w:cs="Times New Roman"/>
                <w:sz w:val="24"/>
                <w:szCs w:val="24"/>
                <w:lang w:eastAsia="lv-LV"/>
              </w:rPr>
            </w:pPr>
          </w:p>
          <w:p w14:paraId="093761FF" w14:textId="77777777" w:rsidR="00985A25" w:rsidRPr="00985A25" w:rsidRDefault="00985A25" w:rsidP="00985A25">
            <w:pPr>
              <w:rPr>
                <w:rFonts w:ascii="Times New Roman" w:eastAsia="Times New Roman" w:hAnsi="Times New Roman" w:cs="Times New Roman"/>
                <w:sz w:val="24"/>
                <w:szCs w:val="24"/>
                <w:lang w:eastAsia="lv-LV"/>
              </w:rPr>
            </w:pPr>
          </w:p>
          <w:p w14:paraId="0A390BA4" w14:textId="77777777" w:rsidR="00985A25" w:rsidRPr="00985A25" w:rsidRDefault="00985A25" w:rsidP="00985A25">
            <w:pPr>
              <w:rPr>
                <w:rFonts w:ascii="Times New Roman" w:eastAsia="Times New Roman" w:hAnsi="Times New Roman" w:cs="Times New Roman"/>
                <w:sz w:val="24"/>
                <w:szCs w:val="24"/>
                <w:lang w:eastAsia="lv-LV"/>
              </w:rPr>
            </w:pPr>
          </w:p>
          <w:p w14:paraId="5945D62C" w14:textId="77777777" w:rsidR="00985A25" w:rsidRPr="00985A25" w:rsidRDefault="00985A25" w:rsidP="00985A25">
            <w:pPr>
              <w:rPr>
                <w:rFonts w:ascii="Times New Roman" w:eastAsia="Times New Roman" w:hAnsi="Times New Roman" w:cs="Times New Roman"/>
                <w:sz w:val="24"/>
                <w:szCs w:val="24"/>
                <w:lang w:eastAsia="lv-LV"/>
              </w:rPr>
            </w:pPr>
          </w:p>
          <w:p w14:paraId="23E9CDEE" w14:textId="77777777" w:rsidR="00985A25" w:rsidRPr="00985A25" w:rsidRDefault="00985A25" w:rsidP="00985A25">
            <w:pPr>
              <w:rPr>
                <w:rFonts w:ascii="Times New Roman" w:eastAsia="Times New Roman" w:hAnsi="Times New Roman" w:cs="Times New Roman"/>
                <w:sz w:val="24"/>
                <w:szCs w:val="24"/>
                <w:lang w:eastAsia="lv-LV"/>
              </w:rPr>
            </w:pPr>
          </w:p>
          <w:p w14:paraId="70105217" w14:textId="77777777" w:rsidR="00985A25" w:rsidRPr="00985A25" w:rsidRDefault="00985A25" w:rsidP="00985A25">
            <w:pPr>
              <w:rPr>
                <w:rFonts w:ascii="Times New Roman" w:eastAsia="Times New Roman" w:hAnsi="Times New Roman" w:cs="Times New Roman"/>
                <w:sz w:val="24"/>
                <w:szCs w:val="24"/>
                <w:lang w:eastAsia="lv-LV"/>
              </w:rPr>
            </w:pPr>
          </w:p>
          <w:p w14:paraId="4D06F762" w14:textId="5B8DF582" w:rsidR="006705FF" w:rsidRPr="00985A25" w:rsidRDefault="006705FF" w:rsidP="00985A25">
            <w:pPr>
              <w:rPr>
                <w:rFonts w:ascii="Times New Roman" w:eastAsia="Times New Roman" w:hAnsi="Times New Roman" w:cs="Times New Roman"/>
                <w:sz w:val="24"/>
                <w:szCs w:val="24"/>
                <w:lang w:eastAsia="lv-LV"/>
              </w:rPr>
            </w:pPr>
          </w:p>
        </w:tc>
        <w:tc>
          <w:tcPr>
            <w:tcW w:w="3593" w:type="pct"/>
            <w:gridSpan w:val="3"/>
            <w:tcBorders>
              <w:top w:val="outset" w:sz="6" w:space="0" w:color="414142"/>
              <w:left w:val="outset" w:sz="6" w:space="0" w:color="414142"/>
              <w:bottom w:val="outset" w:sz="6" w:space="0" w:color="414142"/>
              <w:right w:val="outset" w:sz="6" w:space="0" w:color="414142"/>
            </w:tcBorders>
          </w:tcPr>
          <w:p w14:paraId="6E9C3A6C" w14:textId="00F59FA8" w:rsidR="00CB756C" w:rsidRDefault="00CB756C" w:rsidP="004D29FE">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Saskaņā ar Noteikumu 1. punktu padome</w:t>
            </w:r>
            <w:r w:rsidRPr="00CB756C">
              <w:rPr>
                <w:rFonts w:ascii="Times New Roman" w:hAnsi="Times New Roman" w:cs="Times New Roman"/>
                <w:sz w:val="24"/>
                <w:szCs w:val="24"/>
              </w:rPr>
              <w:t xml:space="preserve"> ir </w:t>
            </w:r>
            <w:r w:rsidRPr="00016D7C">
              <w:rPr>
                <w:rFonts w:ascii="Times New Roman" w:hAnsi="Times New Roman" w:cs="Times New Roman"/>
                <w:sz w:val="24"/>
                <w:szCs w:val="24"/>
              </w:rPr>
              <w:t>koordinējoša institūcija, kuras darbības mērķis ir koordinēt un pilnveidot valsts institūciju darbību noziedzības (tai</w:t>
            </w:r>
            <w:r w:rsidRPr="00CB756C">
              <w:rPr>
                <w:rFonts w:ascii="Times New Roman" w:hAnsi="Times New Roman" w:cs="Times New Roman"/>
                <w:sz w:val="24"/>
                <w:szCs w:val="24"/>
              </w:rPr>
              <w:t xml:space="preserve"> skaitā korupcijas un organizētās noziedzības) novēršanā un apkarošanā</w:t>
            </w:r>
            <w:r>
              <w:rPr>
                <w:rFonts w:ascii="Times New Roman" w:hAnsi="Times New Roman" w:cs="Times New Roman"/>
                <w:sz w:val="24"/>
                <w:szCs w:val="24"/>
              </w:rPr>
              <w:t xml:space="preserve">. </w:t>
            </w:r>
            <w:r w:rsidR="00016D7C">
              <w:rPr>
                <w:rFonts w:ascii="Times New Roman" w:hAnsi="Times New Roman" w:cs="Times New Roman"/>
                <w:sz w:val="24"/>
                <w:szCs w:val="24"/>
              </w:rPr>
              <w:t>Ievērojot to, ka padomes mērķi un funkcijas saskaņā ar Noteikumu 1. un 2.</w:t>
            </w:r>
            <w:r w:rsidR="00954A9E">
              <w:rPr>
                <w:rFonts w:ascii="Times New Roman" w:hAnsi="Times New Roman" w:cs="Times New Roman"/>
                <w:sz w:val="24"/>
                <w:szCs w:val="24"/>
              </w:rPr>
              <w:t> </w:t>
            </w:r>
            <w:r w:rsidR="00016D7C">
              <w:rPr>
                <w:rFonts w:ascii="Times New Roman" w:hAnsi="Times New Roman" w:cs="Times New Roman"/>
                <w:sz w:val="24"/>
                <w:szCs w:val="24"/>
              </w:rPr>
              <w:t xml:space="preserve">punktu nav tikai koordinējošas, Noteikumu projekts paredz Noteikumu </w:t>
            </w:r>
            <w:r w:rsidR="00016D7C" w:rsidRPr="00016D7C">
              <w:rPr>
                <w:rFonts w:ascii="Times New Roman" w:hAnsi="Times New Roman" w:cs="Times New Roman"/>
                <w:sz w:val="24"/>
                <w:szCs w:val="24"/>
              </w:rPr>
              <w:t>1.</w:t>
            </w:r>
            <w:r w:rsidR="00954A9E">
              <w:rPr>
                <w:rFonts w:ascii="Times New Roman" w:hAnsi="Times New Roman" w:cs="Times New Roman"/>
                <w:sz w:val="24"/>
                <w:szCs w:val="24"/>
              </w:rPr>
              <w:t> </w:t>
            </w:r>
            <w:r w:rsidR="00016D7C" w:rsidRPr="00016D7C">
              <w:rPr>
                <w:rFonts w:ascii="Times New Roman" w:hAnsi="Times New Roman" w:cs="Times New Roman"/>
                <w:sz w:val="24"/>
                <w:szCs w:val="24"/>
              </w:rPr>
              <w:t xml:space="preserve">punktā vārdu "koordinējoša" </w:t>
            </w:r>
            <w:r w:rsidR="00016D7C">
              <w:rPr>
                <w:rFonts w:ascii="Times New Roman" w:hAnsi="Times New Roman" w:cs="Times New Roman"/>
                <w:sz w:val="24"/>
                <w:szCs w:val="24"/>
              </w:rPr>
              <w:t xml:space="preserve">aizstāt </w:t>
            </w:r>
            <w:r w:rsidR="00016D7C" w:rsidRPr="00016D7C">
              <w:rPr>
                <w:rFonts w:ascii="Times New Roman" w:hAnsi="Times New Roman" w:cs="Times New Roman"/>
                <w:sz w:val="24"/>
                <w:szCs w:val="24"/>
              </w:rPr>
              <w:t>ar vārdu "koleģiāla"</w:t>
            </w:r>
            <w:r w:rsidR="00016D7C">
              <w:rPr>
                <w:rFonts w:ascii="Times New Roman" w:hAnsi="Times New Roman" w:cs="Times New Roman"/>
                <w:sz w:val="24"/>
                <w:szCs w:val="24"/>
              </w:rPr>
              <w:t>, jo atbilstoši Noteikumu 5.</w:t>
            </w:r>
            <w:r w:rsidR="00954A9E">
              <w:rPr>
                <w:rFonts w:ascii="Times New Roman" w:hAnsi="Times New Roman" w:cs="Times New Roman"/>
                <w:sz w:val="24"/>
                <w:szCs w:val="24"/>
              </w:rPr>
              <w:t> </w:t>
            </w:r>
            <w:r w:rsidR="00016D7C">
              <w:rPr>
                <w:rFonts w:ascii="Times New Roman" w:hAnsi="Times New Roman" w:cs="Times New Roman"/>
                <w:sz w:val="24"/>
                <w:szCs w:val="24"/>
              </w:rPr>
              <w:t>punktam padome ir koleģiāla institūcija.</w:t>
            </w:r>
          </w:p>
          <w:p w14:paraId="7A7A396B" w14:textId="77777777" w:rsidR="00016D7C" w:rsidRDefault="00016D7C" w:rsidP="004D29FE">
            <w:pPr>
              <w:spacing w:after="0" w:line="240" w:lineRule="auto"/>
              <w:ind w:firstLine="383"/>
              <w:jc w:val="both"/>
              <w:rPr>
                <w:rFonts w:ascii="Times New Roman" w:hAnsi="Times New Roman" w:cs="Times New Roman"/>
                <w:sz w:val="24"/>
                <w:szCs w:val="24"/>
              </w:rPr>
            </w:pPr>
          </w:p>
          <w:p w14:paraId="3DF9A533" w14:textId="68DE7094" w:rsidR="00016D7C" w:rsidRDefault="00BD512A" w:rsidP="00BD512A">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projekts paredz p</w:t>
            </w:r>
            <w:r w:rsidRPr="00BD512A">
              <w:rPr>
                <w:rFonts w:ascii="Times New Roman" w:hAnsi="Times New Roman" w:cs="Times New Roman"/>
                <w:sz w:val="24"/>
                <w:szCs w:val="24"/>
              </w:rPr>
              <w:t xml:space="preserve">apildināt </w:t>
            </w:r>
            <w:r>
              <w:rPr>
                <w:rFonts w:ascii="Times New Roman" w:hAnsi="Times New Roman" w:cs="Times New Roman"/>
                <w:sz w:val="24"/>
                <w:szCs w:val="24"/>
              </w:rPr>
              <w:t>Noteikumu</w:t>
            </w:r>
            <w:r w:rsidR="00AB200E">
              <w:rPr>
                <w:rFonts w:ascii="Times New Roman" w:hAnsi="Times New Roman" w:cs="Times New Roman"/>
                <w:sz w:val="24"/>
                <w:szCs w:val="24"/>
              </w:rPr>
              <w:t xml:space="preserve">s </w:t>
            </w:r>
            <w:r>
              <w:rPr>
                <w:rFonts w:ascii="Times New Roman" w:hAnsi="Times New Roman" w:cs="Times New Roman"/>
                <w:sz w:val="24"/>
                <w:szCs w:val="24"/>
              </w:rPr>
              <w:t>ar 2.7.</w:t>
            </w:r>
            <w:r w:rsidR="00954A9E">
              <w:rPr>
                <w:rFonts w:ascii="Times New Roman" w:hAnsi="Times New Roman" w:cs="Times New Roman"/>
                <w:sz w:val="24"/>
                <w:szCs w:val="24"/>
              </w:rPr>
              <w:t> </w:t>
            </w:r>
            <w:r>
              <w:rPr>
                <w:rFonts w:ascii="Times New Roman" w:hAnsi="Times New Roman" w:cs="Times New Roman"/>
                <w:sz w:val="24"/>
                <w:szCs w:val="24"/>
              </w:rPr>
              <w:t xml:space="preserve">apakšpunktu, nosakot padomei funkciju </w:t>
            </w:r>
            <w:r w:rsidRPr="00BD512A">
              <w:rPr>
                <w:rFonts w:ascii="Times New Roman" w:hAnsi="Times New Roman" w:cs="Times New Roman"/>
                <w:sz w:val="24"/>
                <w:szCs w:val="24"/>
              </w:rPr>
              <w:t xml:space="preserve">lemt par Tieslietu ministrijas </w:t>
            </w:r>
            <w:r w:rsidR="001B10F6">
              <w:rPr>
                <w:rFonts w:ascii="Times New Roman" w:hAnsi="Times New Roman" w:cs="Times New Roman"/>
                <w:sz w:val="24"/>
                <w:szCs w:val="24"/>
              </w:rPr>
              <w:t>pamat</w:t>
            </w:r>
            <w:r w:rsidRPr="00BD512A">
              <w:rPr>
                <w:rFonts w:ascii="Times New Roman" w:hAnsi="Times New Roman" w:cs="Times New Roman"/>
                <w:sz w:val="24"/>
                <w:szCs w:val="24"/>
              </w:rPr>
              <w:t xml:space="preserve">budžeta programmas </w:t>
            </w:r>
            <w:r w:rsidR="00954A9E">
              <w:rPr>
                <w:rFonts w:ascii="Times New Roman" w:hAnsi="Times New Roman" w:cs="Times New Roman"/>
                <w:sz w:val="24"/>
                <w:szCs w:val="24"/>
              </w:rPr>
              <w:t>"</w:t>
            </w:r>
            <w:r w:rsidRPr="00BD512A">
              <w:rPr>
                <w:rFonts w:ascii="Times New Roman" w:hAnsi="Times New Roman" w:cs="Times New Roman"/>
                <w:sz w:val="24"/>
                <w:szCs w:val="24"/>
              </w:rPr>
              <w:t>Noziedzīgi iegūtu līdzekļu konfiskācijas fonds</w:t>
            </w:r>
            <w:r w:rsidR="00954A9E">
              <w:rPr>
                <w:rFonts w:ascii="Times New Roman" w:hAnsi="Times New Roman" w:cs="Times New Roman"/>
                <w:sz w:val="24"/>
                <w:szCs w:val="24"/>
              </w:rPr>
              <w:t>"</w:t>
            </w:r>
            <w:r w:rsidRPr="00BD512A">
              <w:rPr>
                <w:rFonts w:ascii="Times New Roman" w:hAnsi="Times New Roman" w:cs="Times New Roman"/>
                <w:sz w:val="24"/>
                <w:szCs w:val="24"/>
              </w:rPr>
              <w:t xml:space="preserve"> līdzekļu </w:t>
            </w:r>
            <w:r w:rsidR="00C62DCC" w:rsidRPr="00BD512A">
              <w:rPr>
                <w:rFonts w:ascii="Times New Roman" w:hAnsi="Times New Roman" w:cs="Times New Roman"/>
                <w:sz w:val="24"/>
                <w:szCs w:val="24"/>
              </w:rPr>
              <w:t>s</w:t>
            </w:r>
            <w:r w:rsidR="00C62DCC">
              <w:rPr>
                <w:rFonts w:ascii="Times New Roman" w:hAnsi="Times New Roman" w:cs="Times New Roman"/>
                <w:sz w:val="24"/>
                <w:szCs w:val="24"/>
              </w:rPr>
              <w:t>adali</w:t>
            </w:r>
            <w:r w:rsidRPr="00877049">
              <w:rPr>
                <w:rFonts w:ascii="Times New Roman" w:hAnsi="Times New Roman" w:cs="Times New Roman"/>
                <w:sz w:val="24"/>
                <w:szCs w:val="24"/>
              </w:rPr>
              <w:t xml:space="preserve">. Tas, ka padomei ir nododama šāda funkcija, tika </w:t>
            </w:r>
            <w:r w:rsidR="00EA0F3C" w:rsidRPr="00877049">
              <w:rPr>
                <w:rFonts w:ascii="Times New Roman" w:hAnsi="Times New Roman" w:cs="Times New Roman"/>
                <w:sz w:val="24"/>
                <w:szCs w:val="24"/>
              </w:rPr>
              <w:t xml:space="preserve">noteikts </w:t>
            </w:r>
            <w:r w:rsidR="009E0DB7" w:rsidRPr="00877049">
              <w:rPr>
                <w:rFonts w:ascii="Times New Roman" w:hAnsi="Times New Roman" w:cs="Times New Roman"/>
                <w:sz w:val="24"/>
                <w:szCs w:val="24"/>
              </w:rPr>
              <w:t xml:space="preserve">ar </w:t>
            </w:r>
            <w:proofErr w:type="spellStart"/>
            <w:r w:rsidR="00EA0F3C" w:rsidRPr="00877049">
              <w:rPr>
                <w:rFonts w:ascii="Times New Roman" w:hAnsi="Times New Roman" w:cs="Times New Roman"/>
                <w:sz w:val="24"/>
                <w:szCs w:val="24"/>
              </w:rPr>
              <w:t>Protokollēmuma</w:t>
            </w:r>
            <w:proofErr w:type="spellEnd"/>
            <w:r w:rsidR="00A04A65" w:rsidRPr="00877049">
              <w:rPr>
                <w:rFonts w:ascii="Times New Roman" w:hAnsi="Times New Roman" w:cs="Times New Roman"/>
                <w:sz w:val="24"/>
                <w:szCs w:val="24"/>
              </w:rPr>
              <w:t xml:space="preserve"> 2.</w:t>
            </w:r>
            <w:r w:rsidR="00954A9E">
              <w:rPr>
                <w:rFonts w:ascii="Times New Roman" w:hAnsi="Times New Roman" w:cs="Times New Roman"/>
                <w:sz w:val="24"/>
                <w:szCs w:val="24"/>
              </w:rPr>
              <w:t> </w:t>
            </w:r>
            <w:r w:rsidR="00A04A65" w:rsidRPr="00877049">
              <w:rPr>
                <w:rFonts w:ascii="Times New Roman" w:hAnsi="Times New Roman" w:cs="Times New Roman"/>
                <w:sz w:val="24"/>
                <w:szCs w:val="24"/>
              </w:rPr>
              <w:t xml:space="preserve">punktu, </w:t>
            </w:r>
            <w:r w:rsidR="00EA0F3C" w:rsidRPr="00877049">
              <w:rPr>
                <w:rFonts w:ascii="Times New Roman" w:hAnsi="Times New Roman" w:cs="Times New Roman"/>
                <w:sz w:val="24"/>
                <w:szCs w:val="24"/>
              </w:rPr>
              <w:t>ar kuru tika atbalstīts informatīvajā ziņojumā plānotais mehānism</w:t>
            </w:r>
            <w:r w:rsidR="00877049" w:rsidRPr="00877049">
              <w:rPr>
                <w:rFonts w:ascii="Times New Roman" w:hAnsi="Times New Roman" w:cs="Times New Roman"/>
                <w:sz w:val="24"/>
                <w:szCs w:val="24"/>
              </w:rPr>
              <w:t>s</w:t>
            </w:r>
            <w:r w:rsidR="00EA0F3C" w:rsidRPr="00877049">
              <w:rPr>
                <w:rFonts w:ascii="Times New Roman" w:hAnsi="Times New Roman" w:cs="Times New Roman"/>
                <w:sz w:val="24"/>
                <w:szCs w:val="24"/>
              </w:rPr>
              <w:t xml:space="preserve"> konfiscēto noziedzīgi iegūto līdzekļu izmantošanai un tā administrēšanai. Atbilstoši informatīvajā ziņojum</w:t>
            </w:r>
            <w:r w:rsidR="00EF0022" w:rsidRPr="00877049">
              <w:rPr>
                <w:rFonts w:ascii="Times New Roman" w:hAnsi="Times New Roman" w:cs="Times New Roman"/>
                <w:sz w:val="24"/>
                <w:szCs w:val="24"/>
              </w:rPr>
              <w:t>ā paredzētajam</w:t>
            </w:r>
            <w:r w:rsidR="00877049" w:rsidRPr="00877049">
              <w:rPr>
                <w:rFonts w:ascii="Times New Roman" w:hAnsi="Times New Roman" w:cs="Times New Roman"/>
                <w:sz w:val="24"/>
                <w:szCs w:val="24"/>
              </w:rPr>
              <w:t xml:space="preserve"> -</w:t>
            </w:r>
            <w:r w:rsidR="00EF0022" w:rsidRPr="00877049">
              <w:rPr>
                <w:rFonts w:ascii="Times New Roman" w:hAnsi="Times New Roman" w:cs="Times New Roman"/>
                <w:sz w:val="24"/>
                <w:szCs w:val="24"/>
              </w:rPr>
              <w:t xml:space="preserve"> </w:t>
            </w:r>
            <w:r w:rsidR="00EA0F3C" w:rsidRPr="00877049">
              <w:rPr>
                <w:rFonts w:ascii="Times New Roman" w:hAnsi="Times New Roman" w:cs="Times New Roman"/>
                <w:sz w:val="24"/>
                <w:szCs w:val="24"/>
              </w:rPr>
              <w:t>padomes locekļi politiskā līmenī izlems par saņemto līdzekļu izlietojumu konkrētiem mērķiem un pasākumiem, un to sadali starp iesaistītajām</w:t>
            </w:r>
            <w:r w:rsidR="00EA0F3C" w:rsidRPr="00EA0F3C">
              <w:rPr>
                <w:rFonts w:ascii="Times New Roman" w:hAnsi="Times New Roman" w:cs="Times New Roman"/>
                <w:sz w:val="24"/>
                <w:szCs w:val="24"/>
              </w:rPr>
              <w:t xml:space="preserve"> institūcijām. </w:t>
            </w:r>
          </w:p>
          <w:p w14:paraId="2D435B96" w14:textId="02DC7B55" w:rsidR="00401260" w:rsidRDefault="00401260" w:rsidP="002D36A3">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lastRenderedPageBreak/>
              <w:t>Noteikumu projekts paredz no Noteikum</w:t>
            </w:r>
            <w:r w:rsidR="00AB200E">
              <w:rPr>
                <w:rFonts w:ascii="Times New Roman" w:hAnsi="Times New Roman" w:cs="Times New Roman"/>
                <w:sz w:val="24"/>
                <w:szCs w:val="24"/>
              </w:rPr>
              <w:t>iem</w:t>
            </w:r>
            <w:r>
              <w:rPr>
                <w:rFonts w:ascii="Times New Roman" w:hAnsi="Times New Roman" w:cs="Times New Roman"/>
                <w:sz w:val="24"/>
                <w:szCs w:val="24"/>
              </w:rPr>
              <w:t xml:space="preserve"> </w:t>
            </w:r>
            <w:r w:rsidR="00AB200E">
              <w:rPr>
                <w:rFonts w:ascii="Times New Roman" w:hAnsi="Times New Roman" w:cs="Times New Roman"/>
                <w:sz w:val="24"/>
                <w:szCs w:val="24"/>
              </w:rPr>
              <w:t>svītrot</w:t>
            </w:r>
            <w:r>
              <w:rPr>
                <w:rFonts w:ascii="Times New Roman" w:hAnsi="Times New Roman" w:cs="Times New Roman"/>
                <w:sz w:val="24"/>
                <w:szCs w:val="24"/>
              </w:rPr>
              <w:t xml:space="preserve"> </w:t>
            </w:r>
            <w:r w:rsidRPr="00401260">
              <w:rPr>
                <w:rFonts w:ascii="Times New Roman" w:hAnsi="Times New Roman" w:cs="Times New Roman"/>
                <w:sz w:val="24"/>
                <w:szCs w:val="24"/>
              </w:rPr>
              <w:t>4.6.</w:t>
            </w:r>
            <w:r w:rsidR="00AB200E">
              <w:rPr>
                <w:rFonts w:ascii="Times New Roman" w:hAnsi="Times New Roman" w:cs="Times New Roman"/>
                <w:sz w:val="24"/>
                <w:szCs w:val="24"/>
              </w:rPr>
              <w:t> </w:t>
            </w:r>
            <w:r w:rsidRPr="00401260">
              <w:rPr>
                <w:rFonts w:ascii="Times New Roman" w:hAnsi="Times New Roman" w:cs="Times New Roman"/>
                <w:sz w:val="24"/>
                <w:szCs w:val="24"/>
              </w:rPr>
              <w:t>apakšpunkt</w:t>
            </w:r>
            <w:r>
              <w:rPr>
                <w:rFonts w:ascii="Times New Roman" w:hAnsi="Times New Roman" w:cs="Times New Roman"/>
                <w:sz w:val="24"/>
                <w:szCs w:val="24"/>
              </w:rPr>
              <w:t xml:space="preserve">u, kurā noteikts, ka, </w:t>
            </w:r>
            <w:r w:rsidRPr="00401260">
              <w:rPr>
                <w:rFonts w:ascii="Times New Roman" w:hAnsi="Times New Roman" w:cs="Times New Roman"/>
                <w:sz w:val="24"/>
                <w:szCs w:val="24"/>
              </w:rPr>
              <w:t xml:space="preserve">lai koordinētu Latvijas tiesībaizsardzības iestāžu darbību cīņā pret noziedzību (īpaši </w:t>
            </w:r>
            <w:r w:rsidR="000D13DE">
              <w:rPr>
                <w:rFonts w:ascii="Times New Roman" w:hAnsi="Times New Roman" w:cs="Times New Roman"/>
                <w:sz w:val="24"/>
                <w:szCs w:val="24"/>
              </w:rPr>
              <w:t>–</w:t>
            </w:r>
            <w:r w:rsidR="000D13DE" w:rsidRPr="00401260">
              <w:rPr>
                <w:rFonts w:ascii="Times New Roman" w:hAnsi="Times New Roman" w:cs="Times New Roman"/>
                <w:sz w:val="24"/>
                <w:szCs w:val="24"/>
              </w:rPr>
              <w:t xml:space="preserve"> </w:t>
            </w:r>
            <w:r w:rsidRPr="00401260">
              <w:rPr>
                <w:rFonts w:ascii="Times New Roman" w:hAnsi="Times New Roman" w:cs="Times New Roman"/>
                <w:sz w:val="24"/>
                <w:szCs w:val="24"/>
              </w:rPr>
              <w:t xml:space="preserve">korupciju un organizēto noziedzību), </w:t>
            </w:r>
            <w:r>
              <w:rPr>
                <w:rFonts w:ascii="Times New Roman" w:hAnsi="Times New Roman" w:cs="Times New Roman"/>
                <w:sz w:val="24"/>
                <w:szCs w:val="24"/>
              </w:rPr>
              <w:t xml:space="preserve">padome var </w:t>
            </w:r>
            <w:r w:rsidRPr="00401260">
              <w:rPr>
                <w:rFonts w:ascii="Times New Roman" w:hAnsi="Times New Roman" w:cs="Times New Roman"/>
                <w:sz w:val="24"/>
                <w:szCs w:val="24"/>
              </w:rPr>
              <w:t>veidot pastāvīgi darbojošās starpinstitūciju darba grupas.</w:t>
            </w:r>
            <w:r w:rsidR="002D36A3">
              <w:rPr>
                <w:rFonts w:ascii="Times New Roman" w:hAnsi="Times New Roman" w:cs="Times New Roman"/>
                <w:sz w:val="24"/>
                <w:szCs w:val="24"/>
              </w:rPr>
              <w:t xml:space="preserve"> Minētās normas izslēgšana ir nepieciešama, jo d</w:t>
            </w:r>
            <w:r w:rsidR="002D36A3" w:rsidRPr="002D36A3">
              <w:rPr>
                <w:rFonts w:ascii="Times New Roman" w:hAnsi="Times New Roman" w:cs="Times New Roman"/>
                <w:sz w:val="24"/>
                <w:szCs w:val="24"/>
              </w:rPr>
              <w:t xml:space="preserve">arba grupas valsts pārvaldē </w:t>
            </w:r>
            <w:r w:rsidR="002D36A3">
              <w:rPr>
                <w:rFonts w:ascii="Times New Roman" w:hAnsi="Times New Roman" w:cs="Times New Roman"/>
                <w:sz w:val="24"/>
                <w:szCs w:val="24"/>
              </w:rPr>
              <w:t>parasti</w:t>
            </w:r>
            <w:r w:rsidR="002D36A3" w:rsidRPr="002D36A3">
              <w:rPr>
                <w:rFonts w:ascii="Times New Roman" w:hAnsi="Times New Roman" w:cs="Times New Roman"/>
                <w:sz w:val="24"/>
                <w:szCs w:val="24"/>
              </w:rPr>
              <w:t xml:space="preserve"> izveido Ministru kabinets </w:t>
            </w:r>
            <w:r w:rsidR="002D36A3">
              <w:rPr>
                <w:rFonts w:ascii="Times New Roman" w:hAnsi="Times New Roman" w:cs="Times New Roman"/>
                <w:sz w:val="24"/>
                <w:szCs w:val="24"/>
              </w:rPr>
              <w:t>vai</w:t>
            </w:r>
            <w:r w:rsidR="002D36A3" w:rsidRPr="002D36A3">
              <w:rPr>
                <w:rFonts w:ascii="Times New Roman" w:hAnsi="Times New Roman" w:cs="Times New Roman"/>
                <w:sz w:val="24"/>
                <w:szCs w:val="24"/>
              </w:rPr>
              <w:t xml:space="preserve"> </w:t>
            </w:r>
            <w:r w:rsidR="002D36A3">
              <w:rPr>
                <w:rFonts w:ascii="Times New Roman" w:hAnsi="Times New Roman" w:cs="Times New Roman"/>
                <w:sz w:val="24"/>
                <w:szCs w:val="24"/>
              </w:rPr>
              <w:t>ministrijas. Padomei savas darbības ietvaros nav jāveido darba grupas, bet tā var uzdot, kādai no valsts pārvaldes institūcijām izveidot attiecīgu darba grupu.</w:t>
            </w:r>
          </w:p>
          <w:p w14:paraId="0C1D5CF7" w14:textId="77777777" w:rsidR="004E41F3" w:rsidRDefault="004E41F3" w:rsidP="002D36A3">
            <w:pPr>
              <w:spacing w:after="0" w:line="240" w:lineRule="auto"/>
              <w:ind w:firstLine="383"/>
              <w:jc w:val="both"/>
              <w:rPr>
                <w:rFonts w:ascii="Times New Roman" w:hAnsi="Times New Roman" w:cs="Times New Roman"/>
                <w:sz w:val="24"/>
                <w:szCs w:val="24"/>
              </w:rPr>
            </w:pPr>
          </w:p>
          <w:p w14:paraId="09FECFB2" w14:textId="30DE22A9" w:rsidR="009E0E46" w:rsidRDefault="00255B1A" w:rsidP="009E0E46">
            <w:pPr>
              <w:spacing w:after="0" w:line="240" w:lineRule="auto"/>
              <w:ind w:firstLine="383"/>
              <w:jc w:val="both"/>
              <w:rPr>
                <w:rFonts w:ascii="Times New Roman" w:hAnsi="Times New Roman" w:cs="Times New Roman"/>
                <w:sz w:val="24"/>
                <w:szCs w:val="24"/>
              </w:rPr>
            </w:pPr>
            <w:r w:rsidRPr="00877049">
              <w:rPr>
                <w:rFonts w:ascii="Times New Roman" w:hAnsi="Times New Roman" w:cs="Times New Roman"/>
                <w:sz w:val="24"/>
                <w:szCs w:val="24"/>
              </w:rPr>
              <w:t>S</w:t>
            </w:r>
            <w:r w:rsidR="004E41F3" w:rsidRPr="00877049">
              <w:rPr>
                <w:rFonts w:ascii="Times New Roman" w:hAnsi="Times New Roman" w:cs="Times New Roman"/>
                <w:sz w:val="24"/>
                <w:szCs w:val="24"/>
              </w:rPr>
              <w:t>askaņā ar Minist</w:t>
            </w:r>
            <w:r w:rsidR="00E7297F" w:rsidRPr="00877049">
              <w:rPr>
                <w:rFonts w:ascii="Times New Roman" w:hAnsi="Times New Roman" w:cs="Times New Roman"/>
                <w:sz w:val="24"/>
                <w:szCs w:val="24"/>
              </w:rPr>
              <w:t>r</w:t>
            </w:r>
            <w:r w:rsidR="004E41F3" w:rsidRPr="00877049">
              <w:rPr>
                <w:rFonts w:ascii="Times New Roman" w:hAnsi="Times New Roman" w:cs="Times New Roman"/>
                <w:sz w:val="24"/>
                <w:szCs w:val="24"/>
              </w:rPr>
              <w:t>u kabineta n</w:t>
            </w:r>
            <w:r w:rsidR="005F3BBF" w:rsidRPr="00877049">
              <w:rPr>
                <w:rFonts w:ascii="Times New Roman" w:hAnsi="Times New Roman" w:cs="Times New Roman"/>
                <w:sz w:val="24"/>
                <w:szCs w:val="24"/>
              </w:rPr>
              <w:t>oteikumu projekt</w:t>
            </w:r>
            <w:r w:rsidRPr="00877049">
              <w:rPr>
                <w:rFonts w:ascii="Times New Roman" w:hAnsi="Times New Roman" w:cs="Times New Roman"/>
                <w:sz w:val="24"/>
                <w:szCs w:val="24"/>
              </w:rPr>
              <w:t>u</w:t>
            </w:r>
            <w:r w:rsidR="005F3BBF" w:rsidRPr="00877049">
              <w:rPr>
                <w:rFonts w:ascii="Times New Roman" w:hAnsi="Times New Roman" w:cs="Times New Roman"/>
                <w:sz w:val="24"/>
                <w:szCs w:val="24"/>
              </w:rPr>
              <w:t xml:space="preserve"> "Tieslietu ministrijas </w:t>
            </w:r>
            <w:r w:rsidR="00BD1AF2">
              <w:rPr>
                <w:rFonts w:ascii="Times New Roman" w:hAnsi="Times New Roman" w:cs="Times New Roman"/>
                <w:sz w:val="24"/>
                <w:szCs w:val="24"/>
              </w:rPr>
              <w:t>pamat</w:t>
            </w:r>
            <w:r w:rsidR="005F3BBF" w:rsidRPr="00877049">
              <w:rPr>
                <w:rFonts w:ascii="Times New Roman" w:hAnsi="Times New Roman" w:cs="Times New Roman"/>
                <w:sz w:val="24"/>
                <w:szCs w:val="24"/>
              </w:rPr>
              <w:t xml:space="preserve">budžeta programmas </w:t>
            </w:r>
            <w:r w:rsidR="004361EB">
              <w:rPr>
                <w:rFonts w:ascii="Times New Roman" w:hAnsi="Times New Roman" w:cs="Times New Roman"/>
                <w:sz w:val="24"/>
                <w:szCs w:val="24"/>
              </w:rPr>
              <w:t>"</w:t>
            </w:r>
            <w:r w:rsidR="005F3BBF" w:rsidRPr="00877049">
              <w:rPr>
                <w:rFonts w:ascii="Times New Roman" w:hAnsi="Times New Roman" w:cs="Times New Roman"/>
                <w:sz w:val="24"/>
                <w:szCs w:val="24"/>
              </w:rPr>
              <w:t>Noziedzīgi iegūtu līdzekļu konfiskācijas fonds</w:t>
            </w:r>
            <w:r w:rsidR="004361EB">
              <w:rPr>
                <w:rFonts w:ascii="Times New Roman" w:hAnsi="Times New Roman" w:cs="Times New Roman"/>
                <w:sz w:val="24"/>
                <w:szCs w:val="24"/>
              </w:rPr>
              <w:t>"</w:t>
            </w:r>
            <w:r w:rsidR="005F3BBF" w:rsidRPr="00877049">
              <w:rPr>
                <w:rFonts w:ascii="Times New Roman" w:hAnsi="Times New Roman" w:cs="Times New Roman"/>
                <w:sz w:val="24"/>
                <w:szCs w:val="24"/>
              </w:rPr>
              <w:t xml:space="preserve"> finanšu līdzekļu izmantošanas kārtība"</w:t>
            </w:r>
            <w:r w:rsidR="00BD1AF2">
              <w:rPr>
                <w:rFonts w:ascii="Times New Roman" w:hAnsi="Times New Roman" w:cs="Times New Roman"/>
                <w:sz w:val="24"/>
                <w:szCs w:val="24"/>
              </w:rPr>
              <w:t xml:space="preserve"> </w:t>
            </w:r>
            <w:r w:rsidR="001B10F6">
              <w:rPr>
                <w:rFonts w:ascii="Times New Roman" w:hAnsi="Times New Roman" w:cs="Times New Roman"/>
                <w:sz w:val="24"/>
                <w:szCs w:val="24"/>
              </w:rPr>
              <w:t>(</w:t>
            </w:r>
            <w:r w:rsidR="00BD1AF2">
              <w:rPr>
                <w:rFonts w:ascii="Times New Roman" w:hAnsi="Times New Roman" w:cs="Times New Roman"/>
                <w:sz w:val="24"/>
                <w:szCs w:val="24"/>
              </w:rPr>
              <w:t>VSS-1145</w:t>
            </w:r>
            <w:r w:rsidR="001B10F6">
              <w:rPr>
                <w:rFonts w:ascii="Times New Roman" w:hAnsi="Times New Roman" w:cs="Times New Roman"/>
                <w:sz w:val="24"/>
                <w:szCs w:val="24"/>
              </w:rPr>
              <w:t>)</w:t>
            </w:r>
            <w:r w:rsidRPr="00877049">
              <w:rPr>
                <w:rFonts w:ascii="Times New Roman" w:hAnsi="Times New Roman" w:cs="Times New Roman"/>
                <w:sz w:val="24"/>
                <w:szCs w:val="24"/>
              </w:rPr>
              <w:t xml:space="preserve"> Tieslietu ministrija veiks minētās budžeta programmas koordināciju</w:t>
            </w:r>
            <w:r w:rsidR="00311B1C">
              <w:rPr>
                <w:rFonts w:ascii="Times New Roman" w:hAnsi="Times New Roman" w:cs="Times New Roman"/>
                <w:sz w:val="24"/>
                <w:szCs w:val="24"/>
              </w:rPr>
              <w:t xml:space="preserve"> un uzraudzību</w:t>
            </w:r>
            <w:r>
              <w:rPr>
                <w:rFonts w:ascii="Times New Roman" w:hAnsi="Times New Roman" w:cs="Times New Roman"/>
                <w:sz w:val="24"/>
                <w:szCs w:val="24"/>
              </w:rPr>
              <w:t>. Ievērojot minēto, Noteikumu projekts paredz Noteikumu 11. punktā noteikt tieslietu ministram tiesības sasaukt padomes</w:t>
            </w:r>
            <w:r w:rsidR="00FA6C83">
              <w:rPr>
                <w:rFonts w:ascii="Times New Roman" w:hAnsi="Times New Roman" w:cs="Times New Roman"/>
                <w:sz w:val="24"/>
                <w:szCs w:val="24"/>
              </w:rPr>
              <w:t xml:space="preserve"> sēdi, lai nodrošinātu</w:t>
            </w:r>
            <w:r>
              <w:rPr>
                <w:rFonts w:ascii="Times New Roman" w:hAnsi="Times New Roman" w:cs="Times New Roman"/>
                <w:sz w:val="24"/>
                <w:szCs w:val="24"/>
              </w:rPr>
              <w:t xml:space="preserve"> </w:t>
            </w:r>
            <w:r w:rsidR="00FA6C83">
              <w:rPr>
                <w:rFonts w:ascii="Times New Roman" w:hAnsi="Times New Roman" w:cs="Times New Roman"/>
                <w:sz w:val="24"/>
                <w:szCs w:val="24"/>
              </w:rPr>
              <w:t>N</w:t>
            </w:r>
            <w:r w:rsidRPr="00255B1A">
              <w:rPr>
                <w:rFonts w:ascii="Times New Roman" w:hAnsi="Times New Roman" w:cs="Times New Roman"/>
                <w:sz w:val="24"/>
                <w:szCs w:val="24"/>
              </w:rPr>
              <w:t>oteikumu 2.7.</w:t>
            </w:r>
            <w:r w:rsidR="004361EB">
              <w:rPr>
                <w:rFonts w:ascii="Times New Roman" w:hAnsi="Times New Roman" w:cs="Times New Roman"/>
                <w:sz w:val="24"/>
                <w:szCs w:val="24"/>
              </w:rPr>
              <w:t> apakš</w:t>
            </w:r>
            <w:r w:rsidRPr="00255B1A">
              <w:rPr>
                <w:rFonts w:ascii="Times New Roman" w:hAnsi="Times New Roman" w:cs="Times New Roman"/>
                <w:sz w:val="24"/>
                <w:szCs w:val="24"/>
              </w:rPr>
              <w:t>pun</w:t>
            </w:r>
            <w:r w:rsidR="00FA6C83">
              <w:rPr>
                <w:rFonts w:ascii="Times New Roman" w:hAnsi="Times New Roman" w:cs="Times New Roman"/>
                <w:sz w:val="24"/>
                <w:szCs w:val="24"/>
              </w:rPr>
              <w:t>ktā paredzēto funkciju izpildi, proti, lai padome iz</w:t>
            </w:r>
            <w:r w:rsidR="00FA6C83" w:rsidRPr="00FA6C83">
              <w:rPr>
                <w:rFonts w:ascii="Times New Roman" w:hAnsi="Times New Roman" w:cs="Times New Roman"/>
                <w:sz w:val="24"/>
                <w:szCs w:val="24"/>
              </w:rPr>
              <w:t>lemt</w:t>
            </w:r>
            <w:r w:rsidR="00FA6C83">
              <w:rPr>
                <w:rFonts w:ascii="Times New Roman" w:hAnsi="Times New Roman" w:cs="Times New Roman"/>
                <w:sz w:val="24"/>
                <w:szCs w:val="24"/>
              </w:rPr>
              <w:t>u</w:t>
            </w:r>
            <w:r w:rsidR="00FA6C83" w:rsidRPr="00FA6C83">
              <w:rPr>
                <w:rFonts w:ascii="Times New Roman" w:hAnsi="Times New Roman" w:cs="Times New Roman"/>
                <w:sz w:val="24"/>
                <w:szCs w:val="24"/>
              </w:rPr>
              <w:t xml:space="preserve"> par Tieslietu ministrijas </w:t>
            </w:r>
            <w:r w:rsidR="001B10F6">
              <w:rPr>
                <w:rFonts w:ascii="Times New Roman" w:hAnsi="Times New Roman" w:cs="Times New Roman"/>
                <w:sz w:val="24"/>
                <w:szCs w:val="24"/>
              </w:rPr>
              <w:t>pamat</w:t>
            </w:r>
            <w:r w:rsidR="00FA6C83" w:rsidRPr="00FA6C83">
              <w:rPr>
                <w:rFonts w:ascii="Times New Roman" w:hAnsi="Times New Roman" w:cs="Times New Roman"/>
                <w:sz w:val="24"/>
                <w:szCs w:val="24"/>
              </w:rPr>
              <w:t xml:space="preserve">budžeta programmas </w:t>
            </w:r>
            <w:r w:rsidR="00AB200E">
              <w:rPr>
                <w:rFonts w:ascii="Times New Roman" w:hAnsi="Times New Roman" w:cs="Times New Roman"/>
                <w:sz w:val="24"/>
                <w:szCs w:val="24"/>
              </w:rPr>
              <w:t>"</w:t>
            </w:r>
            <w:r w:rsidR="00FA6C83" w:rsidRPr="00FA6C83">
              <w:rPr>
                <w:rFonts w:ascii="Times New Roman" w:hAnsi="Times New Roman" w:cs="Times New Roman"/>
                <w:sz w:val="24"/>
                <w:szCs w:val="24"/>
              </w:rPr>
              <w:t>Noziedzīgi iegūtu līdzekļu konfiskācijas fonds</w:t>
            </w:r>
            <w:r w:rsidR="00AB200E">
              <w:rPr>
                <w:rFonts w:ascii="Times New Roman" w:hAnsi="Times New Roman" w:cs="Times New Roman"/>
                <w:sz w:val="24"/>
                <w:szCs w:val="24"/>
              </w:rPr>
              <w:t>"</w:t>
            </w:r>
            <w:r w:rsidR="00FA6C83" w:rsidRPr="00FA6C83">
              <w:rPr>
                <w:rFonts w:ascii="Times New Roman" w:hAnsi="Times New Roman" w:cs="Times New Roman"/>
                <w:sz w:val="24"/>
                <w:szCs w:val="24"/>
              </w:rPr>
              <w:t xml:space="preserve"> līdzekļu </w:t>
            </w:r>
            <w:r w:rsidR="00C62DCC" w:rsidRPr="00FA6C83">
              <w:rPr>
                <w:rFonts w:ascii="Times New Roman" w:hAnsi="Times New Roman" w:cs="Times New Roman"/>
                <w:sz w:val="24"/>
                <w:szCs w:val="24"/>
              </w:rPr>
              <w:t>sadal</w:t>
            </w:r>
            <w:r w:rsidR="00C62DCC">
              <w:rPr>
                <w:rFonts w:ascii="Times New Roman" w:hAnsi="Times New Roman" w:cs="Times New Roman"/>
                <w:sz w:val="24"/>
                <w:szCs w:val="24"/>
              </w:rPr>
              <w:t>i</w:t>
            </w:r>
            <w:r w:rsidR="00FA6C83">
              <w:rPr>
                <w:rFonts w:ascii="Times New Roman" w:hAnsi="Times New Roman" w:cs="Times New Roman"/>
                <w:sz w:val="24"/>
                <w:szCs w:val="24"/>
              </w:rPr>
              <w:t>.</w:t>
            </w:r>
          </w:p>
          <w:p w14:paraId="37B67732" w14:textId="77777777" w:rsidR="009E0E46" w:rsidRDefault="009E0E46" w:rsidP="009E0E46">
            <w:pPr>
              <w:spacing w:after="0" w:line="240" w:lineRule="auto"/>
              <w:ind w:firstLine="383"/>
              <w:jc w:val="both"/>
              <w:rPr>
                <w:rFonts w:ascii="Times New Roman" w:eastAsia="Times New Roman" w:hAnsi="Times New Roman" w:cs="Times New Roman"/>
                <w:sz w:val="24"/>
                <w:szCs w:val="24"/>
                <w:u w:val="single"/>
                <w:lang w:eastAsia="lv-LV"/>
              </w:rPr>
            </w:pPr>
          </w:p>
          <w:p w14:paraId="334722E8" w14:textId="0D584C4E" w:rsidR="00CB756C" w:rsidRPr="00292DA5" w:rsidRDefault="009E0E46" w:rsidP="009E0E46">
            <w:pPr>
              <w:spacing w:after="0" w:line="240" w:lineRule="auto"/>
              <w:ind w:firstLine="383"/>
              <w:jc w:val="both"/>
              <w:rPr>
                <w:rFonts w:ascii="Times New Roman" w:hAnsi="Times New Roman" w:cs="Times New Roman"/>
                <w:sz w:val="24"/>
                <w:szCs w:val="24"/>
              </w:rPr>
            </w:pPr>
            <w:r w:rsidRPr="00292DA5">
              <w:rPr>
                <w:rFonts w:ascii="Times New Roman" w:eastAsia="Times New Roman" w:hAnsi="Times New Roman" w:cs="Times New Roman"/>
                <w:sz w:val="24"/>
                <w:szCs w:val="24"/>
                <w:lang w:eastAsia="lv-LV"/>
              </w:rPr>
              <w:t xml:space="preserve">Atbilstoši Valsts kontroles likumā noteiktajam Valsts kontrolei kā augstākajai revīzijas (audita) iestādei ir kompetence pārbaudīt rīcību ar valsts budžeta līdzekļiem un sniegt viedokli par līdzekļu izlietojuma tiesiskumu, pareizību, ekonomiskumu un efektivitāti. Ņemot vērā Valsts kontroles darbības ietvaru, Valsts kontroles dalība lēmuma pieņemšanā par Tieslietu ministrijas </w:t>
            </w:r>
            <w:r w:rsidR="001B10F6">
              <w:rPr>
                <w:rFonts w:ascii="Times New Roman" w:eastAsia="Times New Roman" w:hAnsi="Times New Roman" w:cs="Times New Roman"/>
                <w:sz w:val="24"/>
                <w:szCs w:val="24"/>
                <w:lang w:eastAsia="lv-LV"/>
              </w:rPr>
              <w:t>pamat</w:t>
            </w:r>
            <w:r w:rsidRPr="00292DA5">
              <w:rPr>
                <w:rFonts w:ascii="Times New Roman" w:eastAsia="Times New Roman" w:hAnsi="Times New Roman" w:cs="Times New Roman"/>
                <w:sz w:val="24"/>
                <w:szCs w:val="24"/>
                <w:lang w:eastAsia="lv-LV"/>
              </w:rPr>
              <w:t xml:space="preserve">budžeta programmas </w:t>
            </w:r>
            <w:r w:rsidR="00C700E7">
              <w:rPr>
                <w:rFonts w:ascii="Times New Roman" w:eastAsia="Times New Roman" w:hAnsi="Times New Roman" w:cs="Times New Roman"/>
                <w:sz w:val="24"/>
                <w:szCs w:val="24"/>
                <w:lang w:eastAsia="lv-LV"/>
              </w:rPr>
              <w:t>"</w:t>
            </w:r>
            <w:r w:rsidRPr="00292DA5">
              <w:rPr>
                <w:rFonts w:ascii="Times New Roman" w:eastAsia="Times New Roman" w:hAnsi="Times New Roman" w:cs="Times New Roman"/>
                <w:sz w:val="24"/>
                <w:szCs w:val="24"/>
                <w:lang w:eastAsia="lv-LV"/>
              </w:rPr>
              <w:t>Noziedzīgi iegūtu līdzekļu konfiskācijas fonds</w:t>
            </w:r>
            <w:r w:rsidR="00C700E7">
              <w:rPr>
                <w:rFonts w:ascii="Times New Roman" w:eastAsia="Times New Roman" w:hAnsi="Times New Roman" w:cs="Times New Roman"/>
                <w:sz w:val="24"/>
                <w:szCs w:val="24"/>
                <w:lang w:eastAsia="lv-LV"/>
              </w:rPr>
              <w:t>"</w:t>
            </w:r>
            <w:r w:rsidRPr="00292DA5">
              <w:rPr>
                <w:rFonts w:ascii="Times New Roman" w:eastAsia="Times New Roman" w:hAnsi="Times New Roman" w:cs="Times New Roman"/>
                <w:sz w:val="24"/>
                <w:szCs w:val="24"/>
                <w:lang w:eastAsia="lv-LV"/>
              </w:rPr>
              <w:t xml:space="preserve"> līdzekļu sadali nav pieļaujama. Ievērojot minēto, </w:t>
            </w:r>
            <w:r w:rsidRPr="00292DA5">
              <w:rPr>
                <w:rFonts w:ascii="Times New Roman" w:hAnsi="Times New Roman" w:cs="Times New Roman"/>
                <w:sz w:val="24"/>
                <w:szCs w:val="24"/>
              </w:rPr>
              <w:t xml:space="preserve">Noteikumu projekts paredz Noteikumu 9. punktā noteikt, ka </w:t>
            </w:r>
            <w:r w:rsidRPr="00292DA5">
              <w:rPr>
                <w:rFonts w:ascii="Times New Roman" w:eastAsia="Times New Roman" w:hAnsi="Times New Roman" w:cs="Times New Roman"/>
                <w:sz w:val="24"/>
                <w:szCs w:val="24"/>
                <w:lang w:eastAsia="lv-LV"/>
              </w:rPr>
              <w:t xml:space="preserve">valsts kontrolieris nepiedalās lēmuma par Tieslietu ministrijas </w:t>
            </w:r>
            <w:r w:rsidR="001B10F6">
              <w:rPr>
                <w:rFonts w:ascii="Times New Roman" w:eastAsia="Times New Roman" w:hAnsi="Times New Roman" w:cs="Times New Roman"/>
                <w:sz w:val="24"/>
                <w:szCs w:val="24"/>
                <w:lang w:eastAsia="lv-LV"/>
              </w:rPr>
              <w:t>pamat</w:t>
            </w:r>
            <w:r w:rsidRPr="00292DA5">
              <w:rPr>
                <w:rFonts w:ascii="Times New Roman" w:eastAsia="Times New Roman" w:hAnsi="Times New Roman" w:cs="Times New Roman"/>
                <w:sz w:val="24"/>
                <w:szCs w:val="24"/>
                <w:lang w:eastAsia="lv-LV"/>
              </w:rPr>
              <w:t xml:space="preserve">budžeta programmas </w:t>
            </w:r>
            <w:r w:rsidR="00C700E7">
              <w:rPr>
                <w:rFonts w:ascii="Times New Roman" w:eastAsia="Times New Roman" w:hAnsi="Times New Roman" w:cs="Times New Roman"/>
                <w:sz w:val="24"/>
                <w:szCs w:val="24"/>
                <w:lang w:eastAsia="lv-LV"/>
              </w:rPr>
              <w:t>"</w:t>
            </w:r>
            <w:r w:rsidRPr="00292DA5">
              <w:rPr>
                <w:rFonts w:ascii="Times New Roman" w:eastAsia="Times New Roman" w:hAnsi="Times New Roman" w:cs="Times New Roman"/>
                <w:sz w:val="24"/>
                <w:szCs w:val="24"/>
                <w:lang w:eastAsia="lv-LV"/>
              </w:rPr>
              <w:t>Noziedzīgi iegūtu līdzekļu konfiskācijas fonds</w:t>
            </w:r>
            <w:r w:rsidR="00C700E7">
              <w:rPr>
                <w:rFonts w:ascii="Times New Roman" w:eastAsia="Times New Roman" w:hAnsi="Times New Roman" w:cs="Times New Roman"/>
                <w:sz w:val="24"/>
                <w:szCs w:val="24"/>
                <w:lang w:eastAsia="lv-LV"/>
              </w:rPr>
              <w:t>"</w:t>
            </w:r>
            <w:r w:rsidRPr="00292DA5">
              <w:rPr>
                <w:rFonts w:ascii="Times New Roman" w:eastAsia="Times New Roman" w:hAnsi="Times New Roman" w:cs="Times New Roman"/>
                <w:sz w:val="24"/>
                <w:szCs w:val="24"/>
                <w:lang w:eastAsia="lv-LV"/>
              </w:rPr>
              <w:t xml:space="preserve"> līdzekļu sadali pieņemšanā.</w:t>
            </w:r>
          </w:p>
          <w:p w14:paraId="303C45CC" w14:textId="77777777" w:rsidR="009E0E46" w:rsidRDefault="009E0E46" w:rsidP="008A23A4">
            <w:pPr>
              <w:spacing w:after="0" w:line="240" w:lineRule="auto"/>
              <w:jc w:val="both"/>
              <w:rPr>
                <w:rFonts w:ascii="Times New Roman" w:hAnsi="Times New Roman" w:cs="Times New Roman"/>
                <w:sz w:val="24"/>
                <w:szCs w:val="24"/>
              </w:rPr>
            </w:pPr>
          </w:p>
          <w:p w14:paraId="4B12F306" w14:textId="77777777" w:rsidR="004D29FE" w:rsidRPr="004D29FE" w:rsidRDefault="00C553FA" w:rsidP="004D29FE">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E77594">
              <w:rPr>
                <w:rFonts w:ascii="Times New Roman" w:hAnsi="Times New Roman" w:cs="Times New Roman"/>
                <w:sz w:val="24"/>
                <w:szCs w:val="24"/>
              </w:rPr>
              <w:t>Noteikumu</w:t>
            </w:r>
            <w:r w:rsidRPr="00C553FA">
              <w:rPr>
                <w:rFonts w:ascii="Times New Roman" w:hAnsi="Times New Roman" w:cs="Times New Roman"/>
                <w:sz w:val="24"/>
                <w:szCs w:val="24"/>
              </w:rPr>
              <w:t xml:space="preserve"> 13. punktu</w:t>
            </w:r>
            <w:r>
              <w:rPr>
                <w:rFonts w:ascii="Times New Roman" w:hAnsi="Times New Roman" w:cs="Times New Roman"/>
                <w:b/>
                <w:sz w:val="24"/>
                <w:szCs w:val="24"/>
              </w:rPr>
              <w:t xml:space="preserve"> </w:t>
            </w:r>
            <w:r w:rsidR="004D29FE" w:rsidRPr="004D29FE">
              <w:rPr>
                <w:rFonts w:ascii="Times New Roman" w:hAnsi="Times New Roman" w:cs="Times New Roman"/>
                <w:sz w:val="24"/>
                <w:szCs w:val="24"/>
              </w:rPr>
              <w:t>Valsts kanceleja materiāltehniski nodrošina padomes pastāvīgo funkciju izpildi, kā arī:</w:t>
            </w:r>
          </w:p>
          <w:p w14:paraId="310217BB" w14:textId="722D6F12" w:rsidR="004D29FE" w:rsidRPr="004D29FE" w:rsidRDefault="004D29FE" w:rsidP="004D29FE">
            <w:pPr>
              <w:spacing w:after="0" w:line="240" w:lineRule="auto"/>
              <w:ind w:firstLine="383"/>
              <w:jc w:val="both"/>
              <w:rPr>
                <w:rFonts w:ascii="Times New Roman" w:hAnsi="Times New Roman" w:cs="Times New Roman"/>
                <w:sz w:val="24"/>
                <w:szCs w:val="24"/>
              </w:rPr>
            </w:pPr>
            <w:r w:rsidRPr="004D29FE">
              <w:rPr>
                <w:rFonts w:ascii="Times New Roman" w:hAnsi="Times New Roman" w:cs="Times New Roman"/>
                <w:sz w:val="24"/>
                <w:szCs w:val="24"/>
              </w:rPr>
              <w:t>13.1.</w:t>
            </w:r>
            <w:r w:rsidR="00AB200E">
              <w:rPr>
                <w:rFonts w:ascii="Times New Roman" w:hAnsi="Times New Roman" w:cs="Times New Roman"/>
                <w:sz w:val="24"/>
                <w:szCs w:val="24"/>
              </w:rPr>
              <w:t> </w:t>
            </w:r>
            <w:r w:rsidRPr="004D29FE">
              <w:rPr>
                <w:rFonts w:ascii="Times New Roman" w:hAnsi="Times New Roman" w:cs="Times New Roman"/>
                <w:sz w:val="24"/>
                <w:szCs w:val="24"/>
              </w:rPr>
              <w:t>sagatavo padomes sēdes darba kārtības projektu;</w:t>
            </w:r>
          </w:p>
          <w:p w14:paraId="38551FA6" w14:textId="540AED50" w:rsidR="004D29FE" w:rsidRPr="004D29FE" w:rsidRDefault="004D29FE" w:rsidP="004D29FE">
            <w:pPr>
              <w:spacing w:after="0" w:line="240" w:lineRule="auto"/>
              <w:ind w:firstLine="383"/>
              <w:jc w:val="both"/>
              <w:rPr>
                <w:rFonts w:ascii="Times New Roman" w:hAnsi="Times New Roman" w:cs="Times New Roman"/>
                <w:sz w:val="24"/>
                <w:szCs w:val="24"/>
              </w:rPr>
            </w:pPr>
            <w:r w:rsidRPr="004D29FE">
              <w:rPr>
                <w:rFonts w:ascii="Times New Roman" w:hAnsi="Times New Roman" w:cs="Times New Roman"/>
                <w:sz w:val="24"/>
                <w:szCs w:val="24"/>
              </w:rPr>
              <w:t>13.2.</w:t>
            </w:r>
            <w:r w:rsidR="00AB200E">
              <w:rPr>
                <w:rFonts w:ascii="Times New Roman" w:hAnsi="Times New Roman" w:cs="Times New Roman"/>
                <w:sz w:val="24"/>
                <w:szCs w:val="24"/>
              </w:rPr>
              <w:t> </w:t>
            </w:r>
            <w:r w:rsidRPr="004D29FE">
              <w:rPr>
                <w:rFonts w:ascii="Times New Roman" w:hAnsi="Times New Roman" w:cs="Times New Roman"/>
                <w:sz w:val="24"/>
                <w:szCs w:val="24"/>
              </w:rPr>
              <w:t>sagatavo iesniegtos materiālus izskatīšanai padomes sēdē;</w:t>
            </w:r>
          </w:p>
          <w:p w14:paraId="34ABFE6B" w14:textId="423F05EE" w:rsidR="004D29FE" w:rsidRPr="004D29FE" w:rsidRDefault="004D29FE" w:rsidP="004D29FE">
            <w:pPr>
              <w:spacing w:after="0" w:line="240" w:lineRule="auto"/>
              <w:ind w:firstLine="383"/>
              <w:jc w:val="both"/>
              <w:rPr>
                <w:rFonts w:ascii="Times New Roman" w:hAnsi="Times New Roman" w:cs="Times New Roman"/>
                <w:sz w:val="24"/>
                <w:szCs w:val="24"/>
              </w:rPr>
            </w:pPr>
            <w:r w:rsidRPr="004D29FE">
              <w:rPr>
                <w:rFonts w:ascii="Times New Roman" w:hAnsi="Times New Roman" w:cs="Times New Roman"/>
                <w:sz w:val="24"/>
                <w:szCs w:val="24"/>
              </w:rPr>
              <w:t>13.3.</w:t>
            </w:r>
            <w:r w:rsidR="00AB200E">
              <w:rPr>
                <w:rFonts w:ascii="Times New Roman" w:hAnsi="Times New Roman" w:cs="Times New Roman"/>
                <w:sz w:val="24"/>
                <w:szCs w:val="24"/>
              </w:rPr>
              <w:t> </w:t>
            </w:r>
            <w:r w:rsidRPr="004D29FE">
              <w:rPr>
                <w:rFonts w:ascii="Times New Roman" w:hAnsi="Times New Roman" w:cs="Times New Roman"/>
                <w:sz w:val="24"/>
                <w:szCs w:val="24"/>
              </w:rPr>
              <w:t>kontrolē padomes lēmumu izpildi;</w:t>
            </w:r>
          </w:p>
          <w:p w14:paraId="454C23EA" w14:textId="06D35C92" w:rsidR="000C1945" w:rsidRDefault="004D29FE" w:rsidP="004D29FE">
            <w:pPr>
              <w:spacing w:after="0" w:line="240" w:lineRule="auto"/>
              <w:ind w:firstLine="383"/>
              <w:jc w:val="both"/>
              <w:rPr>
                <w:rFonts w:ascii="Times New Roman" w:hAnsi="Times New Roman" w:cs="Times New Roman"/>
                <w:sz w:val="24"/>
                <w:szCs w:val="24"/>
              </w:rPr>
            </w:pPr>
            <w:r w:rsidRPr="004D29FE">
              <w:rPr>
                <w:rFonts w:ascii="Times New Roman" w:hAnsi="Times New Roman" w:cs="Times New Roman"/>
                <w:sz w:val="24"/>
                <w:szCs w:val="24"/>
              </w:rPr>
              <w:t>13.4.</w:t>
            </w:r>
            <w:r w:rsidR="00AB200E">
              <w:rPr>
                <w:rFonts w:ascii="Times New Roman" w:hAnsi="Times New Roman" w:cs="Times New Roman"/>
                <w:sz w:val="24"/>
                <w:szCs w:val="24"/>
              </w:rPr>
              <w:t> </w:t>
            </w:r>
            <w:r w:rsidRPr="004D29FE">
              <w:rPr>
                <w:rFonts w:ascii="Times New Roman" w:hAnsi="Times New Roman" w:cs="Times New Roman"/>
                <w:sz w:val="24"/>
                <w:szCs w:val="24"/>
              </w:rPr>
              <w:t>nodrošina informācijas apmaiņu starp institūcijām un amatpersonām, kuras iesaistītas padomes kompetencē esošo jautājumu risināšanā, kā arī padomes priekšsēdētāja uzdevumā veic citus pasākumus padomes funkciju izpildei.</w:t>
            </w:r>
          </w:p>
          <w:p w14:paraId="150AA812" w14:textId="323A37CE" w:rsidR="00E9671D" w:rsidRDefault="00E9671D" w:rsidP="00746182">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C553FA">
              <w:rPr>
                <w:rFonts w:ascii="Times New Roman" w:hAnsi="Times New Roman" w:cs="Times New Roman"/>
                <w:sz w:val="24"/>
                <w:szCs w:val="24"/>
              </w:rPr>
              <w:t xml:space="preserve">Ministru kabineta </w:t>
            </w:r>
            <w:r w:rsidR="006A2A68" w:rsidRPr="006A2A68">
              <w:rPr>
                <w:rFonts w:ascii="Times New Roman" w:hAnsi="Times New Roman" w:cs="Times New Roman"/>
                <w:sz w:val="24"/>
                <w:szCs w:val="24"/>
              </w:rPr>
              <w:t>2017.</w:t>
            </w:r>
            <w:r w:rsidR="00C700E7">
              <w:rPr>
                <w:rFonts w:ascii="Times New Roman" w:hAnsi="Times New Roman" w:cs="Times New Roman"/>
                <w:sz w:val="24"/>
                <w:szCs w:val="24"/>
              </w:rPr>
              <w:t> </w:t>
            </w:r>
            <w:r w:rsidR="006A2A68" w:rsidRPr="006A2A68">
              <w:rPr>
                <w:rFonts w:ascii="Times New Roman" w:hAnsi="Times New Roman" w:cs="Times New Roman"/>
                <w:sz w:val="24"/>
                <w:szCs w:val="24"/>
              </w:rPr>
              <w:t>gada 16.</w:t>
            </w:r>
            <w:r w:rsidR="00C700E7">
              <w:rPr>
                <w:rFonts w:ascii="Times New Roman" w:hAnsi="Times New Roman" w:cs="Times New Roman"/>
                <w:sz w:val="24"/>
                <w:szCs w:val="24"/>
              </w:rPr>
              <w:t> </w:t>
            </w:r>
            <w:r w:rsidR="006A2A68" w:rsidRPr="006A2A68">
              <w:rPr>
                <w:rFonts w:ascii="Times New Roman" w:hAnsi="Times New Roman" w:cs="Times New Roman"/>
                <w:sz w:val="24"/>
                <w:szCs w:val="24"/>
              </w:rPr>
              <w:t>august</w:t>
            </w:r>
            <w:r w:rsidR="006A2A68">
              <w:rPr>
                <w:rFonts w:ascii="Times New Roman" w:hAnsi="Times New Roman" w:cs="Times New Roman"/>
                <w:sz w:val="24"/>
                <w:szCs w:val="24"/>
              </w:rPr>
              <w:t>a</w:t>
            </w:r>
            <w:r w:rsidR="00405D77" w:rsidRPr="00405D77">
              <w:rPr>
                <w:rFonts w:ascii="Times New Roman" w:hAnsi="Times New Roman" w:cs="Times New Roman"/>
                <w:sz w:val="24"/>
                <w:szCs w:val="24"/>
              </w:rPr>
              <w:t xml:space="preserve"> </w:t>
            </w:r>
            <w:r w:rsidRPr="00C553FA">
              <w:rPr>
                <w:rFonts w:ascii="Times New Roman" w:hAnsi="Times New Roman" w:cs="Times New Roman"/>
                <w:sz w:val="24"/>
                <w:szCs w:val="24"/>
              </w:rPr>
              <w:t>noteikumu Nr.</w:t>
            </w:r>
            <w:r w:rsidR="00AB200E">
              <w:rPr>
                <w:rFonts w:ascii="Times New Roman" w:hAnsi="Times New Roman" w:cs="Times New Roman"/>
                <w:sz w:val="24"/>
                <w:szCs w:val="24"/>
              </w:rPr>
              <w:t> </w:t>
            </w:r>
            <w:r w:rsidR="006A2A68">
              <w:rPr>
                <w:rFonts w:ascii="Times New Roman" w:hAnsi="Times New Roman" w:cs="Times New Roman"/>
                <w:sz w:val="24"/>
                <w:szCs w:val="24"/>
              </w:rPr>
              <w:t>474</w:t>
            </w:r>
            <w:r w:rsidR="006A2A68" w:rsidRPr="00C553FA">
              <w:rPr>
                <w:rFonts w:ascii="Times New Roman" w:hAnsi="Times New Roman" w:cs="Times New Roman"/>
                <w:sz w:val="24"/>
                <w:szCs w:val="24"/>
              </w:rPr>
              <w:t xml:space="preserve"> </w:t>
            </w:r>
            <w:r w:rsidRPr="00C553FA">
              <w:rPr>
                <w:rFonts w:ascii="Times New Roman" w:hAnsi="Times New Roman" w:cs="Times New Roman"/>
                <w:sz w:val="24"/>
                <w:szCs w:val="24"/>
              </w:rPr>
              <w:t>"</w:t>
            </w:r>
            <w:r w:rsidR="00405D77" w:rsidRPr="00405D77">
              <w:rPr>
                <w:rFonts w:ascii="Times New Roman" w:hAnsi="Times New Roman" w:cs="Times New Roman"/>
                <w:sz w:val="24"/>
                <w:szCs w:val="24"/>
              </w:rPr>
              <w:t>Tieslietu ministrijas nolikums</w:t>
            </w:r>
            <w:r w:rsidR="00405D77">
              <w:rPr>
                <w:rFonts w:ascii="Times New Roman" w:hAnsi="Times New Roman" w:cs="Times New Roman"/>
                <w:sz w:val="24"/>
                <w:szCs w:val="24"/>
              </w:rPr>
              <w:t xml:space="preserve">" </w:t>
            </w:r>
            <w:r w:rsidR="006A2A68">
              <w:rPr>
                <w:rFonts w:ascii="Times New Roman" w:hAnsi="Times New Roman" w:cs="Times New Roman"/>
                <w:sz w:val="24"/>
                <w:szCs w:val="24"/>
              </w:rPr>
              <w:t>4</w:t>
            </w:r>
            <w:r w:rsidRPr="00C553FA">
              <w:rPr>
                <w:rFonts w:ascii="Times New Roman" w:hAnsi="Times New Roman" w:cs="Times New Roman"/>
                <w:sz w:val="24"/>
                <w:szCs w:val="24"/>
              </w:rPr>
              <w:t>. punktu</w:t>
            </w:r>
            <w:r w:rsidR="006A2A68">
              <w:t xml:space="preserve"> </w:t>
            </w:r>
            <w:r w:rsidR="006A2A68">
              <w:rPr>
                <w:rFonts w:ascii="Times New Roman" w:hAnsi="Times New Roman" w:cs="Times New Roman"/>
                <w:sz w:val="24"/>
                <w:szCs w:val="24"/>
              </w:rPr>
              <w:t>m</w:t>
            </w:r>
            <w:r w:rsidR="006A2A68" w:rsidRPr="006A2A68">
              <w:rPr>
                <w:rFonts w:ascii="Times New Roman" w:hAnsi="Times New Roman" w:cs="Times New Roman"/>
                <w:sz w:val="24"/>
                <w:szCs w:val="24"/>
              </w:rPr>
              <w:t>inistrijas funkcijas</w:t>
            </w:r>
            <w:r w:rsidR="006A2A68">
              <w:rPr>
                <w:rFonts w:ascii="Times New Roman" w:hAnsi="Times New Roman" w:cs="Times New Roman"/>
                <w:sz w:val="24"/>
                <w:szCs w:val="24"/>
              </w:rPr>
              <w:t xml:space="preserve"> ir </w:t>
            </w:r>
            <w:r w:rsidR="006A2A68" w:rsidRPr="006A2A68">
              <w:rPr>
                <w:rFonts w:ascii="Times New Roman" w:hAnsi="Times New Roman" w:cs="Times New Roman"/>
                <w:sz w:val="24"/>
                <w:szCs w:val="24"/>
              </w:rPr>
              <w:t>izstrādāt, organizēt un koordinēt politiku</w:t>
            </w:r>
            <w:r w:rsidR="006A2A68">
              <w:t xml:space="preserve"> </w:t>
            </w:r>
            <w:r w:rsidR="006A2A68" w:rsidRPr="006A2A68">
              <w:rPr>
                <w:rFonts w:ascii="Times New Roman" w:hAnsi="Times New Roman" w:cs="Times New Roman"/>
                <w:sz w:val="24"/>
                <w:szCs w:val="24"/>
              </w:rPr>
              <w:t>krimināltiesību un procesuālo tiesību jomā</w:t>
            </w:r>
            <w:r w:rsidR="00746182">
              <w:rPr>
                <w:rFonts w:ascii="Times New Roman" w:hAnsi="Times New Roman" w:cs="Times New Roman"/>
                <w:sz w:val="24"/>
                <w:szCs w:val="24"/>
              </w:rPr>
              <w:t>.</w:t>
            </w:r>
          </w:p>
          <w:p w14:paraId="6D1AC1FA" w14:textId="6C407345" w:rsidR="00454B59" w:rsidRDefault="00746182" w:rsidP="00454B5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Ievērojot minēto, kā arī padomes 2017. gada 17. maija sēdē </w:t>
            </w:r>
            <w:r w:rsidR="00E77594">
              <w:rPr>
                <w:rFonts w:ascii="Times New Roman" w:hAnsi="Times New Roman" w:cs="Times New Roman"/>
                <w:sz w:val="24"/>
                <w:szCs w:val="24"/>
              </w:rPr>
              <w:t>uzdoto</w:t>
            </w:r>
            <w:r>
              <w:rPr>
                <w:rFonts w:ascii="Times New Roman" w:hAnsi="Times New Roman" w:cs="Times New Roman"/>
                <w:sz w:val="24"/>
                <w:szCs w:val="24"/>
              </w:rPr>
              <w:t>, Noteikumu projekts paredz</w:t>
            </w:r>
            <w:r w:rsidR="00091284">
              <w:rPr>
                <w:rFonts w:ascii="Times New Roman" w:hAnsi="Times New Roman" w:cs="Times New Roman"/>
                <w:sz w:val="24"/>
                <w:szCs w:val="24"/>
              </w:rPr>
              <w:t>, ka turpmāk Tieslietu ministrija</w:t>
            </w:r>
            <w:r w:rsidR="00091284" w:rsidRPr="00091284">
              <w:rPr>
                <w:rFonts w:ascii="Times New Roman" w:hAnsi="Times New Roman" w:cs="Times New Roman"/>
                <w:sz w:val="24"/>
                <w:szCs w:val="24"/>
              </w:rPr>
              <w:t xml:space="preserve"> </w:t>
            </w:r>
            <w:r w:rsidR="00091284" w:rsidRPr="00091284">
              <w:rPr>
                <w:rFonts w:ascii="Times New Roman" w:hAnsi="Times New Roman" w:cs="Times New Roman"/>
                <w:sz w:val="24"/>
                <w:szCs w:val="24"/>
              </w:rPr>
              <w:lastRenderedPageBreak/>
              <w:t>materiāltehniski nodrošin</w:t>
            </w:r>
            <w:r w:rsidR="00091284">
              <w:rPr>
                <w:rFonts w:ascii="Times New Roman" w:hAnsi="Times New Roman" w:cs="Times New Roman"/>
                <w:sz w:val="24"/>
                <w:szCs w:val="24"/>
              </w:rPr>
              <w:t>ās</w:t>
            </w:r>
            <w:r w:rsidR="00091284" w:rsidRPr="00091284">
              <w:rPr>
                <w:rFonts w:ascii="Times New Roman" w:hAnsi="Times New Roman" w:cs="Times New Roman"/>
                <w:sz w:val="24"/>
                <w:szCs w:val="24"/>
              </w:rPr>
              <w:t xml:space="preserve"> padomes pastāvīgo funkciju izpildi  </w:t>
            </w:r>
            <w:r>
              <w:rPr>
                <w:rFonts w:ascii="Times New Roman" w:hAnsi="Times New Roman" w:cs="Times New Roman"/>
                <w:sz w:val="24"/>
                <w:szCs w:val="24"/>
              </w:rPr>
              <w:t xml:space="preserve"> </w:t>
            </w:r>
            <w:r w:rsidR="00091284">
              <w:rPr>
                <w:rFonts w:ascii="Times New Roman" w:hAnsi="Times New Roman" w:cs="Times New Roman"/>
                <w:sz w:val="24"/>
                <w:szCs w:val="24"/>
              </w:rPr>
              <w:t xml:space="preserve">saskaņā ar </w:t>
            </w:r>
            <w:r>
              <w:rPr>
                <w:rFonts w:ascii="Times New Roman" w:hAnsi="Times New Roman" w:cs="Times New Roman"/>
                <w:sz w:val="24"/>
                <w:szCs w:val="24"/>
              </w:rPr>
              <w:t>Noteikumu 13.</w:t>
            </w:r>
            <w:r w:rsidR="004361EB">
              <w:rPr>
                <w:rFonts w:ascii="Times New Roman" w:hAnsi="Times New Roman" w:cs="Times New Roman"/>
                <w:sz w:val="24"/>
                <w:szCs w:val="24"/>
              </w:rPr>
              <w:t> </w:t>
            </w:r>
            <w:r w:rsidR="00091284">
              <w:rPr>
                <w:rFonts w:ascii="Times New Roman" w:hAnsi="Times New Roman" w:cs="Times New Roman"/>
                <w:sz w:val="24"/>
                <w:szCs w:val="24"/>
              </w:rPr>
              <w:t>punktu.</w:t>
            </w:r>
          </w:p>
          <w:p w14:paraId="54DE68C5" w14:textId="64BE24A4" w:rsidR="00405068" w:rsidRPr="00F818DA" w:rsidRDefault="00405068" w:rsidP="00BD1AF2">
            <w:pPr>
              <w:spacing w:after="0" w:line="240" w:lineRule="auto"/>
              <w:ind w:firstLine="383"/>
              <w:jc w:val="both"/>
              <w:rPr>
                <w:rFonts w:ascii="Times New Roman" w:hAnsi="Times New Roman" w:cs="Times New Roman"/>
                <w:sz w:val="24"/>
                <w:szCs w:val="24"/>
              </w:rPr>
            </w:pPr>
          </w:p>
        </w:tc>
      </w:tr>
      <w:tr w:rsidR="006705FF" w:rsidRPr="00F818DA" w14:paraId="351ADD26" w14:textId="77777777" w:rsidTr="00C62DCC">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316CEDA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3AE6938F"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593" w:type="pct"/>
            <w:gridSpan w:val="3"/>
            <w:tcBorders>
              <w:top w:val="outset" w:sz="6" w:space="0" w:color="414142"/>
              <w:left w:val="outset" w:sz="6" w:space="0" w:color="414142"/>
              <w:bottom w:val="outset" w:sz="6" w:space="0" w:color="414142"/>
              <w:right w:val="outset" w:sz="6" w:space="0" w:color="414142"/>
            </w:tcBorders>
            <w:hideMark/>
          </w:tcPr>
          <w:p w14:paraId="3AB7B801" w14:textId="77777777" w:rsidR="006705FF" w:rsidRPr="00F818DA" w:rsidRDefault="00395FE5" w:rsidP="002C2141">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w:t>
            </w:r>
            <w:r w:rsidR="00582458" w:rsidRPr="00F818DA">
              <w:rPr>
                <w:rFonts w:ascii="Times New Roman" w:eastAsia="Times New Roman" w:hAnsi="Times New Roman" w:cs="Times New Roman"/>
                <w:color w:val="000000"/>
                <w:sz w:val="24"/>
                <w:szCs w:val="24"/>
                <w:lang w:eastAsia="lv-LV"/>
              </w:rPr>
              <w:t>u izstrādāja Tieslietu ministrija</w:t>
            </w:r>
            <w:r w:rsidR="006705FF" w:rsidRPr="00F818DA">
              <w:rPr>
                <w:rFonts w:ascii="Times New Roman" w:eastAsia="Times New Roman" w:hAnsi="Times New Roman" w:cs="Times New Roman"/>
                <w:bCs/>
                <w:color w:val="000000"/>
                <w:sz w:val="24"/>
                <w:szCs w:val="24"/>
                <w:lang w:eastAsia="lv-LV"/>
              </w:rPr>
              <w:t>.</w:t>
            </w:r>
          </w:p>
        </w:tc>
      </w:tr>
      <w:tr w:rsidR="006705FF" w:rsidRPr="00F818DA" w14:paraId="7E334380" w14:textId="77777777" w:rsidTr="00C62DCC">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62A2CC06"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1A79FE7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593" w:type="pct"/>
            <w:gridSpan w:val="3"/>
            <w:tcBorders>
              <w:top w:val="outset" w:sz="6" w:space="0" w:color="414142"/>
              <w:left w:val="outset" w:sz="6" w:space="0" w:color="414142"/>
              <w:bottom w:val="outset" w:sz="6" w:space="0" w:color="414142"/>
              <w:right w:val="outset" w:sz="6" w:space="0" w:color="414142"/>
            </w:tcBorders>
            <w:hideMark/>
          </w:tcPr>
          <w:p w14:paraId="5524C1FF" w14:textId="7F9302FE" w:rsidR="00405068" w:rsidRPr="00F818DA" w:rsidRDefault="006705FF" w:rsidP="001B10F6">
            <w:pPr>
              <w:spacing w:after="0" w:line="240" w:lineRule="auto"/>
              <w:ind w:firstLine="383"/>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r w:rsidR="00C62DCC" w:rsidRPr="00BC2633" w14:paraId="28539C57" w14:textId="77777777" w:rsidTr="00C62DCC">
        <w:trPr>
          <w:gridAfter w:val="1"/>
          <w:wAfter w:w="25" w:type="pct"/>
          <w:trHeight w:val="128"/>
        </w:trPr>
        <w:tc>
          <w:tcPr>
            <w:tcW w:w="4975" w:type="pct"/>
            <w:gridSpan w:val="4"/>
            <w:tcBorders>
              <w:top w:val="outset" w:sz="6" w:space="0" w:color="414142"/>
              <w:left w:val="nil"/>
              <w:bottom w:val="outset" w:sz="6" w:space="0" w:color="414142"/>
              <w:right w:val="nil"/>
            </w:tcBorders>
          </w:tcPr>
          <w:p w14:paraId="2DAB8680" w14:textId="77777777" w:rsidR="00C62DCC" w:rsidRPr="00BC2633" w:rsidRDefault="00C62DCC" w:rsidP="00A44104">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C62DCC" w:rsidRPr="00BC2633" w14:paraId="11A46A20" w14:textId="77777777" w:rsidTr="00C62DCC">
        <w:trPr>
          <w:gridAfter w:val="1"/>
          <w:wAfter w:w="25" w:type="pct"/>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2AA18628" w14:textId="77777777" w:rsidR="00C62DCC" w:rsidRPr="00BC2633" w:rsidRDefault="00C62DCC" w:rsidP="00A44104">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62DCC" w:rsidRPr="00BC2633" w14:paraId="5A391125" w14:textId="77777777" w:rsidTr="00C62DCC">
        <w:trPr>
          <w:gridAfter w:val="1"/>
          <w:wAfter w:w="25" w:type="pct"/>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B880CF0"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5D653FAF"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14:paraId="1048F704" w14:textId="6E2069F2" w:rsidR="00C62DCC" w:rsidRPr="00BC2633" w:rsidRDefault="008E723D" w:rsidP="00A441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Regulējums attieksies uz </w:t>
            </w:r>
            <w:r w:rsidR="00C700E7">
              <w:rPr>
                <w:rFonts w:ascii="Times New Roman" w:eastAsia="Times New Roman" w:hAnsi="Times New Roman" w:cs="Times New Roman"/>
                <w:iCs/>
                <w:sz w:val="24"/>
                <w:szCs w:val="24"/>
                <w:lang w:eastAsia="lv-LV"/>
              </w:rPr>
              <w:t>p</w:t>
            </w:r>
            <w:r w:rsidR="00C62DCC">
              <w:rPr>
                <w:rFonts w:ascii="Times New Roman" w:eastAsia="Times New Roman" w:hAnsi="Times New Roman" w:cs="Times New Roman"/>
                <w:iCs/>
                <w:sz w:val="24"/>
                <w:szCs w:val="24"/>
                <w:lang w:eastAsia="lv-LV"/>
              </w:rPr>
              <w:t>adom</w:t>
            </w:r>
            <w:r>
              <w:rPr>
                <w:rFonts w:ascii="Times New Roman" w:eastAsia="Times New Roman" w:hAnsi="Times New Roman" w:cs="Times New Roman"/>
                <w:iCs/>
                <w:sz w:val="24"/>
                <w:szCs w:val="24"/>
                <w:lang w:eastAsia="lv-LV"/>
              </w:rPr>
              <w:t>i</w:t>
            </w:r>
            <w:r w:rsidR="00C62DCC">
              <w:rPr>
                <w:rFonts w:ascii="Times New Roman" w:eastAsia="Times New Roman" w:hAnsi="Times New Roman" w:cs="Times New Roman"/>
                <w:iCs/>
                <w:sz w:val="24"/>
                <w:szCs w:val="24"/>
                <w:lang w:eastAsia="lv-LV"/>
              </w:rPr>
              <w:t xml:space="preserve"> un Tieslietu ministrij</w:t>
            </w:r>
            <w:r>
              <w:rPr>
                <w:rFonts w:ascii="Times New Roman" w:eastAsia="Times New Roman" w:hAnsi="Times New Roman" w:cs="Times New Roman"/>
                <w:iCs/>
                <w:sz w:val="24"/>
                <w:szCs w:val="24"/>
                <w:lang w:eastAsia="lv-LV"/>
              </w:rPr>
              <w:t>u</w:t>
            </w:r>
            <w:r w:rsidR="00865EDD">
              <w:rPr>
                <w:rFonts w:ascii="Times New Roman" w:eastAsia="Times New Roman" w:hAnsi="Times New Roman" w:cs="Times New Roman"/>
                <w:iCs/>
                <w:sz w:val="24"/>
                <w:szCs w:val="24"/>
                <w:lang w:eastAsia="lv-LV"/>
              </w:rPr>
              <w:t>.</w:t>
            </w:r>
          </w:p>
        </w:tc>
      </w:tr>
      <w:tr w:rsidR="00C62DCC" w:rsidRPr="00BC2633" w14:paraId="2F1C0464" w14:textId="77777777" w:rsidTr="00C62DCC">
        <w:trPr>
          <w:gridAfter w:val="1"/>
          <w:wAfter w:w="25" w:type="pct"/>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A539739"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53DD5D4B"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14:paraId="16C29489" w14:textId="6A800321" w:rsidR="00C62DCC" w:rsidRDefault="00C62DCC" w:rsidP="00A4410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Padomei tiek noteikta papildu funkcija, proti, lemt </w:t>
            </w:r>
            <w:r w:rsidRPr="00C62DCC">
              <w:rPr>
                <w:rFonts w:ascii="Times New Roman" w:hAnsi="Times New Roman" w:cs="Times New Roman"/>
                <w:sz w:val="24"/>
                <w:szCs w:val="24"/>
              </w:rPr>
              <w:t xml:space="preserve">par Tieslietu ministrijas </w:t>
            </w:r>
            <w:r w:rsidR="001B10F6">
              <w:rPr>
                <w:rFonts w:ascii="Times New Roman" w:hAnsi="Times New Roman" w:cs="Times New Roman"/>
                <w:sz w:val="24"/>
                <w:szCs w:val="24"/>
              </w:rPr>
              <w:t>pamat</w:t>
            </w:r>
            <w:r w:rsidRPr="00C62DCC">
              <w:rPr>
                <w:rFonts w:ascii="Times New Roman" w:hAnsi="Times New Roman" w:cs="Times New Roman"/>
                <w:sz w:val="24"/>
                <w:szCs w:val="24"/>
              </w:rPr>
              <w:t>budžeta programmas "Noziedzīgi iegūtu līdzekļu konfiskācijas fonds" līdzekļu sadali</w:t>
            </w:r>
            <w:r>
              <w:rPr>
                <w:rFonts w:ascii="Times New Roman" w:eastAsia="Times New Roman" w:hAnsi="Times New Roman" w:cs="Times New Roman"/>
                <w:sz w:val="24"/>
                <w:szCs w:val="24"/>
                <w:lang w:eastAsia="lv-LV"/>
              </w:rPr>
              <w:t>.</w:t>
            </w:r>
          </w:p>
          <w:p w14:paraId="0EA2AA5D" w14:textId="77777777" w:rsidR="00C62DCC" w:rsidRDefault="00C62DCC" w:rsidP="00A44104">
            <w:pPr>
              <w:spacing w:after="0" w:line="240" w:lineRule="auto"/>
              <w:jc w:val="both"/>
              <w:rPr>
                <w:rFonts w:ascii="Times New Roman" w:eastAsia="Times New Roman" w:hAnsi="Times New Roman" w:cs="Times New Roman"/>
                <w:sz w:val="24"/>
                <w:szCs w:val="24"/>
                <w:lang w:eastAsia="lv-LV"/>
              </w:rPr>
            </w:pPr>
          </w:p>
          <w:p w14:paraId="3E66DF9C" w14:textId="77777777" w:rsidR="00C62DCC" w:rsidRDefault="00C62DCC" w:rsidP="00A44104">
            <w:pPr>
              <w:spacing w:after="0" w:line="240" w:lineRule="auto"/>
              <w:jc w:val="both"/>
              <w:rPr>
                <w:rFonts w:ascii="Times New Roman" w:eastAsia="Times New Roman" w:hAnsi="Times New Roman" w:cs="Times New Roman"/>
                <w:sz w:val="24"/>
                <w:szCs w:val="24"/>
                <w:lang w:eastAsia="lv-LV"/>
              </w:rPr>
            </w:pPr>
            <w:r w:rsidRPr="00C62DCC">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i turpmāk</w:t>
            </w:r>
            <w:r w:rsidRPr="00C62DCC">
              <w:rPr>
                <w:rFonts w:ascii="Times New Roman" w:eastAsia="Times New Roman" w:hAnsi="Times New Roman" w:cs="Times New Roman"/>
                <w:sz w:val="24"/>
                <w:szCs w:val="24"/>
                <w:lang w:eastAsia="lv-LV"/>
              </w:rPr>
              <w:t xml:space="preserve"> materiāltehniski </w:t>
            </w:r>
            <w:r>
              <w:rPr>
                <w:rFonts w:ascii="Times New Roman" w:eastAsia="Times New Roman" w:hAnsi="Times New Roman" w:cs="Times New Roman"/>
                <w:sz w:val="24"/>
                <w:szCs w:val="24"/>
                <w:lang w:eastAsia="lv-LV"/>
              </w:rPr>
              <w:t>būs jānodrošina</w:t>
            </w:r>
            <w:r w:rsidRPr="00C62DCC">
              <w:rPr>
                <w:rFonts w:ascii="Times New Roman" w:eastAsia="Times New Roman" w:hAnsi="Times New Roman" w:cs="Times New Roman"/>
                <w:sz w:val="24"/>
                <w:szCs w:val="24"/>
                <w:lang w:eastAsia="lv-LV"/>
              </w:rPr>
              <w:t xml:space="preserve"> padom</w:t>
            </w:r>
            <w:r>
              <w:rPr>
                <w:rFonts w:ascii="Times New Roman" w:eastAsia="Times New Roman" w:hAnsi="Times New Roman" w:cs="Times New Roman"/>
                <w:sz w:val="24"/>
                <w:szCs w:val="24"/>
                <w:lang w:eastAsia="lv-LV"/>
              </w:rPr>
              <w:t xml:space="preserve">es pastāvīgo funkciju izpildi saskaņā ar </w:t>
            </w:r>
            <w:r w:rsidR="00865EDD">
              <w:rPr>
                <w:rFonts w:ascii="Times New Roman" w:eastAsia="Times New Roman" w:hAnsi="Times New Roman" w:cs="Times New Roman"/>
                <w:sz w:val="24"/>
                <w:szCs w:val="24"/>
                <w:lang w:eastAsia="lv-LV"/>
              </w:rPr>
              <w:t xml:space="preserve">grozījumiem </w:t>
            </w:r>
            <w:r>
              <w:rPr>
                <w:rFonts w:ascii="Times New Roman" w:eastAsia="Times New Roman" w:hAnsi="Times New Roman" w:cs="Times New Roman"/>
                <w:sz w:val="24"/>
                <w:szCs w:val="24"/>
                <w:lang w:eastAsia="lv-LV"/>
              </w:rPr>
              <w:t>Noteikumu 13.</w:t>
            </w:r>
            <w:r w:rsidR="00865EDD">
              <w:rPr>
                <w:rFonts w:ascii="Times New Roman" w:eastAsia="Times New Roman" w:hAnsi="Times New Roman" w:cs="Times New Roman"/>
                <w:sz w:val="24"/>
                <w:szCs w:val="24"/>
                <w:lang w:eastAsia="lv-LV"/>
              </w:rPr>
              <w:t> </w:t>
            </w:r>
            <w:r w:rsidRPr="00C62DCC">
              <w:rPr>
                <w:rFonts w:ascii="Times New Roman" w:eastAsia="Times New Roman" w:hAnsi="Times New Roman" w:cs="Times New Roman"/>
                <w:sz w:val="24"/>
                <w:szCs w:val="24"/>
                <w:lang w:eastAsia="lv-LV"/>
              </w:rPr>
              <w:t>punkt</w:t>
            </w:r>
            <w:r w:rsidR="00865ED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r w:rsidRPr="00C62DCC">
              <w:rPr>
                <w:rFonts w:ascii="Times New Roman" w:eastAsia="Times New Roman" w:hAnsi="Times New Roman" w:cs="Times New Roman"/>
                <w:sz w:val="24"/>
                <w:szCs w:val="24"/>
                <w:lang w:eastAsia="lv-LV"/>
              </w:rPr>
              <w:t xml:space="preserve"> Tieslietu ministrijai būs jānosaka atbildīgā amatpersona, kas pildīs Noteikumu 13.</w:t>
            </w:r>
            <w:r w:rsidR="00865EDD">
              <w:rPr>
                <w:rFonts w:ascii="Times New Roman" w:eastAsia="Times New Roman" w:hAnsi="Times New Roman" w:cs="Times New Roman"/>
                <w:sz w:val="24"/>
                <w:szCs w:val="24"/>
                <w:lang w:eastAsia="lv-LV"/>
              </w:rPr>
              <w:t> </w:t>
            </w:r>
            <w:r w:rsidRPr="00C62DCC">
              <w:rPr>
                <w:rFonts w:ascii="Times New Roman" w:eastAsia="Times New Roman" w:hAnsi="Times New Roman" w:cs="Times New Roman"/>
                <w:sz w:val="24"/>
                <w:szCs w:val="24"/>
                <w:lang w:eastAsia="lv-LV"/>
              </w:rPr>
              <w:t>punktā noteiktos pienākumus.</w:t>
            </w:r>
          </w:p>
          <w:p w14:paraId="6E50DC30" w14:textId="61420FD9" w:rsidR="00405068" w:rsidRPr="00BC2633" w:rsidRDefault="00405068" w:rsidP="00A44104">
            <w:pPr>
              <w:spacing w:after="0" w:line="240" w:lineRule="auto"/>
              <w:jc w:val="both"/>
              <w:rPr>
                <w:rFonts w:ascii="Times New Roman" w:eastAsia="Times New Roman" w:hAnsi="Times New Roman" w:cs="Times New Roman"/>
                <w:sz w:val="24"/>
                <w:szCs w:val="24"/>
                <w:lang w:eastAsia="lv-LV"/>
              </w:rPr>
            </w:pPr>
          </w:p>
        </w:tc>
      </w:tr>
      <w:tr w:rsidR="00C62DCC" w:rsidRPr="00BC2633" w14:paraId="19929AA5" w14:textId="77777777" w:rsidTr="00C62DCC">
        <w:trPr>
          <w:gridAfter w:val="1"/>
          <w:wAfter w:w="25" w:type="pct"/>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0E139FB"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3B7A413A"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14:paraId="5C252F40" w14:textId="75B83AAA" w:rsidR="00C62DCC" w:rsidRPr="00BC2633" w:rsidRDefault="00865EDD" w:rsidP="00A441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C62DCC">
              <w:rPr>
                <w:rFonts w:ascii="Times New Roman" w:eastAsia="Times New Roman" w:hAnsi="Times New Roman" w:cs="Times New Roman"/>
                <w:sz w:val="24"/>
                <w:szCs w:val="24"/>
                <w:lang w:eastAsia="lv-LV"/>
              </w:rPr>
              <w:t xml:space="preserve"> šo jomu neskar.</w:t>
            </w:r>
          </w:p>
        </w:tc>
      </w:tr>
      <w:tr w:rsidR="00C62DCC" w:rsidRPr="00BC2633" w14:paraId="7594A08A" w14:textId="77777777" w:rsidTr="00C62DCC">
        <w:trPr>
          <w:gridAfter w:val="1"/>
          <w:wAfter w:w="25" w:type="pct"/>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843711A"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04" w:type="pct"/>
            <w:gridSpan w:val="2"/>
            <w:tcBorders>
              <w:top w:val="outset" w:sz="6" w:space="0" w:color="414142"/>
              <w:left w:val="outset" w:sz="6" w:space="0" w:color="414142"/>
              <w:bottom w:val="outset" w:sz="6" w:space="0" w:color="414142"/>
              <w:right w:val="outset" w:sz="6" w:space="0" w:color="414142"/>
            </w:tcBorders>
            <w:hideMark/>
          </w:tcPr>
          <w:p w14:paraId="3E56BF06" w14:textId="77777777" w:rsidR="00C62DCC" w:rsidRPr="00BC2633" w:rsidRDefault="00C62DCC" w:rsidP="00A44104">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20EB1516" w14:textId="77777777" w:rsidR="00C62DCC" w:rsidRPr="00BC2633" w:rsidRDefault="00C62DCC" w:rsidP="00A441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B18CF9" w14:textId="77777777" w:rsidR="00F818DA" w:rsidRPr="00F818DA" w:rsidRDefault="00F818DA" w:rsidP="006705FF">
      <w:pPr>
        <w:spacing w:after="0" w:line="240" w:lineRule="auto"/>
        <w:rPr>
          <w:rFonts w:ascii="Times New Roman" w:hAnsi="Times New Roman" w:cs="Times New Roman"/>
          <w:i/>
          <w:sz w:val="24"/>
          <w:szCs w:val="24"/>
        </w:rPr>
      </w:pPr>
    </w:p>
    <w:tbl>
      <w:tblPr>
        <w:tblStyle w:val="Reatabula"/>
        <w:tblW w:w="5000" w:type="pct"/>
        <w:tblLook w:val="04A0" w:firstRow="1" w:lastRow="0" w:firstColumn="1" w:lastColumn="0" w:noHBand="0" w:noVBand="1"/>
      </w:tblPr>
      <w:tblGrid>
        <w:gridCol w:w="9061"/>
      </w:tblGrid>
      <w:tr w:rsidR="0004143F" w:rsidRPr="0004143F" w14:paraId="0AB336B7" w14:textId="77777777" w:rsidTr="00485287">
        <w:trPr>
          <w:trHeight w:val="360"/>
        </w:trPr>
        <w:tc>
          <w:tcPr>
            <w:tcW w:w="0" w:type="auto"/>
            <w:hideMark/>
          </w:tcPr>
          <w:p w14:paraId="7A2C25CE" w14:textId="77777777" w:rsidR="0004143F" w:rsidRPr="00454B59" w:rsidRDefault="0004143F" w:rsidP="00454B59">
            <w:pPr>
              <w:ind w:firstLine="300"/>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III. Tiesību akta projekta ietekme uz valsts budžetu un pašvaldību budžetiem</w:t>
            </w:r>
          </w:p>
        </w:tc>
      </w:tr>
      <w:tr w:rsidR="0004143F" w:rsidRPr="0004143F" w14:paraId="6F36D78D" w14:textId="77777777" w:rsidTr="0004143F">
        <w:tc>
          <w:tcPr>
            <w:tcW w:w="5000" w:type="pct"/>
          </w:tcPr>
          <w:p w14:paraId="1846CD18"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3B1CA26B" w14:textId="4F628619" w:rsidR="008547E3" w:rsidRDefault="008547E3" w:rsidP="0004143F">
      <w:pPr>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D451CE" w:rsidRPr="0004143F" w14:paraId="086A44A8" w14:textId="77777777" w:rsidTr="00190356">
        <w:trPr>
          <w:trHeight w:val="450"/>
        </w:trPr>
        <w:tc>
          <w:tcPr>
            <w:tcW w:w="0" w:type="auto"/>
            <w:hideMark/>
          </w:tcPr>
          <w:p w14:paraId="791A7E40" w14:textId="77777777" w:rsidR="00D451CE" w:rsidRPr="0004143F" w:rsidRDefault="00D451CE" w:rsidP="00190356">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D451CE" w:rsidRPr="00F818DA" w14:paraId="01538F02" w14:textId="77777777" w:rsidTr="0019035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FD8879E" w14:textId="77777777" w:rsidR="00D451CE" w:rsidRPr="00F818DA" w:rsidRDefault="00D451CE" w:rsidP="00190356">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0D7A724" w14:textId="77777777" w:rsidR="00D451CE" w:rsidRPr="00F818DA" w:rsidRDefault="00D451CE" w:rsidP="00190356">
            <w:pPr>
              <w:spacing w:after="0" w:line="240" w:lineRule="auto"/>
              <w:ind w:hanging="68"/>
              <w:jc w:val="both"/>
              <w:rPr>
                <w:rFonts w:ascii="Times New Roman" w:eastAsia="Times New Roman" w:hAnsi="Times New Roman" w:cs="Times New Roman"/>
                <w:sz w:val="24"/>
                <w:szCs w:val="24"/>
                <w:lang w:eastAsia="lv-LV"/>
              </w:rPr>
            </w:pPr>
            <w:r w:rsidRPr="002E0C4D">
              <w:rPr>
                <w:rFonts w:ascii="Times New Roman" w:eastAsia="Times New Roman" w:hAnsi="Times New Roman" w:cs="Times New Roman"/>
                <w:sz w:val="24"/>
                <w:szCs w:val="24"/>
                <w:lang w:eastAsia="lv-LV"/>
              </w:rPr>
              <w:t>Nepieciešamie saistītie tiesību aktu projekti</w:t>
            </w:r>
          </w:p>
        </w:tc>
        <w:tc>
          <w:tcPr>
            <w:tcW w:w="3282" w:type="pct"/>
            <w:tcBorders>
              <w:top w:val="outset" w:sz="6" w:space="0" w:color="414142"/>
              <w:left w:val="outset" w:sz="6" w:space="0" w:color="414142"/>
              <w:bottom w:val="outset" w:sz="6" w:space="0" w:color="414142"/>
              <w:right w:val="outset" w:sz="6" w:space="0" w:color="414142"/>
            </w:tcBorders>
            <w:hideMark/>
          </w:tcPr>
          <w:p w14:paraId="4C33FBE6" w14:textId="0D843D63" w:rsidR="00D451CE" w:rsidRPr="00F818DA" w:rsidRDefault="00A44D9C" w:rsidP="00190356">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Pr>
                <w:rFonts w:ascii="Times New Roman" w:hAnsi="Times New Roman" w:cs="Times New Roman"/>
                <w:bCs/>
                <w:sz w:val="24"/>
                <w:szCs w:val="24"/>
              </w:rPr>
              <w:t xml:space="preserve">ar </w:t>
            </w:r>
            <w:r w:rsidRPr="00A44D9C">
              <w:rPr>
                <w:rFonts w:ascii="Times New Roman" w:hAnsi="Times New Roman" w:cs="Times New Roman"/>
                <w:bCs/>
                <w:sz w:val="24"/>
                <w:szCs w:val="24"/>
              </w:rPr>
              <w:t>Tieslietu ministrijas pamatbudžeta programmas "Noziedzīgi iegūtu līdzekļu konfiskācijas fonds"</w:t>
            </w:r>
            <w:r>
              <w:rPr>
                <w:rFonts w:ascii="Times New Roman" w:hAnsi="Times New Roman" w:cs="Times New Roman"/>
                <w:bCs/>
                <w:sz w:val="24"/>
                <w:szCs w:val="24"/>
              </w:rPr>
              <w:t xml:space="preserve"> </w:t>
            </w:r>
            <w:r w:rsidRPr="00A44D9C">
              <w:rPr>
                <w:rFonts w:ascii="Times New Roman" w:hAnsi="Times New Roman" w:cs="Times New Roman"/>
                <w:bCs/>
                <w:sz w:val="24"/>
                <w:szCs w:val="24"/>
              </w:rPr>
              <w:t xml:space="preserve">sadali atbilstoši Noteikumu projektam lems padome, </w:t>
            </w:r>
            <w:r>
              <w:rPr>
                <w:rFonts w:ascii="Times New Roman" w:hAnsi="Times New Roman" w:cs="Times New Roman"/>
                <w:bCs/>
                <w:sz w:val="24"/>
                <w:szCs w:val="24"/>
              </w:rPr>
              <w:t xml:space="preserve">savukārt </w:t>
            </w:r>
            <w:r w:rsidRPr="00A44D9C">
              <w:rPr>
                <w:rFonts w:ascii="Times New Roman" w:hAnsi="Times New Roman" w:cs="Times New Roman"/>
                <w:bCs/>
                <w:sz w:val="24"/>
                <w:szCs w:val="24"/>
              </w:rPr>
              <w:t>finanšu līdzekļu izmantošanas kārtība ir noteikta Ministru kabineta noteikumu projekt</w:t>
            </w:r>
            <w:r>
              <w:rPr>
                <w:rFonts w:ascii="Times New Roman" w:hAnsi="Times New Roman" w:cs="Times New Roman"/>
                <w:bCs/>
                <w:sz w:val="24"/>
                <w:szCs w:val="24"/>
              </w:rPr>
              <w:t>ā</w:t>
            </w:r>
            <w:r w:rsidRPr="00A44D9C">
              <w:rPr>
                <w:rFonts w:ascii="Times New Roman" w:hAnsi="Times New Roman" w:cs="Times New Roman"/>
                <w:bCs/>
                <w:sz w:val="24"/>
                <w:szCs w:val="24"/>
              </w:rPr>
              <w:t xml:space="preserve"> "Tieslietu ministrijas pamatbudžeta programmas "Noziedzīgi iegūtu līdzekļu konfiskācijas fonds" finanšu līdzekļu izmantošanas kārtība"" (VSS-1145)</w:t>
            </w:r>
            <w:r>
              <w:rPr>
                <w:rFonts w:ascii="Times New Roman" w:hAnsi="Times New Roman" w:cs="Times New Roman"/>
                <w:bCs/>
                <w:sz w:val="24"/>
                <w:szCs w:val="24"/>
              </w:rPr>
              <w:t>.</w:t>
            </w:r>
          </w:p>
        </w:tc>
      </w:tr>
      <w:tr w:rsidR="00D451CE" w:rsidRPr="00F818DA" w14:paraId="13877D32" w14:textId="77777777" w:rsidTr="00190356">
        <w:trPr>
          <w:trHeight w:val="540"/>
        </w:trPr>
        <w:tc>
          <w:tcPr>
            <w:tcW w:w="250" w:type="pct"/>
            <w:tcBorders>
              <w:top w:val="outset" w:sz="6" w:space="0" w:color="414142"/>
              <w:left w:val="outset" w:sz="6" w:space="0" w:color="414142"/>
              <w:bottom w:val="outset" w:sz="6" w:space="0" w:color="414142"/>
              <w:right w:val="outset" w:sz="6" w:space="0" w:color="414142"/>
            </w:tcBorders>
          </w:tcPr>
          <w:p w14:paraId="7DA1FB24" w14:textId="77777777" w:rsidR="00D451CE" w:rsidRPr="00F818DA" w:rsidRDefault="00D451CE" w:rsidP="00190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tcPr>
          <w:p w14:paraId="4A2C95DB" w14:textId="77777777" w:rsidR="00D451CE" w:rsidRPr="002E0C4D" w:rsidRDefault="00D451CE" w:rsidP="00190356">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Atbildīgā institūcija</w:t>
            </w:r>
          </w:p>
        </w:tc>
        <w:tc>
          <w:tcPr>
            <w:tcW w:w="3282" w:type="pct"/>
            <w:tcBorders>
              <w:top w:val="outset" w:sz="6" w:space="0" w:color="414142"/>
              <w:left w:val="outset" w:sz="6" w:space="0" w:color="414142"/>
              <w:bottom w:val="outset" w:sz="6" w:space="0" w:color="414142"/>
              <w:right w:val="outset" w:sz="6" w:space="0" w:color="414142"/>
            </w:tcBorders>
          </w:tcPr>
          <w:p w14:paraId="2B7DC8A7" w14:textId="77777777" w:rsidR="00D451CE" w:rsidRPr="002E0C4D" w:rsidRDefault="00D451CE" w:rsidP="00190356">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Tieslietu ministrija</w:t>
            </w:r>
            <w:r>
              <w:rPr>
                <w:rFonts w:ascii="Times New Roman" w:hAnsi="Times New Roman" w:cs="Times New Roman"/>
                <w:bCs/>
                <w:sz w:val="24"/>
                <w:szCs w:val="24"/>
              </w:rPr>
              <w:t>.</w:t>
            </w:r>
          </w:p>
        </w:tc>
      </w:tr>
      <w:tr w:rsidR="00D451CE" w:rsidRPr="00F818DA" w14:paraId="3248061D" w14:textId="77777777" w:rsidTr="00190356">
        <w:trPr>
          <w:trHeight w:val="540"/>
        </w:trPr>
        <w:tc>
          <w:tcPr>
            <w:tcW w:w="250" w:type="pct"/>
            <w:tcBorders>
              <w:top w:val="outset" w:sz="6" w:space="0" w:color="414142"/>
              <w:left w:val="outset" w:sz="6" w:space="0" w:color="414142"/>
              <w:bottom w:val="outset" w:sz="6" w:space="0" w:color="414142"/>
              <w:right w:val="outset" w:sz="6" w:space="0" w:color="414142"/>
            </w:tcBorders>
          </w:tcPr>
          <w:p w14:paraId="4FDAA86D" w14:textId="77777777" w:rsidR="00D451CE" w:rsidRPr="00F818DA" w:rsidRDefault="00D451CE" w:rsidP="001903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tcPr>
          <w:p w14:paraId="127C3F75" w14:textId="77777777" w:rsidR="00D451CE" w:rsidRPr="002E0C4D" w:rsidRDefault="00D451CE" w:rsidP="00190356">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439B2786" w14:textId="77777777" w:rsidR="00D451CE" w:rsidRPr="002E0C4D" w:rsidRDefault="00D451CE" w:rsidP="00190356">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Nav</w:t>
            </w:r>
            <w:r>
              <w:rPr>
                <w:rFonts w:ascii="Times New Roman" w:hAnsi="Times New Roman" w:cs="Times New Roman"/>
                <w:bCs/>
                <w:sz w:val="24"/>
                <w:szCs w:val="24"/>
              </w:rPr>
              <w:t>.</w:t>
            </w:r>
          </w:p>
        </w:tc>
      </w:tr>
    </w:tbl>
    <w:p w14:paraId="19AF8994" w14:textId="77777777" w:rsidR="0004143F" w:rsidRPr="00454B59" w:rsidRDefault="0004143F" w:rsidP="00454B59">
      <w:pPr>
        <w:spacing w:after="0" w:line="240" w:lineRule="auto"/>
        <w:ind w:firstLine="300"/>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 </w:t>
      </w:r>
    </w:p>
    <w:tbl>
      <w:tblPr>
        <w:tblStyle w:val="Reatabula"/>
        <w:tblW w:w="5000" w:type="pct"/>
        <w:tblLook w:val="04A0" w:firstRow="1" w:lastRow="0" w:firstColumn="1" w:lastColumn="0" w:noHBand="0" w:noVBand="1"/>
      </w:tblPr>
      <w:tblGrid>
        <w:gridCol w:w="9061"/>
      </w:tblGrid>
      <w:tr w:rsidR="0004143F" w:rsidRPr="00932B72" w14:paraId="6779B6A5" w14:textId="77777777" w:rsidTr="00485287">
        <w:tc>
          <w:tcPr>
            <w:tcW w:w="0" w:type="auto"/>
            <w:hideMark/>
          </w:tcPr>
          <w:p w14:paraId="1E02AB7E" w14:textId="77777777" w:rsidR="0004143F" w:rsidRPr="00454B59" w:rsidRDefault="0004143F" w:rsidP="00C700E7">
            <w:pPr>
              <w:ind w:firstLine="22"/>
              <w:jc w:val="center"/>
              <w:rPr>
                <w:rFonts w:ascii="Times New Roman" w:eastAsia="Times New Roman" w:hAnsi="Times New Roman" w:cs="Times New Roman"/>
                <w:b/>
                <w:bCs/>
                <w:sz w:val="24"/>
                <w:szCs w:val="24"/>
                <w:lang w:eastAsia="lv-LV"/>
              </w:rPr>
            </w:pPr>
            <w:r w:rsidRPr="00454B59">
              <w:rPr>
                <w:rFonts w:ascii="Times New Roman" w:eastAsia="Times New Roman" w:hAnsi="Times New Roman" w:cs="Times New Roman"/>
                <w:b/>
                <w:bCs/>
                <w:sz w:val="24"/>
                <w:szCs w:val="24"/>
                <w:lang w:eastAsia="lv-LV"/>
              </w:rPr>
              <w:t>V. Tiesību akta projekta atbilstība Latvijas Republikas starptautiskajām saistībām</w:t>
            </w:r>
          </w:p>
        </w:tc>
      </w:tr>
      <w:tr w:rsidR="0004143F" w:rsidRPr="00932B72" w14:paraId="73038F9F" w14:textId="77777777" w:rsidTr="00485287">
        <w:trPr>
          <w:trHeight w:val="435"/>
        </w:trPr>
        <w:tc>
          <w:tcPr>
            <w:tcW w:w="4967" w:type="pct"/>
          </w:tcPr>
          <w:p w14:paraId="4360C8C9" w14:textId="77777777" w:rsidR="0004143F" w:rsidRPr="00454B59" w:rsidRDefault="0004143F" w:rsidP="00C700E7">
            <w:pPr>
              <w:ind w:firstLine="22"/>
              <w:jc w:val="center"/>
              <w:rPr>
                <w:rFonts w:ascii="Times New Roman" w:eastAsia="Times New Roman" w:hAnsi="Times New Roman" w:cs="Times New Roman"/>
                <w:bCs/>
                <w:sz w:val="24"/>
                <w:szCs w:val="24"/>
                <w:lang w:eastAsia="lv-LV"/>
              </w:rPr>
            </w:pPr>
            <w:r w:rsidRPr="00932B72">
              <w:rPr>
                <w:rFonts w:ascii="Times New Roman" w:eastAsia="Times New Roman" w:hAnsi="Times New Roman" w:cs="Times New Roman"/>
                <w:bCs/>
                <w:sz w:val="24"/>
                <w:szCs w:val="24"/>
                <w:lang w:eastAsia="lv-LV"/>
              </w:rPr>
              <w:lastRenderedPageBreak/>
              <w:t>Noteikumu projekts šo jomu neskar.</w:t>
            </w:r>
          </w:p>
        </w:tc>
      </w:tr>
    </w:tbl>
    <w:p w14:paraId="0E5122C2" w14:textId="77777777" w:rsidR="008547E3" w:rsidRPr="00F818DA" w:rsidRDefault="008547E3"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705FF" w:rsidRPr="00F818DA" w14:paraId="3101A770" w14:textId="77777777" w:rsidTr="009001AE">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9AF3142" w14:textId="77777777" w:rsidR="006705FF" w:rsidRPr="00F818DA" w:rsidRDefault="006705FF" w:rsidP="00C700E7">
            <w:pPr>
              <w:spacing w:after="0" w:line="240" w:lineRule="auto"/>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821D20" w:rsidRPr="00F818DA" w14:paraId="2787DA35" w14:textId="77777777" w:rsidTr="00454B59">
        <w:trPr>
          <w:trHeight w:val="356"/>
        </w:trPr>
        <w:tc>
          <w:tcPr>
            <w:tcW w:w="5000" w:type="pct"/>
            <w:tcBorders>
              <w:top w:val="outset" w:sz="6" w:space="0" w:color="414142"/>
              <w:left w:val="outset" w:sz="6" w:space="0" w:color="414142"/>
              <w:bottom w:val="outset" w:sz="6" w:space="0" w:color="414142"/>
              <w:right w:val="outset" w:sz="6" w:space="0" w:color="414142"/>
            </w:tcBorders>
          </w:tcPr>
          <w:p w14:paraId="27815432" w14:textId="77777777" w:rsidR="00821D20" w:rsidRPr="00F818DA" w:rsidRDefault="00821D20" w:rsidP="00821D20">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14:paraId="21CAE724"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82"/>
        <w:gridCol w:w="5520"/>
      </w:tblGrid>
      <w:tr w:rsidR="006705FF" w:rsidRPr="00F818DA" w14:paraId="5160CAC1" w14:textId="77777777" w:rsidTr="009001AE">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12194A"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0B109A70" w14:textId="77777777" w:rsidTr="00454B5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94F21AA"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3BCB25D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B767918" w14:textId="77777777" w:rsidR="006705FF" w:rsidRPr="00F818DA" w:rsidRDefault="00821D20" w:rsidP="00EF3A05">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ministrija</w:t>
            </w:r>
            <w:r w:rsidR="00907A1B" w:rsidRPr="00F818DA">
              <w:rPr>
                <w:rFonts w:ascii="Times New Roman" w:eastAsia="Times New Roman" w:hAnsi="Times New Roman" w:cs="Times New Roman"/>
                <w:sz w:val="24"/>
                <w:szCs w:val="24"/>
                <w:lang w:eastAsia="lv-LV"/>
              </w:rPr>
              <w:t>.</w:t>
            </w:r>
          </w:p>
        </w:tc>
      </w:tr>
      <w:tr w:rsidR="006705FF" w:rsidRPr="00F818DA" w14:paraId="6E47FC9A" w14:textId="77777777" w:rsidTr="00454B5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70172F6"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2DA40AA7"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093986D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3E60E3BE" w14:textId="77777777" w:rsidR="006705FF" w:rsidRDefault="00395FE5" w:rsidP="00907A1B">
            <w:pPr>
              <w:spacing w:after="0" w:line="240" w:lineRule="auto"/>
              <w:ind w:firstLine="5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 xml:space="preserve">Noteikumu projekts </w:t>
            </w:r>
            <w:r w:rsidR="00EF3A05" w:rsidRPr="00F818DA">
              <w:rPr>
                <w:rFonts w:ascii="Times New Roman" w:eastAsia="Times New Roman" w:hAnsi="Times New Roman" w:cs="Times New Roman"/>
                <w:color w:val="000000"/>
                <w:sz w:val="24"/>
                <w:szCs w:val="24"/>
                <w:lang w:eastAsia="lv-LV"/>
              </w:rPr>
              <w:t xml:space="preserve">neietekmēs </w:t>
            </w:r>
            <w:r w:rsidR="00EF3A05" w:rsidRPr="00F818DA">
              <w:rPr>
                <w:rFonts w:ascii="Times New Roman" w:eastAsia="Times New Roman" w:hAnsi="Times New Roman" w:cs="Times New Roman"/>
                <w:sz w:val="24"/>
                <w:szCs w:val="24"/>
                <w:lang w:eastAsia="lv-LV"/>
              </w:rPr>
              <w:t xml:space="preserve">pārvaldes funkcijas un institucionālo struktūru. Jaunas institūcijas nebūs jāveido, esošās institūcijas nebūs jālikvidē vai jāreorganizē. </w:t>
            </w:r>
            <w:r w:rsidR="00821D20">
              <w:rPr>
                <w:rFonts w:ascii="Times New Roman" w:eastAsia="Times New Roman" w:hAnsi="Times New Roman" w:cs="Times New Roman"/>
                <w:sz w:val="24"/>
                <w:szCs w:val="24"/>
                <w:lang w:eastAsia="lv-LV"/>
              </w:rPr>
              <w:t>Tieslietu ministrijai būs</w:t>
            </w:r>
            <w:r w:rsidR="00893645">
              <w:rPr>
                <w:rFonts w:ascii="Times New Roman" w:eastAsia="Times New Roman" w:hAnsi="Times New Roman" w:cs="Times New Roman"/>
                <w:sz w:val="24"/>
                <w:szCs w:val="24"/>
                <w:lang w:eastAsia="lv-LV"/>
              </w:rPr>
              <w:t xml:space="preserve"> jānosaka atbildīgā amatpersona</w:t>
            </w:r>
            <w:r w:rsidR="00821D20">
              <w:rPr>
                <w:rFonts w:ascii="Times New Roman" w:eastAsia="Times New Roman" w:hAnsi="Times New Roman" w:cs="Times New Roman"/>
                <w:sz w:val="24"/>
                <w:szCs w:val="24"/>
                <w:lang w:eastAsia="lv-LV"/>
              </w:rPr>
              <w:t>, kas pildīs Noteikumu 13.</w:t>
            </w:r>
            <w:r w:rsidR="00902BC7">
              <w:rPr>
                <w:rFonts w:ascii="Times New Roman" w:eastAsia="Times New Roman" w:hAnsi="Times New Roman" w:cs="Times New Roman"/>
                <w:sz w:val="24"/>
                <w:szCs w:val="24"/>
                <w:lang w:eastAsia="lv-LV"/>
              </w:rPr>
              <w:t> </w:t>
            </w:r>
            <w:r w:rsidR="00821D20">
              <w:rPr>
                <w:rFonts w:ascii="Times New Roman" w:eastAsia="Times New Roman" w:hAnsi="Times New Roman" w:cs="Times New Roman"/>
                <w:sz w:val="24"/>
                <w:szCs w:val="24"/>
                <w:lang w:eastAsia="lv-LV"/>
              </w:rPr>
              <w:t>punktā noteiktās funkcijas</w:t>
            </w:r>
            <w:r w:rsidR="00EF3A05" w:rsidRPr="00F818DA">
              <w:rPr>
                <w:rFonts w:ascii="Times New Roman" w:eastAsia="Times New Roman" w:hAnsi="Times New Roman" w:cs="Times New Roman"/>
                <w:sz w:val="24"/>
                <w:szCs w:val="24"/>
                <w:lang w:eastAsia="lv-LV"/>
              </w:rPr>
              <w:t>.</w:t>
            </w:r>
          </w:p>
          <w:p w14:paraId="7EF73F65" w14:textId="05C1CFC6" w:rsidR="00405068" w:rsidRPr="00292DA5" w:rsidRDefault="008768EA" w:rsidP="00907A1B">
            <w:pPr>
              <w:spacing w:after="0" w:line="240" w:lineRule="auto"/>
              <w:ind w:firstLine="538"/>
              <w:jc w:val="both"/>
              <w:rPr>
                <w:rFonts w:ascii="Times New Roman" w:eastAsia="Times New Roman" w:hAnsi="Times New Roman" w:cs="Times New Roman"/>
                <w:sz w:val="24"/>
                <w:szCs w:val="24"/>
                <w:lang w:eastAsia="lv-LV"/>
              </w:rPr>
            </w:pPr>
            <w:r w:rsidRPr="00292DA5">
              <w:rPr>
                <w:rFonts w:ascii="Times New Roman" w:eastAsia="Times New Roman" w:hAnsi="Times New Roman" w:cs="Times New Roman"/>
                <w:sz w:val="24"/>
                <w:szCs w:val="24"/>
                <w:lang w:eastAsia="lv-LV"/>
              </w:rPr>
              <w:t>Padomes pastāvīgo funkciju izpildes materiāltehniskā nodrošināšana tiks īstenota Tieslietu ministrijas budžeta programm</w:t>
            </w:r>
            <w:r w:rsidR="00C700E7">
              <w:rPr>
                <w:rFonts w:ascii="Times New Roman" w:eastAsia="Times New Roman" w:hAnsi="Times New Roman" w:cs="Times New Roman"/>
                <w:sz w:val="24"/>
                <w:szCs w:val="24"/>
                <w:lang w:eastAsia="lv-LV"/>
              </w:rPr>
              <w:t>a</w:t>
            </w:r>
            <w:r w:rsidRPr="00292DA5">
              <w:rPr>
                <w:rFonts w:ascii="Times New Roman" w:eastAsia="Times New Roman" w:hAnsi="Times New Roman" w:cs="Times New Roman"/>
                <w:sz w:val="24"/>
                <w:szCs w:val="24"/>
                <w:lang w:eastAsia="lv-LV"/>
              </w:rPr>
              <w:t xml:space="preserve">s 97.00.00 "Nozaru vadība un politikas plānošana" un </w:t>
            </w:r>
            <w:r w:rsidR="00104AF5" w:rsidRPr="00292DA5">
              <w:rPr>
                <w:rFonts w:ascii="Times New Roman" w:eastAsia="Times New Roman" w:hAnsi="Times New Roman" w:cs="Times New Roman"/>
                <w:sz w:val="24"/>
                <w:szCs w:val="24"/>
                <w:lang w:eastAsia="lv-LV"/>
              </w:rPr>
              <w:t>Tieslietu ministrijas pamatbudžeta programmas "Noziedzīgi iegūtu līdzekļu konfiskācijas fonds" finanšu līdzekļu izmantošanas kārtība</w:t>
            </w:r>
            <w:r w:rsidR="00C700E7">
              <w:rPr>
                <w:rFonts w:ascii="Times New Roman" w:eastAsia="Times New Roman" w:hAnsi="Times New Roman" w:cs="Times New Roman"/>
                <w:sz w:val="24"/>
                <w:szCs w:val="24"/>
                <w:lang w:eastAsia="lv-LV"/>
              </w:rPr>
              <w:t>s</w:t>
            </w:r>
            <w:r w:rsidRPr="00292DA5">
              <w:rPr>
                <w:rFonts w:ascii="Times New Roman" w:eastAsia="Times New Roman" w:hAnsi="Times New Roman" w:cs="Times New Roman"/>
                <w:sz w:val="24"/>
                <w:szCs w:val="24"/>
                <w:lang w:eastAsia="lv-LV"/>
              </w:rPr>
              <w:t xml:space="preserve"> ietvaros.</w:t>
            </w:r>
          </w:p>
        </w:tc>
      </w:tr>
      <w:tr w:rsidR="006705FF" w:rsidRPr="00F818DA" w14:paraId="064AA9FF" w14:textId="77777777" w:rsidTr="00454B5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B283F9"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0D7DD42E"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F41B1B1"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7968552E" w14:textId="77777777" w:rsidR="006705FF" w:rsidRPr="00F818DA" w:rsidRDefault="006705FF" w:rsidP="006705FF">
      <w:pPr>
        <w:spacing w:after="0" w:line="240" w:lineRule="auto"/>
        <w:rPr>
          <w:rFonts w:ascii="Times New Roman" w:hAnsi="Times New Roman" w:cs="Times New Roman"/>
          <w:i/>
          <w:sz w:val="24"/>
          <w:szCs w:val="24"/>
        </w:rPr>
      </w:pPr>
    </w:p>
    <w:p w14:paraId="270D94DD" w14:textId="77777777" w:rsidR="006705FF" w:rsidRPr="00F24635" w:rsidRDefault="006705FF" w:rsidP="006705FF">
      <w:pPr>
        <w:pStyle w:val="StyleRight"/>
        <w:spacing w:after="0"/>
        <w:ind w:firstLine="0"/>
        <w:jc w:val="both"/>
        <w:rPr>
          <w:sz w:val="24"/>
          <w:szCs w:val="24"/>
        </w:rPr>
      </w:pPr>
      <w:r w:rsidRPr="00F24635">
        <w:rPr>
          <w:sz w:val="24"/>
          <w:szCs w:val="24"/>
        </w:rPr>
        <w:t>Iesniedzējs:</w:t>
      </w:r>
    </w:p>
    <w:p w14:paraId="4F14AF76" w14:textId="2F18AA40" w:rsidR="006705FF" w:rsidRPr="00F818DA" w:rsidRDefault="009F305C" w:rsidP="002C2141">
      <w:pPr>
        <w:pStyle w:val="StyleRight"/>
        <w:tabs>
          <w:tab w:val="left" w:pos="7230"/>
        </w:tabs>
        <w:spacing w:after="0"/>
        <w:ind w:firstLine="0"/>
        <w:jc w:val="both"/>
        <w:rPr>
          <w:sz w:val="24"/>
          <w:szCs w:val="24"/>
        </w:rPr>
      </w:pPr>
      <w:r>
        <w:rPr>
          <w:sz w:val="24"/>
          <w:szCs w:val="24"/>
        </w:rPr>
        <w:t>tieslietu ministrs</w:t>
      </w:r>
      <w:r w:rsidR="002C2141">
        <w:rPr>
          <w:sz w:val="24"/>
          <w:szCs w:val="24"/>
        </w:rPr>
        <w:tab/>
      </w:r>
      <w:r>
        <w:rPr>
          <w:sz w:val="24"/>
          <w:szCs w:val="24"/>
        </w:rPr>
        <w:t>Dzintars Rasnačs</w:t>
      </w:r>
    </w:p>
    <w:p w14:paraId="6B63FA79" w14:textId="5CCFD7F5" w:rsidR="00B534EE" w:rsidRDefault="00B534EE" w:rsidP="006705FF">
      <w:pPr>
        <w:pStyle w:val="StyleRight"/>
        <w:spacing w:after="0"/>
        <w:ind w:firstLine="0"/>
        <w:jc w:val="both"/>
        <w:rPr>
          <w:sz w:val="24"/>
          <w:szCs w:val="20"/>
        </w:rPr>
      </w:pPr>
    </w:p>
    <w:p w14:paraId="2C9CBA88" w14:textId="77777777" w:rsidR="008E723D" w:rsidRPr="00F818DA" w:rsidRDefault="008E723D" w:rsidP="006705FF">
      <w:pPr>
        <w:pStyle w:val="StyleRight"/>
        <w:spacing w:after="0"/>
        <w:ind w:firstLine="0"/>
        <w:jc w:val="both"/>
        <w:rPr>
          <w:sz w:val="24"/>
          <w:szCs w:val="20"/>
        </w:rPr>
      </w:pPr>
    </w:p>
    <w:p w14:paraId="758CF5F4" w14:textId="77777777" w:rsidR="00B33971" w:rsidRDefault="00821D20" w:rsidP="0024327E">
      <w:pPr>
        <w:spacing w:after="0" w:line="240" w:lineRule="auto"/>
        <w:rPr>
          <w:rFonts w:ascii="Times New Roman" w:hAnsi="Times New Roman" w:cs="Times New Roman"/>
          <w:sz w:val="20"/>
          <w:szCs w:val="20"/>
        </w:rPr>
      </w:pPr>
      <w:bookmarkStart w:id="1" w:name="_Hlk493153035"/>
      <w:r>
        <w:rPr>
          <w:rFonts w:ascii="Times New Roman" w:hAnsi="Times New Roman" w:cs="Times New Roman"/>
          <w:sz w:val="20"/>
          <w:szCs w:val="20"/>
        </w:rPr>
        <w:t>Zemzars</w:t>
      </w:r>
      <w:r w:rsidR="00B33971">
        <w:rPr>
          <w:rFonts w:ascii="Times New Roman" w:hAnsi="Times New Roman" w:cs="Times New Roman"/>
          <w:sz w:val="20"/>
          <w:szCs w:val="20"/>
        </w:rPr>
        <w:t xml:space="preserve"> </w:t>
      </w:r>
      <w:r w:rsidR="00910D9E" w:rsidRPr="00910D9E">
        <w:rPr>
          <w:rFonts w:ascii="Times New Roman" w:hAnsi="Times New Roman" w:cs="Times New Roman"/>
          <w:sz w:val="20"/>
          <w:szCs w:val="20"/>
        </w:rPr>
        <w:t>67036</w:t>
      </w:r>
      <w:r>
        <w:rPr>
          <w:rFonts w:ascii="Times New Roman" w:hAnsi="Times New Roman" w:cs="Times New Roman"/>
          <w:sz w:val="20"/>
          <w:szCs w:val="20"/>
        </w:rPr>
        <w:t>943</w:t>
      </w:r>
    </w:p>
    <w:p w14:paraId="3BC4978A" w14:textId="77777777" w:rsidR="009A0DF7" w:rsidRDefault="00C30B18" w:rsidP="0024327E">
      <w:pPr>
        <w:spacing w:after="0" w:line="240" w:lineRule="auto"/>
        <w:rPr>
          <w:rStyle w:val="Hipersaite"/>
          <w:rFonts w:ascii="Times New Roman" w:hAnsi="Times New Roman" w:cs="Times New Roman"/>
          <w:sz w:val="20"/>
          <w:szCs w:val="20"/>
        </w:rPr>
      </w:pPr>
      <w:hyperlink r:id="rId7" w:history="1">
        <w:r w:rsidR="00821D20" w:rsidRPr="005E39B1">
          <w:rPr>
            <w:rStyle w:val="Hipersaite"/>
            <w:rFonts w:ascii="Times New Roman" w:hAnsi="Times New Roman" w:cs="Times New Roman"/>
            <w:sz w:val="20"/>
            <w:szCs w:val="20"/>
          </w:rPr>
          <w:t>Uldis.Zemzars@tm.gov.lv</w:t>
        </w:r>
      </w:hyperlink>
      <w:bookmarkEnd w:id="1"/>
    </w:p>
    <w:p w14:paraId="7FF65362" w14:textId="77777777" w:rsidR="00877049" w:rsidRDefault="00877049" w:rsidP="008770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Kalniņa </w:t>
      </w:r>
      <w:r w:rsidRPr="00910D9E">
        <w:rPr>
          <w:rFonts w:ascii="Times New Roman" w:hAnsi="Times New Roman" w:cs="Times New Roman"/>
          <w:sz w:val="20"/>
          <w:szCs w:val="20"/>
        </w:rPr>
        <w:t>67036</w:t>
      </w:r>
      <w:r>
        <w:rPr>
          <w:rFonts w:ascii="Times New Roman" w:hAnsi="Times New Roman" w:cs="Times New Roman"/>
          <w:sz w:val="20"/>
          <w:szCs w:val="20"/>
        </w:rPr>
        <w:t>9</w:t>
      </w:r>
      <w:r w:rsidR="000E2349">
        <w:rPr>
          <w:rFonts w:ascii="Times New Roman" w:hAnsi="Times New Roman" w:cs="Times New Roman"/>
          <w:sz w:val="20"/>
          <w:szCs w:val="20"/>
        </w:rPr>
        <w:t>88</w:t>
      </w:r>
    </w:p>
    <w:p w14:paraId="7A30A348" w14:textId="4E25B47C" w:rsidR="00877049" w:rsidRPr="00985A25" w:rsidRDefault="00C30B18" w:rsidP="00A44D9C">
      <w:pPr>
        <w:spacing w:after="0" w:line="240" w:lineRule="auto"/>
        <w:rPr>
          <w:rFonts w:ascii="Times New Roman" w:hAnsi="Times New Roman" w:cs="Times New Roman"/>
          <w:sz w:val="20"/>
          <w:szCs w:val="20"/>
        </w:rPr>
      </w:pPr>
      <w:hyperlink r:id="rId8" w:history="1">
        <w:r w:rsidR="00877049" w:rsidRPr="00306AA2">
          <w:rPr>
            <w:rStyle w:val="Hipersaite"/>
            <w:rFonts w:ascii="Times New Roman" w:hAnsi="Times New Roman" w:cs="Times New Roman"/>
            <w:sz w:val="20"/>
            <w:szCs w:val="20"/>
          </w:rPr>
          <w:t>Kristiana.Kalniņa@tm.gov.lv</w:t>
        </w:r>
      </w:hyperlink>
    </w:p>
    <w:sectPr w:rsidR="00877049" w:rsidRPr="00985A25" w:rsidSect="0024327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82ED" w14:textId="77777777" w:rsidR="00AD7D35" w:rsidRDefault="00AD7D35" w:rsidP="00910D9E">
      <w:pPr>
        <w:spacing w:after="0" w:line="240" w:lineRule="auto"/>
      </w:pPr>
      <w:r>
        <w:separator/>
      </w:r>
    </w:p>
  </w:endnote>
  <w:endnote w:type="continuationSeparator" w:id="0">
    <w:p w14:paraId="7499753E" w14:textId="77777777" w:rsidR="00AD7D35" w:rsidRDefault="00AD7D35"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508C" w14:textId="1789EA1E" w:rsidR="00AD7D35" w:rsidRPr="00907A1B" w:rsidRDefault="00AD7D35" w:rsidP="00907A1B">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985A25">
      <w:rPr>
        <w:rFonts w:ascii="Times New Roman" w:hAnsi="Times New Roman" w:cs="Times New Roman"/>
        <w:sz w:val="20"/>
        <w:szCs w:val="20"/>
      </w:rPr>
      <w:t>1</w:t>
    </w:r>
    <w:r w:rsidR="003B280C">
      <w:rPr>
        <w:rFonts w:ascii="Times New Roman" w:hAnsi="Times New Roman" w:cs="Times New Roman"/>
        <w:sz w:val="20"/>
        <w:szCs w:val="20"/>
      </w:rPr>
      <w:t>8</w:t>
    </w:r>
    <w:r w:rsidR="00652405">
      <w:rPr>
        <w:rFonts w:ascii="Times New Roman" w:hAnsi="Times New Roman" w:cs="Times New Roman"/>
        <w:sz w:val="20"/>
        <w:szCs w:val="20"/>
      </w:rPr>
      <w:t>12</w:t>
    </w:r>
    <w:r w:rsidRPr="00027689">
      <w:rPr>
        <w:rFonts w:ascii="Times New Roman" w:hAnsi="Times New Roman" w:cs="Times New Roman"/>
        <w:sz w:val="20"/>
        <w:szCs w:val="20"/>
      </w:rPr>
      <w:t>17_NNP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C754" w14:textId="20E7380C" w:rsidR="00AD7D35" w:rsidRPr="00907A1B" w:rsidRDefault="00AD7D35" w:rsidP="00910D9E">
    <w:pPr>
      <w:spacing w:after="0" w:line="240" w:lineRule="auto"/>
      <w:jc w:val="both"/>
      <w:rPr>
        <w:rFonts w:ascii="Times New Roman" w:hAnsi="Times New Roman" w:cs="Times New Roman"/>
        <w:sz w:val="20"/>
        <w:szCs w:val="20"/>
      </w:rPr>
    </w:pPr>
    <w:r w:rsidRPr="00027689">
      <w:rPr>
        <w:rFonts w:ascii="Times New Roman" w:hAnsi="Times New Roman" w:cs="Times New Roman"/>
        <w:sz w:val="20"/>
        <w:szCs w:val="20"/>
      </w:rPr>
      <w:t>TMAnot_</w:t>
    </w:r>
    <w:r w:rsidR="00985A25">
      <w:rPr>
        <w:rFonts w:ascii="Times New Roman" w:hAnsi="Times New Roman" w:cs="Times New Roman"/>
        <w:sz w:val="20"/>
        <w:szCs w:val="20"/>
      </w:rPr>
      <w:t>1</w:t>
    </w:r>
    <w:r w:rsidR="003B280C">
      <w:rPr>
        <w:rFonts w:ascii="Times New Roman" w:hAnsi="Times New Roman" w:cs="Times New Roman"/>
        <w:sz w:val="20"/>
        <w:szCs w:val="20"/>
      </w:rPr>
      <w:t>8</w:t>
    </w:r>
    <w:r w:rsidR="00652405">
      <w:rPr>
        <w:rFonts w:ascii="Times New Roman" w:hAnsi="Times New Roman" w:cs="Times New Roman"/>
        <w:sz w:val="20"/>
        <w:szCs w:val="20"/>
      </w:rPr>
      <w:t>12</w:t>
    </w:r>
    <w:r w:rsidRPr="00027689">
      <w:rPr>
        <w:rFonts w:ascii="Times New Roman" w:hAnsi="Times New Roman" w:cs="Times New Roman"/>
        <w:sz w:val="20"/>
        <w:szCs w:val="20"/>
      </w:rPr>
      <w:t>17_NNP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475B" w14:textId="77777777" w:rsidR="00AD7D35" w:rsidRDefault="00AD7D35" w:rsidP="00910D9E">
      <w:pPr>
        <w:spacing w:after="0" w:line="240" w:lineRule="auto"/>
      </w:pPr>
      <w:r>
        <w:separator/>
      </w:r>
    </w:p>
  </w:footnote>
  <w:footnote w:type="continuationSeparator" w:id="0">
    <w:p w14:paraId="48495FEC" w14:textId="77777777" w:rsidR="00AD7D35" w:rsidRDefault="00AD7D35"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633E1A59" w14:textId="7D3F88AF" w:rsidR="00AD7D35" w:rsidRPr="004D15A9" w:rsidRDefault="00AD7D3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30B1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085BA12" w14:textId="77777777" w:rsidR="00AD7D35" w:rsidRDefault="00AD7D3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12073"/>
    <w:rsid w:val="00013829"/>
    <w:rsid w:val="00016D7C"/>
    <w:rsid w:val="00024C1F"/>
    <w:rsid w:val="000269EF"/>
    <w:rsid w:val="00027689"/>
    <w:rsid w:val="000320DB"/>
    <w:rsid w:val="000369BE"/>
    <w:rsid w:val="0004143F"/>
    <w:rsid w:val="00044E67"/>
    <w:rsid w:val="00091284"/>
    <w:rsid w:val="000A6C52"/>
    <w:rsid w:val="000B1544"/>
    <w:rsid w:val="000C1945"/>
    <w:rsid w:val="000D13DE"/>
    <w:rsid w:val="000D3B8E"/>
    <w:rsid w:val="000E2349"/>
    <w:rsid w:val="000E5BE6"/>
    <w:rsid w:val="000F0E11"/>
    <w:rsid w:val="00104AF5"/>
    <w:rsid w:val="00110C2F"/>
    <w:rsid w:val="00126687"/>
    <w:rsid w:val="00144104"/>
    <w:rsid w:val="00154D8E"/>
    <w:rsid w:val="00156DC7"/>
    <w:rsid w:val="00186A3F"/>
    <w:rsid w:val="001B10F6"/>
    <w:rsid w:val="001B1942"/>
    <w:rsid w:val="001C4859"/>
    <w:rsid w:val="001D14D0"/>
    <w:rsid w:val="001D3266"/>
    <w:rsid w:val="001E7907"/>
    <w:rsid w:val="001F3450"/>
    <w:rsid w:val="00205335"/>
    <w:rsid w:val="0021180D"/>
    <w:rsid w:val="0022408C"/>
    <w:rsid w:val="00232519"/>
    <w:rsid w:val="0024098F"/>
    <w:rsid w:val="0024327E"/>
    <w:rsid w:val="00255B1A"/>
    <w:rsid w:val="00271E13"/>
    <w:rsid w:val="00292DA5"/>
    <w:rsid w:val="002A123D"/>
    <w:rsid w:val="002B363A"/>
    <w:rsid w:val="002C2141"/>
    <w:rsid w:val="002D0DB7"/>
    <w:rsid w:val="002D36A3"/>
    <w:rsid w:val="002D7069"/>
    <w:rsid w:val="002F331D"/>
    <w:rsid w:val="002F5A6E"/>
    <w:rsid w:val="00311B1C"/>
    <w:rsid w:val="00314AFC"/>
    <w:rsid w:val="00327861"/>
    <w:rsid w:val="0037286B"/>
    <w:rsid w:val="00375791"/>
    <w:rsid w:val="003804A7"/>
    <w:rsid w:val="00395FE5"/>
    <w:rsid w:val="003B280C"/>
    <w:rsid w:val="003B365E"/>
    <w:rsid w:val="003D2B24"/>
    <w:rsid w:val="003E169B"/>
    <w:rsid w:val="00401260"/>
    <w:rsid w:val="00405068"/>
    <w:rsid w:val="00405D77"/>
    <w:rsid w:val="00406FF4"/>
    <w:rsid w:val="00416314"/>
    <w:rsid w:val="004241C8"/>
    <w:rsid w:val="004259BF"/>
    <w:rsid w:val="004361EB"/>
    <w:rsid w:val="00454666"/>
    <w:rsid w:val="00454B59"/>
    <w:rsid w:val="00457855"/>
    <w:rsid w:val="004834B7"/>
    <w:rsid w:val="00484542"/>
    <w:rsid w:val="00485287"/>
    <w:rsid w:val="004915D5"/>
    <w:rsid w:val="004D29FE"/>
    <w:rsid w:val="004E41F3"/>
    <w:rsid w:val="004F0560"/>
    <w:rsid w:val="004F1FEE"/>
    <w:rsid w:val="004F7AC7"/>
    <w:rsid w:val="004F7C37"/>
    <w:rsid w:val="005236A5"/>
    <w:rsid w:val="005308A5"/>
    <w:rsid w:val="00532172"/>
    <w:rsid w:val="00582458"/>
    <w:rsid w:val="00591E5B"/>
    <w:rsid w:val="00597088"/>
    <w:rsid w:val="005D5B05"/>
    <w:rsid w:val="005D6D6D"/>
    <w:rsid w:val="005E54A7"/>
    <w:rsid w:val="005F3BBF"/>
    <w:rsid w:val="005F5C80"/>
    <w:rsid w:val="0060125E"/>
    <w:rsid w:val="006029AB"/>
    <w:rsid w:val="00614E7F"/>
    <w:rsid w:val="006340EA"/>
    <w:rsid w:val="006410F5"/>
    <w:rsid w:val="00646C9E"/>
    <w:rsid w:val="00652405"/>
    <w:rsid w:val="0065511A"/>
    <w:rsid w:val="006570DE"/>
    <w:rsid w:val="00661AC6"/>
    <w:rsid w:val="006705FF"/>
    <w:rsid w:val="006A2A68"/>
    <w:rsid w:val="006B43F2"/>
    <w:rsid w:val="006B58BF"/>
    <w:rsid w:val="00730F81"/>
    <w:rsid w:val="00746182"/>
    <w:rsid w:val="00766299"/>
    <w:rsid w:val="007664C1"/>
    <w:rsid w:val="00770918"/>
    <w:rsid w:val="0079082D"/>
    <w:rsid w:val="007A3854"/>
    <w:rsid w:val="007B73B9"/>
    <w:rsid w:val="007C0537"/>
    <w:rsid w:val="007C5966"/>
    <w:rsid w:val="007D2FE8"/>
    <w:rsid w:val="007E63C0"/>
    <w:rsid w:val="00801F7E"/>
    <w:rsid w:val="00821D20"/>
    <w:rsid w:val="00835ACE"/>
    <w:rsid w:val="0085188C"/>
    <w:rsid w:val="0085437C"/>
    <w:rsid w:val="008547E3"/>
    <w:rsid w:val="00857311"/>
    <w:rsid w:val="00865EDD"/>
    <w:rsid w:val="008768EA"/>
    <w:rsid w:val="00876F62"/>
    <w:rsid w:val="00877049"/>
    <w:rsid w:val="00882ABA"/>
    <w:rsid w:val="0089117B"/>
    <w:rsid w:val="00893645"/>
    <w:rsid w:val="008A23A4"/>
    <w:rsid w:val="008D41A1"/>
    <w:rsid w:val="008D7F3D"/>
    <w:rsid w:val="008E723D"/>
    <w:rsid w:val="008F7982"/>
    <w:rsid w:val="009001AE"/>
    <w:rsid w:val="00902BC7"/>
    <w:rsid w:val="00907A1B"/>
    <w:rsid w:val="00910D9E"/>
    <w:rsid w:val="00932B72"/>
    <w:rsid w:val="00954A9E"/>
    <w:rsid w:val="00964222"/>
    <w:rsid w:val="00971500"/>
    <w:rsid w:val="00975667"/>
    <w:rsid w:val="00985A25"/>
    <w:rsid w:val="009930C1"/>
    <w:rsid w:val="009A0DF7"/>
    <w:rsid w:val="009B090E"/>
    <w:rsid w:val="009D55A6"/>
    <w:rsid w:val="009E0DB7"/>
    <w:rsid w:val="009E0E46"/>
    <w:rsid w:val="009F305C"/>
    <w:rsid w:val="009F6A64"/>
    <w:rsid w:val="00A04A65"/>
    <w:rsid w:val="00A11BA1"/>
    <w:rsid w:val="00A35C69"/>
    <w:rsid w:val="00A44D9C"/>
    <w:rsid w:val="00A718DF"/>
    <w:rsid w:val="00AB200E"/>
    <w:rsid w:val="00AD7D35"/>
    <w:rsid w:val="00B1426B"/>
    <w:rsid w:val="00B33971"/>
    <w:rsid w:val="00B35CCF"/>
    <w:rsid w:val="00B534EE"/>
    <w:rsid w:val="00B60524"/>
    <w:rsid w:val="00B833DA"/>
    <w:rsid w:val="00BD1AF2"/>
    <w:rsid w:val="00BD512A"/>
    <w:rsid w:val="00BD6DD0"/>
    <w:rsid w:val="00BE48CC"/>
    <w:rsid w:val="00BF27BA"/>
    <w:rsid w:val="00C02865"/>
    <w:rsid w:val="00C05BC4"/>
    <w:rsid w:val="00C30B18"/>
    <w:rsid w:val="00C3111C"/>
    <w:rsid w:val="00C37BA6"/>
    <w:rsid w:val="00C441D6"/>
    <w:rsid w:val="00C553FA"/>
    <w:rsid w:val="00C61D26"/>
    <w:rsid w:val="00C62DCC"/>
    <w:rsid w:val="00C700E7"/>
    <w:rsid w:val="00C73E16"/>
    <w:rsid w:val="00C8030B"/>
    <w:rsid w:val="00C82031"/>
    <w:rsid w:val="00CB000C"/>
    <w:rsid w:val="00CB756C"/>
    <w:rsid w:val="00CC68C9"/>
    <w:rsid w:val="00CF388F"/>
    <w:rsid w:val="00D02FFC"/>
    <w:rsid w:val="00D036A5"/>
    <w:rsid w:val="00D06D0C"/>
    <w:rsid w:val="00D06E67"/>
    <w:rsid w:val="00D10D83"/>
    <w:rsid w:val="00D451CE"/>
    <w:rsid w:val="00D94AA2"/>
    <w:rsid w:val="00DD6747"/>
    <w:rsid w:val="00DD7C93"/>
    <w:rsid w:val="00DE2FCE"/>
    <w:rsid w:val="00E068D9"/>
    <w:rsid w:val="00E108DA"/>
    <w:rsid w:val="00E13F5D"/>
    <w:rsid w:val="00E3405E"/>
    <w:rsid w:val="00E37CE6"/>
    <w:rsid w:val="00E677AE"/>
    <w:rsid w:val="00E71E87"/>
    <w:rsid w:val="00E7297F"/>
    <w:rsid w:val="00E77594"/>
    <w:rsid w:val="00E9671D"/>
    <w:rsid w:val="00EA0F3C"/>
    <w:rsid w:val="00EE33AB"/>
    <w:rsid w:val="00EF0022"/>
    <w:rsid w:val="00EF3A05"/>
    <w:rsid w:val="00F24635"/>
    <w:rsid w:val="00F7505D"/>
    <w:rsid w:val="00F818DA"/>
    <w:rsid w:val="00F85963"/>
    <w:rsid w:val="00F94DAA"/>
    <w:rsid w:val="00FA6C83"/>
    <w:rsid w:val="00FB2058"/>
    <w:rsid w:val="00FC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a.Kalni&#326;a@t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Zemzars@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D042-69E7-4CA4-A68B-793AB82B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5692</Words>
  <Characters>3246</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2004. gada 20. janvāra noteikumos Nr. 42 "Noziedzības novēršanas padomes nolikums"" sākotnējās ietekmes novērtējuma ziņojums (anotācija)</vt:lpstr>
    </vt:vector>
  </TitlesOfParts>
  <Company>Tieslietu ministrija</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janvāra noteikumos Nr. 42 "Noziedzības novēršanas padomes nolikums"" sākotnējās ietekmes novērtējuma ziņojums (anotācija)</dc:title>
  <dc:subject>Anotācija</dc:subject>
  <dc:creator>Uldis Zemzars, Kristiāna Kalniņa</dc:creator>
  <dc:description>67036943, Uldis.Zemzars@tm.gov.lv_x000d_
67036988, Kristiana.Kalniņa@tm.gov.lv</dc:description>
  <cp:lastModifiedBy>Lelde Stepanova</cp:lastModifiedBy>
  <cp:revision>6</cp:revision>
  <cp:lastPrinted>2017-07-14T12:20:00Z</cp:lastPrinted>
  <dcterms:created xsi:type="dcterms:W3CDTF">2017-12-14T06:57:00Z</dcterms:created>
  <dcterms:modified xsi:type="dcterms:W3CDTF">2017-12-18T11:04:00Z</dcterms:modified>
</cp:coreProperties>
</file>