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DE" w:rsidRPr="00BE1EDF" w:rsidRDefault="004003DE" w:rsidP="000F6787">
      <w:pPr>
        <w:jc w:val="center"/>
        <w:rPr>
          <w:b/>
          <w:color w:val="000000" w:themeColor="text1"/>
        </w:rPr>
      </w:pPr>
      <w:r w:rsidRPr="00BE1EDF">
        <w:rPr>
          <w:b/>
          <w:color w:val="000000" w:themeColor="text1"/>
        </w:rPr>
        <w:t xml:space="preserve">Ministru kabineta noteikumu projekta </w:t>
      </w:r>
    </w:p>
    <w:p w:rsidR="004003DE" w:rsidRPr="00BE1EDF" w:rsidRDefault="004003DE" w:rsidP="004003DE">
      <w:pPr>
        <w:jc w:val="center"/>
        <w:rPr>
          <w:b/>
          <w:color w:val="000000" w:themeColor="text1"/>
        </w:rPr>
      </w:pPr>
      <w:r w:rsidRPr="00BE1EDF">
        <w:rPr>
          <w:b/>
          <w:color w:val="000000" w:themeColor="text1"/>
        </w:rPr>
        <w:t>“Grozījumi Ministru kabineta 2006. gada 6. jūnija noteikumos Nr. 453 “Noteikumi par radiofrekvences piešķīruma lietošanas atļaujām”” sākotnējās ietekmes novērtējuma ziņojums (anotācija)</w:t>
      </w:r>
    </w:p>
    <w:p w:rsidR="004003DE" w:rsidRDefault="004003DE" w:rsidP="004003DE">
      <w:pPr>
        <w:jc w:val="center"/>
        <w:rPr>
          <w:b/>
          <w:color w:val="000000" w:themeColor="text1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5D51B9" w:rsidTr="008D6B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B9" w:rsidRDefault="005D51B9" w:rsidP="008D6B8F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Tiesību akta projekta anotācijas kopsavilkums</w:t>
            </w:r>
          </w:p>
        </w:tc>
      </w:tr>
      <w:tr w:rsidR="005D51B9" w:rsidTr="008D6B8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Default="005D51B9" w:rsidP="008D6B8F">
            <w:pPr>
              <w:jc w:val="center"/>
            </w:pPr>
            <w:r>
              <w:t>Nav attiecināms.</w:t>
            </w:r>
          </w:p>
        </w:tc>
      </w:tr>
    </w:tbl>
    <w:p w:rsidR="00C21324" w:rsidRPr="00BE1EDF" w:rsidRDefault="00C21324" w:rsidP="004003DE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2557"/>
        <w:gridCol w:w="6353"/>
      </w:tblGrid>
      <w:tr w:rsidR="00895374" w:rsidRPr="00BE1EDF" w:rsidTr="0005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95374" w:rsidRPr="00BE1EDF" w:rsidRDefault="00895374" w:rsidP="000566D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E1EDF">
              <w:rPr>
                <w:b/>
                <w:bCs/>
              </w:rPr>
              <w:t>I. Tiesību akta projekta izstrādes nepieciešamība</w:t>
            </w:r>
          </w:p>
        </w:tc>
      </w:tr>
      <w:tr w:rsidR="00895374" w:rsidRPr="00BE1EDF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0566DB">
            <w:pPr>
              <w:spacing w:before="100" w:beforeAutospacing="1" w:after="100" w:afterAutospacing="1"/>
            </w:pPr>
            <w:r w:rsidRPr="00BE1EDF">
              <w:t>1.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0566DB">
            <w:pPr>
              <w:spacing w:before="100" w:beforeAutospacing="1" w:after="100" w:afterAutospacing="1"/>
            </w:pPr>
            <w:r w:rsidRPr="00BE1EDF">
              <w:t>Pamatojums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4003DE" w:rsidP="000566DB">
            <w:pPr>
              <w:jc w:val="both"/>
            </w:pPr>
            <w:r w:rsidRPr="00BE1EDF">
              <w:rPr>
                <w:bCs/>
              </w:rPr>
              <w:t>Elektronisko sakaru likuma 7.</w:t>
            </w:r>
            <w:r w:rsidR="00BE1EDF">
              <w:rPr>
                <w:bCs/>
              </w:rPr>
              <w:t xml:space="preserve"> </w:t>
            </w:r>
            <w:r w:rsidRPr="00BE1EDF">
              <w:rPr>
                <w:bCs/>
              </w:rPr>
              <w:t>panta 1.punkts un 50.pants</w:t>
            </w:r>
          </w:p>
        </w:tc>
      </w:tr>
      <w:tr w:rsidR="00895374" w:rsidRPr="00BE1EDF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0566DB">
            <w:pPr>
              <w:spacing w:before="100" w:beforeAutospacing="1" w:after="100" w:afterAutospacing="1"/>
            </w:pPr>
            <w:r w:rsidRPr="00BE1EDF">
              <w:t>2.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202" w:rsidRPr="00BE1EDF" w:rsidRDefault="00895374" w:rsidP="000566DB">
            <w:pPr>
              <w:spacing w:before="100" w:beforeAutospacing="1" w:after="100" w:afterAutospacing="1"/>
            </w:pPr>
            <w:r w:rsidRPr="00BE1EDF">
              <w:t>Pašreizējā situācija un problēmas, kuru risināšanai tiesību akta projekts izstrādāts, tiesiskā regulējuma mērķis un būtība</w:t>
            </w:r>
          </w:p>
          <w:p w:rsidR="00895374" w:rsidRPr="00BE1EDF" w:rsidRDefault="00895374" w:rsidP="000566DB">
            <w:pPr>
              <w:ind w:firstLine="720"/>
            </w:pP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1EDF" w:rsidRDefault="00687A80" w:rsidP="009912DD">
            <w:pPr>
              <w:jc w:val="both"/>
            </w:pPr>
            <w:r w:rsidRPr="00BE1EDF">
              <w:t>Ministru kabineta 2006.</w:t>
            </w:r>
            <w:r>
              <w:t> </w:t>
            </w:r>
            <w:r w:rsidRPr="00BE1EDF">
              <w:t>gada 6.</w:t>
            </w:r>
            <w:r>
              <w:t> </w:t>
            </w:r>
            <w:r w:rsidRPr="00BE1EDF">
              <w:t>jūnija noteikumi Nr.</w:t>
            </w:r>
            <w:r>
              <w:t> </w:t>
            </w:r>
            <w:r w:rsidRPr="00BE1EDF">
              <w:t>453 “Noteikumi par radiofrekvences piešķīruma lietošanas atļaujām” (turpmāk – noteikumi) nosaka kārtību, kādā iesniedz un izskata radiofrekvences piešķīrumu lietošanas atļaujas pieprasījumu</w:t>
            </w:r>
            <w:r w:rsidR="00BE1EDF" w:rsidRPr="00BE1EDF">
              <w:t>.</w:t>
            </w:r>
          </w:p>
          <w:p w:rsidR="00BE1EDF" w:rsidRPr="00BE1EDF" w:rsidRDefault="00BE1EDF" w:rsidP="009912DD">
            <w:pPr>
              <w:jc w:val="both"/>
            </w:pPr>
          </w:p>
          <w:p w:rsidR="00414238" w:rsidRDefault="00BE1EDF" w:rsidP="009912DD">
            <w:pPr>
              <w:jc w:val="both"/>
              <w:rPr>
                <w:shd w:val="clear" w:color="auto" w:fill="FFFFFF"/>
              </w:rPr>
            </w:pPr>
            <w:r w:rsidRPr="00BE1EDF">
              <w:t xml:space="preserve">Noteikumu 4.punkts </w:t>
            </w:r>
            <w:r w:rsidR="00151EE5">
              <w:t>noteic</w:t>
            </w:r>
            <w:r w:rsidRPr="00BE1EDF">
              <w:t xml:space="preserve">, ka </w:t>
            </w:r>
            <w:r w:rsidRPr="00BE1EDF">
              <w:rPr>
                <w:shd w:val="clear" w:color="auto" w:fill="FFFFFF"/>
              </w:rPr>
              <w:t xml:space="preserve">noteikumos noteiktā kārtība neattiecas uz radiofrekvenču joslām, kuras saskaņā ar normatīvajiem aktiem par </w:t>
            </w:r>
            <w:r w:rsidRPr="00467C37">
              <w:rPr>
                <w:shd w:val="clear" w:color="auto" w:fill="FFFFFF"/>
              </w:rPr>
              <w:t xml:space="preserve">radiofrekvenču spektra joslu sadalījumu radiosakaru veidiem un iedalījumu radiosakaru sistēmām, kā arī par radiofrekvenču spektra joslu izmantošanas vispārīgajiem nosacījumiem iedalītas tikai valsts aizsardzības vajadzībām paredzēto radiosakaru sistēmu darbībai </w:t>
            </w:r>
            <w:r w:rsidR="00467C37" w:rsidRPr="00467C37">
              <w:t xml:space="preserve">(turpmāk </w:t>
            </w:r>
            <w:r w:rsidR="00AB1B9E" w:rsidRPr="00BE1EDF">
              <w:t>–</w:t>
            </w:r>
            <w:r w:rsidR="00467C37" w:rsidRPr="00467C37">
              <w:t xml:space="preserve"> AS joslas), </w:t>
            </w:r>
            <w:r w:rsidRPr="00467C37">
              <w:rPr>
                <w:shd w:val="clear" w:color="auto" w:fill="FFFFFF"/>
              </w:rPr>
              <w:t>atbilstoši normatīvajos aktos</w:t>
            </w:r>
            <w:r w:rsidRPr="00BE1EDF">
              <w:rPr>
                <w:shd w:val="clear" w:color="auto" w:fill="FFFFFF"/>
              </w:rPr>
              <w:t xml:space="preserve"> noteiktajam radiosakaru veidam.</w:t>
            </w:r>
          </w:p>
          <w:p w:rsidR="00BE1EDF" w:rsidRDefault="00BE1EDF" w:rsidP="009912DD">
            <w:pPr>
              <w:jc w:val="both"/>
              <w:rPr>
                <w:shd w:val="clear" w:color="auto" w:fill="FFFFFF"/>
              </w:rPr>
            </w:pPr>
          </w:p>
          <w:p w:rsidR="00AB1B9E" w:rsidRPr="00F877AE" w:rsidRDefault="00AB1B9E" w:rsidP="00AB1B9E">
            <w:pPr>
              <w:tabs>
                <w:tab w:val="left" w:pos="6804"/>
              </w:tabs>
              <w:jc w:val="both"/>
            </w:pPr>
            <w:r w:rsidRPr="004C2E77">
              <w:t xml:space="preserve">Regulējums tiek </w:t>
            </w:r>
            <w:r>
              <w:t>pilnveidots</w:t>
            </w:r>
            <w:r w:rsidRPr="00F877AE">
              <w:t xml:space="preserve"> radiofrek</w:t>
            </w:r>
            <w:r>
              <w:t xml:space="preserve">venču spektra pārvaldības jomā </w:t>
            </w:r>
            <w:r w:rsidRPr="00EA4E2A">
              <w:rPr>
                <w:bCs/>
              </w:rPr>
              <w:t>Ministru kabineta noteikumu projekt</w:t>
            </w:r>
            <w:r>
              <w:rPr>
                <w:bCs/>
              </w:rPr>
              <w:t xml:space="preserve">ā “Grozījumi </w:t>
            </w:r>
            <w:r w:rsidRPr="00BE1EDF">
              <w:t>Ministru kabineta 2006.</w:t>
            </w:r>
            <w:r>
              <w:t> </w:t>
            </w:r>
            <w:r w:rsidRPr="00BE1EDF">
              <w:t>gada 6.</w:t>
            </w:r>
            <w:r>
              <w:t> </w:t>
            </w:r>
            <w:r w:rsidRPr="00BE1EDF">
              <w:t>jūnija noteikumi Nr.</w:t>
            </w:r>
            <w:r>
              <w:t> </w:t>
            </w:r>
            <w:r w:rsidRPr="00BE1EDF">
              <w:t>453 “Noteikumi par radiofrekvences piešķīruma lietošanas atļaujām”</w:t>
            </w:r>
            <w:r>
              <w:t xml:space="preserve">” (turpmāk – noteikumu projekts), jo ir </w:t>
            </w:r>
            <w:r w:rsidRPr="00F877AE">
              <w:t>nepieciešam</w:t>
            </w:r>
            <w:r>
              <w:t>s</w:t>
            </w:r>
            <w:r w:rsidRPr="00F877AE">
              <w:t>:</w:t>
            </w:r>
          </w:p>
          <w:p w:rsidR="00F877AE" w:rsidRPr="00F877AE" w:rsidRDefault="00911A59" w:rsidP="00F877AE">
            <w:pPr>
              <w:pStyle w:val="ListParagraph"/>
              <w:numPr>
                <w:ilvl w:val="0"/>
                <w:numId w:val="7"/>
              </w:num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n</w:t>
            </w:r>
            <w:r w:rsidR="00280866">
              <w:t xml:space="preserve">odrošināt iespēju </w:t>
            </w:r>
            <w:r w:rsidR="00F877AE" w:rsidRPr="00F877AE">
              <w:t>pārplānot frekvenču iedalījumu aizsardzības sistēmām uz nepieciešamo frekvenču iedalījumu civilajām radiosakaru sistēmām, tai skaitā, ieplānot frekvenču spektru nākotnes mobilajiem sakariem;</w:t>
            </w:r>
          </w:p>
          <w:p w:rsidR="00F877AE" w:rsidRPr="00F877AE" w:rsidRDefault="00F877AE" w:rsidP="00F877AE">
            <w:pPr>
              <w:pStyle w:val="ListParagraph"/>
              <w:numPr>
                <w:ilvl w:val="0"/>
                <w:numId w:val="7"/>
              </w:num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877AE">
              <w:t xml:space="preserve">nodrošināt </w:t>
            </w:r>
            <w:r w:rsidR="00280866">
              <w:t xml:space="preserve">iespēju ieplānot </w:t>
            </w:r>
            <w:r w:rsidRPr="00F877AE">
              <w:t>Nacionālajiem bruņotajiem spēkiem faktiski nepieciešamo aizsardzības sistēmu frekvenču iedalījumu, tai skaitā,</w:t>
            </w:r>
            <w:r w:rsidRPr="00F877AE">
              <w:rPr>
                <w:bCs/>
                <w:shd w:val="clear" w:color="auto" w:fill="FFFFFF"/>
              </w:rPr>
              <w:t xml:space="preserve"> ņemot vērā Ziemeļatlantijas līguma organizācijas vajadzības</w:t>
            </w:r>
            <w:r w:rsidRPr="00F877AE">
              <w:t>;</w:t>
            </w:r>
          </w:p>
          <w:p w:rsidR="00F877AE" w:rsidRPr="00F877AE" w:rsidRDefault="00F877AE" w:rsidP="00F877AE">
            <w:pPr>
              <w:pStyle w:val="ListParagraph"/>
              <w:numPr>
                <w:ilvl w:val="0"/>
                <w:numId w:val="7"/>
              </w:num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877AE">
              <w:t>uzlabot iespējas civilajām radiosakaru sistēmām un aizsardzības sistēmām izmantot platjoslas sakarus;</w:t>
            </w:r>
          </w:p>
          <w:p w:rsidR="00F877AE" w:rsidRDefault="00F877AE" w:rsidP="00F877AE">
            <w:pPr>
              <w:pStyle w:val="ListParagraph"/>
              <w:numPr>
                <w:ilvl w:val="0"/>
                <w:numId w:val="7"/>
              </w:num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877AE">
              <w:t xml:space="preserve">uzlabot </w:t>
            </w:r>
            <w:r w:rsidR="00280866">
              <w:t xml:space="preserve">iespējas </w:t>
            </w:r>
            <w:r w:rsidRPr="00F877AE">
              <w:t>ārvalstu bruņotajiem spēkiem izmantot radiofrekvenču spektru visā Latvijas teritorijā;</w:t>
            </w:r>
          </w:p>
          <w:p w:rsidR="00BE1EDF" w:rsidRPr="00467C37" w:rsidRDefault="00F877AE" w:rsidP="009912DD">
            <w:pPr>
              <w:pStyle w:val="ListParagraph"/>
              <w:numPr>
                <w:ilvl w:val="0"/>
                <w:numId w:val="7"/>
              </w:num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877AE">
              <w:t>uzlabot frekvenču spektra piešķiršanu izmantošanai aizsardzības sistēmām</w:t>
            </w:r>
            <w:r w:rsidR="003500A6" w:rsidRPr="00F877AE">
              <w:rPr>
                <w:shd w:val="clear" w:color="auto" w:fill="FFFFFF"/>
              </w:rPr>
              <w:t>.</w:t>
            </w:r>
          </w:p>
          <w:p w:rsidR="00911A59" w:rsidRDefault="00911A59" w:rsidP="00467C37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  <w:p w:rsidR="0035598F" w:rsidRPr="00C769C8" w:rsidRDefault="00911A59" w:rsidP="00467C37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Cs w:val="28"/>
              </w:rPr>
              <w:t xml:space="preserve">Noteikumi paredz, ka </w:t>
            </w:r>
            <w:r w:rsidR="00151EE5">
              <w:rPr>
                <w:szCs w:val="28"/>
              </w:rPr>
              <w:t>v</w:t>
            </w:r>
            <w:r w:rsidR="00312BA9" w:rsidRPr="003B4B9D">
              <w:rPr>
                <w:szCs w:val="28"/>
              </w:rPr>
              <w:t xml:space="preserve">alsts akciju sabiedrība </w:t>
            </w:r>
            <w:r w:rsidR="00312BA9">
              <w:rPr>
                <w:szCs w:val="28"/>
              </w:rPr>
              <w:t>“</w:t>
            </w:r>
            <w:r w:rsidR="00312BA9" w:rsidRPr="00AB4D20">
              <w:rPr>
                <w:szCs w:val="28"/>
              </w:rPr>
              <w:t>Elektroniskie sakari</w:t>
            </w:r>
            <w:r w:rsidR="00312BA9">
              <w:rPr>
                <w:szCs w:val="28"/>
              </w:rPr>
              <w:t>”</w:t>
            </w:r>
            <w:r w:rsidR="00312BA9" w:rsidRPr="003B4B9D">
              <w:rPr>
                <w:szCs w:val="28"/>
              </w:rPr>
              <w:t xml:space="preserve"> izsniedz radiofrekvences piešķīruma lietošanas atļaujas civilām radiosakaru sistēmām AS joslās, ja ir saņemts Nacionālo </w:t>
            </w:r>
            <w:r w:rsidR="00312BA9" w:rsidRPr="00C769C8">
              <w:t xml:space="preserve">bruņoto spēku saskaņojums radioiekārtas izmantošanai </w:t>
            </w:r>
            <w:r w:rsidR="00584D79">
              <w:t xml:space="preserve">attiecīgajā </w:t>
            </w:r>
            <w:r w:rsidR="00312BA9" w:rsidRPr="00C769C8">
              <w:t>radiofrekvenču joslā.</w:t>
            </w:r>
          </w:p>
          <w:p w:rsidR="00312BA9" w:rsidRPr="00C769C8" w:rsidRDefault="00312BA9" w:rsidP="00467C37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F32FB" w:rsidRPr="00C769C8" w:rsidRDefault="00C769C8" w:rsidP="00312BA9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769C8">
              <w:t xml:space="preserve">Noteikumi paredz, ka Nacionālie bruņotie spēki pirms AS joslas lietošanas uzsākšanas iesniedz valsts </w:t>
            </w:r>
            <w:r w:rsidRPr="00167CE6">
              <w:t xml:space="preserve">akciju sabiedrībā “Elektroniskie sakari” pieprasījumu </w:t>
            </w:r>
            <w:r w:rsidRPr="00BA5B36">
              <w:t xml:space="preserve">izsniegt tehniskos nosacījumus AS joslas lietošanai. </w:t>
            </w:r>
            <w:r w:rsidR="00845D16" w:rsidRPr="00BA5B36">
              <w:t xml:space="preserve">Noteikumi tiek papildināti ar sadaļu, </w:t>
            </w:r>
            <w:r w:rsidR="00B64E61" w:rsidRPr="00BA5B36">
              <w:t xml:space="preserve">kurā </w:t>
            </w:r>
            <w:r w:rsidR="00167CE6" w:rsidRPr="00BA5B36">
              <w:t xml:space="preserve">tiek </w:t>
            </w:r>
            <w:r w:rsidR="00B64E61" w:rsidRPr="00BA5B36">
              <w:t>aprakstīta kārtība</w:t>
            </w:r>
            <w:r w:rsidR="004163DB" w:rsidRPr="00BA5B36">
              <w:t xml:space="preserve"> </w:t>
            </w:r>
            <w:r w:rsidR="00845D16" w:rsidRPr="00BA5B36">
              <w:t>tehnisko</w:t>
            </w:r>
            <w:r w:rsidR="00845D16" w:rsidRPr="00167CE6">
              <w:t xml:space="preserve"> </w:t>
            </w:r>
            <w:r w:rsidR="00167CE6">
              <w:t>nosacījumu</w:t>
            </w:r>
            <w:r w:rsidR="00845D16" w:rsidRPr="00C769C8">
              <w:t xml:space="preserve"> </w:t>
            </w:r>
            <w:r w:rsidR="00113B5E" w:rsidRPr="00C769C8">
              <w:t>saņemšanai</w:t>
            </w:r>
            <w:r w:rsidR="00845D16" w:rsidRPr="00C769C8">
              <w:t xml:space="preserve"> radiosakaru sistēmām AS joslās</w:t>
            </w:r>
            <w:r w:rsidR="00167CE6">
              <w:t>.</w:t>
            </w:r>
            <w:r w:rsidR="00113B5E" w:rsidRPr="00C769C8">
              <w:t xml:space="preserve"> </w:t>
            </w:r>
            <w:r w:rsidR="0035598F" w:rsidRPr="00C769C8">
              <w:t xml:space="preserve"> </w:t>
            </w:r>
          </w:p>
          <w:p w:rsidR="00B64E61" w:rsidRDefault="00B64E61" w:rsidP="00312BA9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36701A" w:rsidRDefault="005F52CB" w:rsidP="005F52CB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Noteikumu projekts paredz </w:t>
            </w:r>
            <w:r w:rsidR="00051A13">
              <w:t>izmaiņas</w:t>
            </w:r>
            <w:r>
              <w:t xml:space="preserve"> nodaļ</w:t>
            </w:r>
            <w:r w:rsidR="00051A13">
              <w:t>ā</w:t>
            </w:r>
            <w:r>
              <w:t xml:space="preserve"> </w:t>
            </w:r>
            <w:r w:rsidR="009B57F2">
              <w:t>“</w:t>
            </w:r>
            <w:r>
              <w:t xml:space="preserve">Noslēguma jautājums”, papildinot to ar jaunu normu par </w:t>
            </w:r>
            <w:r w:rsidR="004C2E77">
              <w:t>termiņu, līdz kuram</w:t>
            </w:r>
            <w:r w:rsidR="00130929">
              <w:t xml:space="preserve"> iesniedz v</w:t>
            </w:r>
            <w:r w:rsidR="00130929" w:rsidRPr="00BE1EDF">
              <w:t>alsts akciju sabiedrīb</w:t>
            </w:r>
            <w:r w:rsidR="00130929">
              <w:t>ā</w:t>
            </w:r>
            <w:r w:rsidR="00130929" w:rsidRPr="00BE1EDF">
              <w:t xml:space="preserve"> „Elektroniskie sakari”</w:t>
            </w:r>
            <w:r w:rsidR="00130929">
              <w:t xml:space="preserve"> pieprasījumu izsniegt tehniskos nosacījumus </w:t>
            </w:r>
            <w:r>
              <w:t>AS josl</w:t>
            </w:r>
            <w:r w:rsidR="00130929">
              <w:t>as lietošanai</w:t>
            </w:r>
            <w:r w:rsidR="0025651B">
              <w:t>.</w:t>
            </w:r>
            <w:r w:rsidR="00C75BE5">
              <w:t xml:space="preserve"> </w:t>
            </w:r>
            <w:r w:rsidR="00DB6493">
              <w:t>Spēkā esošo noteikumu noslēguma jautājums paredz vispārēju regulē</w:t>
            </w:r>
            <w:r w:rsidR="00562C10">
              <w:t>jumu</w:t>
            </w:r>
            <w:r w:rsidR="00DB6493">
              <w:t>, nosakot, ka piešķīruma lietošanas atļaujas ir derīgas līdz tajās norādītā derīguma termiņa beigām</w:t>
            </w:r>
            <w:r w:rsidR="0036701A">
              <w:t xml:space="preserve">.  </w:t>
            </w:r>
          </w:p>
          <w:p w:rsidR="0036701A" w:rsidRPr="00BE1EDF" w:rsidRDefault="0036701A" w:rsidP="005F52CB">
            <w:pPr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895374" w:rsidRPr="00BE1EDF" w:rsidTr="000566DB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0566DB">
            <w:pPr>
              <w:spacing w:before="100" w:beforeAutospacing="1" w:after="100" w:afterAutospacing="1"/>
            </w:pPr>
            <w:r w:rsidRPr="00BE1EDF">
              <w:lastRenderedPageBreak/>
              <w:t>3.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467C37" w:rsidP="000566DB">
            <w:pPr>
              <w:spacing w:before="100" w:beforeAutospacing="1" w:after="100" w:afterAutospacing="1"/>
            </w:pPr>
            <w:r w:rsidRPr="00903A40">
              <w:t>Projekta izstrādē iesaistītās institūcijas un publiskas personas kapitālsabiedrības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1F16" w:rsidRPr="00BE1EDF" w:rsidRDefault="00881F16" w:rsidP="00881F16">
            <w:pPr>
              <w:jc w:val="both"/>
            </w:pPr>
            <w:r w:rsidRPr="00BE1EDF">
              <w:t xml:space="preserve">Valsts akciju sabiedrība </w:t>
            </w:r>
            <w:r w:rsidR="00AA7297">
              <w:t>“</w:t>
            </w:r>
            <w:r w:rsidR="00AA7297" w:rsidRPr="00BE1EDF">
              <w:t xml:space="preserve">Elektroniskie sakari”, </w:t>
            </w:r>
            <w:r w:rsidR="00BE1EDF" w:rsidRPr="00BE1EDF">
              <w:t>Aizsardzības ministrija, Nacionālie bruņotie spēki</w:t>
            </w:r>
            <w:r w:rsidR="00C21324">
              <w:t>.</w:t>
            </w:r>
          </w:p>
          <w:p w:rsidR="00662729" w:rsidRPr="00BE1EDF" w:rsidRDefault="00662729" w:rsidP="00881F16">
            <w:pPr>
              <w:jc w:val="both"/>
            </w:pPr>
          </w:p>
        </w:tc>
      </w:tr>
      <w:tr w:rsidR="00895374" w:rsidRPr="00BE1EDF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0566DB">
            <w:pPr>
              <w:spacing w:before="100" w:beforeAutospacing="1" w:after="100" w:afterAutospacing="1"/>
            </w:pPr>
            <w:r w:rsidRPr="00BE1EDF">
              <w:t>4.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0566DB">
            <w:pPr>
              <w:spacing w:before="100" w:beforeAutospacing="1" w:after="100" w:afterAutospacing="1"/>
            </w:pPr>
            <w:r w:rsidRPr="00BE1EDF">
              <w:t>Cita informācija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DA3" w:rsidRPr="00BE1EDF" w:rsidRDefault="00734503" w:rsidP="000566DB">
            <w:pPr>
              <w:jc w:val="both"/>
            </w:pPr>
            <w:r w:rsidRPr="00BE1EDF">
              <w:t>Nav</w:t>
            </w:r>
            <w:r w:rsidR="00151EE5">
              <w:t>.</w:t>
            </w:r>
          </w:p>
        </w:tc>
      </w:tr>
    </w:tbl>
    <w:p w:rsidR="00895374" w:rsidRPr="00BE1EDF" w:rsidRDefault="00895374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"/>
        <w:gridCol w:w="3195"/>
        <w:gridCol w:w="5714"/>
      </w:tblGrid>
      <w:tr w:rsidR="00895374" w:rsidRPr="00BE1EDF" w:rsidTr="00CF72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E1ED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95374" w:rsidRPr="00BE1EDF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Sabiedrības mērķgrupas, 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A2136F" w:rsidP="00EF3C38">
            <w:pPr>
              <w:jc w:val="both"/>
            </w:pPr>
            <w:r w:rsidRPr="00BE1EDF">
              <w:t>Elektronisko sakaru komersanti r</w:t>
            </w:r>
            <w:r w:rsidR="00C8048F" w:rsidRPr="00BE1EDF">
              <w:t>adiofrekvenču spektra lietotāji.</w:t>
            </w:r>
          </w:p>
        </w:tc>
      </w:tr>
      <w:tr w:rsidR="00895374" w:rsidRPr="00BE1EDF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EF3C38" w:rsidP="00CF7285">
            <w:pPr>
              <w:spacing w:after="100" w:afterAutospacing="1"/>
              <w:jc w:val="both"/>
            </w:pPr>
            <w:r>
              <w:t>P</w:t>
            </w:r>
            <w:r w:rsidRPr="00CA06B9">
              <w:t>rojekts šo jomu neskar</w:t>
            </w:r>
            <w:r>
              <w:t>.</w:t>
            </w:r>
          </w:p>
        </w:tc>
      </w:tr>
      <w:tr w:rsidR="00895374" w:rsidRPr="00BE1EDF" w:rsidTr="00CF728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EF3C38" w:rsidP="004E5B16">
            <w:pPr>
              <w:spacing w:before="100" w:beforeAutospacing="1" w:after="100" w:afterAutospacing="1"/>
            </w:pPr>
            <w:r>
              <w:t>P</w:t>
            </w:r>
            <w:r w:rsidRPr="00CA06B9">
              <w:t>rojekts šo jomu neskar</w:t>
            </w:r>
            <w:r>
              <w:t>.</w:t>
            </w:r>
          </w:p>
        </w:tc>
      </w:tr>
      <w:tr w:rsidR="00895374" w:rsidRPr="00BE1EDF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D4214">
            <w:pPr>
              <w:spacing w:before="100" w:beforeAutospacing="1" w:after="100" w:afterAutospacing="1"/>
              <w:jc w:val="both"/>
            </w:pPr>
            <w:r w:rsidRPr="00BE1EDF">
              <w:t>Nav</w:t>
            </w:r>
            <w:r w:rsidR="00151EE5">
              <w:t>.</w:t>
            </w:r>
          </w:p>
        </w:tc>
      </w:tr>
    </w:tbl>
    <w:p w:rsidR="00895374" w:rsidRPr="00BE1EDF" w:rsidRDefault="00895374" w:rsidP="00895374">
      <w:pPr>
        <w:jc w:val="both"/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C8048F" w:rsidRPr="00BE1EDF" w:rsidTr="00C8048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F" w:rsidRPr="00BE1EDF" w:rsidRDefault="00C8048F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E1EDF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C8048F" w:rsidRPr="00BE1EDF" w:rsidTr="00C8048F">
        <w:trPr>
          <w:trHeight w:val="451"/>
        </w:trPr>
        <w:tc>
          <w:tcPr>
            <w:tcW w:w="4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F" w:rsidRPr="00BE1EDF" w:rsidRDefault="00A844E0">
            <w:pPr>
              <w:jc w:val="center"/>
            </w:pPr>
            <w:r w:rsidRPr="005449E2">
              <w:rPr>
                <w:bCs/>
              </w:rPr>
              <w:t>Projekts šo jomu neskar</w:t>
            </w:r>
            <w:r>
              <w:rPr>
                <w:bCs/>
              </w:rPr>
              <w:t>.</w:t>
            </w:r>
          </w:p>
        </w:tc>
      </w:tr>
    </w:tbl>
    <w:p w:rsidR="00C8048F" w:rsidRPr="00BE1EDF" w:rsidRDefault="00C8048F" w:rsidP="00C8048F">
      <w:pPr>
        <w:pStyle w:val="naisc"/>
        <w:spacing w:before="0" w:after="0"/>
        <w:jc w:val="left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3250"/>
        <w:gridCol w:w="5675"/>
      </w:tblGrid>
      <w:tr w:rsidR="00CD4214" w:rsidRPr="00BE1EDF" w:rsidTr="0057636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D4214" w:rsidRPr="00BE1EDF" w:rsidRDefault="00CD4214" w:rsidP="0057636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E1EDF">
              <w:rPr>
                <w:b/>
                <w:bCs/>
              </w:rPr>
              <w:lastRenderedPageBreak/>
              <w:t>IV. Tiesību akta projekta ietekme uz spēkā esošo tiesību normu sistēmu</w:t>
            </w:r>
          </w:p>
        </w:tc>
      </w:tr>
      <w:tr w:rsidR="00CD4214" w:rsidRPr="00BE1EDF" w:rsidTr="00576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CD4214" w:rsidP="00576369">
            <w:pPr>
              <w:spacing w:before="100" w:beforeAutospacing="1" w:after="100" w:afterAutospacing="1"/>
            </w:pPr>
            <w:r w:rsidRPr="00BE1EDF">
              <w:t>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151EE5" w:rsidP="00151EE5">
            <w:pPr>
              <w:spacing w:before="100" w:beforeAutospacing="1" w:after="100" w:afterAutospacing="1"/>
            </w:pPr>
            <w:r>
              <w:t>S</w:t>
            </w:r>
            <w:r w:rsidR="00CD4214" w:rsidRPr="00BE1EDF">
              <w:t>aistītie tiesību aktu projekti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B6F" w:rsidRPr="00BE1EDF" w:rsidRDefault="009B10B4" w:rsidP="00BE1EDF">
            <w:pPr>
              <w:jc w:val="both"/>
            </w:pPr>
            <w:r w:rsidRPr="00BE1EDF">
              <w:t xml:space="preserve">Grozījumi </w:t>
            </w:r>
            <w:r w:rsidR="00BE1EDF" w:rsidRPr="00BE1EDF">
              <w:rPr>
                <w:bCs/>
              </w:rPr>
              <w:t>Ministru kabineta 2009.gada 6.oktobra noteikumos Nr.1151 „Noteikumi par radiofrekvenču spektra joslu sadalījumu radiosakaru veidiem un iedalījumu radiosakaru sistēmām, kā arī par radiofrekvenču spektra joslu izmantošanas vispārīgajiem nosacījumiem (Nacionālais radiofrekvenču plāns)”</w:t>
            </w:r>
          </w:p>
        </w:tc>
      </w:tr>
      <w:tr w:rsidR="00CD4214" w:rsidRPr="00BE1EDF" w:rsidTr="00576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CD4214" w:rsidP="00576369">
            <w:pPr>
              <w:spacing w:before="100" w:beforeAutospacing="1" w:after="100" w:afterAutospacing="1"/>
            </w:pPr>
            <w:r w:rsidRPr="00BE1EDF">
              <w:t>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CD4214" w:rsidP="00576369">
            <w:pPr>
              <w:spacing w:before="100" w:beforeAutospacing="1" w:after="100" w:afterAutospacing="1"/>
            </w:pPr>
            <w:r w:rsidRPr="00BE1EDF">
              <w:t>Atbildīgā institūcija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9B10B4" w:rsidP="00A844E0">
            <w:pPr>
              <w:jc w:val="both"/>
              <w:rPr>
                <w:bCs/>
              </w:rPr>
            </w:pPr>
            <w:r w:rsidRPr="00BE1EDF">
              <w:rPr>
                <w:bCs/>
              </w:rPr>
              <w:t>V</w:t>
            </w:r>
            <w:r w:rsidR="00A844E0">
              <w:rPr>
                <w:bCs/>
              </w:rPr>
              <w:t>ides aizsardzības un reģionālās attīstības ministrija</w:t>
            </w:r>
          </w:p>
        </w:tc>
      </w:tr>
      <w:tr w:rsidR="00CD4214" w:rsidRPr="00BE1EDF" w:rsidTr="005763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CD4214" w:rsidP="00576369">
            <w:pPr>
              <w:spacing w:before="100" w:beforeAutospacing="1" w:after="100" w:afterAutospacing="1"/>
            </w:pPr>
            <w:r w:rsidRPr="00BE1EDF">
              <w:t>3.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CD4214" w:rsidP="00576369">
            <w:pPr>
              <w:spacing w:before="100" w:beforeAutospacing="1" w:after="100" w:afterAutospacing="1"/>
            </w:pPr>
            <w:r w:rsidRPr="00BE1EDF">
              <w:t>Cita informācija</w:t>
            </w:r>
          </w:p>
        </w:tc>
        <w:tc>
          <w:tcPr>
            <w:tcW w:w="3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214" w:rsidRPr="00BE1EDF" w:rsidRDefault="00CD4214" w:rsidP="00576369">
            <w:pPr>
              <w:spacing w:before="100" w:beforeAutospacing="1" w:after="100" w:afterAutospacing="1" w:line="276" w:lineRule="auto"/>
              <w:jc w:val="both"/>
            </w:pPr>
            <w:r w:rsidRPr="00BE1EDF">
              <w:t>Nav</w:t>
            </w:r>
            <w:r w:rsidR="006B7D54">
              <w:t>.</w:t>
            </w:r>
          </w:p>
        </w:tc>
      </w:tr>
    </w:tbl>
    <w:p w:rsidR="00CD4214" w:rsidRPr="00BE1EDF" w:rsidRDefault="00CD4214" w:rsidP="00895374">
      <w:pPr>
        <w:jc w:val="both"/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C8048F" w:rsidRPr="00BE1EDF" w:rsidTr="00C804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8F" w:rsidRPr="00BE1EDF" w:rsidRDefault="00C8048F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E1EDF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C8048F" w:rsidRPr="00BE1EDF" w:rsidTr="00C8048F">
        <w:trPr>
          <w:trHeight w:val="107"/>
        </w:trPr>
        <w:tc>
          <w:tcPr>
            <w:tcW w:w="4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F" w:rsidRPr="00BE1EDF" w:rsidRDefault="00C8048F" w:rsidP="00C8048F">
            <w:pPr>
              <w:jc w:val="center"/>
            </w:pPr>
            <w:r w:rsidRPr="00BE1EDF">
              <w:t>Rīkojuma projekts šo jomu neskar.</w:t>
            </w:r>
          </w:p>
        </w:tc>
      </w:tr>
    </w:tbl>
    <w:p w:rsidR="001A5F98" w:rsidRPr="00BE1EDF" w:rsidRDefault="001A5F98" w:rsidP="00C8048F">
      <w:pPr>
        <w:pStyle w:val="naisc"/>
        <w:spacing w:before="0" w:after="0"/>
        <w:jc w:val="left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681"/>
        <w:gridCol w:w="5283"/>
      </w:tblGrid>
      <w:tr w:rsidR="00895374" w:rsidRPr="00BE1EDF" w:rsidTr="00CF7285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BE1EDF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:rsidR="00895374" w:rsidRPr="00BE1EDF" w:rsidTr="00C8048F">
        <w:trPr>
          <w:trHeight w:val="311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1.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5DD" w:rsidRPr="00BE1EDF" w:rsidRDefault="00821634" w:rsidP="005A25DD">
            <w:pPr>
              <w:pStyle w:val="NormalWeb"/>
              <w:spacing w:before="0" w:beforeAutospacing="0" w:after="0" w:afterAutospacing="0"/>
              <w:jc w:val="both"/>
              <w:rPr>
                <w:lang w:val="lv-LV" w:eastAsia="lv-LV"/>
              </w:rPr>
            </w:pPr>
            <w:r w:rsidRPr="00F42059">
              <w:t>Saskaņā ar Ministru kabineta 2009.</w:t>
            </w:r>
            <w:r>
              <w:t> </w:t>
            </w:r>
            <w:r w:rsidRPr="00F42059">
              <w:t>gada 25.</w:t>
            </w:r>
            <w:r>
              <w:t> </w:t>
            </w:r>
            <w:r w:rsidRPr="00F42059">
              <w:t>augusta noteikumu Nr.</w:t>
            </w:r>
            <w:r>
              <w:t> </w:t>
            </w:r>
            <w:r w:rsidRPr="00F42059">
              <w:t>970 „Sabiedrības līdzdalības kārtība attīstības plānošanas procesā” 7.4.</w:t>
            </w:r>
            <w:r w:rsidRPr="00F42059">
              <w:rPr>
                <w:vertAlign w:val="superscript"/>
              </w:rPr>
              <w:t>1</w:t>
            </w:r>
            <w:r>
              <w:rPr>
                <w:vertAlign w:val="superscript"/>
              </w:rPr>
              <w:t> </w:t>
            </w:r>
            <w:r w:rsidRPr="00F42059">
              <w:t>apakšpunktu sabiedrības pārstāvji ir aicināti līdzdarboties, rakstiski sniedzot viedokli par noteikumu projektu tā izstrādes stadijā. Sabiedrības pārstāvji ir informēti par iespēju līdzdarboties, publicējot paziņoju</w:t>
            </w:r>
            <w:r>
              <w:t>mu par līdzdalības procesu ministrijas</w:t>
            </w:r>
            <w:r w:rsidRPr="00F42059">
              <w:t xml:space="preserve"> tīmekļvietnē.</w:t>
            </w:r>
          </w:p>
        </w:tc>
      </w:tr>
      <w:tr w:rsidR="00895374" w:rsidRPr="00BE1EDF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2.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Sabiedrības līdzdalība projekta izstrādē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B6F" w:rsidRPr="00BE1EDF" w:rsidRDefault="00821634" w:rsidP="00821634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525C84">
              <w:rPr>
                <w:rFonts w:eastAsia="Times New Roman"/>
              </w:rPr>
              <w:t>Lai nodrošinātu sabiedrības līdzdalību, noteikumu projekts tika publicēts ministrijas tīmekļvietnē: www.varam.gov.lv 201</w:t>
            </w:r>
            <w:r>
              <w:rPr>
                <w:rFonts w:eastAsia="Times New Roman"/>
              </w:rPr>
              <w:t>8</w:t>
            </w:r>
            <w:r w:rsidRPr="00525C84">
              <w:rPr>
                <w:rFonts w:eastAsia="Times New Roman"/>
              </w:rPr>
              <w:t xml:space="preserve">. gada </w:t>
            </w:r>
            <w:r w:rsidR="00C75BE5">
              <w:rPr>
                <w:rFonts w:eastAsia="Times New Roman"/>
              </w:rPr>
              <w:t>26.</w:t>
            </w:r>
            <w:r w:rsidRPr="00F0511E">
              <w:rPr>
                <w:rFonts w:eastAsia="Times New Roman"/>
              </w:rPr>
              <w:t>janvārī.</w:t>
            </w:r>
          </w:p>
        </w:tc>
      </w:tr>
      <w:tr w:rsidR="00895374" w:rsidRPr="00BE1EDF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3.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Sabiedrības līdzdalības rezultāti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64D2" w:rsidRPr="00BE1EDF" w:rsidRDefault="00DF7B42" w:rsidP="00CF7285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Netika saņemti citi viedokļi.</w:t>
            </w:r>
            <w:bookmarkStart w:id="0" w:name="_GoBack"/>
            <w:bookmarkEnd w:id="0"/>
          </w:p>
        </w:tc>
      </w:tr>
      <w:tr w:rsidR="00895374" w:rsidRPr="00BE1EDF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4.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5374" w:rsidRPr="00BE1EDF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Cita informācija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D4214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BE1EDF">
              <w:rPr>
                <w:lang w:val="lv-LV"/>
              </w:rPr>
              <w:t>Nav</w:t>
            </w:r>
            <w:r w:rsidR="006B7D54">
              <w:rPr>
                <w:lang w:val="lv-LV"/>
              </w:rPr>
              <w:t>.</w:t>
            </w:r>
          </w:p>
        </w:tc>
      </w:tr>
    </w:tbl>
    <w:p w:rsidR="008C64D2" w:rsidRPr="00BE1EDF" w:rsidRDefault="008C64D2" w:rsidP="00895374">
      <w:pPr>
        <w:pStyle w:val="naisc"/>
        <w:spacing w:before="0" w:after="0"/>
      </w:pPr>
    </w:p>
    <w:tbl>
      <w:tblPr>
        <w:tblW w:w="9363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3931"/>
        <w:gridCol w:w="4961"/>
      </w:tblGrid>
      <w:tr w:rsidR="00895374" w:rsidRPr="00BE1EDF" w:rsidTr="00077095">
        <w:tc>
          <w:tcPr>
            <w:tcW w:w="93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E1ED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5374" w:rsidRPr="00BE1EDF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1.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Projekta izpildē iesaistītās institūcijas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349" w:rsidRPr="00BE1EDF" w:rsidRDefault="00151EE5" w:rsidP="005A25DD">
            <w:pPr>
              <w:spacing w:before="100" w:beforeAutospacing="1" w:after="100" w:afterAutospacing="1"/>
              <w:jc w:val="both"/>
            </w:pPr>
            <w:r w:rsidRPr="00BE1EDF">
              <w:t xml:space="preserve">Valsts akciju sabiedrība </w:t>
            </w:r>
            <w:r w:rsidR="005A25DD" w:rsidRPr="00BE1EDF">
              <w:t>„Elektroniskie sakari”.</w:t>
            </w:r>
          </w:p>
        </w:tc>
      </w:tr>
      <w:tr w:rsidR="00895374" w:rsidRPr="00BE1EDF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r w:rsidRPr="00BE1EDF">
              <w:t>2.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r w:rsidRPr="00BE1EDF">
              <w:t xml:space="preserve">Projekta izpildes ietekme uz pārvaldes funkcijām un institucionālo struktūru. </w:t>
            </w:r>
          </w:p>
          <w:p w:rsidR="00895374" w:rsidRPr="00BE1EDF" w:rsidRDefault="00895374" w:rsidP="00CF7285">
            <w:r w:rsidRPr="00BE1EDF">
              <w:t>Jaunu institūciju izveide, esošu institūciju likvidācija vai reorganizācija, to ietekme uz institūcijas cilvēkresursiem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634" w:rsidRDefault="00821634" w:rsidP="0082163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Projekts šo jomu neskar. </w:t>
            </w:r>
          </w:p>
          <w:p w:rsidR="00895374" w:rsidRPr="00BE1EDF" w:rsidRDefault="00895374" w:rsidP="00CF7285">
            <w:pPr>
              <w:rPr>
                <w:color w:val="000000"/>
              </w:rPr>
            </w:pPr>
          </w:p>
          <w:p w:rsidR="00895374" w:rsidRPr="00BE1EDF" w:rsidRDefault="00274D97" w:rsidP="00226539">
            <w:pPr>
              <w:jc w:val="both"/>
            </w:pPr>
            <w:r w:rsidRPr="00BE1EDF">
              <w:rPr>
                <w:color w:val="000000"/>
              </w:rPr>
              <w:t>Noteikumu p</w:t>
            </w:r>
            <w:r w:rsidR="00895374" w:rsidRPr="00BE1EDF">
              <w:rPr>
                <w:color w:val="000000"/>
              </w:rPr>
              <w:t>rojekts nemaina iesaistīto institūciju kompetenci</w:t>
            </w:r>
            <w:r w:rsidR="00895374" w:rsidRPr="00BE1EDF">
              <w:t>.</w:t>
            </w:r>
            <w:r w:rsidR="00895374" w:rsidRPr="00BE1EDF">
              <w:rPr>
                <w:color w:val="000000"/>
              </w:rPr>
              <w:t xml:space="preserve"> Institūcijas netiek likvidētas vai reorganizētas.</w:t>
            </w:r>
          </w:p>
        </w:tc>
      </w:tr>
      <w:tr w:rsidR="00895374" w:rsidRPr="00BE1EDF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3.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CF7285">
            <w:pPr>
              <w:spacing w:before="100" w:beforeAutospacing="1" w:after="100" w:afterAutospacing="1"/>
            </w:pPr>
            <w:r w:rsidRPr="00BE1EDF">
              <w:t>Cita informācija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5374" w:rsidRPr="00BE1EDF" w:rsidRDefault="00895374" w:rsidP="000429A3">
            <w:pPr>
              <w:spacing w:before="100" w:beforeAutospacing="1" w:after="100" w:afterAutospacing="1"/>
            </w:pPr>
            <w:r w:rsidRPr="00BE1EDF">
              <w:t>Nav</w:t>
            </w:r>
            <w:r w:rsidR="006B7D54">
              <w:t>.</w:t>
            </w:r>
          </w:p>
        </w:tc>
      </w:tr>
    </w:tbl>
    <w:p w:rsidR="00895374" w:rsidRPr="00BE1EDF" w:rsidRDefault="00895374" w:rsidP="00895374">
      <w:pPr>
        <w:tabs>
          <w:tab w:val="right" w:pos="8306"/>
        </w:tabs>
      </w:pPr>
    </w:p>
    <w:p w:rsidR="00FF65A8" w:rsidRPr="00BE1EDF" w:rsidRDefault="00FF65A8" w:rsidP="00A25251">
      <w:pPr>
        <w:tabs>
          <w:tab w:val="left" w:pos="6804"/>
        </w:tabs>
      </w:pPr>
    </w:p>
    <w:p w:rsidR="00A25251" w:rsidRPr="00BE1EDF" w:rsidRDefault="00A25251" w:rsidP="00A25251">
      <w:pPr>
        <w:tabs>
          <w:tab w:val="left" w:pos="6804"/>
        </w:tabs>
      </w:pPr>
      <w:r w:rsidRPr="00BE1EDF">
        <w:t xml:space="preserve">Vides aizsardzības un </w:t>
      </w:r>
    </w:p>
    <w:p w:rsidR="00A25251" w:rsidRPr="00BE1EDF" w:rsidRDefault="00A25251" w:rsidP="00A25251">
      <w:pPr>
        <w:tabs>
          <w:tab w:val="left" w:pos="6804"/>
        </w:tabs>
      </w:pPr>
      <w:r w:rsidRPr="00BE1EDF">
        <w:t>reģionālās attīstības ministrs</w:t>
      </w:r>
      <w:r w:rsidRPr="00BE1EDF">
        <w:tab/>
      </w:r>
      <w:r w:rsidRPr="00BE1EDF">
        <w:tab/>
      </w:r>
      <w:r w:rsidR="00C8048F" w:rsidRPr="00BE1EDF">
        <w:tab/>
      </w:r>
      <w:r w:rsidRPr="00BE1EDF">
        <w:t>K.</w:t>
      </w:r>
      <w:r w:rsidR="008C64D2" w:rsidRPr="00BE1EDF">
        <w:t xml:space="preserve"> </w:t>
      </w:r>
      <w:r w:rsidRPr="00BE1EDF">
        <w:t>Gerhards</w:t>
      </w:r>
    </w:p>
    <w:p w:rsidR="00A25251" w:rsidRPr="00BE1EDF" w:rsidRDefault="00A25251" w:rsidP="00A25251">
      <w:pPr>
        <w:tabs>
          <w:tab w:val="left" w:pos="6804"/>
        </w:tabs>
        <w:ind w:firstLine="720"/>
      </w:pPr>
    </w:p>
    <w:p w:rsidR="00C8048F" w:rsidRPr="00BE1EDF" w:rsidRDefault="00C8048F" w:rsidP="00A25251">
      <w:pPr>
        <w:tabs>
          <w:tab w:val="left" w:pos="6804"/>
        </w:tabs>
      </w:pPr>
    </w:p>
    <w:p w:rsidR="00821634" w:rsidRDefault="00821634" w:rsidP="00821634">
      <w:pPr>
        <w:rPr>
          <w:iCs/>
          <w:sz w:val="20"/>
        </w:rPr>
      </w:pPr>
      <w:r>
        <w:rPr>
          <w:iCs/>
          <w:sz w:val="20"/>
        </w:rPr>
        <w:t>Vāvere, 67026936</w:t>
      </w:r>
    </w:p>
    <w:p w:rsidR="00821634" w:rsidRDefault="00DF7B42" w:rsidP="00821634">
      <w:hyperlink r:id="rId8" w:history="1">
        <w:r w:rsidR="00821634" w:rsidRPr="00BA75D1">
          <w:rPr>
            <w:rStyle w:val="Hyperlink"/>
            <w:iCs/>
            <w:sz w:val="20"/>
          </w:rPr>
          <w:t>aija.vavere@varam.gov.lv</w:t>
        </w:r>
      </w:hyperlink>
    </w:p>
    <w:p w:rsidR="00C8048F" w:rsidRPr="00BE1EDF" w:rsidRDefault="00C8048F" w:rsidP="00A25251">
      <w:pPr>
        <w:tabs>
          <w:tab w:val="left" w:pos="6804"/>
        </w:tabs>
      </w:pPr>
    </w:p>
    <w:sectPr w:rsidR="00C8048F" w:rsidRPr="00BE1EDF" w:rsidSect="00AC4AF3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BB" w:rsidRDefault="00421EBB" w:rsidP="006451BA">
      <w:r>
        <w:separator/>
      </w:r>
    </w:p>
  </w:endnote>
  <w:endnote w:type="continuationSeparator" w:id="0">
    <w:p w:rsidR="00421EBB" w:rsidRDefault="00421EBB" w:rsidP="0064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DF" w:rsidRPr="00BE1EDF" w:rsidRDefault="00BE1EDF" w:rsidP="00BE1EDF">
    <w:pPr>
      <w:jc w:val="both"/>
      <w:rPr>
        <w:color w:val="000000" w:themeColor="text1"/>
        <w:sz w:val="20"/>
        <w:szCs w:val="20"/>
      </w:rPr>
    </w:pPr>
    <w:r w:rsidRPr="00BE1EDF">
      <w:rPr>
        <w:sz w:val="20"/>
        <w:szCs w:val="20"/>
      </w:rPr>
      <w:fldChar w:fldCharType="begin"/>
    </w:r>
    <w:r w:rsidRPr="00BE1EDF">
      <w:rPr>
        <w:sz w:val="20"/>
        <w:szCs w:val="20"/>
      </w:rPr>
      <w:instrText xml:space="preserve"> FILENAME   \* MERGEFORMAT </w:instrText>
    </w:r>
    <w:r w:rsidRPr="00BE1EDF">
      <w:rPr>
        <w:sz w:val="20"/>
        <w:szCs w:val="20"/>
      </w:rPr>
      <w:fldChar w:fldCharType="separate"/>
    </w:r>
    <w:r w:rsidR="004B32A7">
      <w:rPr>
        <w:noProof/>
        <w:sz w:val="20"/>
        <w:szCs w:val="20"/>
      </w:rPr>
      <w:t>VARAManot_120218_453_AS</w:t>
    </w:r>
    <w:r w:rsidRPr="00BE1EDF">
      <w:rPr>
        <w:sz w:val="20"/>
        <w:szCs w:val="20"/>
      </w:rPr>
      <w:fldChar w:fldCharType="end"/>
    </w:r>
    <w:r w:rsidRPr="00BE1EDF">
      <w:rPr>
        <w:sz w:val="20"/>
        <w:szCs w:val="20"/>
      </w:rPr>
      <w:t xml:space="preserve">; </w:t>
    </w:r>
  </w:p>
  <w:p w:rsidR="006451BA" w:rsidRDefault="00645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DF" w:rsidRPr="00BE1EDF" w:rsidRDefault="00C7067E" w:rsidP="00BE1EDF">
    <w:pPr>
      <w:jc w:val="both"/>
      <w:rPr>
        <w:color w:val="000000" w:themeColor="text1"/>
        <w:sz w:val="20"/>
        <w:szCs w:val="20"/>
      </w:rPr>
    </w:pPr>
    <w:r w:rsidRPr="00BE1EDF">
      <w:rPr>
        <w:sz w:val="20"/>
        <w:szCs w:val="20"/>
      </w:rPr>
      <w:fldChar w:fldCharType="begin"/>
    </w:r>
    <w:r w:rsidRPr="00BE1EDF">
      <w:rPr>
        <w:sz w:val="20"/>
        <w:szCs w:val="20"/>
      </w:rPr>
      <w:instrText xml:space="preserve"> FILENAME   \* MERGEFORMAT </w:instrText>
    </w:r>
    <w:r w:rsidRPr="00BE1EDF">
      <w:rPr>
        <w:sz w:val="20"/>
        <w:szCs w:val="20"/>
      </w:rPr>
      <w:fldChar w:fldCharType="separate"/>
    </w:r>
    <w:r w:rsidR="004B32A7">
      <w:rPr>
        <w:noProof/>
        <w:sz w:val="20"/>
        <w:szCs w:val="20"/>
      </w:rPr>
      <w:t>VARAManot_120218_453_AS</w:t>
    </w:r>
    <w:r w:rsidRPr="00BE1EDF">
      <w:rPr>
        <w:sz w:val="20"/>
        <w:szCs w:val="20"/>
      </w:rPr>
      <w:fldChar w:fldCharType="end"/>
    </w:r>
    <w:r w:rsidRPr="00BE1EDF">
      <w:rPr>
        <w:sz w:val="20"/>
        <w:szCs w:val="20"/>
      </w:rPr>
      <w:t xml:space="preserve">; </w:t>
    </w:r>
  </w:p>
  <w:p w:rsidR="00C7067E" w:rsidRPr="00AD6658" w:rsidRDefault="00C7067E" w:rsidP="00C7067E">
    <w:pPr>
      <w:pStyle w:val="Footer"/>
      <w:jc w:val="both"/>
      <w:rPr>
        <w:sz w:val="20"/>
      </w:rPr>
    </w:pPr>
  </w:p>
  <w:p w:rsidR="00C7067E" w:rsidRDefault="00C7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BB" w:rsidRDefault="00421EBB" w:rsidP="006451BA">
      <w:r>
        <w:separator/>
      </w:r>
    </w:p>
  </w:footnote>
  <w:footnote w:type="continuationSeparator" w:id="0">
    <w:p w:rsidR="00421EBB" w:rsidRDefault="00421EBB" w:rsidP="0064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079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4AF3" w:rsidRDefault="00AC4A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B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4AF3" w:rsidRDefault="00AC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A8D"/>
    <w:multiLevelType w:val="hybridMultilevel"/>
    <w:tmpl w:val="C3F872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808"/>
    <w:multiLevelType w:val="hybridMultilevel"/>
    <w:tmpl w:val="2D0EEF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445"/>
    <w:multiLevelType w:val="hybridMultilevel"/>
    <w:tmpl w:val="5664B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245"/>
    <w:multiLevelType w:val="hybridMultilevel"/>
    <w:tmpl w:val="DD7EA53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B1270"/>
    <w:multiLevelType w:val="hybridMultilevel"/>
    <w:tmpl w:val="A956C40C"/>
    <w:lvl w:ilvl="0" w:tplc="74B2350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7CA1"/>
    <w:multiLevelType w:val="hybridMultilevel"/>
    <w:tmpl w:val="09DEF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144D1"/>
    <w:multiLevelType w:val="hybridMultilevel"/>
    <w:tmpl w:val="45820C48"/>
    <w:lvl w:ilvl="0" w:tplc="A2681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5"/>
    <w:rsid w:val="00000023"/>
    <w:rsid w:val="00011543"/>
    <w:rsid w:val="0001619C"/>
    <w:rsid w:val="00027636"/>
    <w:rsid w:val="000322D1"/>
    <w:rsid w:val="00032B2D"/>
    <w:rsid w:val="00035F55"/>
    <w:rsid w:val="00040989"/>
    <w:rsid w:val="000429A3"/>
    <w:rsid w:val="000479D2"/>
    <w:rsid w:val="00051A13"/>
    <w:rsid w:val="000566DB"/>
    <w:rsid w:val="00063257"/>
    <w:rsid w:val="00072A40"/>
    <w:rsid w:val="0007531A"/>
    <w:rsid w:val="00077095"/>
    <w:rsid w:val="00081962"/>
    <w:rsid w:val="00083582"/>
    <w:rsid w:val="00084273"/>
    <w:rsid w:val="00087AF0"/>
    <w:rsid w:val="000939EF"/>
    <w:rsid w:val="00095079"/>
    <w:rsid w:val="000C6365"/>
    <w:rsid w:val="000C6D27"/>
    <w:rsid w:val="000D20ED"/>
    <w:rsid w:val="000D22EB"/>
    <w:rsid w:val="00112339"/>
    <w:rsid w:val="00113B5E"/>
    <w:rsid w:val="00117805"/>
    <w:rsid w:val="00117B02"/>
    <w:rsid w:val="00120157"/>
    <w:rsid w:val="00120930"/>
    <w:rsid w:val="00130929"/>
    <w:rsid w:val="00133265"/>
    <w:rsid w:val="00136FD6"/>
    <w:rsid w:val="00143162"/>
    <w:rsid w:val="00151EE5"/>
    <w:rsid w:val="00161775"/>
    <w:rsid w:val="00165AA4"/>
    <w:rsid w:val="0016745B"/>
    <w:rsid w:val="00167CE6"/>
    <w:rsid w:val="00171DAE"/>
    <w:rsid w:val="00190205"/>
    <w:rsid w:val="00193CB0"/>
    <w:rsid w:val="001A5F98"/>
    <w:rsid w:val="001B552E"/>
    <w:rsid w:val="001C12C7"/>
    <w:rsid w:val="001D3502"/>
    <w:rsid w:val="001D4385"/>
    <w:rsid w:val="001D6ED2"/>
    <w:rsid w:val="001E3010"/>
    <w:rsid w:val="001E5C8A"/>
    <w:rsid w:val="001F381E"/>
    <w:rsid w:val="001F6340"/>
    <w:rsid w:val="00214BED"/>
    <w:rsid w:val="00226539"/>
    <w:rsid w:val="00226B9B"/>
    <w:rsid w:val="00236E3D"/>
    <w:rsid w:val="00242286"/>
    <w:rsid w:val="00242E13"/>
    <w:rsid w:val="00244349"/>
    <w:rsid w:val="00245770"/>
    <w:rsid w:val="00247458"/>
    <w:rsid w:val="002534CD"/>
    <w:rsid w:val="00253F73"/>
    <w:rsid w:val="0025651B"/>
    <w:rsid w:val="00257693"/>
    <w:rsid w:val="00272595"/>
    <w:rsid w:val="00274D97"/>
    <w:rsid w:val="00280866"/>
    <w:rsid w:val="002948A0"/>
    <w:rsid w:val="002A137B"/>
    <w:rsid w:val="002B389B"/>
    <w:rsid w:val="002B6408"/>
    <w:rsid w:val="002C5EB8"/>
    <w:rsid w:val="00303E27"/>
    <w:rsid w:val="00310133"/>
    <w:rsid w:val="00311FEC"/>
    <w:rsid w:val="00312BA9"/>
    <w:rsid w:val="00312EC5"/>
    <w:rsid w:val="0031581D"/>
    <w:rsid w:val="003179F3"/>
    <w:rsid w:val="00321E56"/>
    <w:rsid w:val="00327A05"/>
    <w:rsid w:val="003374AC"/>
    <w:rsid w:val="00343102"/>
    <w:rsid w:val="00344586"/>
    <w:rsid w:val="003445BC"/>
    <w:rsid w:val="0034594C"/>
    <w:rsid w:val="00347A0E"/>
    <w:rsid w:val="003500A6"/>
    <w:rsid w:val="00350A5C"/>
    <w:rsid w:val="0035598F"/>
    <w:rsid w:val="0036348A"/>
    <w:rsid w:val="0036701A"/>
    <w:rsid w:val="003864DE"/>
    <w:rsid w:val="003B31D4"/>
    <w:rsid w:val="003B435A"/>
    <w:rsid w:val="003B73EE"/>
    <w:rsid w:val="003C3E6E"/>
    <w:rsid w:val="003C59AC"/>
    <w:rsid w:val="003C7816"/>
    <w:rsid w:val="003D057A"/>
    <w:rsid w:val="003D6844"/>
    <w:rsid w:val="003D6C59"/>
    <w:rsid w:val="004003DE"/>
    <w:rsid w:val="00403EBF"/>
    <w:rsid w:val="00405E90"/>
    <w:rsid w:val="00412489"/>
    <w:rsid w:val="0041267B"/>
    <w:rsid w:val="00414238"/>
    <w:rsid w:val="004163DB"/>
    <w:rsid w:val="00421EBB"/>
    <w:rsid w:val="00431B8C"/>
    <w:rsid w:val="004346BA"/>
    <w:rsid w:val="00467C37"/>
    <w:rsid w:val="0048437C"/>
    <w:rsid w:val="0049054F"/>
    <w:rsid w:val="00491C74"/>
    <w:rsid w:val="00496050"/>
    <w:rsid w:val="004A3163"/>
    <w:rsid w:val="004A4853"/>
    <w:rsid w:val="004B00E2"/>
    <w:rsid w:val="004B12B5"/>
    <w:rsid w:val="004B32A7"/>
    <w:rsid w:val="004B5EC0"/>
    <w:rsid w:val="004C2E77"/>
    <w:rsid w:val="004C5A46"/>
    <w:rsid w:val="004C6C72"/>
    <w:rsid w:val="004D19C9"/>
    <w:rsid w:val="004E2D46"/>
    <w:rsid w:val="004E5B16"/>
    <w:rsid w:val="004F4132"/>
    <w:rsid w:val="0050186E"/>
    <w:rsid w:val="0050331B"/>
    <w:rsid w:val="00505451"/>
    <w:rsid w:val="00506D49"/>
    <w:rsid w:val="00506ECC"/>
    <w:rsid w:val="00532001"/>
    <w:rsid w:val="00553ACA"/>
    <w:rsid w:val="0055699B"/>
    <w:rsid w:val="0055792D"/>
    <w:rsid w:val="0056073B"/>
    <w:rsid w:val="00561DF8"/>
    <w:rsid w:val="00562C10"/>
    <w:rsid w:val="00570F4D"/>
    <w:rsid w:val="00573DA3"/>
    <w:rsid w:val="00576700"/>
    <w:rsid w:val="00582A40"/>
    <w:rsid w:val="00583E8F"/>
    <w:rsid w:val="00584D79"/>
    <w:rsid w:val="005A25DD"/>
    <w:rsid w:val="005A6DED"/>
    <w:rsid w:val="005B3BDF"/>
    <w:rsid w:val="005B6468"/>
    <w:rsid w:val="005B6A5D"/>
    <w:rsid w:val="005C6095"/>
    <w:rsid w:val="005C682D"/>
    <w:rsid w:val="005D0541"/>
    <w:rsid w:val="005D1599"/>
    <w:rsid w:val="005D176C"/>
    <w:rsid w:val="005D1AB3"/>
    <w:rsid w:val="005D2D60"/>
    <w:rsid w:val="005D51B9"/>
    <w:rsid w:val="005E69EA"/>
    <w:rsid w:val="005E71BF"/>
    <w:rsid w:val="005E7BC4"/>
    <w:rsid w:val="005F03DC"/>
    <w:rsid w:val="005F3657"/>
    <w:rsid w:val="005F52CB"/>
    <w:rsid w:val="0060199F"/>
    <w:rsid w:val="00605A2D"/>
    <w:rsid w:val="006135FD"/>
    <w:rsid w:val="00626B87"/>
    <w:rsid w:val="006451BA"/>
    <w:rsid w:val="00646271"/>
    <w:rsid w:val="00662729"/>
    <w:rsid w:val="00662DE1"/>
    <w:rsid w:val="0066468F"/>
    <w:rsid w:val="00680608"/>
    <w:rsid w:val="00685E45"/>
    <w:rsid w:val="00685F45"/>
    <w:rsid w:val="00687A80"/>
    <w:rsid w:val="00690DD8"/>
    <w:rsid w:val="00694233"/>
    <w:rsid w:val="00694397"/>
    <w:rsid w:val="006B2FF5"/>
    <w:rsid w:val="006B58BC"/>
    <w:rsid w:val="006B70B6"/>
    <w:rsid w:val="006B7D54"/>
    <w:rsid w:val="006C2D2F"/>
    <w:rsid w:val="006D470C"/>
    <w:rsid w:val="006F03EB"/>
    <w:rsid w:val="006F0C9B"/>
    <w:rsid w:val="006F6457"/>
    <w:rsid w:val="00713BE9"/>
    <w:rsid w:val="00714A0E"/>
    <w:rsid w:val="00734469"/>
    <w:rsid w:val="00734503"/>
    <w:rsid w:val="00737CC4"/>
    <w:rsid w:val="00767B23"/>
    <w:rsid w:val="007712F7"/>
    <w:rsid w:val="007851CA"/>
    <w:rsid w:val="00792DCE"/>
    <w:rsid w:val="007934BC"/>
    <w:rsid w:val="007968C9"/>
    <w:rsid w:val="007A280D"/>
    <w:rsid w:val="007B231D"/>
    <w:rsid w:val="007B39B8"/>
    <w:rsid w:val="007B3A8B"/>
    <w:rsid w:val="007B7022"/>
    <w:rsid w:val="007C36CB"/>
    <w:rsid w:val="007C59B4"/>
    <w:rsid w:val="007D055F"/>
    <w:rsid w:val="007D0F52"/>
    <w:rsid w:val="007D42FD"/>
    <w:rsid w:val="007D70AC"/>
    <w:rsid w:val="007E0DBB"/>
    <w:rsid w:val="007E27A1"/>
    <w:rsid w:val="007F4B02"/>
    <w:rsid w:val="007F6BD8"/>
    <w:rsid w:val="007F7732"/>
    <w:rsid w:val="00802841"/>
    <w:rsid w:val="00802DBA"/>
    <w:rsid w:val="008113EA"/>
    <w:rsid w:val="0081254B"/>
    <w:rsid w:val="00815C3F"/>
    <w:rsid w:val="00820CB1"/>
    <w:rsid w:val="00821634"/>
    <w:rsid w:val="008243A6"/>
    <w:rsid w:val="008339D5"/>
    <w:rsid w:val="008354CB"/>
    <w:rsid w:val="0084007B"/>
    <w:rsid w:val="00845D16"/>
    <w:rsid w:val="00864E32"/>
    <w:rsid w:val="00867B3C"/>
    <w:rsid w:val="00872144"/>
    <w:rsid w:val="00876C50"/>
    <w:rsid w:val="0088049E"/>
    <w:rsid w:val="00881D48"/>
    <w:rsid w:val="00881F16"/>
    <w:rsid w:val="008865B4"/>
    <w:rsid w:val="008866F8"/>
    <w:rsid w:val="00895374"/>
    <w:rsid w:val="008A5611"/>
    <w:rsid w:val="008B25C0"/>
    <w:rsid w:val="008B3766"/>
    <w:rsid w:val="008C4CB7"/>
    <w:rsid w:val="008C64D2"/>
    <w:rsid w:val="008C7A13"/>
    <w:rsid w:val="008D0D05"/>
    <w:rsid w:val="008D257A"/>
    <w:rsid w:val="00902359"/>
    <w:rsid w:val="0090429D"/>
    <w:rsid w:val="00911A59"/>
    <w:rsid w:val="0093203E"/>
    <w:rsid w:val="009642D5"/>
    <w:rsid w:val="00975947"/>
    <w:rsid w:val="009912DD"/>
    <w:rsid w:val="00996921"/>
    <w:rsid w:val="009A1B53"/>
    <w:rsid w:val="009B10B4"/>
    <w:rsid w:val="009B27FF"/>
    <w:rsid w:val="009B57F2"/>
    <w:rsid w:val="009C5133"/>
    <w:rsid w:val="009C57CC"/>
    <w:rsid w:val="009D4C5B"/>
    <w:rsid w:val="009E5E41"/>
    <w:rsid w:val="00A043BB"/>
    <w:rsid w:val="00A0589A"/>
    <w:rsid w:val="00A14699"/>
    <w:rsid w:val="00A17D68"/>
    <w:rsid w:val="00A2136F"/>
    <w:rsid w:val="00A24C69"/>
    <w:rsid w:val="00A25251"/>
    <w:rsid w:val="00A30B56"/>
    <w:rsid w:val="00A36826"/>
    <w:rsid w:val="00A375D3"/>
    <w:rsid w:val="00A77E8E"/>
    <w:rsid w:val="00A83BA2"/>
    <w:rsid w:val="00A844E0"/>
    <w:rsid w:val="00A84BB1"/>
    <w:rsid w:val="00A85E1D"/>
    <w:rsid w:val="00A9264D"/>
    <w:rsid w:val="00AA14CB"/>
    <w:rsid w:val="00AA7297"/>
    <w:rsid w:val="00AB1B9E"/>
    <w:rsid w:val="00AB79FA"/>
    <w:rsid w:val="00AC0F04"/>
    <w:rsid w:val="00AC4AF3"/>
    <w:rsid w:val="00AC6411"/>
    <w:rsid w:val="00AE05EA"/>
    <w:rsid w:val="00AE1384"/>
    <w:rsid w:val="00AE7065"/>
    <w:rsid w:val="00AF7093"/>
    <w:rsid w:val="00B020D0"/>
    <w:rsid w:val="00B0365B"/>
    <w:rsid w:val="00B12C95"/>
    <w:rsid w:val="00B32A8C"/>
    <w:rsid w:val="00B4323B"/>
    <w:rsid w:val="00B44830"/>
    <w:rsid w:val="00B45642"/>
    <w:rsid w:val="00B55F79"/>
    <w:rsid w:val="00B568BE"/>
    <w:rsid w:val="00B56B3D"/>
    <w:rsid w:val="00B64E61"/>
    <w:rsid w:val="00B75443"/>
    <w:rsid w:val="00B824AC"/>
    <w:rsid w:val="00B827A4"/>
    <w:rsid w:val="00B92C22"/>
    <w:rsid w:val="00B933B3"/>
    <w:rsid w:val="00BA071A"/>
    <w:rsid w:val="00BA2906"/>
    <w:rsid w:val="00BA5B36"/>
    <w:rsid w:val="00BB1E23"/>
    <w:rsid w:val="00BB3F89"/>
    <w:rsid w:val="00BC1ADD"/>
    <w:rsid w:val="00BC3F3A"/>
    <w:rsid w:val="00BC55F8"/>
    <w:rsid w:val="00BC5721"/>
    <w:rsid w:val="00BC5FE8"/>
    <w:rsid w:val="00BC6B55"/>
    <w:rsid w:val="00BD1A47"/>
    <w:rsid w:val="00BD5517"/>
    <w:rsid w:val="00BE1EDF"/>
    <w:rsid w:val="00BE28D5"/>
    <w:rsid w:val="00BE4160"/>
    <w:rsid w:val="00BF32FB"/>
    <w:rsid w:val="00C01753"/>
    <w:rsid w:val="00C05B68"/>
    <w:rsid w:val="00C21324"/>
    <w:rsid w:val="00C30C5E"/>
    <w:rsid w:val="00C326EA"/>
    <w:rsid w:val="00C32915"/>
    <w:rsid w:val="00C36202"/>
    <w:rsid w:val="00C4106F"/>
    <w:rsid w:val="00C429C1"/>
    <w:rsid w:val="00C6474F"/>
    <w:rsid w:val="00C66B90"/>
    <w:rsid w:val="00C7067E"/>
    <w:rsid w:val="00C75BE5"/>
    <w:rsid w:val="00C769C8"/>
    <w:rsid w:val="00C8048F"/>
    <w:rsid w:val="00C826F4"/>
    <w:rsid w:val="00C8518D"/>
    <w:rsid w:val="00C8569C"/>
    <w:rsid w:val="00C93058"/>
    <w:rsid w:val="00C96A55"/>
    <w:rsid w:val="00CB452B"/>
    <w:rsid w:val="00CC6D3D"/>
    <w:rsid w:val="00CD4214"/>
    <w:rsid w:val="00CD7174"/>
    <w:rsid w:val="00CE01AD"/>
    <w:rsid w:val="00CE5B6F"/>
    <w:rsid w:val="00CE5BC8"/>
    <w:rsid w:val="00CE5D85"/>
    <w:rsid w:val="00D01D88"/>
    <w:rsid w:val="00D12ADF"/>
    <w:rsid w:val="00D14688"/>
    <w:rsid w:val="00D23BCA"/>
    <w:rsid w:val="00D310C0"/>
    <w:rsid w:val="00D34C77"/>
    <w:rsid w:val="00D363C4"/>
    <w:rsid w:val="00D454D4"/>
    <w:rsid w:val="00D57C84"/>
    <w:rsid w:val="00D76C44"/>
    <w:rsid w:val="00D7759B"/>
    <w:rsid w:val="00D90A8C"/>
    <w:rsid w:val="00D91B2B"/>
    <w:rsid w:val="00DA04AA"/>
    <w:rsid w:val="00DA173D"/>
    <w:rsid w:val="00DB1552"/>
    <w:rsid w:val="00DB29E4"/>
    <w:rsid w:val="00DB6493"/>
    <w:rsid w:val="00DE7B33"/>
    <w:rsid w:val="00DF0AC9"/>
    <w:rsid w:val="00DF3B29"/>
    <w:rsid w:val="00DF7B42"/>
    <w:rsid w:val="00E1172E"/>
    <w:rsid w:val="00E252BE"/>
    <w:rsid w:val="00E25933"/>
    <w:rsid w:val="00E52667"/>
    <w:rsid w:val="00E541FF"/>
    <w:rsid w:val="00E54A87"/>
    <w:rsid w:val="00E647D6"/>
    <w:rsid w:val="00E65004"/>
    <w:rsid w:val="00E9082D"/>
    <w:rsid w:val="00E91741"/>
    <w:rsid w:val="00E954E6"/>
    <w:rsid w:val="00EA3A87"/>
    <w:rsid w:val="00EA58D2"/>
    <w:rsid w:val="00EA6AEC"/>
    <w:rsid w:val="00EB3D04"/>
    <w:rsid w:val="00EC2F15"/>
    <w:rsid w:val="00ED00CB"/>
    <w:rsid w:val="00EE5894"/>
    <w:rsid w:val="00EF3C38"/>
    <w:rsid w:val="00F059E4"/>
    <w:rsid w:val="00F10B19"/>
    <w:rsid w:val="00F1289F"/>
    <w:rsid w:val="00F271F9"/>
    <w:rsid w:val="00F27D3A"/>
    <w:rsid w:val="00F360AF"/>
    <w:rsid w:val="00F44694"/>
    <w:rsid w:val="00F52E54"/>
    <w:rsid w:val="00F60824"/>
    <w:rsid w:val="00F70B03"/>
    <w:rsid w:val="00F71FE1"/>
    <w:rsid w:val="00F72424"/>
    <w:rsid w:val="00F72982"/>
    <w:rsid w:val="00F733EA"/>
    <w:rsid w:val="00F7789E"/>
    <w:rsid w:val="00F877AE"/>
    <w:rsid w:val="00F96EC8"/>
    <w:rsid w:val="00FB234C"/>
    <w:rsid w:val="00FB3C9B"/>
    <w:rsid w:val="00FC1A04"/>
    <w:rsid w:val="00FC263B"/>
    <w:rsid w:val="00FC317D"/>
    <w:rsid w:val="00FD1065"/>
    <w:rsid w:val="00FD3F44"/>
    <w:rsid w:val="00FD44A5"/>
    <w:rsid w:val="00FD5AD5"/>
    <w:rsid w:val="00FE0A22"/>
    <w:rsid w:val="00FE45BA"/>
    <w:rsid w:val="00FE46CF"/>
    <w:rsid w:val="00FE5585"/>
    <w:rsid w:val="00FE7A27"/>
    <w:rsid w:val="00FF1546"/>
    <w:rsid w:val="00FF158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0175-BBB0-4DB3-B7A6-E3E0E5A1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95374"/>
    <w:pPr>
      <w:spacing w:before="58" w:after="58"/>
      <w:ind w:firstLine="288"/>
      <w:jc w:val="both"/>
    </w:pPr>
  </w:style>
  <w:style w:type="paragraph" w:customStyle="1" w:styleId="naiskr">
    <w:name w:val="naiskr"/>
    <w:basedOn w:val="Normal"/>
    <w:rsid w:val="00895374"/>
    <w:pPr>
      <w:spacing w:before="58" w:after="58"/>
    </w:pPr>
  </w:style>
  <w:style w:type="paragraph" w:customStyle="1" w:styleId="naisc">
    <w:name w:val="naisc"/>
    <w:basedOn w:val="Normal"/>
    <w:rsid w:val="00895374"/>
    <w:pPr>
      <w:spacing w:before="58" w:after="58"/>
      <w:jc w:val="center"/>
    </w:pPr>
  </w:style>
  <w:style w:type="character" w:styleId="Hyperlink">
    <w:name w:val="Hyperlink"/>
    <w:rsid w:val="00895374"/>
    <w:rPr>
      <w:color w:val="0000FF"/>
      <w:u w:val="single"/>
    </w:rPr>
  </w:style>
  <w:style w:type="paragraph" w:styleId="NormalWeb">
    <w:name w:val="Normal (Web)"/>
    <w:basedOn w:val="Normal"/>
    <w:uiPriority w:val="99"/>
    <w:rsid w:val="00895374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51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645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50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FE0A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59E4"/>
    <w:rPr>
      <w:b/>
      <w:bCs/>
    </w:rPr>
  </w:style>
  <w:style w:type="character" w:customStyle="1" w:styleId="apple-converted-space">
    <w:name w:val="apple-converted-space"/>
    <w:basedOn w:val="DefaultParagraphFont"/>
    <w:rsid w:val="00F059E4"/>
  </w:style>
  <w:style w:type="character" w:styleId="Emphasis">
    <w:name w:val="Emphasis"/>
    <w:basedOn w:val="DefaultParagraphFont"/>
    <w:uiPriority w:val="20"/>
    <w:qFormat/>
    <w:rsid w:val="00F059E4"/>
    <w:rPr>
      <w:i/>
      <w:iCs/>
    </w:rPr>
  </w:style>
  <w:style w:type="paragraph" w:styleId="NoSpacing">
    <w:name w:val="No Spacing"/>
    <w:qFormat/>
    <w:rsid w:val="00193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D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table" w:styleId="TableGrid">
    <w:name w:val="Table Grid"/>
    <w:basedOn w:val="TableNormal"/>
    <w:rsid w:val="00C8048F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48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vaver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28FB-16EF-4B94-BF54-07FC4C36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3968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 gada 6. jūnija noteikumos Nr. 453 “Noteikumi par radiofrekvences piešķīruma lietošanas atļaujām”</vt:lpstr>
    </vt:vector>
  </TitlesOfParts>
  <Company>VARAM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6. jūnija noteikumos Nr. 453 “Noteikumi par radiofrekvences piešķīruma lietošanas atļaujām”</dc:title>
  <dc:subject>Anotācija</dc:subject>
  <dc:creator>Aija Vāvere</dc:creator>
  <dc:description>67026936;_x000d_
Aija.Vavere@varam.gov.lv</dc:description>
  <cp:lastModifiedBy>Aija Vāvere</cp:lastModifiedBy>
  <cp:revision>21</cp:revision>
  <cp:lastPrinted>2018-02-07T09:09:00Z</cp:lastPrinted>
  <dcterms:created xsi:type="dcterms:W3CDTF">2018-02-07T12:02:00Z</dcterms:created>
  <dcterms:modified xsi:type="dcterms:W3CDTF">2018-02-12T13:45:00Z</dcterms:modified>
</cp:coreProperties>
</file>