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91DDA" w14:textId="0AD21528" w:rsidR="00894C55" w:rsidRPr="00044840" w:rsidRDefault="00BE2DEE" w:rsidP="002E4CCD">
      <w:pPr>
        <w:shd w:val="clear" w:color="auto" w:fill="FFFFFF"/>
        <w:spacing w:after="0" w:line="240" w:lineRule="auto"/>
        <w:jc w:val="center"/>
        <w:rPr>
          <w:rFonts w:ascii="Times New Roman" w:hAnsi="Times New Roman" w:cs="Times New Roman"/>
          <w:b/>
          <w:sz w:val="24"/>
          <w:szCs w:val="24"/>
        </w:rPr>
      </w:pPr>
      <w:r w:rsidRPr="00044840">
        <w:rPr>
          <w:rFonts w:ascii="Times New Roman" w:hAnsi="Times New Roman" w:cs="Times New Roman"/>
          <w:b/>
          <w:sz w:val="24"/>
          <w:szCs w:val="24"/>
        </w:rPr>
        <w:t>Ministru kabineta noteikumu projekta „Grozījumi Ministru kabineta 2015.</w:t>
      </w:r>
      <w:r w:rsidR="002E2616">
        <w:rPr>
          <w:rFonts w:ascii="Times New Roman" w:hAnsi="Times New Roman" w:cs="Times New Roman"/>
          <w:b/>
          <w:sz w:val="24"/>
          <w:szCs w:val="24"/>
        </w:rPr>
        <w:t> </w:t>
      </w:r>
      <w:r w:rsidRPr="00044840">
        <w:rPr>
          <w:rFonts w:ascii="Times New Roman" w:hAnsi="Times New Roman" w:cs="Times New Roman"/>
          <w:b/>
          <w:sz w:val="24"/>
          <w:szCs w:val="24"/>
        </w:rPr>
        <w:t>gada</w:t>
      </w:r>
      <w:r w:rsidR="002E4CCD" w:rsidRPr="00044840">
        <w:rPr>
          <w:rFonts w:ascii="Times New Roman" w:hAnsi="Times New Roman" w:cs="Times New Roman"/>
          <w:b/>
          <w:sz w:val="24"/>
          <w:szCs w:val="24"/>
        </w:rPr>
        <w:t xml:space="preserve"> 13.</w:t>
      </w:r>
      <w:r w:rsidR="002E2616">
        <w:rPr>
          <w:rFonts w:ascii="Times New Roman" w:hAnsi="Times New Roman" w:cs="Times New Roman"/>
          <w:b/>
          <w:sz w:val="24"/>
          <w:szCs w:val="24"/>
        </w:rPr>
        <w:t> </w:t>
      </w:r>
      <w:r w:rsidR="002E4CCD" w:rsidRPr="00044840">
        <w:rPr>
          <w:rFonts w:ascii="Times New Roman" w:hAnsi="Times New Roman" w:cs="Times New Roman"/>
          <w:b/>
          <w:sz w:val="24"/>
          <w:szCs w:val="24"/>
        </w:rPr>
        <w:t>janvāra noteikumos Nr.</w:t>
      </w:r>
      <w:r w:rsidR="002E2616">
        <w:rPr>
          <w:rFonts w:ascii="Times New Roman" w:hAnsi="Times New Roman" w:cs="Times New Roman"/>
          <w:b/>
          <w:sz w:val="24"/>
          <w:szCs w:val="24"/>
        </w:rPr>
        <w:t> </w:t>
      </w:r>
      <w:r w:rsidR="002E4CCD" w:rsidRPr="00044840">
        <w:rPr>
          <w:rFonts w:ascii="Times New Roman" w:hAnsi="Times New Roman" w:cs="Times New Roman"/>
          <w:b/>
          <w:sz w:val="24"/>
          <w:szCs w:val="24"/>
        </w:rPr>
        <w:t>18</w:t>
      </w:r>
      <w:r w:rsidRPr="00044840">
        <w:rPr>
          <w:rFonts w:ascii="Times New Roman" w:hAnsi="Times New Roman" w:cs="Times New Roman"/>
          <w:b/>
          <w:sz w:val="24"/>
          <w:szCs w:val="24"/>
        </w:rPr>
        <w:t xml:space="preserve"> </w:t>
      </w:r>
      <w:r w:rsidR="002E4CCD" w:rsidRPr="00044840">
        <w:rPr>
          <w:rFonts w:ascii="Times New Roman" w:hAnsi="Times New Roman" w:cs="Times New Roman"/>
          <w:b/>
          <w:sz w:val="24"/>
          <w:szCs w:val="24"/>
        </w:rPr>
        <w:t>“</w:t>
      </w:r>
      <w:r w:rsidRPr="00044840">
        <w:rPr>
          <w:rFonts w:ascii="Times New Roman" w:hAnsi="Times New Roman" w:cs="Times New Roman"/>
          <w:b/>
          <w:bCs/>
          <w:sz w:val="24"/>
          <w:szCs w:val="24"/>
        </w:rPr>
        <w:t>Kārtība, kādā novērtē paredzētās darbības ietekmi uz vidi un akceptē paredzēto darbību”</w:t>
      </w:r>
      <w:r w:rsidR="002E4CCD" w:rsidRPr="00044840">
        <w:rPr>
          <w:rFonts w:ascii="Times New Roman" w:hAnsi="Times New Roman" w:cs="Times New Roman"/>
          <w:b/>
          <w:bCs/>
          <w:sz w:val="24"/>
          <w:szCs w:val="24"/>
        </w:rPr>
        <w:t>”</w:t>
      </w:r>
      <w:r w:rsidRPr="00044840">
        <w:rPr>
          <w:rFonts w:ascii="Times New Roman" w:hAnsi="Times New Roman" w:cs="Times New Roman"/>
          <w:b/>
          <w:bCs/>
          <w:sz w:val="24"/>
          <w:szCs w:val="24"/>
        </w:rPr>
        <w:t xml:space="preserve"> </w:t>
      </w:r>
      <w:r w:rsidR="003B0BF9" w:rsidRPr="00044840">
        <w:rPr>
          <w:rFonts w:ascii="Times New Roman" w:eastAsia="Times New Roman" w:hAnsi="Times New Roman" w:cs="Times New Roman"/>
          <w:b/>
          <w:bCs/>
          <w:sz w:val="24"/>
          <w:szCs w:val="24"/>
          <w:lang w:eastAsia="lv-LV"/>
        </w:rPr>
        <w:br/>
      </w:r>
      <w:r w:rsidR="00894C55" w:rsidRPr="00044840">
        <w:rPr>
          <w:rFonts w:ascii="Times New Roman" w:eastAsia="Times New Roman" w:hAnsi="Times New Roman" w:cs="Times New Roman"/>
          <w:b/>
          <w:bCs/>
          <w:sz w:val="24"/>
          <w:szCs w:val="24"/>
          <w:lang w:eastAsia="lv-LV"/>
        </w:rPr>
        <w:t>sākotnējās ietekmes novērtējuma ziņojums (anotācija)</w:t>
      </w:r>
    </w:p>
    <w:p w14:paraId="1E5B12C2" w14:textId="77777777" w:rsidR="00E5323B" w:rsidRPr="0004484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364F36A8" w14:textId="77777777" w:rsidR="00871723"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693"/>
        <w:gridCol w:w="5362"/>
      </w:tblGrid>
      <w:tr w:rsidR="00871723" w:rsidRPr="00871723" w14:paraId="0456C32E" w14:textId="77777777" w:rsidTr="00871723">
        <w:trPr>
          <w:cantSplit/>
          <w:tblCellSpacing w:w="20" w:type="dxa"/>
        </w:trPr>
        <w:tc>
          <w:tcPr>
            <w:tcW w:w="9061" w:type="dxa"/>
            <w:gridSpan w:val="2"/>
            <w:shd w:val="clear" w:color="auto" w:fill="FFFFFF"/>
            <w:vAlign w:val="center"/>
            <w:hideMark/>
          </w:tcPr>
          <w:p w14:paraId="17F09A29" w14:textId="77777777" w:rsidR="00871723" w:rsidRPr="00871723" w:rsidRDefault="00871723" w:rsidP="00687540">
            <w:pPr>
              <w:spacing w:after="0" w:line="240" w:lineRule="auto"/>
              <w:rPr>
                <w:rFonts w:ascii="Times New Roman" w:hAnsi="Times New Roman" w:cs="Times New Roman"/>
                <w:b/>
                <w:iCs/>
                <w:sz w:val="24"/>
                <w:szCs w:val="24"/>
              </w:rPr>
            </w:pPr>
            <w:r w:rsidRPr="00871723">
              <w:rPr>
                <w:rFonts w:ascii="Times New Roman" w:hAnsi="Times New Roman" w:cs="Times New Roman"/>
                <w:b/>
                <w:iCs/>
                <w:sz w:val="24"/>
                <w:szCs w:val="24"/>
              </w:rPr>
              <w:t>Tiesību akta projekta anotācijas kopsavilkums</w:t>
            </w:r>
          </w:p>
        </w:tc>
      </w:tr>
      <w:tr w:rsidR="00871723" w:rsidRPr="00871723" w14:paraId="3DA853FE" w14:textId="77777777" w:rsidTr="00871723">
        <w:trPr>
          <w:cantSplit/>
          <w:tblCellSpacing w:w="20" w:type="dxa"/>
        </w:trPr>
        <w:tc>
          <w:tcPr>
            <w:tcW w:w="3681" w:type="dxa"/>
            <w:shd w:val="clear" w:color="auto" w:fill="FFFFFF"/>
            <w:hideMark/>
          </w:tcPr>
          <w:p w14:paraId="0F8A7C9A" w14:textId="77777777" w:rsidR="00871723" w:rsidRPr="00871723" w:rsidRDefault="00871723" w:rsidP="00871723">
            <w:pPr>
              <w:jc w:val="both"/>
              <w:rPr>
                <w:rFonts w:ascii="Times New Roman" w:hAnsi="Times New Roman" w:cs="Times New Roman"/>
                <w:iCs/>
                <w:sz w:val="24"/>
                <w:szCs w:val="24"/>
              </w:rPr>
            </w:pPr>
            <w:r w:rsidRPr="00871723">
              <w:rPr>
                <w:rFonts w:ascii="Times New Roman" w:hAnsi="Times New Roman" w:cs="Times New Roman"/>
                <w:iCs/>
                <w:sz w:val="24"/>
                <w:szCs w:val="24"/>
              </w:rPr>
              <w:t>Mērķis, risinājums un projekta spēkā stāšanās laiks (500 zīmes bez atstarpēm)</w:t>
            </w:r>
          </w:p>
        </w:tc>
        <w:tc>
          <w:tcPr>
            <w:tcW w:w="5380" w:type="dxa"/>
            <w:shd w:val="clear" w:color="auto" w:fill="FFFFFF"/>
            <w:hideMark/>
          </w:tcPr>
          <w:p w14:paraId="4EDADEF6" w14:textId="21A1AFD2" w:rsidR="00871723" w:rsidRPr="00871723" w:rsidRDefault="00871723" w:rsidP="00F41BCE">
            <w:pPr>
              <w:rPr>
                <w:rFonts w:ascii="Times New Roman" w:hAnsi="Times New Roman" w:cs="Times New Roman"/>
                <w:i/>
                <w:iCs/>
                <w:sz w:val="24"/>
                <w:szCs w:val="24"/>
              </w:rPr>
            </w:pPr>
            <w:r>
              <w:rPr>
                <w:rFonts w:ascii="Times New Roman" w:hAnsi="Times New Roman" w:cs="Times New Roman"/>
                <w:sz w:val="24"/>
                <w:szCs w:val="24"/>
              </w:rPr>
              <w:t>Nav atti</w:t>
            </w:r>
            <w:bookmarkStart w:id="0" w:name="_GoBack"/>
            <w:bookmarkEnd w:id="0"/>
            <w:r>
              <w:rPr>
                <w:rFonts w:ascii="Times New Roman" w:hAnsi="Times New Roman" w:cs="Times New Roman"/>
                <w:sz w:val="24"/>
                <w:szCs w:val="24"/>
              </w:rPr>
              <w:t>ecināms</w:t>
            </w:r>
          </w:p>
        </w:tc>
      </w:tr>
    </w:tbl>
    <w:p w14:paraId="26EB58CC" w14:textId="0BC24149" w:rsidR="00E5323B" w:rsidRPr="00044840"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63A56" w:rsidRPr="00044840"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044840" w:rsidRDefault="00E5323B" w:rsidP="00BC7CB7">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I.</w:t>
            </w:r>
            <w:r w:rsidR="00661162">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Tiesību akta projekta izstrādes nepieciešamība</w:t>
            </w:r>
          </w:p>
        </w:tc>
      </w:tr>
      <w:tr w:rsidR="00063A56" w:rsidRPr="00044840" w14:paraId="7F36390D" w14:textId="77777777" w:rsidTr="006875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A3F0670" w14:textId="77777777" w:rsidR="00970C96"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Pamatojums</w:t>
            </w:r>
          </w:p>
          <w:p w14:paraId="5EE700DB" w14:textId="77777777" w:rsidR="00970C96" w:rsidRPr="00044840" w:rsidRDefault="00970C96" w:rsidP="00970C96">
            <w:pPr>
              <w:rPr>
                <w:rFonts w:ascii="Times New Roman" w:eastAsia="Times New Roman" w:hAnsi="Times New Roman" w:cs="Times New Roman"/>
                <w:sz w:val="24"/>
                <w:szCs w:val="24"/>
                <w:lang w:eastAsia="lv-LV"/>
              </w:rPr>
            </w:pPr>
          </w:p>
          <w:p w14:paraId="5F18A94C" w14:textId="77777777" w:rsidR="00970C96" w:rsidRPr="00044840" w:rsidRDefault="00970C96" w:rsidP="00970C96">
            <w:pPr>
              <w:rPr>
                <w:rFonts w:ascii="Times New Roman" w:eastAsia="Times New Roman" w:hAnsi="Times New Roman" w:cs="Times New Roman"/>
                <w:sz w:val="24"/>
                <w:szCs w:val="24"/>
                <w:lang w:eastAsia="lv-LV"/>
              </w:rPr>
            </w:pPr>
          </w:p>
          <w:p w14:paraId="5023BD59" w14:textId="77777777" w:rsidR="00970C96" w:rsidRPr="00044840" w:rsidRDefault="00970C96" w:rsidP="00970C96">
            <w:pPr>
              <w:rPr>
                <w:rFonts w:ascii="Times New Roman" w:eastAsia="Times New Roman" w:hAnsi="Times New Roman" w:cs="Times New Roman"/>
                <w:sz w:val="24"/>
                <w:szCs w:val="24"/>
                <w:lang w:eastAsia="lv-LV"/>
              </w:rPr>
            </w:pPr>
          </w:p>
          <w:p w14:paraId="0623D906" w14:textId="77777777" w:rsidR="00970C96" w:rsidRPr="00044840" w:rsidRDefault="00970C96" w:rsidP="00970C96">
            <w:pPr>
              <w:rPr>
                <w:rFonts w:ascii="Times New Roman" w:eastAsia="Times New Roman" w:hAnsi="Times New Roman" w:cs="Times New Roman"/>
                <w:sz w:val="24"/>
                <w:szCs w:val="24"/>
                <w:lang w:eastAsia="lv-LV"/>
              </w:rPr>
            </w:pPr>
          </w:p>
          <w:p w14:paraId="28497EEB" w14:textId="77777777" w:rsidR="00E5323B" w:rsidRPr="00044840" w:rsidRDefault="00E5323B" w:rsidP="00970C96">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2696B8A4" w14:textId="42BF429C" w:rsidR="00E5323B" w:rsidRPr="00044840" w:rsidRDefault="00F85EDC" w:rsidP="00BC7CB7">
            <w:pPr>
              <w:pStyle w:val="naiskr"/>
              <w:spacing w:before="0" w:after="0"/>
              <w:ind w:left="124" w:right="145"/>
              <w:jc w:val="both"/>
              <w:rPr>
                <w:bCs/>
              </w:rPr>
            </w:pPr>
            <w:r w:rsidRPr="00044840">
              <w:t xml:space="preserve">Ministru kabineta noteikumu projekta </w:t>
            </w:r>
            <w:r w:rsidR="002E4CCD" w:rsidRPr="00044840">
              <w:t>„Grozījumi Ministru kabineta 2015.</w:t>
            </w:r>
            <w:r w:rsidR="002E2616">
              <w:t> </w:t>
            </w:r>
            <w:r w:rsidR="002E4CCD" w:rsidRPr="00044840">
              <w:t>gada 13.</w:t>
            </w:r>
            <w:r w:rsidR="002E2616">
              <w:t> </w:t>
            </w:r>
            <w:r w:rsidR="002E4CCD" w:rsidRPr="00044840">
              <w:t>janvāra noteikumos Nr.</w:t>
            </w:r>
            <w:r w:rsidR="002E2616">
              <w:t> </w:t>
            </w:r>
            <w:r w:rsidR="002E4CCD" w:rsidRPr="00044840">
              <w:t>18 “</w:t>
            </w:r>
            <w:r w:rsidR="002E4CCD" w:rsidRPr="00044840">
              <w:rPr>
                <w:bCs/>
              </w:rPr>
              <w:t>Kārtība, kādā novērtē paredzētās darbības ietekmi uz vidi un akceptē paredzēto darbību””</w:t>
            </w:r>
            <w:r w:rsidRPr="00044840">
              <w:rPr>
                <w:bCs/>
              </w:rPr>
              <w:br/>
              <w:t xml:space="preserve"> (turpmāk – Noteikumu projekts) un tā anotācija izstrādāti, lai pārņemtu </w:t>
            </w:r>
            <w:r w:rsidRPr="00044840">
              <w:t>Eiropas Parlamenta un Padomes 2014. gada 16. aprīļa direktīvas 2014/52/ES, ar ko groza direktīvu 2011/92/ES par dažu sabiedrisko un privātu projektu ietekmes uz vidi novērtējumu (turpmāk – Direktīva) prasības</w:t>
            </w:r>
            <w:r w:rsidRPr="00044840">
              <w:rPr>
                <w:bCs/>
              </w:rPr>
              <w:t>.</w:t>
            </w:r>
          </w:p>
        </w:tc>
      </w:tr>
      <w:tr w:rsidR="00063A56" w:rsidRPr="00044840" w14:paraId="32FB4A7E" w14:textId="77777777" w:rsidTr="006875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77777777" w:rsidR="00655F2C"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723CD01" w14:textId="77777777" w:rsidR="00B83316"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37C5D1A" w14:textId="77777777" w:rsidR="00B83316" w:rsidRPr="00044840" w:rsidRDefault="00B83316" w:rsidP="00B83316">
            <w:pPr>
              <w:rPr>
                <w:rFonts w:ascii="Times New Roman" w:eastAsia="Times New Roman" w:hAnsi="Times New Roman" w:cs="Times New Roman"/>
                <w:sz w:val="24"/>
                <w:szCs w:val="24"/>
                <w:lang w:eastAsia="lv-LV"/>
              </w:rPr>
            </w:pPr>
          </w:p>
          <w:p w14:paraId="650CA20F" w14:textId="77777777" w:rsidR="00B83316" w:rsidRPr="00044840" w:rsidRDefault="00B83316" w:rsidP="00970C96">
            <w:pPr>
              <w:jc w:val="center"/>
              <w:rPr>
                <w:rFonts w:ascii="Times New Roman" w:eastAsia="Times New Roman" w:hAnsi="Times New Roman" w:cs="Times New Roman"/>
                <w:sz w:val="24"/>
                <w:szCs w:val="24"/>
                <w:lang w:eastAsia="lv-LV"/>
              </w:rPr>
            </w:pPr>
          </w:p>
          <w:p w14:paraId="30B1FDB4" w14:textId="77777777" w:rsidR="00E5323B" w:rsidRPr="00044840" w:rsidRDefault="00E5323B" w:rsidP="00B83316">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75EBD94" w14:textId="77777777" w:rsidR="00F85EDC" w:rsidRPr="00044840" w:rsidRDefault="00F85EDC" w:rsidP="00BC7CB7">
            <w:pPr>
              <w:spacing w:after="0" w:line="240" w:lineRule="auto"/>
              <w:jc w:val="both"/>
              <w:rPr>
                <w:rFonts w:ascii="Times New Roman" w:hAnsi="Times New Roman" w:cs="Times New Roman"/>
                <w:sz w:val="24"/>
                <w:szCs w:val="24"/>
              </w:rPr>
            </w:pPr>
            <w:r w:rsidRPr="00044840">
              <w:rPr>
                <w:rFonts w:ascii="Times New Roman" w:hAnsi="Times New Roman" w:cs="Times New Roman"/>
                <w:i/>
                <w:sz w:val="24"/>
                <w:szCs w:val="24"/>
              </w:rPr>
              <w:t>Pašreizējā situācija un problēmas</w:t>
            </w:r>
          </w:p>
          <w:p w14:paraId="489BB2C7" w14:textId="45B52EA8" w:rsidR="00F85EDC" w:rsidRPr="00044840" w:rsidRDefault="00F85EDC" w:rsidP="00BC7CB7">
            <w:pPr>
              <w:spacing w:after="0" w:line="240" w:lineRule="auto"/>
              <w:jc w:val="both"/>
              <w:rPr>
                <w:rFonts w:ascii="Times New Roman" w:hAnsi="Times New Roman" w:cs="Times New Roman"/>
                <w:sz w:val="24"/>
                <w:szCs w:val="24"/>
              </w:rPr>
            </w:pPr>
            <w:r w:rsidRPr="00044840">
              <w:rPr>
                <w:rFonts w:ascii="Times New Roman" w:hAnsi="Times New Roman" w:cs="Times New Roman"/>
                <w:sz w:val="24"/>
                <w:szCs w:val="24"/>
              </w:rPr>
              <w:t xml:space="preserve">Kārtība, kādā piemērojams </w:t>
            </w:r>
            <w:r w:rsidR="00AA4BC6" w:rsidRPr="00044840">
              <w:rPr>
                <w:rFonts w:ascii="Times New Roman" w:hAnsi="Times New Roman" w:cs="Times New Roman"/>
                <w:sz w:val="24"/>
                <w:szCs w:val="24"/>
              </w:rPr>
              <w:t xml:space="preserve">paredzētās darbības </w:t>
            </w:r>
            <w:r w:rsidRPr="00044840">
              <w:rPr>
                <w:rFonts w:ascii="Times New Roman" w:hAnsi="Times New Roman" w:cs="Times New Roman"/>
                <w:sz w:val="24"/>
                <w:szCs w:val="24"/>
              </w:rPr>
              <w:t xml:space="preserve">ietekmes uz vidi novērtējums (turpmāk – IVN) vai ietekmes sākotnējais </w:t>
            </w:r>
            <w:proofErr w:type="spellStart"/>
            <w:r w:rsidRPr="00044840">
              <w:rPr>
                <w:rFonts w:ascii="Times New Roman" w:hAnsi="Times New Roman" w:cs="Times New Roman"/>
                <w:sz w:val="24"/>
                <w:szCs w:val="24"/>
              </w:rPr>
              <w:t>izvērtējums</w:t>
            </w:r>
            <w:proofErr w:type="spellEnd"/>
            <w:r w:rsidRPr="00044840">
              <w:rPr>
                <w:rFonts w:ascii="Times New Roman" w:hAnsi="Times New Roman" w:cs="Times New Roman"/>
                <w:sz w:val="24"/>
                <w:szCs w:val="24"/>
              </w:rPr>
              <w:t xml:space="preserve"> (turpmāk – ISI) un kārtība, kādā tiek pieņemts paredzētās darbības akcepts noteikts Ministru kabineta 2015.</w:t>
            </w:r>
            <w:r w:rsidR="00661162">
              <w:rPr>
                <w:rFonts w:ascii="Times New Roman" w:hAnsi="Times New Roman" w:cs="Times New Roman"/>
                <w:sz w:val="24"/>
                <w:szCs w:val="24"/>
              </w:rPr>
              <w:t> </w:t>
            </w:r>
            <w:r w:rsidRPr="00044840">
              <w:rPr>
                <w:rFonts w:ascii="Times New Roman" w:hAnsi="Times New Roman" w:cs="Times New Roman"/>
                <w:sz w:val="24"/>
                <w:szCs w:val="24"/>
              </w:rPr>
              <w:t>gada</w:t>
            </w:r>
            <w:r w:rsidR="00811F55" w:rsidRPr="00044840">
              <w:rPr>
                <w:rFonts w:ascii="Times New Roman" w:hAnsi="Times New Roman" w:cs="Times New Roman"/>
                <w:sz w:val="24"/>
                <w:szCs w:val="24"/>
              </w:rPr>
              <w:t xml:space="preserve"> 13.</w:t>
            </w:r>
            <w:r w:rsidR="00661162">
              <w:rPr>
                <w:rFonts w:ascii="Times New Roman" w:hAnsi="Times New Roman" w:cs="Times New Roman"/>
                <w:sz w:val="24"/>
                <w:szCs w:val="24"/>
              </w:rPr>
              <w:t> </w:t>
            </w:r>
            <w:r w:rsidR="00811F55" w:rsidRPr="00044840">
              <w:rPr>
                <w:rFonts w:ascii="Times New Roman" w:hAnsi="Times New Roman" w:cs="Times New Roman"/>
                <w:sz w:val="24"/>
                <w:szCs w:val="24"/>
              </w:rPr>
              <w:t>janvāra noteikumi Nr.</w:t>
            </w:r>
            <w:r w:rsidR="00661162">
              <w:rPr>
                <w:rFonts w:ascii="Times New Roman" w:hAnsi="Times New Roman" w:cs="Times New Roman"/>
                <w:sz w:val="24"/>
                <w:szCs w:val="24"/>
              </w:rPr>
              <w:t> </w:t>
            </w:r>
            <w:r w:rsidR="00811F55" w:rsidRPr="00044840">
              <w:rPr>
                <w:rFonts w:ascii="Times New Roman" w:hAnsi="Times New Roman" w:cs="Times New Roman"/>
                <w:sz w:val="24"/>
                <w:szCs w:val="24"/>
              </w:rPr>
              <w:t>18 “ </w:t>
            </w:r>
            <w:r w:rsidRPr="00044840">
              <w:rPr>
                <w:rFonts w:ascii="Times New Roman" w:hAnsi="Times New Roman" w:cs="Times New Roman"/>
                <w:bCs/>
                <w:sz w:val="24"/>
                <w:szCs w:val="24"/>
              </w:rPr>
              <w:t>Kārtība, kādā novērtē paredzētās darbības ietekmi uz vidi un akceptē paredzēto darbību</w:t>
            </w:r>
            <w:r w:rsidR="00811F55" w:rsidRPr="00044840">
              <w:rPr>
                <w:rFonts w:ascii="Times New Roman" w:hAnsi="Times New Roman" w:cs="Times New Roman"/>
                <w:bCs/>
                <w:sz w:val="24"/>
                <w:szCs w:val="24"/>
              </w:rPr>
              <w:t> </w:t>
            </w:r>
            <w:r w:rsidRPr="00044840">
              <w:rPr>
                <w:rFonts w:ascii="Times New Roman" w:hAnsi="Times New Roman" w:cs="Times New Roman"/>
                <w:bCs/>
                <w:sz w:val="24"/>
                <w:szCs w:val="24"/>
              </w:rPr>
              <w:t>”</w:t>
            </w:r>
            <w:r w:rsidR="00F674E2" w:rsidRPr="00044840">
              <w:rPr>
                <w:rFonts w:ascii="Times New Roman" w:hAnsi="Times New Roman" w:cs="Times New Roman"/>
                <w:bCs/>
                <w:sz w:val="24"/>
                <w:szCs w:val="24"/>
              </w:rPr>
              <w:t xml:space="preserve"> (turpmāk – Noteikumi Nr.</w:t>
            </w:r>
            <w:r w:rsidR="00661162">
              <w:rPr>
                <w:rFonts w:ascii="Times New Roman" w:hAnsi="Times New Roman" w:cs="Times New Roman"/>
                <w:bCs/>
                <w:sz w:val="24"/>
                <w:szCs w:val="24"/>
              </w:rPr>
              <w:t> </w:t>
            </w:r>
            <w:r w:rsidR="00F674E2" w:rsidRPr="00044840">
              <w:rPr>
                <w:rFonts w:ascii="Times New Roman" w:hAnsi="Times New Roman" w:cs="Times New Roman"/>
                <w:bCs/>
                <w:sz w:val="24"/>
                <w:szCs w:val="24"/>
              </w:rPr>
              <w:t>18).</w:t>
            </w:r>
            <w:r w:rsidRPr="00044840">
              <w:rPr>
                <w:rFonts w:ascii="Times New Roman" w:hAnsi="Times New Roman" w:cs="Times New Roman"/>
                <w:bCs/>
                <w:sz w:val="24"/>
                <w:szCs w:val="24"/>
              </w:rPr>
              <w:t xml:space="preserve"> </w:t>
            </w:r>
          </w:p>
          <w:p w14:paraId="1826583C" w14:textId="77777777" w:rsidR="00E5323B" w:rsidRPr="00044840" w:rsidRDefault="00E5323B" w:rsidP="00BC7CB7">
            <w:pPr>
              <w:pStyle w:val="BodyText"/>
              <w:ind w:left="62"/>
              <w:jc w:val="both"/>
              <w:outlineLvl w:val="0"/>
              <w:rPr>
                <w:iCs/>
                <w:lang w:val="lv-LV" w:eastAsia="lv-LV"/>
              </w:rPr>
            </w:pPr>
          </w:p>
          <w:p w14:paraId="1213A468" w14:textId="77777777" w:rsidR="002E4CCD" w:rsidRPr="00044840" w:rsidRDefault="002E4CCD" w:rsidP="00BC7CB7">
            <w:pPr>
              <w:pStyle w:val="naiskr"/>
              <w:spacing w:before="0" w:after="0"/>
              <w:jc w:val="both"/>
              <w:rPr>
                <w:i/>
              </w:rPr>
            </w:pPr>
            <w:r w:rsidRPr="00044840">
              <w:rPr>
                <w:i/>
              </w:rPr>
              <w:t>Noteikumu projekta mērķis un būtība</w:t>
            </w:r>
          </w:p>
          <w:p w14:paraId="1696DC83" w14:textId="77777777" w:rsidR="00A06DA4" w:rsidRPr="00044840" w:rsidRDefault="00A06DA4" w:rsidP="00BC7CB7">
            <w:pPr>
              <w:pStyle w:val="naiskr"/>
              <w:spacing w:before="0" w:after="0"/>
              <w:jc w:val="both"/>
              <w:rPr>
                <w:i/>
              </w:rPr>
            </w:pPr>
          </w:p>
          <w:p w14:paraId="34963FF1" w14:textId="77777777" w:rsidR="00A06DA4" w:rsidRPr="00044840" w:rsidRDefault="00A06DA4" w:rsidP="00BC7CB7">
            <w:pPr>
              <w:pStyle w:val="naiskr"/>
              <w:spacing w:before="0" w:after="0"/>
              <w:jc w:val="both"/>
            </w:pPr>
            <w:r w:rsidRPr="00044840">
              <w:t xml:space="preserve">Ar noteikumu projektu tiek izdarīti </w:t>
            </w:r>
            <w:r w:rsidR="00956F7F" w:rsidRPr="00044840">
              <w:t>šādi</w:t>
            </w:r>
            <w:r w:rsidRPr="00044840">
              <w:t xml:space="preserve"> grozījumi:</w:t>
            </w:r>
          </w:p>
          <w:p w14:paraId="031FDCCB" w14:textId="2714D809" w:rsidR="0077660E" w:rsidRPr="00044840" w:rsidRDefault="00A06DA4" w:rsidP="00A830FF">
            <w:pPr>
              <w:pStyle w:val="naiskr"/>
              <w:spacing w:before="0" w:after="0"/>
              <w:ind w:left="60"/>
              <w:jc w:val="both"/>
            </w:pPr>
            <w:r w:rsidRPr="00044840">
              <w:t>Noteikts</w:t>
            </w:r>
            <w:r w:rsidR="00661162">
              <w:t>,</w:t>
            </w:r>
            <w:r w:rsidRPr="00044840">
              <w:t xml:space="preserve"> kāda informācija jāsniedz ietekmes uz vidi novērtējuma ziņojumā, lai paredzētā darbība tiktu pilnvērtīgi aprakstīta un </w:t>
            </w:r>
            <w:r w:rsidR="00970C96" w:rsidRPr="00044840">
              <w:t>tiktu s</w:t>
            </w:r>
            <w:r w:rsidRPr="00044840">
              <w:t xml:space="preserve">niegts </w:t>
            </w:r>
            <w:r w:rsidR="00811F55" w:rsidRPr="00044840">
              <w:t>apraksts</w:t>
            </w:r>
            <w:r w:rsidRPr="00044840">
              <w:t xml:space="preserve"> par </w:t>
            </w:r>
            <w:r w:rsidR="00970C96" w:rsidRPr="00044840">
              <w:t xml:space="preserve">tās </w:t>
            </w:r>
            <w:r w:rsidRPr="00044840">
              <w:t>ietekmi uz vidi</w:t>
            </w:r>
            <w:r w:rsidR="00811F55" w:rsidRPr="00044840">
              <w:t xml:space="preserve">. Paredzētās darbības ierosinātājām paredzētā darbība jāapraksta pēc iespējas agrāk, tas nozīmē, ka </w:t>
            </w:r>
            <w:r w:rsidR="00F014E6" w:rsidRPr="00044840">
              <w:t xml:space="preserve">informācijas un </w:t>
            </w:r>
            <w:r w:rsidR="00811F55" w:rsidRPr="00044840">
              <w:t>datu vākšana ir jāsāk laicīgi, kā arī t</w:t>
            </w:r>
            <w:r w:rsidR="00F014E6" w:rsidRPr="00044840">
              <w:t>ā</w:t>
            </w:r>
            <w:r w:rsidR="00811F55" w:rsidRPr="00044840">
              <w:t xml:space="preserve"> jāapkopo atbilstoši saņemtajai Vides pārraudzības valsts biroja</w:t>
            </w:r>
            <w:r w:rsidR="003E63B3" w:rsidRPr="00044840">
              <w:t xml:space="preserve"> (turpmāk – Birojs)</w:t>
            </w:r>
            <w:r w:rsidR="00F67DE7" w:rsidRPr="00044840">
              <w:t xml:space="preserve"> izdota</w:t>
            </w:r>
            <w:r w:rsidR="00811F55" w:rsidRPr="00044840">
              <w:t xml:space="preserve"> programmai, kuru izsniedz atbilstoši</w:t>
            </w:r>
            <w:r w:rsidR="00F674E2" w:rsidRPr="00044840">
              <w:t xml:space="preserve"> Noteikumiem Nr.</w:t>
            </w:r>
            <w:r w:rsidR="00661162">
              <w:t> </w:t>
            </w:r>
            <w:r w:rsidR="00F674E2" w:rsidRPr="00044840">
              <w:t xml:space="preserve">18. </w:t>
            </w:r>
            <w:r w:rsidR="003E63B3" w:rsidRPr="00044840">
              <w:t xml:space="preserve">Izsniegtajā programmā Birojs iekļauj prasības ietekmes uz vidi novērtējuma ziņojuma sagatavošanai. </w:t>
            </w:r>
            <w:r w:rsidR="003E63B3" w:rsidRPr="00044840">
              <w:lastRenderedPageBreak/>
              <w:t>Noteikumu projektā noteiktas konkrētas prasības zi</w:t>
            </w:r>
            <w:r w:rsidR="00E6622A" w:rsidRPr="00044840">
              <w:t xml:space="preserve">ņojumā paredzētās informācijas iekļaušanai, kas attiecās uz paredzētās darbības atrašanā vietu, jāraksturo ražošanas process, jānorāda prognozējamo atkritumu, smaku, trokšņu, </w:t>
            </w:r>
            <w:r w:rsidR="00F67DE7" w:rsidRPr="00044840">
              <w:t>jonizējošā starojuma,</w:t>
            </w:r>
            <w:r w:rsidR="00E6622A" w:rsidRPr="00044840">
              <w:t xml:space="preserve"> un citu paredzētās dar</w:t>
            </w:r>
            <w:r w:rsidR="0077660E" w:rsidRPr="00044840">
              <w:t xml:space="preserve">bības izraisīto ietekmju veidu. Tāpat jāņem vērā paredzētās darbības vietas vides jutīgums un šīs vietas ģeogrāfiskās īpatnības raksturojošie faktori, tajā skaitā, bioloģiskā daudzveidība (īpaši aizsargājamās sugas, to dzīvotnes un īpaši aizsargājamie un Eiropas nozīmes biotopi </w:t>
            </w:r>
            <w:r w:rsidR="00661162">
              <w:t xml:space="preserve">atbilstoši </w:t>
            </w:r>
            <w:r w:rsidR="0077660E" w:rsidRPr="00044840">
              <w:t xml:space="preserve">Padomes </w:t>
            </w:r>
            <w:r w:rsidR="00661162">
              <w:t xml:space="preserve">1992. gada 21. maija </w:t>
            </w:r>
            <w:r w:rsidR="0077660E" w:rsidRPr="00044840">
              <w:t>direktīvas 92/43/EEK</w:t>
            </w:r>
            <w:r w:rsidR="00661162">
              <w:t xml:space="preserve"> </w:t>
            </w:r>
            <w:r w:rsidR="0077660E" w:rsidRPr="00044840">
              <w:t>par dabisko dzīvotņu, savvaļas faunas un floras aizsardzību I pielikumā minēt</w:t>
            </w:r>
            <w:r w:rsidR="00661162">
              <w:t>ajiem</w:t>
            </w:r>
            <w:r w:rsidR="0077660E" w:rsidRPr="00044840">
              <w:t xml:space="preserve"> biotopi</w:t>
            </w:r>
            <w:r w:rsidR="00661162">
              <w:t>em</w:t>
            </w:r>
            <w:r w:rsidR="0077660E" w:rsidRPr="00044840">
              <w:t xml:space="preserve">. </w:t>
            </w:r>
            <w:r w:rsidR="00E6622A" w:rsidRPr="00044840">
              <w:t xml:space="preserve">Jāraksturo paredzētās darbības izvēlētās alternatīvas, kā arī </w:t>
            </w:r>
            <w:r w:rsidR="00F67DE7" w:rsidRPr="00044840">
              <w:t>mijiedarbība</w:t>
            </w:r>
            <w:r w:rsidR="00E6622A" w:rsidRPr="00044840">
              <w:t xml:space="preserve"> ar citām tuvumā esošajām paredzētajām darbībām</w:t>
            </w:r>
            <w:r w:rsidR="00173E3A" w:rsidRPr="00044840">
              <w:t>. Ziņojumā jānorāda risinājuma veidus</w:t>
            </w:r>
            <w:r w:rsidR="00661162">
              <w:t xml:space="preserve"> </w:t>
            </w:r>
            <w:r w:rsidR="00173E3A" w:rsidRPr="00044840">
              <w:t xml:space="preserve">un pasākumus, </w:t>
            </w:r>
            <w:r w:rsidR="00661162">
              <w:t xml:space="preserve">lai </w:t>
            </w:r>
            <w:r w:rsidR="0077660E" w:rsidRPr="00044840">
              <w:t>novērstu, nepieļautu vai mazinātu un, ja iespējams, atlīdzinātu paredzētās darbības būtisko nelabvēlīgu ietekmi uz vidi.</w:t>
            </w:r>
          </w:p>
          <w:p w14:paraId="7865FBDC" w14:textId="77777777" w:rsidR="00A830FF" w:rsidRPr="00044840" w:rsidRDefault="00A830FF" w:rsidP="00A830FF">
            <w:pPr>
              <w:pStyle w:val="naiskr"/>
              <w:spacing w:before="0" w:after="0"/>
              <w:ind w:left="60"/>
              <w:jc w:val="both"/>
              <w:rPr>
                <w:i/>
              </w:rPr>
            </w:pPr>
            <w:r w:rsidRPr="00044840">
              <w:rPr>
                <w:i/>
              </w:rPr>
              <w:t>Par noteikumu projekta ietekmi uz vidi</w:t>
            </w:r>
          </w:p>
          <w:p w14:paraId="7B7C15E4" w14:textId="7DA46A04" w:rsidR="00A830FF" w:rsidRPr="00044840" w:rsidRDefault="00F67DE7" w:rsidP="00970C96">
            <w:pPr>
              <w:pStyle w:val="naiskr"/>
              <w:spacing w:before="0" w:after="0"/>
              <w:ind w:left="60"/>
              <w:jc w:val="both"/>
            </w:pPr>
            <w:r w:rsidRPr="00044840">
              <w:t>Noteikumu projekts pozitīvi ietekmēs vidi, jo sabiedr</w:t>
            </w:r>
            <w:r w:rsidR="00970C96" w:rsidRPr="00044840">
              <w:t>ībai tiks sniegt</w:t>
            </w:r>
            <w:r w:rsidR="00B867EB" w:rsidRPr="00044840">
              <w:t>a</w:t>
            </w:r>
            <w:r w:rsidR="00970C96" w:rsidRPr="00044840">
              <w:t xml:space="preserve"> pamatot</w:t>
            </w:r>
            <w:r w:rsidR="00B867EB" w:rsidRPr="00044840">
              <w:t>a,</w:t>
            </w:r>
            <w:r w:rsidR="00970C96" w:rsidRPr="00044840">
              <w:t xml:space="preserve"> un arī det</w:t>
            </w:r>
            <w:r w:rsidR="00661162">
              <w:t>alizēti</w:t>
            </w:r>
            <w:r w:rsidR="00B867EB" w:rsidRPr="00044840">
              <w:t xml:space="preserve"> aprakstīta informācija</w:t>
            </w:r>
            <w:r w:rsidR="00970C96" w:rsidRPr="00044840">
              <w:t xml:space="preserve"> par paredzētās darbības iespējamo ietekmi uz vidi. </w:t>
            </w:r>
            <w:r w:rsidRPr="00044840">
              <w:t>Sabiedrības, uzņēmēja un arī iesaistīto institūciju interesēs ir iepazīties ar pilnvērtīgu novērtējumu par paredzētās darbības ietekmi uz vidi, lai nerastos situācijas, ka tiek apšaubīta paredzētās darbības ietekme</w:t>
            </w:r>
            <w:r w:rsidR="00A830FF" w:rsidRPr="00044840">
              <w:t xml:space="preserve">. </w:t>
            </w:r>
          </w:p>
          <w:p w14:paraId="6260BD0B" w14:textId="77777777" w:rsidR="00A830FF" w:rsidRPr="00044840" w:rsidRDefault="00A830FF" w:rsidP="00970C96">
            <w:pPr>
              <w:pStyle w:val="naiskr"/>
              <w:spacing w:before="0" w:after="0"/>
              <w:ind w:left="60"/>
              <w:jc w:val="both"/>
              <w:rPr>
                <w:i/>
              </w:rPr>
            </w:pPr>
            <w:r w:rsidRPr="00044840">
              <w:rPr>
                <w:i/>
              </w:rPr>
              <w:t>Par noteikumu projekta ietekmi uz veselību</w:t>
            </w:r>
          </w:p>
          <w:p w14:paraId="34413A85" w14:textId="77777777" w:rsidR="00A830FF" w:rsidRPr="00044840" w:rsidRDefault="00970C96" w:rsidP="00970C96">
            <w:pPr>
              <w:pStyle w:val="naiskr"/>
              <w:spacing w:before="0" w:after="0"/>
              <w:ind w:left="60"/>
              <w:jc w:val="both"/>
            </w:pPr>
            <w:r w:rsidRPr="00044840">
              <w:t>Noteikumu projekt</w:t>
            </w:r>
            <w:r w:rsidR="00A830FF" w:rsidRPr="00044840">
              <w:t>s</w:t>
            </w:r>
            <w:r w:rsidRPr="00044840">
              <w:t xml:space="preserve"> </w:t>
            </w:r>
            <w:r w:rsidR="00A830FF" w:rsidRPr="00044840">
              <w:t>paredz, ka ziņojumā par paredzētās darbības ietekmi uz vidi</w:t>
            </w:r>
            <w:r w:rsidRPr="00044840">
              <w:t xml:space="preserve"> iekļau</w:t>
            </w:r>
            <w:r w:rsidR="00A830FF" w:rsidRPr="00044840">
              <w:t>j</w:t>
            </w:r>
            <w:r w:rsidRPr="00044840">
              <w:t xml:space="preserve"> informācij</w:t>
            </w:r>
            <w:r w:rsidR="00A830FF" w:rsidRPr="00044840">
              <w:t>u</w:t>
            </w:r>
            <w:r w:rsidRPr="00044840">
              <w:t xml:space="preserve">, kurā noteikts, ka paredzētās darbības iespējama ietekme uz vidi jāapraksta kontekstā ar cilvēku veselību. </w:t>
            </w:r>
          </w:p>
          <w:p w14:paraId="456ECCE5" w14:textId="77777777" w:rsidR="00A830FF" w:rsidRPr="00044840" w:rsidRDefault="00A830FF" w:rsidP="00970C96">
            <w:pPr>
              <w:pStyle w:val="naiskr"/>
              <w:spacing w:before="0" w:after="0"/>
              <w:ind w:left="60"/>
              <w:jc w:val="both"/>
              <w:rPr>
                <w:i/>
              </w:rPr>
            </w:pPr>
            <w:r w:rsidRPr="00044840">
              <w:rPr>
                <w:i/>
              </w:rPr>
              <w:t>Par noteikumu projekta ietekmi uz uzņēmējdarbības vidi</w:t>
            </w:r>
          </w:p>
          <w:p w14:paraId="7E1627A1" w14:textId="2069253A" w:rsidR="00A06DA4" w:rsidRPr="00044840" w:rsidRDefault="00970C96" w:rsidP="00EA238B">
            <w:pPr>
              <w:pStyle w:val="naiskr"/>
              <w:spacing w:before="0" w:after="0"/>
              <w:ind w:left="60"/>
              <w:jc w:val="both"/>
              <w:rPr>
                <w:i/>
              </w:rPr>
            </w:pPr>
            <w:r w:rsidRPr="00044840">
              <w:t>Noteikumu projekt</w:t>
            </w:r>
            <w:r w:rsidR="00A830FF" w:rsidRPr="00044840">
              <w:t>s</w:t>
            </w:r>
            <w:r w:rsidRPr="00044840">
              <w:t xml:space="preserve"> ietekm</w:t>
            </w:r>
            <w:r w:rsidR="00A830FF" w:rsidRPr="00044840">
              <w:t>ē</w:t>
            </w:r>
            <w:r w:rsidRPr="00044840">
              <w:t xml:space="preserve"> uzņēmējdarbības vidi</w:t>
            </w:r>
            <w:r w:rsidR="00A830FF" w:rsidRPr="00044840">
              <w:t>.</w:t>
            </w:r>
            <w:r w:rsidRPr="00044840">
              <w:t xml:space="preserve"> </w:t>
            </w:r>
            <w:r w:rsidR="00A830FF" w:rsidRPr="00044840">
              <w:t>Norādām, ka</w:t>
            </w:r>
            <w:r w:rsidR="00044840">
              <w:t>,</w:t>
            </w:r>
            <w:r w:rsidRPr="00044840">
              <w:t xml:space="preserve"> galvenokārt</w:t>
            </w:r>
            <w:r w:rsidR="00044840">
              <w:t>,</w:t>
            </w:r>
            <w:r w:rsidRPr="00044840">
              <w:t xml:space="preserve"> ietekmes uz vidi novērtējumu ziņojumus sagatavo komersanti paredzētās darbības ierosinātājam</w:t>
            </w:r>
            <w:r w:rsidR="00A830FF" w:rsidRPr="00044840">
              <w:t>. Noteikumu projektā</w:t>
            </w:r>
            <w:r w:rsidRPr="00044840">
              <w:t xml:space="preserve"> ir novērtēts, ka ar noteikumu projektu tiek paplašināts informācijas apjoms, kas jāiekļauj ziņojumā, tomēr jāņem vērā, ka informācijas detalizācijas pakāpe ir noteikta ar Direktīvas prasībām.</w:t>
            </w:r>
          </w:p>
        </w:tc>
      </w:tr>
      <w:tr w:rsidR="00063A56" w:rsidRPr="00044840" w14:paraId="5AD5EB51" w14:textId="77777777" w:rsidTr="006875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77777777" w:rsidR="00655F2C"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DAFE977" w14:textId="77777777" w:rsidR="00E5323B"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09C64DB" w14:textId="77777777" w:rsidR="00E5323B" w:rsidRPr="00044840" w:rsidRDefault="00F12D56" w:rsidP="00F12D56">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iCs/>
                <w:sz w:val="24"/>
                <w:szCs w:val="24"/>
              </w:rPr>
              <w:t xml:space="preserve">Vides aizsardzības un reģionālās attīstības ministrija (turpmāk </w:t>
            </w:r>
            <w:r w:rsidRPr="00044840">
              <w:rPr>
                <w:rFonts w:ascii="Times New Roman" w:hAnsi="Times New Roman" w:cs="Times New Roman"/>
                <w:bCs/>
                <w:iCs/>
                <w:sz w:val="24"/>
                <w:szCs w:val="24"/>
              </w:rPr>
              <w:t>– </w:t>
            </w:r>
            <w:r w:rsidRPr="00044840">
              <w:rPr>
                <w:rFonts w:ascii="Times New Roman" w:hAnsi="Times New Roman" w:cs="Times New Roman"/>
                <w:iCs/>
                <w:sz w:val="24"/>
                <w:szCs w:val="24"/>
              </w:rPr>
              <w:t>VARAM), Valsts vides dienests un Birojs.</w:t>
            </w:r>
          </w:p>
        </w:tc>
      </w:tr>
      <w:tr w:rsidR="00063A56" w:rsidRPr="00044840" w14:paraId="222A6415" w14:textId="77777777" w:rsidTr="006875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ECB8743" w14:textId="77777777" w:rsidR="00E5323B"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110F241" w14:textId="27841D15" w:rsidR="00E5323B" w:rsidRPr="00044840" w:rsidRDefault="00F12D56"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Nav</w:t>
            </w:r>
          </w:p>
        </w:tc>
      </w:tr>
    </w:tbl>
    <w:p w14:paraId="3AD4BFDF" w14:textId="77777777" w:rsidR="00687540"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63A56" w:rsidRPr="00044840"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044840" w:rsidRDefault="00E5323B" w:rsidP="00E5323B">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lastRenderedPageBreak/>
              <w:t>II.</w:t>
            </w:r>
            <w:r w:rsidR="00661162">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063A56" w:rsidRPr="00044840" w14:paraId="2C274FF5" w14:textId="77777777" w:rsidTr="006875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A088A12"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Sabiedrības </w:t>
            </w:r>
            <w:proofErr w:type="spellStart"/>
            <w:r w:rsidRPr="00044840">
              <w:rPr>
                <w:rFonts w:ascii="Times New Roman" w:eastAsia="Times New Roman" w:hAnsi="Times New Roman" w:cs="Times New Roman"/>
                <w:iCs/>
                <w:sz w:val="24"/>
                <w:szCs w:val="24"/>
                <w:lang w:eastAsia="lv-LV"/>
              </w:rPr>
              <w:t>mērķgrupas</w:t>
            </w:r>
            <w:proofErr w:type="spellEnd"/>
            <w:r w:rsidRPr="00044840">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4A5B007" w14:textId="23EEF03D" w:rsidR="00F12D56" w:rsidRPr="00044840" w:rsidRDefault="00F12D56" w:rsidP="007B1171">
            <w:pPr>
              <w:ind w:left="45"/>
              <w:jc w:val="both"/>
              <w:rPr>
                <w:rFonts w:ascii="Times New Roman" w:hAnsi="Times New Roman" w:cs="Times New Roman"/>
                <w:sz w:val="24"/>
                <w:szCs w:val="24"/>
              </w:rPr>
            </w:pPr>
            <w:r w:rsidRPr="00044840">
              <w:rPr>
                <w:rFonts w:ascii="Times New Roman" w:hAnsi="Times New Roman" w:cs="Times New Roman"/>
                <w:sz w:val="24"/>
                <w:szCs w:val="24"/>
              </w:rPr>
              <w:t xml:space="preserve">Juridiskās, fiziskās un publiskās personas, kā arī iestādes, piemēram, Dabas aizsardzības pārvalde, kā arī kapitālsabiedrības </w:t>
            </w:r>
            <w:r w:rsidR="00661162">
              <w:rPr>
                <w:rFonts w:ascii="Times New Roman" w:hAnsi="Times New Roman" w:cs="Times New Roman"/>
                <w:sz w:val="24"/>
                <w:szCs w:val="24"/>
              </w:rPr>
              <w:t>–</w:t>
            </w:r>
            <w:r w:rsidRPr="00044840">
              <w:rPr>
                <w:rFonts w:ascii="Times New Roman" w:hAnsi="Times New Roman" w:cs="Times New Roman"/>
                <w:sz w:val="24"/>
                <w:szCs w:val="24"/>
              </w:rPr>
              <w:t xml:space="preserve"> </w:t>
            </w:r>
            <w:r w:rsidR="00661162">
              <w:rPr>
                <w:rFonts w:ascii="Times New Roman" w:hAnsi="Times New Roman" w:cs="Times New Roman"/>
                <w:sz w:val="24"/>
                <w:szCs w:val="24"/>
              </w:rPr>
              <w:t xml:space="preserve">valsts akciju sabiedrība </w:t>
            </w:r>
            <w:r w:rsidRPr="00044840">
              <w:rPr>
                <w:rFonts w:ascii="Times New Roman" w:hAnsi="Times New Roman" w:cs="Times New Roman"/>
                <w:sz w:val="24"/>
                <w:szCs w:val="24"/>
              </w:rPr>
              <w:t xml:space="preserve"> “Latvijas Valsts ceļi”:</w:t>
            </w:r>
          </w:p>
          <w:p w14:paraId="235ECE11" w14:textId="3E176E4A" w:rsidR="00F12D56" w:rsidRPr="00044840" w:rsidRDefault="00F12D56" w:rsidP="007B1171">
            <w:pPr>
              <w:ind w:left="45"/>
              <w:jc w:val="both"/>
              <w:rPr>
                <w:rFonts w:ascii="Times New Roman" w:hAnsi="Times New Roman" w:cs="Times New Roman"/>
                <w:sz w:val="24"/>
                <w:szCs w:val="24"/>
              </w:rPr>
            </w:pPr>
            <w:r w:rsidRPr="00044840">
              <w:rPr>
                <w:rFonts w:ascii="Times New Roman" w:hAnsi="Times New Roman" w:cs="Times New Roman"/>
                <w:sz w:val="24"/>
                <w:szCs w:val="24"/>
              </w:rPr>
              <w:t>1) kurām piemērota ietekmes uz vidi novērtējuma procedūra;</w:t>
            </w:r>
          </w:p>
          <w:p w14:paraId="07142DA2" w14:textId="5804755E" w:rsidR="00E5323B" w:rsidRPr="00044840" w:rsidRDefault="00F12D56" w:rsidP="007B1171">
            <w:pPr>
              <w:spacing w:after="0" w:line="240" w:lineRule="auto"/>
              <w:jc w:val="both"/>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 xml:space="preserve"> 2)</w:t>
            </w:r>
            <w:r w:rsidR="00661162">
              <w:rPr>
                <w:rFonts w:ascii="Times New Roman" w:hAnsi="Times New Roman" w:cs="Times New Roman"/>
                <w:sz w:val="24"/>
                <w:szCs w:val="24"/>
              </w:rPr>
              <w:t> </w:t>
            </w:r>
            <w:r w:rsidRPr="00044840">
              <w:rPr>
                <w:rFonts w:ascii="Times New Roman" w:hAnsi="Times New Roman" w:cs="Times New Roman"/>
                <w:sz w:val="24"/>
                <w:szCs w:val="24"/>
              </w:rPr>
              <w:t>kuras plāno paredzēto darbību, kurai būs nepieciešama ietekmes uz vidi novērtējuma procedūra.</w:t>
            </w:r>
          </w:p>
        </w:tc>
      </w:tr>
      <w:tr w:rsidR="00063A56" w:rsidRPr="00044840" w14:paraId="5C16E6ED" w14:textId="77777777" w:rsidTr="006875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8560BE"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A830FF" w:rsidRPr="00044840" w:rsidRDefault="00A830FF" w:rsidP="006D7121">
            <w:pPr>
              <w:pStyle w:val="tv213"/>
              <w:spacing w:before="0" w:beforeAutospacing="0" w:after="0" w:afterAutospacing="0" w:line="293" w:lineRule="atLeast"/>
              <w:ind w:firstLine="300"/>
              <w:jc w:val="both"/>
              <w:rPr>
                <w:rFonts w:eastAsia="Times New Roman"/>
                <w:iCs/>
              </w:rPr>
            </w:pPr>
          </w:p>
        </w:tc>
        <w:tc>
          <w:tcPr>
            <w:tcW w:w="2960" w:type="pct"/>
            <w:tcBorders>
              <w:top w:val="outset" w:sz="6" w:space="0" w:color="auto"/>
              <w:left w:val="outset" w:sz="6" w:space="0" w:color="auto"/>
              <w:bottom w:val="outset" w:sz="6" w:space="0" w:color="auto"/>
              <w:right w:val="outset" w:sz="6" w:space="0" w:color="auto"/>
            </w:tcBorders>
            <w:hideMark/>
          </w:tcPr>
          <w:p w14:paraId="493046BF" w14:textId="70CA41D9" w:rsidR="00E5323B" w:rsidRPr="00044840" w:rsidRDefault="00F07505" w:rsidP="006D7121">
            <w:pPr>
              <w:spacing w:after="0" w:line="240" w:lineRule="auto"/>
              <w:jc w:val="both"/>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Informācija, kuru jāiekļauj</w:t>
            </w:r>
            <w:r w:rsidR="00F12D56" w:rsidRPr="00044840">
              <w:rPr>
                <w:rFonts w:ascii="Times New Roman" w:hAnsi="Times New Roman" w:cs="Times New Roman"/>
                <w:sz w:val="24"/>
                <w:szCs w:val="24"/>
              </w:rPr>
              <w:t xml:space="preserve"> paredzētās darbības ietekmes uz vidi novērtējuma ziņojumā</w:t>
            </w:r>
            <w:r w:rsidR="006D7121" w:rsidRPr="00044840">
              <w:rPr>
                <w:rFonts w:ascii="Times New Roman" w:hAnsi="Times New Roman" w:cs="Times New Roman"/>
                <w:sz w:val="24"/>
                <w:szCs w:val="24"/>
              </w:rPr>
              <w:t>,</w:t>
            </w:r>
            <w:r w:rsidR="00F12D56" w:rsidRPr="00044840">
              <w:rPr>
                <w:rFonts w:ascii="Times New Roman" w:hAnsi="Times New Roman" w:cs="Times New Roman"/>
                <w:sz w:val="24"/>
                <w:szCs w:val="24"/>
              </w:rPr>
              <w:t xml:space="preserve"> </w:t>
            </w:r>
            <w:r w:rsidRPr="00044840">
              <w:rPr>
                <w:rFonts w:ascii="Times New Roman" w:hAnsi="Times New Roman" w:cs="Times New Roman"/>
                <w:sz w:val="24"/>
                <w:szCs w:val="24"/>
              </w:rPr>
              <w:t>tiek palielināta</w:t>
            </w:r>
            <w:r w:rsidR="006D7121" w:rsidRPr="00044840">
              <w:rPr>
                <w:rFonts w:ascii="Times New Roman" w:hAnsi="Times New Roman" w:cs="Times New Roman"/>
                <w:sz w:val="24"/>
                <w:szCs w:val="24"/>
              </w:rPr>
              <w:t>. Varētu atzīt, ka šajā gadījumā tiek palielināts administratīvais slogs kā komersantiem tā arī institūcijām</w:t>
            </w:r>
            <w:r w:rsidR="00044840">
              <w:rPr>
                <w:rFonts w:ascii="Times New Roman" w:hAnsi="Times New Roman" w:cs="Times New Roman"/>
                <w:sz w:val="24"/>
                <w:szCs w:val="24"/>
              </w:rPr>
              <w:t>,</w:t>
            </w:r>
            <w:r w:rsidRPr="00044840">
              <w:rPr>
                <w:rFonts w:ascii="Times New Roman" w:hAnsi="Times New Roman" w:cs="Times New Roman"/>
                <w:sz w:val="24"/>
                <w:szCs w:val="24"/>
              </w:rPr>
              <w:t xml:space="preserve"> </w:t>
            </w:r>
            <w:r w:rsidR="00661162">
              <w:rPr>
                <w:rFonts w:ascii="Times New Roman" w:hAnsi="Times New Roman" w:cs="Times New Roman"/>
                <w:sz w:val="24"/>
                <w:szCs w:val="24"/>
              </w:rPr>
              <w:t>vienlaikus</w:t>
            </w:r>
            <w:r w:rsidR="000F6FB2" w:rsidRPr="00044840">
              <w:rPr>
                <w:rFonts w:ascii="Times New Roman" w:hAnsi="Times New Roman" w:cs="Times New Roman"/>
                <w:sz w:val="24"/>
                <w:szCs w:val="24"/>
              </w:rPr>
              <w:t xml:space="preserve"> </w:t>
            </w:r>
            <w:r w:rsidRPr="00044840">
              <w:rPr>
                <w:rFonts w:ascii="Times New Roman" w:hAnsi="Times New Roman" w:cs="Times New Roman"/>
                <w:sz w:val="24"/>
                <w:szCs w:val="24"/>
              </w:rPr>
              <w:t>šī informācija ir noteikta Direktīvā, un katra</w:t>
            </w:r>
            <w:r w:rsidR="00A830FF" w:rsidRPr="00044840">
              <w:rPr>
                <w:rFonts w:ascii="Times New Roman" w:hAnsi="Times New Roman" w:cs="Times New Roman"/>
                <w:sz w:val="24"/>
                <w:szCs w:val="24"/>
              </w:rPr>
              <w:t>i</w:t>
            </w:r>
            <w:r w:rsidRPr="00044840">
              <w:rPr>
                <w:rFonts w:ascii="Times New Roman" w:hAnsi="Times New Roman" w:cs="Times New Roman"/>
                <w:sz w:val="24"/>
                <w:szCs w:val="24"/>
              </w:rPr>
              <w:t xml:space="preserve"> Eiropas Savienības dalībvalst</w:t>
            </w:r>
            <w:r w:rsidR="00A830FF" w:rsidRPr="00044840">
              <w:rPr>
                <w:rFonts w:ascii="Times New Roman" w:hAnsi="Times New Roman" w:cs="Times New Roman"/>
                <w:sz w:val="24"/>
                <w:szCs w:val="24"/>
              </w:rPr>
              <w:t>ij</w:t>
            </w:r>
            <w:r w:rsidRPr="00044840">
              <w:rPr>
                <w:rFonts w:ascii="Times New Roman" w:hAnsi="Times New Roman" w:cs="Times New Roman"/>
                <w:sz w:val="24"/>
                <w:szCs w:val="24"/>
              </w:rPr>
              <w:t xml:space="preserve"> to ņem vērā. Jāatzīmē, ka arī vairākas lielās paredzētās darbības transporta nozarē vai arī enerģētikas nozarē var </w:t>
            </w:r>
            <w:r w:rsidR="00661162">
              <w:rPr>
                <w:rFonts w:ascii="Times New Roman" w:hAnsi="Times New Roman" w:cs="Times New Roman"/>
                <w:sz w:val="24"/>
                <w:szCs w:val="24"/>
              </w:rPr>
              <w:t xml:space="preserve">lūgt </w:t>
            </w:r>
            <w:proofErr w:type="spellStart"/>
            <w:r w:rsidR="00661162">
              <w:rPr>
                <w:rFonts w:ascii="Times New Roman" w:hAnsi="Times New Roman" w:cs="Times New Roman"/>
                <w:sz w:val="24"/>
                <w:szCs w:val="24"/>
              </w:rPr>
              <w:t>pieškirt</w:t>
            </w:r>
            <w:proofErr w:type="spellEnd"/>
            <w:r w:rsidRPr="00044840">
              <w:rPr>
                <w:rFonts w:ascii="Times New Roman" w:hAnsi="Times New Roman" w:cs="Times New Roman"/>
                <w:sz w:val="24"/>
                <w:szCs w:val="24"/>
              </w:rPr>
              <w:t xml:space="preserve"> Eiropas </w:t>
            </w:r>
            <w:r w:rsidR="00661162">
              <w:rPr>
                <w:rFonts w:ascii="Times New Roman" w:hAnsi="Times New Roman" w:cs="Times New Roman"/>
                <w:sz w:val="24"/>
                <w:szCs w:val="24"/>
              </w:rPr>
              <w:t xml:space="preserve">Savienības </w:t>
            </w:r>
            <w:r w:rsidRPr="00044840">
              <w:rPr>
                <w:rFonts w:ascii="Times New Roman" w:hAnsi="Times New Roman" w:cs="Times New Roman"/>
                <w:sz w:val="24"/>
                <w:szCs w:val="24"/>
              </w:rPr>
              <w:t xml:space="preserve">fondu </w:t>
            </w:r>
            <w:r w:rsidR="00661162">
              <w:rPr>
                <w:rFonts w:ascii="Times New Roman" w:hAnsi="Times New Roman" w:cs="Times New Roman"/>
                <w:sz w:val="24"/>
                <w:szCs w:val="24"/>
              </w:rPr>
              <w:t>atbalstu</w:t>
            </w:r>
            <w:r w:rsidRPr="00044840">
              <w:rPr>
                <w:rFonts w:ascii="Times New Roman" w:hAnsi="Times New Roman" w:cs="Times New Roman"/>
                <w:sz w:val="24"/>
                <w:szCs w:val="24"/>
              </w:rPr>
              <w:t>, kas nozīmē, ka šīs paredzētās darbības tiks pārbaudītas</w:t>
            </w:r>
            <w:r w:rsidR="007C7F3B">
              <w:rPr>
                <w:rFonts w:ascii="Times New Roman" w:hAnsi="Times New Roman" w:cs="Times New Roman"/>
                <w:sz w:val="24"/>
                <w:szCs w:val="24"/>
              </w:rPr>
              <w:t>,</w:t>
            </w:r>
            <w:r w:rsidRPr="00044840">
              <w:rPr>
                <w:rFonts w:ascii="Times New Roman" w:hAnsi="Times New Roman" w:cs="Times New Roman"/>
                <w:sz w:val="24"/>
                <w:szCs w:val="24"/>
              </w:rPr>
              <w:t xml:space="preserve"> kā </w:t>
            </w:r>
            <w:r w:rsidR="000F6FB2" w:rsidRPr="00044840">
              <w:rPr>
                <w:rFonts w:ascii="Times New Roman" w:hAnsi="Times New Roman" w:cs="Times New Roman"/>
                <w:sz w:val="24"/>
                <w:szCs w:val="24"/>
              </w:rPr>
              <w:t>arī analizēts ietekmes uz vidi novērtējuma ziņojums un tajā iekļautā informācija atbilstoši Direktīvai no Eiropas</w:t>
            </w:r>
            <w:r w:rsidR="002E2616">
              <w:rPr>
                <w:rFonts w:ascii="Times New Roman" w:hAnsi="Times New Roman" w:cs="Times New Roman"/>
                <w:sz w:val="24"/>
                <w:szCs w:val="24"/>
              </w:rPr>
              <w:t xml:space="preserve"> Savienības</w:t>
            </w:r>
            <w:r w:rsidR="000F6FB2" w:rsidRPr="00044840">
              <w:rPr>
                <w:rFonts w:ascii="Times New Roman" w:hAnsi="Times New Roman" w:cs="Times New Roman"/>
                <w:sz w:val="24"/>
                <w:szCs w:val="24"/>
              </w:rPr>
              <w:t xml:space="preserve"> atbildīgo pārstāvju puses. </w:t>
            </w:r>
            <w:r w:rsidR="004A6864" w:rsidRPr="00044840">
              <w:rPr>
                <w:rFonts w:ascii="Times New Roman" w:hAnsi="Times New Roman" w:cs="Times New Roman"/>
                <w:sz w:val="24"/>
                <w:szCs w:val="24"/>
              </w:rPr>
              <w:t>Ietekmes uz vidi novērtējuma ziņojumu paredzētajai darbībai veic komersanti, kurus izvēlās paredzētās darbības ierosinātājs. Konkurence starp komersantiem, kas darbojas vides jomā un piedāvā ietekmes uz vidi novērtējuma pakalpojumu</w:t>
            </w:r>
            <w:r w:rsidR="002E2616">
              <w:rPr>
                <w:rFonts w:ascii="Times New Roman" w:hAnsi="Times New Roman" w:cs="Times New Roman"/>
                <w:sz w:val="24"/>
                <w:szCs w:val="24"/>
              </w:rPr>
              <w:t>,</w:t>
            </w:r>
            <w:r w:rsidR="004A6864" w:rsidRPr="00044840">
              <w:rPr>
                <w:rFonts w:ascii="Times New Roman" w:hAnsi="Times New Roman" w:cs="Times New Roman"/>
                <w:sz w:val="24"/>
                <w:szCs w:val="24"/>
              </w:rPr>
              <w:t xml:space="preserve"> ir novērojama, tajā pašā laikā jāņem vērā, ka paredzētās darbības atšķiras, jo piemēram derīgo izrakteņu ieguvei jāapraksta tika</w:t>
            </w:r>
            <w:r w:rsidR="002E2616">
              <w:rPr>
                <w:rFonts w:ascii="Times New Roman" w:hAnsi="Times New Roman" w:cs="Times New Roman"/>
                <w:sz w:val="24"/>
                <w:szCs w:val="24"/>
              </w:rPr>
              <w:t>i</w:t>
            </w:r>
            <w:r w:rsidR="004A6864" w:rsidRPr="00044840">
              <w:rPr>
                <w:rFonts w:ascii="Times New Roman" w:hAnsi="Times New Roman" w:cs="Times New Roman"/>
                <w:sz w:val="24"/>
                <w:szCs w:val="24"/>
              </w:rPr>
              <w:t xml:space="preserve"> tā informācija, kuru šī</w:t>
            </w:r>
            <w:r w:rsidR="002E2616">
              <w:rPr>
                <w:rFonts w:ascii="Times New Roman" w:hAnsi="Times New Roman" w:cs="Times New Roman"/>
                <w:sz w:val="24"/>
                <w:szCs w:val="24"/>
              </w:rPr>
              <w:t>s</w:t>
            </w:r>
            <w:r w:rsidR="004A6864" w:rsidRPr="00044840">
              <w:rPr>
                <w:rFonts w:ascii="Times New Roman" w:hAnsi="Times New Roman" w:cs="Times New Roman"/>
                <w:sz w:val="24"/>
                <w:szCs w:val="24"/>
              </w:rPr>
              <w:t xml:space="preserve"> darbības var ietekmēt, un lieli enerģētikas projekti tiks aprakstīti atbilstoši tās ietekmei, ko tā var radīt. Noteikumu projekts radīs pozitīvu ietekmi un vidi un </w:t>
            </w:r>
            <w:r w:rsidR="002E2616">
              <w:rPr>
                <w:rFonts w:ascii="Times New Roman" w:hAnsi="Times New Roman" w:cs="Times New Roman"/>
                <w:sz w:val="24"/>
                <w:szCs w:val="24"/>
              </w:rPr>
              <w:t xml:space="preserve">cilvēku </w:t>
            </w:r>
            <w:r w:rsidR="004A6864" w:rsidRPr="00044840">
              <w:rPr>
                <w:rFonts w:ascii="Times New Roman" w:hAnsi="Times New Roman" w:cs="Times New Roman"/>
                <w:sz w:val="24"/>
                <w:szCs w:val="24"/>
              </w:rPr>
              <w:t>vesel</w:t>
            </w:r>
            <w:r w:rsidR="006D7121" w:rsidRPr="00044840">
              <w:rPr>
                <w:rFonts w:ascii="Times New Roman" w:hAnsi="Times New Roman" w:cs="Times New Roman"/>
                <w:sz w:val="24"/>
                <w:szCs w:val="24"/>
              </w:rPr>
              <w:t>ību, jo tiks sniegta</w:t>
            </w:r>
            <w:r w:rsidR="004A6864" w:rsidRPr="00044840">
              <w:rPr>
                <w:rFonts w:ascii="Times New Roman" w:hAnsi="Times New Roman" w:cs="Times New Roman"/>
                <w:sz w:val="24"/>
                <w:szCs w:val="24"/>
              </w:rPr>
              <w:t xml:space="preserve"> plašāk</w:t>
            </w:r>
            <w:r w:rsidR="006D7121" w:rsidRPr="00044840">
              <w:rPr>
                <w:rFonts w:ascii="Times New Roman" w:hAnsi="Times New Roman" w:cs="Times New Roman"/>
                <w:sz w:val="24"/>
                <w:szCs w:val="24"/>
              </w:rPr>
              <w:t>a</w:t>
            </w:r>
            <w:r w:rsidR="004A6864" w:rsidRPr="00044840">
              <w:rPr>
                <w:rFonts w:ascii="Times New Roman" w:hAnsi="Times New Roman" w:cs="Times New Roman"/>
                <w:sz w:val="24"/>
                <w:szCs w:val="24"/>
              </w:rPr>
              <w:t xml:space="preserve"> </w:t>
            </w:r>
            <w:r w:rsidR="002E2616">
              <w:rPr>
                <w:rFonts w:ascii="Times New Roman" w:hAnsi="Times New Roman" w:cs="Times New Roman"/>
                <w:sz w:val="24"/>
                <w:szCs w:val="24"/>
              </w:rPr>
              <w:t xml:space="preserve">un vispusīgāka </w:t>
            </w:r>
            <w:r w:rsidR="004A6864" w:rsidRPr="00044840">
              <w:rPr>
                <w:rFonts w:ascii="Times New Roman" w:hAnsi="Times New Roman" w:cs="Times New Roman"/>
                <w:sz w:val="24"/>
                <w:szCs w:val="24"/>
              </w:rPr>
              <w:t>informācij</w:t>
            </w:r>
            <w:r w:rsidR="006D7121" w:rsidRPr="00044840">
              <w:rPr>
                <w:rFonts w:ascii="Times New Roman" w:hAnsi="Times New Roman" w:cs="Times New Roman"/>
                <w:sz w:val="24"/>
                <w:szCs w:val="24"/>
              </w:rPr>
              <w:t xml:space="preserve">a. </w:t>
            </w:r>
          </w:p>
        </w:tc>
      </w:tr>
      <w:tr w:rsidR="00063A56" w:rsidRPr="00044840" w14:paraId="30DFC4F6" w14:textId="77777777" w:rsidTr="006875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9B243D9" w14:textId="77777777" w:rsidR="00B83316"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Administratīvo izmaksu monetārs novērtējums</w:t>
            </w:r>
          </w:p>
          <w:p w14:paraId="46E1CEFF" w14:textId="77777777" w:rsidR="00B83316" w:rsidRPr="00044840" w:rsidRDefault="00B83316" w:rsidP="00B83316">
            <w:pPr>
              <w:rPr>
                <w:rFonts w:ascii="Times New Roman" w:eastAsia="Times New Roman" w:hAnsi="Times New Roman" w:cs="Times New Roman"/>
                <w:sz w:val="24"/>
                <w:szCs w:val="24"/>
                <w:lang w:eastAsia="lv-LV"/>
              </w:rPr>
            </w:pPr>
          </w:p>
          <w:p w14:paraId="5FCEED84" w14:textId="77777777" w:rsidR="00B83316" w:rsidRPr="00044840" w:rsidRDefault="00B83316" w:rsidP="00B83316">
            <w:pPr>
              <w:rPr>
                <w:rFonts w:ascii="Times New Roman" w:eastAsia="Times New Roman" w:hAnsi="Times New Roman" w:cs="Times New Roman"/>
                <w:sz w:val="24"/>
                <w:szCs w:val="24"/>
                <w:lang w:eastAsia="lv-LV"/>
              </w:rPr>
            </w:pPr>
          </w:p>
          <w:p w14:paraId="207ADBD6" w14:textId="77777777" w:rsidR="00B83316" w:rsidRPr="00044840" w:rsidRDefault="00B83316" w:rsidP="00B83316">
            <w:pPr>
              <w:rPr>
                <w:rFonts w:ascii="Times New Roman" w:eastAsia="Times New Roman" w:hAnsi="Times New Roman" w:cs="Times New Roman"/>
                <w:sz w:val="24"/>
                <w:szCs w:val="24"/>
                <w:lang w:eastAsia="lv-LV"/>
              </w:rPr>
            </w:pPr>
          </w:p>
          <w:p w14:paraId="24507663" w14:textId="77777777" w:rsidR="00B83316" w:rsidRPr="00044840" w:rsidRDefault="00B83316" w:rsidP="00B83316">
            <w:pPr>
              <w:jc w:val="center"/>
              <w:rPr>
                <w:rFonts w:ascii="Times New Roman" w:eastAsia="Times New Roman" w:hAnsi="Times New Roman" w:cs="Times New Roman"/>
                <w:sz w:val="24"/>
                <w:szCs w:val="24"/>
                <w:lang w:eastAsia="lv-LV"/>
              </w:rPr>
            </w:pPr>
          </w:p>
          <w:p w14:paraId="3DDA7F0B" w14:textId="77777777" w:rsidR="00E5323B" w:rsidRPr="00044840" w:rsidRDefault="00E5323B" w:rsidP="00B83316">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0248A2FD" w14:textId="77777777" w:rsidR="000F6FB2" w:rsidRPr="00044840" w:rsidRDefault="000F6FB2" w:rsidP="007B1171">
            <w:pPr>
              <w:jc w:val="both"/>
              <w:rPr>
                <w:rFonts w:ascii="Times New Roman" w:hAnsi="Times New Roman" w:cs="Times New Roman"/>
                <w:sz w:val="24"/>
                <w:szCs w:val="24"/>
              </w:rPr>
            </w:pPr>
            <w:r w:rsidRPr="00044840">
              <w:rPr>
                <w:rFonts w:ascii="Times New Roman" w:hAnsi="Times New Roman" w:cs="Times New Roman"/>
                <w:sz w:val="24"/>
                <w:szCs w:val="24"/>
              </w:rPr>
              <w:t xml:space="preserve">Administratīvās izmaksas ierosinātājam (ja ierosinātāja paredzētās darbības ietekmes uz vidi novērtējumu veic komersants), ja ietekmes uz vidi novērtējuma ziņojuma sagatavošanā </w:t>
            </w:r>
            <w:r w:rsidR="00934431" w:rsidRPr="00044840">
              <w:rPr>
                <w:rFonts w:ascii="Times New Roman" w:hAnsi="Times New Roman" w:cs="Times New Roman"/>
                <w:sz w:val="24"/>
                <w:szCs w:val="24"/>
              </w:rPr>
              <w:t>iekļauj ziņojumā nepieciešamo informāciju</w:t>
            </w:r>
            <w:r w:rsidRPr="00044840">
              <w:rPr>
                <w:rFonts w:ascii="Times New Roman" w:hAnsi="Times New Roman" w:cs="Times New Roman"/>
                <w:sz w:val="24"/>
                <w:szCs w:val="24"/>
              </w:rPr>
              <w:t>:</w:t>
            </w:r>
          </w:p>
          <w:p w14:paraId="37A17D28" w14:textId="77777777" w:rsidR="000F6FB2" w:rsidRPr="00044840" w:rsidRDefault="000F6FB2" w:rsidP="007B1171">
            <w:pPr>
              <w:jc w:val="both"/>
              <w:rPr>
                <w:rFonts w:ascii="Times New Roman" w:hAnsi="Times New Roman" w:cs="Times New Roman"/>
                <w:sz w:val="24"/>
                <w:szCs w:val="24"/>
              </w:rPr>
            </w:pPr>
          </w:p>
          <w:p w14:paraId="494B38AE" w14:textId="77777777" w:rsidR="000F6FB2" w:rsidRPr="00044840" w:rsidRDefault="000F6FB2" w:rsidP="007B1171">
            <w:pPr>
              <w:jc w:val="both"/>
              <w:rPr>
                <w:rFonts w:ascii="Times New Roman" w:hAnsi="Times New Roman" w:cs="Times New Roman"/>
                <w:sz w:val="24"/>
                <w:szCs w:val="24"/>
              </w:rPr>
            </w:pPr>
            <w:r w:rsidRPr="00044840">
              <w:rPr>
                <w:rFonts w:ascii="Times New Roman" w:hAnsi="Times New Roman" w:cs="Times New Roman"/>
                <w:sz w:val="24"/>
                <w:szCs w:val="24"/>
              </w:rPr>
              <w:t>F - vidējā alga vispārējā vadības sektorā, stundas likme 4,21</w:t>
            </w:r>
            <w:r w:rsidRPr="00044840">
              <w:rPr>
                <w:rFonts w:ascii="Times New Roman" w:hAnsi="Times New Roman" w:cs="Times New Roman"/>
                <w:i/>
                <w:sz w:val="24"/>
                <w:szCs w:val="24"/>
              </w:rPr>
              <w:t> </w:t>
            </w:r>
            <w:proofErr w:type="spellStart"/>
            <w:r w:rsidRPr="00044840">
              <w:rPr>
                <w:rFonts w:ascii="Times New Roman" w:hAnsi="Times New Roman" w:cs="Times New Roman"/>
                <w:i/>
                <w:sz w:val="24"/>
                <w:szCs w:val="24"/>
              </w:rPr>
              <w:t>euro</w:t>
            </w:r>
            <w:proofErr w:type="spellEnd"/>
          </w:p>
          <w:p w14:paraId="65CA5130" w14:textId="77777777" w:rsidR="000F6FB2" w:rsidRPr="00044840" w:rsidRDefault="000F6FB2" w:rsidP="007B1171">
            <w:pPr>
              <w:jc w:val="both"/>
              <w:rPr>
                <w:rFonts w:ascii="Times New Roman" w:hAnsi="Times New Roman" w:cs="Times New Roman"/>
                <w:sz w:val="24"/>
                <w:szCs w:val="24"/>
              </w:rPr>
            </w:pPr>
            <w:r w:rsidRPr="00044840">
              <w:rPr>
                <w:rFonts w:ascii="Times New Roman" w:hAnsi="Times New Roman" w:cs="Times New Roman"/>
                <w:sz w:val="24"/>
                <w:szCs w:val="24"/>
              </w:rPr>
              <w:t xml:space="preserve">L – nepieciešamais laiks informācijas sagatavošanai) –  </w:t>
            </w:r>
            <w:r w:rsidR="00934431" w:rsidRPr="00044840">
              <w:rPr>
                <w:rFonts w:ascii="Times New Roman" w:hAnsi="Times New Roman" w:cs="Times New Roman"/>
                <w:sz w:val="24"/>
                <w:szCs w:val="24"/>
              </w:rPr>
              <w:t>1000</w:t>
            </w:r>
            <w:r w:rsidRPr="00044840">
              <w:rPr>
                <w:rFonts w:ascii="Times New Roman" w:hAnsi="Times New Roman" w:cs="Times New Roman"/>
                <w:sz w:val="24"/>
                <w:szCs w:val="24"/>
              </w:rPr>
              <w:t xml:space="preserve"> stunda gadā</w:t>
            </w:r>
            <w:r w:rsidR="00934431" w:rsidRPr="00044840">
              <w:rPr>
                <w:rFonts w:ascii="Times New Roman" w:hAnsi="Times New Roman" w:cs="Times New Roman"/>
                <w:sz w:val="24"/>
                <w:szCs w:val="24"/>
              </w:rPr>
              <w:t xml:space="preserve"> </w:t>
            </w:r>
          </w:p>
          <w:p w14:paraId="1D998072" w14:textId="77777777" w:rsidR="000F6FB2" w:rsidRPr="00044840" w:rsidRDefault="000F6FB2" w:rsidP="007B1171">
            <w:pPr>
              <w:jc w:val="both"/>
              <w:rPr>
                <w:rFonts w:ascii="Times New Roman" w:hAnsi="Times New Roman" w:cs="Times New Roman"/>
                <w:sz w:val="24"/>
                <w:szCs w:val="24"/>
              </w:rPr>
            </w:pPr>
            <w:r w:rsidRPr="00044840">
              <w:rPr>
                <w:rFonts w:ascii="Times New Roman" w:hAnsi="Times New Roman" w:cs="Times New Roman"/>
                <w:sz w:val="24"/>
                <w:szCs w:val="24"/>
              </w:rPr>
              <w:lastRenderedPageBreak/>
              <w:t>N – subjektu skaits – 1 ierosinātājs</w:t>
            </w:r>
          </w:p>
          <w:p w14:paraId="24E15F5F" w14:textId="1B730CC7" w:rsidR="000F6FB2" w:rsidRPr="00044840" w:rsidRDefault="000F6FB2" w:rsidP="007B1171">
            <w:pPr>
              <w:jc w:val="both"/>
              <w:rPr>
                <w:rFonts w:ascii="Times New Roman" w:hAnsi="Times New Roman" w:cs="Times New Roman"/>
                <w:sz w:val="24"/>
                <w:szCs w:val="24"/>
              </w:rPr>
            </w:pPr>
            <w:r w:rsidRPr="00044840">
              <w:rPr>
                <w:rFonts w:ascii="Times New Roman" w:hAnsi="Times New Roman" w:cs="Times New Roman"/>
                <w:sz w:val="24"/>
                <w:szCs w:val="24"/>
              </w:rPr>
              <w:t>b- informācijas sniegšanas biežums – 2017.</w:t>
            </w:r>
            <w:r w:rsidR="002E2616">
              <w:rPr>
                <w:rFonts w:ascii="Times New Roman" w:hAnsi="Times New Roman" w:cs="Times New Roman"/>
                <w:sz w:val="24"/>
                <w:szCs w:val="24"/>
              </w:rPr>
              <w:t> </w:t>
            </w:r>
            <w:r w:rsidRPr="00044840">
              <w:rPr>
                <w:rFonts w:ascii="Times New Roman" w:hAnsi="Times New Roman" w:cs="Times New Roman"/>
                <w:sz w:val="24"/>
                <w:szCs w:val="24"/>
              </w:rPr>
              <w:t xml:space="preserve">gadā pabeigti 17 ietekmes uz vidi novērtējuma ziņojumi, kuriem </w:t>
            </w:r>
            <w:r w:rsidR="002E2616">
              <w:rPr>
                <w:rFonts w:ascii="Times New Roman" w:hAnsi="Times New Roman" w:cs="Times New Roman"/>
                <w:sz w:val="24"/>
                <w:szCs w:val="24"/>
              </w:rPr>
              <w:t>Birojs</w:t>
            </w:r>
            <w:r w:rsidRPr="00044840">
              <w:rPr>
                <w:rFonts w:ascii="Times New Roman" w:hAnsi="Times New Roman" w:cs="Times New Roman"/>
                <w:sz w:val="24"/>
                <w:szCs w:val="24"/>
              </w:rPr>
              <w:t xml:space="preserve"> ir izsniedzis atzinumu</w:t>
            </w:r>
          </w:p>
          <w:p w14:paraId="75147DB3" w14:textId="77777777" w:rsidR="000F6FB2" w:rsidRPr="00044840" w:rsidRDefault="000F6FB2" w:rsidP="007B1171">
            <w:pPr>
              <w:jc w:val="both"/>
              <w:rPr>
                <w:rFonts w:ascii="Times New Roman" w:hAnsi="Times New Roman" w:cs="Times New Roman"/>
                <w:sz w:val="24"/>
                <w:szCs w:val="24"/>
              </w:rPr>
            </w:pPr>
            <w:r w:rsidRPr="00044840">
              <w:rPr>
                <w:rFonts w:ascii="Times New Roman" w:hAnsi="Times New Roman" w:cs="Times New Roman"/>
                <w:sz w:val="24"/>
                <w:szCs w:val="24"/>
              </w:rPr>
              <w:t>C = (f x l) x (n x b)</w:t>
            </w:r>
          </w:p>
          <w:p w14:paraId="2E273317" w14:textId="27BDF95F" w:rsidR="00E5323B" w:rsidRPr="00044840" w:rsidRDefault="000F6FB2" w:rsidP="000D5B52">
            <w:pPr>
              <w:jc w:val="both"/>
              <w:rPr>
                <w:rFonts w:ascii="Times New Roman" w:hAnsi="Times New Roman" w:cs="Times New Roman"/>
                <w:sz w:val="24"/>
                <w:szCs w:val="24"/>
              </w:rPr>
            </w:pPr>
            <w:r w:rsidRPr="00044840">
              <w:rPr>
                <w:rFonts w:ascii="Times New Roman" w:hAnsi="Times New Roman" w:cs="Times New Roman"/>
                <w:sz w:val="24"/>
                <w:szCs w:val="24"/>
              </w:rPr>
              <w:t xml:space="preserve">C= (4,21 x </w:t>
            </w:r>
            <w:r w:rsidR="00934431" w:rsidRPr="00044840">
              <w:rPr>
                <w:rFonts w:ascii="Times New Roman" w:hAnsi="Times New Roman" w:cs="Times New Roman"/>
                <w:sz w:val="24"/>
                <w:szCs w:val="24"/>
              </w:rPr>
              <w:t>1000</w:t>
            </w:r>
            <w:r w:rsidR="00310F92" w:rsidRPr="00044840">
              <w:rPr>
                <w:rFonts w:ascii="Times New Roman" w:hAnsi="Times New Roman" w:cs="Times New Roman"/>
                <w:sz w:val="24"/>
                <w:szCs w:val="24"/>
              </w:rPr>
              <w:t>) x (1x17) = 71</w:t>
            </w:r>
            <w:r w:rsidR="002E2616">
              <w:rPr>
                <w:rFonts w:ascii="Times New Roman" w:hAnsi="Times New Roman" w:cs="Times New Roman"/>
                <w:sz w:val="24"/>
                <w:szCs w:val="24"/>
              </w:rPr>
              <w:t> </w:t>
            </w:r>
            <w:r w:rsidRPr="00044840">
              <w:rPr>
                <w:rFonts w:ascii="Times New Roman" w:hAnsi="Times New Roman" w:cs="Times New Roman"/>
                <w:sz w:val="24"/>
                <w:szCs w:val="24"/>
              </w:rPr>
              <w:t>57</w:t>
            </w:r>
            <w:r w:rsidR="00934431" w:rsidRPr="00044840">
              <w:rPr>
                <w:rFonts w:ascii="Times New Roman" w:hAnsi="Times New Roman" w:cs="Times New Roman"/>
                <w:sz w:val="24"/>
                <w:szCs w:val="24"/>
              </w:rPr>
              <w:t>0</w:t>
            </w:r>
            <w:r w:rsidRPr="00044840">
              <w:rPr>
                <w:rFonts w:ascii="Times New Roman" w:hAnsi="Times New Roman" w:cs="Times New Roman"/>
                <w:sz w:val="24"/>
                <w:szCs w:val="24"/>
              </w:rPr>
              <w:t> </w:t>
            </w:r>
            <w:proofErr w:type="spellStart"/>
            <w:r w:rsidRPr="00044840">
              <w:rPr>
                <w:rFonts w:ascii="Times New Roman" w:hAnsi="Times New Roman" w:cs="Times New Roman"/>
                <w:i/>
                <w:sz w:val="24"/>
                <w:szCs w:val="24"/>
              </w:rPr>
              <w:t>euro</w:t>
            </w:r>
            <w:proofErr w:type="spellEnd"/>
          </w:p>
        </w:tc>
      </w:tr>
      <w:tr w:rsidR="00063A56" w:rsidRPr="00044840" w14:paraId="6CC9A161" w14:textId="77777777" w:rsidTr="00687540">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2888B1E8"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F1DE50E" w14:textId="77777777" w:rsidR="00934431" w:rsidRPr="00044840" w:rsidRDefault="00934431" w:rsidP="00934431">
            <w:pPr>
              <w:jc w:val="both"/>
              <w:rPr>
                <w:rFonts w:ascii="Times New Roman" w:hAnsi="Times New Roman" w:cs="Times New Roman"/>
                <w:sz w:val="24"/>
                <w:szCs w:val="24"/>
              </w:rPr>
            </w:pPr>
            <w:r w:rsidRPr="00044840">
              <w:rPr>
                <w:rFonts w:ascii="Times New Roman" w:hAnsi="Times New Roman" w:cs="Times New Roman"/>
                <w:sz w:val="24"/>
                <w:szCs w:val="24"/>
              </w:rPr>
              <w:t>Atbilstības izmaksas monetārs novērtējums ierosinātājam, ja ietekmes uz vidi novērtējuma ziņojuma sagatavošanā iekļauj ziņojumā nepieciešamo informāciju:</w:t>
            </w:r>
          </w:p>
          <w:p w14:paraId="58E90068" w14:textId="77777777" w:rsidR="00934431" w:rsidRPr="00044840" w:rsidRDefault="00934431" w:rsidP="00934431">
            <w:pPr>
              <w:jc w:val="both"/>
              <w:rPr>
                <w:rFonts w:ascii="Times New Roman" w:hAnsi="Times New Roman" w:cs="Times New Roman"/>
                <w:sz w:val="24"/>
                <w:szCs w:val="24"/>
              </w:rPr>
            </w:pPr>
            <w:r w:rsidRPr="00044840">
              <w:rPr>
                <w:rFonts w:ascii="Times New Roman" w:hAnsi="Times New Roman" w:cs="Times New Roman"/>
                <w:sz w:val="24"/>
                <w:szCs w:val="24"/>
              </w:rPr>
              <w:t>F - vidējā alga vispārējā vadības sektorā, stundas likme 4,21</w:t>
            </w:r>
            <w:r w:rsidRPr="00044840">
              <w:rPr>
                <w:rFonts w:ascii="Times New Roman" w:hAnsi="Times New Roman" w:cs="Times New Roman"/>
                <w:i/>
                <w:sz w:val="24"/>
                <w:szCs w:val="24"/>
              </w:rPr>
              <w:t> </w:t>
            </w:r>
            <w:proofErr w:type="spellStart"/>
            <w:r w:rsidRPr="00044840">
              <w:rPr>
                <w:rFonts w:ascii="Times New Roman" w:hAnsi="Times New Roman" w:cs="Times New Roman"/>
                <w:i/>
                <w:sz w:val="24"/>
                <w:szCs w:val="24"/>
              </w:rPr>
              <w:t>euro</w:t>
            </w:r>
            <w:proofErr w:type="spellEnd"/>
          </w:p>
          <w:p w14:paraId="7DC18A11" w14:textId="77777777" w:rsidR="00934431" w:rsidRPr="00044840" w:rsidRDefault="00934431" w:rsidP="00934431">
            <w:pPr>
              <w:jc w:val="both"/>
              <w:rPr>
                <w:rFonts w:ascii="Times New Roman" w:hAnsi="Times New Roman" w:cs="Times New Roman"/>
                <w:sz w:val="24"/>
                <w:szCs w:val="24"/>
              </w:rPr>
            </w:pPr>
            <w:r w:rsidRPr="00044840">
              <w:rPr>
                <w:rFonts w:ascii="Times New Roman" w:hAnsi="Times New Roman" w:cs="Times New Roman"/>
                <w:sz w:val="24"/>
                <w:szCs w:val="24"/>
              </w:rPr>
              <w:t xml:space="preserve">L – nepieciešamais laiks informācijas sagatavošanai) –  1000 stunda gadā </w:t>
            </w:r>
          </w:p>
          <w:p w14:paraId="04DAAAC9" w14:textId="3E148B80" w:rsidR="00934431" w:rsidRPr="00044840" w:rsidRDefault="00934431" w:rsidP="00934431">
            <w:pPr>
              <w:jc w:val="both"/>
              <w:rPr>
                <w:rFonts w:ascii="Times New Roman" w:hAnsi="Times New Roman" w:cs="Times New Roman"/>
                <w:sz w:val="24"/>
                <w:szCs w:val="24"/>
              </w:rPr>
            </w:pPr>
            <w:r w:rsidRPr="00044840">
              <w:rPr>
                <w:rFonts w:ascii="Times New Roman" w:hAnsi="Times New Roman" w:cs="Times New Roman"/>
                <w:sz w:val="24"/>
                <w:szCs w:val="24"/>
              </w:rPr>
              <w:t>N – subjektu skaits – 1</w:t>
            </w:r>
            <w:r w:rsidR="00766762" w:rsidRPr="00044840">
              <w:rPr>
                <w:rFonts w:ascii="Times New Roman" w:hAnsi="Times New Roman" w:cs="Times New Roman"/>
                <w:sz w:val="24"/>
                <w:szCs w:val="24"/>
              </w:rPr>
              <w:t>7</w:t>
            </w:r>
            <w:r w:rsidRPr="00044840">
              <w:rPr>
                <w:rFonts w:ascii="Times New Roman" w:hAnsi="Times New Roman" w:cs="Times New Roman"/>
                <w:sz w:val="24"/>
                <w:szCs w:val="24"/>
              </w:rPr>
              <w:t xml:space="preserve"> ierosinātāj</w:t>
            </w:r>
            <w:r w:rsidR="00766762" w:rsidRPr="00044840">
              <w:rPr>
                <w:rFonts w:ascii="Times New Roman" w:hAnsi="Times New Roman" w:cs="Times New Roman"/>
                <w:sz w:val="24"/>
                <w:szCs w:val="24"/>
              </w:rPr>
              <w:t xml:space="preserve"> - 2017.</w:t>
            </w:r>
            <w:r w:rsidR="002E2616">
              <w:rPr>
                <w:rFonts w:ascii="Times New Roman" w:hAnsi="Times New Roman" w:cs="Times New Roman"/>
                <w:sz w:val="24"/>
                <w:szCs w:val="24"/>
              </w:rPr>
              <w:t> </w:t>
            </w:r>
            <w:r w:rsidR="00766762" w:rsidRPr="00044840">
              <w:rPr>
                <w:rFonts w:ascii="Times New Roman" w:hAnsi="Times New Roman" w:cs="Times New Roman"/>
                <w:sz w:val="24"/>
                <w:szCs w:val="24"/>
              </w:rPr>
              <w:t xml:space="preserve">gadā pabeigti 17 ietekmes uz vidi novērtējuma ziņojumi, kuriem </w:t>
            </w:r>
            <w:r w:rsidR="002E2616">
              <w:rPr>
                <w:rFonts w:ascii="Times New Roman" w:hAnsi="Times New Roman" w:cs="Times New Roman"/>
                <w:sz w:val="24"/>
                <w:szCs w:val="24"/>
              </w:rPr>
              <w:t>Birojs</w:t>
            </w:r>
            <w:r w:rsidR="00766762" w:rsidRPr="00044840">
              <w:rPr>
                <w:rFonts w:ascii="Times New Roman" w:hAnsi="Times New Roman" w:cs="Times New Roman"/>
                <w:sz w:val="24"/>
                <w:szCs w:val="24"/>
              </w:rPr>
              <w:t xml:space="preserve"> ir izsniedzis atzinumu dažādiem ierosinātājiem</w:t>
            </w:r>
          </w:p>
          <w:p w14:paraId="53D69731" w14:textId="77777777" w:rsidR="00934431" w:rsidRPr="00044840" w:rsidRDefault="00934431" w:rsidP="00934431">
            <w:pPr>
              <w:jc w:val="both"/>
              <w:rPr>
                <w:rFonts w:ascii="Times New Roman" w:hAnsi="Times New Roman" w:cs="Times New Roman"/>
                <w:sz w:val="24"/>
                <w:szCs w:val="24"/>
              </w:rPr>
            </w:pPr>
            <w:r w:rsidRPr="00044840">
              <w:rPr>
                <w:rFonts w:ascii="Times New Roman" w:hAnsi="Times New Roman" w:cs="Times New Roman"/>
                <w:sz w:val="24"/>
                <w:szCs w:val="24"/>
              </w:rPr>
              <w:t xml:space="preserve">b- </w:t>
            </w:r>
            <w:r w:rsidR="00766762" w:rsidRPr="00044840">
              <w:rPr>
                <w:rFonts w:ascii="Times New Roman" w:hAnsi="Times New Roman" w:cs="Times New Roman"/>
                <w:sz w:val="24"/>
                <w:szCs w:val="24"/>
              </w:rPr>
              <w:t xml:space="preserve">1 reize - </w:t>
            </w:r>
            <w:r w:rsidRPr="00044840">
              <w:rPr>
                <w:rFonts w:ascii="Times New Roman" w:hAnsi="Times New Roman" w:cs="Times New Roman"/>
                <w:sz w:val="24"/>
                <w:szCs w:val="24"/>
              </w:rPr>
              <w:t xml:space="preserve">informācijas sniegšanas biežums – </w:t>
            </w:r>
          </w:p>
          <w:p w14:paraId="6A731927" w14:textId="77777777" w:rsidR="00934431" w:rsidRPr="00044840" w:rsidRDefault="00934431" w:rsidP="00934431">
            <w:pPr>
              <w:jc w:val="both"/>
              <w:rPr>
                <w:rFonts w:ascii="Times New Roman" w:hAnsi="Times New Roman" w:cs="Times New Roman"/>
                <w:sz w:val="24"/>
                <w:szCs w:val="24"/>
              </w:rPr>
            </w:pPr>
            <w:r w:rsidRPr="00044840">
              <w:rPr>
                <w:rFonts w:ascii="Times New Roman" w:hAnsi="Times New Roman" w:cs="Times New Roman"/>
                <w:sz w:val="24"/>
                <w:szCs w:val="24"/>
              </w:rPr>
              <w:t>C = (f x l) x (n x b)</w:t>
            </w:r>
          </w:p>
          <w:p w14:paraId="5C98CBA7" w14:textId="35388D1C" w:rsidR="00E5323B" w:rsidRPr="00044840" w:rsidRDefault="00934431" w:rsidP="000D5B52">
            <w:pPr>
              <w:jc w:val="both"/>
              <w:rPr>
                <w:rFonts w:ascii="Times New Roman" w:hAnsi="Times New Roman" w:cs="Times New Roman"/>
                <w:sz w:val="24"/>
                <w:szCs w:val="24"/>
              </w:rPr>
            </w:pPr>
            <w:r w:rsidRPr="00044840">
              <w:rPr>
                <w:rFonts w:ascii="Times New Roman" w:hAnsi="Times New Roman" w:cs="Times New Roman"/>
                <w:sz w:val="24"/>
                <w:szCs w:val="24"/>
              </w:rPr>
              <w:t>C= (4,21 x 1000) x (</w:t>
            </w:r>
            <w:r w:rsidR="00766762" w:rsidRPr="00044840">
              <w:rPr>
                <w:rFonts w:ascii="Times New Roman" w:hAnsi="Times New Roman" w:cs="Times New Roman"/>
                <w:sz w:val="24"/>
                <w:szCs w:val="24"/>
              </w:rPr>
              <w:t>17x1</w:t>
            </w:r>
            <w:r w:rsidR="00310F92" w:rsidRPr="00044840">
              <w:rPr>
                <w:rFonts w:ascii="Times New Roman" w:hAnsi="Times New Roman" w:cs="Times New Roman"/>
                <w:sz w:val="24"/>
                <w:szCs w:val="24"/>
              </w:rPr>
              <w:t>) = 71</w:t>
            </w:r>
            <w:r w:rsidR="002E2616">
              <w:rPr>
                <w:rFonts w:ascii="Times New Roman" w:hAnsi="Times New Roman" w:cs="Times New Roman"/>
                <w:sz w:val="24"/>
                <w:szCs w:val="24"/>
              </w:rPr>
              <w:t> </w:t>
            </w:r>
            <w:r w:rsidRPr="00044840">
              <w:rPr>
                <w:rFonts w:ascii="Times New Roman" w:hAnsi="Times New Roman" w:cs="Times New Roman"/>
                <w:sz w:val="24"/>
                <w:szCs w:val="24"/>
              </w:rPr>
              <w:t>570 </w:t>
            </w:r>
            <w:proofErr w:type="spellStart"/>
            <w:r w:rsidRPr="00044840">
              <w:rPr>
                <w:rFonts w:ascii="Times New Roman" w:hAnsi="Times New Roman" w:cs="Times New Roman"/>
                <w:i/>
                <w:sz w:val="24"/>
                <w:szCs w:val="24"/>
              </w:rPr>
              <w:t>euro</w:t>
            </w:r>
            <w:proofErr w:type="spellEnd"/>
          </w:p>
        </w:tc>
      </w:tr>
      <w:tr w:rsidR="00063A56" w:rsidRPr="00044840" w14:paraId="0558481A" w14:textId="77777777" w:rsidTr="006875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BC41B49"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579E14" w14:textId="558A3C51" w:rsidR="00E5323B" w:rsidRPr="00044840" w:rsidRDefault="000F6FB2" w:rsidP="00E5323B">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Nav</w:t>
            </w:r>
          </w:p>
        </w:tc>
      </w:tr>
    </w:tbl>
    <w:p w14:paraId="26D2B0F7"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63A56" w:rsidRPr="00044840" w14:paraId="353A2776" w14:textId="77777777" w:rsidTr="009750C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BDBAAF3" w14:textId="77777777" w:rsidR="00805764" w:rsidRPr="00044840" w:rsidRDefault="00805764" w:rsidP="009750C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4840">
              <w:rPr>
                <w:rFonts w:ascii="Times New Roman" w:eastAsia="Times New Roman" w:hAnsi="Times New Roman" w:cs="Times New Roman"/>
                <w:b/>
                <w:bCs/>
                <w:sz w:val="24"/>
                <w:szCs w:val="24"/>
                <w:lang w:eastAsia="lv-LV"/>
              </w:rPr>
              <w:t>III. Tiesību akta projekta ietekme uz valsts budžetu un pašvaldību budžetiem</w:t>
            </w:r>
          </w:p>
        </w:tc>
      </w:tr>
      <w:tr w:rsidR="00063A56" w:rsidRPr="00044840" w14:paraId="4DAF91C6" w14:textId="77777777" w:rsidTr="009750C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308A506" w14:textId="77777777" w:rsidR="00805764" w:rsidRPr="00044840" w:rsidRDefault="00805764" w:rsidP="009750C8">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44840">
              <w:rPr>
                <w:rFonts w:ascii="Times New Roman" w:eastAsia="Times New Roman" w:hAnsi="Times New Roman" w:cs="Times New Roman"/>
                <w:bCs/>
                <w:sz w:val="24"/>
                <w:szCs w:val="24"/>
                <w:lang w:eastAsia="lv-LV"/>
              </w:rPr>
              <w:t>Projekts šo jomu neskar.</w:t>
            </w:r>
          </w:p>
        </w:tc>
      </w:tr>
    </w:tbl>
    <w:p w14:paraId="6378346A" w14:textId="77777777" w:rsidR="00805764" w:rsidRPr="00044840" w:rsidRDefault="00805764" w:rsidP="00805764">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63A56" w:rsidRPr="00044840" w14:paraId="60B7F424" w14:textId="77777777" w:rsidTr="009750C8">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57FBE65" w14:textId="77777777" w:rsidR="00805764" w:rsidRPr="00044840" w:rsidRDefault="00805764" w:rsidP="009750C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4840">
              <w:rPr>
                <w:rFonts w:ascii="Times New Roman" w:eastAsia="Times New Roman" w:hAnsi="Times New Roman" w:cs="Times New Roman"/>
                <w:b/>
                <w:bCs/>
                <w:sz w:val="24"/>
                <w:szCs w:val="24"/>
                <w:lang w:eastAsia="lv-LV"/>
              </w:rPr>
              <w:t>IV. Tiesību akta projekta ietekme uz spēkā esošo tiesību normu sistēmu</w:t>
            </w:r>
          </w:p>
        </w:tc>
      </w:tr>
      <w:tr w:rsidR="00063A56" w:rsidRPr="00044840" w14:paraId="76D586A5" w14:textId="77777777" w:rsidTr="009750C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C1E05EA" w14:textId="77777777" w:rsidR="00805764" w:rsidRPr="00044840" w:rsidRDefault="00805764" w:rsidP="009750C8">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44840">
              <w:rPr>
                <w:rFonts w:ascii="Times New Roman" w:eastAsia="Times New Roman" w:hAnsi="Times New Roman" w:cs="Times New Roman"/>
                <w:bCs/>
                <w:sz w:val="24"/>
                <w:szCs w:val="24"/>
                <w:lang w:eastAsia="lv-LV"/>
              </w:rPr>
              <w:t>Projekts šo jomu neskar.</w:t>
            </w:r>
          </w:p>
        </w:tc>
      </w:tr>
    </w:tbl>
    <w:p w14:paraId="789B6152" w14:textId="77777777" w:rsidR="00805764"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63A56" w:rsidRPr="00044840" w14:paraId="00F489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044840" w:rsidRDefault="00E5323B" w:rsidP="00E5323B">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V.</w:t>
            </w:r>
            <w:r w:rsidR="002E2616">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Tiesību akta projekta atbilstība Latvijas Republikas starptautiskajām saistībām</w:t>
            </w:r>
          </w:p>
        </w:tc>
      </w:tr>
      <w:tr w:rsidR="00063A56" w:rsidRPr="00044840" w14:paraId="7232167C" w14:textId="77777777" w:rsidTr="006875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57F32A"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185CBE"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06AA92BC" w14:textId="3338E4C4" w:rsidR="00AF23F9" w:rsidRPr="00044840" w:rsidRDefault="00AF23F9" w:rsidP="00AF23F9">
            <w:pPr>
              <w:spacing w:after="120"/>
              <w:jc w:val="both"/>
              <w:rPr>
                <w:rFonts w:ascii="Times New Roman" w:hAnsi="Times New Roman" w:cs="Times New Roman"/>
                <w:sz w:val="24"/>
                <w:szCs w:val="24"/>
              </w:rPr>
            </w:pPr>
            <w:r w:rsidRPr="00044840">
              <w:rPr>
                <w:rFonts w:ascii="Times New Roman" w:hAnsi="Times New Roman" w:cs="Times New Roman"/>
                <w:sz w:val="24"/>
                <w:szCs w:val="24"/>
              </w:rPr>
              <w:t xml:space="preserve">Noteikumu projektā tiek pārņemtas </w:t>
            </w:r>
            <w:r w:rsidR="00F84A28">
              <w:rPr>
                <w:rFonts w:ascii="Times New Roman" w:hAnsi="Times New Roman" w:cs="Times New Roman"/>
                <w:sz w:val="24"/>
                <w:szCs w:val="24"/>
              </w:rPr>
              <w:t>šādas</w:t>
            </w:r>
            <w:r w:rsidRPr="00044840">
              <w:rPr>
                <w:rFonts w:ascii="Times New Roman" w:hAnsi="Times New Roman" w:cs="Times New Roman"/>
                <w:sz w:val="24"/>
                <w:szCs w:val="24"/>
              </w:rPr>
              <w:t xml:space="preserve"> </w:t>
            </w:r>
            <w:r w:rsidR="00F84A28">
              <w:rPr>
                <w:rFonts w:ascii="Times New Roman" w:hAnsi="Times New Roman" w:cs="Times New Roman"/>
                <w:sz w:val="24"/>
                <w:szCs w:val="24"/>
              </w:rPr>
              <w:t xml:space="preserve">Eiropas Savienības tiesību aktu </w:t>
            </w:r>
            <w:r w:rsidR="00F84A28">
              <w:rPr>
                <w:rFonts w:ascii="Times New Roman" w:hAnsi="Times New Roman" w:cs="Times New Roman"/>
                <w:sz w:val="24"/>
                <w:szCs w:val="24"/>
              </w:rPr>
              <w:noBreakHyphen/>
              <w:t xml:space="preserve"> </w:t>
            </w:r>
            <w:r w:rsidRPr="00044840">
              <w:rPr>
                <w:rFonts w:ascii="Times New Roman" w:hAnsi="Times New Roman" w:cs="Times New Roman"/>
                <w:sz w:val="24"/>
                <w:szCs w:val="24"/>
              </w:rPr>
              <w:t>direktīvu prasības:</w:t>
            </w:r>
          </w:p>
          <w:p w14:paraId="58CBE221" w14:textId="77777777" w:rsidR="00AF23F9" w:rsidRPr="00044840" w:rsidRDefault="00AF23F9" w:rsidP="00AF23F9">
            <w:pPr>
              <w:numPr>
                <w:ilvl w:val="0"/>
                <w:numId w:val="3"/>
              </w:numPr>
              <w:spacing w:after="120" w:line="240" w:lineRule="auto"/>
              <w:ind w:right="55"/>
              <w:jc w:val="both"/>
              <w:rPr>
                <w:rFonts w:ascii="Times New Roman" w:hAnsi="Times New Roman" w:cs="Times New Roman"/>
                <w:sz w:val="24"/>
                <w:szCs w:val="24"/>
              </w:rPr>
            </w:pPr>
            <w:r w:rsidRPr="00044840">
              <w:rPr>
                <w:rFonts w:ascii="Times New Roman" w:hAnsi="Times New Roman" w:cs="Times New Roman"/>
                <w:sz w:val="24"/>
                <w:szCs w:val="24"/>
              </w:rPr>
              <w:t xml:space="preserve">Eiropas Parlamenta un Padomes 2011. gada 13. decembra direktīva 2011/92/ES par dažu sabiedrisku un privātu projektu ietekmes uz vidi novērtējumu (kodificētā redakcija) (turpmāk – </w:t>
            </w:r>
            <w:r w:rsidRPr="00044840">
              <w:rPr>
                <w:rFonts w:ascii="Times New Roman" w:hAnsi="Times New Roman" w:cs="Times New Roman"/>
                <w:spacing w:val="-3"/>
                <w:sz w:val="24"/>
                <w:szCs w:val="24"/>
              </w:rPr>
              <w:t>Direktīvas 2011/92/ES).</w:t>
            </w:r>
          </w:p>
          <w:p w14:paraId="20AEEFCC" w14:textId="77777777" w:rsidR="00E5323B" w:rsidRPr="00044840" w:rsidRDefault="00AF23F9" w:rsidP="00AF23F9">
            <w:pPr>
              <w:numPr>
                <w:ilvl w:val="0"/>
                <w:numId w:val="3"/>
              </w:numPr>
              <w:spacing w:after="120" w:line="240" w:lineRule="auto"/>
              <w:ind w:right="55"/>
              <w:jc w:val="both"/>
              <w:rPr>
                <w:rFonts w:ascii="Times New Roman" w:hAnsi="Times New Roman" w:cs="Times New Roman"/>
                <w:sz w:val="24"/>
                <w:szCs w:val="24"/>
              </w:rPr>
            </w:pPr>
            <w:r w:rsidRPr="00044840">
              <w:rPr>
                <w:rFonts w:ascii="Times New Roman" w:hAnsi="Times New Roman" w:cs="Times New Roman"/>
                <w:sz w:val="24"/>
                <w:szCs w:val="24"/>
              </w:rPr>
              <w:lastRenderedPageBreak/>
              <w:t>Eiropas Parlamenta un Padomes 2014. gada 16. aprīļa direktīva 2014/52/ES, ar ko groza Direktīvu 2011/92/ES par dažu sabiedrisku un privātu projektu ietekmes uz vidi novērtējumu (turpmāk - Direktīva 2014/52/ES).</w:t>
            </w:r>
          </w:p>
        </w:tc>
      </w:tr>
      <w:tr w:rsidR="00063A56" w:rsidRPr="00044840" w14:paraId="13D4009C" w14:textId="77777777" w:rsidTr="006875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9587CA"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18703DC"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23ABE099" w14:textId="77777777" w:rsidR="00E5323B" w:rsidRPr="00044840" w:rsidRDefault="00AF23F9"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sz w:val="24"/>
                <w:szCs w:val="24"/>
                <w:lang w:eastAsia="lv-LV"/>
              </w:rPr>
              <w:t>Projekts šo jomu neskar.</w:t>
            </w:r>
          </w:p>
        </w:tc>
      </w:tr>
      <w:tr w:rsidR="00063A56" w:rsidRPr="00044840" w14:paraId="067128E2" w14:textId="77777777" w:rsidTr="006875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282EE6"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B9BF94E"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9B817AD" w14:textId="0EAF9524" w:rsidR="00E5323B" w:rsidRPr="00044840" w:rsidRDefault="00AF23F9" w:rsidP="00E5323B">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Nav</w:t>
            </w:r>
          </w:p>
        </w:tc>
      </w:tr>
    </w:tbl>
    <w:p w14:paraId="3E3A2232"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32"/>
        <w:gridCol w:w="2116"/>
        <w:gridCol w:w="2267"/>
        <w:gridCol w:w="2540"/>
      </w:tblGrid>
      <w:tr w:rsidR="00063A56" w:rsidRPr="00044840" w14:paraId="19627782"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73EA590" w14:textId="00F94459" w:rsidR="00655F2C" w:rsidRPr="00044840" w:rsidRDefault="00E5323B" w:rsidP="00E5323B">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1.</w:t>
            </w:r>
            <w:r w:rsidR="00F84A28">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tabula</w:t>
            </w:r>
            <w:r w:rsidRPr="00044840">
              <w:rPr>
                <w:rFonts w:ascii="Times New Roman" w:eastAsia="Times New Roman" w:hAnsi="Times New Roman" w:cs="Times New Roman"/>
                <w:b/>
                <w:bCs/>
                <w:iCs/>
                <w:sz w:val="24"/>
                <w:szCs w:val="24"/>
                <w:lang w:eastAsia="lv-LV"/>
              </w:rPr>
              <w:br/>
              <w:t>Tiesību akta projekta atbilstība ES tiesību aktiem</w:t>
            </w:r>
          </w:p>
        </w:tc>
      </w:tr>
      <w:tr w:rsidR="00063A56" w:rsidRPr="00044840" w14:paraId="7530747B" w14:textId="77777777" w:rsidTr="0054588E">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718F62CE" w14:textId="77777777" w:rsidR="000F0602" w:rsidRPr="00044840" w:rsidRDefault="000F0602" w:rsidP="000F0602">
            <w:pPr>
              <w:ind w:left="57"/>
              <w:rPr>
                <w:rFonts w:ascii="Times New Roman" w:hAnsi="Times New Roman" w:cs="Times New Roman"/>
                <w:sz w:val="24"/>
                <w:szCs w:val="24"/>
              </w:rPr>
            </w:pPr>
            <w:r w:rsidRPr="00044840">
              <w:rPr>
                <w:rFonts w:ascii="Times New Roman" w:hAnsi="Times New Roman" w:cs="Times New Roman"/>
                <w:sz w:val="24"/>
                <w:szCs w:val="24"/>
              </w:rPr>
              <w:t>Attiecīgā ES tiesību akta datums, numurs un nosaukums</w:t>
            </w:r>
          </w:p>
        </w:tc>
        <w:tc>
          <w:tcPr>
            <w:tcW w:w="3791" w:type="pct"/>
            <w:gridSpan w:val="3"/>
            <w:tcBorders>
              <w:top w:val="outset" w:sz="6" w:space="0" w:color="auto"/>
              <w:left w:val="outset" w:sz="6" w:space="0" w:color="auto"/>
              <w:bottom w:val="outset" w:sz="6" w:space="0" w:color="auto"/>
              <w:right w:val="outset" w:sz="6" w:space="0" w:color="auto"/>
            </w:tcBorders>
            <w:hideMark/>
          </w:tcPr>
          <w:p w14:paraId="24CE7BF6" w14:textId="77777777" w:rsidR="000F0602" w:rsidRPr="00044840" w:rsidRDefault="000F0602" w:rsidP="000F0602">
            <w:pPr>
              <w:numPr>
                <w:ilvl w:val="0"/>
                <w:numId w:val="4"/>
              </w:numPr>
              <w:spacing w:after="120" w:line="240" w:lineRule="auto"/>
              <w:ind w:right="55"/>
              <w:jc w:val="both"/>
              <w:rPr>
                <w:rFonts w:ascii="Times New Roman" w:hAnsi="Times New Roman" w:cs="Times New Roman"/>
                <w:sz w:val="24"/>
                <w:szCs w:val="24"/>
              </w:rPr>
            </w:pPr>
            <w:r w:rsidRPr="00044840">
              <w:rPr>
                <w:rFonts w:ascii="Times New Roman" w:hAnsi="Times New Roman" w:cs="Times New Roman"/>
                <w:sz w:val="24"/>
                <w:szCs w:val="24"/>
              </w:rPr>
              <w:t>Eiropas Parlamenta un Padomes 2011. gada 13. decembra direktīva 2011/92/ES par dažu sabiedrisku un privātu projektu ietekmes uz vidi novērtējumu (kodificētā redakcija).</w:t>
            </w:r>
          </w:p>
          <w:p w14:paraId="7883D933" w14:textId="771433EF" w:rsidR="000F0602" w:rsidRPr="00687540" w:rsidRDefault="000F0602" w:rsidP="00687540">
            <w:pPr>
              <w:numPr>
                <w:ilvl w:val="0"/>
                <w:numId w:val="4"/>
              </w:numPr>
              <w:spacing w:after="120" w:line="240" w:lineRule="auto"/>
              <w:ind w:right="55"/>
              <w:jc w:val="both"/>
              <w:rPr>
                <w:rFonts w:ascii="Times New Roman" w:hAnsi="Times New Roman" w:cs="Times New Roman"/>
                <w:sz w:val="24"/>
                <w:szCs w:val="24"/>
              </w:rPr>
            </w:pPr>
            <w:r w:rsidRPr="00FE77E1">
              <w:rPr>
                <w:rFonts w:ascii="Times New Roman" w:hAnsi="Times New Roman" w:cs="Times New Roman"/>
                <w:sz w:val="24"/>
                <w:szCs w:val="24"/>
              </w:rPr>
              <w:t>Eiropas Parlamenta un Padomes 2014. gada 16. aprīļa direktīva 2014/52/ES, ar ko groza Direktīvu 2011/92/ES par dažu sabiedrisku un privātu projektu ietekmes uz vidi novērtējumu.</w:t>
            </w:r>
            <w:r w:rsidR="00D9770F" w:rsidRPr="00FE77E1">
              <w:rPr>
                <w:rFonts w:ascii="Times New Roman" w:hAnsi="Times New Roman" w:cs="Times New Roman"/>
                <w:sz w:val="24"/>
                <w:szCs w:val="24"/>
              </w:rPr>
              <w:t xml:space="preserve"> </w:t>
            </w:r>
          </w:p>
        </w:tc>
      </w:tr>
      <w:tr w:rsidR="00063A56" w:rsidRPr="00044840" w14:paraId="6AB2D73F" w14:textId="77777777" w:rsidTr="0054588E">
        <w:trPr>
          <w:tblCellSpacing w:w="15" w:type="dxa"/>
        </w:trPr>
        <w:tc>
          <w:tcPr>
            <w:tcW w:w="1160" w:type="pct"/>
            <w:tcBorders>
              <w:top w:val="outset" w:sz="6" w:space="0" w:color="auto"/>
              <w:left w:val="outset" w:sz="6" w:space="0" w:color="auto"/>
              <w:bottom w:val="outset" w:sz="6" w:space="0" w:color="auto"/>
              <w:right w:val="outset" w:sz="6" w:space="0" w:color="auto"/>
            </w:tcBorders>
            <w:vAlign w:val="center"/>
            <w:hideMark/>
          </w:tcPr>
          <w:p w14:paraId="5EF195BB"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A</w:t>
            </w:r>
          </w:p>
        </w:tc>
        <w:tc>
          <w:tcPr>
            <w:tcW w:w="1160" w:type="pct"/>
            <w:tcBorders>
              <w:top w:val="outset" w:sz="6" w:space="0" w:color="auto"/>
              <w:left w:val="outset" w:sz="6" w:space="0" w:color="auto"/>
              <w:bottom w:val="outset" w:sz="6" w:space="0" w:color="auto"/>
              <w:right w:val="outset" w:sz="6" w:space="0" w:color="auto"/>
            </w:tcBorders>
            <w:vAlign w:val="center"/>
            <w:hideMark/>
          </w:tcPr>
          <w:p w14:paraId="750A1B4B"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B</w:t>
            </w:r>
          </w:p>
        </w:tc>
        <w:tc>
          <w:tcPr>
            <w:tcW w:w="1244" w:type="pct"/>
            <w:tcBorders>
              <w:top w:val="outset" w:sz="6" w:space="0" w:color="auto"/>
              <w:left w:val="outset" w:sz="6" w:space="0" w:color="auto"/>
              <w:bottom w:val="outset" w:sz="6" w:space="0" w:color="auto"/>
              <w:right w:val="outset" w:sz="6" w:space="0" w:color="auto"/>
            </w:tcBorders>
            <w:vAlign w:val="center"/>
            <w:hideMark/>
          </w:tcPr>
          <w:p w14:paraId="1FC60FD3"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w:t>
            </w:r>
          </w:p>
        </w:tc>
        <w:tc>
          <w:tcPr>
            <w:tcW w:w="1353" w:type="pct"/>
            <w:tcBorders>
              <w:top w:val="outset" w:sz="6" w:space="0" w:color="auto"/>
              <w:left w:val="outset" w:sz="6" w:space="0" w:color="auto"/>
              <w:bottom w:val="outset" w:sz="6" w:space="0" w:color="auto"/>
              <w:right w:val="outset" w:sz="6" w:space="0" w:color="auto"/>
            </w:tcBorders>
            <w:vAlign w:val="center"/>
            <w:hideMark/>
          </w:tcPr>
          <w:p w14:paraId="0C59C3A2"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D</w:t>
            </w:r>
          </w:p>
        </w:tc>
      </w:tr>
      <w:tr w:rsidR="00063A56" w:rsidRPr="00044840" w14:paraId="694AF53F" w14:textId="77777777" w:rsidTr="0054588E">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69F86AF8" w14:textId="49FBE01E" w:rsidR="008E3C75" w:rsidRPr="00044840" w:rsidRDefault="00CA7BE9" w:rsidP="00CA7BE9">
            <w:pPr>
              <w:ind w:left="57"/>
              <w:jc w:val="both"/>
              <w:rPr>
                <w:rFonts w:ascii="Times New Roman" w:hAnsi="Times New Roman" w:cs="Times New Roman"/>
                <w:spacing w:val="-3"/>
                <w:sz w:val="24"/>
                <w:szCs w:val="24"/>
              </w:rPr>
            </w:pPr>
            <w:r w:rsidRPr="00044840">
              <w:rPr>
                <w:rFonts w:ascii="Times New Roman" w:hAnsi="Times New Roman" w:cs="Times New Roman"/>
                <w:spacing w:val="-3"/>
                <w:sz w:val="24"/>
                <w:szCs w:val="24"/>
              </w:rPr>
              <w:t>Direktīvas 2014/52/ES pielikumā 3.</w:t>
            </w:r>
            <w:r w:rsidR="00F84A28">
              <w:rPr>
                <w:rFonts w:ascii="Times New Roman" w:hAnsi="Times New Roman" w:cs="Times New Roman"/>
                <w:spacing w:val="-3"/>
                <w:sz w:val="24"/>
                <w:szCs w:val="24"/>
              </w:rPr>
              <w:t> </w:t>
            </w:r>
            <w:r w:rsidRPr="00044840">
              <w:rPr>
                <w:rFonts w:ascii="Times New Roman" w:hAnsi="Times New Roman" w:cs="Times New Roman"/>
                <w:spacing w:val="-3"/>
                <w:sz w:val="24"/>
                <w:szCs w:val="24"/>
              </w:rPr>
              <w:t>punktā izteiktais IV pielikums (Direktīvas 2011/92/ES IV pielikums)</w:t>
            </w:r>
          </w:p>
        </w:tc>
        <w:tc>
          <w:tcPr>
            <w:tcW w:w="1160" w:type="pct"/>
            <w:tcBorders>
              <w:top w:val="outset" w:sz="6" w:space="0" w:color="auto"/>
              <w:left w:val="outset" w:sz="6" w:space="0" w:color="auto"/>
              <w:bottom w:val="outset" w:sz="6" w:space="0" w:color="auto"/>
              <w:right w:val="outset" w:sz="6" w:space="0" w:color="auto"/>
            </w:tcBorders>
            <w:vAlign w:val="center"/>
            <w:hideMark/>
          </w:tcPr>
          <w:p w14:paraId="7A2C9930" w14:textId="75BFBBA2" w:rsidR="008E3C75" w:rsidRPr="00044840" w:rsidRDefault="00CA7BE9" w:rsidP="000D5B52">
            <w:pPr>
              <w:ind w:left="57"/>
              <w:jc w:val="both"/>
              <w:rPr>
                <w:rFonts w:ascii="Times New Roman" w:hAnsi="Times New Roman" w:cs="Times New Roman"/>
                <w:spacing w:val="-3"/>
                <w:sz w:val="24"/>
                <w:szCs w:val="24"/>
              </w:rPr>
            </w:pPr>
            <w:r w:rsidRPr="00044840">
              <w:rPr>
                <w:rFonts w:ascii="Times New Roman" w:hAnsi="Times New Roman" w:cs="Times New Roman"/>
                <w:spacing w:val="-3"/>
                <w:sz w:val="24"/>
                <w:szCs w:val="24"/>
              </w:rPr>
              <w:t>Noteikumu projekta</w:t>
            </w:r>
            <w:r w:rsidR="008E3C75" w:rsidRPr="00044840">
              <w:rPr>
                <w:rFonts w:ascii="Times New Roman" w:hAnsi="Times New Roman" w:cs="Times New Roman"/>
                <w:spacing w:val="-3"/>
                <w:sz w:val="24"/>
                <w:szCs w:val="24"/>
              </w:rPr>
              <w:t xml:space="preserve"> </w:t>
            </w:r>
            <w:r w:rsidR="00970C96" w:rsidRPr="00044840">
              <w:rPr>
                <w:rFonts w:ascii="Times New Roman" w:hAnsi="Times New Roman" w:cs="Times New Roman"/>
                <w:spacing w:val="-3"/>
                <w:sz w:val="24"/>
                <w:szCs w:val="24"/>
              </w:rPr>
              <w:t>1.</w:t>
            </w:r>
            <w:r w:rsidR="008E3C75" w:rsidRPr="00044840">
              <w:rPr>
                <w:rFonts w:ascii="Times New Roman" w:hAnsi="Times New Roman" w:cs="Times New Roman"/>
                <w:spacing w:val="-3"/>
                <w:sz w:val="24"/>
                <w:szCs w:val="24"/>
              </w:rPr>
              <w:t>2.</w:t>
            </w:r>
            <w:r w:rsidR="00970C96" w:rsidRPr="00044840">
              <w:rPr>
                <w:rFonts w:ascii="Times New Roman" w:hAnsi="Times New Roman" w:cs="Times New Roman"/>
                <w:spacing w:val="-3"/>
                <w:sz w:val="24"/>
                <w:szCs w:val="24"/>
              </w:rPr>
              <w:t xml:space="preserve"> un 1.3.</w:t>
            </w:r>
            <w:r w:rsidR="00F84A28">
              <w:rPr>
                <w:rFonts w:ascii="Times New Roman" w:hAnsi="Times New Roman" w:cs="Times New Roman"/>
                <w:spacing w:val="-3"/>
                <w:sz w:val="24"/>
                <w:szCs w:val="24"/>
              </w:rPr>
              <w:t> </w:t>
            </w:r>
            <w:r w:rsidR="00970C96" w:rsidRPr="00044840">
              <w:rPr>
                <w:rFonts w:ascii="Times New Roman" w:hAnsi="Times New Roman" w:cs="Times New Roman"/>
                <w:spacing w:val="-3"/>
                <w:sz w:val="24"/>
                <w:szCs w:val="24"/>
              </w:rPr>
              <w:t>apakš</w:t>
            </w:r>
            <w:r w:rsidR="000D5B52" w:rsidRPr="00044840">
              <w:rPr>
                <w:rFonts w:ascii="Times New Roman" w:hAnsi="Times New Roman" w:cs="Times New Roman"/>
                <w:spacing w:val="-3"/>
                <w:sz w:val="24"/>
                <w:szCs w:val="24"/>
              </w:rPr>
              <w:t>punkts</w:t>
            </w:r>
            <w:r w:rsidR="008E3C75" w:rsidRPr="00044840">
              <w:rPr>
                <w:rFonts w:ascii="Times New Roman" w:hAnsi="Times New Roman" w:cs="Times New Roman"/>
                <w:spacing w:val="-3"/>
                <w:sz w:val="24"/>
                <w:szCs w:val="24"/>
              </w:rPr>
              <w:t xml:space="preserve"> (</w:t>
            </w:r>
            <w:r w:rsidR="000D5B52" w:rsidRPr="00044840">
              <w:rPr>
                <w:rFonts w:ascii="Times New Roman" w:hAnsi="Times New Roman" w:cs="Times New Roman"/>
                <w:spacing w:val="-3"/>
                <w:sz w:val="24"/>
                <w:szCs w:val="24"/>
              </w:rPr>
              <w:t>noteikumu</w:t>
            </w:r>
            <w:r w:rsidR="008E3C75" w:rsidRPr="00044840">
              <w:rPr>
                <w:rFonts w:ascii="Times New Roman" w:hAnsi="Times New Roman" w:cs="Times New Roman"/>
                <w:spacing w:val="-3"/>
                <w:sz w:val="24"/>
                <w:szCs w:val="24"/>
              </w:rPr>
              <w:t xml:space="preserve"> </w:t>
            </w:r>
            <w:r w:rsidR="000D5B52" w:rsidRPr="00044840">
              <w:rPr>
                <w:rFonts w:ascii="Times New Roman" w:hAnsi="Times New Roman" w:cs="Times New Roman"/>
                <w:sz w:val="24"/>
                <w:szCs w:val="24"/>
              </w:rPr>
              <w:t>34</w:t>
            </w:r>
            <w:r w:rsidR="008E3C75" w:rsidRPr="00044840">
              <w:rPr>
                <w:rFonts w:ascii="Times New Roman" w:hAnsi="Times New Roman" w:cs="Times New Roman"/>
                <w:sz w:val="24"/>
                <w:szCs w:val="24"/>
              </w:rPr>
              <w:t>.</w:t>
            </w:r>
            <w:r w:rsidR="00F84A28">
              <w:rPr>
                <w:rFonts w:ascii="Times New Roman" w:hAnsi="Times New Roman" w:cs="Times New Roman"/>
                <w:sz w:val="24"/>
                <w:szCs w:val="24"/>
              </w:rPr>
              <w:t> </w:t>
            </w:r>
            <w:r w:rsidR="008E3C75" w:rsidRPr="00044840">
              <w:rPr>
                <w:rFonts w:ascii="Times New Roman" w:hAnsi="Times New Roman" w:cs="Times New Roman"/>
                <w:sz w:val="24"/>
                <w:szCs w:val="24"/>
              </w:rPr>
              <w:t>punkts</w:t>
            </w:r>
            <w:r w:rsidR="00970C96" w:rsidRPr="00044840">
              <w:rPr>
                <w:rFonts w:ascii="Times New Roman" w:hAnsi="Times New Roman" w:cs="Times New Roman"/>
                <w:sz w:val="24"/>
                <w:szCs w:val="24"/>
              </w:rPr>
              <w:t xml:space="preserve"> un 2.</w:t>
            </w:r>
            <w:r w:rsidR="00F84A28">
              <w:rPr>
                <w:rFonts w:ascii="Times New Roman" w:hAnsi="Times New Roman" w:cs="Times New Roman"/>
                <w:sz w:val="24"/>
                <w:szCs w:val="24"/>
              </w:rPr>
              <w:t> </w:t>
            </w:r>
            <w:r w:rsidR="00970C96" w:rsidRPr="00044840">
              <w:rPr>
                <w:rFonts w:ascii="Times New Roman" w:hAnsi="Times New Roman" w:cs="Times New Roman"/>
                <w:sz w:val="24"/>
                <w:szCs w:val="24"/>
              </w:rPr>
              <w:t>pielikums</w:t>
            </w:r>
            <w:r w:rsidR="008E3C75" w:rsidRPr="00044840">
              <w:rPr>
                <w:rFonts w:ascii="Times New Roman" w:hAnsi="Times New Roman" w:cs="Times New Roman"/>
                <w:sz w:val="24"/>
                <w:szCs w:val="24"/>
              </w:rPr>
              <w:t>).</w:t>
            </w:r>
          </w:p>
        </w:tc>
        <w:tc>
          <w:tcPr>
            <w:tcW w:w="1244" w:type="pct"/>
            <w:tcBorders>
              <w:top w:val="outset" w:sz="6" w:space="0" w:color="auto"/>
              <w:left w:val="outset" w:sz="6" w:space="0" w:color="auto"/>
              <w:bottom w:val="outset" w:sz="6" w:space="0" w:color="auto"/>
              <w:right w:val="outset" w:sz="6" w:space="0" w:color="auto"/>
            </w:tcBorders>
            <w:hideMark/>
          </w:tcPr>
          <w:p w14:paraId="1BFDB243" w14:textId="77777777" w:rsidR="008E3C75" w:rsidRPr="00044840" w:rsidRDefault="008E3C75" w:rsidP="008E3C75">
            <w:pPr>
              <w:ind w:left="57"/>
              <w:jc w:val="both"/>
              <w:rPr>
                <w:rFonts w:ascii="Times New Roman" w:hAnsi="Times New Roman" w:cs="Times New Roman"/>
                <w:sz w:val="24"/>
                <w:szCs w:val="24"/>
              </w:rPr>
            </w:pPr>
            <w:r w:rsidRPr="00044840">
              <w:rPr>
                <w:rFonts w:ascii="Times New Roman" w:hAnsi="Times New Roman" w:cs="Times New Roman"/>
                <w:sz w:val="24"/>
                <w:szCs w:val="24"/>
              </w:rPr>
              <w:t>Pārņemts pilnībā</w:t>
            </w:r>
          </w:p>
        </w:tc>
        <w:tc>
          <w:tcPr>
            <w:tcW w:w="1353" w:type="pct"/>
            <w:tcBorders>
              <w:top w:val="outset" w:sz="6" w:space="0" w:color="auto"/>
              <w:left w:val="outset" w:sz="6" w:space="0" w:color="auto"/>
              <w:bottom w:val="outset" w:sz="6" w:space="0" w:color="auto"/>
              <w:right w:val="outset" w:sz="6" w:space="0" w:color="auto"/>
            </w:tcBorders>
            <w:hideMark/>
          </w:tcPr>
          <w:p w14:paraId="6EAC7680" w14:textId="578E239F" w:rsidR="008E3C75" w:rsidRPr="00044840" w:rsidRDefault="00F84A28" w:rsidP="008E3C75">
            <w:pPr>
              <w:ind w:left="57"/>
              <w:jc w:val="both"/>
              <w:rPr>
                <w:rFonts w:ascii="Times New Roman" w:hAnsi="Times New Roman" w:cs="Times New Roman"/>
                <w:sz w:val="24"/>
                <w:szCs w:val="24"/>
              </w:rPr>
            </w:pPr>
            <w:r>
              <w:rPr>
                <w:rFonts w:ascii="Times New Roman" w:hAnsi="Times New Roman" w:cs="Times New Roman"/>
                <w:sz w:val="24"/>
                <w:szCs w:val="24"/>
              </w:rPr>
              <w:t>Noteikumu p</w:t>
            </w:r>
            <w:r w:rsidR="008E3C75" w:rsidRPr="00044840">
              <w:rPr>
                <w:rFonts w:ascii="Times New Roman" w:hAnsi="Times New Roman" w:cs="Times New Roman"/>
                <w:sz w:val="24"/>
                <w:szCs w:val="24"/>
              </w:rPr>
              <w:t>rojekts stingrākas prasības neparedz.</w:t>
            </w:r>
          </w:p>
        </w:tc>
      </w:tr>
      <w:tr w:rsidR="00D9770F" w:rsidRPr="00044840" w14:paraId="432BDF95" w14:textId="77777777" w:rsidTr="0054588E">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7BAF6FB0" w14:textId="77777777" w:rsidR="00D9770F" w:rsidRPr="00044840" w:rsidRDefault="00D9770F" w:rsidP="00D9770F">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91" w:type="pct"/>
            <w:gridSpan w:val="3"/>
            <w:tcBorders>
              <w:top w:val="outset" w:sz="6" w:space="0" w:color="auto"/>
              <w:left w:val="outset" w:sz="6" w:space="0" w:color="auto"/>
              <w:bottom w:val="outset" w:sz="6" w:space="0" w:color="auto"/>
              <w:right w:val="outset" w:sz="6" w:space="0" w:color="auto"/>
            </w:tcBorders>
            <w:hideMark/>
          </w:tcPr>
          <w:p w14:paraId="145CB22B" w14:textId="77777777" w:rsidR="00D9770F" w:rsidRPr="00044840" w:rsidRDefault="00D9770F" w:rsidP="00D9770F">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Projekts šo jomu neskar.</w:t>
            </w:r>
          </w:p>
        </w:tc>
      </w:tr>
      <w:tr w:rsidR="00D9770F" w:rsidRPr="00044840" w14:paraId="1303BBB3" w14:textId="77777777" w:rsidTr="0054588E">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052D274E" w14:textId="77777777" w:rsidR="00D9770F" w:rsidRPr="00044840" w:rsidRDefault="00D9770F" w:rsidP="00D9770F">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w:t>
            </w:r>
            <w:r w:rsidRPr="00044840">
              <w:rPr>
                <w:rFonts w:ascii="Times New Roman" w:eastAsia="Times New Roman" w:hAnsi="Times New Roman" w:cs="Times New Roman"/>
                <w:iCs/>
                <w:sz w:val="24"/>
                <w:szCs w:val="24"/>
                <w:lang w:eastAsia="lv-LV"/>
              </w:rPr>
              <w:lastRenderedPageBreak/>
              <w:t>piešķiršanas un finanšu noteikumu (attiecībā uz monetāro politiku) projektiem</w:t>
            </w:r>
          </w:p>
        </w:tc>
        <w:tc>
          <w:tcPr>
            <w:tcW w:w="3791" w:type="pct"/>
            <w:gridSpan w:val="3"/>
            <w:tcBorders>
              <w:top w:val="outset" w:sz="6" w:space="0" w:color="auto"/>
              <w:left w:val="outset" w:sz="6" w:space="0" w:color="auto"/>
              <w:bottom w:val="outset" w:sz="6" w:space="0" w:color="auto"/>
              <w:right w:val="outset" w:sz="6" w:space="0" w:color="auto"/>
            </w:tcBorders>
            <w:hideMark/>
          </w:tcPr>
          <w:p w14:paraId="30499C73" w14:textId="77777777" w:rsidR="00D9770F" w:rsidRPr="00044840" w:rsidRDefault="00D9770F" w:rsidP="00D9770F">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lastRenderedPageBreak/>
              <w:t>Projekts šo jomu neskar.</w:t>
            </w:r>
          </w:p>
        </w:tc>
      </w:tr>
      <w:tr w:rsidR="00D9770F" w:rsidRPr="00044840" w14:paraId="1D30B3AC" w14:textId="77777777" w:rsidTr="0054588E">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1144864A" w14:textId="77777777" w:rsidR="00D9770F" w:rsidRPr="00044840" w:rsidRDefault="00D9770F" w:rsidP="00D9770F">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791" w:type="pct"/>
            <w:gridSpan w:val="3"/>
            <w:tcBorders>
              <w:top w:val="outset" w:sz="6" w:space="0" w:color="auto"/>
              <w:left w:val="outset" w:sz="6" w:space="0" w:color="auto"/>
              <w:bottom w:val="outset" w:sz="6" w:space="0" w:color="auto"/>
              <w:right w:val="outset" w:sz="6" w:space="0" w:color="auto"/>
            </w:tcBorders>
            <w:hideMark/>
          </w:tcPr>
          <w:p w14:paraId="0CE08A92" w14:textId="77777777" w:rsidR="00E83C49" w:rsidRPr="00044840" w:rsidRDefault="00D9770F" w:rsidP="00D9770F">
            <w:pPr>
              <w:spacing w:after="0" w:line="240" w:lineRule="auto"/>
              <w:jc w:val="both"/>
              <w:rPr>
                <w:rFonts w:ascii="Times New Roman" w:hAnsi="Times New Roman" w:cs="Times New Roman"/>
                <w:sz w:val="24"/>
                <w:szCs w:val="24"/>
              </w:rPr>
            </w:pPr>
            <w:r w:rsidRPr="00044840">
              <w:rPr>
                <w:rFonts w:ascii="Times New Roman" w:hAnsi="Times New Roman" w:cs="Times New Roman"/>
                <w:sz w:val="24"/>
                <w:szCs w:val="24"/>
              </w:rPr>
              <w:t xml:space="preserve">Pārējās Eiropas Parlamenta un Padomes 2011. gada 13. decembra direktīvas 2011/92/ES par dažu sabiedrisku un privātu projektu ietekmes uz vidi novērtējumu (kodificētā redakcija) prasības pārņemtas likumā “Par ietekmes uz vidi novērtējumu” un Ministru kabineta 2015. gada 13. janvāra noteikumos Nr. 18 </w:t>
            </w:r>
            <w:r w:rsidRPr="00044840">
              <w:rPr>
                <w:rFonts w:ascii="Times New Roman" w:eastAsia="Calibri" w:hAnsi="Times New Roman" w:cs="Times New Roman"/>
                <w:sz w:val="24"/>
                <w:szCs w:val="24"/>
              </w:rPr>
              <w:t>“</w:t>
            </w:r>
            <w:r w:rsidRPr="00044840">
              <w:rPr>
                <w:rFonts w:ascii="Times New Roman" w:hAnsi="Times New Roman" w:cs="Times New Roman"/>
                <w:sz w:val="24"/>
                <w:szCs w:val="24"/>
              </w:rPr>
              <w:t>Kārtība, kādā novērtē paredzētās darbības ietekmi uz vidi un akceptē paredzēto darbību” un Ministru kabineta 2015. gada 27. janvāra noteikumos Nr. 30 “Kārtība, kādā Valsts vides dienests izdod tehniskos noteikumus paredzētajai darbībai”.</w:t>
            </w:r>
          </w:p>
        </w:tc>
      </w:tr>
    </w:tbl>
    <w:p w14:paraId="70697C89"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63A56" w:rsidRPr="00044840"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77777777" w:rsidR="00655F2C" w:rsidRPr="00044840" w:rsidRDefault="00E5323B" w:rsidP="00E5323B">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VI. Sabiedrības līdzdalība un komunikācijas aktivitātes</w:t>
            </w:r>
          </w:p>
        </w:tc>
      </w:tr>
      <w:tr w:rsidR="00063A56" w:rsidRPr="00044840" w14:paraId="0F8F0E87" w14:textId="77777777" w:rsidTr="00456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A4E58A7"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AABE578" w14:textId="77777777" w:rsidR="00456846" w:rsidRPr="00044840" w:rsidRDefault="00456846" w:rsidP="00456846">
            <w:pPr>
              <w:pStyle w:val="naisf"/>
              <w:spacing w:before="0" w:after="0"/>
              <w:ind w:firstLine="0"/>
            </w:pPr>
            <w:r w:rsidRPr="00044840">
              <w:t xml:space="preserve">Sabiedrības līdzdalība nodrošināta atbilstoši Ministru kabineta 2009. gada 25. augusta noteikumiem Nr. 970 </w:t>
            </w:r>
            <w:r w:rsidRPr="00044840">
              <w:rPr>
                <w:rFonts w:eastAsia="Calibri"/>
                <w:lang w:eastAsia="en-US"/>
              </w:rPr>
              <w:t>“</w:t>
            </w:r>
            <w:r w:rsidRPr="00044840">
              <w:t>Sabiedrības līdzdalības kārtība attīstības plānošanas procesā”. Ieinteresētajām personām bija tiesības izteikt viedokli un sniegt rakstiskus priekšlikumus.</w:t>
            </w:r>
          </w:p>
        </w:tc>
      </w:tr>
      <w:tr w:rsidR="00063A56" w:rsidRPr="00044840" w14:paraId="18ECF40B" w14:textId="77777777" w:rsidTr="00456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2663938"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6ADE9BE" w14:textId="77777777" w:rsidR="00456846" w:rsidRPr="00044840" w:rsidRDefault="00932719" w:rsidP="005D64D5">
            <w:pPr>
              <w:spacing w:after="0" w:line="240" w:lineRule="auto"/>
              <w:jc w:val="both"/>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sz w:val="24"/>
                <w:szCs w:val="24"/>
                <w:lang w:eastAsia="lv-LV"/>
              </w:rPr>
              <w:t>Noteikumu projekts 2018. gada 5. februārī</w:t>
            </w:r>
            <w:r w:rsidR="00456846" w:rsidRPr="00044840">
              <w:rPr>
                <w:rFonts w:ascii="Times New Roman" w:eastAsia="Times New Roman" w:hAnsi="Times New Roman" w:cs="Times New Roman"/>
                <w:sz w:val="24"/>
                <w:szCs w:val="24"/>
                <w:lang w:eastAsia="lv-LV"/>
              </w:rPr>
              <w:t xml:space="preserve"> ievietots VARAM tīmekļvietnē </w:t>
            </w:r>
            <w:hyperlink r:id="rId8" w:history="1">
              <w:r w:rsidR="00456846" w:rsidRPr="00044840">
                <w:rPr>
                  <w:rStyle w:val="Hyperlink"/>
                  <w:rFonts w:ascii="Times New Roman" w:eastAsia="Times New Roman" w:hAnsi="Times New Roman" w:cs="Times New Roman"/>
                  <w:color w:val="auto"/>
                  <w:sz w:val="24"/>
                  <w:szCs w:val="24"/>
                  <w:lang w:eastAsia="lv-LV"/>
                </w:rPr>
                <w:t>www.varam.gov.lv</w:t>
              </w:r>
            </w:hyperlink>
            <w:r w:rsidR="00456846" w:rsidRPr="00044840">
              <w:rPr>
                <w:rFonts w:ascii="Times New Roman" w:eastAsia="Times New Roman" w:hAnsi="Times New Roman" w:cs="Times New Roman"/>
                <w:sz w:val="24"/>
                <w:szCs w:val="24"/>
                <w:lang w:eastAsia="lv-LV"/>
              </w:rPr>
              <w:t xml:space="preserve"> , paziņojot par sabiedrības līdzdalības iespējam noteikumu projekta izstrādes procesā.</w:t>
            </w:r>
          </w:p>
        </w:tc>
      </w:tr>
      <w:tr w:rsidR="00063A56" w:rsidRPr="00044840" w14:paraId="2199AD4F" w14:textId="77777777" w:rsidTr="00456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1BD39F9"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365C093" w14:textId="4D8EB82F" w:rsidR="00456846" w:rsidRPr="00044840" w:rsidRDefault="0054588E" w:rsidP="00AB7F0B">
            <w:pPr>
              <w:spacing w:after="0" w:line="240" w:lineRule="auto"/>
              <w:jc w:val="both"/>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Sabiedrības līdzdalības laikā tika sniegti redakcionāli komentāri, kas ņemti vērā. </w:t>
            </w:r>
            <w:r w:rsidRPr="00AB7F0B">
              <w:rPr>
                <w:rFonts w:ascii="Times New Roman" w:eastAsia="Times New Roman" w:hAnsi="Times New Roman" w:cs="Times New Roman"/>
                <w:iCs/>
                <w:sz w:val="24"/>
                <w:szCs w:val="24"/>
                <w:lang w:eastAsia="lv-LV"/>
              </w:rPr>
              <w:t>Papildināta</w:t>
            </w:r>
            <w:r w:rsidR="00AB7F0B" w:rsidRPr="00AB7F0B">
              <w:rPr>
                <w:rFonts w:ascii="Times New Roman" w:eastAsia="Times New Roman" w:hAnsi="Times New Roman" w:cs="Times New Roman"/>
                <w:iCs/>
                <w:sz w:val="24"/>
                <w:szCs w:val="24"/>
                <w:lang w:eastAsia="lv-LV"/>
              </w:rPr>
              <w:t xml:space="preserve"> noteikumu projekta un anotācijas</w:t>
            </w:r>
            <w:r w:rsidRPr="00AB7F0B">
              <w:rPr>
                <w:rFonts w:ascii="Times New Roman" w:eastAsia="Times New Roman" w:hAnsi="Times New Roman" w:cs="Times New Roman"/>
                <w:iCs/>
                <w:sz w:val="24"/>
                <w:szCs w:val="24"/>
                <w:lang w:eastAsia="lv-LV"/>
              </w:rPr>
              <w:t xml:space="preserve"> redakcijas attiecībā uz klimata jautājumiem, kā arī veiktas atbilstošas</w:t>
            </w:r>
            <w:r w:rsidRPr="00044840">
              <w:rPr>
                <w:rFonts w:ascii="Times New Roman" w:eastAsia="Times New Roman" w:hAnsi="Times New Roman" w:cs="Times New Roman"/>
                <w:iCs/>
                <w:sz w:val="24"/>
                <w:szCs w:val="24"/>
                <w:lang w:eastAsia="lv-LV"/>
              </w:rPr>
              <w:t xml:space="preserve"> izmaiņas rūpniecisko avāriju riska normatīvo aktu prasībām.</w:t>
            </w:r>
          </w:p>
        </w:tc>
      </w:tr>
      <w:tr w:rsidR="00063A56" w:rsidRPr="00044840" w14:paraId="208856BA" w14:textId="77777777" w:rsidTr="00456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10984F4"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3E4274"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sz w:val="24"/>
                <w:szCs w:val="24"/>
                <w:lang w:eastAsia="lv-LV"/>
              </w:rPr>
              <w:t>Nav</w:t>
            </w:r>
          </w:p>
        </w:tc>
      </w:tr>
    </w:tbl>
    <w:p w14:paraId="2973E2CE"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63A56" w:rsidRPr="00044840"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044840" w:rsidRDefault="00E5323B" w:rsidP="00E5323B">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63A56" w:rsidRPr="00044840" w14:paraId="6F6E17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4BF0E5"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652FF2"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3ED3DF0" w14:textId="77777777" w:rsidR="00E5323B" w:rsidRPr="00044840" w:rsidRDefault="00934431" w:rsidP="00E83C49">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 xml:space="preserve">VARAM, </w:t>
            </w:r>
            <w:r w:rsidR="00E83C49" w:rsidRPr="00044840">
              <w:rPr>
                <w:rFonts w:ascii="Times New Roman" w:hAnsi="Times New Roman" w:cs="Times New Roman"/>
                <w:sz w:val="24"/>
                <w:szCs w:val="24"/>
              </w:rPr>
              <w:t>Birojs</w:t>
            </w:r>
            <w:r w:rsidRPr="00044840">
              <w:rPr>
                <w:rFonts w:ascii="Times New Roman" w:hAnsi="Times New Roman" w:cs="Times New Roman"/>
                <w:sz w:val="24"/>
                <w:szCs w:val="24"/>
              </w:rPr>
              <w:t xml:space="preserve">, </w:t>
            </w:r>
            <w:r w:rsidR="00E83C49" w:rsidRPr="00044840">
              <w:rPr>
                <w:rFonts w:ascii="Times New Roman" w:hAnsi="Times New Roman" w:cs="Times New Roman"/>
                <w:sz w:val="24"/>
                <w:szCs w:val="24"/>
              </w:rPr>
              <w:t>Valsts vides dienests</w:t>
            </w:r>
            <w:r w:rsidRPr="00044840">
              <w:rPr>
                <w:rFonts w:ascii="Times New Roman" w:hAnsi="Times New Roman" w:cs="Times New Roman"/>
                <w:sz w:val="24"/>
                <w:szCs w:val="24"/>
              </w:rPr>
              <w:t>.</w:t>
            </w:r>
          </w:p>
        </w:tc>
      </w:tr>
      <w:tr w:rsidR="00063A56" w:rsidRPr="00044840" w14:paraId="427244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78FE1C"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B964E4"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Projekta izpildes ietekme uz pārvaldes funkcijām un institucionālo struktūru.</w:t>
            </w:r>
            <w:r w:rsidRPr="0004484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4606E3F" w14:textId="77777777" w:rsidR="00E5323B" w:rsidRPr="00044840" w:rsidRDefault="00934431" w:rsidP="00B83316">
            <w:pPr>
              <w:spacing w:after="0" w:line="240" w:lineRule="auto"/>
              <w:jc w:val="both"/>
              <w:rPr>
                <w:rFonts w:ascii="Times New Roman" w:eastAsia="Times New Roman" w:hAnsi="Times New Roman" w:cs="Times New Roman"/>
                <w:iCs/>
                <w:sz w:val="24"/>
                <w:szCs w:val="24"/>
                <w:lang w:eastAsia="lv-LV"/>
              </w:rPr>
            </w:pPr>
            <w:r w:rsidRPr="00044840">
              <w:rPr>
                <w:rFonts w:ascii="Times New Roman" w:eastAsia="Calibri" w:hAnsi="Times New Roman" w:cs="Times New Roman"/>
                <w:iCs/>
                <w:sz w:val="24"/>
                <w:szCs w:val="24"/>
              </w:rPr>
              <w:t xml:space="preserve">Noteikumu projekta īstenošana tiks veikta esošo cilvēkresursu ietvaros. Saistībā ar </w:t>
            </w:r>
            <w:r w:rsidR="00B83316" w:rsidRPr="00044840">
              <w:rPr>
                <w:rFonts w:ascii="Times New Roman" w:eastAsia="Calibri" w:hAnsi="Times New Roman" w:cs="Times New Roman"/>
                <w:iCs/>
                <w:sz w:val="24"/>
                <w:szCs w:val="24"/>
              </w:rPr>
              <w:t>noteikumu p</w:t>
            </w:r>
            <w:r w:rsidRPr="00044840">
              <w:rPr>
                <w:rFonts w:ascii="Times New Roman" w:eastAsia="Calibri" w:hAnsi="Times New Roman" w:cs="Times New Roman"/>
                <w:iCs/>
                <w:sz w:val="24"/>
                <w:szCs w:val="24"/>
              </w:rPr>
              <w:t>rojekta izpildi nebūs nepieciešams veidot jaunas institūcijas vai likvidēt, reorganizēt esošās.</w:t>
            </w:r>
          </w:p>
        </w:tc>
      </w:tr>
      <w:tr w:rsidR="00E5323B" w:rsidRPr="00044840" w14:paraId="0DF0E4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BC8AA6"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1FC956"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7BC994" w14:textId="36EB1EB8" w:rsidR="00E5323B" w:rsidRPr="00044840" w:rsidRDefault="00934431" w:rsidP="00E5323B">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Nav</w:t>
            </w:r>
          </w:p>
        </w:tc>
      </w:tr>
    </w:tbl>
    <w:p w14:paraId="6D75CD6D" w14:textId="77777777" w:rsidR="00C25B49" w:rsidRPr="00044840" w:rsidRDefault="00C25B49" w:rsidP="00894C55">
      <w:pPr>
        <w:spacing w:after="0" w:line="240" w:lineRule="auto"/>
        <w:rPr>
          <w:rFonts w:ascii="Times New Roman" w:hAnsi="Times New Roman" w:cs="Times New Roman"/>
          <w:sz w:val="28"/>
          <w:szCs w:val="28"/>
        </w:rPr>
      </w:pPr>
    </w:p>
    <w:p w14:paraId="5B56C249" w14:textId="77777777" w:rsidR="00E5323B" w:rsidRDefault="00E5323B" w:rsidP="00894C55">
      <w:pPr>
        <w:spacing w:after="0" w:line="240" w:lineRule="auto"/>
        <w:rPr>
          <w:rFonts w:ascii="Times New Roman" w:hAnsi="Times New Roman" w:cs="Times New Roman"/>
          <w:sz w:val="28"/>
          <w:szCs w:val="28"/>
        </w:rPr>
      </w:pPr>
    </w:p>
    <w:p w14:paraId="0ED193C6" w14:textId="77777777" w:rsidR="00687540" w:rsidRPr="00044840" w:rsidRDefault="00687540" w:rsidP="00894C55">
      <w:pPr>
        <w:spacing w:after="0" w:line="240" w:lineRule="auto"/>
        <w:rPr>
          <w:rFonts w:ascii="Times New Roman" w:hAnsi="Times New Roman" w:cs="Times New Roman"/>
          <w:sz w:val="28"/>
          <w:szCs w:val="28"/>
        </w:rPr>
      </w:pPr>
    </w:p>
    <w:p w14:paraId="2A6855BE" w14:textId="77777777" w:rsidR="00934431" w:rsidRPr="00044840" w:rsidRDefault="00934431" w:rsidP="00934431">
      <w:pPr>
        <w:spacing w:after="0" w:line="240" w:lineRule="auto"/>
        <w:ind w:firstLine="720"/>
        <w:rPr>
          <w:rFonts w:ascii="Times New Roman" w:hAnsi="Times New Roman" w:cs="Times New Roman"/>
          <w:sz w:val="24"/>
          <w:szCs w:val="24"/>
        </w:rPr>
      </w:pPr>
      <w:r w:rsidRPr="00044840">
        <w:rPr>
          <w:rFonts w:ascii="Times New Roman" w:hAnsi="Times New Roman" w:cs="Times New Roman"/>
          <w:sz w:val="24"/>
          <w:szCs w:val="24"/>
        </w:rPr>
        <w:t xml:space="preserve">Vides aizsardzības un </w:t>
      </w:r>
    </w:p>
    <w:p w14:paraId="7FAE3116" w14:textId="77777777" w:rsidR="00934431" w:rsidRPr="00044840" w:rsidRDefault="00934431" w:rsidP="00934431">
      <w:pPr>
        <w:spacing w:after="0" w:line="240" w:lineRule="auto"/>
        <w:ind w:firstLine="720"/>
        <w:rPr>
          <w:rFonts w:ascii="Times New Roman" w:hAnsi="Times New Roman" w:cs="Times New Roman"/>
          <w:sz w:val="24"/>
          <w:szCs w:val="24"/>
        </w:rPr>
      </w:pPr>
      <w:r w:rsidRPr="00044840">
        <w:rPr>
          <w:rFonts w:ascii="Times New Roman" w:hAnsi="Times New Roman" w:cs="Times New Roman"/>
          <w:sz w:val="24"/>
          <w:szCs w:val="24"/>
        </w:rPr>
        <w:t>reģionālās attīstības ministrs</w:t>
      </w:r>
      <w:r w:rsidRPr="00044840">
        <w:rPr>
          <w:rFonts w:ascii="Times New Roman" w:hAnsi="Times New Roman" w:cs="Times New Roman"/>
          <w:sz w:val="24"/>
          <w:szCs w:val="24"/>
        </w:rPr>
        <w:tab/>
      </w:r>
      <w:r w:rsidRPr="00044840">
        <w:rPr>
          <w:rFonts w:ascii="Times New Roman" w:hAnsi="Times New Roman" w:cs="Times New Roman"/>
          <w:sz w:val="24"/>
          <w:szCs w:val="24"/>
        </w:rPr>
        <w:tab/>
      </w:r>
      <w:r w:rsidRPr="00044840">
        <w:rPr>
          <w:rFonts w:ascii="Times New Roman" w:hAnsi="Times New Roman" w:cs="Times New Roman"/>
          <w:sz w:val="24"/>
          <w:szCs w:val="24"/>
        </w:rPr>
        <w:tab/>
      </w:r>
      <w:r w:rsidRPr="00044840">
        <w:rPr>
          <w:rFonts w:ascii="Times New Roman" w:hAnsi="Times New Roman" w:cs="Times New Roman"/>
          <w:sz w:val="24"/>
          <w:szCs w:val="24"/>
        </w:rPr>
        <w:tab/>
        <w:t>Kaspars Gerhards</w:t>
      </w:r>
    </w:p>
    <w:p w14:paraId="589E1BBE" w14:textId="77777777" w:rsidR="00894C55" w:rsidRPr="00044840" w:rsidRDefault="00894C55" w:rsidP="00894C55">
      <w:pPr>
        <w:spacing w:after="0" w:line="240" w:lineRule="auto"/>
        <w:ind w:firstLine="720"/>
        <w:rPr>
          <w:rFonts w:ascii="Times New Roman" w:hAnsi="Times New Roman" w:cs="Times New Roman"/>
          <w:sz w:val="28"/>
          <w:szCs w:val="28"/>
        </w:rPr>
      </w:pPr>
    </w:p>
    <w:p w14:paraId="449B2084" w14:textId="77777777" w:rsidR="00894C55" w:rsidRPr="00044840" w:rsidRDefault="00894C55" w:rsidP="00894C55">
      <w:pPr>
        <w:spacing w:after="0" w:line="240" w:lineRule="auto"/>
        <w:ind w:firstLine="720"/>
        <w:rPr>
          <w:rFonts w:ascii="Times New Roman" w:hAnsi="Times New Roman" w:cs="Times New Roman"/>
          <w:sz w:val="28"/>
          <w:szCs w:val="28"/>
        </w:rPr>
      </w:pPr>
    </w:p>
    <w:p w14:paraId="0E3B2F4A" w14:textId="77777777" w:rsidR="00894C55" w:rsidRPr="00044840" w:rsidRDefault="00894C55" w:rsidP="00934431">
      <w:pPr>
        <w:tabs>
          <w:tab w:val="left" w:pos="6237"/>
        </w:tabs>
        <w:spacing w:after="0" w:line="240" w:lineRule="auto"/>
        <w:rPr>
          <w:rFonts w:ascii="Times New Roman" w:hAnsi="Times New Roman" w:cs="Times New Roman"/>
          <w:sz w:val="28"/>
          <w:szCs w:val="28"/>
        </w:rPr>
      </w:pPr>
    </w:p>
    <w:p w14:paraId="0F91DA5D" w14:textId="77777777" w:rsidR="00894C55" w:rsidRPr="00044840" w:rsidRDefault="00894C55" w:rsidP="00894C55">
      <w:pPr>
        <w:tabs>
          <w:tab w:val="left" w:pos="6237"/>
        </w:tabs>
        <w:spacing w:after="0" w:line="240" w:lineRule="auto"/>
        <w:ind w:firstLine="720"/>
        <w:rPr>
          <w:rFonts w:ascii="Times New Roman" w:hAnsi="Times New Roman" w:cs="Times New Roman"/>
          <w:sz w:val="28"/>
          <w:szCs w:val="28"/>
        </w:rPr>
      </w:pPr>
    </w:p>
    <w:p w14:paraId="6972E944" w14:textId="77777777" w:rsidR="00934431" w:rsidRPr="00044840" w:rsidRDefault="00934431" w:rsidP="00934431">
      <w:pPr>
        <w:pStyle w:val="ListParagraph"/>
        <w:tabs>
          <w:tab w:val="left" w:pos="567"/>
        </w:tabs>
        <w:spacing w:after="0" w:line="240" w:lineRule="auto"/>
        <w:ind w:left="0"/>
        <w:jc w:val="both"/>
        <w:rPr>
          <w:rFonts w:ascii="Times New Roman" w:hAnsi="Times New Roman"/>
          <w:bCs/>
          <w:sz w:val="20"/>
          <w:szCs w:val="20"/>
        </w:rPr>
      </w:pPr>
      <w:r w:rsidRPr="00044840">
        <w:rPr>
          <w:rFonts w:ascii="Times New Roman" w:hAnsi="Times New Roman"/>
          <w:bCs/>
          <w:sz w:val="20"/>
          <w:szCs w:val="20"/>
        </w:rPr>
        <w:t>Balka 67026916</w:t>
      </w:r>
    </w:p>
    <w:p w14:paraId="786BBA7B" w14:textId="77777777" w:rsidR="00934431" w:rsidRPr="00044840" w:rsidRDefault="00D60936" w:rsidP="00934431">
      <w:pPr>
        <w:pStyle w:val="ListParagraph"/>
        <w:tabs>
          <w:tab w:val="left" w:pos="567"/>
        </w:tabs>
        <w:spacing w:after="0" w:line="240" w:lineRule="auto"/>
        <w:ind w:left="0"/>
        <w:jc w:val="both"/>
        <w:rPr>
          <w:rFonts w:ascii="Times New Roman" w:hAnsi="Times New Roman"/>
          <w:color w:val="000000"/>
          <w:sz w:val="20"/>
          <w:szCs w:val="20"/>
        </w:rPr>
      </w:pPr>
      <w:hyperlink r:id="rId9" w:history="1">
        <w:r w:rsidR="00934431" w:rsidRPr="00044840">
          <w:rPr>
            <w:rStyle w:val="Hyperlink"/>
            <w:rFonts w:ascii="Times New Roman" w:hAnsi="Times New Roman"/>
            <w:bCs/>
            <w:sz w:val="20"/>
            <w:szCs w:val="20"/>
          </w:rPr>
          <w:t>sandija.balka@varam.gov.lv</w:t>
        </w:r>
      </w:hyperlink>
      <w:r w:rsidR="00934431" w:rsidRPr="00044840">
        <w:rPr>
          <w:rFonts w:ascii="Times New Roman" w:hAnsi="Times New Roman"/>
          <w:bCs/>
          <w:sz w:val="20"/>
          <w:szCs w:val="20"/>
        </w:rPr>
        <w:t xml:space="preserve"> </w:t>
      </w:r>
    </w:p>
    <w:p w14:paraId="57DDE649" w14:textId="77777777" w:rsidR="00894C55" w:rsidRPr="00044840" w:rsidRDefault="00894C55" w:rsidP="00894C55">
      <w:pPr>
        <w:tabs>
          <w:tab w:val="left" w:pos="6237"/>
        </w:tabs>
        <w:spacing w:after="0" w:line="240" w:lineRule="auto"/>
        <w:rPr>
          <w:rFonts w:ascii="Times New Roman" w:hAnsi="Times New Roman" w:cs="Times New Roman"/>
          <w:sz w:val="24"/>
          <w:szCs w:val="28"/>
        </w:rPr>
      </w:pPr>
    </w:p>
    <w:sectPr w:rsidR="00894C55" w:rsidRPr="00044840"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C08A6" w14:textId="77777777" w:rsidR="00D60936" w:rsidRDefault="00D60936" w:rsidP="00894C55">
      <w:pPr>
        <w:spacing w:after="0" w:line="240" w:lineRule="auto"/>
      </w:pPr>
      <w:r>
        <w:separator/>
      </w:r>
    </w:p>
  </w:endnote>
  <w:endnote w:type="continuationSeparator" w:id="0">
    <w:p w14:paraId="018B0B71" w14:textId="77777777" w:rsidR="00D60936" w:rsidRDefault="00D6093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2E520" w14:textId="06923375" w:rsidR="00894C55" w:rsidRPr="00894C55" w:rsidRDefault="0077660E">
    <w:pPr>
      <w:pStyle w:val="Footer"/>
      <w:rPr>
        <w:rFonts w:ascii="Times New Roman" w:hAnsi="Times New Roman" w:cs="Times New Roman"/>
        <w:sz w:val="20"/>
        <w:szCs w:val="20"/>
      </w:rPr>
    </w:pPr>
    <w:r>
      <w:rPr>
        <w:rFonts w:ascii="Times New Roman" w:hAnsi="Times New Roman" w:cs="Times New Roman"/>
        <w:sz w:val="20"/>
        <w:szCs w:val="20"/>
      </w:rPr>
      <w:t>V</w:t>
    </w:r>
    <w:r w:rsidR="0054588E">
      <w:rPr>
        <w:rFonts w:ascii="Times New Roman" w:hAnsi="Times New Roman" w:cs="Times New Roman"/>
        <w:sz w:val="20"/>
        <w:szCs w:val="20"/>
      </w:rPr>
      <w:t>ARAMAnot_</w:t>
    </w:r>
    <w:r w:rsidR="00AB7F0B">
      <w:rPr>
        <w:rFonts w:ascii="Times New Roman" w:hAnsi="Times New Roman" w:cs="Times New Roman"/>
        <w:sz w:val="20"/>
        <w:szCs w:val="20"/>
      </w:rPr>
      <w:t>20</w:t>
    </w:r>
    <w:r w:rsidR="00970C96">
      <w:rPr>
        <w:rFonts w:ascii="Times New Roman" w:hAnsi="Times New Roman" w:cs="Times New Roman"/>
        <w:sz w:val="20"/>
        <w:szCs w:val="20"/>
      </w:rPr>
      <w:t>02</w:t>
    </w:r>
    <w:r w:rsidR="00044840">
      <w:rPr>
        <w:rFonts w:ascii="Times New Roman" w:hAnsi="Times New Roman" w:cs="Times New Roman"/>
        <w:sz w:val="20"/>
        <w:szCs w:val="20"/>
      </w:rPr>
      <w:t>0</w:t>
    </w:r>
    <w:r w:rsidR="00934431">
      <w:rPr>
        <w:rFonts w:ascii="Times New Roman" w:hAnsi="Times New Roman" w:cs="Times New Roman"/>
        <w:sz w:val="20"/>
        <w:szCs w:val="20"/>
      </w:rPr>
      <w:t>18</w:t>
    </w:r>
    <w:r w:rsidR="009A2654">
      <w:rPr>
        <w:rFonts w:ascii="Times New Roman" w:hAnsi="Times New Roman" w:cs="Times New Roman"/>
        <w:sz w:val="20"/>
        <w:szCs w:val="20"/>
      </w:rPr>
      <w:t>_</w:t>
    </w:r>
    <w:r w:rsidR="00934431">
      <w:rPr>
        <w:rFonts w:ascii="Times New Roman" w:hAnsi="Times New Roman" w:cs="Times New Roman"/>
        <w:sz w:val="20"/>
        <w:szCs w:val="20"/>
      </w:rPr>
      <w:t>IVN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0AB9" w14:textId="1A57C6B7" w:rsidR="009A2654" w:rsidRPr="00B83316" w:rsidRDefault="00970C96" w:rsidP="00B83316">
    <w:pPr>
      <w:pStyle w:val="Footer"/>
      <w:rPr>
        <w:rFonts w:ascii="Times New Roman" w:hAnsi="Times New Roman" w:cs="Times New Roman"/>
        <w:sz w:val="20"/>
        <w:szCs w:val="20"/>
      </w:rPr>
    </w:pPr>
    <w:r>
      <w:rPr>
        <w:rFonts w:ascii="Times New Roman" w:hAnsi="Times New Roman" w:cs="Times New Roman"/>
        <w:sz w:val="20"/>
        <w:szCs w:val="20"/>
      </w:rPr>
      <w:t>V</w:t>
    </w:r>
    <w:r w:rsidR="0054588E">
      <w:rPr>
        <w:rFonts w:ascii="Times New Roman" w:hAnsi="Times New Roman" w:cs="Times New Roman"/>
        <w:sz w:val="20"/>
        <w:szCs w:val="20"/>
      </w:rPr>
      <w:t>ARAMAnot_</w:t>
    </w:r>
    <w:r w:rsidR="00AB7F0B">
      <w:rPr>
        <w:rFonts w:ascii="Times New Roman" w:hAnsi="Times New Roman" w:cs="Times New Roman"/>
        <w:sz w:val="20"/>
        <w:szCs w:val="20"/>
      </w:rPr>
      <w:t>20</w:t>
    </w:r>
    <w:r>
      <w:rPr>
        <w:rFonts w:ascii="Times New Roman" w:hAnsi="Times New Roman" w:cs="Times New Roman"/>
        <w:sz w:val="20"/>
        <w:szCs w:val="20"/>
      </w:rPr>
      <w:t>02</w:t>
    </w:r>
    <w:r w:rsidR="00044840">
      <w:rPr>
        <w:rFonts w:ascii="Times New Roman" w:hAnsi="Times New Roman" w:cs="Times New Roman"/>
        <w:sz w:val="20"/>
        <w:szCs w:val="20"/>
      </w:rPr>
      <w:t>0</w:t>
    </w:r>
    <w:r w:rsidR="00B83316">
      <w:rPr>
        <w:rFonts w:ascii="Times New Roman" w:hAnsi="Times New Roman" w:cs="Times New Roman"/>
        <w:sz w:val="20"/>
        <w:szCs w:val="20"/>
      </w:rPr>
      <w:t>18_IVN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BF0A4" w14:textId="77777777" w:rsidR="00D60936" w:rsidRDefault="00D60936" w:rsidP="00894C55">
      <w:pPr>
        <w:spacing w:after="0" w:line="240" w:lineRule="auto"/>
      </w:pPr>
      <w:r>
        <w:separator/>
      </w:r>
    </w:p>
  </w:footnote>
  <w:footnote w:type="continuationSeparator" w:id="0">
    <w:p w14:paraId="06834B1F" w14:textId="77777777" w:rsidR="00D60936" w:rsidRDefault="00D6093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87540">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4840"/>
    <w:rsid w:val="00063A56"/>
    <w:rsid w:val="000D5B52"/>
    <w:rsid w:val="000F0602"/>
    <w:rsid w:val="000F6FB2"/>
    <w:rsid w:val="00164E69"/>
    <w:rsid w:val="00173E3A"/>
    <w:rsid w:val="0020778F"/>
    <w:rsid w:val="00243426"/>
    <w:rsid w:val="002A31F1"/>
    <w:rsid w:val="002D2959"/>
    <w:rsid w:val="002E1C05"/>
    <w:rsid w:val="002E2616"/>
    <w:rsid w:val="002E4CCD"/>
    <w:rsid w:val="00310F92"/>
    <w:rsid w:val="00320875"/>
    <w:rsid w:val="0032556E"/>
    <w:rsid w:val="00340AF6"/>
    <w:rsid w:val="003B0BF9"/>
    <w:rsid w:val="003E0791"/>
    <w:rsid w:val="003E63B3"/>
    <w:rsid w:val="003F28AC"/>
    <w:rsid w:val="00434B29"/>
    <w:rsid w:val="004454FE"/>
    <w:rsid w:val="00456846"/>
    <w:rsid w:val="00456E40"/>
    <w:rsid w:val="004652BD"/>
    <w:rsid w:val="004713B3"/>
    <w:rsid w:val="00471F27"/>
    <w:rsid w:val="004A6864"/>
    <w:rsid w:val="0050178F"/>
    <w:rsid w:val="00511CB8"/>
    <w:rsid w:val="0054588E"/>
    <w:rsid w:val="005A3C68"/>
    <w:rsid w:val="005D64D5"/>
    <w:rsid w:val="005F1B45"/>
    <w:rsid w:val="00640D92"/>
    <w:rsid w:val="00655F2C"/>
    <w:rsid w:val="00661162"/>
    <w:rsid w:val="00687540"/>
    <w:rsid w:val="006D7121"/>
    <w:rsid w:val="006E1081"/>
    <w:rsid w:val="00720585"/>
    <w:rsid w:val="00766762"/>
    <w:rsid w:val="00773AF6"/>
    <w:rsid w:val="0077660E"/>
    <w:rsid w:val="00795F71"/>
    <w:rsid w:val="007B1171"/>
    <w:rsid w:val="007C7F3B"/>
    <w:rsid w:val="007E5F7A"/>
    <w:rsid w:val="007E73AB"/>
    <w:rsid w:val="00805764"/>
    <w:rsid w:val="00811F55"/>
    <w:rsid w:val="00816C11"/>
    <w:rsid w:val="00871723"/>
    <w:rsid w:val="00894C55"/>
    <w:rsid w:val="008E3C75"/>
    <w:rsid w:val="00932719"/>
    <w:rsid w:val="00934431"/>
    <w:rsid w:val="00956F7F"/>
    <w:rsid w:val="00970C96"/>
    <w:rsid w:val="009A2654"/>
    <w:rsid w:val="00A06DA4"/>
    <w:rsid w:val="00A10FC3"/>
    <w:rsid w:val="00A40CAF"/>
    <w:rsid w:val="00A6073E"/>
    <w:rsid w:val="00A830FF"/>
    <w:rsid w:val="00AA4BC6"/>
    <w:rsid w:val="00AB7F0B"/>
    <w:rsid w:val="00AE5567"/>
    <w:rsid w:val="00AF1239"/>
    <w:rsid w:val="00AF23F9"/>
    <w:rsid w:val="00B16480"/>
    <w:rsid w:val="00B2165C"/>
    <w:rsid w:val="00B83316"/>
    <w:rsid w:val="00B867EB"/>
    <w:rsid w:val="00B97F00"/>
    <w:rsid w:val="00BA20AA"/>
    <w:rsid w:val="00BC7CB7"/>
    <w:rsid w:val="00BD4425"/>
    <w:rsid w:val="00BE2DEE"/>
    <w:rsid w:val="00C25B49"/>
    <w:rsid w:val="00C874FF"/>
    <w:rsid w:val="00CA7BE9"/>
    <w:rsid w:val="00CC0D2D"/>
    <w:rsid w:val="00CD05AD"/>
    <w:rsid w:val="00CE5657"/>
    <w:rsid w:val="00D133F8"/>
    <w:rsid w:val="00D14A3E"/>
    <w:rsid w:val="00D60936"/>
    <w:rsid w:val="00D9770F"/>
    <w:rsid w:val="00E3716B"/>
    <w:rsid w:val="00E5323B"/>
    <w:rsid w:val="00E6622A"/>
    <w:rsid w:val="00E83C49"/>
    <w:rsid w:val="00E8749E"/>
    <w:rsid w:val="00E90C01"/>
    <w:rsid w:val="00EA238B"/>
    <w:rsid w:val="00EA486E"/>
    <w:rsid w:val="00EC3011"/>
    <w:rsid w:val="00EE0EC6"/>
    <w:rsid w:val="00F014E6"/>
    <w:rsid w:val="00F07505"/>
    <w:rsid w:val="00F12D56"/>
    <w:rsid w:val="00F52749"/>
    <w:rsid w:val="00F57B0C"/>
    <w:rsid w:val="00F61DF5"/>
    <w:rsid w:val="00F674E2"/>
    <w:rsid w:val="00F67DE7"/>
    <w:rsid w:val="00F84A28"/>
    <w:rsid w:val="00F85EDC"/>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4A28"/>
    <w:rPr>
      <w:sz w:val="16"/>
      <w:szCs w:val="16"/>
    </w:rPr>
  </w:style>
  <w:style w:type="paragraph" w:styleId="CommentText">
    <w:name w:val="annotation text"/>
    <w:basedOn w:val="Normal"/>
    <w:link w:val="CommentTextChar"/>
    <w:uiPriority w:val="99"/>
    <w:semiHidden/>
    <w:unhideWhenUsed/>
    <w:rsid w:val="00F84A28"/>
    <w:pPr>
      <w:spacing w:line="240" w:lineRule="auto"/>
    </w:pPr>
    <w:rPr>
      <w:sz w:val="20"/>
      <w:szCs w:val="20"/>
    </w:rPr>
  </w:style>
  <w:style w:type="character" w:customStyle="1" w:styleId="CommentTextChar">
    <w:name w:val="Comment Text Char"/>
    <w:basedOn w:val="DefaultParagraphFont"/>
    <w:link w:val="CommentText"/>
    <w:uiPriority w:val="99"/>
    <w:semiHidden/>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ija.balk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8428-C075-4466-BD33-21CCC49A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7703</Words>
  <Characters>4391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MK noteikumu projekts</vt:lpstr>
    </vt:vector>
  </TitlesOfParts>
  <Company>VARAM</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Anotācija</dc:subject>
  <dc:creator>Sandija Balka</dc:creator>
  <dc:description>67026916, sandija.balka@varam.gov.lv</dc:description>
  <cp:lastModifiedBy>Guna Eņģele-Volkova</cp:lastModifiedBy>
  <cp:revision>5</cp:revision>
  <dcterms:created xsi:type="dcterms:W3CDTF">2018-02-20T06:49:00Z</dcterms:created>
  <dcterms:modified xsi:type="dcterms:W3CDTF">2018-02-20T07:31:00Z</dcterms:modified>
</cp:coreProperties>
</file>