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12822" w14:paraId="04EF0BA7" w14:textId="77777777">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Likumprojekta „</w:t>
      </w:r>
      <w:bookmarkStart w:id="0" w:name="nosaukums"/>
      <w:r>
        <w:rPr>
          <w:rFonts w:ascii="Times New Roman" w:hAnsi="Times New Roman" w:cs="Times New Roman"/>
          <w:b/>
          <w:sz w:val="28"/>
          <w:szCs w:val="28"/>
        </w:rPr>
        <w:t>Par Vīnes konvencijas par ozona slāņa aizsardzību Monreālas protokola par ozona slāni noārdošām vielām Kigali grozījumiem</w:t>
      </w:r>
      <w:bookmarkEnd w:id="0"/>
      <w:r>
        <w:rPr>
          <w:rFonts w:ascii="Times New Roman" w:eastAsia="Times New Roman" w:hAnsi="Times New Roman" w:cs="Times New Roman"/>
          <w:b/>
          <w:bCs/>
          <w:sz w:val="28"/>
          <w:szCs w:val="28"/>
          <w:lang w:eastAsia="lv-LV"/>
        </w:rPr>
        <w:t>” sākotnējās ietekmes novērtējuma ziņojums (anotācija)</w:t>
      </w:r>
    </w:p>
    <w:p w:rsidR="00812822" w14:paraId="04EF0BA8" w14:textId="77777777">
      <w:pPr>
        <w:spacing w:before="45" w:after="0" w:line="360" w:lineRule="auto"/>
        <w:ind w:firstLine="300"/>
        <w:jc w:val="center"/>
        <w:rPr>
          <w:rFonts w:ascii="Times New Roman" w:eastAsia="Times New Roman" w:hAnsi="Times New Roman" w:cs="Times New Roman"/>
          <w:i/>
          <w:iCs/>
          <w:sz w:val="20"/>
          <w:szCs w:val="20"/>
          <w:lang w:eastAsia="lv-LV"/>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574"/>
        <w:gridCol w:w="1642"/>
        <w:gridCol w:w="6839"/>
      </w:tblGrid>
      <w:tr w14:paraId="04EF0BAA" w14:textId="77777777">
        <w:tblPrEx>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rPr>
          <w:trHeight w:val="405"/>
        </w:trPr>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BA9" w14:textId="77777777">
            <w:pPr>
              <w:spacing w:beforeAutospacing="1"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14:paraId="04EF0BAE" w14:textId="77777777">
        <w:tblPrEx>
          <w:tblW w:w="5000" w:type="pct"/>
          <w:tblCellMar>
            <w:top w:w="30" w:type="dxa"/>
            <w:left w:w="29" w:type="dxa"/>
            <w:bottom w:w="30" w:type="dxa"/>
            <w:right w:w="30" w:type="dxa"/>
          </w:tblCellMar>
          <w:tblLook w:val="04A0"/>
        </w:tblPrEx>
        <w:trPr>
          <w:trHeight w:val="405"/>
        </w:trPr>
        <w:tc>
          <w:tcPr>
            <w:tcW w:w="57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AB" w14:textId="77777777">
            <w:pPr>
              <w:spacing w:beforeAutospacing="1" w:afterAutospacing="1" w:line="36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64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AC"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685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AD" w14:textId="77777777">
            <w:pPr>
              <w:pStyle w:val="naiskr"/>
              <w:spacing w:before="0" w:after="0"/>
              <w:ind w:left="79"/>
              <w:jc w:val="both"/>
              <w:rPr>
                <w:bCs/>
              </w:rPr>
            </w:pPr>
            <w:r>
              <w:rPr>
                <w:bCs/>
              </w:rPr>
              <w:t xml:space="preserve">Likumprojekts „Par Vīnes konvencijas par ozona slāņa aizsardzību Monreālas protokola par ozona slāni noārdošām vielām Kigali grozījumiem” (turpmāk – likumprojekts) sagatavots pēc Vides aizsardzības un reģionālās attīstības ministrijas iniciatīvas un </w:t>
            </w:r>
            <w:r>
              <w:rPr>
                <w:color w:val="000000"/>
                <w:shd w:val="clear" w:color="auto" w:fill="FFFFFF"/>
              </w:rPr>
              <w:t>saskaņā ar likuma „Par Latvijas Republikas starptautiskajiem līgumiem” 9. panta 5. punktu,</w:t>
            </w:r>
            <w:r>
              <w:rPr>
                <w:bCs/>
              </w:rPr>
              <w:t xml:space="preserve"> </w:t>
            </w:r>
            <w:r>
              <w:rPr>
                <w:color w:val="000000"/>
                <w:shd w:val="clear" w:color="auto" w:fill="FFFFFF"/>
              </w:rPr>
              <w:t>kā arī ņemot vērā to, ka Eiropas Savienības un tās Apvienoto Nāciju Organizācijas/Eiropas Ekonomikas zonas dalībvalstis ir Vīnes konvencijas par ozona slāna aizsardzību Monreālas protokola par vielām, kas noārda ozona slāni, Puses.</w:t>
            </w:r>
          </w:p>
        </w:tc>
      </w:tr>
      <w:tr w14:paraId="04EF0BB8" w14:textId="77777777">
        <w:tblPrEx>
          <w:tblW w:w="5000" w:type="pct"/>
          <w:tblCellMar>
            <w:top w:w="30" w:type="dxa"/>
            <w:left w:w="29" w:type="dxa"/>
            <w:bottom w:w="30" w:type="dxa"/>
            <w:right w:w="30" w:type="dxa"/>
          </w:tblCellMar>
          <w:tblLook w:val="04A0"/>
        </w:tblPrEx>
        <w:trPr>
          <w:trHeight w:val="1352"/>
        </w:trPr>
        <w:tc>
          <w:tcPr>
            <w:tcW w:w="57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AF" w14:textId="77777777">
            <w:pPr>
              <w:spacing w:beforeAutospacing="1" w:afterAutospacing="1" w:line="360" w:lineRule="auto"/>
              <w:ind w:firstLine="5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64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0"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12822" w14:paraId="04EF0BB1" w14:textId="77777777">
            <w:pPr>
              <w:rPr>
                <w:rFonts w:ascii="Times New Roman" w:eastAsia="Times New Roman" w:hAnsi="Times New Roman" w:cs="Times New Roman"/>
                <w:sz w:val="24"/>
                <w:szCs w:val="24"/>
                <w:lang w:eastAsia="lv-LV"/>
              </w:rPr>
            </w:pPr>
          </w:p>
        </w:tc>
        <w:tc>
          <w:tcPr>
            <w:tcW w:w="685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2" w14:textId="77777777">
            <w:pPr>
              <w:spacing w:after="0" w:line="240" w:lineRule="auto"/>
              <w:ind w:left="82" w:firstLine="284"/>
              <w:jc w:val="both"/>
              <w:rPr>
                <w:rFonts w:ascii="Times New Roman" w:hAnsi="Times New Roman" w:cs="Times New Roman"/>
                <w:sz w:val="24"/>
                <w:szCs w:val="24"/>
              </w:rPr>
            </w:pPr>
            <w:r>
              <w:rPr>
                <w:rFonts w:ascii="Times New Roman" w:hAnsi="Times New Roman" w:cs="Times New Roman"/>
                <w:sz w:val="24"/>
                <w:szCs w:val="24"/>
              </w:rPr>
              <w:t>Monreālas protokola par ozona slāni noārdošām vielām</w:t>
            </w:r>
            <w:r>
              <w:rPr>
                <w:bCs/>
              </w:rPr>
              <w:t xml:space="preserve"> </w:t>
            </w:r>
            <w:r>
              <w:rPr>
                <w:rFonts w:ascii="Times New Roman" w:hAnsi="Times New Roman" w:cs="Times New Roman"/>
                <w:sz w:val="24"/>
                <w:szCs w:val="24"/>
              </w:rPr>
              <w:t xml:space="preserve">Pušu 28. sanāksmē, kas notika Kigali, Ruandā, 2016. gada 10.–15. oktobrī, tika pieņemti Monreālas protokola </w:t>
            </w:r>
            <w:r>
              <w:rPr>
                <w:rFonts w:ascii="Times New Roman" w:eastAsia="Times New Roman" w:hAnsi="Times New Roman" w:cs="Times New Roman"/>
                <w:sz w:val="24"/>
                <w:szCs w:val="24"/>
                <w:lang w:eastAsia="lv-LV"/>
              </w:rPr>
              <w:t xml:space="preserve">par ozona slāni noārdošām vielām </w:t>
            </w:r>
            <w:r>
              <w:rPr>
                <w:rFonts w:ascii="Times New Roman" w:hAnsi="Times New Roman" w:cs="Times New Roman"/>
                <w:sz w:val="24"/>
                <w:szCs w:val="24"/>
              </w:rPr>
              <w:t>grozījumi, ar kuriem Monreālas protokola par ozona slāni noārdošām vielām kontroles pasākumiem pievieno fluorogļūdeņražu pakāpenisku ražošanas un izmantošanas samazināšanu, lai mazinātu šo vielu ietekmi uz klimata pārmaiņām (turpmāk – Kigali grozījumi).</w:t>
            </w:r>
          </w:p>
          <w:p w:rsidR="00812822" w14:paraId="04EF0BB3" w14:textId="77777777">
            <w:pPr>
              <w:shd w:val="clear" w:color="auto" w:fill="FFFFFF"/>
              <w:spacing w:after="0" w:line="240" w:lineRule="auto"/>
              <w:ind w:firstLine="382"/>
              <w:jc w:val="both"/>
              <w:textAlignment w:val="baseline"/>
              <w:rPr>
                <w:rFonts w:ascii="Times New Roman" w:hAnsi="Times New Roman" w:cs="Times New Roman"/>
                <w:sz w:val="24"/>
                <w:szCs w:val="24"/>
              </w:rPr>
            </w:pPr>
            <w:r>
              <w:rPr>
                <w:rFonts w:ascii="Times New Roman" w:hAnsi="Times New Roman" w:cs="Times New Roman"/>
                <w:sz w:val="24"/>
                <w:szCs w:val="24"/>
              </w:rPr>
              <w:t>Ar starptautiski izvirzītiem mērķiem noturēt globālo sasilšanu zem 2°C robežas, salīdzinot ar pirmsindustriālo līmeni; uzlabot pielāgošanos klimata pārmaiņu negatīvajām ietekmēm un sekmēt noturīgumu pret klimata pārmaiņām; kā arī sekmēt investīciju novirzi saskaņā ar oglekļa mazietilpīgu un pret klimata pārmaiņām noturīgu attīstību Apvienoto Nāciju Organizācijas Vispārējās konvencijas par klimata pārmaiņām Pušu konferences 21. sesijā 2015. gada 12. decembrī, Parīzē, tika pieņemts Parīzes nolīgums (turpmāk – Parīzes nolīgums).</w:t>
            </w:r>
          </w:p>
          <w:p w:rsidR="00812822" w14:paraId="04EF0BB4" w14:textId="77777777">
            <w:pPr>
              <w:shd w:val="clear" w:color="auto" w:fill="FFFFFF"/>
              <w:spacing w:after="0" w:line="240" w:lineRule="auto"/>
              <w:ind w:firstLine="382"/>
              <w:jc w:val="both"/>
              <w:textAlignment w:val="baseline"/>
              <w:rPr>
                <w:rFonts w:ascii="Times New Roman" w:hAnsi="Times New Roman" w:cs="Times New Roman"/>
                <w:sz w:val="24"/>
                <w:szCs w:val="24"/>
              </w:rPr>
            </w:pPr>
            <w:r>
              <w:rPr>
                <w:rFonts w:ascii="Times New Roman" w:hAnsi="Times New Roman" w:cs="Times New Roman"/>
                <w:sz w:val="24"/>
                <w:szCs w:val="24"/>
              </w:rPr>
              <w:t>Latvija Parīzes nolīgumu parakstīja 2016. gada 22. aprīlī. Latvijas Republikas Saeima 2017. gada 2. februārī pieņēma likumu “Par Apvienoto Nāciju Organizācijas Vispārējās konvencijas par klimata pārmaiņām Parīzes nolīgumu”, kas stājās spēkā 2017. gada 9. februārī.</w:t>
            </w:r>
          </w:p>
          <w:p w:rsidR="00812822" w14:paraId="04EF0BB5" w14:textId="77777777">
            <w:pPr>
              <w:spacing w:after="0" w:line="240" w:lineRule="auto"/>
              <w:ind w:left="82" w:firstLine="284"/>
              <w:jc w:val="both"/>
              <w:rPr>
                <w:rFonts w:ascii="Times New Roman" w:hAnsi="Times New Roman" w:cs="Times New Roman"/>
                <w:sz w:val="24"/>
                <w:szCs w:val="24"/>
              </w:rPr>
            </w:pPr>
            <w:r>
              <w:rPr>
                <w:rFonts w:ascii="Times New Roman" w:hAnsi="Times New Roman" w:cs="Times New Roman"/>
                <w:sz w:val="24"/>
                <w:szCs w:val="24"/>
              </w:rPr>
              <w:t>Lai arī fluorogļūdeņraži nenoārda ozona slāni, tie ir spēcīgas siltumnīcefekta gāzes, kas tika galvenokārt ieviestas kā aizstājēji ozona slāni noārdošām vielām, kas ir noteicošais faktors šo vielu izmantošanas ievērojamam pieaugumam. Līdz ar to fluorogļūdeņražu izmantošanas pieaugums ir Monreālas protokolā par ozona slāni noārdošām vielām</w:t>
            </w:r>
            <w:r>
              <w:rPr>
                <w:bCs/>
              </w:rPr>
              <w:t xml:space="preserve"> </w:t>
            </w:r>
            <w:r>
              <w:rPr>
                <w:rFonts w:ascii="Times New Roman" w:hAnsi="Times New Roman" w:cs="Times New Roman"/>
                <w:sz w:val="24"/>
                <w:szCs w:val="24"/>
              </w:rPr>
              <w:t>noteikto saistību samazināt ozona slāni noārdošo vielu izmantošanu realizēšanas tiešas sekas. Kontekstā ar Parīzes nolīguma Pušu uzņemtajām saistībām starptautiski tiek uzskatīts, ka Monreālas protokola par ozona slāni noārdošām vielām un tā grozījumu īstenošana praksē būtu reāls piemērs tam, kā proaktīvi un praktiski starptautiskā sabiedrība reaģē uz klimata pārmaiņām.</w:t>
            </w:r>
          </w:p>
          <w:p w:rsidR="00812822" w14:paraId="04EF0BB6" w14:textId="77777777">
            <w:pPr>
              <w:spacing w:after="0" w:line="240" w:lineRule="auto"/>
              <w:ind w:left="79" w:firstLine="284"/>
              <w:jc w:val="both"/>
              <w:rPr>
                <w:rFonts w:ascii="Times New Roman" w:hAnsi="Times New Roman" w:cs="Times New Roman"/>
                <w:sz w:val="24"/>
                <w:szCs w:val="24"/>
              </w:rPr>
            </w:pPr>
            <w:r>
              <w:rPr>
                <w:rFonts w:ascii="Times New Roman" w:hAnsi="Times New Roman" w:cs="Times New Roman"/>
                <w:sz w:val="24"/>
                <w:szCs w:val="24"/>
              </w:rPr>
              <w:t xml:space="preserve">Eiropas Savienībā, tostarp arī Latvijā, fluorogļūdeņražu izmantošanas samazināšanu jau tiek risināta ar </w:t>
            </w:r>
            <w:r>
              <w:rPr>
                <w:rFonts w:ascii="Times New Roman" w:eastAsia="Times New Roman" w:hAnsi="Times New Roman" w:cs="Times New Roman"/>
                <w:sz w:val="24"/>
                <w:szCs w:val="24"/>
                <w:lang w:eastAsia="lv-LV"/>
              </w:rPr>
              <w:t xml:space="preserve">Eiropas Parlamenta un Padomes 2014. gada 16. aprīļa Regulu (ES) Nr. 517/2014 par fluorētām siltumnīcefekta gāzēm un ar ko atceļ Regulu (EK) </w:t>
            </w:r>
            <w:r>
              <w:rPr>
                <w:rFonts w:ascii="Times New Roman" w:eastAsia="Times New Roman" w:hAnsi="Times New Roman" w:cs="Times New Roman"/>
                <w:sz w:val="24"/>
                <w:szCs w:val="24"/>
                <w:lang w:eastAsia="lv-LV"/>
              </w:rPr>
              <w:t xml:space="preserve">Nr. 842/2006, līdz ar to </w:t>
            </w:r>
            <w:r>
              <w:rPr>
                <w:rFonts w:ascii="Times New Roman" w:hAnsi="Times New Roman" w:cs="Times New Roman"/>
                <w:sz w:val="24"/>
                <w:szCs w:val="24"/>
              </w:rPr>
              <w:t xml:space="preserve">Monreālas protokola </w:t>
            </w:r>
            <w:r>
              <w:rPr>
                <w:rFonts w:ascii="Times New Roman" w:eastAsia="Times New Roman" w:hAnsi="Times New Roman" w:cs="Times New Roman"/>
                <w:sz w:val="24"/>
                <w:szCs w:val="24"/>
                <w:lang w:eastAsia="lv-LV"/>
              </w:rPr>
              <w:t>par ozona slāni noārdošām vielām Kigali</w:t>
            </w:r>
            <w:r>
              <w:rPr>
                <w:bCs/>
              </w:rPr>
              <w:t xml:space="preserve"> </w:t>
            </w:r>
            <w:r>
              <w:rPr>
                <w:rFonts w:ascii="Times New Roman" w:hAnsi="Times New Roman" w:cs="Times New Roman"/>
                <w:sz w:val="24"/>
                <w:szCs w:val="24"/>
              </w:rPr>
              <w:t xml:space="preserve">grozījumu savlaicīga ienešana Latvijas tiesību sistēmā līdztekus citām Eiropas Savienības dalībvalstīm būs kā piemērs, pamudinājums un starptautiska līmeņa aicinājums šādu soli spert arī citām Monreālas protokola </w:t>
            </w:r>
            <w:r>
              <w:rPr>
                <w:rFonts w:ascii="Times New Roman" w:eastAsia="Times New Roman" w:hAnsi="Times New Roman" w:cs="Times New Roman"/>
                <w:sz w:val="24"/>
                <w:szCs w:val="24"/>
                <w:lang w:eastAsia="lv-LV"/>
              </w:rPr>
              <w:t>par ozona slāni noārdošām vielām</w:t>
            </w:r>
            <w:r>
              <w:rPr>
                <w:rFonts w:ascii="Times New Roman" w:hAnsi="Times New Roman" w:cs="Times New Roman"/>
                <w:sz w:val="24"/>
                <w:szCs w:val="24"/>
              </w:rPr>
              <w:t xml:space="preserve"> Pusēm.</w:t>
            </w:r>
          </w:p>
          <w:p w:rsidR="00812822" w14:paraId="04EF0BB7" w14:textId="77777777">
            <w:pPr>
              <w:spacing w:after="0" w:line="240" w:lineRule="auto"/>
              <w:ind w:left="79" w:firstLine="284"/>
              <w:jc w:val="both"/>
              <w:rPr>
                <w:rFonts w:ascii="Times New Roman" w:hAnsi="Times New Roman" w:cs="Times New Roman"/>
                <w:sz w:val="24"/>
                <w:szCs w:val="24"/>
              </w:rPr>
            </w:pPr>
          </w:p>
        </w:tc>
      </w:tr>
      <w:tr w14:paraId="04EF0BBC" w14:textId="77777777">
        <w:tblPrEx>
          <w:tblW w:w="5000" w:type="pct"/>
          <w:tblCellMar>
            <w:top w:w="30" w:type="dxa"/>
            <w:left w:w="29" w:type="dxa"/>
            <w:bottom w:w="30" w:type="dxa"/>
            <w:right w:w="30" w:type="dxa"/>
          </w:tblCellMar>
          <w:tblLook w:val="04A0"/>
        </w:tblPrEx>
        <w:trPr>
          <w:trHeight w:val="852"/>
        </w:trPr>
        <w:tc>
          <w:tcPr>
            <w:tcW w:w="57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9" w14:textId="77777777">
            <w:pPr>
              <w:spacing w:beforeAutospacing="1" w:afterAutospacing="1" w:line="360" w:lineRule="auto"/>
              <w:ind w:firstLine="5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64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A"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685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B" w14:textId="77777777">
            <w:pPr>
              <w:spacing w:after="0" w:line="240" w:lineRule="auto"/>
              <w:ind w:left="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valodas centrs (</w:t>
            </w:r>
            <w:r>
              <w:rPr>
                <w:rFonts w:ascii="Times New Roman" w:hAnsi="Times New Roman" w:cs="Times New Roman"/>
                <w:sz w:val="24"/>
                <w:szCs w:val="24"/>
              </w:rPr>
              <w:t>Vīnes konvencijas par ozona slāņa aizsardzību</w:t>
            </w:r>
            <w:r>
              <w:rPr>
                <w:bCs/>
              </w:rPr>
              <w:t xml:space="preserve"> </w:t>
            </w:r>
            <w:r>
              <w:rPr>
                <w:rFonts w:ascii="Times New Roman" w:hAnsi="Times New Roman" w:cs="Times New Roman"/>
                <w:sz w:val="24"/>
                <w:szCs w:val="24"/>
              </w:rPr>
              <w:t>Monreālas protokola par ozona slāni noārdošām vielām Kigali grozījumu tulkojuma novērtēšana).</w:t>
            </w:r>
          </w:p>
        </w:tc>
      </w:tr>
      <w:tr w14:paraId="04EF0BC0" w14:textId="77777777">
        <w:tblPrEx>
          <w:tblW w:w="5000" w:type="pct"/>
          <w:tblCellMar>
            <w:top w:w="30" w:type="dxa"/>
            <w:left w:w="29" w:type="dxa"/>
            <w:bottom w:w="30" w:type="dxa"/>
            <w:right w:w="30" w:type="dxa"/>
          </w:tblCellMar>
          <w:tblLook w:val="04A0"/>
        </w:tblPrEx>
        <w:tc>
          <w:tcPr>
            <w:tcW w:w="57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D" w14:textId="77777777">
            <w:pPr>
              <w:spacing w:beforeAutospacing="1" w:afterAutospacing="1" w:line="360" w:lineRule="auto"/>
              <w:ind w:firstLine="5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4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85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BF" w14:textId="7777777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Latvijā ir spēkā Ministru kabineta 2011. gada 12. jūlija noteikumi Nr. 563 „Noteikumi par īpašiem ierobežojumiem un aizliegumiem attiecībā uz darbībām ar ozona slāni noārdošām vielām un fluorētām siltumnīcefekta gāzēm”. Stājoties spēkā likumprojektam, nav jāveic grozījumi minētajos noteikumos.</w:t>
            </w:r>
          </w:p>
        </w:tc>
      </w:tr>
    </w:tbl>
    <w:p w:rsidR="00812822" w14:paraId="04EF0BC1" w14:textId="77777777">
      <w:pPr>
        <w:spacing w:after="0" w:line="240" w:lineRule="auto"/>
        <w:rPr>
          <w:rFonts w:ascii="Times New Roman" w:eastAsia="Times New Roman" w:hAnsi="Times New Roman" w:cs="Times New Roman"/>
          <w:sz w:val="20"/>
          <w:szCs w:val="20"/>
          <w:lang w:eastAsia="lv-LV"/>
        </w:rPr>
      </w:pPr>
    </w:p>
    <w:p w:rsidR="00812822" w14:paraId="04EF0BC2" w14:textId="77777777">
      <w:pPr>
        <w:spacing w:after="0" w:line="240" w:lineRule="auto"/>
        <w:rPr>
          <w:rFonts w:ascii="Times New Roman" w:eastAsia="Times New Roman" w:hAnsi="Times New Roman" w:cs="Times New Roman"/>
          <w:sz w:val="20"/>
          <w:szCs w:val="20"/>
          <w:lang w:eastAsia="lv-LV"/>
        </w:rPr>
      </w:pPr>
    </w:p>
    <w:p w:rsidR="00812822" w14:paraId="04EF0BC3" w14:textId="77777777">
      <w:pPr>
        <w:spacing w:after="0" w:line="240" w:lineRule="auto"/>
        <w:rPr>
          <w:rFonts w:ascii="Times New Roman" w:eastAsia="Times New Roman" w:hAnsi="Times New Roman" w:cs="Times New Roman"/>
          <w:sz w:val="20"/>
          <w:szCs w:val="20"/>
          <w:lang w:eastAsia="lv-LV"/>
        </w:rPr>
      </w:pPr>
    </w:p>
    <w:tbl>
      <w:tblPr>
        <w:tblW w:w="495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550"/>
        <w:gridCol w:w="2812"/>
        <w:gridCol w:w="5602"/>
      </w:tblGrid>
      <w:tr w14:paraId="04EF0BC5" w14:textId="77777777">
        <w:tblPrEx>
          <w:tblW w:w="495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rPr>
          <w:trHeight w:val="555"/>
        </w:trPr>
        <w:tc>
          <w:tcPr>
            <w:tcW w:w="8980"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BC4" w14:textId="77777777">
            <w:pPr>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04EF0BC9" w14:textId="77777777">
        <w:tblPrEx>
          <w:tblW w:w="4950" w:type="pct"/>
          <w:tblCellMar>
            <w:top w:w="30" w:type="dxa"/>
            <w:left w:w="29" w:type="dxa"/>
            <w:bottom w:w="30" w:type="dxa"/>
            <w:right w:w="30" w:type="dxa"/>
          </w:tblCellMar>
          <w:tblLook w:val="04A0"/>
        </w:tblPrEx>
        <w:trPr>
          <w:trHeight w:val="465"/>
        </w:trPr>
        <w:tc>
          <w:tcPr>
            <w:tcW w:w="55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6" w14:textId="77777777">
            <w:pPr>
              <w:spacing w:after="0" w:line="240" w:lineRule="auto"/>
              <w:ind w:right="-126" w:hanging="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816"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7"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561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8" w14:textId="77777777">
            <w:pPr>
              <w:pStyle w:val="naiskr"/>
              <w:ind w:left="83" w:right="138"/>
              <w:jc w:val="both"/>
            </w:pPr>
            <w:r>
              <w:rPr>
                <w:color w:val="000000"/>
                <w:shd w:val="clear" w:color="auto" w:fill="FFFFFF"/>
              </w:rPr>
              <w:t>Pasaules sabiedrība kopumā, valsts institūcijas, nevalstiskās organizācijas, komersanti, kuri saimnieciskajā darbībā izmanto fluorogļūdeņražus vai to aizvietotājus, veic to tirdzniecību vai šādas vielas izmantojošo iekārtu apkopi.</w:t>
            </w:r>
            <w:r>
              <w:t xml:space="preserve"> </w:t>
            </w:r>
          </w:p>
        </w:tc>
      </w:tr>
      <w:tr w14:paraId="04EF0BCD" w14:textId="77777777">
        <w:tblPrEx>
          <w:tblW w:w="4950" w:type="pct"/>
          <w:tblCellMar>
            <w:top w:w="30" w:type="dxa"/>
            <w:left w:w="29" w:type="dxa"/>
            <w:bottom w:w="30" w:type="dxa"/>
            <w:right w:w="30" w:type="dxa"/>
          </w:tblCellMar>
          <w:tblLook w:val="04A0"/>
        </w:tblPrEx>
        <w:trPr>
          <w:trHeight w:val="510"/>
        </w:trPr>
        <w:tc>
          <w:tcPr>
            <w:tcW w:w="55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A" w14:textId="77777777">
            <w:pPr>
              <w:spacing w:after="0" w:line="240" w:lineRule="auto"/>
              <w:ind w:right="-126" w:hanging="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816"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B"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561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C" w14:textId="7777777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14:paraId="04EF0BD1" w14:textId="77777777">
        <w:tblPrEx>
          <w:tblW w:w="4950" w:type="pct"/>
          <w:tblCellMar>
            <w:top w:w="30" w:type="dxa"/>
            <w:left w:w="29" w:type="dxa"/>
            <w:bottom w:w="30" w:type="dxa"/>
            <w:right w:w="30" w:type="dxa"/>
          </w:tblCellMar>
          <w:tblLook w:val="04A0"/>
        </w:tblPrEx>
        <w:trPr>
          <w:trHeight w:val="510"/>
        </w:trPr>
        <w:tc>
          <w:tcPr>
            <w:tcW w:w="55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E" w14:textId="77777777">
            <w:pPr>
              <w:spacing w:after="0" w:line="240" w:lineRule="auto"/>
              <w:ind w:right="-126" w:hanging="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816"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CF"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561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D0" w14:textId="77777777">
            <w:pPr>
              <w:pStyle w:val="tv213"/>
              <w:spacing w:before="280" w:after="280"/>
              <w:jc w:val="both"/>
              <w:rPr>
                <w:i/>
              </w:rPr>
            </w:pPr>
            <w:r>
              <w:t>Projekts šo jomu neskar.</w:t>
            </w:r>
          </w:p>
        </w:tc>
      </w:tr>
      <w:tr w14:paraId="04EF0BDC" w14:textId="77777777">
        <w:tblPrEx>
          <w:tblW w:w="4950" w:type="pct"/>
          <w:tblCellMar>
            <w:top w:w="30" w:type="dxa"/>
            <w:left w:w="29" w:type="dxa"/>
            <w:bottom w:w="30" w:type="dxa"/>
            <w:right w:w="30" w:type="dxa"/>
          </w:tblCellMar>
          <w:tblLook w:val="04A0"/>
        </w:tblPrEx>
        <w:trPr>
          <w:trHeight w:val="345"/>
        </w:trPr>
        <w:tc>
          <w:tcPr>
            <w:tcW w:w="55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D2" w14:textId="77777777">
            <w:pPr>
              <w:spacing w:after="0" w:line="240" w:lineRule="auto"/>
              <w:ind w:right="-126" w:hanging="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816"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D3"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61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D4"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Turpinās</w:t>
            </w:r>
            <w:r w:rsidR="00317D7E">
              <w:rPr>
                <w:rFonts w:ascii="Times New Roman" w:eastAsia="Times New Roman" w:hAnsi="Times New Roman" w:cs="Times New Roman"/>
                <w:sz w:val="24"/>
                <w:szCs w:val="24"/>
                <w:lang w:eastAsia="lv-LV"/>
              </w:rPr>
              <w:t xml:space="preserve"> Latvijas līdzdalīb</w:t>
            </w:r>
            <w:r>
              <w:rPr>
                <w:rFonts w:ascii="Times New Roman" w:eastAsia="Times New Roman" w:hAnsi="Times New Roman" w:cs="Times New Roman"/>
                <w:sz w:val="24"/>
                <w:szCs w:val="24"/>
                <w:lang w:eastAsia="lv-LV"/>
              </w:rPr>
              <w:t>a</w:t>
            </w:r>
            <w:r w:rsidR="00317D7E">
              <w:rPr>
                <w:rFonts w:ascii="Times New Roman" w:eastAsia="Times New Roman" w:hAnsi="Times New Roman" w:cs="Times New Roman"/>
                <w:sz w:val="24"/>
                <w:szCs w:val="24"/>
                <w:lang w:eastAsia="lv-LV"/>
              </w:rPr>
              <w:t xml:space="preserve"> Daudzpusējā fondā (</w:t>
            </w:r>
            <w:r w:rsidR="00317D7E">
              <w:rPr>
                <w:rFonts w:ascii="Times New Roman" w:eastAsia="Times New Roman" w:hAnsi="Times New Roman" w:cs="Times New Roman"/>
                <w:i/>
                <w:sz w:val="24"/>
                <w:szCs w:val="24"/>
                <w:lang w:eastAsia="lv-LV"/>
              </w:rPr>
              <w:t>Multilateral Fund</w:t>
            </w:r>
            <w:r w:rsidR="00317D7E">
              <w:rPr>
                <w:rFonts w:ascii="Times New Roman" w:eastAsia="Times New Roman" w:hAnsi="Times New Roman" w:cs="Times New Roman"/>
                <w:sz w:val="24"/>
                <w:szCs w:val="24"/>
                <w:lang w:eastAsia="lv-LV"/>
              </w:rPr>
              <w:t xml:space="preserve"> jeb </w:t>
            </w:r>
            <w:r w:rsidR="00317D7E">
              <w:rPr>
                <w:rFonts w:ascii="Times New Roman" w:eastAsia="Times New Roman" w:hAnsi="Times New Roman" w:cs="Times New Roman"/>
                <w:i/>
                <w:sz w:val="24"/>
                <w:szCs w:val="24"/>
                <w:lang w:eastAsia="lv-LV"/>
              </w:rPr>
              <w:t>MLF).</w:t>
            </w:r>
          </w:p>
          <w:p w:rsidR="00812822" w14:paraId="04EF0BD5" w14:textId="77777777">
            <w:pPr>
              <w:spacing w:after="0" w:line="240" w:lineRule="auto"/>
              <w:jc w:val="both"/>
              <w:rPr>
                <w:rFonts w:ascii="Times New Roman" w:eastAsia="Times New Roman" w:hAnsi="Times New Roman" w:cs="Times New Roman"/>
                <w:sz w:val="24"/>
                <w:szCs w:val="24"/>
                <w:lang w:eastAsia="lv-LV"/>
              </w:rPr>
            </w:pPr>
          </w:p>
          <w:p w:rsidR="00812822" w14:paraId="04EF0BD6" w14:textId="5A174108">
            <w:pPr>
              <w:spacing w:after="0" w:line="240" w:lineRule="auto"/>
              <w:jc w:val="both"/>
              <w:rPr>
                <w:lang w:eastAsia="lv-LV"/>
              </w:rPr>
            </w:pPr>
            <w:r>
              <w:rPr>
                <w:rFonts w:ascii="Times New Roman" w:eastAsia="Times New Roman" w:hAnsi="Times New Roman" w:cs="Times New Roman"/>
                <w:i/>
                <w:sz w:val="24"/>
                <w:szCs w:val="24"/>
                <w:lang w:eastAsia="lv-LV"/>
              </w:rPr>
              <w:t>MLF</w:t>
            </w:r>
            <w:r>
              <w:rPr>
                <w:rFonts w:ascii="Times New Roman" w:eastAsia="Times New Roman" w:hAnsi="Times New Roman" w:cs="Times New Roman"/>
                <w:sz w:val="24"/>
                <w:szCs w:val="24"/>
                <w:lang w:eastAsia="lv-LV"/>
              </w:rPr>
              <w:t xml:space="preserve"> ir izveidots 1991.</w:t>
            </w:r>
            <w:r w:rsidR="00901E8D">
              <w:rPr>
                <w:rFonts w:ascii="Times New Roman" w:eastAsia="Times New Roman" w:hAnsi="Times New Roman" w:cs="Times New Roman"/>
                <w:sz w:val="24"/>
                <w:szCs w:val="24"/>
                <w:lang w:eastAsia="lv-LV"/>
              </w:rPr>
              <w:t xml:space="preserve"> gadā saskaņā ar </w:t>
            </w:r>
            <w:r>
              <w:rPr>
                <w:rFonts w:ascii="Times New Roman" w:eastAsia="Times New Roman" w:hAnsi="Times New Roman" w:cs="Times New Roman"/>
                <w:sz w:val="24"/>
                <w:szCs w:val="24"/>
                <w:lang w:eastAsia="lv-LV"/>
              </w:rPr>
              <w:t xml:space="preserve">1990.gada </w:t>
            </w:r>
            <w:r>
              <w:rPr>
                <w:rFonts w:ascii="Times New Roman" w:hAnsi="Times New Roman" w:cs="Times New Roman"/>
                <w:sz w:val="24"/>
                <w:szCs w:val="24"/>
              </w:rPr>
              <w:t xml:space="preserve">Monreālas protokola </w:t>
            </w:r>
            <w:r>
              <w:rPr>
                <w:rFonts w:ascii="Times New Roman" w:eastAsia="Times New Roman" w:hAnsi="Times New Roman" w:cs="Times New Roman"/>
                <w:sz w:val="24"/>
                <w:szCs w:val="24"/>
                <w:lang w:eastAsia="lv-LV"/>
              </w:rPr>
              <w:t>par ozona slāni noārdošām vielām</w:t>
            </w:r>
            <w:r>
              <w:rPr>
                <w:rFonts w:ascii="Times New Roman" w:hAnsi="Times New Roman" w:cs="Times New Roman"/>
                <w:sz w:val="24"/>
                <w:szCs w:val="24"/>
              </w:rPr>
              <w:t xml:space="preserve"> Pušu 2. sanāksmes lēmumu</w:t>
            </w:r>
            <w:r>
              <w:rPr>
                <w:rFonts w:ascii="Times New Roman" w:eastAsia="Times New Roman" w:hAnsi="Times New Roman" w:cs="Times New Roman"/>
                <w:sz w:val="24"/>
                <w:szCs w:val="24"/>
                <w:lang w:eastAsia="lv-LV"/>
              </w:rPr>
              <w:t xml:space="preserve"> II/8.</w:t>
            </w:r>
          </w:p>
          <w:p w:rsidR="00812822" w14:paraId="04EF0BD7" w14:textId="77777777">
            <w:pPr>
              <w:spacing w:after="0" w:line="240" w:lineRule="auto"/>
              <w:jc w:val="both"/>
              <w:rPr>
                <w:lang w:eastAsia="lv-LV"/>
              </w:rPr>
            </w:pPr>
          </w:p>
          <w:p w:rsidR="00812822" w14:paraId="04EF0BD8" w14:textId="58F5CF4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MLF</w:t>
            </w:r>
            <w:r>
              <w:rPr>
                <w:rFonts w:ascii="Times New Roman" w:eastAsia="Times New Roman" w:hAnsi="Times New Roman" w:cs="Times New Roman"/>
                <w:sz w:val="24"/>
                <w:szCs w:val="24"/>
                <w:lang w:eastAsia="lv-LV"/>
              </w:rPr>
              <w:t xml:space="preserve"> uzdevums ir sniegt atbalstu </w:t>
            </w:r>
            <w:r>
              <w:rPr>
                <w:rFonts w:ascii="Times New Roman" w:hAnsi="Times New Roman" w:cs="Times New Roman"/>
                <w:sz w:val="24"/>
                <w:szCs w:val="24"/>
              </w:rPr>
              <w:t xml:space="preserve">Monreālas protokola par ozona slāni noārdošām vielām prasību izpildē </w:t>
            </w:r>
            <w:r>
              <w:rPr>
                <w:rFonts w:ascii="Times New Roman" w:eastAsia="Times New Roman" w:hAnsi="Times New Roman" w:cs="Times New Roman"/>
                <w:sz w:val="24"/>
                <w:szCs w:val="24"/>
                <w:lang w:eastAsia="lv-LV"/>
              </w:rPr>
              <w:t xml:space="preserve">attīstības valstīm, kas ir </w:t>
            </w:r>
            <w:r>
              <w:rPr>
                <w:rFonts w:ascii="Times New Roman" w:hAnsi="Times New Roman" w:cs="Times New Roman"/>
                <w:sz w:val="24"/>
                <w:szCs w:val="24"/>
              </w:rPr>
              <w:t xml:space="preserve">Monreālas protokola par ozona slāni noārdošām vielām puses un kuru ozona slāni noārdošo vielu patēriņš nepārsniedz 0,3 kilogramus uz iedzīvotāju – t.s. </w:t>
            </w:r>
            <w:r>
              <w:rPr>
                <w:rFonts w:ascii="Times New Roman" w:eastAsia="Times New Roman" w:hAnsi="Times New Roman" w:cs="Times New Roman"/>
                <w:sz w:val="24"/>
                <w:szCs w:val="24"/>
                <w:lang w:eastAsia="lv-LV"/>
              </w:rPr>
              <w:t xml:space="preserve">“5.panta” </w:t>
            </w:r>
            <w:r>
              <w:rPr>
                <w:rFonts w:ascii="Times New Roman" w:hAnsi="Times New Roman" w:cs="Times New Roman"/>
                <w:sz w:val="24"/>
                <w:szCs w:val="24"/>
              </w:rPr>
              <w:t>valstīm</w:t>
            </w:r>
            <w:r>
              <w:rPr>
                <w:rFonts w:ascii="Times New Roman" w:eastAsia="Times New Roman" w:hAnsi="Times New Roman" w:cs="Times New Roman"/>
                <w:sz w:val="24"/>
                <w:szCs w:val="24"/>
                <w:lang w:eastAsia="lv-LV"/>
              </w:rPr>
              <w:t xml:space="preserve">. Pašlaik 147 no kopumā 197 </w:t>
            </w:r>
            <w:r>
              <w:rPr>
                <w:rFonts w:ascii="Times New Roman" w:hAnsi="Times New Roman" w:cs="Times New Roman"/>
                <w:sz w:val="24"/>
                <w:szCs w:val="24"/>
              </w:rPr>
              <w:t xml:space="preserve">Monreālas protokola par ozona slāni noārdošām vielām pusēm atbilst šim kritērijam. </w:t>
            </w:r>
            <w:r>
              <w:rPr>
                <w:rFonts w:ascii="Times New Roman" w:eastAsia="Times New Roman" w:hAnsi="Times New Roman" w:cs="Times New Roman"/>
                <w:i/>
                <w:sz w:val="24"/>
                <w:szCs w:val="24"/>
                <w:lang w:eastAsia="lv-LV"/>
              </w:rPr>
              <w:t>MLF</w:t>
            </w:r>
            <w:r>
              <w:rPr>
                <w:rFonts w:ascii="Times New Roman" w:eastAsia="Times New Roman" w:hAnsi="Times New Roman" w:cs="Times New Roman"/>
                <w:sz w:val="24"/>
                <w:szCs w:val="24"/>
                <w:lang w:eastAsia="lv-LV"/>
              </w:rPr>
              <w:t xml:space="preserve"> tiek atjaunots ik trīs gadus un kopš savas izveidošanas ir ticis atjaunots deviņas reizes. </w:t>
            </w:r>
            <w:r w:rsidRPr="00901E8D">
              <w:rPr>
                <w:rFonts w:ascii="Times New Roman" w:eastAsia="Times New Roman" w:hAnsi="Times New Roman" w:cs="Times New Roman"/>
                <w:i/>
                <w:sz w:val="24"/>
                <w:szCs w:val="24"/>
                <w:lang w:eastAsia="lv-LV"/>
              </w:rPr>
              <w:t>MLF</w:t>
            </w:r>
            <w:r>
              <w:rPr>
                <w:rFonts w:ascii="Times New Roman" w:eastAsia="Times New Roman" w:hAnsi="Times New Roman" w:cs="Times New Roman"/>
                <w:sz w:val="24"/>
                <w:szCs w:val="24"/>
                <w:lang w:eastAsia="lv-LV"/>
              </w:rPr>
              <w:t xml:space="preserve"> veidošanā piedalās attīstītās valstis – t.s. “ne-5.</w:t>
            </w:r>
            <w:r w:rsidR="00901E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valstis Monreālas protokola par ozona slāni </w:t>
            </w:r>
            <w:r>
              <w:rPr>
                <w:rFonts w:ascii="Times New Roman" w:eastAsia="Times New Roman" w:hAnsi="Times New Roman" w:cs="Times New Roman"/>
                <w:sz w:val="24"/>
                <w:szCs w:val="24"/>
                <w:lang w:eastAsia="lv-LV"/>
              </w:rPr>
              <w:t xml:space="preserve">noārdošām vielām terminoloģijā. Līdzdalība </w:t>
            </w:r>
            <w:r w:rsidRPr="00901E8D">
              <w:rPr>
                <w:rFonts w:ascii="Times New Roman" w:eastAsia="Times New Roman" w:hAnsi="Times New Roman" w:cs="Times New Roman"/>
                <w:i/>
                <w:sz w:val="24"/>
                <w:szCs w:val="24"/>
                <w:lang w:eastAsia="lv-LV"/>
              </w:rPr>
              <w:t>MLF</w:t>
            </w:r>
            <w:r>
              <w:rPr>
                <w:rFonts w:ascii="Times New Roman" w:eastAsia="Times New Roman" w:hAnsi="Times New Roman" w:cs="Times New Roman"/>
                <w:sz w:val="24"/>
                <w:szCs w:val="24"/>
                <w:lang w:eastAsia="lv-LV"/>
              </w:rPr>
              <w:t xml:space="preserve"> notiek balstoties uz Apvienoto Nāciju Organizācijas novērtējuma skalu un līdzdalības apjoms ir izteikts ASV dolāros (USD). </w:t>
            </w:r>
          </w:p>
          <w:p w:rsidR="00812822" w14:paraId="04EF0BD9" w14:textId="77777777">
            <w:pPr>
              <w:spacing w:after="0" w:line="240" w:lineRule="auto"/>
              <w:jc w:val="both"/>
              <w:rPr>
                <w:rFonts w:ascii="Times New Roman" w:eastAsia="Times New Roman" w:hAnsi="Times New Roman" w:cs="Times New Roman"/>
                <w:sz w:val="24"/>
                <w:szCs w:val="24"/>
                <w:lang w:eastAsia="lv-LV"/>
              </w:rPr>
            </w:pPr>
          </w:p>
          <w:p w:rsidR="00812822" w14:paraId="04EF0BDB" w14:textId="2EFAB3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Monreālas protokola pušu 29.</w:t>
            </w:r>
            <w:r w:rsidR="00901E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sanāksmē Monreālā, Kanādā 2017.</w:t>
            </w:r>
            <w:r w:rsidR="00901E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24.</w:t>
            </w:r>
            <w:r w:rsidR="00901E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novembrī tika pieņemts lēmums par to, ka </w:t>
            </w:r>
            <w:r w:rsidR="00317D7E">
              <w:rPr>
                <w:rFonts w:ascii="Times New Roman" w:eastAsia="Times New Roman" w:hAnsi="Times New Roman" w:cs="Times New Roman"/>
                <w:sz w:val="24"/>
                <w:szCs w:val="24"/>
                <w:lang w:eastAsia="lv-LV"/>
              </w:rPr>
              <w:t xml:space="preserve">MLF apjoms </w:t>
            </w:r>
            <w:r>
              <w:rPr>
                <w:rFonts w:ascii="Times New Roman" w:eastAsia="Times New Roman" w:hAnsi="Times New Roman" w:cs="Times New Roman"/>
                <w:sz w:val="24"/>
                <w:szCs w:val="24"/>
                <w:lang w:eastAsia="lv-LV"/>
              </w:rPr>
              <w:t xml:space="preserve">nākamajam </w:t>
            </w:r>
            <w:r w:rsidR="00317D7E">
              <w:rPr>
                <w:rFonts w:ascii="Times New Roman" w:eastAsia="Times New Roman" w:hAnsi="Times New Roman" w:cs="Times New Roman"/>
                <w:sz w:val="24"/>
                <w:szCs w:val="24"/>
                <w:lang w:eastAsia="lv-LV"/>
              </w:rPr>
              <w:t>trīs gadu periodam no 2018. līdz 2020.</w:t>
            </w:r>
            <w:r w:rsidR="00901E8D">
              <w:rPr>
                <w:rFonts w:ascii="Times New Roman" w:eastAsia="Times New Roman" w:hAnsi="Times New Roman" w:cs="Times New Roman"/>
                <w:sz w:val="24"/>
                <w:szCs w:val="24"/>
                <w:lang w:eastAsia="lv-LV"/>
              </w:rPr>
              <w:t> </w:t>
            </w:r>
            <w:r w:rsidR="00317D7E">
              <w:rPr>
                <w:rFonts w:ascii="Times New Roman" w:eastAsia="Times New Roman" w:hAnsi="Times New Roman" w:cs="Times New Roman"/>
                <w:sz w:val="24"/>
                <w:szCs w:val="24"/>
                <w:lang w:eastAsia="lv-LV"/>
              </w:rPr>
              <w:t>gadam bū</w:t>
            </w:r>
            <w:r>
              <w:rPr>
                <w:rFonts w:ascii="Times New Roman" w:eastAsia="Times New Roman" w:hAnsi="Times New Roman" w:cs="Times New Roman"/>
                <w:sz w:val="24"/>
                <w:szCs w:val="24"/>
                <w:lang w:eastAsia="lv-LV"/>
              </w:rPr>
              <w:t xml:space="preserve">s 540 </w:t>
            </w:r>
            <w:r w:rsidR="00317D7E">
              <w:rPr>
                <w:rFonts w:ascii="Times New Roman" w:eastAsia="Times New Roman" w:hAnsi="Times New Roman" w:cs="Times New Roman"/>
                <w:sz w:val="24"/>
                <w:szCs w:val="24"/>
                <w:lang w:eastAsia="lv-LV"/>
              </w:rPr>
              <w:t>miljoni USD</w:t>
            </w:r>
            <w:r>
              <w:rPr>
                <w:rFonts w:ascii="Times New Roman" w:eastAsia="Times New Roman" w:hAnsi="Times New Roman" w:cs="Times New Roman"/>
                <w:sz w:val="24"/>
                <w:szCs w:val="24"/>
                <w:lang w:eastAsia="lv-LV"/>
              </w:rPr>
              <w:t xml:space="preserve"> un Latvijas ieguldījums tajā </w:t>
            </w:r>
            <w:r w:rsidR="00432B77">
              <w:rPr>
                <w:rFonts w:ascii="Times New Roman" w:eastAsia="Times New Roman" w:hAnsi="Times New Roman" w:cs="Times New Roman"/>
                <w:sz w:val="24"/>
                <w:szCs w:val="24"/>
                <w:lang w:eastAsia="lv-LV"/>
              </w:rPr>
              <w:t xml:space="preserve">126 000 USD jeb </w:t>
            </w:r>
            <w:r w:rsidR="00901E8D">
              <w:rPr>
                <w:rFonts w:ascii="Times New Roman" w:eastAsia="Times New Roman" w:hAnsi="Times New Roman" w:cs="Times New Roman"/>
                <w:sz w:val="24"/>
                <w:szCs w:val="24"/>
                <w:lang w:eastAsia="lv-LV"/>
              </w:rPr>
              <w:t>116 747 </w:t>
            </w:r>
            <w:r w:rsidRPr="00901E8D" w:rsidR="00901E8D">
              <w:rPr>
                <w:rFonts w:ascii="Times New Roman" w:eastAsia="Times New Roman" w:hAnsi="Times New Roman" w:cs="Times New Roman"/>
                <w:i/>
                <w:sz w:val="24"/>
                <w:szCs w:val="24"/>
                <w:lang w:eastAsia="lv-LV"/>
              </w:rPr>
              <w:t>euro</w:t>
            </w:r>
            <w:r w:rsidRPr="00901E8D">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gadā. </w:t>
            </w:r>
          </w:p>
        </w:tc>
      </w:tr>
    </w:tbl>
    <w:p w:rsidR="00812822" w14:paraId="04EF0BDD" w14:textId="77777777">
      <w:pPr>
        <w:spacing w:after="0" w:line="240" w:lineRule="auto"/>
        <w:ind w:firstLine="301"/>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w:t>
      </w:r>
    </w:p>
    <w:p w:rsidR="008B3976" w14:paraId="04EF0BDE" w14:textId="77777777">
      <w:pPr>
        <w:spacing w:after="0" w:line="240" w:lineRule="auto"/>
        <w:ind w:firstLine="301"/>
        <w:rPr>
          <w:rFonts w:ascii="Times New Roman" w:eastAsia="Times New Roman" w:hAnsi="Times New Roman" w:cs="Times New Roman"/>
          <w:sz w:val="20"/>
          <w:szCs w:val="20"/>
          <w:lang w:eastAsia="lv-LV"/>
        </w:rPr>
      </w:pP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9055"/>
      </w:tblGrid>
      <w:tr w14:paraId="04EF0BE0" w14:textId="77777777" w:rsidTr="008B3976">
        <w:tblPrEx>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rPr>
          <w:trHeight w:val="360"/>
          <w:jc w:val="center"/>
        </w:trPr>
        <w:tc>
          <w:tcPr>
            <w:tcW w:w="9055"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BDF" w14:textId="77777777">
            <w:pPr>
              <w:spacing w:beforeAutospacing="1" w:afterAutospacing="1" w:line="240" w:lineRule="auto"/>
              <w:jc w:val="center"/>
              <w:rPr>
                <w:rFonts w:ascii="Times New Roman" w:eastAsia="Times New Roman" w:hAnsi="Times New Roman" w:cs="Times New Roman"/>
                <w:b/>
                <w:bCs/>
                <w:sz w:val="24"/>
                <w:szCs w:val="24"/>
                <w:lang w:eastAsia="lv-LV"/>
              </w:rPr>
            </w:pPr>
            <w:r>
              <w:br w:type="page"/>
            </w:r>
            <w:r>
              <w:rPr>
                <w:rFonts w:ascii="Times New Roman" w:eastAsia="Times New Roman" w:hAnsi="Times New Roman" w:cs="Times New Roman"/>
                <w:sz w:val="24"/>
                <w:szCs w:val="24"/>
                <w:lang w:eastAsia="lv-LV"/>
              </w:rPr>
              <w:t> </w:t>
            </w:r>
            <w:r>
              <w:rPr>
                <w:rFonts w:ascii="Times New Roman" w:eastAsia="Times New Roman" w:hAnsi="Times New Roman" w:cs="Times New Roman"/>
                <w:b/>
                <w:bCs/>
                <w:sz w:val="24"/>
                <w:szCs w:val="24"/>
                <w:lang w:eastAsia="lv-LV"/>
              </w:rPr>
              <w:t>III. Tiesību akta projekta ietekme uz valsts budžetu un pašvaldību budžetiem</w:t>
            </w:r>
          </w:p>
        </w:tc>
      </w:tr>
      <w:tr w14:paraId="04EF0BE2" w14:textId="77777777" w:rsidTr="008B3976">
        <w:tblPrEx>
          <w:tblW w:w="5000" w:type="pct"/>
          <w:jc w:val="center"/>
          <w:tblCellMar>
            <w:top w:w="30" w:type="dxa"/>
            <w:left w:w="29" w:type="dxa"/>
            <w:bottom w:w="30" w:type="dxa"/>
            <w:right w:w="30" w:type="dxa"/>
          </w:tblCellMar>
          <w:tblLook w:val="04A0"/>
        </w:tblPrEx>
        <w:trPr>
          <w:trHeight w:val="360"/>
          <w:jc w:val="center"/>
        </w:trPr>
        <w:tc>
          <w:tcPr>
            <w:tcW w:w="9055" w:type="dxa"/>
            <w:tcBorders>
              <w:left w:val="outset" w:sz="6" w:space="0" w:color="00000A"/>
              <w:bottom w:val="outset" w:sz="6" w:space="0" w:color="00000A"/>
              <w:right w:val="outset" w:sz="6" w:space="0" w:color="00000A"/>
            </w:tcBorders>
            <w:shd w:val="clear" w:color="auto" w:fill="auto"/>
            <w:tcMar>
              <w:left w:w="29" w:type="dxa"/>
            </w:tcMar>
            <w:vAlign w:val="center"/>
          </w:tcPr>
          <w:p w:rsidR="00812822" w14:paraId="04EF0BE1" w14:textId="77777777">
            <w:pPr>
              <w:spacing w:beforeAutospacing="1" w:afterAutospacing="1" w:line="293" w:lineRule="atLeast"/>
              <w:jc w:val="center"/>
            </w:pPr>
            <w:r>
              <w:rPr>
                <w:rFonts w:ascii="Times New Roman" w:eastAsia="Times New Roman" w:hAnsi="Times New Roman" w:cs="Times New Roman"/>
                <w:sz w:val="24"/>
                <w:szCs w:val="24"/>
                <w:lang w:eastAsia="lv-LV"/>
              </w:rPr>
              <w:t>Projekts šo jomu neskar.</w:t>
            </w:r>
          </w:p>
        </w:tc>
      </w:tr>
    </w:tbl>
    <w:p w:rsidR="00812822" w14:paraId="04EF0BE3" w14:textId="77777777">
      <w:pPr>
        <w:spacing w:after="0" w:line="240" w:lineRule="auto"/>
        <w:rPr>
          <w:rFonts w:ascii="Times New Roman" w:eastAsia="Times New Roman" w:hAnsi="Times New Roman" w:cs="Times New Roman"/>
          <w:sz w:val="20"/>
          <w:szCs w:val="20"/>
          <w:lang w:eastAsia="lv-LV"/>
        </w:rPr>
      </w:pPr>
    </w:p>
    <w:p w:rsidR="00812822" w14:paraId="04EF0BE4" w14:textId="77777777">
      <w:pPr>
        <w:spacing w:after="0" w:line="240" w:lineRule="auto"/>
        <w:rPr>
          <w:rFonts w:ascii="Times New Roman" w:eastAsia="Times New Roman" w:hAnsi="Times New Roman" w:cs="Times New Roman"/>
          <w:sz w:val="20"/>
          <w:szCs w:val="20"/>
          <w:lang w:eastAsia="lv-LV"/>
        </w:rPr>
      </w:pP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
      <w:tblGrid>
        <w:gridCol w:w="9055"/>
      </w:tblGrid>
      <w:tr w14:paraId="04EF0BE6" w14:textId="77777777">
        <w:tblPrEx>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3" w:type="dxa"/>
            <w:bottom w:w="24" w:type="dxa"/>
            <w:right w:w="24" w:type="dxa"/>
          </w:tblCellMar>
          <w:tblLook w:val="04A0"/>
        </w:tblPrEx>
        <w:trPr>
          <w:trHeight w:val="288"/>
          <w:jc w:val="center"/>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3" w:type="dxa"/>
            </w:tcMar>
            <w:vAlign w:val="center"/>
          </w:tcPr>
          <w:p w:rsidR="00812822" w14:paraId="04EF0BE5" w14:textId="77777777">
            <w:pPr>
              <w:spacing w:beforeAutospacing="1"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14:paraId="04EF0BE8" w14:textId="77777777">
        <w:tblPrEx>
          <w:tblW w:w="5000" w:type="pct"/>
          <w:jc w:val="center"/>
          <w:tblCellMar>
            <w:top w:w="24" w:type="dxa"/>
            <w:left w:w="23" w:type="dxa"/>
            <w:bottom w:w="24" w:type="dxa"/>
            <w:right w:w="24" w:type="dxa"/>
          </w:tblCellMar>
          <w:tblLook w:val="04A0"/>
        </w:tblPrEx>
        <w:trPr>
          <w:trHeight w:val="288"/>
          <w:jc w:val="center"/>
        </w:trPr>
        <w:tc>
          <w:tcPr>
            <w:tcW w:w="9071" w:type="dxa"/>
            <w:tcBorders>
              <w:top w:val="outset" w:sz="6" w:space="0" w:color="414142"/>
              <w:left w:val="outset" w:sz="6" w:space="0" w:color="414142"/>
              <w:bottom w:val="outset" w:sz="6" w:space="0" w:color="414142"/>
              <w:right w:val="outset" w:sz="6" w:space="0" w:color="414142"/>
            </w:tcBorders>
            <w:shd w:val="clear" w:color="auto" w:fill="auto"/>
            <w:tcMar>
              <w:left w:w="23" w:type="dxa"/>
            </w:tcMar>
            <w:vAlign w:val="center"/>
          </w:tcPr>
          <w:p w:rsidR="00812822" w14:paraId="04EF0BE7" w14:textId="77777777">
            <w:pPr>
              <w:spacing w:beforeAutospacing="1" w:afterAutospacing="1" w:line="293" w:lineRule="atLeast"/>
              <w:jc w:val="center"/>
              <w:rPr>
                <w:rFonts w:ascii="Times New Roman" w:eastAsia="Times New Roman" w:hAnsi="Times New Roman" w:cs="Times New Roman"/>
                <w:bCs/>
                <w:color w:val="414142"/>
                <w:sz w:val="24"/>
                <w:szCs w:val="24"/>
                <w:lang w:eastAsia="lv-LV"/>
              </w:rPr>
            </w:pPr>
            <w:bookmarkStart w:id="1" w:name="__DdeLink__1396_1335177121"/>
            <w:bookmarkEnd w:id="1"/>
            <w:r>
              <w:rPr>
                <w:rFonts w:ascii="Times New Roman" w:eastAsia="Times New Roman" w:hAnsi="Times New Roman" w:cs="Times New Roman"/>
                <w:sz w:val="24"/>
                <w:szCs w:val="24"/>
                <w:lang w:eastAsia="lv-LV"/>
              </w:rPr>
              <w:t>Projekts šo jomu neskar.</w:t>
            </w:r>
          </w:p>
        </w:tc>
      </w:tr>
    </w:tbl>
    <w:p w:rsidR="00812822" w14:paraId="04EF0BE9" w14:textId="77777777">
      <w:pPr>
        <w:spacing w:after="0" w:line="240" w:lineRule="auto"/>
        <w:rPr>
          <w:rFonts w:ascii="Times New Roman" w:eastAsia="Times New Roman" w:hAnsi="Times New Roman" w:cs="Times New Roman"/>
          <w:sz w:val="20"/>
          <w:szCs w:val="20"/>
          <w:lang w:eastAsia="lv-LV"/>
        </w:rPr>
      </w:pPr>
    </w:p>
    <w:p w:rsidR="008B3976" w14:paraId="04EF0BEA" w14:textId="77777777">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488"/>
        <w:gridCol w:w="2322"/>
        <w:gridCol w:w="6245"/>
      </w:tblGrid>
      <w:tr w14:paraId="04EF0BEC" w14:textId="77777777">
        <w:tblPrEx>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BEB" w14:textId="77777777">
            <w:pPr>
              <w:spacing w:beforeAutospacing="1"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14:paraId="04EF0BF1" w14:textId="77777777">
        <w:tblPrEx>
          <w:tblW w:w="5000" w:type="pct"/>
          <w:tblCellMar>
            <w:top w:w="30" w:type="dxa"/>
            <w:left w:w="29" w:type="dxa"/>
            <w:bottom w:w="30" w:type="dxa"/>
            <w:right w:w="30" w:type="dxa"/>
          </w:tblCellMar>
          <w:tblLook w:val="04A0"/>
        </w:tblPrEx>
        <w:tc>
          <w:tcPr>
            <w:tcW w:w="48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ED"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32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E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pret Eiropas Savienību</w:t>
            </w:r>
          </w:p>
        </w:tc>
        <w:tc>
          <w:tcPr>
            <w:tcW w:w="62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EF" w14:textId="77777777">
            <w:pPr>
              <w:pStyle w:val="naiskr"/>
              <w:ind w:left="100"/>
              <w:jc w:val="both"/>
            </w:pPr>
            <w:r>
              <w:t>Šis tiesību akta projekts nepārņem un neievieš Eiropas Savienības tiesību aktus.</w:t>
            </w:r>
          </w:p>
          <w:p w:rsidR="00812822" w14:paraId="04EF0BF0" w14:textId="77777777">
            <w:pPr>
              <w:pStyle w:val="naiskr"/>
              <w:ind w:left="100"/>
              <w:jc w:val="both"/>
            </w:pPr>
            <w:r>
              <w:t>Eiropas Parlamenta un Padomes 2014. gada 16. aprīļa Regulu (ES) Nr. 517/2014 par fluorētām siltumnīcefekta gāzēm un ar ko atceļ Regulu (EK) Nr. 842/2006.</w:t>
            </w:r>
          </w:p>
        </w:tc>
      </w:tr>
      <w:tr w14:paraId="04EF0BF9" w14:textId="77777777">
        <w:tblPrEx>
          <w:tblW w:w="5000" w:type="pct"/>
          <w:tblCellMar>
            <w:top w:w="30" w:type="dxa"/>
            <w:left w:w="29" w:type="dxa"/>
            <w:bottom w:w="30" w:type="dxa"/>
            <w:right w:w="30" w:type="dxa"/>
          </w:tblCellMar>
          <w:tblLook w:val="04A0"/>
        </w:tblPrEx>
        <w:tc>
          <w:tcPr>
            <w:tcW w:w="48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F2"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32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F3"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Citas starptautiskās saistības</w:t>
            </w:r>
          </w:p>
        </w:tc>
        <w:tc>
          <w:tcPr>
            <w:tcW w:w="62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F4" w14:textId="77777777">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Vīnes konvencijas par ozona slāņa aizsardzību Monreālas protokola par ozona slāni noārdošām vielām ar grozījumiem, kas pieņemti Monreālas protokola par ozona slāni noārdošām vielām pušu 28.sanāksmē Kigali 2016.gada 10.-15.oktobrī  (lēmums XXVIII/1).</w:t>
            </w:r>
          </w:p>
          <w:p w:rsidR="00812822" w14:paraId="04EF0BF5" w14:textId="77777777">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p>
          <w:p w:rsidR="00812822" w14:paraId="04EF0BF6" w14:textId="77777777">
            <w:pPr>
              <w:shd w:val="clear" w:color="auto" w:fill="FFFFFF"/>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Parīzes nolīgums un tam secīgais likums </w:t>
            </w:r>
            <w:r>
              <w:rPr>
                <w:rFonts w:ascii="Times New Roman" w:hAnsi="Times New Roman" w:cs="Times New Roman"/>
                <w:sz w:val="24"/>
                <w:szCs w:val="24"/>
              </w:rPr>
              <w:t>“Par Apvienoto Nāciju Organizācijas Vispārējās konvencijas par klimata pārmaiņām Parīzes nolīgumu”, kas stājās spēkā 201</w:t>
            </w:r>
            <w:r w:rsidR="00CA1099">
              <w:rPr>
                <w:rFonts w:ascii="Times New Roman" w:hAnsi="Times New Roman" w:cs="Times New Roman"/>
                <w:sz w:val="24"/>
                <w:szCs w:val="24"/>
              </w:rPr>
              <w:t>7</w:t>
            </w:r>
            <w:r>
              <w:rPr>
                <w:rFonts w:ascii="Times New Roman" w:hAnsi="Times New Roman" w:cs="Times New Roman"/>
                <w:sz w:val="24"/>
                <w:szCs w:val="24"/>
              </w:rPr>
              <w:t>. gada 9. februārī.</w:t>
            </w:r>
          </w:p>
          <w:p w:rsidR="00812822" w14:paraId="04EF0BF7" w14:textId="77777777">
            <w:pPr>
              <w:spacing w:after="0" w:line="240" w:lineRule="auto"/>
              <w:ind w:firstLine="100"/>
              <w:jc w:val="both"/>
              <w:rPr>
                <w:rFonts w:ascii="Times New Roman" w:eastAsia="Times New Roman" w:hAnsi="Times New Roman" w:cs="Times New Roman"/>
                <w:sz w:val="24"/>
                <w:szCs w:val="24"/>
                <w:lang w:eastAsia="lv-LV"/>
              </w:rPr>
            </w:pPr>
          </w:p>
          <w:p w:rsidR="00812822" w14:paraId="04EF0BF8" w14:textId="77777777">
            <w:pPr>
              <w:spacing w:after="0" w:line="240" w:lineRule="auto"/>
              <w:jc w:val="both"/>
              <w:rPr>
                <w:rFonts w:ascii="Times New Roman" w:eastAsia="Times New Roman" w:hAnsi="Times New Roman" w:cs="Times New Roman"/>
                <w:sz w:val="24"/>
                <w:szCs w:val="24"/>
                <w:lang w:eastAsia="lv-LV"/>
              </w:rPr>
            </w:pPr>
          </w:p>
        </w:tc>
      </w:tr>
      <w:tr w14:paraId="04EF0BFD" w14:textId="77777777">
        <w:tblPrEx>
          <w:tblW w:w="5000" w:type="pct"/>
          <w:tblCellMar>
            <w:top w:w="30" w:type="dxa"/>
            <w:left w:w="29" w:type="dxa"/>
            <w:bottom w:w="30" w:type="dxa"/>
            <w:right w:w="30" w:type="dxa"/>
          </w:tblCellMar>
          <w:tblLook w:val="04A0"/>
        </w:tblPrEx>
        <w:tc>
          <w:tcPr>
            <w:tcW w:w="48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FA"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325"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FB"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2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BFC"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12822" w14:paraId="04EF0BFE" w14:textId="77777777">
      <w:pPr>
        <w:spacing w:after="0" w:line="240" w:lineRule="auto"/>
        <w:ind w:firstLine="301"/>
        <w:rPr>
          <w:rFonts w:ascii="Times New Roman" w:eastAsia="Times New Roman" w:hAnsi="Times New Roman" w:cs="Times New Roman"/>
          <w:sz w:val="20"/>
          <w:szCs w:val="20"/>
          <w:lang w:eastAsia="lv-LV"/>
        </w:rPr>
      </w:pP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9055"/>
      </w:tblGrid>
      <w:tr w14:paraId="04EF0C01" w14:textId="77777777">
        <w:tblPrEx>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rPr>
          <w:jc w:val="center"/>
        </w:trPr>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BFF" w14:textId="77777777">
            <w:pPr>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1.tabula</w:t>
            </w:r>
          </w:p>
          <w:p w:rsidR="00812822" w14:paraId="04EF0C00" w14:textId="77777777">
            <w:pPr>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Tiesību akta projekta atbilstība ES tiesību aktiem</w:t>
            </w:r>
          </w:p>
        </w:tc>
      </w:tr>
      <w:tr w14:paraId="04EF0C03" w14:textId="77777777">
        <w:tblPrEx>
          <w:tblW w:w="5000" w:type="pct"/>
          <w:jc w:val="center"/>
          <w:tblCellMar>
            <w:top w:w="30" w:type="dxa"/>
            <w:left w:w="29" w:type="dxa"/>
            <w:bottom w:w="30" w:type="dxa"/>
            <w:right w:w="30" w:type="dxa"/>
          </w:tblCellMar>
          <w:tblLook w:val="04A0"/>
        </w:tblPrEx>
        <w:trPr>
          <w:jc w:val="center"/>
        </w:trPr>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C02" w14:textId="77777777">
            <w:pPr>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 xml:space="preserve">Projekts šo jomu </w:t>
            </w:r>
            <w:r>
              <w:rPr>
                <w:rFonts w:ascii="Times New Roman" w:eastAsia="Times New Roman" w:hAnsi="Times New Roman" w:cs="Times New Roman"/>
                <w:sz w:val="24"/>
                <w:szCs w:val="24"/>
                <w:lang w:eastAsia="lv-LV"/>
              </w:rPr>
              <w:t>neskar.</w:t>
            </w:r>
          </w:p>
        </w:tc>
      </w:tr>
    </w:tbl>
    <w:p w:rsidR="00812822" w14:paraId="04EF0C04" w14:textId="77777777">
      <w:pPr>
        <w:spacing w:after="0" w:line="240" w:lineRule="auto"/>
        <w:ind w:firstLine="301"/>
        <w:rPr>
          <w:rFonts w:ascii="Times New Roman" w:eastAsia="Times New Roman" w:hAnsi="Times New Roman" w:cs="Times New Roman"/>
          <w:sz w:val="20"/>
          <w:szCs w:val="20"/>
          <w:lang w:eastAsia="lv-LV"/>
        </w:rPr>
      </w:pP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3650"/>
        <w:gridCol w:w="2518"/>
        <w:gridCol w:w="2887"/>
      </w:tblGrid>
      <w:tr w14:paraId="04EF0C06" w14:textId="77777777">
        <w:tblPrEx>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rPr>
          <w:jc w:val="center"/>
        </w:trPr>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C05" w14:textId="77777777">
            <w:pPr>
              <w:spacing w:after="0" w:line="240" w:lineRule="auto"/>
              <w:ind w:firstLine="301"/>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2.tabula</w:t>
            </w:r>
            <w:r>
              <w:rPr>
                <w:rFonts w:ascii="Times New Roman" w:eastAsia="Times New Roman" w:hAnsi="Times New Roman" w:cs="Times New Roman"/>
                <w:b/>
                <w:bCs/>
                <w:sz w:val="24"/>
                <w:szCs w:val="24"/>
                <w:lang w:eastAsia="lv-LV"/>
              </w:rPr>
              <w:br/>
              <w:t xml:space="preserve">Ar tiesību akta projektu izpildītās vai uzņemtās saistības, kas izriet no starptautiskajiem tiesību aktiem vai starptautiskas institūcijas vai organizācijas </w:t>
            </w:r>
            <w:r>
              <w:rPr>
                <w:rFonts w:ascii="Times New Roman" w:eastAsia="Times New Roman" w:hAnsi="Times New Roman" w:cs="Times New Roman"/>
                <w:b/>
                <w:bCs/>
                <w:sz w:val="24"/>
                <w:szCs w:val="24"/>
                <w:lang w:eastAsia="lv-LV"/>
              </w:rPr>
              <w:t>dokumentiem.</w:t>
            </w:r>
            <w:r>
              <w:rPr>
                <w:rFonts w:ascii="Times New Roman" w:eastAsia="Times New Roman" w:hAnsi="Times New Roman" w:cs="Times New Roman"/>
                <w:b/>
                <w:bCs/>
                <w:sz w:val="24"/>
                <w:szCs w:val="24"/>
                <w:lang w:eastAsia="lv-LV"/>
              </w:rPr>
              <w:br/>
              <w:t>Pasākumi šo saistību izpildei</w:t>
            </w:r>
          </w:p>
        </w:tc>
      </w:tr>
      <w:tr w14:paraId="04EF0C0A" w14:textId="77777777">
        <w:tblPrEx>
          <w:tblW w:w="5000" w:type="pct"/>
          <w:jc w:val="center"/>
          <w:tblCellMar>
            <w:top w:w="30" w:type="dxa"/>
            <w:left w:w="29" w:type="dxa"/>
            <w:bottom w:w="30" w:type="dxa"/>
            <w:right w:w="30" w:type="dxa"/>
          </w:tblCellMar>
          <w:tblLook w:val="04A0"/>
        </w:tblPrEx>
        <w:trPr>
          <w:jc w:val="center"/>
        </w:trPr>
        <w:tc>
          <w:tcPr>
            <w:tcW w:w="3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C07" w14:textId="77777777">
            <w:pPr>
              <w:spacing w:after="0" w:line="240" w:lineRule="auto"/>
              <w:ind w:firstLine="30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2521"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C08" w14:textId="77777777">
            <w:pPr>
              <w:spacing w:after="0" w:line="240" w:lineRule="auto"/>
              <w:ind w:firstLine="30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p>
        </w:tc>
        <w:tc>
          <w:tcPr>
            <w:tcW w:w="2892" w:type="dxa"/>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C09" w14:textId="77777777">
            <w:pPr>
              <w:spacing w:after="0" w:line="240" w:lineRule="auto"/>
              <w:ind w:firstLine="30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p>
        </w:tc>
      </w:tr>
      <w:tr w14:paraId="04EF0C11" w14:textId="77777777">
        <w:tblPrEx>
          <w:tblW w:w="5000" w:type="pct"/>
          <w:jc w:val="center"/>
          <w:tblCellMar>
            <w:top w:w="30" w:type="dxa"/>
            <w:left w:w="29" w:type="dxa"/>
            <w:bottom w:w="30" w:type="dxa"/>
            <w:right w:w="30" w:type="dxa"/>
          </w:tblCellMar>
          <w:tblLook w:val="04A0"/>
        </w:tblPrEx>
        <w:trPr>
          <w:jc w:val="center"/>
        </w:trPr>
        <w:tc>
          <w:tcPr>
            <w:tcW w:w="3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0B"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812822" w14:paraId="04EF0C0C"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52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0D"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892"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0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812822" w14:paraId="04EF0C0F"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812822" w14:paraId="04EF0C10"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Norāda institūciju, kas ir atbildīga par šo saistību izpildi pilnībā</w:t>
            </w:r>
          </w:p>
        </w:tc>
      </w:tr>
      <w:tr w14:paraId="04EF0C1C" w14:textId="77777777">
        <w:tblPrEx>
          <w:tblW w:w="5000" w:type="pct"/>
          <w:jc w:val="center"/>
          <w:tblCellMar>
            <w:top w:w="30" w:type="dxa"/>
            <w:left w:w="29" w:type="dxa"/>
            <w:bottom w:w="30" w:type="dxa"/>
            <w:right w:w="30" w:type="dxa"/>
          </w:tblCellMar>
          <w:tblLook w:val="04A0"/>
        </w:tblPrEx>
        <w:trPr>
          <w:jc w:val="center"/>
        </w:trPr>
        <w:tc>
          <w:tcPr>
            <w:tcW w:w="3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12"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Katra Līgumslēdzēja puse nodrošina, ka tās aprēķinātais F pielikumā minēto kontrolējamo vielu patēriņa līmenis, kas izteikts kā CO</w:t>
            </w:r>
            <w:r>
              <w:rPr>
                <w:rFonts w:ascii="Times New Roman" w:eastAsia="Times New Roman" w:hAnsi="Times New Roman" w:cs="Times New Roman"/>
                <w:sz w:val="24"/>
                <w:szCs w:val="24"/>
                <w:vertAlign w:val="subscript"/>
                <w:lang w:eastAsia="lv-LV"/>
              </w:rPr>
              <w:t>2</w:t>
            </w:r>
            <w:r>
              <w:rPr>
                <w:rFonts w:ascii="Times New Roman" w:eastAsia="Times New Roman" w:hAnsi="Times New Roman" w:cs="Times New Roman"/>
                <w:sz w:val="24"/>
                <w:szCs w:val="24"/>
                <w:lang w:eastAsia="lv-LV"/>
              </w:rPr>
              <w:t xml:space="preserve"> ekvivalents, divpadsmit mēnešu periodā, kas sākas 2019. gada 1. janvārī, un pēc tam katrā nākamajā divpadsmit mēnešu periodā nepārsniedz procentuālo daļu, kas noteikta attiecīgajam turpmāk a)–e) apakšpunktā minētajam gadu intervālam, no tās aprēķinātā F pielikumā minēto kontrolējamo vielu patēriņa līmeņa gada vidējās vērtības 2011., 2012. un 2013. gadā, plus piecpadsmit procenti no tās aprēķinātā C pielikuma I grupas kontrolējamo vielu, kas noteiktas 2.F panta 1. punktā, patēriņa līmeņa, kas izteikts kā CO</w:t>
            </w:r>
            <w:r>
              <w:rPr>
                <w:rFonts w:ascii="Times New Roman" w:eastAsia="Times New Roman" w:hAnsi="Times New Roman" w:cs="Times New Roman"/>
                <w:sz w:val="24"/>
                <w:szCs w:val="24"/>
                <w:vertAlign w:val="subscript"/>
                <w:lang w:eastAsia="lv-LV"/>
              </w:rPr>
              <w:t>2</w:t>
            </w:r>
            <w:r>
              <w:rPr>
                <w:rFonts w:ascii="Times New Roman" w:eastAsia="Times New Roman" w:hAnsi="Times New Roman" w:cs="Times New Roman"/>
                <w:sz w:val="24"/>
                <w:szCs w:val="24"/>
                <w:lang w:eastAsia="lv-LV"/>
              </w:rPr>
              <w:t xml:space="preserve"> ekvivalents: </w:t>
            </w:r>
          </w:p>
          <w:p w:rsidR="00812822" w14:paraId="04EF0C13"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no 2019. līdz 2023. gadam: 90 procenti,</w:t>
            </w:r>
          </w:p>
          <w:p w:rsidR="00812822" w14:paraId="04EF0C14"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 no 2024. līdz 2028. gadam: 60 procenti,</w:t>
            </w:r>
          </w:p>
          <w:p w:rsidR="00812822" w14:paraId="04EF0C15"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 no 2029. līdz 2033. gadam: 30 procenti,</w:t>
            </w:r>
          </w:p>
          <w:p w:rsidR="00812822" w14:paraId="04EF0C16"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 no 2034. līdz 2035. gadam: 20 procenti,</w:t>
            </w:r>
          </w:p>
          <w:p w:rsidR="00812822" w14:paraId="04EF0C17"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sākot no 2036. gada: 15 procenti.</w:t>
            </w:r>
          </w:p>
        </w:tc>
        <w:tc>
          <w:tcPr>
            <w:tcW w:w="2521"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rsidP="00901E8D" w14:paraId="04EF0C18" w14:textId="5EB43A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w:t>
            </w:r>
            <w:r w:rsidR="00901E8D">
              <w:rPr>
                <w:rFonts w:ascii="Times New Roman" w:eastAsia="Times New Roman" w:hAnsi="Times New Roman" w:cs="Times New Roman"/>
                <w:sz w:val="24"/>
                <w:szCs w:val="24"/>
                <w:lang w:eastAsia="lv-LV"/>
              </w:rPr>
              <w:t>pas Parlamenta un Padomes 2014. </w:t>
            </w:r>
            <w:r>
              <w:rPr>
                <w:rFonts w:ascii="Times New Roman" w:eastAsia="Times New Roman" w:hAnsi="Times New Roman" w:cs="Times New Roman"/>
                <w:sz w:val="24"/>
                <w:szCs w:val="24"/>
                <w:lang w:eastAsia="lv-LV"/>
              </w:rPr>
              <w:t>gad</w:t>
            </w:r>
            <w:r w:rsidR="00901E8D">
              <w:rPr>
                <w:rFonts w:ascii="Times New Roman" w:eastAsia="Times New Roman" w:hAnsi="Times New Roman" w:cs="Times New Roman"/>
                <w:sz w:val="24"/>
                <w:szCs w:val="24"/>
                <w:lang w:eastAsia="lv-LV"/>
              </w:rPr>
              <w:t>a 16. </w:t>
            </w:r>
            <w:r>
              <w:rPr>
                <w:rFonts w:ascii="Times New Roman" w:eastAsia="Times New Roman" w:hAnsi="Times New Roman" w:cs="Times New Roman"/>
                <w:sz w:val="24"/>
                <w:szCs w:val="24"/>
                <w:lang w:eastAsia="lv-LV"/>
              </w:rPr>
              <w:t>aprīļa Regulas (ES) Nr. 517/2014 par fluorētām siltumnīcefekta gāzēm</w:t>
            </w:r>
            <w:r w:rsidR="00901E8D">
              <w:rPr>
                <w:rFonts w:ascii="Times New Roman" w:eastAsia="Times New Roman" w:hAnsi="Times New Roman" w:cs="Times New Roman"/>
                <w:sz w:val="24"/>
                <w:szCs w:val="24"/>
                <w:lang w:eastAsia="lv-LV"/>
              </w:rPr>
              <w:t xml:space="preserve"> un ar ko atceļ Regulu (EK) Nr. </w:t>
            </w:r>
            <w:r>
              <w:rPr>
                <w:rFonts w:ascii="Times New Roman" w:eastAsia="Times New Roman" w:hAnsi="Times New Roman" w:cs="Times New Roman"/>
                <w:sz w:val="24"/>
                <w:szCs w:val="24"/>
                <w:lang w:eastAsia="lv-LV"/>
              </w:rPr>
              <w:t>842/2006 15.</w:t>
            </w:r>
            <w:r w:rsidR="00901E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pants un V pielikums.</w:t>
            </w:r>
          </w:p>
        </w:tc>
        <w:tc>
          <w:tcPr>
            <w:tcW w:w="2892"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19" w14:textId="2AE7531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Saistības izpildītas pilnībā ne mazāk kā līdz 2030.</w:t>
            </w:r>
            <w:r w:rsidR="00901E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w:t>
            </w:r>
          </w:p>
          <w:p w:rsidR="00812822" w14:paraId="04EF0C1A" w14:textId="77777777">
            <w:pPr>
              <w:spacing w:after="0" w:line="240" w:lineRule="auto"/>
              <w:rPr>
                <w:rFonts w:ascii="Times New Roman" w:eastAsia="Times New Roman" w:hAnsi="Times New Roman" w:cs="Times New Roman"/>
                <w:sz w:val="24"/>
                <w:szCs w:val="24"/>
                <w:lang w:eastAsia="lv-LV"/>
              </w:rPr>
            </w:pPr>
          </w:p>
          <w:p w:rsidR="00812822" w14:paraId="04EF0C1B" w14:textId="77777777">
            <w:pPr>
              <w:spacing w:after="0" w:line="240" w:lineRule="auto"/>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Atbildīgā institūcija – Vides aizsardzības un reģionālās attīstības ministrija.</w:t>
            </w:r>
          </w:p>
        </w:tc>
      </w:tr>
      <w:tr w14:paraId="04EF0C1F" w14:textId="77777777">
        <w:tblPrEx>
          <w:tblW w:w="5000" w:type="pct"/>
          <w:jc w:val="center"/>
          <w:tblCellMar>
            <w:top w:w="30" w:type="dxa"/>
            <w:left w:w="29" w:type="dxa"/>
            <w:bottom w:w="30" w:type="dxa"/>
            <w:right w:w="30" w:type="dxa"/>
          </w:tblCellMar>
          <w:tblLook w:val="04A0"/>
        </w:tblPrEx>
        <w:trPr>
          <w:jc w:val="center"/>
        </w:trPr>
        <w:tc>
          <w:tcPr>
            <w:tcW w:w="3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1D"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413" w:type="dxa"/>
            <w:gridSpan w:val="2"/>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1E"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Starptautiskajā dokumentā paredzētās saistības nav pretrunā ar jau esošajām Latvijas Republikas starptautiskajām saistībām.</w:t>
            </w:r>
          </w:p>
        </w:tc>
      </w:tr>
      <w:tr w14:paraId="04EF0C22" w14:textId="77777777">
        <w:tblPrEx>
          <w:tblW w:w="5000" w:type="pct"/>
          <w:jc w:val="center"/>
          <w:tblCellMar>
            <w:top w:w="30" w:type="dxa"/>
            <w:left w:w="29" w:type="dxa"/>
            <w:bottom w:w="30" w:type="dxa"/>
            <w:right w:w="30" w:type="dxa"/>
          </w:tblCellMar>
          <w:tblLook w:val="04A0"/>
        </w:tblPrEx>
        <w:trPr>
          <w:jc w:val="center"/>
        </w:trPr>
        <w:tc>
          <w:tcPr>
            <w:tcW w:w="3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0"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413" w:type="dxa"/>
            <w:gridSpan w:val="2"/>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1"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12822" w14:paraId="04EF0C23" w14:textId="77777777">
      <w:pPr>
        <w:spacing w:after="0" w:line="240" w:lineRule="auto"/>
        <w:ind w:firstLine="30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p w:rsidR="00812822" w14:paraId="04EF0C24" w14:textId="77777777">
      <w:pPr>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489"/>
        <w:gridCol w:w="2762"/>
        <w:gridCol w:w="5804"/>
      </w:tblGrid>
      <w:tr w14:paraId="04EF0C26" w14:textId="77777777">
        <w:tblPrEx>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rPr>
          <w:trHeight w:val="420"/>
          <w:jc w:val="center"/>
        </w:trPr>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C25" w14:textId="77777777">
            <w:pPr>
              <w:spacing w:beforeAutospacing="1"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14:paraId="04EF0C2A" w14:textId="77777777">
        <w:tblPrEx>
          <w:tblW w:w="5000" w:type="pct"/>
          <w:jc w:val="center"/>
          <w:tblCellMar>
            <w:top w:w="30" w:type="dxa"/>
            <w:left w:w="29" w:type="dxa"/>
            <w:bottom w:w="30" w:type="dxa"/>
            <w:right w:w="30" w:type="dxa"/>
          </w:tblCellMar>
          <w:tblLook w:val="04A0"/>
        </w:tblPrEx>
        <w:trPr>
          <w:trHeight w:val="540"/>
          <w:jc w:val="center"/>
        </w:trPr>
        <w:tc>
          <w:tcPr>
            <w:tcW w:w="490"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7"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767"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8"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5814"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9" w14:textId="77777777">
            <w:pPr>
              <w:spacing w:after="0" w:line="240" w:lineRule="auto"/>
              <w:ind w:left="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apakšpunktu sabiedrības pārstāvji ir aicināti līdzdarboties, rakstiski sniedzot viedokli par likumprojektu tā izstrādes stadijā. Sabiedrības pārstāvji ir informēti par iespēju līdzdarboties, publicējot paziņojumu par līdzdalības procesu Vides aizsardzības un reģionālās attīstības ministrijas tīmekļvietnē.</w:t>
            </w:r>
          </w:p>
        </w:tc>
      </w:tr>
      <w:tr w14:paraId="04EF0C2E" w14:textId="77777777">
        <w:tblPrEx>
          <w:tblW w:w="5000" w:type="pct"/>
          <w:jc w:val="center"/>
          <w:tblCellMar>
            <w:top w:w="30" w:type="dxa"/>
            <w:left w:w="29" w:type="dxa"/>
            <w:bottom w:w="30" w:type="dxa"/>
            <w:right w:w="30" w:type="dxa"/>
          </w:tblCellMar>
          <w:tblLook w:val="04A0"/>
        </w:tblPrEx>
        <w:trPr>
          <w:trHeight w:val="330"/>
          <w:jc w:val="center"/>
        </w:trPr>
        <w:tc>
          <w:tcPr>
            <w:tcW w:w="490"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B"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767"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C"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5814"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D" w14:textId="0118CB9C">
            <w:pPr>
              <w:spacing w:after="0" w:line="240" w:lineRule="auto"/>
              <w:ind w:left="82"/>
              <w:jc w:val="both"/>
              <w:rPr>
                <w:rFonts w:ascii="Times New Roman" w:hAnsi="Times New Roman"/>
                <w:sz w:val="24"/>
                <w:szCs w:val="24"/>
              </w:rPr>
            </w:pPr>
            <w:r>
              <w:rPr>
                <w:rFonts w:ascii="Times New Roman" w:hAnsi="Times New Roman"/>
                <w:sz w:val="24"/>
                <w:szCs w:val="24"/>
              </w:rPr>
              <w:t>Likumprojekts ievietots Vides aizsardzības un reģionālās attīstības ministrijas tīmekļvietnē: </w:t>
            </w:r>
            <w:r w:rsidR="00B84B0A">
              <w:rPr>
                <w:rFonts w:ascii="Times New Roman" w:hAnsi="Times New Roman"/>
                <w:sz w:val="24"/>
                <w:szCs w:val="24"/>
              </w:rPr>
              <w:t>www.</w:t>
            </w:r>
            <w:bookmarkStart w:id="2" w:name="_GoBack"/>
            <w:bookmarkEnd w:id="2"/>
            <w:r>
              <w:rPr>
                <w:rFonts w:ascii="Times New Roman" w:hAnsi="Times New Roman"/>
                <w:sz w:val="24"/>
                <w:szCs w:val="24"/>
              </w:rPr>
              <w:t>varam.gov.lv 2017. gada 27. jūlijā.</w:t>
            </w:r>
          </w:p>
        </w:tc>
      </w:tr>
      <w:tr w14:paraId="04EF0C32" w14:textId="77777777">
        <w:tblPrEx>
          <w:tblW w:w="5000" w:type="pct"/>
          <w:jc w:val="center"/>
          <w:tblCellMar>
            <w:top w:w="30" w:type="dxa"/>
            <w:left w:w="29" w:type="dxa"/>
            <w:bottom w:w="30" w:type="dxa"/>
            <w:right w:w="30" w:type="dxa"/>
          </w:tblCellMar>
          <w:tblLook w:val="04A0"/>
        </w:tblPrEx>
        <w:trPr>
          <w:trHeight w:val="465"/>
          <w:jc w:val="center"/>
        </w:trPr>
        <w:tc>
          <w:tcPr>
            <w:tcW w:w="490"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2F"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767"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0"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5814"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1" w14:textId="7A382FC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No sabiedrības viedokļi un komentāri nav saņemti.</w:t>
            </w:r>
          </w:p>
        </w:tc>
      </w:tr>
      <w:tr w14:paraId="04EF0C36" w14:textId="77777777">
        <w:tblPrEx>
          <w:tblW w:w="5000" w:type="pct"/>
          <w:jc w:val="center"/>
          <w:tblCellMar>
            <w:top w:w="30" w:type="dxa"/>
            <w:left w:w="29" w:type="dxa"/>
            <w:bottom w:w="30" w:type="dxa"/>
            <w:right w:w="30" w:type="dxa"/>
          </w:tblCellMar>
          <w:tblLook w:val="04A0"/>
        </w:tblPrEx>
        <w:trPr>
          <w:trHeight w:val="297"/>
          <w:jc w:val="center"/>
        </w:trPr>
        <w:tc>
          <w:tcPr>
            <w:tcW w:w="490"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3"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767"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4"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814"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5"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12822" w14:paraId="04EF0C37" w14:textId="77777777">
      <w:pPr>
        <w:spacing w:after="0" w:line="240" w:lineRule="auto"/>
        <w:ind w:firstLine="301"/>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w:t>
      </w:r>
    </w:p>
    <w:tbl>
      <w:tblPr>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
      <w:tblGrid>
        <w:gridCol w:w="494"/>
        <w:gridCol w:w="2903"/>
        <w:gridCol w:w="5658"/>
      </w:tblGrid>
      <w:tr w14:paraId="04EF0C3B" w14:textId="77777777" w:rsidTr="00B84B0A">
        <w:tblPrEx>
          <w:tblW w:w="5000" w:type="pct"/>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9" w:type="dxa"/>
            <w:bottom w:w="30" w:type="dxa"/>
            <w:right w:w="30" w:type="dxa"/>
          </w:tblCellMar>
          <w:tblLook w:val="04A0"/>
        </w:tblPrEx>
        <w:trPr>
          <w:trHeight w:val="375"/>
          <w:jc w:val="center"/>
        </w:trPr>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29" w:type="dxa"/>
            </w:tcMar>
            <w:vAlign w:val="center"/>
          </w:tcPr>
          <w:p w:rsidR="00812822" w14:paraId="04EF0C3A" w14:textId="2C8839A9">
            <w:pPr>
              <w:spacing w:beforeAutospacing="1" w:afterAutospacing="1" w:line="360" w:lineRule="auto"/>
              <w:ind w:firstLine="300"/>
              <w:jc w:val="center"/>
              <w:rPr>
                <w:rFonts w:ascii="Times New Roman" w:eastAsia="Times New Roman" w:hAnsi="Times New Roman" w:cs="Times New Roman"/>
                <w:b/>
                <w:bCs/>
                <w:sz w:val="24"/>
                <w:szCs w:val="24"/>
                <w:lang w:eastAsia="lv-LV"/>
              </w:rPr>
            </w:pPr>
            <w:r>
              <w:br w:type="page"/>
            </w:r>
            <w:r>
              <w:rPr>
                <w:rFonts w:ascii="Times New Roman" w:eastAsia="Times New Roman" w:hAnsi="Times New Roman" w:cs="Times New Roman"/>
                <w:b/>
                <w:bCs/>
                <w:sz w:val="24"/>
                <w:szCs w:val="24"/>
                <w:lang w:eastAsia="lv-LV"/>
              </w:rPr>
              <w:t>VII. Tiesību akta projekta izpildes nodrošināšana un tās ietekme uz institūcijām</w:t>
            </w:r>
          </w:p>
        </w:tc>
      </w:tr>
      <w:tr w14:paraId="04EF0C3F" w14:textId="77777777" w:rsidTr="00B84B0A">
        <w:tblPrEx>
          <w:tblW w:w="5000" w:type="pct"/>
          <w:jc w:val="center"/>
          <w:tblCellMar>
            <w:top w:w="30" w:type="dxa"/>
            <w:left w:w="29" w:type="dxa"/>
            <w:bottom w:w="30" w:type="dxa"/>
            <w:right w:w="30" w:type="dxa"/>
          </w:tblCellMar>
          <w:tblLook w:val="04A0"/>
        </w:tblPrEx>
        <w:trPr>
          <w:trHeight w:val="420"/>
          <w:jc w:val="center"/>
        </w:trPr>
        <w:tc>
          <w:tcPr>
            <w:tcW w:w="494"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C"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0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D"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5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3E"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 kam jāiesniedz Vīnes konvencijas par ozona slāņa aizsardzību depozitārijā ratifikācijas raksts.</w:t>
            </w:r>
          </w:p>
        </w:tc>
      </w:tr>
      <w:tr w14:paraId="04EF0C44" w14:textId="77777777" w:rsidTr="00B84B0A">
        <w:tblPrEx>
          <w:tblW w:w="5000" w:type="pct"/>
          <w:jc w:val="center"/>
          <w:tblCellMar>
            <w:top w:w="30" w:type="dxa"/>
            <w:left w:w="29" w:type="dxa"/>
            <w:bottom w:w="30" w:type="dxa"/>
            <w:right w:w="30" w:type="dxa"/>
          </w:tblCellMar>
          <w:tblLook w:val="04A0"/>
        </w:tblPrEx>
        <w:trPr>
          <w:trHeight w:val="450"/>
          <w:jc w:val="center"/>
        </w:trPr>
        <w:tc>
          <w:tcPr>
            <w:tcW w:w="494"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40"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90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41"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izpildes ietekme uz pārvaldes funkcijām un institucionālo struktūru.</w:t>
            </w:r>
          </w:p>
          <w:p w:rsidR="00812822" w14:paraId="04EF0C42"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w:t>
            </w:r>
            <w:r>
              <w:rPr>
                <w:rFonts w:ascii="Times New Roman" w:eastAsia="Times New Roman" w:hAnsi="Times New Roman" w:cs="Times New Roman"/>
                <w:sz w:val="24"/>
                <w:szCs w:val="24"/>
                <w:lang w:eastAsia="lv-LV"/>
              </w:rPr>
              <w:softHyphen/>
              <w:t>nizācija, to ietekme uz institūcijas cilvēkresursiem.</w:t>
            </w:r>
          </w:p>
        </w:tc>
        <w:tc>
          <w:tcPr>
            <w:tcW w:w="5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43"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Saistībā ar likumprojekta izpildi nav nepieciešamas veidot jaunas institūcijas, likvidēt vai reorganizēt esošās.</w:t>
            </w:r>
          </w:p>
        </w:tc>
      </w:tr>
      <w:tr w14:paraId="04EF0C48" w14:textId="77777777" w:rsidTr="00B84B0A">
        <w:tblPrEx>
          <w:tblW w:w="5000" w:type="pct"/>
          <w:jc w:val="center"/>
          <w:tblCellMar>
            <w:top w:w="30" w:type="dxa"/>
            <w:left w:w="29" w:type="dxa"/>
            <w:bottom w:w="30" w:type="dxa"/>
            <w:right w:w="30" w:type="dxa"/>
          </w:tblCellMar>
          <w:tblLook w:val="04A0"/>
        </w:tblPrEx>
        <w:trPr>
          <w:trHeight w:val="259"/>
          <w:jc w:val="center"/>
        </w:trPr>
        <w:tc>
          <w:tcPr>
            <w:tcW w:w="494"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45" w14:textId="7777777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903"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46" w14:textId="777777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658" w:type="dxa"/>
            <w:tcBorders>
              <w:top w:val="outset" w:sz="6" w:space="0" w:color="00000A"/>
              <w:left w:val="outset" w:sz="6" w:space="0" w:color="00000A"/>
              <w:bottom w:val="outset" w:sz="6" w:space="0" w:color="00000A"/>
              <w:right w:val="outset" w:sz="6" w:space="0" w:color="00000A"/>
            </w:tcBorders>
            <w:shd w:val="clear" w:color="auto" w:fill="auto"/>
            <w:tcMar>
              <w:left w:w="29" w:type="dxa"/>
            </w:tcMar>
          </w:tcPr>
          <w:p w:rsidR="00812822" w14:paraId="04EF0C47" w14:textId="1524413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īstenošana 2018.</w:t>
            </w:r>
            <w:r w:rsidR="00901E8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gadā tiks nodrošināta iesaistīto institūciju budžetā esošo līdzekļu ietvaros.</w:t>
            </w:r>
          </w:p>
        </w:tc>
      </w:tr>
    </w:tbl>
    <w:p w:rsidR="00812822" w14:paraId="04EF0C49" w14:textId="77777777">
      <w:pPr>
        <w:rPr>
          <w:rFonts w:ascii="Times New Roman" w:hAnsi="Times New Roman" w:cs="Times New Roman"/>
          <w:sz w:val="24"/>
          <w:szCs w:val="24"/>
        </w:rPr>
      </w:pPr>
    </w:p>
    <w:p w:rsidR="00812822" w14:paraId="04EF0C4A" w14:textId="7777777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Vides aizsardzības un </w:t>
      </w:r>
    </w:p>
    <w:p w:rsidR="00812822" w14:paraId="04EF0C4B" w14:textId="77777777">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Kaspars Gerhards</w:t>
      </w:r>
    </w:p>
    <w:p w:rsidR="00812822" w14:paraId="04EF0C4C" w14:textId="77777777">
      <w:pPr>
        <w:spacing w:after="0" w:line="240" w:lineRule="auto"/>
        <w:ind w:left="709"/>
        <w:rPr>
          <w:rFonts w:ascii="Times New Roman" w:hAnsi="Times New Roman" w:cs="Times New Roman"/>
          <w:sz w:val="24"/>
          <w:szCs w:val="24"/>
        </w:rPr>
      </w:pPr>
    </w:p>
    <w:p w:rsidR="00812822" w14:paraId="04EF0C4F" w14:textId="77777777">
      <w:pPr>
        <w:spacing w:after="0" w:line="240" w:lineRule="auto"/>
        <w:rPr>
          <w:rFonts w:ascii="Times New Roman" w:hAnsi="Times New Roman" w:cs="Times New Roman"/>
          <w:sz w:val="20"/>
          <w:szCs w:val="20"/>
        </w:rPr>
      </w:pPr>
    </w:p>
    <w:p w:rsidR="00812822" w14:paraId="04EF0C50" w14:textId="77777777">
      <w:pPr>
        <w:spacing w:after="0" w:line="240" w:lineRule="auto"/>
        <w:rPr>
          <w:rFonts w:ascii="Times New Roman" w:hAnsi="Times New Roman" w:cs="Times New Roman"/>
          <w:sz w:val="20"/>
          <w:szCs w:val="20"/>
        </w:rPr>
      </w:pPr>
    </w:p>
    <w:p w:rsidR="00812822" w14:paraId="04EF0C51" w14:textId="77777777">
      <w:pPr>
        <w:spacing w:after="0" w:line="240" w:lineRule="auto"/>
        <w:rPr>
          <w:rFonts w:ascii="Times New Roman" w:hAnsi="Times New Roman" w:cs="Times New Roman"/>
          <w:sz w:val="20"/>
          <w:szCs w:val="20"/>
        </w:rPr>
      </w:pPr>
    </w:p>
    <w:p w:rsidR="00812822" w14:paraId="04EF0C52"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Pļavinskis 67026509</w:t>
      </w:r>
    </w:p>
    <w:p w:rsidR="00812822" w14:paraId="04EF0C53" w14:textId="77777777">
      <w:r>
        <w:rPr>
          <w:rFonts w:ascii="Times New Roman" w:hAnsi="Times New Roman" w:cs="Times New Roman"/>
          <w:sz w:val="20"/>
          <w:szCs w:val="20"/>
        </w:rPr>
        <w:t>Janis.Plavinskis@varam.gov.lv</w:t>
      </w:r>
      <w:r>
        <w:rPr>
          <w:rFonts w:ascii="Times New Roman" w:hAnsi="Times New Roman" w:cs="Times New Roman"/>
        </w:rPr>
        <w:tab/>
      </w:r>
    </w:p>
    <w:sectPr>
      <w:headerReference w:type="default" r:id="rId5"/>
      <w:footerReference w:type="default" r:id="rId6"/>
      <w:footerReference w:type="first" r:id="rId7"/>
      <w:pgSz w:w="11906" w:h="16838"/>
      <w:pgMar w:top="1418" w:right="1134" w:bottom="1134" w:left="1701" w:header="709" w:footer="709" w:gutter="0"/>
      <w:cols w:space="720"/>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MFNGA+TimesNewRoman,Bold">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B0A" w14:paraId="04EF0C5A" w14:textId="68956412">
    <w:pPr>
      <w:pStyle w:val="Footer"/>
      <w:jc w:val="both"/>
      <w:rPr>
        <w:rFonts w:ascii="Times New Roman" w:hAnsi="Times New Roman" w:cs="Times New Roman"/>
        <w:sz w:val="20"/>
        <w:szCs w:val="20"/>
      </w:rPr>
    </w:pPr>
  </w:p>
  <w:p w:rsidR="00B84B0A" w14:paraId="5EAE6DB6" w14:textId="5FC549EA">
    <w:pPr>
      <w:pStyle w:val="Footer"/>
      <w:jc w:val="both"/>
      <w:rPr>
        <w:rFonts w:ascii="Times New Roman" w:hAnsi="Times New Roman" w:cs="Times New Roman"/>
        <w:sz w:val="20"/>
        <w:szCs w:val="20"/>
      </w:rPr>
    </w:pPr>
    <w:r>
      <w:rPr>
        <w:rFonts w:ascii="Times New Roman" w:hAnsi="Times New Roman" w:cs="Times New Roman"/>
        <w:sz w:val="20"/>
        <w:szCs w:val="20"/>
      </w:rPr>
      <w:t>VARAMAnot_291117_Kigali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4B0A" w14:paraId="04EF0C5B" w14:textId="7934435A">
    <w:pPr>
      <w:pStyle w:val="Footer"/>
      <w:jc w:val="both"/>
      <w:rPr>
        <w:rFonts w:ascii="Times New Roman" w:hAnsi="Times New Roman" w:cs="Times New Roman"/>
        <w:sz w:val="20"/>
        <w:szCs w:val="20"/>
      </w:rPr>
    </w:pPr>
  </w:p>
  <w:p w:rsidR="00B84B0A" w14:paraId="64B3C624" w14:textId="462CF2A9">
    <w:pPr>
      <w:pStyle w:val="Footer"/>
      <w:jc w:val="both"/>
      <w:rPr>
        <w:rFonts w:ascii="Times New Roman" w:hAnsi="Times New Roman" w:cs="Times New Roman"/>
        <w:sz w:val="20"/>
        <w:szCs w:val="20"/>
      </w:rPr>
    </w:pPr>
    <w:r>
      <w:rPr>
        <w:rFonts w:ascii="Times New Roman" w:hAnsi="Times New Roman" w:cs="Times New Roman"/>
        <w:sz w:val="20"/>
        <w:szCs w:val="20"/>
      </w:rPr>
      <w:t>VARAMAnot_291117_Kigali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5071489"/>
      <w:docPartObj>
        <w:docPartGallery w:val="Page Numbers (Top of Page)"/>
        <w:docPartUnique/>
      </w:docPartObj>
    </w:sdtPr>
    <w:sdtEndPr>
      <w:rPr>
        <w:rFonts w:ascii="Times New Roman" w:hAnsi="Times New Roman" w:cs="Times New Roman"/>
      </w:rPr>
    </w:sdtEndPr>
    <w:sdtContent>
      <w:p w:rsidR="00B84B0A" w:rsidRPr="00132AAF" w14:paraId="04EF0C58" w14:textId="77777777">
        <w:pPr>
          <w:pStyle w:val="Header"/>
          <w:jc w:val="center"/>
          <w:rPr>
            <w:rFonts w:ascii="Times New Roman" w:hAnsi="Times New Roman" w:cs="Times New Roman"/>
          </w:rPr>
        </w:pPr>
        <w:r w:rsidRPr="00132AAF">
          <w:rPr>
            <w:rFonts w:ascii="Times New Roman" w:hAnsi="Times New Roman" w:cs="Times New Roman"/>
          </w:rPr>
          <w:fldChar w:fldCharType="begin"/>
        </w:r>
        <w:r w:rsidRPr="00132AAF">
          <w:rPr>
            <w:rFonts w:ascii="Times New Roman" w:hAnsi="Times New Roman" w:cs="Times New Roman"/>
          </w:rPr>
          <w:instrText>PAGE</w:instrText>
        </w:r>
        <w:r w:rsidRPr="00132AAF">
          <w:rPr>
            <w:rFonts w:ascii="Times New Roman" w:hAnsi="Times New Roman" w:cs="Times New Roman"/>
          </w:rPr>
          <w:fldChar w:fldCharType="separate"/>
        </w:r>
        <w:r w:rsidRPr="00132AAF">
          <w:rPr>
            <w:rFonts w:ascii="Times New Roman" w:hAnsi="Times New Roman" w:cs="Times New Roman"/>
          </w:rPr>
          <w:t>5</w:t>
        </w:r>
        <w:r w:rsidRPr="00132AAF">
          <w:rPr>
            <w:rFonts w:ascii="Times New Roman" w:hAnsi="Times New Roman" w:cs="Times New Roman"/>
          </w:rPr>
          <w:fldChar w:fldCharType="end"/>
        </w:r>
      </w:p>
    </w:sdtContent>
  </w:sdt>
  <w:p w:rsidR="00B84B0A" w14:paraId="04EF0C5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22"/>
    <w:rsid w:val="00096F40"/>
    <w:rsid w:val="00132AAF"/>
    <w:rsid w:val="00317D7E"/>
    <w:rsid w:val="003A5830"/>
    <w:rsid w:val="003E51CC"/>
    <w:rsid w:val="00432B77"/>
    <w:rsid w:val="006F07A7"/>
    <w:rsid w:val="007D09A2"/>
    <w:rsid w:val="007D7923"/>
    <w:rsid w:val="00812822"/>
    <w:rsid w:val="008B3976"/>
    <w:rsid w:val="00901E8D"/>
    <w:rsid w:val="00935920"/>
    <w:rsid w:val="009C5E51"/>
    <w:rsid w:val="00B41192"/>
    <w:rsid w:val="00B84B0A"/>
    <w:rsid w:val="00CA1099"/>
    <w:rsid w:val="00D3462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3561DAC-72FD-4DBB-87F2-927BBD42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1706F"/>
  </w:style>
  <w:style w:type="character" w:customStyle="1" w:styleId="FooterChar">
    <w:name w:val="Footer Char"/>
    <w:basedOn w:val="DefaultParagraphFont"/>
    <w:link w:val="Footer"/>
    <w:uiPriority w:val="99"/>
    <w:qFormat/>
    <w:rsid w:val="00E1706F"/>
  </w:style>
  <w:style w:type="character" w:customStyle="1" w:styleId="InternetLink">
    <w:name w:val="Internet Link"/>
    <w:rsid w:val="002276A7"/>
    <w:rPr>
      <w:rFonts w:cs="Times New Roman"/>
      <w:color w:val="0000FF"/>
      <w:u w:val="single"/>
    </w:rPr>
  </w:style>
  <w:style w:type="character" w:customStyle="1" w:styleId="FootnoteTextChar">
    <w:name w:val="Footnote Text Char"/>
    <w:basedOn w:val="DefaultParagraphFont"/>
    <w:link w:val="FootnoteText"/>
    <w:semiHidden/>
    <w:qFormat/>
    <w:rsid w:val="002276A7"/>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qFormat/>
    <w:rsid w:val="002276A7"/>
    <w:rPr>
      <w:vertAlign w:val="superscript"/>
    </w:rPr>
  </w:style>
  <w:style w:type="character" w:customStyle="1" w:styleId="TitleChar">
    <w:name w:val="Title Char"/>
    <w:basedOn w:val="DefaultParagraphFont"/>
    <w:link w:val="Title"/>
    <w:qFormat/>
    <w:rsid w:val="002276A7"/>
    <w:rPr>
      <w:rFonts w:ascii="Times New Roman" w:eastAsia="Times New Roman" w:hAnsi="Times New Roman" w:cs="Times New Roman"/>
      <w:b/>
      <w:bCs/>
      <w:sz w:val="24"/>
      <w:szCs w:val="24"/>
    </w:rPr>
  </w:style>
  <w:style w:type="character" w:customStyle="1" w:styleId="BalloonTextChar">
    <w:name w:val="Balloon Text Char"/>
    <w:basedOn w:val="DefaultParagraphFont"/>
    <w:link w:val="BalloonText"/>
    <w:uiPriority w:val="99"/>
    <w:semiHidden/>
    <w:qFormat/>
    <w:rsid w:val="00AD3F20"/>
    <w:rPr>
      <w:rFonts w:ascii="Tahoma" w:hAnsi="Tahoma" w:cs="Tahoma"/>
      <w:sz w:val="16"/>
      <w:szCs w:val="16"/>
    </w:rPr>
  </w:style>
  <w:style w:type="character" w:styleId="CommentReference">
    <w:name w:val="annotation reference"/>
    <w:basedOn w:val="DefaultParagraphFont"/>
    <w:uiPriority w:val="99"/>
    <w:semiHidden/>
    <w:unhideWhenUsed/>
    <w:qFormat/>
    <w:rsid w:val="00AD3F20"/>
    <w:rPr>
      <w:sz w:val="16"/>
      <w:szCs w:val="16"/>
    </w:rPr>
  </w:style>
  <w:style w:type="character" w:customStyle="1" w:styleId="CommentTextChar">
    <w:name w:val="Comment Text Char"/>
    <w:basedOn w:val="DefaultParagraphFont"/>
    <w:link w:val="CommentText"/>
    <w:uiPriority w:val="99"/>
    <w:semiHidden/>
    <w:qFormat/>
    <w:rsid w:val="00AD3F20"/>
    <w:rPr>
      <w:sz w:val="20"/>
      <w:szCs w:val="20"/>
    </w:rPr>
  </w:style>
  <w:style w:type="character" w:customStyle="1" w:styleId="CommentSubjectChar">
    <w:name w:val="Comment Subject Char"/>
    <w:basedOn w:val="CommentTextChar"/>
    <w:link w:val="CommentSubject"/>
    <w:uiPriority w:val="99"/>
    <w:semiHidden/>
    <w:qFormat/>
    <w:rsid w:val="00AD3F20"/>
    <w:rPr>
      <w:b/>
      <w:bCs/>
      <w:sz w:val="20"/>
      <w:szCs w:val="20"/>
    </w:rPr>
  </w:style>
  <w:style w:type="character" w:styleId="Strong">
    <w:name w:val="Strong"/>
    <w:basedOn w:val="DefaultParagraphFont"/>
    <w:uiPriority w:val="22"/>
    <w:qFormat/>
    <w:rsid w:val="00A272F9"/>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NMFNGA+TimesNewRoman,Bold"/>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labojumupamats1">
    <w:name w:val="labojumu_pamats1"/>
    <w:basedOn w:val="Normal"/>
    <w:qFormat/>
    <w:rsid w:val="004758E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862D97"/>
    <w:pPr>
      <w:ind w:left="720"/>
      <w:contextualSpacing/>
    </w:pPr>
  </w:style>
  <w:style w:type="paragraph" w:styleId="Header">
    <w:name w:val="header"/>
    <w:basedOn w:val="Normal"/>
    <w:link w:val="HeaderChar"/>
    <w:uiPriority w:val="99"/>
    <w:unhideWhenUsed/>
    <w:rsid w:val="00E1706F"/>
    <w:pPr>
      <w:tabs>
        <w:tab w:val="center" w:pos="4153"/>
        <w:tab w:val="right" w:pos="8306"/>
      </w:tabs>
      <w:spacing w:after="0" w:line="240" w:lineRule="auto"/>
    </w:pPr>
  </w:style>
  <w:style w:type="paragraph" w:styleId="Footer">
    <w:name w:val="footer"/>
    <w:basedOn w:val="Normal"/>
    <w:link w:val="FooterChar"/>
    <w:uiPriority w:val="99"/>
    <w:unhideWhenUsed/>
    <w:rsid w:val="00E1706F"/>
    <w:pPr>
      <w:tabs>
        <w:tab w:val="center" w:pos="4153"/>
        <w:tab w:val="right" w:pos="8306"/>
      </w:tabs>
      <w:spacing w:after="0" w:line="240" w:lineRule="auto"/>
    </w:pPr>
  </w:style>
  <w:style w:type="paragraph" w:customStyle="1" w:styleId="tv213">
    <w:name w:val="tv213"/>
    <w:basedOn w:val="Normal"/>
    <w:qFormat/>
    <w:rsid w:val="002276A7"/>
    <w:pPr>
      <w:spacing w:beforeAutospacing="1"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unhideWhenUsed/>
    <w:qFormat/>
    <w:rsid w:val="002276A7"/>
    <w:pPr>
      <w:spacing w:after="0" w:line="240" w:lineRule="auto"/>
    </w:pPr>
    <w:rPr>
      <w:rFonts w:ascii="Times New Roman" w:eastAsia="Times New Roman" w:hAnsi="Times New Roman" w:cs="Times New Roman"/>
      <w:sz w:val="20"/>
      <w:szCs w:val="20"/>
      <w:lang w:eastAsia="lv-LV"/>
    </w:rPr>
  </w:style>
  <w:style w:type="paragraph" w:styleId="Title">
    <w:name w:val="Title"/>
    <w:basedOn w:val="Normal"/>
    <w:link w:val="TitleChar"/>
    <w:qFormat/>
    <w:rsid w:val="002276A7"/>
    <w:pPr>
      <w:spacing w:after="0" w:line="240" w:lineRule="auto"/>
      <w:jc w:val="center"/>
    </w:pPr>
    <w:rPr>
      <w:rFonts w:ascii="Times New Roman" w:eastAsia="Times New Roman" w:hAnsi="Times New Roman" w:cs="Times New Roman"/>
      <w:b/>
      <w:bCs/>
      <w:sz w:val="24"/>
      <w:szCs w:val="24"/>
    </w:rPr>
  </w:style>
  <w:style w:type="paragraph" w:customStyle="1" w:styleId="Default">
    <w:name w:val="Default"/>
    <w:qFormat/>
    <w:rsid w:val="002276A7"/>
    <w:rPr>
      <w:rFonts w:ascii="NMFNGA+TimesNewRoman,Bold" w:eastAsia="Times New Roman" w:hAnsi="NMFNGA+TimesNewRoman,Bold" w:cs="NMFNGA+TimesNewRoman,Bold"/>
      <w:color w:val="000000"/>
      <w:sz w:val="24"/>
      <w:szCs w:val="24"/>
      <w:lang w:eastAsia="lv-LV"/>
    </w:rPr>
  </w:style>
  <w:style w:type="paragraph" w:styleId="BalloonText">
    <w:name w:val="Balloon Text"/>
    <w:basedOn w:val="Normal"/>
    <w:link w:val="BalloonTextChar"/>
    <w:uiPriority w:val="99"/>
    <w:semiHidden/>
    <w:unhideWhenUsed/>
    <w:qFormat/>
    <w:rsid w:val="00AD3F20"/>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AD3F2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D3F20"/>
    <w:rPr>
      <w:b/>
      <w:bCs/>
    </w:rPr>
  </w:style>
  <w:style w:type="paragraph" w:customStyle="1" w:styleId="naiskr">
    <w:name w:val="naiskr"/>
    <w:basedOn w:val="Normal"/>
    <w:qFormat/>
    <w:rsid w:val="006B3A7E"/>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qFormat/>
    <w:rsid w:val="00813427"/>
    <w:pPr>
      <w:spacing w:beforeAutospacing="1"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Normal"/>
    <w:qFormat/>
    <w:rsid w:val="00BB46D1"/>
    <w:pPr>
      <w:spacing w:beforeAutospacing="1"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865CE-712D-440A-BBE9-1763A5BD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7161</Words>
  <Characters>4082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 Jirgensone</dc:creator>
  <cp:lastModifiedBy>Olga Paipala</cp:lastModifiedBy>
  <cp:revision>9</cp:revision>
  <cp:lastPrinted>2017-07-20T06:16:00Z</cp:lastPrinted>
  <dcterms:created xsi:type="dcterms:W3CDTF">2017-11-29T15:01:00Z</dcterms:created>
  <dcterms:modified xsi:type="dcterms:W3CDTF">2018-01-17T07:35:00Z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