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67283" w:rsidRPr="00EC3478" w:rsidP="00667283">
      <w:pPr>
        <w:pStyle w:val="Header"/>
        <w:tabs>
          <w:tab w:val="left" w:pos="720"/>
        </w:tabs>
        <w:jc w:val="right"/>
        <w:rPr>
          <w:rFonts w:ascii="Times New Roman" w:hAnsi="Times New Roman"/>
          <w:i/>
          <w:sz w:val="26"/>
          <w:szCs w:val="26"/>
          <w:lang w:val="lv-LV"/>
        </w:rPr>
      </w:pPr>
      <w:r w:rsidRPr="00EC3478">
        <w:rPr>
          <w:rFonts w:ascii="Times New Roman" w:hAnsi="Times New Roman"/>
          <w:i/>
          <w:sz w:val="26"/>
          <w:szCs w:val="26"/>
          <w:lang w:val="lv-LV"/>
        </w:rPr>
        <w:t>Projekts</w:t>
      </w:r>
    </w:p>
    <w:p w:rsidR="00EE566D" w:rsidRPr="00EC3478" w:rsidP="00EE566D">
      <w:pPr>
        <w:pStyle w:val="Header"/>
        <w:tabs>
          <w:tab w:val="left" w:pos="720"/>
        </w:tabs>
        <w:jc w:val="center"/>
        <w:rPr>
          <w:rFonts w:ascii="Times New Roman" w:hAnsi="Times New Roman"/>
          <w:sz w:val="26"/>
          <w:szCs w:val="26"/>
          <w:lang w:val="lv-LV"/>
        </w:rPr>
      </w:pPr>
      <w:r w:rsidRPr="00EC3478">
        <w:rPr>
          <w:rFonts w:ascii="Times New Roman" w:hAnsi="Times New Roman"/>
          <w:b/>
          <w:sz w:val="26"/>
          <w:szCs w:val="26"/>
          <w:lang w:val="lv-LV"/>
        </w:rPr>
        <w:t>MINISTRU KABINETA SĒDES PROTOKOLLĒMUMS</w:t>
      </w:r>
    </w:p>
    <w:p w:rsidR="0005634E" w:rsidRPr="00EC3478" w:rsidP="0005634E">
      <w:pPr>
        <w:pStyle w:val="Header"/>
        <w:tabs>
          <w:tab w:val="left" w:pos="720"/>
        </w:tabs>
        <w:jc w:val="center"/>
        <w:rPr>
          <w:rFonts w:ascii="Times New Roman" w:hAnsi="Times New Roman"/>
          <w:b/>
          <w:sz w:val="26"/>
          <w:szCs w:val="26"/>
          <w:lang w:val="lv-LV"/>
        </w:rPr>
      </w:pPr>
    </w:p>
    <w:p w:rsidR="0005634E" w:rsidRPr="00EC3478" w:rsidP="0005634E">
      <w:pPr>
        <w:pStyle w:val="Header"/>
        <w:tabs>
          <w:tab w:val="left" w:pos="720"/>
        </w:tabs>
        <w:jc w:val="center"/>
        <w:rPr>
          <w:rFonts w:ascii="Times New Roman" w:hAnsi="Times New Roman"/>
          <w:b/>
          <w:sz w:val="26"/>
          <w:szCs w:val="26"/>
          <w:lang w:val="lv-LV"/>
        </w:rPr>
      </w:pPr>
    </w:p>
    <w:p w:rsidR="0005634E" w:rsidRPr="00EC3478" w:rsidP="0005634E">
      <w:pPr>
        <w:pStyle w:val="Header"/>
        <w:tabs>
          <w:tab w:val="left" w:pos="720"/>
        </w:tabs>
        <w:jc w:val="center"/>
        <w:rPr>
          <w:rFonts w:ascii="Times New Roman" w:hAnsi="Times New Roman"/>
          <w:b/>
          <w:sz w:val="26"/>
          <w:szCs w:val="26"/>
          <w:lang w:val="lv-LV"/>
        </w:rPr>
      </w:pPr>
    </w:p>
    <w:tbl>
      <w:tblPr>
        <w:tblW w:w="29040" w:type="dxa"/>
        <w:tblInd w:w="250" w:type="dxa"/>
        <w:tblLook w:val="04A0"/>
      </w:tblPr>
      <w:tblGrid>
        <w:gridCol w:w="9680"/>
        <w:gridCol w:w="9680"/>
        <w:gridCol w:w="9680"/>
      </w:tblGrid>
      <w:tr w:rsidTr="00EE4AC6">
        <w:tblPrEx>
          <w:tblW w:w="29040" w:type="dxa"/>
          <w:tblInd w:w="250" w:type="dxa"/>
          <w:tblLook w:val="04A0"/>
        </w:tblPrEx>
        <w:trPr>
          <w:cantSplit/>
        </w:trPr>
        <w:tc>
          <w:tcPr>
            <w:tcW w:w="9680" w:type="dxa"/>
            <w:hideMark/>
          </w:tcPr>
          <w:tbl>
            <w:tblPr>
              <w:tblW w:w="9214" w:type="dxa"/>
              <w:tblInd w:w="250" w:type="dxa"/>
              <w:tblLook w:val="04A0"/>
            </w:tblPr>
            <w:tblGrid>
              <w:gridCol w:w="3611"/>
              <w:gridCol w:w="1360"/>
              <w:gridCol w:w="4243"/>
            </w:tblGrid>
            <w:tr w:rsidTr="00EE4AC6">
              <w:tblPrEx>
                <w:tblW w:w="9214" w:type="dxa"/>
                <w:tblInd w:w="250" w:type="dxa"/>
                <w:tblLook w:val="04A0"/>
              </w:tblPrEx>
              <w:trPr>
                <w:cantSplit/>
              </w:trPr>
              <w:tc>
                <w:tcPr>
                  <w:tcW w:w="3611" w:type="dxa"/>
                  <w:hideMark/>
                </w:tcPr>
                <w:p w:rsidR="0005634E" w:rsidRPr="00EC3478" w:rsidP="00EE4AC6">
                  <w:pPr>
                    <w:widowControl/>
                    <w:spacing w:after="0" w:line="240" w:lineRule="auto"/>
                    <w:ind w:right="358"/>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Rīgā</w:t>
                  </w:r>
                </w:p>
              </w:tc>
              <w:tc>
                <w:tcPr>
                  <w:tcW w:w="1360" w:type="dxa"/>
                  <w:hideMark/>
                </w:tcPr>
                <w:p w:rsidR="0005634E" w:rsidRPr="00EC3478" w:rsidP="00EE4AC6">
                  <w:pPr>
                    <w:widowControl/>
                    <w:spacing w:after="0" w:line="240" w:lineRule="auto"/>
                    <w:ind w:right="358"/>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Nr.</w:t>
                  </w:r>
                </w:p>
              </w:tc>
              <w:tc>
                <w:tcPr>
                  <w:tcW w:w="4243" w:type="dxa"/>
                  <w:hideMark/>
                </w:tcPr>
                <w:p w:rsidR="0005634E" w:rsidRPr="00EC3478" w:rsidP="00BB162B">
                  <w:pPr>
                    <w:widowControl/>
                    <w:spacing w:after="0" w:line="240" w:lineRule="auto"/>
                    <w:ind w:right="783"/>
                    <w:jc w:val="center"/>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201</w:t>
                  </w:r>
                  <w:r w:rsidRPr="00EC3478" w:rsidR="00BB162B">
                    <w:rPr>
                      <w:rFonts w:ascii="Times New Roman" w:eastAsia="Times New Roman" w:hAnsi="Times New Roman"/>
                      <w:sz w:val="26"/>
                      <w:szCs w:val="26"/>
                      <w:lang w:val="lv-LV" w:eastAsia="lv-LV"/>
                    </w:rPr>
                    <w:t>8</w:t>
                  </w:r>
                  <w:r w:rsidRPr="00EC3478" w:rsidR="00EE566D">
                    <w:rPr>
                      <w:rFonts w:ascii="Times New Roman" w:eastAsia="Times New Roman" w:hAnsi="Times New Roman"/>
                      <w:sz w:val="26"/>
                      <w:szCs w:val="26"/>
                      <w:lang w:val="lv-LV" w:eastAsia="lv-LV"/>
                    </w:rPr>
                    <w:t>.</w:t>
                  </w:r>
                  <w:r w:rsidRPr="00EC3478" w:rsidR="00EE4AC6">
                    <w:rPr>
                      <w:rFonts w:ascii="Times New Roman" w:eastAsia="Times New Roman" w:hAnsi="Times New Roman"/>
                      <w:sz w:val="26"/>
                      <w:szCs w:val="26"/>
                      <w:lang w:val="lv-LV" w:eastAsia="lv-LV"/>
                    </w:rPr>
                    <w:t> </w:t>
                  </w:r>
                  <w:r w:rsidRPr="00EC3478" w:rsidR="00EE566D">
                    <w:rPr>
                      <w:rFonts w:ascii="Times New Roman" w:eastAsia="Times New Roman" w:hAnsi="Times New Roman"/>
                      <w:sz w:val="26"/>
                      <w:szCs w:val="26"/>
                      <w:lang w:val="lv-LV" w:eastAsia="lv-LV"/>
                    </w:rPr>
                    <w:t>gada</w:t>
                  </w:r>
                  <w:r w:rsidRPr="00EC3478">
                    <w:rPr>
                      <w:rFonts w:ascii="Times New Roman" w:eastAsia="Times New Roman" w:hAnsi="Times New Roman"/>
                      <w:sz w:val="26"/>
                      <w:szCs w:val="26"/>
                      <w:lang w:val="lv-LV" w:eastAsia="lv-LV"/>
                    </w:rPr>
                    <w:t xml:space="preserve"> ___________</w:t>
                  </w:r>
                </w:p>
              </w:tc>
            </w:tr>
          </w:tbl>
          <w:p w:rsidR="0005634E" w:rsidRPr="00EC3478" w:rsidP="00EE4AC6">
            <w:pPr>
              <w:ind w:right="358"/>
              <w:rPr>
                <w:sz w:val="26"/>
                <w:szCs w:val="26"/>
                <w:lang w:val="lv-LV"/>
              </w:rPr>
            </w:pPr>
          </w:p>
        </w:tc>
        <w:tc>
          <w:tcPr>
            <w:tcW w:w="9680" w:type="dxa"/>
            <w:hideMark/>
          </w:tcPr>
          <w:p w:rsidR="0005634E" w:rsidRPr="00EC3478" w:rsidP="00EE4AC6">
            <w:pPr>
              <w:ind w:right="358"/>
              <w:rPr>
                <w:sz w:val="26"/>
                <w:szCs w:val="26"/>
                <w:lang w:val="lv-LV"/>
              </w:rPr>
            </w:pPr>
          </w:p>
        </w:tc>
        <w:tc>
          <w:tcPr>
            <w:tcW w:w="9680" w:type="dxa"/>
            <w:hideMark/>
          </w:tcPr>
          <w:tbl>
            <w:tblPr>
              <w:tblW w:w="9214" w:type="dxa"/>
              <w:tblInd w:w="250" w:type="dxa"/>
              <w:tblLook w:val="04A0"/>
            </w:tblPr>
            <w:tblGrid>
              <w:gridCol w:w="3818"/>
              <w:gridCol w:w="1174"/>
              <w:gridCol w:w="4222"/>
            </w:tblGrid>
            <w:tr w:rsidTr="00EE4AC6">
              <w:tblPrEx>
                <w:tblW w:w="9214" w:type="dxa"/>
                <w:tblInd w:w="250" w:type="dxa"/>
                <w:tblLook w:val="04A0"/>
              </w:tblPrEx>
              <w:trPr>
                <w:cantSplit/>
              </w:trPr>
              <w:tc>
                <w:tcPr>
                  <w:tcW w:w="3967" w:type="dxa"/>
                  <w:hideMark/>
                </w:tcPr>
                <w:p w:rsidR="0005634E" w:rsidRPr="00EC3478" w:rsidP="00EE4AC6">
                  <w:pPr>
                    <w:widowControl/>
                    <w:spacing w:after="0" w:line="240" w:lineRule="auto"/>
                    <w:ind w:right="358"/>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Rīgā</w:t>
                  </w:r>
                </w:p>
              </w:tc>
              <w:tc>
                <w:tcPr>
                  <w:tcW w:w="886" w:type="dxa"/>
                  <w:hideMark/>
                </w:tcPr>
                <w:p w:rsidR="0005634E" w:rsidRPr="00EC3478" w:rsidP="00EE4AC6">
                  <w:pPr>
                    <w:widowControl/>
                    <w:spacing w:after="0" w:line="240" w:lineRule="auto"/>
                    <w:ind w:right="358"/>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Nr.28</w:t>
                  </w:r>
                </w:p>
              </w:tc>
              <w:tc>
                <w:tcPr>
                  <w:tcW w:w="4361" w:type="dxa"/>
                  <w:hideMark/>
                </w:tcPr>
                <w:p w:rsidR="0005634E" w:rsidRPr="00EC3478" w:rsidP="00EE4AC6">
                  <w:pPr>
                    <w:widowControl/>
                    <w:spacing w:after="0" w:line="240" w:lineRule="auto"/>
                    <w:ind w:right="358"/>
                    <w:jc w:val="right"/>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2015.gada 9.jūnijā</w:t>
                  </w:r>
                </w:p>
              </w:tc>
            </w:tr>
          </w:tbl>
          <w:p w:rsidR="0005634E" w:rsidRPr="00EC3478" w:rsidP="00EE4AC6">
            <w:pPr>
              <w:ind w:right="358"/>
              <w:rPr>
                <w:sz w:val="26"/>
                <w:szCs w:val="26"/>
                <w:lang w:val="lv-LV"/>
              </w:rPr>
            </w:pPr>
          </w:p>
        </w:tc>
      </w:tr>
    </w:tbl>
    <w:p w:rsidR="0005634E" w:rsidRPr="00EC3478" w:rsidP="0005634E">
      <w:pPr>
        <w:widowControl/>
        <w:spacing w:after="0" w:line="240" w:lineRule="auto"/>
        <w:jc w:val="center"/>
        <w:rPr>
          <w:rFonts w:ascii="Times New Roman" w:eastAsia="Times New Roman" w:hAnsi="Times New Roman"/>
          <w:b/>
          <w:sz w:val="26"/>
          <w:szCs w:val="26"/>
          <w:lang w:val="lv-LV" w:eastAsia="lv-LV"/>
        </w:rPr>
      </w:pPr>
      <w:bookmarkStart w:id="0" w:name="32"/>
    </w:p>
    <w:p w:rsidR="0005634E" w:rsidRPr="00EC3478" w:rsidP="0005634E">
      <w:pPr>
        <w:widowControl/>
        <w:spacing w:after="0" w:line="240" w:lineRule="auto"/>
        <w:jc w:val="center"/>
        <w:rPr>
          <w:rFonts w:ascii="Times New Roman" w:eastAsia="Times New Roman" w:hAnsi="Times New Roman"/>
          <w:b/>
          <w:sz w:val="26"/>
          <w:szCs w:val="26"/>
          <w:lang w:val="lv-LV" w:eastAsia="lv-LV"/>
        </w:rPr>
      </w:pPr>
      <w:bookmarkStart w:id="1" w:name="36"/>
      <w:bookmarkEnd w:id="0"/>
    </w:p>
    <w:p w:rsidR="0005634E" w:rsidRPr="00EC3478" w:rsidP="0005634E">
      <w:pPr>
        <w:widowControl/>
        <w:spacing w:after="0" w:line="240" w:lineRule="auto"/>
        <w:jc w:val="center"/>
        <w:rPr>
          <w:rFonts w:ascii="Times New Roman" w:eastAsia="Times New Roman" w:hAnsi="Times New Roman"/>
          <w:b/>
          <w:sz w:val="26"/>
          <w:szCs w:val="26"/>
          <w:lang w:val="lv-LV" w:eastAsia="lv-LV"/>
        </w:rPr>
      </w:pPr>
      <w:bookmarkEnd w:id="1"/>
      <w:r w:rsidRPr="00EC3478">
        <w:rPr>
          <w:rFonts w:ascii="Times New Roman" w:eastAsia="Times New Roman" w:hAnsi="Times New Roman"/>
          <w:b/>
          <w:sz w:val="26"/>
          <w:szCs w:val="26"/>
          <w:lang w:val="lv-LV" w:eastAsia="lv-LV"/>
        </w:rPr>
        <w:t>.§</w:t>
      </w:r>
    </w:p>
    <w:p w:rsidR="0005634E" w:rsidRPr="00EC3478" w:rsidP="0005634E">
      <w:pPr>
        <w:widowControl/>
        <w:spacing w:after="0" w:line="240" w:lineRule="auto"/>
        <w:jc w:val="center"/>
        <w:rPr>
          <w:rFonts w:ascii="Times New Roman" w:eastAsia="Times New Roman" w:hAnsi="Times New Roman"/>
          <w:b/>
          <w:sz w:val="28"/>
          <w:szCs w:val="28"/>
          <w:lang w:val="lv-LV" w:eastAsia="lv-LV"/>
        </w:rPr>
      </w:pPr>
    </w:p>
    <w:p w:rsidR="001C2827" w:rsidRPr="00EC3478" w:rsidP="001C2827">
      <w:pPr>
        <w:tabs>
          <w:tab w:val="left" w:pos="3544"/>
        </w:tabs>
        <w:spacing w:after="0"/>
        <w:jc w:val="center"/>
        <w:rPr>
          <w:rFonts w:ascii="Times New Roman" w:hAnsi="Times New Roman"/>
          <w:b/>
          <w:sz w:val="26"/>
          <w:szCs w:val="26"/>
          <w:lang w:val="lv-LV"/>
        </w:rPr>
      </w:pPr>
      <w:r w:rsidRPr="00EC3478">
        <w:rPr>
          <w:rFonts w:ascii="Times New Roman" w:hAnsi="Times New Roman"/>
          <w:b/>
          <w:sz w:val="26"/>
          <w:szCs w:val="26"/>
          <w:lang w:val="lv-LV"/>
        </w:rPr>
        <w:t>Par Ministru kabineta 2017. gada 25.</w:t>
      </w:r>
      <w:r w:rsidRPr="00EC3478" w:rsidR="00D40A66">
        <w:rPr>
          <w:rFonts w:ascii="Times New Roman" w:hAnsi="Times New Roman"/>
          <w:b/>
          <w:sz w:val="26"/>
          <w:szCs w:val="26"/>
          <w:lang w:val="lv-LV"/>
        </w:rPr>
        <w:t> </w:t>
      </w:r>
      <w:r w:rsidRPr="00EC3478">
        <w:rPr>
          <w:rFonts w:ascii="Times New Roman" w:hAnsi="Times New Roman"/>
          <w:b/>
          <w:sz w:val="26"/>
          <w:szCs w:val="26"/>
          <w:lang w:val="lv-LV"/>
        </w:rPr>
        <w:t xml:space="preserve">jūlija sēdes </w:t>
      </w:r>
      <w:r w:rsidRPr="00EC3478">
        <w:rPr>
          <w:rFonts w:ascii="Times New Roman" w:hAnsi="Times New Roman"/>
          <w:b/>
          <w:sz w:val="26"/>
          <w:szCs w:val="26"/>
          <w:lang w:val="lv-LV"/>
        </w:rPr>
        <w:t>protokollēmum</w:t>
      </w:r>
      <w:r w:rsidRPr="00EC3478" w:rsidR="00A54127">
        <w:rPr>
          <w:rFonts w:ascii="Times New Roman" w:hAnsi="Times New Roman"/>
          <w:b/>
          <w:sz w:val="26"/>
          <w:szCs w:val="26"/>
          <w:lang w:val="lv-LV"/>
        </w:rPr>
        <w:t>a</w:t>
      </w:r>
      <w:r w:rsidRPr="00EC3478">
        <w:rPr>
          <w:rFonts w:ascii="Times New Roman" w:hAnsi="Times New Roman"/>
          <w:b/>
          <w:sz w:val="26"/>
          <w:szCs w:val="26"/>
          <w:lang w:val="lv-LV"/>
        </w:rPr>
        <w:t xml:space="preserve"> (prot. Nr.</w:t>
      </w:r>
      <w:r w:rsidRPr="00EC3478" w:rsidR="00D40A66">
        <w:rPr>
          <w:rFonts w:ascii="Times New Roman" w:hAnsi="Times New Roman"/>
          <w:b/>
          <w:sz w:val="26"/>
          <w:szCs w:val="26"/>
          <w:lang w:val="lv-LV"/>
        </w:rPr>
        <w:t> </w:t>
      </w:r>
      <w:r w:rsidRPr="00EC3478">
        <w:rPr>
          <w:rFonts w:ascii="Times New Roman" w:hAnsi="Times New Roman"/>
          <w:b/>
          <w:sz w:val="26"/>
          <w:szCs w:val="26"/>
          <w:lang w:val="lv-LV"/>
        </w:rPr>
        <w:t>37, 1.§) “Noteikumu projekts “Latvijas Ģeotelpiskās informācijas aģentūras maksas pakalpojumu cenrādis un tā piemērošanas kārtība”” 3. punktā dotā uzdevuma izpildi</w:t>
      </w:r>
    </w:p>
    <w:p w:rsidR="0005634E" w:rsidRPr="00EC3478" w:rsidP="0005634E">
      <w:pPr>
        <w:widowControl/>
        <w:tabs>
          <w:tab w:val="left" w:pos="720"/>
          <w:tab w:val="center" w:pos="4320"/>
          <w:tab w:val="right" w:pos="8640"/>
        </w:tabs>
        <w:spacing w:after="0" w:line="240" w:lineRule="auto"/>
        <w:ind w:firstLine="720"/>
        <w:jc w:val="both"/>
        <w:rPr>
          <w:rFonts w:ascii="Times New Roman" w:eastAsia="Times New Roman" w:hAnsi="Times New Roman"/>
          <w:sz w:val="28"/>
          <w:szCs w:val="20"/>
          <w:lang w:val="lv-LV" w:eastAsia="lv-LV"/>
        </w:rPr>
      </w:pPr>
      <w:r w:rsidRPr="00EC3478">
        <w:rPr>
          <w:rFonts w:ascii="Times New Roman" w:eastAsia="Times New Roman" w:hAnsi="Times New Roman"/>
          <w:sz w:val="28"/>
          <w:szCs w:val="20"/>
          <w:lang w:val="lv-LV" w:eastAsia="lv-LV"/>
        </w:rPr>
        <w:t>______________________________________________________</w:t>
      </w:r>
    </w:p>
    <w:p w:rsidR="0005634E" w:rsidRPr="00EC3478" w:rsidP="0005634E">
      <w:pPr>
        <w:widowControl/>
        <w:spacing w:after="0" w:line="240" w:lineRule="auto"/>
        <w:jc w:val="center"/>
        <w:rPr>
          <w:rFonts w:ascii="Times New Roman" w:eastAsia="Times New Roman" w:hAnsi="Times New Roman"/>
          <w:sz w:val="24"/>
          <w:szCs w:val="20"/>
          <w:lang w:val="lv-LV" w:eastAsia="lv-LV"/>
        </w:rPr>
      </w:pPr>
      <w:r w:rsidRPr="00EC3478">
        <w:rPr>
          <w:rFonts w:ascii="Times New Roman" w:eastAsia="Times New Roman" w:hAnsi="Times New Roman"/>
          <w:sz w:val="24"/>
          <w:szCs w:val="20"/>
          <w:lang w:val="lv-LV" w:eastAsia="lv-LV"/>
        </w:rPr>
        <w:t>(</w:t>
      </w:r>
      <w:r w:rsidRPr="00EC3478" w:rsidR="00EE566D">
        <w:rPr>
          <w:rFonts w:ascii="Times New Roman" w:eastAsia="Times New Roman" w:hAnsi="Times New Roman"/>
          <w:sz w:val="24"/>
          <w:szCs w:val="24"/>
          <w:lang w:val="lv-LV" w:eastAsia="lv-LV"/>
        </w:rPr>
        <w:t>.................</w:t>
      </w:r>
      <w:r w:rsidRPr="00EC3478">
        <w:rPr>
          <w:rFonts w:ascii="Times New Roman" w:eastAsia="Times New Roman" w:hAnsi="Times New Roman"/>
          <w:sz w:val="24"/>
          <w:szCs w:val="20"/>
          <w:lang w:val="lv-LV" w:eastAsia="lv-LV"/>
        </w:rPr>
        <w:t>)</w:t>
      </w:r>
    </w:p>
    <w:p w:rsidR="0005634E" w:rsidRPr="00EC3478" w:rsidP="0005634E">
      <w:pPr>
        <w:widowControl/>
        <w:spacing w:after="0" w:line="240" w:lineRule="auto"/>
        <w:jc w:val="both"/>
        <w:rPr>
          <w:rFonts w:ascii="Times New Roman" w:eastAsia="Times New Roman" w:hAnsi="Times New Roman"/>
          <w:sz w:val="28"/>
          <w:szCs w:val="20"/>
          <w:lang w:val="lv-LV" w:eastAsia="lv-LV"/>
        </w:rPr>
      </w:pPr>
    </w:p>
    <w:p w:rsidR="0005634E" w:rsidRPr="00EC3478" w:rsidP="007A0610">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Pieņemt zināšanai iesniegto informatīvo ziņojumu.</w:t>
      </w:r>
    </w:p>
    <w:p w:rsidR="00A911D6" w:rsidRPr="00EC3478" w:rsidP="007A0610">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 xml:space="preserve">Atbalstīt papildu finansējuma piešķiršanu 2018.gadā Aizsardzības ministrijai, lai nodrošinātu, ka Latvijas ģeotelpiskās informācijas aģentūra turpmāk sniedz topogrāfisko karti mērogā 1:50 000 visas Latvijas teritorijai, Latvijas pārskata karti mērogā 1:250 000 visas Latvijas teritorijai,  Latvijas </w:t>
      </w:r>
      <w:r w:rsidRPr="00EC3478">
        <w:rPr>
          <w:rFonts w:ascii="Times New Roman" w:eastAsia="Times New Roman" w:hAnsi="Times New Roman"/>
          <w:sz w:val="26"/>
          <w:szCs w:val="26"/>
          <w:lang w:val="lv-LV" w:eastAsia="lv-LV"/>
        </w:rPr>
        <w:t>ortofoto</w:t>
      </w:r>
      <w:r w:rsidRPr="00EC3478">
        <w:rPr>
          <w:rFonts w:ascii="Times New Roman" w:eastAsia="Times New Roman" w:hAnsi="Times New Roman"/>
          <w:sz w:val="26"/>
          <w:szCs w:val="26"/>
          <w:lang w:val="lv-LV" w:eastAsia="lv-LV"/>
        </w:rPr>
        <w:t xml:space="preserve"> karti krāsainā spektrā, digitālo reljefa modeli ar regulāro tīkla soli 20m visai Latvijas teritorijai, Latvijas vietvārdu datu bāzi, Latvijas ģeodēziskā tīkla datu bāzi kā atvērtos datus, un Tieslietu ministrijai, lai nodrošinātu, ka Valsts zemes dienests sniegtu Valsts adrešu reģistra un administratīvo robežu datus kā atvērtos datus. Par iespējamiem papildu finansējuma avotiem un nepieciešamo finansējuma apjomu lemt 2018.gada valsts budžeta izpildes gaitā, sākotnēji izvērtējot Aizsardzības ministrijas un Tieslietu ministrijas faktisko pašu ieņēmumu izpildi un iespējamo iekšējo resursu ekonomiju</w:t>
      </w:r>
      <w:r w:rsidRPr="00EC3478">
        <w:rPr>
          <w:rFonts w:ascii="Times New Roman" w:eastAsia="Times New Roman" w:hAnsi="Times New Roman"/>
          <w:sz w:val="26"/>
          <w:szCs w:val="26"/>
          <w:lang w:val="lv-LV" w:eastAsia="lv-LV"/>
        </w:rPr>
        <w:t xml:space="preserve">. </w:t>
      </w:r>
    </w:p>
    <w:p w:rsidR="00A911D6" w:rsidRPr="00EC3478" w:rsidP="00EC3478">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Jautājumu par papildu nepieciešamo finansējumu 2019.gadā un turpmāk Aizsardzības ministrijai (Latvijas ģeotelpiskās informācijas aģentūrai) un Tieslietu ministrijai (Valsts zemes dienestam) atvērto datu nodrošināšanai skatīt likumprojekta “Par valsts budžetu 2019.gadam” un likumprojekta “Par vidēja termiņa budžeta ietvaru 2019., 2020. un 2021.gadam” sagatavošanas procesā</w:t>
      </w:r>
      <w:r w:rsidRPr="00EC3478">
        <w:rPr>
          <w:rFonts w:ascii="Times New Roman" w:eastAsia="Times New Roman" w:hAnsi="Times New Roman"/>
          <w:sz w:val="26"/>
          <w:szCs w:val="26"/>
          <w:lang w:val="lv-LV" w:eastAsia="lv-LV"/>
        </w:rPr>
        <w:t>.</w:t>
      </w:r>
    </w:p>
    <w:p w:rsidR="001B1922" w:rsidRPr="00EC3478" w:rsidP="00EC3478">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 xml:space="preserve">Aizsardzības ministrijai un Tieslietu ministrijai </w:t>
      </w:r>
      <w:r w:rsidRPr="00EC3478" w:rsidR="00E93F9F">
        <w:rPr>
          <w:rFonts w:ascii="Times New Roman" w:eastAsia="Times New Roman" w:hAnsi="Times New Roman"/>
          <w:sz w:val="26"/>
          <w:szCs w:val="26"/>
          <w:lang w:val="lv-LV" w:eastAsia="lv-LV"/>
        </w:rPr>
        <w:t xml:space="preserve">līdz 2018. gada 1. jūnijam iesniegt Ministru kabinetā priekšlikumus grozījumiem </w:t>
      </w:r>
      <w:r w:rsidRPr="00EC3478">
        <w:rPr>
          <w:rFonts w:ascii="Times New Roman" w:eastAsia="Times New Roman" w:hAnsi="Times New Roman"/>
          <w:sz w:val="26"/>
          <w:szCs w:val="26"/>
          <w:lang w:val="lv-LV" w:eastAsia="lv-LV"/>
        </w:rPr>
        <w:t xml:space="preserve">saistītajos normatīvajos aktos un </w:t>
      </w:r>
      <w:r w:rsidRPr="00EC3478" w:rsidR="00E93F9F">
        <w:rPr>
          <w:rFonts w:ascii="Times New Roman" w:eastAsia="Times New Roman" w:hAnsi="Times New Roman"/>
          <w:sz w:val="26"/>
          <w:szCs w:val="26"/>
          <w:lang w:val="lv-LV" w:eastAsia="lv-LV"/>
        </w:rPr>
        <w:t xml:space="preserve">pēc to pieņemšanas </w:t>
      </w:r>
      <w:r w:rsidRPr="00EC3478">
        <w:rPr>
          <w:rFonts w:ascii="Times New Roman" w:eastAsia="Times New Roman" w:hAnsi="Times New Roman"/>
          <w:sz w:val="26"/>
          <w:szCs w:val="26"/>
          <w:lang w:val="lv-LV" w:eastAsia="lv-LV"/>
        </w:rPr>
        <w:t xml:space="preserve">publicēt konkrētās datu kopas </w:t>
      </w:r>
      <w:r w:rsidRPr="00EC3478" w:rsidR="00542E69">
        <w:rPr>
          <w:rFonts w:ascii="Times New Roman" w:eastAsia="Times New Roman" w:hAnsi="Times New Roman"/>
          <w:sz w:val="26"/>
          <w:szCs w:val="26"/>
          <w:lang w:val="lv-LV" w:eastAsia="lv-LV"/>
        </w:rPr>
        <w:t>Latvijas A</w:t>
      </w:r>
      <w:r w:rsidRPr="00EC3478">
        <w:rPr>
          <w:rFonts w:ascii="Times New Roman" w:eastAsia="Times New Roman" w:hAnsi="Times New Roman"/>
          <w:sz w:val="26"/>
          <w:szCs w:val="26"/>
          <w:lang w:val="lv-LV" w:eastAsia="lv-LV"/>
        </w:rPr>
        <w:t>tvērto datu portālā</w:t>
      </w:r>
      <w:r w:rsidRPr="00EC3478" w:rsidR="00E41ECF">
        <w:rPr>
          <w:rFonts w:ascii="Times New Roman" w:eastAsia="Times New Roman" w:hAnsi="Times New Roman"/>
          <w:sz w:val="26"/>
          <w:szCs w:val="26"/>
          <w:lang w:val="lv-LV" w:eastAsia="lv-LV"/>
        </w:rPr>
        <w:t xml:space="preserve"> (</w:t>
      </w:r>
      <w:r>
        <w:fldChar w:fldCharType="begin"/>
      </w:r>
      <w:r>
        <w:instrText xml:space="preserve"> HYPERLINK "https://data.gov.lv" </w:instrText>
      </w:r>
      <w:r>
        <w:fldChar w:fldCharType="separate"/>
      </w:r>
      <w:r w:rsidRPr="00EC3478" w:rsidR="00E41ECF">
        <w:rPr>
          <w:rFonts w:ascii="Times New Roman" w:eastAsia="Times New Roman" w:hAnsi="Times New Roman"/>
          <w:sz w:val="26"/>
          <w:szCs w:val="26"/>
          <w:lang w:val="lv-LV" w:eastAsia="lv-LV"/>
        </w:rPr>
        <w:t>https://data.gov.lv</w:t>
      </w:r>
      <w:r>
        <w:fldChar w:fldCharType="end"/>
      </w:r>
      <w:r w:rsidRPr="00EC3478" w:rsidR="00E41ECF">
        <w:rPr>
          <w:rFonts w:ascii="Times New Roman" w:eastAsia="Times New Roman" w:hAnsi="Times New Roman"/>
          <w:sz w:val="26"/>
          <w:szCs w:val="26"/>
          <w:lang w:val="lv-LV" w:eastAsia="lv-LV"/>
        </w:rPr>
        <w:t>)</w:t>
      </w:r>
      <w:r w:rsidRPr="00EC3478">
        <w:rPr>
          <w:rFonts w:ascii="Times New Roman" w:eastAsia="Times New Roman" w:hAnsi="Times New Roman"/>
          <w:sz w:val="26"/>
          <w:szCs w:val="26"/>
          <w:lang w:val="lv-LV" w:eastAsia="lv-LV"/>
        </w:rPr>
        <w:t>.</w:t>
      </w:r>
    </w:p>
    <w:p w:rsidR="00CB40F0" w:rsidP="00EC3478">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 xml:space="preserve">Vides aizsardzības un reģionālās attīstības ministrijai sadarbībā ar Centrālo vēlēšanu komisiju, Finanšu ministriju, </w:t>
      </w:r>
      <w:r w:rsidRPr="00EC3478">
        <w:rPr>
          <w:rFonts w:ascii="Times New Roman" w:eastAsia="Times New Roman" w:hAnsi="Times New Roman"/>
          <w:sz w:val="26"/>
          <w:szCs w:val="26"/>
          <w:lang w:val="lv-LV" w:eastAsia="lv-LV"/>
        </w:rPr>
        <w:t>Iekšlietu</w:t>
      </w:r>
      <w:r w:rsidRPr="00EC3478">
        <w:rPr>
          <w:rFonts w:ascii="Times New Roman" w:eastAsia="Times New Roman" w:hAnsi="Times New Roman"/>
          <w:sz w:val="26"/>
          <w:szCs w:val="26"/>
          <w:lang w:val="lv-LV" w:eastAsia="lv-LV"/>
        </w:rPr>
        <w:t xml:space="preserve"> ministriju, Satiksmes ministriju un Veselības ministriju izvērtēt starptautiskajos pētījumos minēto prioritāri atveramo datu kopu publiskošanas iespējas Latvijas Atvērto datu portālā (</w:t>
      </w:r>
      <w:r>
        <w:fldChar w:fldCharType="begin"/>
      </w:r>
      <w:r>
        <w:instrText xml:space="preserve"> HYPERLINK "https://data.gov.lv" \l "_blank" </w:instrText>
      </w:r>
      <w:r>
        <w:fldChar w:fldCharType="separate"/>
      </w:r>
      <w:r w:rsidRPr="00EC3478">
        <w:rPr>
          <w:rFonts w:ascii="Times New Roman" w:eastAsia="Times New Roman" w:hAnsi="Times New Roman"/>
          <w:sz w:val="26"/>
          <w:szCs w:val="26"/>
          <w:lang w:val="lv-LV" w:eastAsia="lv-LV"/>
        </w:rPr>
        <w:t>https://data.gov.lv</w:t>
      </w:r>
      <w:r>
        <w:fldChar w:fldCharType="end"/>
      </w:r>
      <w:r w:rsidRPr="00EC3478">
        <w:rPr>
          <w:rFonts w:ascii="Times New Roman" w:eastAsia="Times New Roman" w:hAnsi="Times New Roman"/>
          <w:sz w:val="26"/>
          <w:szCs w:val="26"/>
          <w:lang w:val="lv-LV" w:eastAsia="lv-LV"/>
        </w:rPr>
        <w:t>)</w:t>
      </w:r>
      <w:r w:rsidRPr="00EC3478" w:rsidR="00841F3C">
        <w:rPr>
          <w:rFonts w:ascii="Times New Roman" w:eastAsia="Times New Roman" w:hAnsi="Times New Roman"/>
          <w:sz w:val="26"/>
          <w:szCs w:val="26"/>
          <w:lang w:val="lv-LV" w:eastAsia="lv-LV"/>
        </w:rPr>
        <w:t>.</w:t>
      </w:r>
    </w:p>
    <w:p w:rsidR="00E51303" w:rsidRPr="00EC3478" w:rsidP="00EC3478">
      <w:pPr>
        <w:pStyle w:val="ListParagraph"/>
        <w:widowControl/>
        <w:numPr>
          <w:ilvl w:val="0"/>
          <w:numId w:val="1"/>
        </w:numPr>
        <w:spacing w:line="240" w:lineRule="auto"/>
        <w:jc w:val="both"/>
        <w:rPr>
          <w:rFonts w:ascii="Times New Roman" w:eastAsia="Times New Roman" w:hAnsi="Times New Roman"/>
          <w:sz w:val="26"/>
          <w:szCs w:val="26"/>
          <w:lang w:val="lv-LV" w:eastAsia="lv-LV"/>
        </w:rPr>
      </w:pPr>
      <w:r>
        <w:rPr>
          <w:rFonts w:ascii="Times New Roman" w:eastAsia="Times New Roman" w:hAnsi="Times New Roman"/>
          <w:sz w:val="26"/>
          <w:szCs w:val="26"/>
          <w:lang w:val="lv-LV" w:eastAsia="lv-LV"/>
        </w:rPr>
        <w:t xml:space="preserve">Noteikt </w:t>
      </w:r>
      <w:r w:rsidRPr="00E41ECF">
        <w:rPr>
          <w:rFonts w:ascii="Times New Roman" w:eastAsia="Times New Roman" w:hAnsi="Times New Roman"/>
          <w:sz w:val="26"/>
          <w:szCs w:val="26"/>
          <w:lang w:val="lv-LV" w:eastAsia="lv-LV"/>
        </w:rPr>
        <w:t>Vides aizsardzības un reģionālās attīstības ministrij</w:t>
      </w:r>
      <w:r>
        <w:rPr>
          <w:rFonts w:ascii="Times New Roman" w:eastAsia="Times New Roman" w:hAnsi="Times New Roman"/>
          <w:sz w:val="26"/>
          <w:szCs w:val="26"/>
          <w:lang w:val="lv-LV" w:eastAsia="lv-LV"/>
        </w:rPr>
        <w:t xml:space="preserve">u </w:t>
      </w:r>
      <w:r>
        <w:rPr>
          <w:rFonts w:ascii="Times New Roman" w:eastAsia="Times New Roman" w:hAnsi="Times New Roman"/>
          <w:sz w:val="26"/>
          <w:szCs w:val="26"/>
          <w:lang w:val="lv-LV" w:eastAsia="lv-LV"/>
        </w:rPr>
        <w:t xml:space="preserve">par </w:t>
      </w:r>
      <w:bookmarkStart w:id="2" w:name="_GoBack"/>
      <w:bookmarkEnd w:id="2"/>
      <w:r>
        <w:rPr>
          <w:rFonts w:ascii="Times New Roman" w:eastAsia="Times New Roman" w:hAnsi="Times New Roman"/>
          <w:sz w:val="26"/>
          <w:szCs w:val="26"/>
          <w:lang w:val="lv-LV" w:eastAsia="lv-LV"/>
        </w:rPr>
        <w:t>atvērto datu jomas koordinējošo iestādi.</w:t>
      </w:r>
    </w:p>
    <w:p w:rsidR="00E41ECF" w:rsidRPr="00EC3478" w:rsidP="00BB162B">
      <w:pPr>
        <w:pStyle w:val="ListParagraph"/>
        <w:spacing w:after="0" w:line="240" w:lineRule="auto"/>
        <w:ind w:left="684"/>
        <w:jc w:val="both"/>
        <w:rPr>
          <w:rFonts w:ascii="Times New Roman" w:eastAsia="Times New Roman" w:hAnsi="Times New Roman"/>
          <w:sz w:val="26"/>
          <w:szCs w:val="26"/>
          <w:lang w:val="lv-LV" w:eastAsia="lv-LV"/>
        </w:rPr>
      </w:pPr>
    </w:p>
    <w:p w:rsidR="00EE566D" w:rsidRPr="00EC3478" w:rsidP="00841F3C">
      <w:pPr>
        <w:widowControl/>
        <w:spacing w:after="0" w:line="240" w:lineRule="auto"/>
        <w:jc w:val="both"/>
        <w:rPr>
          <w:rFonts w:ascii="Times New Roman" w:eastAsia="Times New Roman" w:hAnsi="Times New Roman"/>
          <w:sz w:val="24"/>
          <w:szCs w:val="24"/>
          <w:lang w:val="lv-LV" w:eastAsia="lv-LV"/>
        </w:rPr>
      </w:pPr>
      <w:r w:rsidRPr="00EC3478">
        <w:rPr>
          <w:rFonts w:ascii="Times New Roman" w:eastAsia="Times New Roman" w:hAnsi="Times New Roman"/>
          <w:sz w:val="28"/>
          <w:szCs w:val="20"/>
          <w:lang w:val="lv-LV" w:eastAsia="lv-LV"/>
        </w:rPr>
        <w:t>  </w:t>
      </w:r>
    </w:p>
    <w:p w:rsidR="00EE566D" w:rsidRPr="00EC3478" w:rsidP="00EE566D">
      <w:pPr>
        <w:widowControl/>
        <w:spacing w:after="0"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Ministru prezidents</w:t>
      </w:r>
      <w:r w:rsidRPr="00EC3478" w:rsidR="00103B22">
        <w:rPr>
          <w:rFonts w:ascii="Times New Roman" w:eastAsia="Times New Roman" w:hAnsi="Times New Roman"/>
          <w:sz w:val="26"/>
          <w:szCs w:val="26"/>
          <w:lang w:val="lv-LV" w:eastAsia="lv-LV"/>
        </w:rPr>
        <w:tab/>
      </w:r>
      <w:r w:rsidRPr="00EC3478" w:rsidR="00103B22">
        <w:rPr>
          <w:rFonts w:ascii="Times New Roman" w:eastAsia="Times New Roman" w:hAnsi="Times New Roman"/>
          <w:sz w:val="26"/>
          <w:szCs w:val="26"/>
          <w:lang w:val="lv-LV" w:eastAsia="lv-LV"/>
        </w:rPr>
        <w:tab/>
      </w:r>
      <w:r w:rsidRPr="00EC3478" w:rsidR="00103B22">
        <w:rPr>
          <w:rFonts w:ascii="Times New Roman" w:eastAsia="Times New Roman" w:hAnsi="Times New Roman"/>
          <w:sz w:val="26"/>
          <w:szCs w:val="26"/>
          <w:lang w:val="lv-LV" w:eastAsia="lv-LV"/>
        </w:rPr>
        <w:tab/>
      </w:r>
      <w:r w:rsidRPr="00EC3478" w:rsidR="00103B22">
        <w:rPr>
          <w:rFonts w:ascii="Times New Roman" w:eastAsia="Times New Roman" w:hAnsi="Times New Roman"/>
          <w:sz w:val="26"/>
          <w:szCs w:val="26"/>
          <w:lang w:val="lv-LV" w:eastAsia="lv-LV"/>
        </w:rPr>
        <w:tab/>
      </w:r>
      <w:r w:rsidRPr="00EC3478" w:rsidR="00103B22">
        <w:rPr>
          <w:rFonts w:ascii="Times New Roman" w:eastAsia="Times New Roman" w:hAnsi="Times New Roman"/>
          <w:sz w:val="26"/>
          <w:szCs w:val="26"/>
          <w:lang w:val="lv-LV" w:eastAsia="lv-LV"/>
        </w:rPr>
        <w:tab/>
      </w:r>
      <w:r w:rsidRPr="00EC3478" w:rsidR="00103B22">
        <w:rPr>
          <w:rFonts w:ascii="Times New Roman" w:eastAsia="Times New Roman" w:hAnsi="Times New Roman"/>
          <w:sz w:val="26"/>
          <w:szCs w:val="26"/>
          <w:lang w:val="lv-LV" w:eastAsia="lv-LV"/>
        </w:rPr>
        <w:tab/>
        <w:t>M</w:t>
      </w:r>
      <w:r w:rsidRPr="00EC3478" w:rsidR="00B63AB0">
        <w:rPr>
          <w:rFonts w:ascii="Times New Roman" w:eastAsia="Times New Roman" w:hAnsi="Times New Roman"/>
          <w:sz w:val="26"/>
          <w:szCs w:val="26"/>
          <w:lang w:val="lv-LV" w:eastAsia="lv-LV"/>
        </w:rPr>
        <w:t xml:space="preserve">āris </w:t>
      </w:r>
      <w:r w:rsidRPr="00EC3478">
        <w:rPr>
          <w:rFonts w:ascii="Times New Roman" w:eastAsia="Times New Roman" w:hAnsi="Times New Roman"/>
          <w:sz w:val="26"/>
          <w:szCs w:val="26"/>
          <w:lang w:val="lv-LV" w:eastAsia="lv-LV"/>
        </w:rPr>
        <w:t>Kučinskis</w:t>
      </w:r>
    </w:p>
    <w:p w:rsidR="00103B22" w:rsidRPr="00EC3478" w:rsidP="00EE566D">
      <w:pPr>
        <w:widowControl/>
        <w:spacing w:after="0" w:line="240" w:lineRule="auto"/>
        <w:jc w:val="both"/>
        <w:rPr>
          <w:rFonts w:ascii="Times New Roman" w:eastAsia="Times New Roman" w:hAnsi="Times New Roman"/>
          <w:sz w:val="26"/>
          <w:szCs w:val="26"/>
          <w:lang w:val="lv-LV" w:eastAsia="lv-LV"/>
        </w:rPr>
      </w:pPr>
    </w:p>
    <w:p w:rsidR="00103B22" w:rsidRPr="00EC3478" w:rsidP="00EE566D">
      <w:pPr>
        <w:widowControl/>
        <w:spacing w:after="0" w:line="240" w:lineRule="auto"/>
        <w:jc w:val="both"/>
        <w:rPr>
          <w:rFonts w:ascii="Times New Roman" w:eastAsia="Times New Roman" w:hAnsi="Times New Roman"/>
          <w:sz w:val="26"/>
          <w:szCs w:val="26"/>
          <w:lang w:val="lv-LV" w:eastAsia="lv-LV"/>
        </w:rPr>
      </w:pPr>
      <w:r w:rsidRPr="00EC3478">
        <w:rPr>
          <w:rFonts w:ascii="Times New Roman" w:eastAsia="Times New Roman" w:hAnsi="Times New Roman"/>
          <w:sz w:val="26"/>
          <w:szCs w:val="26"/>
          <w:lang w:val="lv-LV" w:eastAsia="lv-LV"/>
        </w:rPr>
        <w:t>Va</w:t>
      </w:r>
      <w:r w:rsidRPr="00EC3478" w:rsidR="00015F6C">
        <w:rPr>
          <w:rFonts w:ascii="Times New Roman" w:eastAsia="Times New Roman" w:hAnsi="Times New Roman"/>
          <w:sz w:val="26"/>
          <w:szCs w:val="26"/>
          <w:lang w:val="lv-LV" w:eastAsia="lv-LV"/>
        </w:rPr>
        <w:t>lsts kancelejas direktors</w:t>
      </w:r>
      <w:r w:rsidRPr="00EC3478" w:rsidR="00015F6C">
        <w:rPr>
          <w:rFonts w:ascii="Times New Roman" w:eastAsia="Times New Roman" w:hAnsi="Times New Roman"/>
          <w:sz w:val="26"/>
          <w:szCs w:val="26"/>
          <w:lang w:val="lv-LV" w:eastAsia="lv-LV"/>
        </w:rPr>
        <w:tab/>
      </w:r>
      <w:r w:rsidRPr="00EC3478" w:rsidR="00015F6C">
        <w:rPr>
          <w:rFonts w:ascii="Times New Roman" w:eastAsia="Times New Roman" w:hAnsi="Times New Roman"/>
          <w:sz w:val="26"/>
          <w:szCs w:val="26"/>
          <w:lang w:val="lv-LV" w:eastAsia="lv-LV"/>
        </w:rPr>
        <w:tab/>
      </w:r>
      <w:r w:rsidRPr="00EC3478" w:rsidR="00015F6C">
        <w:rPr>
          <w:rFonts w:ascii="Times New Roman" w:eastAsia="Times New Roman" w:hAnsi="Times New Roman"/>
          <w:sz w:val="26"/>
          <w:szCs w:val="26"/>
          <w:lang w:val="lv-LV" w:eastAsia="lv-LV"/>
        </w:rPr>
        <w:tab/>
      </w:r>
      <w:r w:rsidRPr="00EC3478" w:rsidR="00015F6C">
        <w:rPr>
          <w:rFonts w:ascii="Times New Roman" w:eastAsia="Times New Roman" w:hAnsi="Times New Roman"/>
          <w:sz w:val="26"/>
          <w:szCs w:val="26"/>
          <w:lang w:val="lv-LV" w:eastAsia="lv-LV"/>
        </w:rPr>
        <w:tab/>
      </w:r>
      <w:r w:rsidRPr="00EC3478" w:rsidR="00015F6C">
        <w:rPr>
          <w:rFonts w:ascii="Times New Roman" w:eastAsia="Times New Roman" w:hAnsi="Times New Roman"/>
          <w:sz w:val="26"/>
          <w:szCs w:val="26"/>
          <w:lang w:val="lv-LV" w:eastAsia="lv-LV"/>
        </w:rPr>
        <w:tab/>
        <w:t>J</w:t>
      </w:r>
      <w:r w:rsidRPr="00EC3478" w:rsidR="00B63AB0">
        <w:rPr>
          <w:rFonts w:ascii="Times New Roman" w:eastAsia="Times New Roman" w:hAnsi="Times New Roman"/>
          <w:sz w:val="26"/>
          <w:szCs w:val="26"/>
          <w:lang w:val="lv-LV" w:eastAsia="lv-LV"/>
        </w:rPr>
        <w:t xml:space="preserve">ānis </w:t>
      </w:r>
      <w:r w:rsidRPr="00EC3478">
        <w:rPr>
          <w:rFonts w:ascii="Times New Roman" w:eastAsia="Times New Roman" w:hAnsi="Times New Roman"/>
          <w:sz w:val="26"/>
          <w:szCs w:val="26"/>
          <w:lang w:val="lv-LV" w:eastAsia="lv-LV"/>
        </w:rPr>
        <w:t>Citskovskis</w:t>
      </w:r>
    </w:p>
    <w:p w:rsidR="00EE566D" w:rsidRPr="00EC3478" w:rsidP="00EE566D">
      <w:pPr>
        <w:widowControl/>
        <w:spacing w:after="0" w:line="240" w:lineRule="auto"/>
        <w:jc w:val="both"/>
        <w:rPr>
          <w:rFonts w:ascii="Times New Roman" w:eastAsia="Times New Roman" w:hAnsi="Times New Roman"/>
          <w:sz w:val="28"/>
          <w:szCs w:val="28"/>
          <w:lang w:val="lv-LV" w:eastAsia="lv-LV"/>
        </w:rPr>
      </w:pPr>
    </w:p>
    <w:p w:rsidR="00CB6259" w:rsidRPr="00EC3478" w:rsidP="00103B22">
      <w:pPr>
        <w:widowControl/>
        <w:spacing w:after="0" w:line="240" w:lineRule="auto"/>
        <w:jc w:val="both"/>
        <w:rPr>
          <w:sz w:val="16"/>
          <w:lang w:val="lv-LV"/>
        </w:rPr>
      </w:pPr>
      <w:r w:rsidRPr="00EC3478">
        <w:rPr>
          <w:rFonts w:ascii="Times New Roman" w:eastAsia="Times New Roman" w:hAnsi="Times New Roman"/>
          <w:sz w:val="20"/>
          <w:szCs w:val="20"/>
          <w:lang w:val="lv-LV" w:eastAsia="lv-LV"/>
        </w:rPr>
        <w:t xml:space="preserve"> </w:t>
      </w:r>
    </w:p>
    <w:sectPr w:rsidSect="00EE4AC6">
      <w:footerReference w:type="default" r:id="rId5"/>
      <w:pgSz w:w="11906" w:h="16838"/>
      <w:pgMar w:top="1440" w:right="1133"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AC6" w:rsidRPr="00A9723B" w:rsidP="0032524F">
    <w:pPr>
      <w:pStyle w:val="Footer"/>
      <w:tabs>
        <w:tab w:val="clear" w:pos="8306"/>
        <w:tab w:val="right" w:pos="8931"/>
      </w:tabs>
      <w:jc w:val="both"/>
      <w:rPr>
        <w:rFonts w:ascii="Times New Roman" w:hAnsi="Times New Roman"/>
        <w:sz w:val="20"/>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AA7F7D"/>
    <w:multiLevelType w:val="hybridMultilevel"/>
    <w:tmpl w:val="6C80CC80"/>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 w15:restartNumberingAfterBreak="1">
    <w:nsid w:val="2E3C7890"/>
    <w:multiLevelType w:val="hybridMultilevel"/>
    <w:tmpl w:val="0E3ED988"/>
    <w:lvl w:ilvl="0">
      <w:start w:val="1"/>
      <w:numFmt w:val="decimal"/>
      <w:lvlText w:val="%1."/>
      <w:lvlJc w:val="left"/>
      <w:pPr>
        <w:ind w:left="684" w:hanging="360"/>
      </w:pPr>
      <w:rPr>
        <w:rFonts w:hint="default"/>
      </w:rPr>
    </w:lvl>
    <w:lvl w:ilvl="1">
      <w:start w:val="1"/>
      <w:numFmt w:val="decimal"/>
      <w:lvlText w:val="%2)"/>
      <w:lvlJc w:val="left"/>
      <w:pPr>
        <w:ind w:left="1404" w:hanging="360"/>
      </w:pPr>
      <w:rPr>
        <w:rFonts w:hint="default"/>
      </w:rPr>
    </w:lvl>
    <w:lvl w:ilvl="2" w:tentative="1">
      <w:start w:val="1"/>
      <w:numFmt w:val="lowerRoman"/>
      <w:lvlText w:val="%3."/>
      <w:lvlJc w:val="right"/>
      <w:pPr>
        <w:ind w:left="2124" w:hanging="180"/>
      </w:pPr>
    </w:lvl>
    <w:lvl w:ilvl="3" w:tentative="1">
      <w:start w:val="1"/>
      <w:numFmt w:val="decimal"/>
      <w:lvlText w:val="%4."/>
      <w:lvlJc w:val="left"/>
      <w:pPr>
        <w:ind w:left="2844" w:hanging="360"/>
      </w:pPr>
    </w:lvl>
    <w:lvl w:ilvl="4" w:tentative="1">
      <w:start w:val="1"/>
      <w:numFmt w:val="lowerLetter"/>
      <w:lvlText w:val="%5."/>
      <w:lvlJc w:val="left"/>
      <w:pPr>
        <w:ind w:left="3564" w:hanging="360"/>
      </w:pPr>
    </w:lvl>
    <w:lvl w:ilvl="5" w:tentative="1">
      <w:start w:val="1"/>
      <w:numFmt w:val="lowerRoman"/>
      <w:lvlText w:val="%6."/>
      <w:lvlJc w:val="right"/>
      <w:pPr>
        <w:ind w:left="4284" w:hanging="180"/>
      </w:pPr>
    </w:lvl>
    <w:lvl w:ilvl="6" w:tentative="1">
      <w:start w:val="1"/>
      <w:numFmt w:val="decimal"/>
      <w:lvlText w:val="%7."/>
      <w:lvlJc w:val="left"/>
      <w:pPr>
        <w:ind w:left="5004" w:hanging="360"/>
      </w:pPr>
    </w:lvl>
    <w:lvl w:ilvl="7" w:tentative="1">
      <w:start w:val="1"/>
      <w:numFmt w:val="lowerLetter"/>
      <w:lvlText w:val="%8."/>
      <w:lvlJc w:val="left"/>
      <w:pPr>
        <w:ind w:left="5724" w:hanging="360"/>
      </w:pPr>
    </w:lvl>
    <w:lvl w:ilvl="8" w:tentative="1">
      <w:start w:val="1"/>
      <w:numFmt w:val="lowerRoman"/>
      <w:lvlText w:val="%9."/>
      <w:lvlJc w:val="right"/>
      <w:pPr>
        <w:ind w:left="6444" w:hanging="180"/>
      </w:pPr>
    </w:lvl>
  </w:abstractNum>
  <w:abstractNum w:abstractNumId="2" w15:restartNumberingAfterBreak="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3" w15:restartNumberingAfterBreak="1">
    <w:nsid w:val="597940A7"/>
    <w:multiLevelType w:val="hybridMultilevel"/>
    <w:tmpl w:val="0BFC1E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4E"/>
    <w:rsid w:val="00014573"/>
    <w:rsid w:val="00015F6C"/>
    <w:rsid w:val="00026704"/>
    <w:rsid w:val="00035448"/>
    <w:rsid w:val="00042CB8"/>
    <w:rsid w:val="0005634E"/>
    <w:rsid w:val="00090279"/>
    <w:rsid w:val="00091D5C"/>
    <w:rsid w:val="000A2BEE"/>
    <w:rsid w:val="000B3C73"/>
    <w:rsid w:val="000B7129"/>
    <w:rsid w:val="000B7249"/>
    <w:rsid w:val="000C0432"/>
    <w:rsid w:val="000C2DD0"/>
    <w:rsid w:val="000D5824"/>
    <w:rsid w:val="00103000"/>
    <w:rsid w:val="00103B22"/>
    <w:rsid w:val="00125E73"/>
    <w:rsid w:val="00126740"/>
    <w:rsid w:val="001340D6"/>
    <w:rsid w:val="00145188"/>
    <w:rsid w:val="00195694"/>
    <w:rsid w:val="001A649A"/>
    <w:rsid w:val="001A710E"/>
    <w:rsid w:val="001B1922"/>
    <w:rsid w:val="001B4304"/>
    <w:rsid w:val="001C069A"/>
    <w:rsid w:val="001C2827"/>
    <w:rsid w:val="001C4263"/>
    <w:rsid w:val="001D08E9"/>
    <w:rsid w:val="001D29D6"/>
    <w:rsid w:val="001D2A16"/>
    <w:rsid w:val="001D7E97"/>
    <w:rsid w:val="001F7104"/>
    <w:rsid w:val="00202277"/>
    <w:rsid w:val="00235C03"/>
    <w:rsid w:val="00253C35"/>
    <w:rsid w:val="00257008"/>
    <w:rsid w:val="0029409E"/>
    <w:rsid w:val="002C1B47"/>
    <w:rsid w:val="002C2418"/>
    <w:rsid w:val="002C6713"/>
    <w:rsid w:val="002F280F"/>
    <w:rsid w:val="0032524F"/>
    <w:rsid w:val="003259FD"/>
    <w:rsid w:val="00327B1E"/>
    <w:rsid w:val="003A005C"/>
    <w:rsid w:val="003A020D"/>
    <w:rsid w:val="003C7649"/>
    <w:rsid w:val="0042061F"/>
    <w:rsid w:val="004227D9"/>
    <w:rsid w:val="00424D91"/>
    <w:rsid w:val="00443C4C"/>
    <w:rsid w:val="00453BA4"/>
    <w:rsid w:val="004778B3"/>
    <w:rsid w:val="004A5C0C"/>
    <w:rsid w:val="004B5BF4"/>
    <w:rsid w:val="004C3807"/>
    <w:rsid w:val="00535B68"/>
    <w:rsid w:val="00542318"/>
    <w:rsid w:val="00542E69"/>
    <w:rsid w:val="00587F35"/>
    <w:rsid w:val="00592D4F"/>
    <w:rsid w:val="00613C16"/>
    <w:rsid w:val="006412BE"/>
    <w:rsid w:val="00646A7B"/>
    <w:rsid w:val="00667283"/>
    <w:rsid w:val="006B7E5F"/>
    <w:rsid w:val="007018C0"/>
    <w:rsid w:val="007115D5"/>
    <w:rsid w:val="0071652D"/>
    <w:rsid w:val="007178D6"/>
    <w:rsid w:val="00763FEF"/>
    <w:rsid w:val="007743C0"/>
    <w:rsid w:val="0078322D"/>
    <w:rsid w:val="00785D38"/>
    <w:rsid w:val="007A0610"/>
    <w:rsid w:val="007B22E5"/>
    <w:rsid w:val="007B418F"/>
    <w:rsid w:val="007B4460"/>
    <w:rsid w:val="007D0C0A"/>
    <w:rsid w:val="007F5012"/>
    <w:rsid w:val="00841F3C"/>
    <w:rsid w:val="0084497C"/>
    <w:rsid w:val="00870273"/>
    <w:rsid w:val="0088077E"/>
    <w:rsid w:val="008B32CC"/>
    <w:rsid w:val="008F17A9"/>
    <w:rsid w:val="008F23F4"/>
    <w:rsid w:val="00901A2C"/>
    <w:rsid w:val="00915E39"/>
    <w:rsid w:val="00926AFD"/>
    <w:rsid w:val="00937565"/>
    <w:rsid w:val="0095600D"/>
    <w:rsid w:val="00994904"/>
    <w:rsid w:val="009955C4"/>
    <w:rsid w:val="009A18B5"/>
    <w:rsid w:val="009A5C5B"/>
    <w:rsid w:val="009A7B86"/>
    <w:rsid w:val="009B6F05"/>
    <w:rsid w:val="009C3C0C"/>
    <w:rsid w:val="009C55C2"/>
    <w:rsid w:val="009D3EF5"/>
    <w:rsid w:val="009E6AD1"/>
    <w:rsid w:val="009F1EFE"/>
    <w:rsid w:val="00A44FEC"/>
    <w:rsid w:val="00A4788F"/>
    <w:rsid w:val="00A54127"/>
    <w:rsid w:val="00A65241"/>
    <w:rsid w:val="00A911D6"/>
    <w:rsid w:val="00A9723B"/>
    <w:rsid w:val="00AB4E70"/>
    <w:rsid w:val="00B113C7"/>
    <w:rsid w:val="00B47736"/>
    <w:rsid w:val="00B54301"/>
    <w:rsid w:val="00B63AB0"/>
    <w:rsid w:val="00B83107"/>
    <w:rsid w:val="00B87A28"/>
    <w:rsid w:val="00BA572B"/>
    <w:rsid w:val="00BB162B"/>
    <w:rsid w:val="00BD79D6"/>
    <w:rsid w:val="00BE50A0"/>
    <w:rsid w:val="00C56B0D"/>
    <w:rsid w:val="00C75292"/>
    <w:rsid w:val="00C9434B"/>
    <w:rsid w:val="00CB40F0"/>
    <w:rsid w:val="00CB6259"/>
    <w:rsid w:val="00CD2555"/>
    <w:rsid w:val="00CE18AB"/>
    <w:rsid w:val="00D04A70"/>
    <w:rsid w:val="00D14B6C"/>
    <w:rsid w:val="00D40A66"/>
    <w:rsid w:val="00D7749E"/>
    <w:rsid w:val="00DA6BF5"/>
    <w:rsid w:val="00DA7A57"/>
    <w:rsid w:val="00DB0871"/>
    <w:rsid w:val="00E41ECF"/>
    <w:rsid w:val="00E51303"/>
    <w:rsid w:val="00E61511"/>
    <w:rsid w:val="00E93F9F"/>
    <w:rsid w:val="00E96A91"/>
    <w:rsid w:val="00EA0ABD"/>
    <w:rsid w:val="00EC3478"/>
    <w:rsid w:val="00EC45E6"/>
    <w:rsid w:val="00ED65F5"/>
    <w:rsid w:val="00EE478F"/>
    <w:rsid w:val="00EE4AC6"/>
    <w:rsid w:val="00EE566D"/>
    <w:rsid w:val="00F15085"/>
    <w:rsid w:val="00F33977"/>
    <w:rsid w:val="00F432B6"/>
    <w:rsid w:val="00F432C1"/>
    <w:rsid w:val="00F61BDA"/>
    <w:rsid w:val="00F87EA4"/>
    <w:rsid w:val="00F94A5D"/>
    <w:rsid w:val="00FB5CA3"/>
    <w:rsid w:val="00FB720A"/>
    <w:rsid w:val="00FD5186"/>
    <w:rsid w:val="00FD631B"/>
    <w:rsid w:val="00FF412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B07CE92-4CB7-4443-AD7B-1EB3EF65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4E"/>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634E"/>
    <w:pPr>
      <w:tabs>
        <w:tab w:val="center" w:pos="4320"/>
        <w:tab w:val="right" w:pos="8640"/>
      </w:tabs>
      <w:spacing w:after="0" w:line="240" w:lineRule="auto"/>
    </w:pPr>
  </w:style>
  <w:style w:type="character" w:customStyle="1" w:styleId="HeaderChar">
    <w:name w:val="Header Char"/>
    <w:basedOn w:val="DefaultParagraphFont"/>
    <w:link w:val="Header"/>
    <w:rsid w:val="0005634E"/>
    <w:rPr>
      <w:rFonts w:ascii="Calibri" w:eastAsia="Calibri" w:hAnsi="Calibri" w:cs="Times New Roman"/>
      <w:lang w:val="en-US"/>
    </w:rPr>
  </w:style>
  <w:style w:type="paragraph" w:styleId="BalloonText">
    <w:name w:val="Balloon Text"/>
    <w:basedOn w:val="Normal"/>
    <w:link w:val="BalloonTextChar"/>
    <w:uiPriority w:val="99"/>
    <w:semiHidden/>
    <w:unhideWhenUsed/>
    <w:rsid w:val="002F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0F"/>
    <w:rPr>
      <w:rFonts w:ascii="Segoe UI" w:eastAsia="Calibri" w:hAnsi="Segoe UI" w:cs="Segoe UI"/>
      <w:sz w:val="18"/>
      <w:szCs w:val="18"/>
      <w:lang w:val="en-US"/>
    </w:rPr>
  </w:style>
  <w:style w:type="paragraph" w:styleId="ListParagraph">
    <w:name w:val="List Paragraph"/>
    <w:basedOn w:val="Normal"/>
    <w:uiPriority w:val="34"/>
    <w:qFormat/>
    <w:rsid w:val="00EE566D"/>
    <w:pPr>
      <w:ind w:left="720"/>
      <w:contextualSpacing/>
    </w:pPr>
  </w:style>
  <w:style w:type="paragraph" w:styleId="Footer">
    <w:name w:val="footer"/>
    <w:basedOn w:val="Normal"/>
    <w:link w:val="FooterChar"/>
    <w:uiPriority w:val="99"/>
    <w:unhideWhenUsed/>
    <w:rsid w:val="00EE56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66D"/>
    <w:rPr>
      <w:rFonts w:ascii="Calibri" w:eastAsia="Calibri" w:hAnsi="Calibri" w:cs="Times New Roman"/>
      <w:lang w:val="en-US"/>
    </w:rPr>
  </w:style>
  <w:style w:type="character" w:styleId="Hyperlink">
    <w:name w:val="Hyperlink"/>
    <w:basedOn w:val="DefaultParagraphFont"/>
    <w:uiPriority w:val="99"/>
    <w:unhideWhenUsed/>
    <w:rsid w:val="000B3C73"/>
    <w:rPr>
      <w:color w:val="0563C1" w:themeColor="hyperlink"/>
      <w:u w:val="single"/>
    </w:rPr>
  </w:style>
  <w:style w:type="character" w:styleId="CommentReference">
    <w:name w:val="annotation reference"/>
    <w:basedOn w:val="DefaultParagraphFont"/>
    <w:uiPriority w:val="99"/>
    <w:semiHidden/>
    <w:unhideWhenUsed/>
    <w:rsid w:val="00E61511"/>
    <w:rPr>
      <w:sz w:val="16"/>
      <w:szCs w:val="16"/>
    </w:rPr>
  </w:style>
  <w:style w:type="paragraph" w:styleId="CommentText">
    <w:name w:val="annotation text"/>
    <w:basedOn w:val="Normal"/>
    <w:link w:val="CommentTextChar"/>
    <w:uiPriority w:val="99"/>
    <w:semiHidden/>
    <w:unhideWhenUsed/>
    <w:rsid w:val="00E61511"/>
    <w:pPr>
      <w:spacing w:line="240" w:lineRule="auto"/>
    </w:pPr>
    <w:rPr>
      <w:sz w:val="20"/>
      <w:szCs w:val="20"/>
    </w:rPr>
  </w:style>
  <w:style w:type="character" w:customStyle="1" w:styleId="CommentTextChar">
    <w:name w:val="Comment Text Char"/>
    <w:basedOn w:val="DefaultParagraphFont"/>
    <w:link w:val="CommentText"/>
    <w:uiPriority w:val="99"/>
    <w:semiHidden/>
    <w:rsid w:val="00E6151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1511"/>
    <w:rPr>
      <w:b/>
      <w:bCs/>
    </w:rPr>
  </w:style>
  <w:style w:type="character" w:customStyle="1" w:styleId="CommentSubjectChar">
    <w:name w:val="Comment Subject Char"/>
    <w:basedOn w:val="CommentTextChar"/>
    <w:link w:val="CommentSubject"/>
    <w:uiPriority w:val="99"/>
    <w:semiHidden/>
    <w:rsid w:val="00E61511"/>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3BC4-9BF4-4E76-ADD3-8227FF7D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1700</Words>
  <Characters>969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protokollēmums '' Informatīvais ziņojums „Par invazīvām svešzemju sugām un kompetenču sadalījumu"''</vt:lpstr>
    </vt:vector>
  </TitlesOfParts>
  <Company>VARAM</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protokollēmums '' Informatīvais ziņojums „Par invazīvām svešzemju sugām un kompetenču sadalījumu"''</dc:title>
  <dc:subject>MK protokollēmums</dc:subject>
  <dc:creator>Mikus.Jekabsons@varam.gov.lv</dc:creator>
  <dc:description>S.Bunere, 67026917_x000D_
sabine.bunere@varam.gov.lv</dc:description>
  <cp:lastModifiedBy>Diāna Andžāne</cp:lastModifiedBy>
  <cp:revision>8</cp:revision>
  <cp:lastPrinted>2017-09-15T05:48:00Z</cp:lastPrinted>
  <dcterms:created xsi:type="dcterms:W3CDTF">2018-01-31T11:32:00Z</dcterms:created>
  <dcterms:modified xsi:type="dcterms:W3CDTF">2018-02-02T06:57:00Z</dcterms:modified>
</cp:coreProperties>
</file>