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11084" w:rsidRPr="005B72AA" w:rsidP="0051473C" w14:paraId="72CF2286" w14:textId="77777777">
      <w:pPr>
        <w:rPr>
          <w:rFonts w:cs="Times New Roman"/>
          <w:b/>
          <w:sz w:val="24"/>
          <w:szCs w:val="24"/>
          <w:lang w:val="lv-LV"/>
        </w:rPr>
      </w:pPr>
      <w:bookmarkStart w:id="0" w:name="_Hlk231351500"/>
    </w:p>
    <w:p w:rsidR="00911084" w:rsidRPr="005B72AA" w:rsidP="0051473C" w14:paraId="0F6C679E" w14:textId="77777777">
      <w:pPr>
        <w:rPr>
          <w:rFonts w:cs="Times New Roman"/>
          <w:b/>
          <w:sz w:val="24"/>
          <w:szCs w:val="24"/>
          <w:lang w:val="lv-LV"/>
        </w:rPr>
      </w:pPr>
    </w:p>
    <w:p w:rsidR="00911084" w:rsidRPr="005B72AA" w:rsidP="0051473C" w14:paraId="4CCFD278" w14:textId="77777777">
      <w:pPr>
        <w:rPr>
          <w:rFonts w:cs="Times New Roman"/>
          <w:b/>
          <w:sz w:val="24"/>
          <w:szCs w:val="24"/>
          <w:lang w:val="lv-LV"/>
        </w:rPr>
      </w:pPr>
    </w:p>
    <w:p w:rsidR="00911084" w:rsidRPr="005B72AA" w:rsidP="0051473C" w14:paraId="5BCA16AA" w14:textId="77777777">
      <w:pPr>
        <w:rPr>
          <w:rFonts w:cs="Times New Roman"/>
          <w:b/>
          <w:sz w:val="24"/>
          <w:szCs w:val="24"/>
          <w:lang w:val="lv-LV"/>
        </w:rPr>
      </w:pPr>
    </w:p>
    <w:p w:rsidR="00911084" w:rsidRPr="005B72AA" w:rsidP="0051473C" w14:paraId="72D46620" w14:textId="77777777">
      <w:pPr>
        <w:rPr>
          <w:rFonts w:cs="Times New Roman"/>
          <w:b/>
          <w:sz w:val="24"/>
          <w:szCs w:val="24"/>
          <w:lang w:val="lv-LV"/>
        </w:rPr>
      </w:pPr>
    </w:p>
    <w:p w:rsidR="00911084" w:rsidRPr="005B72AA" w:rsidP="0051473C" w14:paraId="595EC8D1" w14:textId="77777777">
      <w:pPr>
        <w:rPr>
          <w:rFonts w:cs="Times New Roman"/>
          <w:b/>
          <w:sz w:val="24"/>
          <w:szCs w:val="24"/>
          <w:lang w:val="lv-LV"/>
        </w:rPr>
      </w:pPr>
    </w:p>
    <w:p w:rsidR="00911084" w:rsidRPr="005B72AA" w:rsidP="0051473C" w14:paraId="244AE90C" w14:textId="77777777">
      <w:pPr>
        <w:rPr>
          <w:rFonts w:cs="Times New Roman"/>
          <w:b/>
          <w:sz w:val="24"/>
          <w:szCs w:val="24"/>
          <w:lang w:val="lv-LV"/>
        </w:rPr>
      </w:pPr>
    </w:p>
    <w:p w:rsidR="00911084" w:rsidRPr="005B72AA" w:rsidP="0051473C" w14:paraId="68DB3325" w14:textId="77777777">
      <w:pPr>
        <w:rPr>
          <w:rFonts w:cs="Times New Roman"/>
          <w:b/>
          <w:sz w:val="24"/>
          <w:szCs w:val="24"/>
          <w:lang w:val="lv-LV"/>
        </w:rPr>
      </w:pPr>
    </w:p>
    <w:p w:rsidR="00911084" w:rsidRPr="005B72AA" w:rsidP="0051473C" w14:paraId="718DFA81" w14:textId="77777777">
      <w:pPr>
        <w:rPr>
          <w:rFonts w:cs="Times New Roman"/>
          <w:b/>
          <w:sz w:val="24"/>
          <w:szCs w:val="24"/>
          <w:lang w:val="lv-LV"/>
        </w:rPr>
      </w:pPr>
    </w:p>
    <w:p w:rsidR="00911084" w:rsidRPr="00855036" w:rsidP="00B14C4F" w14:paraId="76D69E75" w14:textId="42418AD5">
      <w:pPr>
        <w:tabs>
          <w:tab w:val="left" w:pos="2310"/>
        </w:tabs>
        <w:rPr>
          <w:rFonts w:cs="Times New Roman"/>
          <w:b/>
          <w:szCs w:val="28"/>
          <w:lang w:val="lv-LV"/>
        </w:rPr>
      </w:pPr>
      <w:r>
        <w:rPr>
          <w:rFonts w:cs="Times New Roman"/>
          <w:b/>
          <w:sz w:val="24"/>
          <w:szCs w:val="24"/>
          <w:lang w:val="lv-LV"/>
        </w:rPr>
        <w:tab/>
      </w:r>
    </w:p>
    <w:p w:rsidR="00B14C4F" w:rsidRPr="00855036" w:rsidP="00B10F7F" w14:paraId="6777DF93" w14:textId="77777777">
      <w:pPr>
        <w:jc w:val="center"/>
        <w:rPr>
          <w:rFonts w:cs="Times New Roman"/>
          <w:b/>
          <w:szCs w:val="28"/>
          <w:lang w:val="lv-LV"/>
        </w:rPr>
      </w:pPr>
      <w:r w:rsidRPr="00855036">
        <w:rPr>
          <w:rFonts w:cs="Times New Roman"/>
          <w:b/>
          <w:szCs w:val="28"/>
          <w:lang w:val="lv-LV"/>
        </w:rPr>
        <w:t xml:space="preserve">Informatīvais ziņojums </w:t>
      </w:r>
      <w:bookmarkEnd w:id="0"/>
    </w:p>
    <w:p w:rsidR="00044A74" w:rsidRPr="00855036" w:rsidP="00B10F7F" w14:paraId="324F40C6" w14:textId="7CC8EE34">
      <w:pPr>
        <w:jc w:val="center"/>
        <w:rPr>
          <w:rFonts w:cs="Times New Roman"/>
          <w:b/>
          <w:szCs w:val="28"/>
          <w:lang w:val="lv-LV"/>
        </w:rPr>
      </w:pPr>
      <w:r w:rsidRPr="00855036">
        <w:rPr>
          <w:rFonts w:cs="Times New Roman"/>
          <w:b/>
          <w:szCs w:val="28"/>
          <w:lang w:val="lv-LV"/>
        </w:rPr>
        <w:t>„Par veicamajiem pasākumiem Digitālās ekonomikas un sabiedrības indikatora</w:t>
      </w:r>
      <w:r w:rsidRPr="00855036" w:rsidR="008E5D8E">
        <w:rPr>
          <w:rFonts w:cs="Times New Roman"/>
          <w:b/>
          <w:szCs w:val="28"/>
          <w:lang w:val="lv-LV"/>
        </w:rPr>
        <w:t xml:space="preserve"> </w:t>
      </w:r>
      <w:r w:rsidRPr="00855036">
        <w:rPr>
          <w:rFonts w:cs="Times New Roman"/>
          <w:b/>
          <w:szCs w:val="28"/>
          <w:lang w:val="lv-LV"/>
        </w:rPr>
        <w:t>Latvijas rādītāju uzlabošanai”</w:t>
      </w:r>
    </w:p>
    <w:p w:rsidR="00CE06A8" w:rsidRPr="00855036" w:rsidP="00911084" w14:paraId="2574ADCB" w14:textId="77777777">
      <w:pPr>
        <w:jc w:val="center"/>
        <w:rPr>
          <w:rFonts w:cs="Times New Roman"/>
          <w:b/>
          <w:szCs w:val="28"/>
          <w:lang w:val="lv-LV"/>
        </w:rPr>
      </w:pPr>
    </w:p>
    <w:p w:rsidR="00911084" w:rsidRPr="00855036" w:rsidP="0051473C" w14:paraId="4CD7D9EF" w14:textId="77777777">
      <w:pPr>
        <w:rPr>
          <w:rFonts w:cs="Times New Roman"/>
          <w:b/>
          <w:szCs w:val="28"/>
          <w:lang w:val="lv-LV"/>
        </w:rPr>
      </w:pPr>
    </w:p>
    <w:p w:rsidR="00911084" w:rsidRPr="00855036" w:rsidP="0051473C" w14:paraId="0FD0958C" w14:textId="77777777">
      <w:pPr>
        <w:rPr>
          <w:rFonts w:cs="Times New Roman"/>
          <w:b/>
          <w:szCs w:val="28"/>
          <w:lang w:val="lv-LV"/>
        </w:rPr>
      </w:pPr>
    </w:p>
    <w:p w:rsidR="00911084" w:rsidRPr="00855036" w:rsidP="0051473C" w14:paraId="5005C8AA" w14:textId="77777777">
      <w:pPr>
        <w:rPr>
          <w:rFonts w:cs="Times New Roman"/>
          <w:b/>
          <w:szCs w:val="28"/>
          <w:lang w:val="lv-LV"/>
        </w:rPr>
      </w:pPr>
    </w:p>
    <w:p w:rsidR="00911084" w:rsidRPr="00855036" w:rsidP="0051473C" w14:paraId="08F0136D" w14:textId="77777777">
      <w:pPr>
        <w:rPr>
          <w:rFonts w:cs="Times New Roman"/>
          <w:b/>
          <w:szCs w:val="28"/>
          <w:lang w:val="lv-LV"/>
        </w:rPr>
      </w:pPr>
    </w:p>
    <w:p w:rsidR="00911084" w:rsidRPr="00855036" w:rsidP="0051473C" w14:paraId="7D260520" w14:textId="77777777">
      <w:pPr>
        <w:rPr>
          <w:rFonts w:cs="Times New Roman"/>
          <w:b/>
          <w:szCs w:val="28"/>
          <w:lang w:val="lv-LV"/>
        </w:rPr>
      </w:pPr>
    </w:p>
    <w:p w:rsidR="00911084" w:rsidRPr="00855036" w:rsidP="0051473C" w14:paraId="369F963C" w14:textId="77777777">
      <w:pPr>
        <w:rPr>
          <w:rFonts w:cs="Times New Roman"/>
          <w:b/>
          <w:szCs w:val="28"/>
          <w:lang w:val="lv-LV"/>
        </w:rPr>
      </w:pPr>
    </w:p>
    <w:p w:rsidR="00911084" w:rsidRPr="00855036" w:rsidP="0051473C" w14:paraId="23534E25" w14:textId="77777777">
      <w:pPr>
        <w:rPr>
          <w:rFonts w:cs="Times New Roman"/>
          <w:b/>
          <w:szCs w:val="28"/>
          <w:lang w:val="lv-LV"/>
        </w:rPr>
      </w:pPr>
    </w:p>
    <w:p w:rsidR="00911084" w:rsidRPr="00855036" w:rsidP="0051473C" w14:paraId="4DE9ACD2" w14:textId="77777777">
      <w:pPr>
        <w:rPr>
          <w:rFonts w:cs="Times New Roman"/>
          <w:b/>
          <w:szCs w:val="28"/>
          <w:lang w:val="lv-LV"/>
        </w:rPr>
      </w:pPr>
    </w:p>
    <w:p w:rsidR="00911084" w:rsidRPr="00855036" w:rsidP="0051473C" w14:paraId="1897C3CA" w14:textId="77777777">
      <w:pPr>
        <w:rPr>
          <w:rFonts w:cs="Times New Roman"/>
          <w:b/>
          <w:szCs w:val="28"/>
          <w:lang w:val="lv-LV"/>
        </w:rPr>
      </w:pPr>
    </w:p>
    <w:p w:rsidR="00911084" w:rsidRPr="00855036" w:rsidP="0051473C" w14:paraId="113EEB83" w14:textId="77777777">
      <w:pPr>
        <w:rPr>
          <w:rFonts w:cs="Times New Roman"/>
          <w:b/>
          <w:szCs w:val="28"/>
          <w:lang w:val="lv-LV"/>
        </w:rPr>
      </w:pPr>
    </w:p>
    <w:p w:rsidR="00911084" w:rsidRPr="00855036" w:rsidP="0051473C" w14:paraId="35DDACE0" w14:textId="77777777">
      <w:pPr>
        <w:rPr>
          <w:rFonts w:cs="Times New Roman"/>
          <w:b/>
          <w:szCs w:val="28"/>
          <w:lang w:val="lv-LV"/>
        </w:rPr>
      </w:pPr>
    </w:p>
    <w:p w:rsidR="00911084" w:rsidRPr="00855036" w:rsidP="0051473C" w14:paraId="143DCE44" w14:textId="77777777">
      <w:pPr>
        <w:rPr>
          <w:rFonts w:cs="Times New Roman"/>
          <w:b/>
          <w:szCs w:val="28"/>
          <w:lang w:val="lv-LV"/>
        </w:rPr>
      </w:pPr>
    </w:p>
    <w:p w:rsidR="00DA0C64" w:rsidRPr="00855036" w:rsidP="0051473C" w14:paraId="3E45D8CB" w14:textId="77777777">
      <w:pPr>
        <w:rPr>
          <w:rFonts w:cs="Times New Roman"/>
          <w:b/>
          <w:szCs w:val="28"/>
          <w:lang w:val="lv-LV"/>
        </w:rPr>
      </w:pPr>
    </w:p>
    <w:p w:rsidR="00B14C4F" w:rsidRPr="00855036" w:rsidP="00911084" w14:paraId="43673EFF" w14:textId="77777777">
      <w:pPr>
        <w:spacing w:after="0"/>
        <w:rPr>
          <w:rFonts w:eastAsia="Calibri" w:cs="Times New Roman"/>
          <w:b/>
          <w:bCs/>
          <w:szCs w:val="28"/>
          <w:lang w:val="lv-LV"/>
        </w:rPr>
      </w:pPr>
    </w:p>
    <w:p w:rsidR="00B14C4F" w:rsidRPr="00855036" w:rsidP="00911084" w14:paraId="6AE88B16" w14:textId="77777777">
      <w:pPr>
        <w:spacing w:after="0"/>
        <w:rPr>
          <w:rFonts w:eastAsia="Calibri" w:cs="Times New Roman"/>
          <w:b/>
          <w:bCs/>
          <w:szCs w:val="28"/>
          <w:lang w:val="lv-LV"/>
        </w:rPr>
      </w:pPr>
    </w:p>
    <w:p w:rsidR="00B14C4F" w:rsidRPr="00855036" w:rsidP="00911084" w14:paraId="762CABA6" w14:textId="77777777">
      <w:pPr>
        <w:spacing w:after="0"/>
        <w:rPr>
          <w:rFonts w:eastAsia="Calibri" w:cs="Times New Roman"/>
          <w:b/>
          <w:bCs/>
          <w:szCs w:val="28"/>
          <w:lang w:val="lv-LV"/>
        </w:rPr>
      </w:pPr>
    </w:p>
    <w:sdt>
      <w:sdtPr>
        <w:rPr>
          <w:rFonts w:ascii="Times New Roman" w:hAnsi="Times New Roman" w:eastAsiaTheme="minorHAnsi" w:cstheme="minorBidi"/>
          <w:color w:val="auto"/>
          <w:sz w:val="28"/>
          <w:szCs w:val="22"/>
        </w:rPr>
        <w:id w:val="667269653"/>
        <w:docPartObj>
          <w:docPartGallery w:val="Table of Contents"/>
          <w:docPartUnique/>
        </w:docPartObj>
      </w:sdtPr>
      <w:sdtEndPr>
        <w:rPr>
          <w:b/>
          <w:bCs/>
          <w:noProof/>
        </w:rPr>
      </w:sdtEndPr>
      <w:sdtContent>
        <w:p w:rsidR="007A315E" w:rsidRPr="007A315E" w14:paraId="460AA4DA" w14:textId="3DF592F1">
          <w:pPr>
            <w:pStyle w:val="TOCHeading"/>
            <w:rPr>
              <w:rFonts w:ascii="Times New Roman" w:hAnsi="Times New Roman" w:cs="Times New Roman"/>
              <w:b/>
              <w:color w:val="auto"/>
            </w:rPr>
          </w:pPr>
          <w:r w:rsidRPr="007A315E">
            <w:rPr>
              <w:rFonts w:ascii="Times New Roman" w:hAnsi="Times New Roman" w:cs="Times New Roman"/>
              <w:b/>
              <w:color w:val="auto"/>
            </w:rPr>
            <w:t>SATURS</w:t>
          </w:r>
        </w:p>
        <w:p>
          <w:pPr>
            <w:pStyle w:val="TOC1"/>
            <w:tabs>
              <w:tab w:val="left" w:pos="1320"/>
              <w:tab w:val="right" w:leader="dot" w:pos="9395"/>
            </w:tabs>
            <w:rPr>
              <w:rFonts w:asciiTheme="minorHAnsi" w:hAnsiTheme="minorHAnsi"/>
              <w:noProof/>
              <w:sz w:val="22"/>
            </w:rPr>
          </w:pPr>
          <w:r w:rsidRPr="006631CB">
            <w:rPr>
              <w:sz w:val="26"/>
              <w:szCs w:val="26"/>
            </w:rPr>
            <w:fldChar w:fldCharType="begin"/>
          </w:r>
          <w:r w:rsidRPr="006631CB">
            <w:rPr>
              <w:sz w:val="26"/>
              <w:szCs w:val="26"/>
            </w:rPr>
            <w:instrText xml:space="preserve"> TOC \o "1-3" \h \z \u </w:instrText>
          </w:r>
          <w:r w:rsidRPr="006631CB">
            <w:rPr>
              <w:sz w:val="26"/>
              <w:szCs w:val="26"/>
            </w:rPr>
            <w:fldChar w:fldCharType="separate"/>
          </w:r>
          <w:r>
            <w:fldChar w:fldCharType="begin"/>
          </w:r>
          <w:r>
            <w:instrText xml:space="preserve"> HYPERLINK \l "_Toc256000020" </w:instrText>
          </w:r>
          <w:r>
            <w:fldChar w:fldCharType="separate"/>
          </w:r>
          <w:r>
            <w:rPr>
              <w:rStyle w:val="Hyperlink"/>
              <w:lang w:val="lv-LV"/>
            </w:rPr>
            <w:t>1.</w:t>
          </w:r>
          <w:r>
            <w:rPr>
              <w:rFonts w:asciiTheme="minorHAnsi" w:hAnsiTheme="minorHAnsi"/>
              <w:noProof/>
              <w:sz w:val="22"/>
              <w:lang w:val="lv-LV"/>
            </w:rPr>
            <w:tab/>
          </w:r>
          <w:r w:rsidRPr="00855036">
            <w:rPr>
              <w:rStyle w:val="Hyperlink"/>
              <w:lang w:val="lv-LV"/>
            </w:rPr>
            <w:t>Ieva</w:t>
          </w:r>
          <w:r w:rsidRPr="00B54568">
            <w:rPr>
              <w:rStyle w:val="Hyperlink"/>
              <w:lang w:val="lv-LV"/>
            </w:rPr>
            <w:t>ds</w:t>
          </w:r>
          <w:r>
            <w:tab/>
          </w:r>
          <w:r>
            <w:fldChar w:fldCharType="begin"/>
          </w:r>
          <w:r>
            <w:instrText xml:space="preserve"> PAGEREF _Toc256000020 \h </w:instrText>
          </w:r>
          <w:r>
            <w:fldChar w:fldCharType="separate"/>
          </w:r>
          <w:r>
            <w:t>3</w:t>
          </w:r>
          <w:r>
            <w:fldChar w:fldCharType="end"/>
          </w:r>
          <w:r>
            <w:fldChar w:fldCharType="end"/>
          </w:r>
        </w:p>
        <w:p>
          <w:pPr>
            <w:pStyle w:val="TOC1"/>
            <w:tabs>
              <w:tab w:val="left" w:pos="1320"/>
              <w:tab w:val="right" w:leader="dot" w:pos="9395"/>
            </w:tabs>
            <w:rPr>
              <w:rFonts w:asciiTheme="minorHAnsi" w:hAnsiTheme="minorHAnsi"/>
              <w:noProof/>
              <w:sz w:val="22"/>
            </w:rPr>
          </w:pPr>
          <w:r>
            <w:fldChar w:fldCharType="begin"/>
          </w:r>
          <w:r>
            <w:instrText xml:space="preserve"> HYPERLINK \l "_Toc256000021" </w:instrText>
          </w:r>
          <w:r>
            <w:fldChar w:fldCharType="separate"/>
          </w:r>
          <w:r>
            <w:rPr>
              <w:rStyle w:val="Hyperlink"/>
              <w:lang w:val="lv-LV"/>
            </w:rPr>
            <w:t>2.</w:t>
          </w:r>
          <w:r>
            <w:rPr>
              <w:rFonts w:asciiTheme="minorHAnsi" w:hAnsiTheme="minorHAnsi"/>
              <w:noProof/>
              <w:sz w:val="22"/>
              <w:lang w:val="lv-LV"/>
            </w:rPr>
            <w:tab/>
          </w:r>
          <w:r w:rsidRPr="002934A4">
            <w:rPr>
              <w:rStyle w:val="Hyperlink"/>
              <w:lang w:val="lv-LV"/>
            </w:rPr>
            <w:t xml:space="preserve">DESI </w:t>
          </w:r>
          <w:r w:rsidRPr="002934A4" w:rsidR="00F90F57">
            <w:rPr>
              <w:rStyle w:val="Hyperlink"/>
              <w:lang w:val="lv-LV"/>
            </w:rPr>
            <w:t xml:space="preserve">indeksa </w:t>
          </w:r>
          <w:r w:rsidRPr="002934A4" w:rsidR="002934A4">
            <w:rPr>
              <w:rStyle w:val="Hyperlink"/>
              <w:lang w:val="lv-LV"/>
            </w:rPr>
            <w:t xml:space="preserve">datu avoti un </w:t>
          </w:r>
          <w:r w:rsidRPr="002934A4" w:rsidR="003116B5">
            <w:rPr>
              <w:rStyle w:val="Hyperlink"/>
              <w:lang w:val="lv-LV"/>
            </w:rPr>
            <w:t>struktūra</w:t>
          </w:r>
          <w:r>
            <w:tab/>
          </w:r>
          <w:r>
            <w:fldChar w:fldCharType="begin"/>
          </w:r>
          <w:r>
            <w:instrText xml:space="preserve"> PAGEREF _Toc256000021 \h </w:instrText>
          </w:r>
          <w:r>
            <w:fldChar w:fldCharType="separate"/>
          </w:r>
          <w:r>
            <w:t>4</w:t>
          </w:r>
          <w:r>
            <w:fldChar w:fldCharType="end"/>
          </w:r>
          <w:r>
            <w:fldChar w:fldCharType="end"/>
          </w:r>
        </w:p>
        <w:p>
          <w:pPr>
            <w:pStyle w:val="TOC1"/>
            <w:tabs>
              <w:tab w:val="left" w:pos="1320"/>
              <w:tab w:val="right" w:leader="dot" w:pos="9395"/>
            </w:tabs>
            <w:rPr>
              <w:rFonts w:asciiTheme="minorHAnsi" w:hAnsiTheme="minorHAnsi"/>
              <w:noProof/>
              <w:sz w:val="22"/>
            </w:rPr>
          </w:pPr>
          <w:r>
            <w:fldChar w:fldCharType="begin"/>
          </w:r>
          <w:r>
            <w:instrText xml:space="preserve"> HYPERLINK \l "_Toc256000022" </w:instrText>
          </w:r>
          <w:r>
            <w:fldChar w:fldCharType="separate"/>
          </w:r>
          <w:r>
            <w:rPr>
              <w:rStyle w:val="Hyperlink"/>
              <w:lang w:val="lv-LV"/>
            </w:rPr>
            <w:t>3.</w:t>
          </w:r>
          <w:r>
            <w:rPr>
              <w:rFonts w:asciiTheme="minorHAnsi" w:hAnsiTheme="minorHAnsi"/>
              <w:noProof/>
              <w:sz w:val="22"/>
              <w:lang w:val="lv-LV"/>
            </w:rPr>
            <w:tab/>
          </w:r>
          <w:r w:rsidRPr="0039098F">
            <w:rPr>
              <w:rStyle w:val="Hyperlink"/>
              <w:lang w:val="lv-LV"/>
            </w:rPr>
            <w:t>D</w:t>
          </w:r>
          <w:r w:rsidRPr="0039098F" w:rsidR="008C069F">
            <w:rPr>
              <w:rStyle w:val="Hyperlink"/>
              <w:lang w:val="lv-LV"/>
            </w:rPr>
            <w:t>igitālās eko</w:t>
          </w:r>
          <w:r w:rsidRPr="0039098F">
            <w:rPr>
              <w:rStyle w:val="Hyperlink"/>
              <w:lang w:val="lv-LV"/>
            </w:rPr>
            <w:t>nomikas un sabiedrības situācijas novērtējums</w:t>
          </w:r>
          <w:r w:rsidRPr="0039098F" w:rsidR="008C069F">
            <w:rPr>
              <w:rStyle w:val="Hyperlink"/>
              <w:lang w:val="lv-LV"/>
            </w:rPr>
            <w:t xml:space="preserve"> </w:t>
          </w:r>
          <w:r w:rsidRPr="0039098F" w:rsidR="001736C1">
            <w:rPr>
              <w:rStyle w:val="Hyperlink"/>
              <w:lang w:val="lv-LV"/>
            </w:rPr>
            <w:t>Latvijā</w:t>
          </w:r>
          <w:r w:rsidRPr="0039098F" w:rsidR="001736C1">
            <w:rPr>
              <w:rStyle w:val="Hyperlink"/>
              <w:lang w:val="lv-LV"/>
            </w:rPr>
            <w:t xml:space="preserve"> </w:t>
          </w:r>
          <w:r w:rsidRPr="0039098F" w:rsidR="008C069F">
            <w:rPr>
              <w:rStyle w:val="Hyperlink"/>
              <w:lang w:val="lv-LV"/>
            </w:rPr>
            <w:t>saskaņā ar DESI</w:t>
          </w:r>
          <w:r w:rsidRPr="0039098F" w:rsidR="001736C1">
            <w:rPr>
              <w:rStyle w:val="Hyperlink"/>
              <w:lang w:val="lv-LV"/>
            </w:rPr>
            <w:t xml:space="preserve"> </w:t>
          </w:r>
          <w:r w:rsidRPr="0039098F" w:rsidR="008B7D47">
            <w:rPr>
              <w:rStyle w:val="Hyperlink"/>
              <w:lang w:val="lv-LV"/>
            </w:rPr>
            <w:t xml:space="preserve">indeksa </w:t>
          </w:r>
          <w:r w:rsidRPr="0039098F" w:rsidR="001736C1">
            <w:rPr>
              <w:rStyle w:val="Hyperlink"/>
              <w:lang w:val="lv-LV"/>
            </w:rPr>
            <w:t>rādītājiem 2017.</w:t>
          </w:r>
          <w:r w:rsidRPr="0039098F" w:rsidR="008B7D47">
            <w:rPr>
              <w:rStyle w:val="Hyperlink"/>
              <w:lang w:val="lv-LV"/>
            </w:rPr>
            <w:t> </w:t>
          </w:r>
          <w:r w:rsidRPr="0039098F" w:rsidR="001736C1">
            <w:rPr>
              <w:rStyle w:val="Hyperlink"/>
              <w:lang w:val="lv-LV"/>
            </w:rPr>
            <w:t>gadā</w:t>
          </w:r>
          <w:r>
            <w:tab/>
          </w:r>
          <w:r>
            <w:fldChar w:fldCharType="begin"/>
          </w:r>
          <w:r>
            <w:instrText xml:space="preserve"> PAGEREF _Toc256000022 \h </w:instrText>
          </w:r>
          <w:r>
            <w:fldChar w:fldCharType="separate"/>
          </w:r>
          <w:r>
            <w:t>6</w:t>
          </w:r>
          <w:r>
            <w:fldChar w:fldCharType="end"/>
          </w:r>
          <w:r>
            <w:fldChar w:fldCharType="end"/>
          </w:r>
        </w:p>
        <w:p>
          <w:pPr>
            <w:pStyle w:val="TOC2"/>
            <w:rPr>
              <w:rFonts w:asciiTheme="minorHAnsi" w:hAnsiTheme="minorHAnsi"/>
              <w:noProof/>
              <w:sz w:val="22"/>
            </w:rPr>
          </w:pPr>
          <w:r>
            <w:fldChar w:fldCharType="begin"/>
          </w:r>
          <w:r>
            <w:instrText xml:space="preserve"> HYPERLINK \l "_Toc256000023" </w:instrText>
          </w:r>
          <w:r>
            <w:fldChar w:fldCharType="separate"/>
          </w:r>
          <w:r>
            <w:rPr>
              <w:rStyle w:val="Hyperlink"/>
              <w:lang w:val="lv-LV"/>
            </w:rPr>
            <w:t>3.1.</w:t>
          </w:r>
          <w:r>
            <w:rPr>
              <w:rFonts w:asciiTheme="minorHAnsi" w:hAnsiTheme="minorHAnsi"/>
              <w:noProof/>
              <w:sz w:val="22"/>
              <w:lang w:val="lv-LV"/>
            </w:rPr>
            <w:tab/>
          </w:r>
          <w:r w:rsidRPr="002934A4">
            <w:rPr>
              <w:rStyle w:val="Hyperlink"/>
              <w:lang w:val="lv-LV"/>
            </w:rPr>
            <w:t>Latvijas sniegums</w:t>
          </w:r>
          <w:r w:rsidRPr="002934A4" w:rsidR="007C126F">
            <w:rPr>
              <w:rStyle w:val="Hyperlink"/>
              <w:lang w:val="lv-LV"/>
            </w:rPr>
            <w:t xml:space="preserve"> </w:t>
          </w:r>
          <w:r w:rsidRPr="002934A4" w:rsidR="00ED7662">
            <w:rPr>
              <w:rStyle w:val="Hyperlink"/>
              <w:lang w:val="lv-LV"/>
            </w:rPr>
            <w:t xml:space="preserve">DESI </w:t>
          </w:r>
          <w:r w:rsidRPr="002934A4" w:rsidR="007E5D5F">
            <w:rPr>
              <w:rStyle w:val="Hyperlink"/>
              <w:lang w:val="lv-LV"/>
            </w:rPr>
            <w:t>indeks</w:t>
          </w:r>
          <w:r w:rsidRPr="002934A4" w:rsidR="00DA0C64">
            <w:rPr>
              <w:rStyle w:val="Hyperlink"/>
              <w:lang w:val="lv-LV"/>
            </w:rPr>
            <w:t>a rādītājā</w:t>
          </w:r>
          <w:r w:rsidRPr="002934A4" w:rsidR="007E5D5F">
            <w:rPr>
              <w:rStyle w:val="Hyperlink"/>
              <w:lang w:val="lv-LV"/>
            </w:rPr>
            <w:t xml:space="preserve"> “S</w:t>
          </w:r>
          <w:r w:rsidRPr="002934A4" w:rsidR="007C126F">
            <w:rPr>
              <w:rStyle w:val="Hyperlink"/>
              <w:lang w:val="lv-LV"/>
            </w:rPr>
            <w:t>avienojamība</w:t>
          </w:r>
          <w:r w:rsidRPr="002934A4" w:rsidR="007E5D5F">
            <w:rPr>
              <w:rStyle w:val="Hyperlink"/>
              <w:lang w:val="lv-LV"/>
            </w:rPr>
            <w:t>”</w:t>
          </w:r>
          <w:r>
            <w:tab/>
          </w:r>
          <w:r>
            <w:fldChar w:fldCharType="begin"/>
          </w:r>
          <w:r>
            <w:instrText xml:space="preserve"> PAGEREF _Toc256000023 \h </w:instrText>
          </w:r>
          <w:r>
            <w:fldChar w:fldCharType="separate"/>
          </w:r>
          <w:r>
            <w:t>6</w:t>
          </w:r>
          <w:r>
            <w:fldChar w:fldCharType="end"/>
          </w:r>
          <w:r>
            <w:fldChar w:fldCharType="end"/>
          </w:r>
        </w:p>
        <w:p>
          <w:pPr>
            <w:pStyle w:val="TOC2"/>
            <w:rPr>
              <w:rFonts w:asciiTheme="minorHAnsi" w:hAnsiTheme="minorHAnsi"/>
              <w:noProof/>
              <w:sz w:val="22"/>
            </w:rPr>
          </w:pPr>
          <w:r>
            <w:fldChar w:fldCharType="begin"/>
          </w:r>
          <w:r>
            <w:instrText xml:space="preserve"> HYPERLINK \l "_Toc256000024" </w:instrText>
          </w:r>
          <w:r>
            <w:fldChar w:fldCharType="separate"/>
          </w:r>
          <w:r w:rsidRPr="00855036">
            <w:rPr>
              <w:rStyle w:val="Hyperlink"/>
              <w:lang w:val="lv-LV"/>
            </w:rPr>
            <w:t xml:space="preserve">Institūciju </w:t>
          </w:r>
          <w:r w:rsidRPr="00855036" w:rsidR="00137287">
            <w:rPr>
              <w:rStyle w:val="Hyperlink"/>
              <w:lang w:val="lv-LV"/>
            </w:rPr>
            <w:t>sniegtie priekšli</w:t>
          </w:r>
          <w:r w:rsidRPr="00855036" w:rsidR="00CB6572">
            <w:rPr>
              <w:rStyle w:val="Hyperlink"/>
              <w:lang w:val="lv-LV"/>
            </w:rPr>
            <w:t>kumi DESI indeksa rādīt</w:t>
          </w:r>
          <w:r w:rsidRPr="00855036" w:rsidR="006E56E8">
            <w:rPr>
              <w:rStyle w:val="Hyperlink"/>
              <w:lang w:val="lv-LV"/>
            </w:rPr>
            <w:t>āja “Savienojamība” uzlabošanai</w:t>
          </w:r>
          <w:r>
            <w:tab/>
          </w:r>
          <w:r>
            <w:fldChar w:fldCharType="begin"/>
          </w:r>
          <w:r>
            <w:instrText xml:space="preserve"> PAGEREF _Toc256000024 \h </w:instrText>
          </w:r>
          <w:r>
            <w:fldChar w:fldCharType="separate"/>
          </w:r>
          <w:r>
            <w:t>9</w:t>
          </w:r>
          <w:r>
            <w:fldChar w:fldCharType="end"/>
          </w:r>
          <w:r>
            <w:fldChar w:fldCharType="end"/>
          </w:r>
        </w:p>
        <w:p>
          <w:pPr>
            <w:pStyle w:val="TOC2"/>
            <w:rPr>
              <w:rFonts w:asciiTheme="minorHAnsi" w:hAnsiTheme="minorHAnsi"/>
              <w:noProof/>
              <w:sz w:val="22"/>
            </w:rPr>
          </w:pPr>
          <w:r>
            <w:fldChar w:fldCharType="begin"/>
          </w:r>
          <w:r>
            <w:instrText xml:space="preserve"> HYPERLINK \l "_Toc256000025" </w:instrText>
          </w:r>
          <w:r>
            <w:fldChar w:fldCharType="separate"/>
          </w:r>
          <w:r w:rsidRPr="00855036">
            <w:rPr>
              <w:rStyle w:val="Hyperlink"/>
              <w:lang w:val="lv-LV"/>
            </w:rPr>
            <w:t>P</w:t>
          </w:r>
          <w:r w:rsidRPr="00855036" w:rsidR="00137287">
            <w:rPr>
              <w:rStyle w:val="Hyperlink"/>
              <w:lang w:val="lv-LV"/>
            </w:rPr>
            <w:t>riekšlikumi rīcībai DESI indeksa rādīt</w:t>
          </w:r>
          <w:r w:rsidRPr="00855036" w:rsidR="00DA0C64">
            <w:rPr>
              <w:rStyle w:val="Hyperlink"/>
              <w:lang w:val="lv-LV"/>
            </w:rPr>
            <w:t>āja “Savienojamība” uzlabošanai</w:t>
          </w:r>
          <w:r>
            <w:tab/>
          </w:r>
          <w:r>
            <w:fldChar w:fldCharType="begin"/>
          </w:r>
          <w:r>
            <w:instrText xml:space="preserve"> PAGEREF _Toc256000025 \h </w:instrText>
          </w:r>
          <w:r>
            <w:fldChar w:fldCharType="separate"/>
          </w:r>
          <w:r>
            <w:t>10</w:t>
          </w:r>
          <w:r>
            <w:fldChar w:fldCharType="end"/>
          </w:r>
          <w:r>
            <w:fldChar w:fldCharType="end"/>
          </w:r>
        </w:p>
        <w:p>
          <w:pPr>
            <w:pStyle w:val="TOC2"/>
            <w:rPr>
              <w:rFonts w:asciiTheme="minorHAnsi" w:hAnsiTheme="minorHAnsi"/>
              <w:noProof/>
              <w:sz w:val="22"/>
            </w:rPr>
          </w:pPr>
          <w:r>
            <w:fldChar w:fldCharType="begin"/>
          </w:r>
          <w:r>
            <w:instrText xml:space="preserve"> HYPERLINK \l "_Toc256000026" </w:instrText>
          </w:r>
          <w:r>
            <w:fldChar w:fldCharType="separate"/>
          </w:r>
          <w:r>
            <w:rPr>
              <w:rStyle w:val="Hyperlink"/>
              <w:lang w:val="lv-LV"/>
            </w:rPr>
            <w:t>3.2.</w:t>
          </w:r>
          <w:r>
            <w:rPr>
              <w:rFonts w:asciiTheme="minorHAnsi" w:hAnsiTheme="minorHAnsi"/>
              <w:noProof/>
              <w:sz w:val="22"/>
              <w:lang w:val="lv-LV"/>
            </w:rPr>
            <w:tab/>
          </w:r>
          <w:r w:rsidRPr="002934A4">
            <w:rPr>
              <w:rStyle w:val="Hyperlink"/>
              <w:lang w:val="lv-LV"/>
            </w:rPr>
            <w:t xml:space="preserve">Latvijas sniegums DESI indeksa rādītājā </w:t>
          </w:r>
          <w:r w:rsidRPr="002934A4" w:rsidR="00DA0C64">
            <w:rPr>
              <w:rStyle w:val="Hyperlink"/>
              <w:lang w:val="lv-LV"/>
            </w:rPr>
            <w:t>“Cilvēkkapitāls”</w:t>
          </w:r>
          <w:r>
            <w:tab/>
          </w:r>
          <w:r>
            <w:fldChar w:fldCharType="begin"/>
          </w:r>
          <w:r>
            <w:instrText xml:space="preserve"> PAGEREF _Toc256000026 \h </w:instrText>
          </w:r>
          <w:r>
            <w:fldChar w:fldCharType="separate"/>
          </w:r>
          <w:r>
            <w:t>11</w:t>
          </w:r>
          <w:r>
            <w:fldChar w:fldCharType="end"/>
          </w:r>
          <w:r>
            <w:fldChar w:fldCharType="end"/>
          </w:r>
        </w:p>
        <w:p>
          <w:pPr>
            <w:pStyle w:val="TOC2"/>
            <w:rPr>
              <w:rFonts w:asciiTheme="minorHAnsi" w:hAnsiTheme="minorHAnsi"/>
              <w:noProof/>
              <w:sz w:val="22"/>
            </w:rPr>
          </w:pPr>
          <w:r>
            <w:fldChar w:fldCharType="begin"/>
          </w:r>
          <w:r>
            <w:instrText xml:space="preserve"> HYPERLINK \l "_Toc256000027" </w:instrText>
          </w:r>
          <w:r>
            <w:fldChar w:fldCharType="separate"/>
          </w:r>
          <w:r w:rsidRPr="00855036">
            <w:rPr>
              <w:rStyle w:val="Hyperlink"/>
              <w:lang w:val="lv-LV"/>
            </w:rPr>
            <w:t xml:space="preserve">Institūciju sniegtie priekšlikumi DESI indeksa rādītāja </w:t>
          </w:r>
          <w:r w:rsidRPr="00855036" w:rsidR="00DA0C64">
            <w:rPr>
              <w:rStyle w:val="Hyperlink"/>
              <w:lang w:val="lv-LV"/>
            </w:rPr>
            <w:t>“Cilvēkkapitāls” uzlabošanai</w:t>
          </w:r>
          <w:r>
            <w:tab/>
          </w:r>
          <w:r>
            <w:fldChar w:fldCharType="begin"/>
          </w:r>
          <w:r>
            <w:instrText xml:space="preserve"> PAGEREF _Toc256000027 \h </w:instrText>
          </w:r>
          <w:r>
            <w:fldChar w:fldCharType="separate"/>
          </w:r>
          <w:r>
            <w:t>12</w:t>
          </w:r>
          <w:r>
            <w:fldChar w:fldCharType="end"/>
          </w:r>
          <w:r>
            <w:fldChar w:fldCharType="end"/>
          </w:r>
        </w:p>
        <w:p>
          <w:pPr>
            <w:pStyle w:val="TOC2"/>
            <w:rPr>
              <w:rFonts w:asciiTheme="minorHAnsi" w:hAnsiTheme="minorHAnsi"/>
              <w:noProof/>
              <w:sz w:val="22"/>
            </w:rPr>
          </w:pPr>
          <w:r>
            <w:fldChar w:fldCharType="begin"/>
          </w:r>
          <w:r>
            <w:instrText xml:space="preserve"> HYPERLINK \l "_Toc256000029" </w:instrText>
          </w:r>
          <w:r>
            <w:fldChar w:fldCharType="separate"/>
          </w:r>
          <w:r w:rsidRPr="00855036">
            <w:rPr>
              <w:rStyle w:val="Hyperlink"/>
              <w:lang w:val="lv-LV"/>
            </w:rPr>
            <w:t>P</w:t>
          </w:r>
          <w:r w:rsidRPr="00855036" w:rsidR="006445C7">
            <w:rPr>
              <w:rStyle w:val="Hyperlink"/>
              <w:lang w:val="lv-LV"/>
            </w:rPr>
            <w:t>riekšlikumi rīcībai DESI indeksa rādītāja “Cilvēkkapitāls” uzlabošanai</w:t>
          </w:r>
          <w:r>
            <w:tab/>
          </w:r>
          <w:r>
            <w:fldChar w:fldCharType="begin"/>
          </w:r>
          <w:r>
            <w:instrText xml:space="preserve"> PAGEREF _Toc256000029 \h </w:instrText>
          </w:r>
          <w:r>
            <w:fldChar w:fldCharType="separate"/>
          </w:r>
          <w:r>
            <w:t>14</w:t>
          </w:r>
          <w:r>
            <w:fldChar w:fldCharType="end"/>
          </w:r>
          <w:r>
            <w:fldChar w:fldCharType="end"/>
          </w:r>
        </w:p>
        <w:p>
          <w:pPr>
            <w:pStyle w:val="TOC2"/>
            <w:rPr>
              <w:rFonts w:asciiTheme="minorHAnsi" w:hAnsiTheme="minorHAnsi"/>
              <w:noProof/>
              <w:sz w:val="22"/>
            </w:rPr>
          </w:pPr>
          <w:r>
            <w:fldChar w:fldCharType="begin"/>
          </w:r>
          <w:r>
            <w:instrText xml:space="preserve"> HYPERLINK \l "_Toc256000030" </w:instrText>
          </w:r>
          <w:r>
            <w:fldChar w:fldCharType="separate"/>
          </w:r>
          <w:r>
            <w:rPr>
              <w:rStyle w:val="Hyperlink"/>
            </w:rPr>
            <w:t>3.3.</w:t>
          </w:r>
          <w:r>
            <w:rPr>
              <w:rFonts w:asciiTheme="minorHAnsi" w:hAnsiTheme="minorHAnsi"/>
              <w:noProof/>
              <w:sz w:val="22"/>
            </w:rPr>
            <w:tab/>
          </w:r>
          <w:r w:rsidRPr="00855036">
            <w:rPr>
              <w:rStyle w:val="Hyperlink"/>
            </w:rPr>
            <w:t xml:space="preserve">Latvijas sniegums DESI indeksa rādītājā </w:t>
          </w:r>
          <w:r w:rsidRPr="00855036" w:rsidR="007E5D5F">
            <w:rPr>
              <w:rStyle w:val="Hyperlink"/>
            </w:rPr>
            <w:t>“I</w:t>
          </w:r>
          <w:r w:rsidRPr="00855036" w:rsidR="007C126F">
            <w:rPr>
              <w:rStyle w:val="Hyperlink"/>
            </w:rPr>
            <w:t>nterneta izmantojums</w:t>
          </w:r>
          <w:r w:rsidRPr="00855036" w:rsidR="00DA0C64">
            <w:rPr>
              <w:rStyle w:val="Hyperlink"/>
            </w:rPr>
            <w:t>”</w:t>
          </w:r>
          <w:r>
            <w:tab/>
          </w:r>
          <w:r>
            <w:fldChar w:fldCharType="begin"/>
          </w:r>
          <w:r>
            <w:instrText xml:space="preserve"> PAGEREF _Toc256000030 \h </w:instrText>
          </w:r>
          <w:r>
            <w:fldChar w:fldCharType="separate"/>
          </w:r>
          <w:r>
            <w:t>15</w:t>
          </w:r>
          <w:r>
            <w:fldChar w:fldCharType="end"/>
          </w:r>
          <w:r>
            <w:fldChar w:fldCharType="end"/>
          </w:r>
        </w:p>
        <w:p>
          <w:pPr>
            <w:pStyle w:val="TOC2"/>
            <w:rPr>
              <w:rFonts w:asciiTheme="minorHAnsi" w:hAnsiTheme="minorHAnsi"/>
              <w:noProof/>
              <w:sz w:val="22"/>
            </w:rPr>
          </w:pPr>
          <w:r>
            <w:fldChar w:fldCharType="begin"/>
          </w:r>
          <w:r>
            <w:instrText xml:space="preserve"> HYPERLINK \l "_Toc256000031" </w:instrText>
          </w:r>
          <w:r>
            <w:fldChar w:fldCharType="separate"/>
          </w:r>
          <w:r w:rsidRPr="00855036">
            <w:rPr>
              <w:rStyle w:val="Hyperlink"/>
              <w:lang w:val="lv-LV"/>
            </w:rPr>
            <w:t>P</w:t>
          </w:r>
          <w:r w:rsidRPr="00855036" w:rsidR="006268CE">
            <w:rPr>
              <w:rStyle w:val="Hyperlink"/>
              <w:lang w:val="lv-LV"/>
            </w:rPr>
            <w:t>riekšlikumi rīcībai DESI indeksa rādītāja “Interneta izmantojums” uzlabošanai</w:t>
          </w:r>
          <w:r>
            <w:tab/>
          </w:r>
          <w:r>
            <w:fldChar w:fldCharType="begin"/>
          </w:r>
          <w:r>
            <w:instrText xml:space="preserve"> PAGEREF _Toc256000031 \h </w:instrText>
          </w:r>
          <w:r>
            <w:fldChar w:fldCharType="separate"/>
          </w:r>
          <w:r>
            <w:t>16</w:t>
          </w:r>
          <w:r>
            <w:fldChar w:fldCharType="end"/>
          </w:r>
          <w:r>
            <w:fldChar w:fldCharType="end"/>
          </w:r>
        </w:p>
        <w:p>
          <w:pPr>
            <w:pStyle w:val="TOC2"/>
            <w:rPr>
              <w:rFonts w:asciiTheme="minorHAnsi" w:hAnsiTheme="minorHAnsi"/>
              <w:noProof/>
              <w:sz w:val="22"/>
            </w:rPr>
          </w:pPr>
          <w:r>
            <w:fldChar w:fldCharType="begin"/>
          </w:r>
          <w:r>
            <w:instrText xml:space="preserve"> HYPERLINK \l "_Toc256000032" </w:instrText>
          </w:r>
          <w:r>
            <w:fldChar w:fldCharType="separate"/>
          </w:r>
          <w:r>
            <w:rPr>
              <w:rStyle w:val="Hyperlink"/>
              <w:lang w:val="lv-LV"/>
            </w:rPr>
            <w:t>3.4.</w:t>
          </w:r>
          <w:r>
            <w:rPr>
              <w:rFonts w:asciiTheme="minorHAnsi" w:hAnsiTheme="minorHAnsi"/>
              <w:noProof/>
              <w:sz w:val="22"/>
              <w:lang w:val="lv-LV"/>
            </w:rPr>
            <w:tab/>
          </w:r>
          <w:r w:rsidRPr="002934A4">
            <w:rPr>
              <w:rStyle w:val="Hyperlink"/>
              <w:lang w:val="lv-LV"/>
            </w:rPr>
            <w:t xml:space="preserve">Latvijas sniegums </w:t>
          </w:r>
          <w:r w:rsidRPr="002934A4" w:rsidR="004B4FBE">
            <w:rPr>
              <w:rStyle w:val="Hyperlink"/>
              <w:lang w:val="lv-LV"/>
            </w:rPr>
            <w:t xml:space="preserve">DESI </w:t>
          </w:r>
          <w:r w:rsidRPr="002934A4">
            <w:rPr>
              <w:rStyle w:val="Hyperlink"/>
              <w:lang w:val="lv-LV"/>
            </w:rPr>
            <w:t>indeks</w:t>
          </w:r>
          <w:r w:rsidRPr="002934A4" w:rsidR="004B4FBE">
            <w:rPr>
              <w:rStyle w:val="Hyperlink"/>
              <w:lang w:val="lv-LV"/>
            </w:rPr>
            <w:t>a rādītājā</w:t>
          </w:r>
          <w:r w:rsidRPr="002934A4">
            <w:rPr>
              <w:rStyle w:val="Hyperlink"/>
              <w:lang w:val="lv-LV"/>
            </w:rPr>
            <w:t xml:space="preserve"> </w:t>
          </w:r>
          <w:r w:rsidRPr="002934A4" w:rsidR="007E5D5F">
            <w:rPr>
              <w:rStyle w:val="Hyperlink"/>
              <w:lang w:val="lv-LV"/>
            </w:rPr>
            <w:t>“C</w:t>
          </w:r>
          <w:r w:rsidRPr="002934A4" w:rsidR="007C126F">
            <w:rPr>
              <w:rStyle w:val="Hyperlink"/>
              <w:lang w:val="lv-LV"/>
            </w:rPr>
            <w:t>iparu tehnoloģiju integrācija</w:t>
          </w:r>
          <w:r w:rsidRPr="002934A4" w:rsidR="00DA0C64">
            <w:rPr>
              <w:rStyle w:val="Hyperlink"/>
              <w:lang w:val="lv-LV"/>
            </w:rPr>
            <w:t>”</w:t>
          </w:r>
          <w:r>
            <w:tab/>
          </w:r>
          <w:r>
            <w:fldChar w:fldCharType="begin"/>
          </w:r>
          <w:r>
            <w:instrText xml:space="preserve"> PAGEREF _Toc256000032 \h </w:instrText>
          </w:r>
          <w:r>
            <w:fldChar w:fldCharType="separate"/>
          </w:r>
          <w:r>
            <w:t>17</w:t>
          </w:r>
          <w:r>
            <w:fldChar w:fldCharType="end"/>
          </w:r>
          <w:r>
            <w:fldChar w:fldCharType="end"/>
          </w:r>
        </w:p>
        <w:p>
          <w:pPr>
            <w:pStyle w:val="TOC2"/>
            <w:rPr>
              <w:rFonts w:asciiTheme="minorHAnsi" w:hAnsiTheme="minorHAnsi"/>
              <w:noProof/>
              <w:sz w:val="22"/>
            </w:rPr>
          </w:pPr>
          <w:r>
            <w:fldChar w:fldCharType="begin"/>
          </w:r>
          <w:r>
            <w:instrText xml:space="preserve"> HYPERLINK \l "_Toc256000034" </w:instrText>
          </w:r>
          <w:r>
            <w:fldChar w:fldCharType="separate"/>
          </w:r>
          <w:r w:rsidRPr="00855036">
            <w:rPr>
              <w:rStyle w:val="Hyperlink"/>
              <w:lang w:val="lv-LV"/>
            </w:rPr>
            <w:t xml:space="preserve">Institūciju sniegtie priekšlikumi DESI indeksa rādītāja </w:t>
          </w:r>
          <w:r w:rsidRPr="00855036" w:rsidR="009D2D59">
            <w:rPr>
              <w:rStyle w:val="Hyperlink"/>
              <w:lang w:val="lv-LV"/>
            </w:rPr>
            <w:t>“Ciparu tehno</w:t>
          </w:r>
          <w:r w:rsidRPr="00855036" w:rsidR="00DA0C64">
            <w:rPr>
              <w:rStyle w:val="Hyperlink"/>
              <w:lang w:val="lv-LV"/>
            </w:rPr>
            <w:t>loģiju integrācija” uzlabošanai</w:t>
          </w:r>
          <w:r>
            <w:tab/>
          </w:r>
          <w:r>
            <w:fldChar w:fldCharType="begin"/>
          </w:r>
          <w:r>
            <w:instrText xml:space="preserve"> PAGEREF _Toc256000034 \h </w:instrText>
          </w:r>
          <w:r>
            <w:fldChar w:fldCharType="separate"/>
          </w:r>
          <w:r>
            <w:t>18</w:t>
          </w:r>
          <w:r>
            <w:fldChar w:fldCharType="end"/>
          </w:r>
          <w:r>
            <w:fldChar w:fldCharType="end"/>
          </w:r>
        </w:p>
        <w:p>
          <w:pPr>
            <w:pStyle w:val="TOC2"/>
            <w:rPr>
              <w:rFonts w:asciiTheme="minorHAnsi" w:hAnsiTheme="minorHAnsi"/>
              <w:noProof/>
              <w:sz w:val="22"/>
            </w:rPr>
          </w:pPr>
          <w:r>
            <w:fldChar w:fldCharType="begin"/>
          </w:r>
          <w:r>
            <w:instrText xml:space="preserve"> HYPERLINK \l "_Toc256000035" </w:instrText>
          </w:r>
          <w:r>
            <w:fldChar w:fldCharType="separate"/>
          </w:r>
          <w:r w:rsidRPr="00855036">
            <w:rPr>
              <w:rStyle w:val="Hyperlink"/>
              <w:lang w:val="lv-LV"/>
            </w:rPr>
            <w:t>P</w:t>
          </w:r>
          <w:r w:rsidRPr="00855036" w:rsidR="006445C7">
            <w:rPr>
              <w:rStyle w:val="Hyperlink"/>
              <w:lang w:val="lv-LV"/>
            </w:rPr>
            <w:t>riekšlikumi rīcībai DESI indeksa rādītāja “Ciparu tehnoloģiju integrācija” uzlabošanai</w:t>
          </w:r>
          <w:r>
            <w:tab/>
          </w:r>
          <w:r>
            <w:fldChar w:fldCharType="begin"/>
          </w:r>
          <w:r>
            <w:instrText xml:space="preserve"> PAGEREF _Toc256000035 \h </w:instrText>
          </w:r>
          <w:r>
            <w:fldChar w:fldCharType="separate"/>
          </w:r>
          <w:r>
            <w:t>22</w:t>
          </w:r>
          <w:r>
            <w:fldChar w:fldCharType="end"/>
          </w:r>
          <w:r>
            <w:fldChar w:fldCharType="end"/>
          </w:r>
        </w:p>
        <w:p>
          <w:pPr>
            <w:pStyle w:val="TOC2"/>
            <w:rPr>
              <w:rFonts w:asciiTheme="minorHAnsi" w:hAnsiTheme="minorHAnsi"/>
              <w:noProof/>
              <w:sz w:val="22"/>
            </w:rPr>
          </w:pPr>
          <w:r>
            <w:fldChar w:fldCharType="begin"/>
          </w:r>
          <w:r>
            <w:instrText xml:space="preserve"> HYPERLINK \l "_Toc256000036" </w:instrText>
          </w:r>
          <w:r>
            <w:fldChar w:fldCharType="separate"/>
          </w:r>
          <w:r>
            <w:rPr>
              <w:rStyle w:val="Hyperlink"/>
              <w:lang w:val="lv-LV"/>
            </w:rPr>
            <w:t>3.5.</w:t>
          </w:r>
          <w:r>
            <w:rPr>
              <w:rFonts w:asciiTheme="minorHAnsi" w:hAnsiTheme="minorHAnsi"/>
              <w:noProof/>
              <w:sz w:val="22"/>
              <w:lang w:val="lv-LV"/>
            </w:rPr>
            <w:tab/>
          </w:r>
          <w:r w:rsidRPr="00D01F47">
            <w:rPr>
              <w:rStyle w:val="Hyperlink"/>
              <w:lang w:val="lv-LV"/>
            </w:rPr>
            <w:t xml:space="preserve">Latvijas sniegums DESI indeksa rādītājā </w:t>
          </w:r>
          <w:r w:rsidRPr="00D01F47" w:rsidR="007E5D5F">
            <w:rPr>
              <w:rStyle w:val="Hyperlink"/>
              <w:lang w:val="lv-LV"/>
            </w:rPr>
            <w:t>“D</w:t>
          </w:r>
          <w:r w:rsidRPr="00D01F47" w:rsidR="00D159A8">
            <w:rPr>
              <w:rStyle w:val="Hyperlink"/>
              <w:lang w:val="lv-LV"/>
            </w:rPr>
            <w:t>igitālie publiskie pakalpojumi”</w:t>
          </w:r>
          <w:r>
            <w:tab/>
          </w:r>
          <w:r>
            <w:fldChar w:fldCharType="begin"/>
          </w:r>
          <w:r>
            <w:instrText xml:space="preserve"> PAGEREF _Toc256000036 \h </w:instrText>
          </w:r>
          <w:r>
            <w:fldChar w:fldCharType="separate"/>
          </w:r>
          <w:r>
            <w:t>23</w:t>
          </w:r>
          <w:r>
            <w:fldChar w:fldCharType="end"/>
          </w:r>
          <w:r>
            <w:fldChar w:fldCharType="end"/>
          </w:r>
        </w:p>
        <w:p>
          <w:pPr>
            <w:pStyle w:val="TOC2"/>
            <w:rPr>
              <w:rFonts w:asciiTheme="minorHAnsi" w:hAnsiTheme="minorHAnsi"/>
              <w:noProof/>
              <w:sz w:val="22"/>
            </w:rPr>
          </w:pPr>
          <w:r>
            <w:fldChar w:fldCharType="begin"/>
          </w:r>
          <w:r>
            <w:instrText xml:space="preserve"> HYPERLINK \l "_Toc256000037" </w:instrText>
          </w:r>
          <w:r>
            <w:fldChar w:fldCharType="separate"/>
          </w:r>
          <w:r w:rsidRPr="00855036">
            <w:rPr>
              <w:rStyle w:val="Hyperlink"/>
              <w:lang w:val="lv-LV"/>
            </w:rPr>
            <w:t xml:space="preserve">Institūciju sniegtie priekšlikumi </w:t>
          </w:r>
          <w:r w:rsidRPr="00855036" w:rsidR="00601497">
            <w:rPr>
              <w:rStyle w:val="Hyperlink"/>
              <w:lang w:val="lv-LV"/>
            </w:rPr>
            <w:t xml:space="preserve">rīcībai </w:t>
          </w:r>
          <w:r w:rsidRPr="00855036">
            <w:rPr>
              <w:rStyle w:val="Hyperlink"/>
              <w:lang w:val="lv-LV"/>
            </w:rPr>
            <w:t xml:space="preserve">DESI indeksa rādītāja </w:t>
          </w:r>
          <w:r w:rsidRPr="00855036" w:rsidR="008B3547">
            <w:rPr>
              <w:rStyle w:val="Hyperlink"/>
              <w:lang w:val="lv-LV"/>
            </w:rPr>
            <w:t>“Digitālie pub</w:t>
          </w:r>
          <w:r w:rsidRPr="00855036" w:rsidR="00D159A8">
            <w:rPr>
              <w:rStyle w:val="Hyperlink"/>
              <w:lang w:val="lv-LV"/>
            </w:rPr>
            <w:t>liskie pakalpojumi” uzlabošanai</w:t>
          </w:r>
          <w:r>
            <w:tab/>
          </w:r>
          <w:r>
            <w:fldChar w:fldCharType="begin"/>
          </w:r>
          <w:r>
            <w:instrText xml:space="preserve"> PAGEREF _Toc256000037 \h </w:instrText>
          </w:r>
          <w:r>
            <w:fldChar w:fldCharType="separate"/>
          </w:r>
          <w:r>
            <w:t>24</w:t>
          </w:r>
          <w:r>
            <w:fldChar w:fldCharType="end"/>
          </w:r>
          <w:r>
            <w:fldChar w:fldCharType="end"/>
          </w:r>
        </w:p>
        <w:p>
          <w:pPr>
            <w:pStyle w:val="TOC2"/>
            <w:rPr>
              <w:rFonts w:asciiTheme="minorHAnsi" w:hAnsiTheme="minorHAnsi"/>
              <w:noProof/>
              <w:sz w:val="22"/>
            </w:rPr>
          </w:pPr>
          <w:r>
            <w:fldChar w:fldCharType="begin"/>
          </w:r>
          <w:r>
            <w:instrText xml:space="preserve"> HYPERLINK \l "_Toc256000039" </w:instrText>
          </w:r>
          <w:r>
            <w:fldChar w:fldCharType="separate"/>
          </w:r>
          <w:r w:rsidRPr="00855036">
            <w:rPr>
              <w:rStyle w:val="Hyperlink"/>
              <w:lang w:val="lv-LV"/>
            </w:rPr>
            <w:t>P</w:t>
          </w:r>
          <w:r w:rsidRPr="00855036" w:rsidR="00F92EE9">
            <w:rPr>
              <w:rStyle w:val="Hyperlink"/>
              <w:lang w:val="lv-LV"/>
            </w:rPr>
            <w:t>riekšlikumi rīcībai DESI indeksa rādītāja “Digitālie publiskie pakalpojumi” uzlabošanai</w:t>
          </w:r>
          <w:r>
            <w:tab/>
          </w:r>
          <w:r>
            <w:fldChar w:fldCharType="begin"/>
          </w:r>
          <w:r>
            <w:instrText xml:space="preserve"> PAGEREF _Toc256000039 \h </w:instrText>
          </w:r>
          <w:r>
            <w:fldChar w:fldCharType="separate"/>
          </w:r>
          <w:r>
            <w:t>30</w:t>
          </w:r>
          <w:r>
            <w:fldChar w:fldCharType="end"/>
          </w:r>
          <w:r>
            <w:fldChar w:fldCharType="end"/>
          </w:r>
        </w:p>
        <w:p w:rsidRPr="006631CB">
          <w:pPr>
            <w:rPr>
              <w:b/>
              <w:bCs/>
              <w:noProof/>
              <w:sz w:val="26"/>
              <w:szCs w:val="26"/>
            </w:rPr>
          </w:pPr>
          <w:r w:rsidRPr="006631CB">
            <w:rPr>
              <w:b/>
              <w:bCs/>
              <w:noProof/>
              <w:sz w:val="26"/>
              <w:szCs w:val="26"/>
            </w:rPr>
            <w:fldChar w:fldCharType="end"/>
          </w:r>
        </w:p>
      </w:sdtContent>
    </w:sdt>
    <w:p w:rsidR="00A71D83" w:rsidP="0051473C" w14:paraId="5B08BD3F" w14:textId="77777777">
      <w:pPr>
        <w:rPr>
          <w:rFonts w:cs="Times New Roman"/>
          <w:b/>
          <w:szCs w:val="28"/>
          <w:lang w:val="lv-LV"/>
        </w:rPr>
      </w:pPr>
    </w:p>
    <w:p w:rsidR="006631CB" w:rsidRPr="00855036" w:rsidP="0051473C" w14:paraId="7651F3CF" w14:textId="77777777">
      <w:pPr>
        <w:rPr>
          <w:rFonts w:cs="Times New Roman"/>
          <w:b/>
          <w:szCs w:val="28"/>
          <w:lang w:val="lv-LV"/>
        </w:rPr>
      </w:pPr>
    </w:p>
    <w:p w:rsidR="00911084" w:rsidRPr="00855036" w:rsidP="00B54568" w14:paraId="2B69AF62" w14:textId="6ED621BE">
      <w:pPr>
        <w:pStyle w:val="Heading1"/>
        <w:rPr>
          <w:lang w:val="lv-LV"/>
        </w:rPr>
      </w:pPr>
      <w:bookmarkStart w:id="1" w:name="_Toc503516711"/>
      <w:bookmarkStart w:id="2" w:name="_Toc256000000"/>
      <w:bookmarkStart w:id="3" w:name="_Toc256000020"/>
      <w:r w:rsidRPr="00855036">
        <w:rPr>
          <w:lang w:val="lv-LV"/>
        </w:rPr>
        <w:t>Ieva</w:t>
      </w:r>
      <w:r w:rsidRPr="00B54568">
        <w:rPr>
          <w:lang w:val="lv-LV"/>
        </w:rPr>
        <w:t>ds</w:t>
      </w:r>
      <w:bookmarkEnd w:id="3"/>
      <w:bookmarkEnd w:id="2"/>
      <w:bookmarkEnd w:id="1"/>
    </w:p>
    <w:p w:rsidR="00A22AFD" w:rsidRPr="00855036" w:rsidP="0039098F" w14:paraId="083C11A0" w14:textId="1882B9FE">
      <w:pPr>
        <w:rPr>
          <w:lang w:val="lv-LV"/>
        </w:rPr>
      </w:pPr>
      <w:r w:rsidRPr="00855036">
        <w:rPr>
          <w:lang w:val="lv-LV"/>
        </w:rPr>
        <w:t xml:space="preserve">Informatīvais ziņojums </w:t>
      </w:r>
      <w:r w:rsidRPr="00855036" w:rsidR="00D1549E">
        <w:rPr>
          <w:lang w:val="lv-LV"/>
        </w:rPr>
        <w:t xml:space="preserve">“Par veicamajiem pasākumiem Digitālās ekonomikas un sabiedrības indikatora Latvijas rādītāju uzlabošanai” (turpmāk – Informatīvais </w:t>
      </w:r>
      <w:r w:rsidRPr="00855036" w:rsidR="00D1549E">
        <w:rPr>
          <w:lang w:val="lv-LV"/>
        </w:rPr>
        <w:t xml:space="preserve">ziņojums) </w:t>
      </w:r>
      <w:r w:rsidRPr="00855036">
        <w:rPr>
          <w:lang w:val="lv-LV"/>
        </w:rPr>
        <w:t xml:space="preserve">ir sagatavots ar mērķi informēt </w:t>
      </w:r>
      <w:r w:rsidRPr="00855036" w:rsidR="00D1549E">
        <w:rPr>
          <w:lang w:val="lv-LV"/>
        </w:rPr>
        <w:t>Ministru kabinetu</w:t>
      </w:r>
      <w:r w:rsidRPr="00855036">
        <w:rPr>
          <w:lang w:val="lv-LV"/>
        </w:rPr>
        <w:t xml:space="preserve"> par Latvijas </w:t>
      </w:r>
      <w:r w:rsidRPr="00855036">
        <w:rPr>
          <w:lang w:val="lv-LV"/>
        </w:rPr>
        <w:t xml:space="preserve">situāciju </w:t>
      </w:r>
      <w:r w:rsidRPr="00855036">
        <w:rPr>
          <w:lang w:val="lv-LV"/>
        </w:rPr>
        <w:t xml:space="preserve">digitālās ekonomikas un sabiedrības </w:t>
      </w:r>
      <w:r w:rsidRPr="00855036">
        <w:rPr>
          <w:lang w:val="lv-LV"/>
        </w:rPr>
        <w:t xml:space="preserve">indikatora </w:t>
      </w:r>
      <w:r w:rsidRPr="00855036" w:rsidR="00D1549E">
        <w:rPr>
          <w:lang w:val="lv-LV"/>
        </w:rPr>
        <w:t>(</w:t>
      </w:r>
      <w:r w:rsidRPr="00855036" w:rsidR="00D1549E">
        <w:rPr>
          <w:i/>
          <w:lang w:val="lv-LV"/>
        </w:rPr>
        <w:t>Digital Economy and Society Index</w:t>
      </w:r>
      <w:r w:rsidRPr="00855036" w:rsidR="00D1549E">
        <w:rPr>
          <w:lang w:val="lv-LV"/>
        </w:rPr>
        <w:t xml:space="preserve"> jeb </w:t>
      </w:r>
      <w:r w:rsidRPr="00855036">
        <w:rPr>
          <w:lang w:val="lv-LV"/>
        </w:rPr>
        <w:t>DESI</w:t>
      </w:r>
      <w:r w:rsidRPr="00855036" w:rsidR="00D1549E">
        <w:rPr>
          <w:lang w:val="lv-LV"/>
        </w:rPr>
        <w:t>) (turpmāk – DESI indekss)</w:t>
      </w:r>
      <w:r w:rsidRPr="00855036">
        <w:rPr>
          <w:lang w:val="lv-LV"/>
        </w:rPr>
        <w:t xml:space="preserve"> kontekstā un ierosināt rīcību Latvijas rādītāju DESI indikatora kontekstā uzlabošanai, ņemot vērā, ka Latvijas kopējais sniegums pēdējo gadu laikā digitālās ekonomikas un sabiedrības indikatora rādītājos, kas </w:t>
      </w:r>
      <w:r w:rsidRPr="00855036" w:rsidR="00D1549E">
        <w:rPr>
          <w:lang w:val="lv-LV"/>
        </w:rPr>
        <w:t>noteic,</w:t>
      </w:r>
      <w:r w:rsidRPr="00855036">
        <w:rPr>
          <w:lang w:val="lv-LV"/>
        </w:rPr>
        <w:t xml:space="preserve"> cik digitalizēta ir E</w:t>
      </w:r>
      <w:r w:rsidRPr="00855036" w:rsidR="00D1549E">
        <w:rPr>
          <w:lang w:val="lv-LV"/>
        </w:rPr>
        <w:t xml:space="preserve">iropas </w:t>
      </w:r>
      <w:r w:rsidRPr="00855036">
        <w:rPr>
          <w:lang w:val="lv-LV"/>
        </w:rPr>
        <w:t>S</w:t>
      </w:r>
      <w:r w:rsidRPr="00855036" w:rsidR="00D1549E">
        <w:rPr>
          <w:lang w:val="lv-LV"/>
        </w:rPr>
        <w:t>avienības (turpmāk – ES)</w:t>
      </w:r>
      <w:r w:rsidRPr="00855036">
        <w:rPr>
          <w:lang w:val="lv-LV"/>
        </w:rPr>
        <w:t xml:space="preserve"> dalībvalstu ekonomika un sabiedrība, ir zem ES vidējā rezultāta.</w:t>
      </w:r>
    </w:p>
    <w:p w:rsidR="00AB3FEA" w:rsidRPr="00855036" w:rsidP="0039098F" w14:paraId="51685A90" w14:textId="6CB1E17A">
      <w:pPr>
        <w:rPr>
          <w:bCs/>
          <w:lang w:val="lv-LV"/>
        </w:rPr>
      </w:pPr>
      <w:r w:rsidRPr="00855036">
        <w:rPr>
          <w:rFonts w:eastAsia="Times New Roman"/>
          <w:bCs/>
          <w:lang w:val="lv-LV" w:eastAsia="lv-LV"/>
        </w:rPr>
        <w:t>Ar Ministru kabineta 2013.</w:t>
      </w:r>
      <w:r w:rsidRPr="00855036" w:rsidR="005A724B">
        <w:rPr>
          <w:rFonts w:eastAsia="Times New Roman"/>
          <w:bCs/>
          <w:lang w:val="lv-LV" w:eastAsia="lv-LV"/>
        </w:rPr>
        <w:t> </w:t>
      </w:r>
      <w:r w:rsidRPr="00855036">
        <w:rPr>
          <w:rFonts w:eastAsia="Times New Roman"/>
          <w:bCs/>
          <w:lang w:val="lv-LV" w:eastAsia="lv-LV"/>
        </w:rPr>
        <w:t>gada 14.</w:t>
      </w:r>
      <w:r w:rsidRPr="00855036" w:rsidR="005A724B">
        <w:rPr>
          <w:rFonts w:eastAsia="Times New Roman"/>
          <w:bCs/>
          <w:lang w:val="lv-LV" w:eastAsia="lv-LV"/>
        </w:rPr>
        <w:t> </w:t>
      </w:r>
      <w:r w:rsidRPr="00855036">
        <w:rPr>
          <w:rFonts w:eastAsia="Times New Roman"/>
          <w:bCs/>
          <w:lang w:val="lv-LV" w:eastAsia="lv-LV"/>
        </w:rPr>
        <w:t>oktobra rīkojumu Nr.</w:t>
      </w:r>
      <w:r w:rsidRPr="00855036" w:rsidR="005A724B">
        <w:rPr>
          <w:rFonts w:eastAsia="Times New Roman"/>
          <w:bCs/>
          <w:lang w:val="lv-LV" w:eastAsia="lv-LV"/>
        </w:rPr>
        <w:t> </w:t>
      </w:r>
      <w:r w:rsidRPr="00855036">
        <w:rPr>
          <w:rFonts w:eastAsia="Times New Roman"/>
          <w:bCs/>
          <w:lang w:val="lv-LV" w:eastAsia="lv-LV"/>
        </w:rPr>
        <w:t xml:space="preserve">468 </w:t>
      </w:r>
      <w:r w:rsidRPr="00855036">
        <w:rPr>
          <w:rFonts w:eastAsia="Times New Roman"/>
          <w:lang w:val="lv-LV" w:eastAsia="lv-LV"/>
        </w:rPr>
        <w:t xml:space="preserve"> </w:t>
      </w:r>
      <w:r w:rsidRPr="00855036">
        <w:rPr>
          <w:rFonts w:eastAsia="Times New Roman"/>
          <w:bCs/>
          <w:lang w:val="lv-LV" w:eastAsia="lv-LV"/>
        </w:rPr>
        <w:t xml:space="preserve">apstiprinātajās </w:t>
      </w:r>
      <w:r w:rsidRPr="00855036">
        <w:rPr>
          <w:lang w:val="lv-LV"/>
        </w:rPr>
        <w:t xml:space="preserve">Informācijas sabiedrības attīstības </w:t>
      </w:r>
      <w:r w:rsidRPr="00855036">
        <w:rPr>
          <w:rFonts w:eastAsia="Times New Roman"/>
          <w:lang w:val="lv-LV" w:eastAsia="lv-LV"/>
        </w:rPr>
        <w:t>pamatnostādnēs 2014.-2020.</w:t>
      </w:r>
      <w:r w:rsidRPr="00855036" w:rsidR="005A724B">
        <w:rPr>
          <w:rFonts w:eastAsia="Times New Roman"/>
          <w:lang w:val="lv-LV" w:eastAsia="lv-LV"/>
        </w:rPr>
        <w:t> </w:t>
      </w:r>
      <w:r w:rsidRPr="00855036">
        <w:rPr>
          <w:rFonts w:eastAsia="Times New Roman"/>
          <w:lang w:val="lv-LV" w:eastAsia="lv-LV"/>
        </w:rPr>
        <w:t>gadam</w:t>
      </w:r>
      <w:r w:rsidRPr="00855036" w:rsidR="0019375A">
        <w:rPr>
          <w:rFonts w:eastAsia="Times New Roman"/>
          <w:lang w:val="lv-LV" w:eastAsia="lv-LV"/>
        </w:rPr>
        <w:t>, ar Ministru kabineta 2012.gada 7.decembra rīkojumu Nr.589 apstiprinātajā “Nākamās paaudzes platjoslas elektronisko sakaru tīklu attīstības koncepcijā 2013.–2020.gadam”</w:t>
      </w:r>
      <w:r w:rsidRPr="00855036">
        <w:rPr>
          <w:rFonts w:eastAsia="Times New Roman"/>
          <w:lang w:val="lv-LV" w:eastAsia="lv-LV"/>
        </w:rPr>
        <w:t xml:space="preserve"> ietverti vairāki DESI indeks</w:t>
      </w:r>
      <w:r w:rsidRPr="00855036" w:rsidR="0019375A">
        <w:rPr>
          <w:rFonts w:eastAsia="Times New Roman"/>
          <w:lang w:val="lv-LV" w:eastAsia="lv-LV"/>
        </w:rPr>
        <w:t>u</w:t>
      </w:r>
      <w:r w:rsidRPr="00855036">
        <w:rPr>
          <w:rFonts w:eastAsia="Times New Roman"/>
          <w:lang w:val="lv-LV" w:eastAsia="lv-LV"/>
        </w:rPr>
        <w:t xml:space="preserve"> veidojoši elementi,</w:t>
      </w:r>
      <w:r w:rsidRPr="00855036">
        <w:rPr>
          <w:rFonts w:eastAsia="Times New Roman"/>
          <w:lang w:val="lv-LV" w:eastAsia="lv-LV"/>
        </w:rPr>
        <w:t xml:space="preserve"> paredzot nepieciešamību</w:t>
      </w:r>
      <w:r w:rsidRPr="00855036">
        <w:rPr>
          <w:lang w:val="lv-LV"/>
        </w:rPr>
        <w:t xml:space="preserve"> tos attīstīt,</w:t>
      </w:r>
      <w:r w:rsidRPr="00855036">
        <w:rPr>
          <w:lang w:val="lv-LV"/>
        </w:rPr>
        <w:t xml:space="preserve"> piemēram, </w:t>
      </w:r>
      <w:r w:rsidRPr="00855036">
        <w:rPr>
          <w:bCs/>
          <w:lang w:val="lv-LV"/>
        </w:rPr>
        <w:t xml:space="preserve">nākamās paaudzes tīklu un platjoslas infrastruktūras attīstība, informācijas un komunikāciju tehnoloģiju (turpmāk – IKT) prasmju attīstība, publisko pakalpojumu digitalizācija, u.c. elementi, </w:t>
      </w:r>
      <w:r w:rsidRPr="00855036" w:rsidR="005A724B">
        <w:rPr>
          <w:bCs/>
          <w:lang w:val="lv-LV"/>
        </w:rPr>
        <w:t>kas saistīti</w:t>
      </w:r>
      <w:r w:rsidRPr="00855036">
        <w:rPr>
          <w:bCs/>
          <w:lang w:val="lv-LV"/>
        </w:rPr>
        <w:t xml:space="preserve"> ar DESI indeksa izvērtējumu.</w:t>
      </w:r>
    </w:p>
    <w:p w:rsidR="00A22AFD" w:rsidRPr="00855036" w:rsidP="0039098F" w14:paraId="037CE88B" w14:textId="49CC2077">
      <w:pPr>
        <w:rPr>
          <w:lang w:val="lv-LV"/>
        </w:rPr>
      </w:pPr>
      <w:r w:rsidRPr="00855036">
        <w:rPr>
          <w:lang w:val="lv-LV"/>
        </w:rPr>
        <w:t>Informatīvajā ziņojumā ir īsi aprakstīts DESI</w:t>
      </w:r>
      <w:r w:rsidRPr="00855036" w:rsidR="00B43405">
        <w:rPr>
          <w:lang w:val="lv-LV"/>
        </w:rPr>
        <w:t xml:space="preserve"> ind</w:t>
      </w:r>
      <w:r w:rsidRPr="00855036" w:rsidR="000D7253">
        <w:rPr>
          <w:lang w:val="lv-LV"/>
        </w:rPr>
        <w:t>eks</w:t>
      </w:r>
      <w:r w:rsidRPr="00855036" w:rsidR="00B43405">
        <w:rPr>
          <w:lang w:val="lv-LV"/>
        </w:rPr>
        <w:t>s</w:t>
      </w:r>
      <w:r w:rsidRPr="00855036">
        <w:rPr>
          <w:lang w:val="lv-LV"/>
        </w:rPr>
        <w:t xml:space="preserve"> un tā galvenās komponentes, raksturota Latvijas situācija DESI</w:t>
      </w:r>
      <w:r w:rsidRPr="00855036" w:rsidR="00EC5545">
        <w:rPr>
          <w:lang w:val="lv-LV"/>
        </w:rPr>
        <w:t xml:space="preserve"> indeksa</w:t>
      </w:r>
      <w:r w:rsidRPr="00855036">
        <w:rPr>
          <w:lang w:val="lv-LV"/>
        </w:rPr>
        <w:t xml:space="preserve"> 2017.</w:t>
      </w:r>
      <w:r w:rsidRPr="00855036" w:rsidR="00D1549E">
        <w:rPr>
          <w:lang w:val="lv-LV"/>
        </w:rPr>
        <w:t> </w:t>
      </w:r>
      <w:r w:rsidRPr="00855036">
        <w:rPr>
          <w:lang w:val="lv-LV"/>
        </w:rPr>
        <w:t>gada novērtēj</w:t>
      </w:r>
      <w:r w:rsidRPr="00855036" w:rsidR="00EC5545">
        <w:rPr>
          <w:lang w:val="lv-LV"/>
        </w:rPr>
        <w:t>umā, apkopota ministriju sniegtā</w:t>
      </w:r>
      <w:r w:rsidRPr="00855036">
        <w:rPr>
          <w:lang w:val="lv-LV"/>
        </w:rPr>
        <w:t xml:space="preserve"> informācija par plānotajiem pasākumiem DESI indeksu veidojošajās indikatoru grupās ar mērķi uzlabot Latvijas rādītājus Digitālās ekonomikas un sabie</w:t>
      </w:r>
      <w:r w:rsidRPr="00855036" w:rsidR="00E6030C">
        <w:rPr>
          <w:lang w:val="lv-LV"/>
        </w:rPr>
        <w:t>drības indikatora novērtējumos</w:t>
      </w:r>
      <w:r w:rsidRPr="00855036">
        <w:rPr>
          <w:lang w:val="lv-LV"/>
        </w:rPr>
        <w:t>, kā arī sniegti priekšlikumi rīcībai Latvijas snieguma DESI indikatora jomās uzlabošanai.</w:t>
      </w:r>
    </w:p>
    <w:p w:rsidR="004C1BA8" w:rsidRPr="00855036" w:rsidP="0039098F" w14:paraId="69F1BF8F" w14:textId="7F23FC27">
      <w:pPr>
        <w:rPr>
          <w:lang w:val="lv-LV"/>
        </w:rPr>
      </w:pPr>
      <w:r w:rsidRPr="00855036">
        <w:rPr>
          <w:lang w:val="lv-LV"/>
        </w:rPr>
        <w:t xml:space="preserve">Ar mērķi panākt Latvijas rādītāju DESI indeksā uzlabojumu </w:t>
      </w:r>
      <w:r w:rsidRPr="00855036" w:rsidR="00EC5545">
        <w:rPr>
          <w:lang w:val="lv-LV"/>
        </w:rPr>
        <w:t xml:space="preserve">Vides aizsardzības un reģionālās attīstības ministrija (turpmāk – </w:t>
      </w:r>
      <w:r w:rsidRPr="00855036" w:rsidR="00DB48D3">
        <w:rPr>
          <w:lang w:val="lv-LV"/>
        </w:rPr>
        <w:t>VARAM</w:t>
      </w:r>
      <w:r w:rsidRPr="00855036" w:rsidR="00EC5545">
        <w:rPr>
          <w:lang w:val="lv-LV"/>
        </w:rPr>
        <w:t xml:space="preserve">) </w:t>
      </w:r>
      <w:r w:rsidRPr="00855036">
        <w:rPr>
          <w:lang w:val="lv-LV"/>
        </w:rPr>
        <w:t>ir veikusi virkni pasākumu, lai attīstītu digitālo vidi un veicinātu tās iespēju izmantošanu iedzīvotāju un uzņēmēju vidū.</w:t>
      </w:r>
    </w:p>
    <w:p w:rsidR="004C1BA8" w:rsidRPr="00855036" w:rsidP="0039098F" w14:paraId="7A4ED173" w14:textId="25CEDC92">
      <w:pPr>
        <w:rPr>
          <w:lang w:val="lv-LV"/>
        </w:rPr>
      </w:pPr>
      <w:r w:rsidRPr="00855036">
        <w:rPr>
          <w:lang w:val="lv-LV"/>
        </w:rPr>
        <w:t xml:space="preserve">Lai nodrošinātu kvalitatīvu un reālajai situācijai atbilstošu statistisko informāciju par Latvijas veikumu DESI </w:t>
      </w:r>
      <w:r w:rsidRPr="00855036" w:rsidR="00D1549E">
        <w:rPr>
          <w:lang w:val="lv-LV"/>
        </w:rPr>
        <w:t xml:space="preserve">indeksa </w:t>
      </w:r>
      <w:r w:rsidRPr="00855036">
        <w:rPr>
          <w:lang w:val="lv-LV"/>
        </w:rPr>
        <w:t xml:space="preserve">ietvarā, kā arī veicinātu pasākumus mērķtiecīgai un koordinētai Latvijas rādītāju uzlabošanai, </w:t>
      </w:r>
      <w:r w:rsidRPr="00855036" w:rsidR="00DB48D3">
        <w:rPr>
          <w:lang w:val="lv-LV"/>
        </w:rPr>
        <w:t xml:space="preserve">VARAM </w:t>
      </w:r>
      <w:r w:rsidRPr="00855036">
        <w:rPr>
          <w:lang w:val="lv-LV"/>
        </w:rPr>
        <w:t>kā atbildīgā iestāde par informācijas sabiedrības, elektroniskā pārvaldes un valsts informācijas un komunikācijas tehnoloģiju pārvaldības jautājumiem 2016.</w:t>
      </w:r>
      <w:r w:rsidRPr="00855036" w:rsidR="00A56BBB">
        <w:rPr>
          <w:lang w:val="lv-LV"/>
        </w:rPr>
        <w:t> </w:t>
      </w:r>
      <w:r w:rsidRPr="00855036">
        <w:rPr>
          <w:lang w:val="lv-LV"/>
        </w:rPr>
        <w:t>gada septembrī izveidoja starpinstitūciju darba grupu. Darba grupas sanāksmju laikā tika diskutēts par iespējamiem risinājumiem Latvijas snieguma DESI novērtējumā uzlabošanai.</w:t>
      </w:r>
    </w:p>
    <w:p w:rsidR="004C1BA8" w:rsidRPr="00855036" w:rsidP="0039098F" w14:paraId="3CC61653" w14:textId="2DAD5C7C">
      <w:pPr>
        <w:rPr>
          <w:lang w:val="lv-LV"/>
        </w:rPr>
      </w:pPr>
      <w:r w:rsidRPr="00855036">
        <w:rPr>
          <w:lang w:val="lv-LV"/>
        </w:rPr>
        <w:t xml:space="preserve">Kā viens no rīcības virzieniem DESI rādītāju uzlabošanā minētās darba grupas ietvarā tika izvirzīta ciešāka sadarbība ar Centrālo statistikas pārvaldi, sniedzot tai kompetento iestāžu un nozares asociāciju atbalstu, izstrādājot statistisko aptauju veidlapas par datoru un interneta lietošanas paradumiem iedzīvotājiem un informācijas un komunikācijas tehnoloģiju un e-komercijas izmantojumu </w:t>
      </w:r>
      <w:r w:rsidRPr="00855036">
        <w:rPr>
          <w:lang w:val="lv-LV"/>
        </w:rPr>
        <w:t>uzņēmumos. Minētās sadarbības rezultātā tika veikta iestāžu un nozaru asociāciju aptauja un Centrālai statistikas pārvaldei iesniegti apkopoti iestāžu un nozares a</w:t>
      </w:r>
      <w:r w:rsidRPr="00855036" w:rsidR="00272E21">
        <w:rPr>
          <w:lang w:val="lv-LV"/>
        </w:rPr>
        <w:t>sociāciju priekšlikumi, kas tika</w:t>
      </w:r>
      <w:r w:rsidRPr="00855036">
        <w:rPr>
          <w:lang w:val="lv-LV"/>
        </w:rPr>
        <w:t xml:space="preserve"> ņemti vērā sagatavojot aptauju veidlapas</w:t>
      </w:r>
      <w:r w:rsidRPr="00855036" w:rsidR="00272E21">
        <w:rPr>
          <w:lang w:val="lv-LV"/>
        </w:rPr>
        <w:t xml:space="preserve"> oficiālajai statistikas programmai 2018.-2020. gadam</w:t>
      </w:r>
      <w:r w:rsidRPr="00855036">
        <w:rPr>
          <w:lang w:val="lv-LV"/>
        </w:rPr>
        <w:t>.</w:t>
      </w:r>
    </w:p>
    <w:p w:rsidR="004C1BA8" w:rsidRPr="00855036" w:rsidP="0039098F" w14:paraId="16533736" w14:textId="0BF09187">
      <w:pPr>
        <w:rPr>
          <w:lang w:val="lv-LV"/>
        </w:rPr>
      </w:pPr>
      <w:r w:rsidRPr="00855036">
        <w:rPr>
          <w:lang w:val="lv-LV"/>
        </w:rPr>
        <w:t xml:space="preserve">Papildus minētajam </w:t>
      </w:r>
      <w:r w:rsidRPr="00855036" w:rsidR="00603096">
        <w:rPr>
          <w:lang w:val="lv-LV"/>
        </w:rPr>
        <w:t>VARAM</w:t>
      </w:r>
      <w:r w:rsidRPr="00855036">
        <w:rPr>
          <w:lang w:val="lv-LV"/>
        </w:rPr>
        <w:t xml:space="preserve"> ir veikusi </w:t>
      </w:r>
      <w:r w:rsidRPr="00855036" w:rsidR="0078355D">
        <w:rPr>
          <w:lang w:val="lv-LV"/>
        </w:rPr>
        <w:t>citu</w:t>
      </w:r>
      <w:r w:rsidRPr="00855036">
        <w:rPr>
          <w:lang w:val="lv-LV"/>
        </w:rPr>
        <w:t xml:space="preserve"> ministriju un</w:t>
      </w:r>
      <w:r w:rsidRPr="00855036" w:rsidR="00D77BC3">
        <w:rPr>
          <w:lang w:val="lv-LV"/>
        </w:rPr>
        <w:t xml:space="preserve"> </w:t>
      </w:r>
      <w:r w:rsidRPr="00855036" w:rsidR="005A724B">
        <w:rPr>
          <w:lang w:val="lv-LV"/>
        </w:rPr>
        <w:t>IKT</w:t>
      </w:r>
      <w:r w:rsidRPr="00855036" w:rsidR="00D77BC3">
        <w:rPr>
          <w:lang w:val="lv-LV"/>
        </w:rPr>
        <w:t xml:space="preserve"> </w:t>
      </w:r>
      <w:r w:rsidRPr="00855036">
        <w:rPr>
          <w:lang w:val="lv-LV"/>
        </w:rPr>
        <w:t xml:space="preserve">nozares asociāciju aptauju, aicinot sniegt priekšlikumus pasākumiem un aktivitātēm, kas gan veicinātu digitālās vides attīstību valstī, gan arī ļautu uzlabot Latvijas sniegumu DESI </w:t>
      </w:r>
      <w:r w:rsidRPr="00855036" w:rsidR="003F40C7">
        <w:rPr>
          <w:lang w:val="lv-LV"/>
        </w:rPr>
        <w:t xml:space="preserve">indeksa </w:t>
      </w:r>
      <w:r w:rsidRPr="00855036">
        <w:rPr>
          <w:lang w:val="lv-LV"/>
        </w:rPr>
        <w:t xml:space="preserve">novērtējumos. </w:t>
      </w:r>
      <w:r w:rsidRPr="00855036" w:rsidR="00BA0D37">
        <w:rPr>
          <w:lang w:val="lv-LV"/>
        </w:rPr>
        <w:t xml:space="preserve">Uz saņemto priekšlikumu </w:t>
      </w:r>
      <w:r w:rsidRPr="00855036">
        <w:rPr>
          <w:lang w:val="lv-LV"/>
        </w:rPr>
        <w:t xml:space="preserve">pamata sagatavots </w:t>
      </w:r>
      <w:r w:rsidRPr="00855036" w:rsidR="003F40C7">
        <w:rPr>
          <w:lang w:val="lv-LV"/>
        </w:rPr>
        <w:t>Ministru kabineta sēdes</w:t>
      </w:r>
      <w:r w:rsidRPr="00855036" w:rsidR="00D77BC3">
        <w:rPr>
          <w:lang w:val="lv-LV"/>
        </w:rPr>
        <w:t xml:space="preserve"> </w:t>
      </w:r>
      <w:r w:rsidRPr="00855036">
        <w:rPr>
          <w:lang w:val="lv-LV"/>
        </w:rPr>
        <w:t xml:space="preserve">protokollēmuma projekts, kurā ietverti pasākumi DESI indeksa uzlabošanai atbilstoši ministriju kompetences jomām. </w:t>
      </w:r>
    </w:p>
    <w:p w:rsidR="004C1BA8" w:rsidRPr="00855036" w:rsidP="00A22AFD" w14:paraId="1179C9EB" w14:textId="77777777">
      <w:pPr>
        <w:rPr>
          <w:rFonts w:cs="Times New Roman"/>
          <w:szCs w:val="28"/>
          <w:lang w:val="lv-LV"/>
        </w:rPr>
      </w:pPr>
    </w:p>
    <w:p w:rsidR="0029497B" w:rsidRPr="002934A4" w:rsidP="007B59FE" w14:paraId="0843F1CC" w14:textId="31BF0081">
      <w:pPr>
        <w:pStyle w:val="Heading1"/>
        <w:rPr>
          <w:lang w:val="lv-LV"/>
        </w:rPr>
      </w:pPr>
      <w:bookmarkStart w:id="4" w:name="_Toc503516712"/>
      <w:bookmarkStart w:id="5" w:name="_Toc256000001"/>
      <w:bookmarkStart w:id="6" w:name="_Toc256000021"/>
      <w:r w:rsidRPr="002934A4">
        <w:rPr>
          <w:lang w:val="lv-LV"/>
        </w:rPr>
        <w:t xml:space="preserve">DESI </w:t>
      </w:r>
      <w:r w:rsidRPr="002934A4" w:rsidR="00F90F57">
        <w:rPr>
          <w:lang w:val="lv-LV"/>
        </w:rPr>
        <w:t xml:space="preserve">indeksa </w:t>
      </w:r>
      <w:r w:rsidRPr="002934A4" w:rsidR="002934A4">
        <w:rPr>
          <w:lang w:val="lv-LV"/>
        </w:rPr>
        <w:t xml:space="preserve">datu avoti un </w:t>
      </w:r>
      <w:r w:rsidRPr="002934A4" w:rsidR="003116B5">
        <w:rPr>
          <w:lang w:val="lv-LV"/>
        </w:rPr>
        <w:t>struktūra</w:t>
      </w:r>
      <w:bookmarkEnd w:id="6"/>
      <w:bookmarkEnd w:id="5"/>
      <w:bookmarkEnd w:id="4"/>
    </w:p>
    <w:p w:rsidR="004B0290" w:rsidRPr="00855036" w:rsidP="0039098F" w14:paraId="01FF7354" w14:textId="47E8C9B9">
      <w:pPr>
        <w:rPr>
          <w:lang w:val="lv-LV"/>
        </w:rPr>
      </w:pPr>
      <w:r w:rsidRPr="00855036">
        <w:rPr>
          <w:lang w:val="lv-LV"/>
        </w:rPr>
        <w:t>No 2015. gada Eiropas Komisija (turpmāk – Komisija) ir uzsākusi jaunu pieeju ES dalībvalstu digitālās attīstības vērtēšanā, kas tika nosaukta par Eiropas Digitālās ekonomikas un sabiedrības indeksu jeb DESI indekss, kura mērķis ir palīdzēt ES dalībvalstīm apzināt jomas, kurās prioritāri jāiegulda un jārīkojas, lai izveidotu īstenu digitālo vienoto tirgu. Digi</w:t>
      </w:r>
      <w:r w:rsidRPr="00855036" w:rsidR="005F72D1">
        <w:rPr>
          <w:lang w:val="lv-LV"/>
        </w:rPr>
        <w:t>tālās attīstības novērtējumi ES</w:t>
      </w:r>
      <w:r w:rsidRPr="00855036">
        <w:rPr>
          <w:lang w:val="lv-LV"/>
        </w:rPr>
        <w:t xml:space="preserve"> tiek veikti katru gadu.</w:t>
      </w:r>
    </w:p>
    <w:p w:rsidR="004B0290" w:rsidRPr="00855036" w:rsidP="0039098F" w14:paraId="3FF81FD4" w14:textId="77777777">
      <w:pPr>
        <w:rPr>
          <w:lang w:val="lv-LV"/>
        </w:rPr>
      </w:pPr>
      <w:r w:rsidRPr="00855036">
        <w:rPr>
          <w:lang w:val="lv-LV"/>
        </w:rPr>
        <w:t>DESI indeksa datu avoti ir Centrālās statistikas pārvaldes veiktās aptaujas, izmantojot vienoto ES statistikas metodoloģiju, apsekojums par IKT izmantojumu mājsaimniecībās un iedzīvotāju vidū “</w:t>
      </w:r>
      <w:r w:rsidRPr="00855036">
        <w:rPr>
          <w:i/>
          <w:lang w:val="lv-LV"/>
        </w:rPr>
        <w:t>Community survey on ICT usage in Households and by Individuals</w:t>
      </w:r>
      <w:r w:rsidRPr="00855036">
        <w:rPr>
          <w:lang w:val="lv-LV"/>
        </w:rPr>
        <w:t>”, apsekojums par IKT izmantošanu uzņēmumos “</w:t>
      </w:r>
      <w:r w:rsidRPr="00855036">
        <w:rPr>
          <w:i/>
          <w:lang w:val="lv-LV"/>
        </w:rPr>
        <w:t>Community survey on ICT usage and e-commerce in enterprises</w:t>
      </w:r>
      <w:r w:rsidRPr="00855036">
        <w:rPr>
          <w:lang w:val="lv-LV"/>
        </w:rPr>
        <w:t>”, elektroniskās pārvaldes novērtējums “</w:t>
      </w:r>
      <w:r w:rsidRPr="00855036">
        <w:rPr>
          <w:i/>
          <w:lang w:val="lv-LV"/>
        </w:rPr>
        <w:t>eGovernment Benchmark</w:t>
      </w:r>
      <w:r w:rsidRPr="00855036">
        <w:rPr>
          <w:lang w:val="lv-LV"/>
        </w:rPr>
        <w:t>”, Eiropas publiskā sektora informācijas novērtējums “</w:t>
      </w:r>
      <w:r w:rsidRPr="00855036">
        <w:rPr>
          <w:i/>
          <w:lang w:val="lv-LV"/>
        </w:rPr>
        <w:t>European PSI Scoreboard</w:t>
      </w:r>
      <w:r w:rsidRPr="00855036">
        <w:rPr>
          <w:lang w:val="lv-LV"/>
        </w:rPr>
        <w:t>” un Eiropas Digitālā progresa 2017. gada ziņojums</w:t>
      </w:r>
      <w:r>
        <w:rPr>
          <w:vertAlign w:val="superscript"/>
        </w:rPr>
        <w:footnoteReference w:id="3"/>
      </w:r>
      <w:r w:rsidRPr="00855036">
        <w:rPr>
          <w:lang w:val="lv-LV"/>
        </w:rPr>
        <w:t>.</w:t>
      </w:r>
    </w:p>
    <w:p w:rsidR="004B0290" w:rsidRPr="00855036" w:rsidP="0039098F" w14:paraId="2CE9D858" w14:textId="77777777">
      <w:pPr>
        <w:rPr>
          <w:lang w:val="lv-LV"/>
        </w:rPr>
      </w:pPr>
      <w:r w:rsidRPr="00855036">
        <w:rPr>
          <w:lang w:val="lv-LV"/>
        </w:rPr>
        <w:t>DESI indekss ir salikts rādītājs, kurā summēts rādītāju kopums, strukturējot tos piecos indikatoros, tādos kā savienojamība, cilvēkkapitāls, interneta izmantojums, ciparu tehnoloģiju integrācija un digitālie publiskie pakalpojumi.</w:t>
      </w:r>
    </w:p>
    <w:p w:rsidR="0039098F" w:rsidP="0039098F" w14:paraId="07C45EB1" w14:textId="77777777">
      <w:pPr>
        <w:rPr>
          <w:lang w:val="lv-LV"/>
        </w:rPr>
      </w:pPr>
    </w:p>
    <w:p w:rsidR="0039098F" w:rsidP="0039098F" w14:paraId="13715FC8" w14:textId="77777777">
      <w:pPr>
        <w:rPr>
          <w:lang w:val="lv-LV"/>
        </w:rPr>
      </w:pPr>
    </w:p>
    <w:p w:rsidR="0039098F" w:rsidP="0039098F" w14:paraId="7F7426F6" w14:textId="77777777">
      <w:pPr>
        <w:rPr>
          <w:lang w:val="lv-LV"/>
        </w:rPr>
      </w:pPr>
    </w:p>
    <w:p w:rsidR="00D4152D" w:rsidRPr="00855036" w:rsidP="0039098F" w14:paraId="21414D74" w14:textId="77777777">
      <w:pPr>
        <w:rPr>
          <w:lang w:val="lv-LV"/>
        </w:rPr>
      </w:pPr>
      <w:r w:rsidRPr="00855036">
        <w:rPr>
          <w:lang w:val="lv-LV"/>
        </w:rPr>
        <w:t xml:space="preserve">Katru no pieciem </w:t>
      </w:r>
      <w:r w:rsidRPr="00855036" w:rsidR="00864148">
        <w:rPr>
          <w:lang w:val="lv-LV"/>
        </w:rPr>
        <w:t>indikator</w:t>
      </w:r>
      <w:r w:rsidRPr="00855036">
        <w:rPr>
          <w:lang w:val="lv-LV"/>
        </w:rPr>
        <w:t>iem veido vairākas rādītāja komponentes, tostarp:</w:t>
      </w:r>
    </w:p>
    <w:tbl>
      <w:tblPr>
        <w:tblStyle w:val="TableGrid"/>
        <w:tblW w:w="0" w:type="auto"/>
        <w:tblLook w:val="04A0"/>
      </w:tblPr>
      <w:tblGrid>
        <w:gridCol w:w="2457"/>
        <w:gridCol w:w="2725"/>
        <w:gridCol w:w="4213"/>
      </w:tblGrid>
      <w:tr w14:paraId="16040AA5" w14:textId="77777777" w:rsidTr="00E3299B">
        <w:tblPrEx>
          <w:tblW w:w="0" w:type="auto"/>
          <w:tblLook w:val="04A0"/>
        </w:tblPrEx>
        <w:tc>
          <w:tcPr>
            <w:tcW w:w="1763" w:type="dxa"/>
            <w:shd w:val="clear" w:color="auto" w:fill="E7E6E6" w:themeFill="background2"/>
          </w:tcPr>
          <w:p w:rsidR="00ED7969" w:rsidRPr="0039098F" w:rsidP="00926D90" w14:paraId="61452877" w14:textId="77777777">
            <w:pPr>
              <w:jc w:val="center"/>
              <w:rPr>
                <w:rFonts w:cs="Times New Roman"/>
                <w:b/>
                <w:sz w:val="24"/>
                <w:szCs w:val="24"/>
                <w:lang w:val="lv-LV"/>
              </w:rPr>
            </w:pPr>
            <w:r w:rsidRPr="0039098F">
              <w:rPr>
                <w:rFonts w:cs="Times New Roman"/>
                <w:b/>
                <w:sz w:val="24"/>
                <w:szCs w:val="24"/>
                <w:lang w:val="lv-LV"/>
              </w:rPr>
              <w:t>Indikators</w:t>
            </w:r>
            <w:r w:rsidRPr="0039098F" w:rsidR="007B25E2">
              <w:rPr>
                <w:rFonts w:cs="Times New Roman"/>
                <w:b/>
                <w:sz w:val="24"/>
                <w:szCs w:val="24"/>
                <w:lang w:val="lv-LV"/>
              </w:rPr>
              <w:br/>
              <w:t>un tā svars novērtējumā</w:t>
            </w:r>
          </w:p>
        </w:tc>
        <w:tc>
          <w:tcPr>
            <w:tcW w:w="1918" w:type="dxa"/>
            <w:shd w:val="clear" w:color="auto" w:fill="E7E6E6" w:themeFill="background2"/>
          </w:tcPr>
          <w:p w:rsidR="00ED7969" w:rsidRPr="0039098F" w:rsidP="00926D90" w14:paraId="352E4874" w14:textId="77777777">
            <w:pPr>
              <w:jc w:val="center"/>
              <w:rPr>
                <w:rFonts w:cs="Times New Roman"/>
                <w:b/>
                <w:sz w:val="24"/>
                <w:szCs w:val="24"/>
                <w:lang w:val="lv-LV"/>
              </w:rPr>
            </w:pPr>
            <w:r w:rsidRPr="0039098F">
              <w:rPr>
                <w:rFonts w:cs="Times New Roman"/>
                <w:b/>
                <w:sz w:val="24"/>
                <w:szCs w:val="24"/>
                <w:lang w:val="lv-LV"/>
              </w:rPr>
              <w:t>Indikatora komponentes</w:t>
            </w:r>
          </w:p>
        </w:tc>
        <w:tc>
          <w:tcPr>
            <w:tcW w:w="4949" w:type="dxa"/>
            <w:shd w:val="clear" w:color="auto" w:fill="E7E6E6" w:themeFill="background2"/>
          </w:tcPr>
          <w:p w:rsidR="00ED7969" w:rsidRPr="0039098F" w:rsidP="00926D90" w14:paraId="4B9E6135" w14:textId="77777777">
            <w:pPr>
              <w:jc w:val="center"/>
              <w:rPr>
                <w:rFonts w:cs="Times New Roman"/>
                <w:b/>
                <w:sz w:val="24"/>
                <w:szCs w:val="24"/>
                <w:lang w:val="lv-LV"/>
              </w:rPr>
            </w:pPr>
            <w:r w:rsidRPr="0039098F">
              <w:rPr>
                <w:rFonts w:cs="Times New Roman"/>
                <w:b/>
                <w:sz w:val="24"/>
                <w:szCs w:val="24"/>
                <w:lang w:val="lv-LV"/>
              </w:rPr>
              <w:t>Komponentes elementi</w:t>
            </w:r>
          </w:p>
        </w:tc>
      </w:tr>
      <w:tr w14:paraId="4604D7D7" w14:textId="77777777" w:rsidTr="00E3299B">
        <w:tblPrEx>
          <w:tblW w:w="0" w:type="auto"/>
          <w:tblLook w:val="04A0"/>
        </w:tblPrEx>
        <w:tc>
          <w:tcPr>
            <w:tcW w:w="1763" w:type="dxa"/>
            <w:shd w:val="clear" w:color="auto" w:fill="E7E6E6" w:themeFill="background2"/>
          </w:tcPr>
          <w:p w:rsidR="00D10167" w:rsidRPr="0039098F" w:rsidP="00217F7F" w14:paraId="34190DFF" w14:textId="77777777">
            <w:pPr>
              <w:rPr>
                <w:rFonts w:cs="Times New Roman"/>
                <w:b/>
                <w:sz w:val="24"/>
                <w:szCs w:val="24"/>
                <w:lang w:val="lv-LV"/>
              </w:rPr>
            </w:pPr>
          </w:p>
          <w:p w:rsidR="00ED7969" w:rsidRPr="0039098F" w:rsidP="00217F7F" w14:paraId="403AB000" w14:textId="77777777">
            <w:pPr>
              <w:rPr>
                <w:rFonts w:cs="Times New Roman"/>
                <w:sz w:val="24"/>
                <w:szCs w:val="24"/>
                <w:lang w:val="lv-LV"/>
              </w:rPr>
            </w:pPr>
            <w:r w:rsidRPr="0039098F">
              <w:rPr>
                <w:rFonts w:cs="Times New Roman"/>
                <w:b/>
                <w:sz w:val="24"/>
                <w:szCs w:val="24"/>
                <w:lang w:val="lv-LV"/>
              </w:rPr>
              <w:t>Savienojamība</w:t>
            </w:r>
            <w:r w:rsidRPr="0039098F" w:rsidR="007B25E2">
              <w:rPr>
                <w:rFonts w:cs="Times New Roman"/>
                <w:b/>
                <w:sz w:val="24"/>
                <w:szCs w:val="24"/>
                <w:lang w:val="lv-LV"/>
              </w:rPr>
              <w:t xml:space="preserve"> </w:t>
            </w:r>
            <w:r w:rsidRPr="0039098F" w:rsidR="007B25E2">
              <w:rPr>
                <w:rFonts w:cs="Times New Roman"/>
                <w:sz w:val="24"/>
                <w:szCs w:val="24"/>
                <w:lang w:val="lv-LV"/>
              </w:rPr>
              <w:t>(25%)</w:t>
            </w:r>
          </w:p>
        </w:tc>
        <w:tc>
          <w:tcPr>
            <w:tcW w:w="1918" w:type="dxa"/>
            <w:shd w:val="clear" w:color="auto" w:fill="E7E6E6" w:themeFill="background2"/>
          </w:tcPr>
          <w:p w:rsidR="00ED7969" w:rsidRPr="0039098F" w:rsidP="00E3299B" w14:paraId="267ECAF7" w14:textId="77777777">
            <w:pPr>
              <w:ind w:left="109"/>
              <w:rPr>
                <w:rFonts w:cs="Times New Roman"/>
                <w:sz w:val="24"/>
                <w:szCs w:val="24"/>
                <w:lang w:val="lv-LV"/>
              </w:rPr>
            </w:pPr>
            <w:r w:rsidRPr="0039098F">
              <w:rPr>
                <w:rFonts w:cs="Times New Roman"/>
                <w:sz w:val="24"/>
                <w:szCs w:val="24"/>
                <w:lang w:val="lv-LV"/>
              </w:rPr>
              <w:t>F</w:t>
            </w:r>
            <w:r w:rsidRPr="0039098F">
              <w:rPr>
                <w:rFonts w:cs="Times New Roman"/>
                <w:sz w:val="24"/>
                <w:szCs w:val="24"/>
                <w:lang w:val="lv-LV"/>
              </w:rPr>
              <w:t>iksētās platjoslas pārklājums</w:t>
            </w:r>
          </w:p>
        </w:tc>
        <w:tc>
          <w:tcPr>
            <w:tcW w:w="4949" w:type="dxa"/>
            <w:shd w:val="clear" w:color="auto" w:fill="E7E6E6" w:themeFill="background2"/>
          </w:tcPr>
          <w:p w:rsidR="002F21B3" w:rsidRPr="0039098F" w:rsidP="003C04E2" w14:paraId="693D2CD6" w14:textId="77777777">
            <w:pPr>
              <w:pStyle w:val="ListParagraph"/>
              <w:numPr>
                <w:ilvl w:val="0"/>
                <w:numId w:val="18"/>
              </w:numPr>
              <w:ind w:left="230" w:hanging="230"/>
              <w:rPr>
                <w:rFonts w:cs="Times New Roman"/>
                <w:sz w:val="24"/>
                <w:szCs w:val="24"/>
              </w:rPr>
            </w:pPr>
            <w:r w:rsidRPr="0039098F">
              <w:rPr>
                <w:rFonts w:cs="Times New Roman"/>
                <w:sz w:val="24"/>
                <w:szCs w:val="24"/>
              </w:rPr>
              <w:t>F</w:t>
            </w:r>
            <w:r w:rsidRPr="0039098F" w:rsidR="00ED7969">
              <w:rPr>
                <w:rFonts w:cs="Times New Roman"/>
                <w:sz w:val="24"/>
                <w:szCs w:val="24"/>
              </w:rPr>
              <w:t>iksētās</w:t>
            </w:r>
            <w:r w:rsidRPr="0039098F">
              <w:rPr>
                <w:rFonts w:cs="Times New Roman"/>
                <w:sz w:val="24"/>
                <w:szCs w:val="24"/>
              </w:rPr>
              <w:t xml:space="preserve"> platjoslas pārklājums;</w:t>
            </w:r>
          </w:p>
          <w:p w:rsidR="00ED7969" w:rsidRPr="0039098F" w:rsidP="003C04E2" w14:paraId="6AEDF60A" w14:textId="77777777">
            <w:pPr>
              <w:pStyle w:val="ListParagraph"/>
              <w:numPr>
                <w:ilvl w:val="0"/>
                <w:numId w:val="18"/>
              </w:numPr>
              <w:ind w:left="230" w:hanging="230"/>
              <w:rPr>
                <w:rFonts w:cs="Times New Roman"/>
                <w:sz w:val="24"/>
                <w:szCs w:val="24"/>
              </w:rPr>
            </w:pPr>
            <w:r w:rsidRPr="0039098F">
              <w:rPr>
                <w:rFonts w:cs="Times New Roman"/>
                <w:sz w:val="24"/>
                <w:szCs w:val="24"/>
              </w:rPr>
              <w:t>F</w:t>
            </w:r>
            <w:r w:rsidRPr="0039098F">
              <w:rPr>
                <w:rFonts w:cs="Times New Roman"/>
                <w:sz w:val="24"/>
                <w:szCs w:val="24"/>
              </w:rPr>
              <w:t xml:space="preserve">iksētās platjoslas </w:t>
            </w:r>
            <w:r w:rsidRPr="0039098F" w:rsidR="002F21B3">
              <w:rPr>
                <w:rFonts w:cs="Times New Roman"/>
                <w:sz w:val="24"/>
                <w:szCs w:val="24"/>
              </w:rPr>
              <w:t>izmantošana.</w:t>
            </w:r>
          </w:p>
        </w:tc>
      </w:tr>
      <w:tr w14:paraId="10A2C8B2" w14:textId="77777777" w:rsidTr="00E3299B">
        <w:tblPrEx>
          <w:tblW w:w="0" w:type="auto"/>
          <w:tblLook w:val="04A0"/>
        </w:tblPrEx>
        <w:tc>
          <w:tcPr>
            <w:tcW w:w="1763" w:type="dxa"/>
            <w:shd w:val="clear" w:color="auto" w:fill="E7E6E6" w:themeFill="background2"/>
          </w:tcPr>
          <w:p w:rsidR="00ED7969" w:rsidRPr="0039098F" w:rsidP="0029497B" w14:paraId="42D936D6" w14:textId="77777777">
            <w:pPr>
              <w:rPr>
                <w:rFonts w:cs="Times New Roman"/>
                <w:sz w:val="24"/>
                <w:szCs w:val="24"/>
                <w:lang w:val="lv-LV"/>
              </w:rPr>
            </w:pPr>
          </w:p>
        </w:tc>
        <w:tc>
          <w:tcPr>
            <w:tcW w:w="1918" w:type="dxa"/>
            <w:shd w:val="clear" w:color="auto" w:fill="E7E6E6" w:themeFill="background2"/>
          </w:tcPr>
          <w:p w:rsidR="00ED7969" w:rsidRPr="0039098F" w:rsidP="00E3299B" w14:paraId="22198084" w14:textId="77777777">
            <w:pPr>
              <w:ind w:left="109"/>
              <w:rPr>
                <w:rFonts w:cs="Times New Roman"/>
                <w:sz w:val="24"/>
                <w:szCs w:val="24"/>
                <w:lang w:val="lv-LV"/>
              </w:rPr>
            </w:pPr>
            <w:r w:rsidRPr="0039098F">
              <w:rPr>
                <w:rFonts w:cs="Times New Roman"/>
                <w:sz w:val="24"/>
                <w:szCs w:val="24"/>
                <w:lang w:val="lv-LV"/>
              </w:rPr>
              <w:t>M</w:t>
            </w:r>
            <w:r w:rsidRPr="0039098F">
              <w:rPr>
                <w:rFonts w:cs="Times New Roman"/>
                <w:sz w:val="24"/>
                <w:szCs w:val="24"/>
                <w:lang w:val="lv-LV"/>
              </w:rPr>
              <w:t>obilās platjoslas pārklājums</w:t>
            </w:r>
          </w:p>
        </w:tc>
        <w:tc>
          <w:tcPr>
            <w:tcW w:w="4949" w:type="dxa"/>
            <w:shd w:val="clear" w:color="auto" w:fill="E7E6E6" w:themeFill="background2"/>
          </w:tcPr>
          <w:p w:rsidR="002F21B3" w:rsidRPr="0039098F" w:rsidP="003C04E2" w14:paraId="47641A73" w14:textId="77777777">
            <w:pPr>
              <w:pStyle w:val="ListParagraph"/>
              <w:numPr>
                <w:ilvl w:val="0"/>
                <w:numId w:val="18"/>
              </w:numPr>
              <w:ind w:left="230" w:hanging="230"/>
              <w:rPr>
                <w:rFonts w:cs="Times New Roman"/>
                <w:sz w:val="24"/>
                <w:szCs w:val="24"/>
              </w:rPr>
            </w:pPr>
            <w:r w:rsidRPr="0039098F">
              <w:rPr>
                <w:rFonts w:cs="Times New Roman"/>
                <w:sz w:val="24"/>
                <w:szCs w:val="24"/>
              </w:rPr>
              <w:t>M</w:t>
            </w:r>
            <w:r w:rsidRPr="0039098F">
              <w:rPr>
                <w:rFonts w:cs="Times New Roman"/>
                <w:sz w:val="24"/>
                <w:szCs w:val="24"/>
              </w:rPr>
              <w:t>obilās platjoslas izmantošana;</w:t>
            </w:r>
          </w:p>
          <w:p w:rsidR="002F21B3" w:rsidRPr="0039098F" w:rsidP="003C04E2" w14:paraId="66578717" w14:textId="77777777">
            <w:pPr>
              <w:pStyle w:val="ListParagraph"/>
              <w:numPr>
                <w:ilvl w:val="0"/>
                <w:numId w:val="18"/>
              </w:numPr>
              <w:ind w:left="230" w:hanging="230"/>
              <w:rPr>
                <w:rFonts w:cs="Times New Roman"/>
                <w:sz w:val="24"/>
                <w:szCs w:val="24"/>
              </w:rPr>
            </w:pPr>
            <w:r w:rsidRPr="0039098F">
              <w:rPr>
                <w:rFonts w:cs="Times New Roman"/>
                <w:sz w:val="24"/>
                <w:szCs w:val="24"/>
              </w:rPr>
              <w:t>4G pārklājums;</w:t>
            </w:r>
          </w:p>
          <w:p w:rsidR="00ED7969" w:rsidRPr="0039098F" w:rsidP="003C04E2" w14:paraId="46E66AFA" w14:textId="77777777">
            <w:pPr>
              <w:pStyle w:val="ListParagraph"/>
              <w:numPr>
                <w:ilvl w:val="0"/>
                <w:numId w:val="18"/>
              </w:numPr>
              <w:ind w:left="230" w:hanging="230"/>
              <w:rPr>
                <w:rFonts w:cs="Times New Roman"/>
                <w:sz w:val="24"/>
                <w:szCs w:val="24"/>
              </w:rPr>
            </w:pPr>
            <w:r w:rsidRPr="0039098F">
              <w:rPr>
                <w:rFonts w:cs="Times New Roman"/>
                <w:sz w:val="24"/>
                <w:szCs w:val="24"/>
              </w:rPr>
              <w:t>Spektrs.</w:t>
            </w:r>
          </w:p>
        </w:tc>
      </w:tr>
      <w:tr w14:paraId="518A54E8" w14:textId="77777777" w:rsidTr="00E3299B">
        <w:tblPrEx>
          <w:tblW w:w="0" w:type="auto"/>
          <w:tblLook w:val="04A0"/>
        </w:tblPrEx>
        <w:tc>
          <w:tcPr>
            <w:tcW w:w="1763" w:type="dxa"/>
            <w:shd w:val="clear" w:color="auto" w:fill="E7E6E6" w:themeFill="background2"/>
          </w:tcPr>
          <w:p w:rsidR="00ED7969" w:rsidRPr="0039098F" w:rsidP="0029497B" w14:paraId="4FFA2044" w14:textId="77777777">
            <w:pPr>
              <w:rPr>
                <w:rFonts w:cs="Times New Roman"/>
                <w:sz w:val="24"/>
                <w:szCs w:val="24"/>
                <w:lang w:val="lv-LV"/>
              </w:rPr>
            </w:pPr>
          </w:p>
        </w:tc>
        <w:tc>
          <w:tcPr>
            <w:tcW w:w="1918" w:type="dxa"/>
            <w:shd w:val="clear" w:color="auto" w:fill="E7E6E6" w:themeFill="background2"/>
          </w:tcPr>
          <w:p w:rsidR="00ED7969" w:rsidRPr="0039098F" w:rsidP="00E3299B" w14:paraId="49B4B51B" w14:textId="77777777">
            <w:pPr>
              <w:ind w:left="109"/>
              <w:rPr>
                <w:rFonts w:cs="Times New Roman"/>
                <w:sz w:val="24"/>
                <w:szCs w:val="24"/>
                <w:lang w:val="lv-LV"/>
              </w:rPr>
            </w:pPr>
            <w:r w:rsidRPr="0039098F">
              <w:rPr>
                <w:rFonts w:cs="Times New Roman"/>
                <w:sz w:val="24"/>
                <w:szCs w:val="24"/>
                <w:lang w:val="lv-LV"/>
              </w:rPr>
              <w:t>P</w:t>
            </w:r>
            <w:r w:rsidRPr="0039098F" w:rsidR="002F21B3">
              <w:rPr>
                <w:rFonts w:cs="Times New Roman"/>
                <w:sz w:val="24"/>
                <w:szCs w:val="24"/>
                <w:lang w:val="lv-LV"/>
              </w:rPr>
              <w:t>latjoslas ātrums</w:t>
            </w:r>
          </w:p>
        </w:tc>
        <w:tc>
          <w:tcPr>
            <w:tcW w:w="4949" w:type="dxa"/>
            <w:shd w:val="clear" w:color="auto" w:fill="E7E6E6" w:themeFill="background2"/>
          </w:tcPr>
          <w:p w:rsidR="002F21B3" w:rsidRPr="0039098F" w:rsidP="003C04E2" w14:paraId="3494B5EF" w14:textId="77777777">
            <w:pPr>
              <w:pStyle w:val="ListParagraph"/>
              <w:numPr>
                <w:ilvl w:val="0"/>
                <w:numId w:val="18"/>
              </w:numPr>
              <w:ind w:left="230" w:hanging="230"/>
              <w:rPr>
                <w:rFonts w:cs="Times New Roman"/>
                <w:sz w:val="24"/>
                <w:szCs w:val="24"/>
              </w:rPr>
            </w:pPr>
            <w:r w:rsidRPr="0039098F">
              <w:rPr>
                <w:rFonts w:cs="Times New Roman"/>
                <w:sz w:val="24"/>
                <w:szCs w:val="24"/>
              </w:rPr>
              <w:t>NGA pārklājums;</w:t>
            </w:r>
          </w:p>
          <w:p w:rsidR="00ED7969" w:rsidRPr="0039098F" w:rsidP="003C04E2" w14:paraId="48146598" w14:textId="77777777">
            <w:pPr>
              <w:pStyle w:val="ListParagraph"/>
              <w:numPr>
                <w:ilvl w:val="0"/>
                <w:numId w:val="18"/>
              </w:numPr>
              <w:ind w:left="230" w:hanging="230"/>
              <w:rPr>
                <w:rFonts w:cs="Times New Roman"/>
                <w:sz w:val="24"/>
                <w:szCs w:val="24"/>
              </w:rPr>
            </w:pPr>
            <w:r w:rsidRPr="0039098F">
              <w:rPr>
                <w:rFonts w:cs="Times New Roman"/>
                <w:sz w:val="24"/>
                <w:szCs w:val="24"/>
              </w:rPr>
              <w:t>Ā</w:t>
            </w:r>
            <w:r w:rsidRPr="0039098F" w:rsidR="002F21B3">
              <w:rPr>
                <w:rFonts w:cs="Times New Roman"/>
                <w:sz w:val="24"/>
                <w:szCs w:val="24"/>
              </w:rPr>
              <w:t>tras platjoslas pieslēgumu skaits.</w:t>
            </w:r>
          </w:p>
        </w:tc>
      </w:tr>
      <w:tr w14:paraId="06854DF8" w14:textId="77777777" w:rsidTr="00E3299B">
        <w:tblPrEx>
          <w:tblW w:w="0" w:type="auto"/>
          <w:tblLook w:val="04A0"/>
        </w:tblPrEx>
        <w:tc>
          <w:tcPr>
            <w:tcW w:w="1763" w:type="dxa"/>
            <w:shd w:val="clear" w:color="auto" w:fill="E7E6E6" w:themeFill="background2"/>
          </w:tcPr>
          <w:p w:rsidR="00ED7969" w:rsidRPr="0039098F" w:rsidP="0029497B" w14:paraId="42E81635" w14:textId="77777777">
            <w:pPr>
              <w:rPr>
                <w:rFonts w:cs="Times New Roman"/>
                <w:sz w:val="24"/>
                <w:szCs w:val="24"/>
                <w:lang w:val="lv-LV"/>
              </w:rPr>
            </w:pPr>
          </w:p>
        </w:tc>
        <w:tc>
          <w:tcPr>
            <w:tcW w:w="1918" w:type="dxa"/>
            <w:shd w:val="clear" w:color="auto" w:fill="E7E6E6" w:themeFill="background2"/>
          </w:tcPr>
          <w:p w:rsidR="00ED7969" w:rsidRPr="0039098F" w:rsidP="00E3299B" w14:paraId="5CA8C57F" w14:textId="77777777">
            <w:pPr>
              <w:ind w:left="109"/>
              <w:rPr>
                <w:rFonts w:cs="Times New Roman"/>
                <w:sz w:val="24"/>
                <w:szCs w:val="24"/>
                <w:lang w:val="lv-LV"/>
              </w:rPr>
            </w:pPr>
            <w:r w:rsidRPr="0039098F">
              <w:rPr>
                <w:rFonts w:cs="Times New Roman"/>
                <w:sz w:val="24"/>
                <w:szCs w:val="24"/>
                <w:lang w:val="lv-LV"/>
              </w:rPr>
              <w:t>C</w:t>
            </w:r>
            <w:r w:rsidRPr="0039098F" w:rsidR="002F21B3">
              <w:rPr>
                <w:rFonts w:cs="Times New Roman"/>
                <w:sz w:val="24"/>
                <w:szCs w:val="24"/>
                <w:lang w:val="lv-LV"/>
              </w:rPr>
              <w:t>ena</w:t>
            </w:r>
          </w:p>
        </w:tc>
        <w:tc>
          <w:tcPr>
            <w:tcW w:w="4949" w:type="dxa"/>
            <w:shd w:val="clear" w:color="auto" w:fill="E7E6E6" w:themeFill="background2"/>
          </w:tcPr>
          <w:p w:rsidR="00ED7969" w:rsidRPr="0039098F" w:rsidP="003C04E2" w14:paraId="51AD7599" w14:textId="77777777">
            <w:pPr>
              <w:pStyle w:val="ListParagraph"/>
              <w:numPr>
                <w:ilvl w:val="0"/>
                <w:numId w:val="18"/>
              </w:numPr>
              <w:ind w:left="230" w:hanging="230"/>
              <w:rPr>
                <w:rFonts w:cs="Times New Roman"/>
                <w:sz w:val="24"/>
                <w:szCs w:val="24"/>
              </w:rPr>
            </w:pPr>
            <w:r w:rsidRPr="0039098F">
              <w:rPr>
                <w:rFonts w:cs="Times New Roman"/>
                <w:sz w:val="24"/>
                <w:szCs w:val="24"/>
              </w:rPr>
              <w:t>F</w:t>
            </w:r>
            <w:r w:rsidRPr="0039098F" w:rsidR="002F21B3">
              <w:rPr>
                <w:rFonts w:cs="Times New Roman"/>
                <w:sz w:val="24"/>
                <w:szCs w:val="24"/>
              </w:rPr>
              <w:t>iksētās platjoslas cena.</w:t>
            </w:r>
          </w:p>
        </w:tc>
      </w:tr>
      <w:tr w14:paraId="5AE6A810" w14:textId="77777777" w:rsidTr="00E3299B">
        <w:tblPrEx>
          <w:tblW w:w="0" w:type="auto"/>
          <w:tblLook w:val="04A0"/>
        </w:tblPrEx>
        <w:tc>
          <w:tcPr>
            <w:tcW w:w="1763" w:type="dxa"/>
            <w:shd w:val="clear" w:color="auto" w:fill="E7E6E6" w:themeFill="background2"/>
          </w:tcPr>
          <w:p w:rsidR="00ED7969" w:rsidRPr="0039098F" w:rsidP="007B25E2" w14:paraId="430CDF56" w14:textId="77777777">
            <w:pPr>
              <w:rPr>
                <w:rFonts w:cs="Times New Roman"/>
                <w:sz w:val="24"/>
                <w:szCs w:val="24"/>
                <w:lang w:val="lv-LV"/>
              </w:rPr>
            </w:pPr>
            <w:r w:rsidRPr="0039098F">
              <w:rPr>
                <w:rFonts w:cs="Times New Roman"/>
                <w:b/>
                <w:sz w:val="24"/>
                <w:szCs w:val="24"/>
                <w:lang w:val="lv-LV"/>
              </w:rPr>
              <w:t>Cilvēkkapit</w:t>
            </w:r>
            <w:r w:rsidRPr="0039098F" w:rsidR="00217F7F">
              <w:rPr>
                <w:rFonts w:cs="Times New Roman"/>
                <w:b/>
                <w:sz w:val="24"/>
                <w:szCs w:val="24"/>
                <w:lang w:val="lv-LV"/>
              </w:rPr>
              <w:t>āls</w:t>
            </w:r>
            <w:r w:rsidRPr="0039098F" w:rsidR="007B25E2">
              <w:rPr>
                <w:rFonts w:cs="Times New Roman"/>
                <w:b/>
                <w:sz w:val="24"/>
                <w:szCs w:val="24"/>
                <w:lang w:val="lv-LV"/>
              </w:rPr>
              <w:t xml:space="preserve"> </w:t>
            </w:r>
            <w:r w:rsidRPr="0039098F" w:rsidR="007B25E2">
              <w:rPr>
                <w:rFonts w:cs="Times New Roman"/>
                <w:sz w:val="24"/>
                <w:szCs w:val="24"/>
                <w:lang w:val="lv-LV"/>
              </w:rPr>
              <w:t>(25%)</w:t>
            </w:r>
          </w:p>
        </w:tc>
        <w:tc>
          <w:tcPr>
            <w:tcW w:w="1918" w:type="dxa"/>
            <w:shd w:val="clear" w:color="auto" w:fill="E7E6E6" w:themeFill="background2"/>
          </w:tcPr>
          <w:p w:rsidR="00ED7969" w:rsidRPr="0039098F" w:rsidP="0027256E" w14:paraId="5FE0C194" w14:textId="77777777">
            <w:pPr>
              <w:ind w:left="109"/>
              <w:rPr>
                <w:rFonts w:cs="Times New Roman"/>
                <w:sz w:val="24"/>
                <w:szCs w:val="24"/>
                <w:lang w:val="lv-LV"/>
              </w:rPr>
            </w:pPr>
            <w:r w:rsidRPr="0039098F">
              <w:rPr>
                <w:rFonts w:cs="Times New Roman"/>
                <w:sz w:val="24"/>
                <w:szCs w:val="24"/>
                <w:lang w:val="lv-LV"/>
              </w:rPr>
              <w:t>D</w:t>
            </w:r>
            <w:r w:rsidRPr="0039098F" w:rsidR="00217F7F">
              <w:rPr>
                <w:rFonts w:cs="Times New Roman"/>
                <w:sz w:val="24"/>
                <w:szCs w:val="24"/>
                <w:lang w:val="lv-LV"/>
              </w:rPr>
              <w:t xml:space="preserve">igitālās </w:t>
            </w:r>
            <w:r w:rsidRPr="0039098F" w:rsidR="002F21B3">
              <w:rPr>
                <w:rFonts w:cs="Times New Roman"/>
                <w:sz w:val="24"/>
                <w:szCs w:val="24"/>
                <w:lang w:val="lv-LV"/>
              </w:rPr>
              <w:t>pamatprasmes un to izmantošana</w:t>
            </w:r>
          </w:p>
        </w:tc>
        <w:tc>
          <w:tcPr>
            <w:tcW w:w="4949" w:type="dxa"/>
            <w:shd w:val="clear" w:color="auto" w:fill="E7E6E6" w:themeFill="background2"/>
          </w:tcPr>
          <w:p w:rsidR="002F21B3" w:rsidRPr="0039098F" w:rsidP="003C04E2" w14:paraId="4C6F34B7" w14:textId="77777777">
            <w:pPr>
              <w:pStyle w:val="ListParagraph"/>
              <w:numPr>
                <w:ilvl w:val="0"/>
                <w:numId w:val="18"/>
              </w:numPr>
              <w:ind w:left="230" w:hanging="230"/>
              <w:rPr>
                <w:rFonts w:cs="Times New Roman"/>
                <w:sz w:val="24"/>
                <w:szCs w:val="24"/>
              </w:rPr>
            </w:pPr>
            <w:r w:rsidRPr="0039098F">
              <w:rPr>
                <w:rFonts w:cs="Times New Roman"/>
                <w:sz w:val="24"/>
                <w:szCs w:val="24"/>
              </w:rPr>
              <w:t>I</w:t>
            </w:r>
            <w:r w:rsidRPr="0039098F">
              <w:rPr>
                <w:rFonts w:cs="Times New Roman"/>
                <w:sz w:val="24"/>
                <w:szCs w:val="24"/>
              </w:rPr>
              <w:t>nterneta izmantošana;</w:t>
            </w:r>
          </w:p>
          <w:p w:rsidR="00ED7969" w:rsidRPr="0039098F" w:rsidP="003C04E2" w14:paraId="6146242C" w14:textId="77777777">
            <w:pPr>
              <w:pStyle w:val="ListParagraph"/>
              <w:numPr>
                <w:ilvl w:val="0"/>
                <w:numId w:val="18"/>
              </w:numPr>
              <w:ind w:left="230" w:hanging="230"/>
              <w:rPr>
                <w:rFonts w:cs="Times New Roman"/>
                <w:sz w:val="24"/>
                <w:szCs w:val="24"/>
              </w:rPr>
            </w:pPr>
            <w:r w:rsidRPr="0039098F">
              <w:rPr>
                <w:rFonts w:cs="Times New Roman"/>
                <w:sz w:val="24"/>
                <w:szCs w:val="24"/>
              </w:rPr>
              <w:t>D</w:t>
            </w:r>
            <w:r w:rsidRPr="0039098F" w:rsidR="002F21B3">
              <w:rPr>
                <w:rFonts w:cs="Times New Roman"/>
                <w:sz w:val="24"/>
                <w:szCs w:val="24"/>
              </w:rPr>
              <w:t>igitālās pamatprasmes.</w:t>
            </w:r>
          </w:p>
        </w:tc>
      </w:tr>
      <w:tr w14:paraId="3BBB9070" w14:textId="77777777" w:rsidTr="00E3299B">
        <w:tblPrEx>
          <w:tblW w:w="0" w:type="auto"/>
          <w:tblLook w:val="04A0"/>
        </w:tblPrEx>
        <w:tc>
          <w:tcPr>
            <w:tcW w:w="1763" w:type="dxa"/>
            <w:shd w:val="clear" w:color="auto" w:fill="E7E6E6" w:themeFill="background2"/>
          </w:tcPr>
          <w:p w:rsidR="002F21B3" w:rsidRPr="0039098F" w:rsidP="0029497B" w14:paraId="5DCA6639" w14:textId="77777777">
            <w:pPr>
              <w:rPr>
                <w:rFonts w:cs="Times New Roman"/>
                <w:sz w:val="24"/>
                <w:szCs w:val="24"/>
                <w:lang w:val="lv-LV"/>
              </w:rPr>
            </w:pPr>
          </w:p>
        </w:tc>
        <w:tc>
          <w:tcPr>
            <w:tcW w:w="1918" w:type="dxa"/>
            <w:shd w:val="clear" w:color="auto" w:fill="E7E6E6" w:themeFill="background2"/>
          </w:tcPr>
          <w:p w:rsidR="00217F7F" w:rsidRPr="0039098F" w:rsidP="00E3299B" w14:paraId="38C06E93" w14:textId="77777777">
            <w:pPr>
              <w:ind w:left="109"/>
              <w:rPr>
                <w:rFonts w:cs="Times New Roman"/>
                <w:sz w:val="24"/>
                <w:szCs w:val="24"/>
                <w:lang w:val="lv-LV"/>
              </w:rPr>
            </w:pPr>
            <w:r w:rsidRPr="0039098F">
              <w:rPr>
                <w:rFonts w:cs="Times New Roman"/>
                <w:sz w:val="24"/>
                <w:szCs w:val="24"/>
                <w:lang w:val="lv-LV"/>
              </w:rPr>
              <w:t>A</w:t>
            </w:r>
            <w:r w:rsidRPr="0039098F">
              <w:rPr>
                <w:rFonts w:cs="Times New Roman"/>
                <w:sz w:val="24"/>
                <w:szCs w:val="24"/>
                <w:lang w:val="lv-LV"/>
              </w:rPr>
              <w:t>ugstāka līmeņa digitālās prasmes</w:t>
            </w:r>
          </w:p>
          <w:p w:rsidR="002F21B3" w:rsidRPr="0039098F" w:rsidP="00E3299B" w14:paraId="495EDD63" w14:textId="77777777">
            <w:pPr>
              <w:ind w:left="109"/>
              <w:rPr>
                <w:rFonts w:cs="Times New Roman"/>
                <w:sz w:val="24"/>
                <w:szCs w:val="24"/>
                <w:lang w:val="lv-LV"/>
              </w:rPr>
            </w:pPr>
          </w:p>
        </w:tc>
        <w:tc>
          <w:tcPr>
            <w:tcW w:w="4949" w:type="dxa"/>
            <w:shd w:val="clear" w:color="auto" w:fill="E7E6E6" w:themeFill="background2"/>
          </w:tcPr>
          <w:p w:rsidR="00217F7F" w:rsidRPr="0039098F" w:rsidP="003C04E2" w14:paraId="575FEC97" w14:textId="77777777">
            <w:pPr>
              <w:pStyle w:val="ListParagraph"/>
              <w:numPr>
                <w:ilvl w:val="0"/>
                <w:numId w:val="18"/>
              </w:numPr>
              <w:ind w:left="230" w:hanging="230"/>
              <w:rPr>
                <w:rFonts w:cs="Times New Roman"/>
                <w:sz w:val="24"/>
                <w:szCs w:val="24"/>
              </w:rPr>
            </w:pPr>
            <w:r w:rsidRPr="0039098F">
              <w:rPr>
                <w:rFonts w:cs="Times New Roman"/>
                <w:sz w:val="24"/>
                <w:szCs w:val="24"/>
              </w:rPr>
              <w:t>I</w:t>
            </w:r>
            <w:r w:rsidRPr="0039098F">
              <w:rPr>
                <w:rFonts w:cs="Times New Roman"/>
                <w:sz w:val="24"/>
                <w:szCs w:val="24"/>
              </w:rPr>
              <w:t>nformācijas un komunikāciju tehnoloģiju speciālisti;</w:t>
            </w:r>
          </w:p>
          <w:p w:rsidR="002F21B3" w:rsidRPr="0039098F" w:rsidP="003C04E2" w14:paraId="16043D97" w14:textId="77777777">
            <w:pPr>
              <w:pStyle w:val="ListParagraph"/>
              <w:numPr>
                <w:ilvl w:val="0"/>
                <w:numId w:val="18"/>
              </w:numPr>
              <w:ind w:left="230" w:hanging="230"/>
              <w:rPr>
                <w:rFonts w:cs="Times New Roman"/>
                <w:sz w:val="24"/>
                <w:szCs w:val="24"/>
              </w:rPr>
            </w:pPr>
            <w:r w:rsidRPr="0039098F">
              <w:rPr>
                <w:rFonts w:cs="Times New Roman"/>
                <w:sz w:val="24"/>
                <w:szCs w:val="24"/>
              </w:rPr>
              <w:t>Z</w:t>
            </w:r>
            <w:r w:rsidRPr="0039098F" w:rsidR="00217F7F">
              <w:rPr>
                <w:rFonts w:cs="Times New Roman"/>
                <w:sz w:val="24"/>
                <w:szCs w:val="24"/>
              </w:rPr>
              <w:t xml:space="preserve">inātņu, tehnoloģiju, inženierzinātņu un matemātikas programmu (STEM) absolventi </w:t>
            </w:r>
          </w:p>
        </w:tc>
      </w:tr>
      <w:tr w14:paraId="52CA3554" w14:textId="77777777" w:rsidTr="00E3299B">
        <w:tblPrEx>
          <w:tblW w:w="0" w:type="auto"/>
          <w:tblLook w:val="04A0"/>
        </w:tblPrEx>
        <w:tc>
          <w:tcPr>
            <w:tcW w:w="1763" w:type="dxa"/>
            <w:shd w:val="clear" w:color="auto" w:fill="E7E6E6" w:themeFill="background2"/>
          </w:tcPr>
          <w:p w:rsidR="00217F7F" w:rsidRPr="0039098F" w:rsidP="00217F7F" w14:paraId="25A0F693" w14:textId="77777777">
            <w:pPr>
              <w:rPr>
                <w:rFonts w:cs="Times New Roman"/>
                <w:b/>
                <w:sz w:val="24"/>
                <w:szCs w:val="24"/>
                <w:lang w:val="lv-LV"/>
              </w:rPr>
            </w:pPr>
            <w:r w:rsidRPr="0039098F">
              <w:rPr>
                <w:rFonts w:cs="Times New Roman"/>
                <w:b/>
                <w:sz w:val="24"/>
                <w:szCs w:val="24"/>
                <w:lang w:val="lv-LV"/>
              </w:rPr>
              <w:t>Interneta lietošana</w:t>
            </w:r>
          </w:p>
          <w:p w:rsidR="002F21B3" w:rsidRPr="0039098F" w:rsidP="0029497B" w14:paraId="2B202FBC" w14:textId="77777777">
            <w:pPr>
              <w:rPr>
                <w:rFonts w:cs="Times New Roman"/>
                <w:sz w:val="24"/>
                <w:szCs w:val="24"/>
                <w:lang w:val="lv-LV"/>
              </w:rPr>
            </w:pPr>
            <w:r w:rsidRPr="0039098F">
              <w:rPr>
                <w:rFonts w:cs="Times New Roman"/>
                <w:sz w:val="24"/>
                <w:szCs w:val="24"/>
                <w:lang w:val="lv-LV"/>
              </w:rPr>
              <w:t>(15%)</w:t>
            </w:r>
          </w:p>
        </w:tc>
        <w:tc>
          <w:tcPr>
            <w:tcW w:w="1918" w:type="dxa"/>
            <w:shd w:val="clear" w:color="auto" w:fill="E7E6E6" w:themeFill="background2"/>
          </w:tcPr>
          <w:p w:rsidR="00217F7F" w:rsidRPr="0039098F" w:rsidP="00E3299B" w14:paraId="0CD3F9F8" w14:textId="77777777">
            <w:pPr>
              <w:ind w:left="109"/>
              <w:rPr>
                <w:rFonts w:cs="Times New Roman"/>
                <w:sz w:val="24"/>
                <w:szCs w:val="24"/>
                <w:lang w:val="lv-LV"/>
              </w:rPr>
            </w:pPr>
            <w:r w:rsidRPr="0039098F">
              <w:rPr>
                <w:rFonts w:cs="Times New Roman"/>
                <w:sz w:val="24"/>
                <w:szCs w:val="24"/>
                <w:lang w:val="lv-LV"/>
              </w:rPr>
              <w:t>S</w:t>
            </w:r>
            <w:r w:rsidRPr="0039098F">
              <w:rPr>
                <w:rFonts w:cs="Times New Roman"/>
                <w:sz w:val="24"/>
                <w:szCs w:val="24"/>
                <w:lang w:val="lv-LV"/>
              </w:rPr>
              <w:t>aturs</w:t>
            </w:r>
          </w:p>
          <w:p w:rsidR="002F21B3" w:rsidRPr="0039098F" w:rsidP="00E3299B" w14:paraId="3B295B30" w14:textId="77777777">
            <w:pPr>
              <w:ind w:left="109"/>
              <w:rPr>
                <w:rFonts w:cs="Times New Roman"/>
                <w:sz w:val="24"/>
                <w:szCs w:val="24"/>
                <w:lang w:val="lv-LV"/>
              </w:rPr>
            </w:pPr>
          </w:p>
        </w:tc>
        <w:tc>
          <w:tcPr>
            <w:tcW w:w="4949" w:type="dxa"/>
            <w:shd w:val="clear" w:color="auto" w:fill="E7E6E6" w:themeFill="background2"/>
          </w:tcPr>
          <w:p w:rsidR="002F21B3" w:rsidRPr="0039098F" w:rsidP="003C04E2" w14:paraId="3C9C0DD7" w14:textId="77777777">
            <w:pPr>
              <w:pStyle w:val="ListParagraph"/>
              <w:numPr>
                <w:ilvl w:val="0"/>
                <w:numId w:val="18"/>
              </w:numPr>
              <w:ind w:left="230" w:hanging="230"/>
              <w:rPr>
                <w:rFonts w:cs="Times New Roman"/>
                <w:sz w:val="24"/>
                <w:szCs w:val="24"/>
              </w:rPr>
            </w:pPr>
            <w:r w:rsidRPr="0039098F">
              <w:rPr>
                <w:rFonts w:cs="Times New Roman"/>
                <w:sz w:val="24"/>
                <w:szCs w:val="24"/>
              </w:rPr>
              <w:t>Z</w:t>
            </w:r>
            <w:r w:rsidRPr="0039098F" w:rsidR="00217F7F">
              <w:rPr>
                <w:rFonts w:cs="Times New Roman"/>
                <w:sz w:val="24"/>
                <w:szCs w:val="24"/>
              </w:rPr>
              <w:t>iņas;</w:t>
            </w:r>
          </w:p>
          <w:p w:rsidR="00217F7F" w:rsidRPr="0039098F" w:rsidP="003C04E2" w14:paraId="49CBBCEF" w14:textId="77777777">
            <w:pPr>
              <w:pStyle w:val="ListParagraph"/>
              <w:numPr>
                <w:ilvl w:val="0"/>
                <w:numId w:val="18"/>
              </w:numPr>
              <w:ind w:left="230" w:hanging="230"/>
              <w:rPr>
                <w:rFonts w:cs="Times New Roman"/>
                <w:sz w:val="24"/>
                <w:szCs w:val="24"/>
              </w:rPr>
            </w:pPr>
            <w:r w:rsidRPr="0039098F">
              <w:rPr>
                <w:rFonts w:cs="Times New Roman"/>
                <w:sz w:val="24"/>
                <w:szCs w:val="24"/>
              </w:rPr>
              <w:t>M</w:t>
            </w:r>
            <w:r w:rsidRPr="0039098F">
              <w:rPr>
                <w:rFonts w:cs="Times New Roman"/>
                <w:sz w:val="24"/>
                <w:szCs w:val="24"/>
              </w:rPr>
              <w:t>ūzika, video, spēles;</w:t>
            </w:r>
          </w:p>
          <w:p w:rsidR="00217F7F" w:rsidRPr="0039098F" w:rsidP="003C04E2" w14:paraId="281BEFC6" w14:textId="77777777">
            <w:pPr>
              <w:pStyle w:val="ListParagraph"/>
              <w:numPr>
                <w:ilvl w:val="0"/>
                <w:numId w:val="18"/>
              </w:numPr>
              <w:ind w:left="230" w:hanging="230"/>
              <w:rPr>
                <w:rFonts w:cs="Times New Roman"/>
                <w:sz w:val="24"/>
                <w:szCs w:val="24"/>
              </w:rPr>
            </w:pPr>
            <w:r w:rsidRPr="0039098F">
              <w:rPr>
                <w:rFonts w:cs="Times New Roman"/>
                <w:sz w:val="24"/>
                <w:szCs w:val="24"/>
              </w:rPr>
              <w:t>V</w:t>
            </w:r>
            <w:r w:rsidRPr="0039098F">
              <w:rPr>
                <w:rFonts w:cs="Times New Roman"/>
                <w:sz w:val="24"/>
                <w:szCs w:val="24"/>
              </w:rPr>
              <w:t>ideo pēc pieprasījuma.</w:t>
            </w:r>
          </w:p>
        </w:tc>
      </w:tr>
      <w:tr w14:paraId="31D530A3" w14:textId="77777777" w:rsidTr="00E3299B">
        <w:tblPrEx>
          <w:tblW w:w="0" w:type="auto"/>
          <w:tblLook w:val="04A0"/>
        </w:tblPrEx>
        <w:tc>
          <w:tcPr>
            <w:tcW w:w="1763" w:type="dxa"/>
            <w:shd w:val="clear" w:color="auto" w:fill="E7E6E6" w:themeFill="background2"/>
          </w:tcPr>
          <w:p w:rsidR="002F21B3" w:rsidRPr="0039098F" w:rsidP="0029497B" w14:paraId="326CAC69" w14:textId="77777777">
            <w:pPr>
              <w:rPr>
                <w:rFonts w:cs="Times New Roman"/>
                <w:sz w:val="24"/>
                <w:szCs w:val="24"/>
                <w:lang w:val="lv-LV"/>
              </w:rPr>
            </w:pPr>
          </w:p>
        </w:tc>
        <w:tc>
          <w:tcPr>
            <w:tcW w:w="1918" w:type="dxa"/>
            <w:shd w:val="clear" w:color="auto" w:fill="E7E6E6" w:themeFill="background2"/>
          </w:tcPr>
          <w:p w:rsidR="002F21B3" w:rsidRPr="0039098F" w:rsidP="00E3299B" w14:paraId="0E1F0A45" w14:textId="77777777">
            <w:pPr>
              <w:ind w:left="109"/>
              <w:rPr>
                <w:rFonts w:cs="Times New Roman"/>
                <w:sz w:val="24"/>
                <w:szCs w:val="24"/>
                <w:lang w:val="lv-LV"/>
              </w:rPr>
            </w:pPr>
            <w:r w:rsidRPr="0039098F">
              <w:rPr>
                <w:rFonts w:cs="Times New Roman"/>
                <w:sz w:val="24"/>
                <w:szCs w:val="24"/>
                <w:lang w:val="lv-LV"/>
              </w:rPr>
              <w:t>Komunikācija</w:t>
            </w:r>
          </w:p>
        </w:tc>
        <w:tc>
          <w:tcPr>
            <w:tcW w:w="4949" w:type="dxa"/>
            <w:shd w:val="clear" w:color="auto" w:fill="E7E6E6" w:themeFill="background2"/>
          </w:tcPr>
          <w:p w:rsidR="00217F7F" w:rsidRPr="0039098F" w:rsidP="003C04E2" w14:paraId="57D9AF8A" w14:textId="77777777">
            <w:pPr>
              <w:pStyle w:val="ListParagraph"/>
              <w:numPr>
                <w:ilvl w:val="0"/>
                <w:numId w:val="18"/>
              </w:numPr>
              <w:ind w:left="230" w:hanging="230"/>
              <w:rPr>
                <w:rFonts w:cs="Times New Roman"/>
                <w:sz w:val="24"/>
                <w:szCs w:val="24"/>
              </w:rPr>
            </w:pPr>
            <w:r w:rsidRPr="0039098F">
              <w:rPr>
                <w:rFonts w:cs="Times New Roman"/>
                <w:sz w:val="24"/>
                <w:szCs w:val="24"/>
              </w:rPr>
              <w:t>Video zvani;</w:t>
            </w:r>
          </w:p>
          <w:p w:rsidR="002F21B3" w:rsidRPr="0039098F" w:rsidP="003C04E2" w14:paraId="55301CFE" w14:textId="77777777">
            <w:pPr>
              <w:pStyle w:val="ListParagraph"/>
              <w:numPr>
                <w:ilvl w:val="0"/>
                <w:numId w:val="18"/>
              </w:numPr>
              <w:ind w:left="230" w:hanging="230"/>
              <w:rPr>
                <w:rFonts w:cs="Times New Roman"/>
                <w:sz w:val="24"/>
                <w:szCs w:val="24"/>
              </w:rPr>
            </w:pPr>
            <w:r w:rsidRPr="0039098F">
              <w:rPr>
                <w:rFonts w:cs="Times New Roman"/>
                <w:sz w:val="24"/>
                <w:szCs w:val="24"/>
              </w:rPr>
              <w:t>Sociālie tīkli.</w:t>
            </w:r>
          </w:p>
        </w:tc>
      </w:tr>
      <w:tr w14:paraId="7DFD3ECE" w14:textId="77777777" w:rsidTr="00E3299B">
        <w:tblPrEx>
          <w:tblW w:w="0" w:type="auto"/>
          <w:tblLook w:val="04A0"/>
        </w:tblPrEx>
        <w:tc>
          <w:tcPr>
            <w:tcW w:w="1763" w:type="dxa"/>
            <w:shd w:val="clear" w:color="auto" w:fill="E7E6E6" w:themeFill="background2"/>
          </w:tcPr>
          <w:p w:rsidR="002F21B3" w:rsidRPr="0039098F" w:rsidP="0029497B" w14:paraId="5AB7BA6D" w14:textId="77777777">
            <w:pPr>
              <w:rPr>
                <w:rFonts w:cs="Times New Roman"/>
                <w:sz w:val="24"/>
                <w:szCs w:val="24"/>
                <w:lang w:val="lv-LV"/>
              </w:rPr>
            </w:pPr>
          </w:p>
        </w:tc>
        <w:tc>
          <w:tcPr>
            <w:tcW w:w="1918" w:type="dxa"/>
            <w:shd w:val="clear" w:color="auto" w:fill="E7E6E6" w:themeFill="background2"/>
          </w:tcPr>
          <w:p w:rsidR="002F21B3" w:rsidRPr="0039098F" w:rsidP="00E3299B" w14:paraId="5577BFF0" w14:textId="77777777">
            <w:pPr>
              <w:ind w:left="109"/>
              <w:rPr>
                <w:rFonts w:cs="Times New Roman"/>
                <w:sz w:val="24"/>
                <w:szCs w:val="24"/>
                <w:lang w:val="lv-LV"/>
              </w:rPr>
            </w:pPr>
            <w:r w:rsidRPr="0039098F">
              <w:rPr>
                <w:rFonts w:cs="Times New Roman"/>
                <w:sz w:val="24"/>
                <w:szCs w:val="24"/>
                <w:lang w:val="lv-LV"/>
              </w:rPr>
              <w:t>Darījumi</w:t>
            </w:r>
          </w:p>
        </w:tc>
        <w:tc>
          <w:tcPr>
            <w:tcW w:w="4949" w:type="dxa"/>
            <w:shd w:val="clear" w:color="auto" w:fill="E7E6E6" w:themeFill="background2"/>
          </w:tcPr>
          <w:p w:rsidR="00217F7F" w:rsidRPr="0039098F" w:rsidP="003C04E2" w14:paraId="6E0B39F2" w14:textId="77777777">
            <w:pPr>
              <w:pStyle w:val="ListParagraph"/>
              <w:numPr>
                <w:ilvl w:val="0"/>
                <w:numId w:val="18"/>
              </w:numPr>
              <w:ind w:left="230" w:hanging="230"/>
              <w:rPr>
                <w:rFonts w:cs="Times New Roman"/>
                <w:sz w:val="24"/>
                <w:szCs w:val="24"/>
              </w:rPr>
            </w:pPr>
            <w:r w:rsidRPr="0039098F">
              <w:rPr>
                <w:rFonts w:cs="Times New Roman"/>
                <w:sz w:val="24"/>
                <w:szCs w:val="24"/>
              </w:rPr>
              <w:t>Banka;</w:t>
            </w:r>
          </w:p>
          <w:p w:rsidR="002F21B3" w:rsidRPr="0039098F" w:rsidP="003C04E2" w14:paraId="3FBAD800" w14:textId="77777777">
            <w:pPr>
              <w:pStyle w:val="ListParagraph"/>
              <w:numPr>
                <w:ilvl w:val="0"/>
                <w:numId w:val="18"/>
              </w:numPr>
              <w:ind w:left="230" w:hanging="230"/>
              <w:rPr>
                <w:rFonts w:cs="Times New Roman"/>
                <w:sz w:val="24"/>
                <w:szCs w:val="24"/>
              </w:rPr>
            </w:pPr>
            <w:r w:rsidRPr="0039098F">
              <w:rPr>
                <w:rFonts w:cs="Times New Roman"/>
                <w:sz w:val="24"/>
                <w:szCs w:val="24"/>
              </w:rPr>
              <w:t>Iepirkšanās.</w:t>
            </w:r>
          </w:p>
        </w:tc>
      </w:tr>
      <w:tr w14:paraId="542580CB" w14:textId="77777777" w:rsidTr="00E3299B">
        <w:tblPrEx>
          <w:tblW w:w="0" w:type="auto"/>
          <w:tblLook w:val="04A0"/>
        </w:tblPrEx>
        <w:tc>
          <w:tcPr>
            <w:tcW w:w="1763" w:type="dxa"/>
            <w:shd w:val="clear" w:color="auto" w:fill="E7E6E6" w:themeFill="background2"/>
          </w:tcPr>
          <w:p w:rsidR="00D10167" w:rsidRPr="0039098F" w:rsidP="00B3798A" w14:paraId="775F579F" w14:textId="77777777">
            <w:pPr>
              <w:rPr>
                <w:rFonts w:cs="Times New Roman"/>
                <w:b/>
                <w:sz w:val="24"/>
                <w:szCs w:val="24"/>
                <w:lang w:val="lv-LV"/>
              </w:rPr>
            </w:pPr>
          </w:p>
          <w:p w:rsidR="00B3798A" w:rsidRPr="0039098F" w:rsidP="00B3798A" w14:paraId="1FB17975" w14:textId="77777777">
            <w:pPr>
              <w:rPr>
                <w:rFonts w:cs="Times New Roman"/>
                <w:sz w:val="24"/>
                <w:szCs w:val="24"/>
                <w:lang w:val="lv-LV"/>
              </w:rPr>
            </w:pPr>
            <w:r w:rsidRPr="0039098F">
              <w:rPr>
                <w:rFonts w:cs="Times New Roman"/>
                <w:b/>
                <w:sz w:val="24"/>
                <w:szCs w:val="24"/>
                <w:lang w:val="lv-LV"/>
              </w:rPr>
              <w:t>Ciparu tehnoloģiju integrācija</w:t>
            </w:r>
            <w:r w:rsidRPr="0039098F" w:rsidR="007B25E2">
              <w:rPr>
                <w:rFonts w:cs="Times New Roman"/>
                <w:sz w:val="24"/>
                <w:szCs w:val="24"/>
                <w:lang w:val="lv-LV"/>
              </w:rPr>
              <w:t xml:space="preserve"> (20%)</w:t>
            </w:r>
          </w:p>
        </w:tc>
        <w:tc>
          <w:tcPr>
            <w:tcW w:w="1918" w:type="dxa"/>
            <w:shd w:val="clear" w:color="auto" w:fill="E7E6E6" w:themeFill="background2"/>
          </w:tcPr>
          <w:p w:rsidR="00B3798A" w:rsidRPr="0039098F" w:rsidP="00E3299B" w14:paraId="768D395E" w14:textId="77777777">
            <w:pPr>
              <w:ind w:left="109"/>
              <w:rPr>
                <w:rFonts w:cs="Times New Roman"/>
                <w:sz w:val="24"/>
                <w:szCs w:val="24"/>
                <w:lang w:val="lv-LV"/>
              </w:rPr>
            </w:pPr>
            <w:r w:rsidRPr="0039098F">
              <w:rPr>
                <w:rFonts w:cs="Times New Roman"/>
                <w:sz w:val="24"/>
                <w:szCs w:val="24"/>
                <w:lang w:val="lv-LV"/>
              </w:rPr>
              <w:t>Uzņēmējdarbības digitalizācija</w:t>
            </w:r>
          </w:p>
        </w:tc>
        <w:tc>
          <w:tcPr>
            <w:tcW w:w="4949" w:type="dxa"/>
            <w:shd w:val="clear" w:color="auto" w:fill="E7E6E6" w:themeFill="background2"/>
          </w:tcPr>
          <w:p w:rsidR="00B3798A" w:rsidRPr="0039098F" w:rsidP="003C04E2" w14:paraId="22DED060" w14:textId="77777777">
            <w:pPr>
              <w:pStyle w:val="ListParagraph"/>
              <w:numPr>
                <w:ilvl w:val="0"/>
                <w:numId w:val="18"/>
              </w:numPr>
              <w:ind w:left="230" w:hanging="230"/>
              <w:rPr>
                <w:rFonts w:cs="Times New Roman"/>
                <w:sz w:val="24"/>
                <w:szCs w:val="24"/>
              </w:rPr>
            </w:pPr>
            <w:r w:rsidRPr="0039098F">
              <w:rPr>
                <w:rFonts w:cs="Times New Roman"/>
                <w:sz w:val="24"/>
                <w:szCs w:val="24"/>
              </w:rPr>
              <w:t>Dalīšanās ar elektronisko informāciju;</w:t>
            </w:r>
          </w:p>
          <w:p w:rsidR="00B3798A" w:rsidRPr="0039098F" w:rsidP="003C04E2" w14:paraId="58ECA4DA" w14:textId="77777777">
            <w:pPr>
              <w:pStyle w:val="ListParagraph"/>
              <w:numPr>
                <w:ilvl w:val="0"/>
                <w:numId w:val="18"/>
              </w:numPr>
              <w:ind w:left="230" w:hanging="230"/>
              <w:rPr>
                <w:rFonts w:cs="Times New Roman"/>
                <w:sz w:val="24"/>
                <w:szCs w:val="24"/>
              </w:rPr>
            </w:pPr>
            <w:r w:rsidRPr="0039098F">
              <w:rPr>
                <w:rFonts w:cs="Times New Roman"/>
                <w:sz w:val="24"/>
                <w:szCs w:val="24"/>
              </w:rPr>
              <w:t>Radiofrekvences identifikācija;</w:t>
            </w:r>
          </w:p>
          <w:p w:rsidR="00B3798A" w:rsidRPr="0039098F" w:rsidP="003C04E2" w14:paraId="097D1EF5" w14:textId="77777777">
            <w:pPr>
              <w:pStyle w:val="ListParagraph"/>
              <w:numPr>
                <w:ilvl w:val="0"/>
                <w:numId w:val="18"/>
              </w:numPr>
              <w:ind w:left="230" w:hanging="230"/>
              <w:rPr>
                <w:rFonts w:cs="Times New Roman"/>
                <w:sz w:val="24"/>
                <w:szCs w:val="24"/>
              </w:rPr>
            </w:pPr>
            <w:r w:rsidRPr="0039098F">
              <w:rPr>
                <w:rFonts w:cs="Times New Roman"/>
                <w:sz w:val="24"/>
                <w:szCs w:val="24"/>
              </w:rPr>
              <w:t>Sociālie mediji;</w:t>
            </w:r>
          </w:p>
          <w:p w:rsidR="00B3798A" w:rsidRPr="0039098F" w:rsidP="003C04E2" w14:paraId="201955BA" w14:textId="77777777">
            <w:pPr>
              <w:pStyle w:val="ListParagraph"/>
              <w:numPr>
                <w:ilvl w:val="0"/>
                <w:numId w:val="18"/>
              </w:numPr>
              <w:ind w:left="230" w:hanging="230"/>
              <w:rPr>
                <w:rFonts w:cs="Times New Roman"/>
                <w:sz w:val="24"/>
                <w:szCs w:val="24"/>
              </w:rPr>
            </w:pPr>
            <w:r w:rsidRPr="0039098F">
              <w:rPr>
                <w:rFonts w:cs="Times New Roman"/>
                <w:sz w:val="24"/>
                <w:szCs w:val="24"/>
              </w:rPr>
              <w:t>eRēķini;</w:t>
            </w:r>
          </w:p>
          <w:p w:rsidR="00B3798A" w:rsidRPr="0039098F" w:rsidP="003C04E2" w14:paraId="06FA874E" w14:textId="77777777">
            <w:pPr>
              <w:pStyle w:val="ListParagraph"/>
              <w:numPr>
                <w:ilvl w:val="0"/>
                <w:numId w:val="18"/>
              </w:numPr>
              <w:ind w:left="230" w:hanging="230"/>
              <w:rPr>
                <w:rFonts w:cs="Times New Roman"/>
                <w:sz w:val="24"/>
                <w:szCs w:val="24"/>
              </w:rPr>
            </w:pPr>
            <w:r w:rsidRPr="0039098F">
              <w:rPr>
                <w:rFonts w:cs="Times New Roman"/>
                <w:sz w:val="24"/>
                <w:szCs w:val="24"/>
              </w:rPr>
              <w:t>Mākoņpakalpojumi.</w:t>
            </w:r>
          </w:p>
        </w:tc>
      </w:tr>
      <w:tr w14:paraId="64E69203" w14:textId="77777777" w:rsidTr="00E3299B">
        <w:tblPrEx>
          <w:tblW w:w="0" w:type="auto"/>
          <w:tblLook w:val="04A0"/>
        </w:tblPrEx>
        <w:tc>
          <w:tcPr>
            <w:tcW w:w="1763" w:type="dxa"/>
            <w:shd w:val="clear" w:color="auto" w:fill="E7E6E6" w:themeFill="background2"/>
          </w:tcPr>
          <w:p w:rsidR="00B3798A" w:rsidRPr="0039098F" w:rsidP="00B3798A" w14:paraId="3DCAD432" w14:textId="77777777">
            <w:pPr>
              <w:rPr>
                <w:rFonts w:cs="Times New Roman"/>
                <w:sz w:val="24"/>
                <w:szCs w:val="24"/>
                <w:lang w:val="lv-LV"/>
              </w:rPr>
            </w:pPr>
          </w:p>
        </w:tc>
        <w:tc>
          <w:tcPr>
            <w:tcW w:w="1918" w:type="dxa"/>
            <w:shd w:val="clear" w:color="auto" w:fill="E7E6E6" w:themeFill="background2"/>
          </w:tcPr>
          <w:p w:rsidR="00B3798A" w:rsidRPr="0039098F" w:rsidP="00E3299B" w14:paraId="293B63F2" w14:textId="77777777">
            <w:pPr>
              <w:ind w:left="109"/>
              <w:rPr>
                <w:rFonts w:cs="Times New Roman"/>
                <w:sz w:val="24"/>
                <w:szCs w:val="24"/>
                <w:lang w:val="lv-LV"/>
              </w:rPr>
            </w:pPr>
            <w:r w:rsidRPr="0039098F">
              <w:rPr>
                <w:rFonts w:cs="Times New Roman"/>
                <w:sz w:val="24"/>
                <w:szCs w:val="24"/>
                <w:lang w:val="lv-LV"/>
              </w:rPr>
              <w:t>E</w:t>
            </w:r>
            <w:r w:rsidRPr="0039098F">
              <w:rPr>
                <w:rFonts w:cs="Times New Roman"/>
                <w:sz w:val="24"/>
                <w:szCs w:val="24"/>
                <w:lang w:val="lv-LV"/>
              </w:rPr>
              <w:t>-komercija</w:t>
            </w:r>
          </w:p>
          <w:p w:rsidR="00B3798A" w:rsidRPr="0039098F" w:rsidP="00E3299B" w14:paraId="66761653" w14:textId="77777777">
            <w:pPr>
              <w:ind w:left="109"/>
              <w:rPr>
                <w:rFonts w:cs="Times New Roman"/>
                <w:sz w:val="24"/>
                <w:szCs w:val="24"/>
                <w:lang w:val="lv-LV"/>
              </w:rPr>
            </w:pPr>
          </w:p>
        </w:tc>
        <w:tc>
          <w:tcPr>
            <w:tcW w:w="4949" w:type="dxa"/>
            <w:shd w:val="clear" w:color="auto" w:fill="E7E6E6" w:themeFill="background2"/>
          </w:tcPr>
          <w:p w:rsidR="00B3798A" w:rsidRPr="0039098F" w:rsidP="003C04E2" w14:paraId="5B435F11" w14:textId="77777777">
            <w:pPr>
              <w:pStyle w:val="ListParagraph"/>
              <w:numPr>
                <w:ilvl w:val="0"/>
                <w:numId w:val="18"/>
              </w:numPr>
              <w:ind w:left="230" w:hanging="230"/>
              <w:rPr>
                <w:rFonts w:cs="Times New Roman"/>
                <w:sz w:val="24"/>
                <w:szCs w:val="24"/>
              </w:rPr>
            </w:pPr>
            <w:r w:rsidRPr="0039098F">
              <w:rPr>
                <w:rFonts w:cs="Times New Roman"/>
                <w:sz w:val="24"/>
                <w:szCs w:val="24"/>
              </w:rPr>
              <w:t>Mazie un vidējie uzņēmumi, kas tirgojas tiešsaistē;</w:t>
            </w:r>
          </w:p>
          <w:p w:rsidR="00B3798A" w:rsidRPr="0039098F" w:rsidP="003C04E2" w14:paraId="42A3051D" w14:textId="77777777">
            <w:pPr>
              <w:pStyle w:val="ListParagraph"/>
              <w:numPr>
                <w:ilvl w:val="0"/>
                <w:numId w:val="18"/>
              </w:numPr>
              <w:ind w:left="230" w:hanging="230"/>
              <w:rPr>
                <w:rFonts w:cs="Times New Roman"/>
                <w:sz w:val="24"/>
                <w:szCs w:val="24"/>
              </w:rPr>
            </w:pPr>
            <w:r w:rsidRPr="0039098F">
              <w:rPr>
                <w:rFonts w:cs="Times New Roman"/>
                <w:sz w:val="24"/>
                <w:szCs w:val="24"/>
              </w:rPr>
              <w:t>eTirdzniecības apgrozījums;</w:t>
            </w:r>
          </w:p>
          <w:p w:rsidR="00B3798A" w:rsidRPr="0039098F" w:rsidP="003C04E2" w14:paraId="0307FFA2" w14:textId="77777777">
            <w:pPr>
              <w:pStyle w:val="ListParagraph"/>
              <w:numPr>
                <w:ilvl w:val="0"/>
                <w:numId w:val="18"/>
              </w:numPr>
              <w:ind w:left="230" w:hanging="230"/>
              <w:rPr>
                <w:rFonts w:cs="Times New Roman"/>
                <w:sz w:val="24"/>
                <w:szCs w:val="24"/>
              </w:rPr>
            </w:pPr>
            <w:r w:rsidRPr="0039098F">
              <w:rPr>
                <w:rFonts w:cs="Times New Roman"/>
                <w:sz w:val="24"/>
                <w:szCs w:val="24"/>
              </w:rPr>
              <w:t>Pārrobežu tirdzniecība tiešsaistē.</w:t>
            </w:r>
          </w:p>
        </w:tc>
      </w:tr>
      <w:tr w14:paraId="5983BD2E" w14:textId="77777777" w:rsidTr="00E3299B">
        <w:tblPrEx>
          <w:tblW w:w="0" w:type="auto"/>
          <w:tblLook w:val="04A0"/>
        </w:tblPrEx>
        <w:tc>
          <w:tcPr>
            <w:tcW w:w="1763" w:type="dxa"/>
            <w:shd w:val="clear" w:color="auto" w:fill="E7E6E6" w:themeFill="background2"/>
          </w:tcPr>
          <w:p w:rsidR="00B3798A" w:rsidRPr="0039098F" w:rsidP="00B3798A" w14:paraId="7C7C64B7" w14:textId="77777777">
            <w:pPr>
              <w:rPr>
                <w:rFonts w:cs="Times New Roman"/>
                <w:sz w:val="24"/>
                <w:szCs w:val="24"/>
                <w:lang w:val="lv-LV"/>
              </w:rPr>
            </w:pPr>
            <w:r w:rsidRPr="0039098F">
              <w:rPr>
                <w:rFonts w:cs="Times New Roman"/>
                <w:b/>
                <w:sz w:val="24"/>
                <w:szCs w:val="24"/>
                <w:lang w:val="lv-LV"/>
              </w:rPr>
              <w:t>Digitālie publiskie pakalpojumi</w:t>
            </w:r>
            <w:r w:rsidRPr="0039098F" w:rsidR="007B25E2">
              <w:rPr>
                <w:rFonts w:cs="Times New Roman"/>
                <w:sz w:val="24"/>
                <w:szCs w:val="24"/>
                <w:lang w:val="lv-LV"/>
              </w:rPr>
              <w:t xml:space="preserve"> (15%)</w:t>
            </w:r>
          </w:p>
        </w:tc>
        <w:tc>
          <w:tcPr>
            <w:tcW w:w="1918" w:type="dxa"/>
            <w:shd w:val="clear" w:color="auto" w:fill="E7E6E6" w:themeFill="background2"/>
          </w:tcPr>
          <w:p w:rsidR="00F94CC3" w:rsidRPr="0039098F" w:rsidP="00E3299B" w14:paraId="4B30B957" w14:textId="77777777">
            <w:pPr>
              <w:ind w:left="109"/>
              <w:rPr>
                <w:rFonts w:cs="Times New Roman"/>
                <w:sz w:val="24"/>
                <w:szCs w:val="24"/>
                <w:lang w:val="lv-LV"/>
              </w:rPr>
            </w:pPr>
            <w:r w:rsidRPr="0039098F">
              <w:rPr>
                <w:rFonts w:cs="Times New Roman"/>
                <w:sz w:val="24"/>
                <w:szCs w:val="24"/>
                <w:lang w:val="lv-LV"/>
              </w:rPr>
              <w:t>ePārvalde</w:t>
            </w:r>
            <w:r w:rsidRPr="0039098F" w:rsidR="004D6129">
              <w:rPr>
                <w:rFonts w:cs="Times New Roman"/>
                <w:sz w:val="24"/>
                <w:szCs w:val="24"/>
                <w:lang w:val="lv-LV"/>
              </w:rPr>
              <w:t>s pakalpojumi</w:t>
            </w:r>
          </w:p>
          <w:p w:rsidR="00B3798A" w:rsidRPr="0039098F" w:rsidP="00E3299B" w14:paraId="274317FF" w14:textId="77777777">
            <w:pPr>
              <w:pStyle w:val="ListParagraph"/>
              <w:ind w:left="109"/>
              <w:rPr>
                <w:rFonts w:cs="Times New Roman"/>
                <w:sz w:val="24"/>
                <w:szCs w:val="24"/>
              </w:rPr>
            </w:pPr>
          </w:p>
        </w:tc>
        <w:tc>
          <w:tcPr>
            <w:tcW w:w="4949" w:type="dxa"/>
            <w:shd w:val="clear" w:color="auto" w:fill="E7E6E6" w:themeFill="background2"/>
          </w:tcPr>
          <w:p w:rsidR="00F94CC3" w:rsidRPr="0039098F" w:rsidP="003C04E2" w14:paraId="53FC5FDC" w14:textId="77777777">
            <w:pPr>
              <w:pStyle w:val="ListParagraph"/>
              <w:numPr>
                <w:ilvl w:val="0"/>
                <w:numId w:val="18"/>
              </w:numPr>
              <w:ind w:left="230" w:hanging="230"/>
              <w:rPr>
                <w:rFonts w:cs="Times New Roman"/>
                <w:sz w:val="24"/>
                <w:szCs w:val="24"/>
              </w:rPr>
            </w:pPr>
            <w:r w:rsidRPr="0039098F">
              <w:rPr>
                <w:rFonts w:cs="Times New Roman"/>
                <w:sz w:val="24"/>
                <w:szCs w:val="24"/>
              </w:rPr>
              <w:t>ePārvaldes lietotāji;</w:t>
            </w:r>
          </w:p>
          <w:p w:rsidR="00F94CC3" w:rsidRPr="0039098F" w:rsidP="003C04E2" w14:paraId="13F66D0A" w14:textId="77777777">
            <w:pPr>
              <w:pStyle w:val="ListParagraph"/>
              <w:numPr>
                <w:ilvl w:val="0"/>
                <w:numId w:val="18"/>
              </w:numPr>
              <w:ind w:left="230" w:hanging="230"/>
              <w:rPr>
                <w:rFonts w:cs="Times New Roman"/>
                <w:sz w:val="24"/>
                <w:szCs w:val="24"/>
              </w:rPr>
            </w:pPr>
            <w:r w:rsidRPr="0039098F">
              <w:rPr>
                <w:rFonts w:cs="Times New Roman"/>
                <w:sz w:val="24"/>
                <w:szCs w:val="24"/>
              </w:rPr>
              <w:t>Gatavas formas;</w:t>
            </w:r>
          </w:p>
          <w:p w:rsidR="00F94CC3" w:rsidRPr="0039098F" w:rsidP="003C04E2" w14:paraId="6FC1E49C" w14:textId="77777777">
            <w:pPr>
              <w:pStyle w:val="ListParagraph"/>
              <w:numPr>
                <w:ilvl w:val="0"/>
                <w:numId w:val="18"/>
              </w:numPr>
              <w:ind w:left="230" w:hanging="230"/>
              <w:rPr>
                <w:rFonts w:cs="Times New Roman"/>
                <w:sz w:val="24"/>
                <w:szCs w:val="24"/>
              </w:rPr>
            </w:pPr>
            <w:r w:rsidRPr="0039098F">
              <w:rPr>
                <w:rFonts w:cs="Times New Roman"/>
                <w:sz w:val="24"/>
                <w:szCs w:val="24"/>
              </w:rPr>
              <w:t>Tiešsaistē pabeigtie pakalpojumi;</w:t>
            </w:r>
          </w:p>
          <w:p w:rsidR="00B3798A" w:rsidRPr="0039098F" w:rsidP="003C04E2" w14:paraId="7C6C158D" w14:textId="77777777">
            <w:pPr>
              <w:pStyle w:val="ListParagraph"/>
              <w:numPr>
                <w:ilvl w:val="0"/>
                <w:numId w:val="18"/>
              </w:numPr>
              <w:ind w:left="230" w:hanging="230"/>
              <w:rPr>
                <w:rFonts w:cs="Times New Roman"/>
                <w:sz w:val="24"/>
                <w:szCs w:val="24"/>
              </w:rPr>
            </w:pPr>
            <w:r w:rsidRPr="0039098F">
              <w:rPr>
                <w:rFonts w:cs="Times New Roman"/>
                <w:sz w:val="24"/>
                <w:szCs w:val="24"/>
              </w:rPr>
              <w:t>Atvērtie dati.</w:t>
            </w:r>
          </w:p>
        </w:tc>
      </w:tr>
    </w:tbl>
    <w:p w:rsidR="00ED7969" w:rsidRPr="00855036" w:rsidP="0029497B" w14:paraId="2DFD6A66" w14:textId="77777777">
      <w:pPr>
        <w:spacing w:after="0"/>
        <w:rPr>
          <w:rFonts w:cs="Times New Roman"/>
          <w:szCs w:val="28"/>
          <w:lang w:val="lv-LV"/>
        </w:rPr>
      </w:pPr>
    </w:p>
    <w:p w:rsidR="006E56E8" w:rsidRPr="00855036" w:rsidP="0029497B" w14:paraId="467281EE" w14:textId="77777777">
      <w:pPr>
        <w:spacing w:after="0"/>
        <w:rPr>
          <w:rFonts w:cs="Times New Roman"/>
          <w:szCs w:val="28"/>
          <w:lang w:val="lv-LV"/>
        </w:rPr>
      </w:pPr>
    </w:p>
    <w:p w:rsidR="002E3B28" w:rsidRPr="0039098F" w:rsidP="002934A4" w14:paraId="68E4AB6D" w14:textId="31EF62E0">
      <w:pPr>
        <w:pStyle w:val="Heading1"/>
        <w:rPr>
          <w:lang w:val="lv-LV"/>
        </w:rPr>
      </w:pPr>
      <w:bookmarkStart w:id="7" w:name="_Toc503516713"/>
      <w:bookmarkStart w:id="8" w:name="_Toc256000002"/>
      <w:bookmarkStart w:id="9" w:name="_Toc256000022"/>
      <w:r w:rsidRPr="0039098F">
        <w:rPr>
          <w:lang w:val="lv-LV"/>
        </w:rPr>
        <w:t>D</w:t>
      </w:r>
      <w:r w:rsidRPr="0039098F" w:rsidR="008C069F">
        <w:rPr>
          <w:lang w:val="lv-LV"/>
        </w:rPr>
        <w:t>igitālās eko</w:t>
      </w:r>
      <w:r w:rsidRPr="0039098F">
        <w:rPr>
          <w:lang w:val="lv-LV"/>
        </w:rPr>
        <w:t>nomikas un sabiedrības situācijas novērtējums</w:t>
      </w:r>
      <w:r w:rsidRPr="0039098F" w:rsidR="008C069F">
        <w:rPr>
          <w:lang w:val="lv-LV"/>
        </w:rPr>
        <w:t xml:space="preserve"> </w:t>
      </w:r>
      <w:r w:rsidRPr="0039098F" w:rsidR="001736C1">
        <w:rPr>
          <w:lang w:val="lv-LV"/>
        </w:rPr>
        <w:t>Latvijā</w:t>
      </w:r>
      <w:r w:rsidRPr="0039098F" w:rsidR="001736C1">
        <w:rPr>
          <w:lang w:val="lv-LV"/>
        </w:rPr>
        <w:br/>
      </w:r>
      <w:r w:rsidRPr="0039098F" w:rsidR="008C069F">
        <w:rPr>
          <w:lang w:val="lv-LV"/>
        </w:rPr>
        <w:t>saskaņā ar DESI</w:t>
      </w:r>
      <w:r w:rsidRPr="0039098F" w:rsidR="001736C1">
        <w:rPr>
          <w:lang w:val="lv-LV"/>
        </w:rPr>
        <w:t xml:space="preserve"> </w:t>
      </w:r>
      <w:r w:rsidRPr="0039098F" w:rsidR="008B7D47">
        <w:rPr>
          <w:lang w:val="lv-LV"/>
        </w:rPr>
        <w:t xml:space="preserve">indeksa </w:t>
      </w:r>
      <w:r w:rsidRPr="0039098F" w:rsidR="001736C1">
        <w:rPr>
          <w:lang w:val="lv-LV"/>
        </w:rPr>
        <w:t>rādītājiem 2017.</w:t>
      </w:r>
      <w:r w:rsidRPr="0039098F" w:rsidR="008B7D47">
        <w:rPr>
          <w:lang w:val="lv-LV"/>
        </w:rPr>
        <w:t> </w:t>
      </w:r>
      <w:r w:rsidRPr="0039098F" w:rsidR="001736C1">
        <w:rPr>
          <w:lang w:val="lv-LV"/>
        </w:rPr>
        <w:t>gadā</w:t>
      </w:r>
      <w:bookmarkEnd w:id="9"/>
      <w:bookmarkEnd w:id="8"/>
      <w:bookmarkEnd w:id="7"/>
    </w:p>
    <w:p w:rsidR="00D4152D" w:rsidRPr="00855036" w:rsidP="00422589" w14:paraId="27915123" w14:textId="77777777">
      <w:pPr>
        <w:spacing w:after="0"/>
        <w:rPr>
          <w:rFonts w:cs="Times New Roman"/>
          <w:szCs w:val="28"/>
          <w:lang w:val="lv-LV"/>
        </w:rPr>
      </w:pPr>
    </w:p>
    <w:p w:rsidR="00C242A6" w:rsidRPr="00855036" w:rsidP="0039098F" w14:paraId="0CE26BB5" w14:textId="653A256A">
      <w:pPr>
        <w:rPr>
          <w:lang w:val="lv-LV"/>
        </w:rPr>
      </w:pPr>
      <w:r w:rsidRPr="00855036">
        <w:rPr>
          <w:lang w:val="lv-LV"/>
        </w:rPr>
        <w:t xml:space="preserve">Latvija DESI </w:t>
      </w:r>
      <w:r w:rsidRPr="00855036" w:rsidR="008B7D47">
        <w:rPr>
          <w:lang w:val="lv-LV"/>
        </w:rPr>
        <w:t xml:space="preserve">indeksa </w:t>
      </w:r>
      <w:r w:rsidRPr="00855036">
        <w:rPr>
          <w:lang w:val="lv-LV"/>
        </w:rPr>
        <w:t>2017.</w:t>
      </w:r>
      <w:r w:rsidRPr="00855036" w:rsidR="008B7D47">
        <w:rPr>
          <w:lang w:val="lv-LV"/>
        </w:rPr>
        <w:t> </w:t>
      </w:r>
      <w:r w:rsidRPr="00855036">
        <w:rPr>
          <w:lang w:val="lv-LV"/>
        </w:rPr>
        <w:t>gada rangā ieņem 19.</w:t>
      </w:r>
      <w:r w:rsidRPr="00855036" w:rsidR="008B7D47">
        <w:rPr>
          <w:lang w:val="lv-LV"/>
        </w:rPr>
        <w:t> </w:t>
      </w:r>
      <w:r w:rsidRPr="00855036">
        <w:rPr>
          <w:lang w:val="lv-LV"/>
        </w:rPr>
        <w:t xml:space="preserve">vietu. Salīdzinot ar situāciju pirms gada, kopējo progresu nosaka ātrdarbīgu platjoslas pieslēgumu īpatsvara pieaugums un uzlabojumi publisko pakalpojumu sniegšanā. Arvien vairāk Latvijas iedzīvotāju lieto internetu un izmanto e-pārvaldes pakalpojumus, taču pusei </w:t>
      </w:r>
      <w:r w:rsidRPr="00855036" w:rsidR="008B7D47">
        <w:rPr>
          <w:lang w:val="lv-LV"/>
        </w:rPr>
        <w:t xml:space="preserve">Latvijas iedzīvotāju </w:t>
      </w:r>
      <w:r w:rsidRPr="00855036">
        <w:rPr>
          <w:lang w:val="lv-LV"/>
        </w:rPr>
        <w:t>joprojām nav digitālo prasmju vai tās ir zemas. Latvijas iedzīvotāji aizvien biežāk iepērkas tiešsaistē, taču uzņēmumi tehnoloģiju iespējas izmanto nepilnīgi. Latvija pieder pie to valstu grupas, kuru rezultāti ir vidēji.</w:t>
      </w:r>
    </w:p>
    <w:p w:rsidR="00E3299B" w:rsidRPr="00855036" w:rsidP="00C242A6" w14:paraId="654AB6E0" w14:textId="77777777">
      <w:pPr>
        <w:spacing w:after="0"/>
        <w:rPr>
          <w:rFonts w:cs="Times New Roman"/>
          <w:b/>
          <w:i/>
          <w:szCs w:val="28"/>
          <w:lang w:val="lv-LV"/>
        </w:rPr>
      </w:pPr>
    </w:p>
    <w:p w:rsidR="0078214E" w:rsidRPr="00855036" w:rsidP="003B1608" w14:paraId="7E568B15" w14:textId="5BBC7D12">
      <w:pPr>
        <w:spacing w:after="0"/>
        <w:ind w:left="-142" w:firstLine="142"/>
        <w:rPr>
          <w:rFonts w:cs="Times New Roman"/>
          <w:b/>
          <w:i/>
          <w:szCs w:val="28"/>
          <w:lang w:val="lv-LV"/>
        </w:rPr>
      </w:pPr>
      <w:r w:rsidRPr="00855036">
        <w:rPr>
          <w:rFonts w:cs="Times New Roman"/>
          <w:b/>
          <w:i/>
          <w:noProof/>
          <w:szCs w:val="28"/>
        </w:rPr>
        <w:drawing>
          <wp:inline distT="0" distB="0" distL="0" distR="0">
            <wp:extent cx="5486400" cy="2591598"/>
            <wp:effectExtent l="171450" t="190500" r="190500" b="1898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155791" name="Picture 3"/>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2591598"/>
                    </a:xfrm>
                    <a:prstGeom prst="rect">
                      <a:avLst/>
                    </a:prstGeom>
                    <a:solidFill>
                      <a:srgbClr val="FFFFFF">
                        <a:shade val="85000"/>
                      </a:srgbClr>
                    </a:solidFill>
                    <a:ln w="190500" cap="rnd">
                      <a:solidFill>
                        <a:srgbClr val="FFFFFF"/>
                      </a:solidFill>
                    </a:ln>
                    <a:effectLst>
                      <a:outerShdw blurRad="50000" dist="0" dir="0" sx="100000" sy="100000" kx="0" ky="0" algn="tl" rotWithShape="0">
                        <a:srgbClr val="000000">
                          <a:alpha val="41000"/>
                        </a:srgbClr>
                      </a:outerShdw>
                    </a:effectLst>
                    <a:scene3d>
                      <a:camera prst="orthographicFront"/>
                      <a:lightRig rig="twoPt" dir="t">
                        <a:rot lat="0" lon="0" rev="7800000"/>
                      </a:lightRig>
                    </a:scene3d>
                    <a:sp3d contourW="6350">
                      <a:bevelT w="50800" h="16510" prst="circle"/>
                      <a:contourClr>
                        <a:srgbClr val="C0C0C0"/>
                      </a:contourClr>
                    </a:sp3d>
                  </pic:spPr>
                </pic:pic>
              </a:graphicData>
            </a:graphic>
          </wp:inline>
        </w:drawing>
      </w:r>
    </w:p>
    <w:p w:rsidR="007C126F" w:rsidRPr="00855036" w:rsidP="00507F0B" w14:paraId="5922B16B" w14:textId="3E2EE7B3">
      <w:pPr>
        <w:spacing w:after="0"/>
        <w:rPr>
          <w:rFonts w:cs="Times New Roman"/>
          <w:szCs w:val="28"/>
          <w:lang w:val="lv-LV"/>
        </w:rPr>
      </w:pPr>
      <w:r w:rsidRPr="00855036">
        <w:rPr>
          <w:rFonts w:cs="Times New Roman"/>
          <w:szCs w:val="28"/>
          <w:lang w:val="lv-LV"/>
        </w:rPr>
        <w:t>Attēl</w:t>
      </w:r>
      <w:r w:rsidRPr="00855036" w:rsidR="00507F0B">
        <w:rPr>
          <w:rFonts w:cs="Times New Roman"/>
          <w:szCs w:val="28"/>
          <w:lang w:val="lv-LV"/>
        </w:rPr>
        <w:t>a avots</w:t>
      </w:r>
      <w:r w:rsidRPr="00855036">
        <w:rPr>
          <w:rFonts w:cs="Times New Roman"/>
          <w:szCs w:val="28"/>
          <w:lang w:val="lv-LV"/>
        </w:rPr>
        <w:t>: Latvijas valsts profils, Eiropas digitālā progresa 2017.</w:t>
      </w:r>
      <w:r w:rsidRPr="00855036" w:rsidR="00791A43">
        <w:rPr>
          <w:rFonts w:cs="Times New Roman"/>
          <w:szCs w:val="28"/>
          <w:lang w:val="lv-LV"/>
        </w:rPr>
        <w:t> </w:t>
      </w:r>
      <w:r w:rsidRPr="00855036">
        <w:rPr>
          <w:rFonts w:cs="Times New Roman"/>
          <w:szCs w:val="28"/>
          <w:lang w:val="lv-LV"/>
        </w:rPr>
        <w:t>gada ziņojums</w:t>
      </w:r>
    </w:p>
    <w:p w:rsidR="0078214E" w:rsidRPr="00855036" w:rsidP="00507F0B" w14:paraId="22FD3B67" w14:textId="77777777">
      <w:pPr>
        <w:spacing w:after="0"/>
        <w:rPr>
          <w:rFonts w:cs="Times New Roman"/>
          <w:b/>
          <w:szCs w:val="28"/>
          <w:lang w:val="lv-LV"/>
        </w:rPr>
      </w:pPr>
    </w:p>
    <w:p w:rsidR="00A03B7E" w:rsidRPr="00855036" w:rsidP="00A03B7E" w14:paraId="148AE7B8" w14:textId="77777777">
      <w:pPr>
        <w:spacing w:after="0"/>
        <w:rPr>
          <w:rFonts w:cs="Times New Roman"/>
          <w:b/>
          <w:szCs w:val="28"/>
          <w:lang w:val="lv-LV"/>
        </w:rPr>
      </w:pPr>
    </w:p>
    <w:p w:rsidR="007C126F" w:rsidRPr="002934A4" w:rsidP="002934A4" w14:paraId="2FE839CA" w14:textId="1D3CD927">
      <w:pPr>
        <w:pStyle w:val="Heading2"/>
        <w:numPr>
          <w:ilvl w:val="1"/>
          <w:numId w:val="33"/>
        </w:numPr>
        <w:rPr>
          <w:b w:val="0"/>
          <w:lang w:val="lv-LV"/>
        </w:rPr>
      </w:pPr>
      <w:bookmarkStart w:id="10" w:name="_Toc503516714"/>
      <w:bookmarkStart w:id="11" w:name="_Toc256000003"/>
      <w:bookmarkStart w:id="12" w:name="_Toc256000023"/>
      <w:r w:rsidRPr="002934A4">
        <w:rPr>
          <w:lang w:val="lv-LV"/>
        </w:rPr>
        <w:t>Latvijas sniegums</w:t>
      </w:r>
      <w:r w:rsidRPr="002934A4">
        <w:rPr>
          <w:lang w:val="lv-LV"/>
        </w:rPr>
        <w:t xml:space="preserve"> </w:t>
      </w:r>
      <w:r w:rsidRPr="002934A4" w:rsidR="00ED7662">
        <w:rPr>
          <w:lang w:val="lv-LV"/>
        </w:rPr>
        <w:t xml:space="preserve">DESI </w:t>
      </w:r>
      <w:r w:rsidRPr="002934A4" w:rsidR="007E5D5F">
        <w:rPr>
          <w:lang w:val="lv-LV"/>
        </w:rPr>
        <w:t>indeks</w:t>
      </w:r>
      <w:r w:rsidRPr="002934A4" w:rsidR="00DA0C64">
        <w:rPr>
          <w:lang w:val="lv-LV"/>
        </w:rPr>
        <w:t>a rādītājā</w:t>
      </w:r>
      <w:r w:rsidRPr="002934A4" w:rsidR="007E5D5F">
        <w:rPr>
          <w:lang w:val="lv-LV"/>
        </w:rPr>
        <w:t xml:space="preserve"> “S</w:t>
      </w:r>
      <w:r w:rsidRPr="002934A4">
        <w:rPr>
          <w:lang w:val="lv-LV"/>
        </w:rPr>
        <w:t>avienojamība</w:t>
      </w:r>
      <w:r w:rsidRPr="002934A4" w:rsidR="007E5D5F">
        <w:rPr>
          <w:lang w:val="lv-LV"/>
        </w:rPr>
        <w:t>”</w:t>
      </w:r>
      <w:bookmarkEnd w:id="12"/>
      <w:bookmarkEnd w:id="11"/>
      <w:bookmarkEnd w:id="10"/>
    </w:p>
    <w:p w:rsidR="00D159A7" w:rsidRPr="00855036" w:rsidP="007C126F" w14:paraId="7AFDB9D8" w14:textId="77777777">
      <w:pPr>
        <w:spacing w:after="0"/>
        <w:rPr>
          <w:rFonts w:cs="Times New Roman"/>
          <w:b/>
          <w:szCs w:val="28"/>
          <w:lang w:val="lv-LV"/>
        </w:rPr>
      </w:pPr>
    </w:p>
    <w:p w:rsidR="00D159A7" w:rsidRPr="00D01F47" w:rsidP="0039098F" w14:paraId="72CF8DE6" w14:textId="10C04AE7">
      <w:pPr>
        <w:rPr>
          <w:lang w:val="lv-LV"/>
        </w:rPr>
      </w:pPr>
      <w:r w:rsidRPr="00D01F47">
        <w:rPr>
          <w:lang w:val="lv-LV"/>
        </w:rPr>
        <w:t>Indeksa “Savienojamība”</w:t>
      </w:r>
      <w:r w:rsidRPr="00D01F47">
        <w:rPr>
          <w:lang w:val="lv-LV"/>
        </w:rPr>
        <w:t xml:space="preserve"> ietvaros tiek vērtētas </w:t>
      </w:r>
      <w:r w:rsidRPr="00D01F47">
        <w:rPr>
          <w:lang w:val="lv-LV"/>
        </w:rPr>
        <w:t>šādas</w:t>
      </w:r>
      <w:r w:rsidRPr="00D01F47">
        <w:rPr>
          <w:lang w:val="lv-LV"/>
        </w:rPr>
        <w:t xml:space="preserve"> komponentes</w:t>
      </w:r>
      <w:r w:rsidRPr="00D01F47">
        <w:rPr>
          <w:lang w:val="lv-LV"/>
        </w:rPr>
        <w:t xml:space="preserve">: </w:t>
      </w:r>
      <w:r w:rsidRPr="00D01F47">
        <w:rPr>
          <w:lang w:val="lv-LV"/>
        </w:rPr>
        <w:t>fiksētās platjoslas pārklājums</w:t>
      </w:r>
      <w:r w:rsidRPr="00D01F47">
        <w:rPr>
          <w:lang w:val="lv-LV"/>
        </w:rPr>
        <w:t xml:space="preserve">, fiksētās platjoslas </w:t>
      </w:r>
      <w:r w:rsidRPr="00D01F47">
        <w:rPr>
          <w:lang w:val="lv-LV"/>
        </w:rPr>
        <w:t xml:space="preserve">izmantošana, </w:t>
      </w:r>
      <w:r w:rsidRPr="00D01F47">
        <w:rPr>
          <w:lang w:val="lv-LV"/>
        </w:rPr>
        <w:t>m</w:t>
      </w:r>
      <w:r w:rsidRPr="00D01F47">
        <w:rPr>
          <w:lang w:val="lv-LV"/>
        </w:rPr>
        <w:t>obilās platjoslas izmantošana</w:t>
      </w:r>
      <w:r w:rsidRPr="00D01F47">
        <w:rPr>
          <w:lang w:val="lv-LV"/>
        </w:rPr>
        <w:t xml:space="preserve">, </w:t>
      </w:r>
      <w:r w:rsidRPr="00D01F47">
        <w:rPr>
          <w:lang w:val="lv-LV"/>
        </w:rPr>
        <w:t>4G</w:t>
      </w:r>
      <w:r w:rsidRPr="00D01F47">
        <w:rPr>
          <w:lang w:val="lv-LV"/>
        </w:rPr>
        <w:t xml:space="preserve"> datu pārraides tīkla</w:t>
      </w:r>
      <w:r w:rsidRPr="00D01F47">
        <w:rPr>
          <w:lang w:val="lv-LV"/>
        </w:rPr>
        <w:t xml:space="preserve"> pārklājums</w:t>
      </w:r>
      <w:r w:rsidRPr="00D01F47">
        <w:rPr>
          <w:lang w:val="lv-LV"/>
        </w:rPr>
        <w:t>, s</w:t>
      </w:r>
      <w:r w:rsidRPr="00D01F47">
        <w:rPr>
          <w:lang w:val="lv-LV"/>
        </w:rPr>
        <w:t>pektrs</w:t>
      </w:r>
      <w:r w:rsidRPr="00D01F47">
        <w:rPr>
          <w:lang w:val="lv-LV"/>
        </w:rPr>
        <w:t>, n</w:t>
      </w:r>
      <w:r w:rsidRPr="00D01F47" w:rsidR="00B55FBA">
        <w:rPr>
          <w:lang w:val="lv-LV"/>
        </w:rPr>
        <w:t>ākamās paaudzes piekļuves tīklu</w:t>
      </w:r>
      <w:r w:rsidRPr="00D01F47">
        <w:rPr>
          <w:lang w:val="lv-LV"/>
        </w:rPr>
        <w:t xml:space="preserve"> pārklājums, ā</w:t>
      </w:r>
      <w:r w:rsidRPr="00D01F47">
        <w:rPr>
          <w:lang w:val="lv-LV"/>
        </w:rPr>
        <w:t>tr</w:t>
      </w:r>
      <w:r w:rsidRPr="00D01F47" w:rsidR="0078245D">
        <w:rPr>
          <w:lang w:val="lv-LV"/>
        </w:rPr>
        <w:t>u</w:t>
      </w:r>
      <w:r w:rsidRPr="00D01F47">
        <w:rPr>
          <w:lang w:val="lv-LV"/>
        </w:rPr>
        <w:t xml:space="preserve"> platjoslas pieslēgumu skaits un f</w:t>
      </w:r>
      <w:r w:rsidRPr="00D01F47">
        <w:rPr>
          <w:lang w:val="lv-LV"/>
        </w:rPr>
        <w:t>iksētās platjoslas cena.</w:t>
      </w:r>
      <w:r w:rsidRPr="00D01F47" w:rsidR="00D73BD1">
        <w:rPr>
          <w:lang w:val="lv-LV"/>
        </w:rPr>
        <w:t xml:space="preserve"> Indikatora svars novērtējumā ir 25</w:t>
      </w:r>
      <w:r w:rsidRPr="00D01F47" w:rsidR="00C204B7">
        <w:rPr>
          <w:lang w:val="lv-LV"/>
        </w:rPr>
        <w:t> </w:t>
      </w:r>
      <w:r w:rsidRPr="00D01F47" w:rsidR="00D73BD1">
        <w:rPr>
          <w:lang w:val="lv-LV"/>
        </w:rPr>
        <w:t>%.</w:t>
      </w:r>
    </w:p>
    <w:p w:rsidR="00A03B7E" w:rsidRPr="00D01F47" w:rsidP="0039098F" w14:paraId="64F911FF" w14:textId="0E878C97">
      <w:pPr>
        <w:rPr>
          <w:lang w:val="lv-LV"/>
        </w:rPr>
      </w:pPr>
      <w:r w:rsidRPr="00D01F47">
        <w:rPr>
          <w:lang w:val="lv-LV"/>
        </w:rPr>
        <w:t xml:space="preserve">Minētās novērtējuma komponentes attiecas uz </w:t>
      </w:r>
      <w:r w:rsidRPr="00D01F47" w:rsidR="00971A52">
        <w:rPr>
          <w:lang w:val="lv-LV"/>
        </w:rPr>
        <w:t>sakaru politikas jomu, par kuru ir atbildīga Satiksmes ministrija.</w:t>
      </w:r>
    </w:p>
    <w:p w:rsidR="00A03B7E" w:rsidRPr="00855036" w:rsidP="003D230E" w14:paraId="42345501" w14:textId="77777777">
      <w:pPr>
        <w:spacing w:after="0"/>
        <w:rPr>
          <w:rFonts w:cs="Times New Roman"/>
          <w:szCs w:val="28"/>
          <w:lang w:val="lv-LV"/>
        </w:rPr>
      </w:pPr>
    </w:p>
    <w:p w:rsidR="00507F0B" w:rsidRPr="00855036" w:rsidP="003B1608" w14:paraId="6CADDA62" w14:textId="5811DFB5">
      <w:pPr>
        <w:pStyle w:val="ListParagraph"/>
        <w:ind w:left="0"/>
        <w:rPr>
          <w:rFonts w:cs="Times New Roman"/>
          <w:szCs w:val="28"/>
        </w:rPr>
      </w:pPr>
      <w:r w:rsidRPr="00855036">
        <w:rPr>
          <w:rFonts w:cs="Times New Roman"/>
          <w:noProof/>
          <w:szCs w:val="28"/>
          <w:lang w:val="en-US"/>
        </w:rPr>
        <w:drawing>
          <wp:inline distT="0" distB="0" distL="0" distR="0">
            <wp:extent cx="5486400" cy="418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678422" name="Picture 4"/>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4180200"/>
                    </a:xfrm>
                    <a:prstGeom prst="rect">
                      <a:avLst/>
                    </a:prstGeom>
                    <a:noFill/>
                    <a:ln>
                      <a:noFill/>
                    </a:ln>
                  </pic:spPr>
                </pic:pic>
              </a:graphicData>
            </a:graphic>
          </wp:inline>
        </w:drawing>
      </w:r>
    </w:p>
    <w:p w:rsidR="00507F0B" w:rsidRPr="00855036" w:rsidP="0039098F" w14:paraId="649FC554" w14:textId="746C720C">
      <w:pPr>
        <w:rPr>
          <w:lang w:val="lv-LV"/>
        </w:rPr>
      </w:pPr>
      <w:r w:rsidRPr="00855036">
        <w:rPr>
          <w:lang w:val="lv-LV"/>
        </w:rPr>
        <w:t>Attēla avots: Latvijas valsts profils, Eiropas digitālā progresa 2017.</w:t>
      </w:r>
      <w:r w:rsidRPr="00855036" w:rsidR="00C204B7">
        <w:rPr>
          <w:lang w:val="lv-LV"/>
        </w:rPr>
        <w:t> </w:t>
      </w:r>
      <w:r w:rsidRPr="00855036">
        <w:rPr>
          <w:lang w:val="lv-LV"/>
        </w:rPr>
        <w:t>gada ziņojums</w:t>
      </w:r>
      <w:r w:rsidR="0039098F">
        <w:rPr>
          <w:lang w:val="lv-LV"/>
        </w:rPr>
        <w:t>.</w:t>
      </w:r>
    </w:p>
    <w:p w:rsidR="00D159A7" w:rsidRPr="00855036" w:rsidP="0039098F" w14:paraId="037EF178" w14:textId="783AD154">
      <w:pPr>
        <w:rPr>
          <w:lang w:val="lv-LV"/>
        </w:rPr>
      </w:pPr>
      <w:r w:rsidRPr="00855036">
        <w:rPr>
          <w:lang w:val="lv-LV"/>
        </w:rPr>
        <w:t>Vērtējot savienojamības aspektu DESI indeksam, secināts, ka Latvija ieņem vienu no trim augstākajām vietām ES harmonizētā spektra ziņā un arvien vairāk iedzīvotāju lieto mobilās platjoslas pakalpojumus. Tāpat dati liecina, ka fiksētās platjoslas piekļuves pieslēgumu abonenti izvēlas jaunus pakalpojumus, ka</w:t>
      </w:r>
      <w:r w:rsidRPr="00855036" w:rsidR="008E243A">
        <w:rPr>
          <w:lang w:val="lv-LV"/>
        </w:rPr>
        <w:t>s piedāvā ātrāku datu pārraidi.</w:t>
      </w:r>
    </w:p>
    <w:p w:rsidR="00D159A7" w:rsidRPr="00855036" w:rsidP="003B1608" w14:paraId="380229DD" w14:textId="77777777">
      <w:pPr>
        <w:spacing w:after="0"/>
        <w:rPr>
          <w:rFonts w:cs="Times New Roman"/>
          <w:szCs w:val="28"/>
          <w:lang w:val="lv-LV"/>
        </w:rPr>
      </w:pPr>
      <w:r w:rsidRPr="00855036">
        <w:rPr>
          <w:rFonts w:cs="Times New Roman"/>
          <w:noProof/>
          <w:szCs w:val="28"/>
        </w:rPr>
        <w:drawing>
          <wp:inline distT="0" distB="0" distL="0" distR="0">
            <wp:extent cx="5486400" cy="2887345"/>
            <wp:effectExtent l="114300" t="114300" r="152400" b="14160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213155" name="Picture 2"/>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5486400" cy="288734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p>
    <w:p w:rsidR="00D73BD1" w:rsidRPr="00855036" w:rsidP="0039098F" w14:paraId="460CCFA3" w14:textId="77777777">
      <w:pPr>
        <w:rPr>
          <w:lang w:val="lv-LV"/>
        </w:rPr>
      </w:pPr>
      <w:r w:rsidRPr="00855036">
        <w:rPr>
          <w:lang w:val="lv-LV"/>
        </w:rPr>
        <w:t>Attēla avots: Latvijas valsts profils, Eiropas digitālā progresa 2017.gada ziņojums</w:t>
      </w:r>
    </w:p>
    <w:p w:rsidR="00FD4C90" w:rsidRPr="00855036" w:rsidP="0039098F" w14:paraId="74867D93" w14:textId="77777777">
      <w:pPr>
        <w:rPr>
          <w:lang w:val="lv-LV"/>
        </w:rPr>
      </w:pPr>
    </w:p>
    <w:p w:rsidR="007A0404" w:rsidRPr="00855036" w:rsidP="0039098F" w14:paraId="3E40E7AD" w14:textId="033C03BE">
      <w:pPr>
        <w:rPr>
          <w:lang w:val="lv-LV"/>
        </w:rPr>
      </w:pPr>
      <w:r w:rsidRPr="00855036">
        <w:rPr>
          <w:lang w:val="lv-LV"/>
        </w:rPr>
        <w:t>Nākamās paaudzes platjoslas elektronisko sakaru tīklu attīstības koncepcijā 2013.–2020.gadam</w:t>
      </w:r>
      <w:r w:rsidRPr="00855036" w:rsidR="00037970">
        <w:rPr>
          <w:lang w:val="lv-LV"/>
        </w:rPr>
        <w:t>”</w:t>
      </w:r>
      <w:r w:rsidRPr="00855036">
        <w:rPr>
          <w:lang w:val="lv-LV"/>
        </w:rPr>
        <w:t xml:space="preserve"> paredzēts, ka ir jāturpina investēt platjoslas elektronisko sakaru tīkla attīstībā, lai atbilstoši stratēģijā Eiropa 2020 noteiktajam mērķim līdz 2020.</w:t>
      </w:r>
      <w:r w:rsidRPr="00855036" w:rsidR="00C204B7">
        <w:rPr>
          <w:lang w:val="lv-LV"/>
        </w:rPr>
        <w:t> </w:t>
      </w:r>
      <w:r w:rsidRPr="00855036">
        <w:rPr>
          <w:lang w:val="lv-LV"/>
        </w:rPr>
        <w:t>gadam nodrošinātu, ka visiem ES iedzīvotājiem ir iespēja abonēt interneta piekļuves pakalpojumus ar datu pārraides ātrumu ne mazāku par 30 Mbit/s un 50 % vai vairāk ES mājsaimniecību abonētu interneta pieslēgumus ar datu pārraides ātrumu ne mazāku par 100 Mbit/s.</w:t>
      </w:r>
    </w:p>
    <w:p w:rsidR="003A0D64" w:rsidRPr="00855036" w:rsidP="0039098F" w14:paraId="73A9E21F" w14:textId="793859C8">
      <w:pPr>
        <w:rPr>
          <w:lang w:val="lv-LV"/>
        </w:rPr>
      </w:pPr>
      <w:r w:rsidRPr="00855036">
        <w:rPr>
          <w:lang w:val="lv-LV"/>
        </w:rPr>
        <w:t>Lai nodrošinātu, ka piekļuve ātrdarbīgam platjoslas elektronisko sakaru tīklam ir pieejama visā Latvijas teritorijā, ieskaitot nomaļas, mazapdzīvotas teritorijas, kurās komerciālu apsvērumu dēļ elektronisko sakaru komersanti nav ieinteresēti izvērst darbību, VAS “Latvijas Valsts radio un televīzijas centrs” īsteno ar Eiropas Komisijas 2011.</w:t>
      </w:r>
      <w:r w:rsidRPr="00855036" w:rsidR="00C204B7">
        <w:rPr>
          <w:lang w:val="lv-LV"/>
        </w:rPr>
        <w:t> </w:t>
      </w:r>
      <w:r w:rsidRPr="00855036">
        <w:rPr>
          <w:lang w:val="lv-LV"/>
        </w:rPr>
        <w:t>gada 9.</w:t>
      </w:r>
      <w:r w:rsidRPr="00855036" w:rsidR="00C204B7">
        <w:rPr>
          <w:lang w:val="lv-LV"/>
        </w:rPr>
        <w:t> </w:t>
      </w:r>
      <w:r w:rsidRPr="00855036">
        <w:rPr>
          <w:lang w:val="lv-LV"/>
        </w:rPr>
        <w:t>novembra lēmumu Nr.</w:t>
      </w:r>
      <w:r w:rsidRPr="00855036" w:rsidR="00C204B7">
        <w:rPr>
          <w:lang w:val="lv-LV"/>
        </w:rPr>
        <w:t> </w:t>
      </w:r>
      <w:r w:rsidRPr="00855036">
        <w:rPr>
          <w:lang w:val="lv-LV"/>
        </w:rPr>
        <w:t>C(2011)7699 apstip</w:t>
      </w:r>
      <w:r w:rsidRPr="00855036" w:rsidR="00893AFA">
        <w:rPr>
          <w:lang w:val="lv-LV"/>
        </w:rPr>
        <w:t>rināto valsts atbalsta programmas</w:t>
      </w:r>
      <w:r w:rsidRPr="00855036">
        <w:rPr>
          <w:lang w:val="lv-LV"/>
        </w:rPr>
        <w:t xml:space="preserve"> “Nr.</w:t>
      </w:r>
      <w:r w:rsidRPr="00855036" w:rsidR="00C204B7">
        <w:rPr>
          <w:lang w:val="lv-LV"/>
        </w:rPr>
        <w:t> </w:t>
      </w:r>
      <w:r w:rsidRPr="00855036">
        <w:rPr>
          <w:lang w:val="lv-LV"/>
        </w:rPr>
        <w:t xml:space="preserve">SA.33324 (2011/N) – </w:t>
      </w:r>
      <w:r w:rsidRPr="00855036" w:rsidR="00893AFA">
        <w:rPr>
          <w:lang w:val="lv-LV"/>
        </w:rPr>
        <w:t>Eiropas Savienības struktūrfondu un Kohēzijas fonda 2014.-2020.</w:t>
      </w:r>
      <w:r w:rsidRPr="00855036" w:rsidR="00C204B7">
        <w:rPr>
          <w:lang w:val="lv-LV"/>
        </w:rPr>
        <w:t> </w:t>
      </w:r>
      <w:r w:rsidRPr="00855036" w:rsidR="00893AFA">
        <w:rPr>
          <w:lang w:val="lv-LV"/>
        </w:rPr>
        <w:t>gada plānošanas perioda darbības programmas “Izaugsme un nodarbinātība” 2.1.1.</w:t>
      </w:r>
      <w:r w:rsidRPr="00855036" w:rsidR="00C204B7">
        <w:rPr>
          <w:lang w:val="lv-LV"/>
        </w:rPr>
        <w:t> </w:t>
      </w:r>
      <w:r w:rsidRPr="00855036" w:rsidR="00893AFA">
        <w:rPr>
          <w:lang w:val="lv-LV"/>
        </w:rPr>
        <w:t>specifiskā atbalsta mērķa “Uzlabot elektroniskās sakaru infrastruktūras pieejamību lauku teritorijās” projektu Nr.</w:t>
      </w:r>
      <w:r w:rsidRPr="00855036" w:rsidR="00C204B7">
        <w:rPr>
          <w:lang w:val="lv-LV"/>
        </w:rPr>
        <w:t> </w:t>
      </w:r>
      <w:r w:rsidRPr="00855036" w:rsidR="00893AFA">
        <w:rPr>
          <w:lang w:val="lv-LV"/>
        </w:rPr>
        <w:t>2.1.1.0/16/I/001  “Elektroniskās sakaru infrastruktūras pieejamības uzlabošana lauku teritorijās”</w:t>
      </w:r>
      <w:r w:rsidRPr="00855036">
        <w:rPr>
          <w:lang w:val="lv-LV"/>
        </w:rPr>
        <w:t>, izmantojot Eiropas Reģionālās attīstības fonda finansējumu un VAS “Latvijas Valsts radio un televīzijas centrs” privāto līdzfinansējumu.</w:t>
      </w:r>
    </w:p>
    <w:p w:rsidR="00893AFA" w:rsidRPr="00855036" w:rsidP="0039098F" w14:paraId="13C4892F" w14:textId="5D9E569E">
      <w:pPr>
        <w:rPr>
          <w:lang w:val="lv-LV"/>
        </w:rPr>
      </w:pPr>
      <w:r w:rsidRPr="00855036">
        <w:rPr>
          <w:lang w:val="lv-LV"/>
        </w:rPr>
        <w:t>Valsts atbalsta programma tiek īstenota divās kārtās un tās ietvaros tiek izbūvēts elektronisko sakaru „vidējās jūdzes” optiskais tīkls un izveidoti optiskā tīkla piekļuves punkti teritorijās, kurās neviens elektronisko sakaru komersants nesniedz un tuvāko triju gadu laikā neplāno sniegt interneta piekļuves pakalpojumus ar datu pārraides ātrumu vismaz 30</w:t>
      </w:r>
      <w:r w:rsidRPr="00855036" w:rsidR="00C204B7">
        <w:rPr>
          <w:lang w:val="lv-LV"/>
        </w:rPr>
        <w:t> </w:t>
      </w:r>
      <w:r w:rsidRPr="00855036">
        <w:rPr>
          <w:lang w:val="lv-LV"/>
        </w:rPr>
        <w:t>Mbit/s (“baltās” teritorijas).</w:t>
      </w:r>
      <w:r w:rsidRPr="00855036" w:rsidR="007A0404">
        <w:rPr>
          <w:lang w:val="lv-LV"/>
        </w:rPr>
        <w:t xml:space="preserve"> </w:t>
      </w:r>
      <w:r w:rsidRPr="00855036">
        <w:rPr>
          <w:lang w:val="lv-LV"/>
        </w:rPr>
        <w:t xml:space="preserve">Piekļuves punktos nodrošināta iespēja vismaz pieciem elektronisko sakaru komersantiem ar vienādiem, nediskriminējošiem nosacījumiem veidot abonentlīniju („pēdējās jūdzes”) pieslēgumus interneta piekļuves pakalpojumu sniegšanai </w:t>
      </w:r>
      <w:r w:rsidRPr="00855036">
        <w:rPr>
          <w:lang w:val="lv-LV"/>
        </w:rPr>
        <w:t>galalietotājiem.</w:t>
      </w:r>
    </w:p>
    <w:p w:rsidR="003A0D64" w:rsidRPr="00855036" w:rsidP="0039098F" w14:paraId="2D43296A" w14:textId="7250CCB8">
      <w:pPr>
        <w:rPr>
          <w:lang w:val="lv-LV"/>
        </w:rPr>
      </w:pPr>
      <w:r w:rsidRPr="00855036">
        <w:rPr>
          <w:lang w:val="lv-LV"/>
        </w:rPr>
        <w:t>Valsts atbalsta programmas 1.</w:t>
      </w:r>
      <w:r w:rsidRPr="00855036" w:rsidR="00C204B7">
        <w:rPr>
          <w:lang w:val="lv-LV"/>
        </w:rPr>
        <w:t> </w:t>
      </w:r>
      <w:r w:rsidRPr="00855036">
        <w:rPr>
          <w:lang w:val="lv-LV"/>
        </w:rPr>
        <w:t>kārta</w:t>
      </w:r>
      <w:r>
        <w:rPr>
          <w:rStyle w:val="FootnoteReference"/>
          <w:rFonts w:cs="Times New Roman"/>
          <w:szCs w:val="28"/>
          <w:lang w:val="lv-LV"/>
        </w:rPr>
        <w:footnoteReference w:id="4"/>
      </w:r>
      <w:r w:rsidRPr="00855036">
        <w:rPr>
          <w:lang w:val="lv-LV"/>
        </w:rPr>
        <w:t xml:space="preserve"> pabeigta 2015.</w:t>
      </w:r>
      <w:r w:rsidRPr="00855036" w:rsidR="00C204B7">
        <w:rPr>
          <w:lang w:val="lv-LV"/>
        </w:rPr>
        <w:t> </w:t>
      </w:r>
      <w:r w:rsidRPr="00855036">
        <w:rPr>
          <w:lang w:val="lv-LV"/>
        </w:rPr>
        <w:t>gadā</w:t>
      </w:r>
      <w:r w:rsidRPr="00855036" w:rsidR="00C204B7">
        <w:rPr>
          <w:lang w:val="lv-LV"/>
        </w:rPr>
        <w:t>,</w:t>
      </w:r>
      <w:r w:rsidRPr="00855036">
        <w:rPr>
          <w:lang w:val="lv-LV"/>
        </w:rPr>
        <w:t xml:space="preserve"> un tās ietvaros ir izbūvēts 1813</w:t>
      </w:r>
      <w:r w:rsidRPr="00855036" w:rsidR="00C204B7">
        <w:rPr>
          <w:lang w:val="lv-LV"/>
        </w:rPr>
        <w:t> </w:t>
      </w:r>
      <w:r w:rsidRPr="00855036">
        <w:rPr>
          <w:lang w:val="lv-LV"/>
        </w:rPr>
        <w:t>km optisko kabeļu tīkla līniju un izveidoti 177 optiskā tīkla piekļuves punkti. Valsts atbalsta programmas 2.</w:t>
      </w:r>
      <w:r w:rsidRPr="00855036" w:rsidR="00C204B7">
        <w:rPr>
          <w:lang w:val="lv-LV"/>
        </w:rPr>
        <w:t> </w:t>
      </w:r>
      <w:r w:rsidRPr="00855036">
        <w:rPr>
          <w:lang w:val="lv-LV"/>
        </w:rPr>
        <w:t>kārta ir uzsākta 2016.</w:t>
      </w:r>
      <w:r w:rsidRPr="00855036" w:rsidR="00C204B7">
        <w:rPr>
          <w:lang w:val="lv-LV"/>
        </w:rPr>
        <w:t> </w:t>
      </w:r>
      <w:r w:rsidRPr="00855036">
        <w:rPr>
          <w:lang w:val="lv-LV"/>
        </w:rPr>
        <w:t>gadā un līdz 2020.</w:t>
      </w:r>
      <w:r w:rsidRPr="00855036" w:rsidR="00C204B7">
        <w:rPr>
          <w:lang w:val="lv-LV"/>
        </w:rPr>
        <w:t> </w:t>
      </w:r>
      <w:r w:rsidRPr="00855036">
        <w:rPr>
          <w:lang w:val="lv-LV"/>
        </w:rPr>
        <w:t>gadam ir paredzēts izbūvēt aptuveni 2800</w:t>
      </w:r>
      <w:r w:rsidRPr="00855036" w:rsidR="00C204B7">
        <w:rPr>
          <w:lang w:val="lv-LV"/>
        </w:rPr>
        <w:t> </w:t>
      </w:r>
      <w:r w:rsidRPr="00855036">
        <w:rPr>
          <w:lang w:val="lv-LV"/>
        </w:rPr>
        <w:t>km optisko kabeļu tīkla un izveidot vismaz 220 optiskā tīkla piekļuves punktus “baltajās” teritorijās.”</w:t>
      </w:r>
    </w:p>
    <w:p w:rsidR="00CB6572" w:rsidRPr="00855036" w:rsidP="0039098F" w14:paraId="30E628CE" w14:textId="77777777">
      <w:pPr>
        <w:rPr>
          <w:lang w:val="lv-LV"/>
        </w:rPr>
      </w:pPr>
    </w:p>
    <w:p w:rsidR="00CB6572" w:rsidRPr="00855036" w:rsidP="002934A4" w14:paraId="08B82747" w14:textId="6797DE5C">
      <w:pPr>
        <w:pStyle w:val="Heading2"/>
        <w:rPr>
          <w:lang w:val="lv-LV"/>
        </w:rPr>
      </w:pPr>
      <w:bookmarkStart w:id="13" w:name="_Toc503516715"/>
      <w:bookmarkStart w:id="14" w:name="_Toc256000004"/>
      <w:bookmarkStart w:id="15" w:name="_Toc256000024"/>
      <w:r w:rsidRPr="00855036">
        <w:rPr>
          <w:lang w:val="lv-LV"/>
        </w:rPr>
        <w:t xml:space="preserve">Institūciju </w:t>
      </w:r>
      <w:r w:rsidRPr="00855036" w:rsidR="00137287">
        <w:rPr>
          <w:lang w:val="lv-LV"/>
        </w:rPr>
        <w:t>sniegtie priekšli</w:t>
      </w:r>
      <w:r w:rsidRPr="00855036">
        <w:rPr>
          <w:lang w:val="lv-LV"/>
        </w:rPr>
        <w:t>kumi DESI indeksa rādīt</w:t>
      </w:r>
      <w:r w:rsidRPr="00855036" w:rsidR="006E56E8">
        <w:rPr>
          <w:lang w:val="lv-LV"/>
        </w:rPr>
        <w:t>āja “Savienojamība” uzlabošanai</w:t>
      </w:r>
      <w:bookmarkEnd w:id="15"/>
      <w:bookmarkEnd w:id="14"/>
      <w:bookmarkEnd w:id="13"/>
    </w:p>
    <w:p w:rsidR="00250717" w:rsidRPr="00855036" w:rsidP="00CB6572" w14:paraId="1BC78A5D" w14:textId="77777777">
      <w:pPr>
        <w:spacing w:after="0"/>
        <w:rPr>
          <w:rFonts w:cs="Times New Roman"/>
          <w:b/>
          <w:szCs w:val="28"/>
          <w:lang w:val="lv-LV"/>
        </w:rPr>
      </w:pPr>
    </w:p>
    <w:p w:rsidR="0050702C" w:rsidRPr="00855036" w:rsidP="0039098F" w14:paraId="13915476" w14:textId="20CAAA67">
      <w:pPr>
        <w:rPr>
          <w:b/>
          <w:lang w:val="lv-LV"/>
        </w:rPr>
      </w:pPr>
      <w:r w:rsidRPr="00855036">
        <w:rPr>
          <w:b/>
          <w:lang w:val="lv-LV"/>
        </w:rPr>
        <w:t>Ārlietu ministrija</w:t>
      </w:r>
      <w:r w:rsidRPr="00855036">
        <w:rPr>
          <w:lang w:val="lv-LV"/>
        </w:rPr>
        <w:t xml:space="preserve"> ir aicinājusi Satiksmes ministriju turpināt darbu 5</w:t>
      </w:r>
      <w:r w:rsidRPr="00855036" w:rsidR="00620DAD">
        <w:rPr>
          <w:lang w:val="lv-LV"/>
        </w:rPr>
        <w:t>G</w:t>
      </w:r>
      <w:r w:rsidRPr="00855036" w:rsidR="00C204B7">
        <w:rPr>
          <w:lang w:val="lv-LV"/>
        </w:rPr>
        <w:t xml:space="preserve"> </w:t>
      </w:r>
      <w:r w:rsidRPr="00855036">
        <w:rPr>
          <w:lang w:val="lv-LV"/>
        </w:rPr>
        <w:t>infrastruktūras izveidē, kā arī ar to saistītā potenciāla izmantošanu informācijas sabiedrības un digitālās ekonomikas attīstībā.</w:t>
      </w:r>
    </w:p>
    <w:p w:rsidR="007D0E28" w:rsidRPr="00855036" w:rsidP="0039098F" w14:paraId="28B19C5F" w14:textId="19F7F921">
      <w:pPr>
        <w:rPr>
          <w:rFonts w:eastAsia="Times New Roman"/>
          <w:lang w:val="lv-LV"/>
        </w:rPr>
      </w:pPr>
      <w:r w:rsidRPr="0039098F">
        <w:rPr>
          <w:rFonts w:eastAsia="Times New Roman"/>
          <w:b/>
          <w:lang w:val="lv-LV"/>
        </w:rPr>
        <w:t>Satiksmes ministrija</w:t>
      </w:r>
      <w:r w:rsidRPr="0039098F">
        <w:rPr>
          <w:rFonts w:eastAsia="Times New Roman"/>
          <w:b/>
          <w:lang w:val="lv-LV"/>
        </w:rPr>
        <w:t xml:space="preserve"> </w:t>
      </w:r>
      <w:r w:rsidRPr="00855036">
        <w:rPr>
          <w:rFonts w:eastAsia="Times New Roman"/>
          <w:lang w:val="lv-LV"/>
        </w:rPr>
        <w:t xml:space="preserve">savas kompetences ietvaros vērtē DESI </w:t>
      </w:r>
      <w:r w:rsidRPr="00855036" w:rsidR="00405333">
        <w:rPr>
          <w:rFonts w:eastAsia="Times New Roman"/>
          <w:lang w:val="lv-LV"/>
        </w:rPr>
        <w:t xml:space="preserve">indeksa </w:t>
      </w:r>
      <w:r w:rsidRPr="00855036">
        <w:rPr>
          <w:rFonts w:eastAsia="Times New Roman"/>
          <w:lang w:val="lv-LV"/>
        </w:rPr>
        <w:t>indikatora “Savienojamības” rādītājus kā pietiekami labus, jo gandrīz visos uzskaitītajos rādītājos Latvija vai nu saglabā esošās pozīcijas vai tās paaugstinās. Divos rādītājos, kur ir fiksēts kritums (fiksētās platjoslas izmantojamība un spektra izmantojamība), tam ir pamatots izskaidrojums (skat.</w:t>
      </w:r>
      <w:r w:rsidRPr="00855036" w:rsidR="00405333">
        <w:rPr>
          <w:rFonts w:eastAsia="Times New Roman"/>
          <w:lang w:val="lv-LV"/>
        </w:rPr>
        <w:t xml:space="preserve"> </w:t>
      </w:r>
      <w:r w:rsidRPr="00855036">
        <w:rPr>
          <w:rFonts w:eastAsia="Times New Roman"/>
          <w:lang w:val="lv-LV"/>
        </w:rPr>
        <w:t xml:space="preserve">augstāk.), turklāt platjoslas izmantojamības rādītāji ir saistīti arī ar digitālo prasmju rādītājiem, kas nav tiešā Satiksmes ministrijas kompetencē. Ņemot vērā minēto, </w:t>
      </w:r>
      <w:r w:rsidRPr="00855036" w:rsidR="00D01E56">
        <w:rPr>
          <w:rFonts w:eastAsia="Times New Roman"/>
          <w:lang w:val="lv-LV"/>
        </w:rPr>
        <w:t>Satiksmes ministrija</w:t>
      </w:r>
      <w:r w:rsidRPr="00855036">
        <w:rPr>
          <w:rFonts w:eastAsia="Times New Roman"/>
          <w:lang w:val="lv-LV"/>
        </w:rPr>
        <w:t xml:space="preserve"> turpinās līdzšinējās elektronisko sakaru nozares politikas īstenošanu, izvēršot nākamās paaudzes platjoslas tīklus lauku teritorijās, strādājot pie elektronisko sakaru tīklu būvniecības jautājumu vienkāršošanas un administratīvā sloga mazināšanas pasākumiem, kas veicinās turpmāku elektronisko sa</w:t>
      </w:r>
      <w:r w:rsidRPr="00855036" w:rsidR="00172874">
        <w:rPr>
          <w:rFonts w:eastAsia="Times New Roman"/>
          <w:lang w:val="lv-LV"/>
        </w:rPr>
        <w:t>karu infrastruktūras attīstību.</w:t>
      </w:r>
    </w:p>
    <w:p w:rsidR="008109F7" w:rsidRPr="00855036" w:rsidP="0039098F" w14:paraId="72F57E5B" w14:textId="591D13F2">
      <w:pPr>
        <w:rPr>
          <w:lang w:val="lv-LV"/>
        </w:rPr>
      </w:pPr>
      <w:r w:rsidRPr="00855036">
        <w:rPr>
          <w:b/>
          <w:lang w:val="lv-LV"/>
        </w:rPr>
        <w:t>VAS “</w:t>
      </w:r>
      <w:r w:rsidRPr="00855036">
        <w:rPr>
          <w:b/>
          <w:lang w:val="lv-LV"/>
        </w:rPr>
        <w:t>Latvijas Valsts radio un televīzijas centrs”</w:t>
      </w:r>
      <w:r w:rsidRPr="00855036">
        <w:rPr>
          <w:lang w:val="lv-LV"/>
        </w:rPr>
        <w:t xml:space="preserve"> ir sniedzis šādus priekšlikumus par 1.</w:t>
      </w:r>
      <w:r w:rsidRPr="00855036" w:rsidR="00C204B7">
        <w:rPr>
          <w:lang w:val="lv-LV"/>
        </w:rPr>
        <w:t> </w:t>
      </w:r>
      <w:r w:rsidRPr="00855036">
        <w:rPr>
          <w:lang w:val="lv-LV"/>
        </w:rPr>
        <w:t>sadaļas “Savienojamība” 1.a1. punkta “Fiksētās platjoslas pārklājums” Latvijas rādītāju uzlabošan</w:t>
      </w:r>
      <w:r w:rsidRPr="00855036" w:rsidR="00C204B7">
        <w:rPr>
          <w:lang w:val="lv-LV"/>
        </w:rPr>
        <w:t>ai</w:t>
      </w:r>
      <w:r w:rsidRPr="00855036">
        <w:rPr>
          <w:lang w:val="lv-LV"/>
        </w:rPr>
        <w:t>.</w:t>
      </w:r>
    </w:p>
    <w:p w:rsidR="00893AFA" w:rsidRPr="00855036" w:rsidP="0039098F" w14:paraId="7C5B110F" w14:textId="4B930427">
      <w:pPr>
        <w:rPr>
          <w:lang w:val="lv-LV"/>
        </w:rPr>
      </w:pPr>
      <w:r w:rsidRPr="00855036">
        <w:rPr>
          <w:lang w:val="lv-LV"/>
        </w:rPr>
        <w:t>Latvijas Valsts radio un televīzijas centra ieskatā viena no aktivitātēm, kas varētu būtiski uzlabot Latvijas radītājus DESI indeksā, ir ar Eiropas Komisijas 2011.</w:t>
      </w:r>
      <w:r w:rsidRPr="00855036" w:rsidR="00C204B7">
        <w:rPr>
          <w:lang w:val="lv-LV"/>
        </w:rPr>
        <w:t> </w:t>
      </w:r>
      <w:r w:rsidRPr="00855036">
        <w:rPr>
          <w:lang w:val="lv-LV"/>
        </w:rPr>
        <w:t>gada 9.</w:t>
      </w:r>
      <w:r w:rsidRPr="00855036" w:rsidR="00C204B7">
        <w:rPr>
          <w:lang w:val="lv-LV"/>
        </w:rPr>
        <w:t> </w:t>
      </w:r>
      <w:r w:rsidRPr="00855036">
        <w:rPr>
          <w:lang w:val="lv-LV"/>
        </w:rPr>
        <w:t>novembra lēmumu Nr.</w:t>
      </w:r>
      <w:r w:rsidRPr="00855036" w:rsidR="00C204B7">
        <w:rPr>
          <w:lang w:val="lv-LV"/>
        </w:rPr>
        <w:t> </w:t>
      </w:r>
      <w:r w:rsidRPr="00855036">
        <w:rPr>
          <w:lang w:val="lv-LV"/>
        </w:rPr>
        <w:t>C(2011)7699 apstiprinātās valsts atbalsta programmas “Nr.</w:t>
      </w:r>
      <w:r w:rsidRPr="00855036" w:rsidR="00C204B7">
        <w:rPr>
          <w:lang w:val="lv-LV"/>
        </w:rPr>
        <w:t> </w:t>
      </w:r>
      <w:r w:rsidRPr="00855036">
        <w:rPr>
          <w:lang w:val="lv-LV"/>
        </w:rPr>
        <w:t>SA.33324 (2011/N) – Nākamās paaudzes tīkli lauku teritorijās” otrās kārtas realizācija.</w:t>
      </w:r>
    </w:p>
    <w:p w:rsidR="008109F7" w:rsidRPr="00855036" w:rsidP="0039098F" w14:paraId="67E4C1E1" w14:textId="1653DFCE">
      <w:pPr>
        <w:rPr>
          <w:lang w:val="lv-LV"/>
        </w:rPr>
      </w:pPr>
      <w:r w:rsidRPr="00855036">
        <w:rPr>
          <w:lang w:val="lv-LV"/>
        </w:rPr>
        <w:t>Kaut arī Latvijā pēc statistikas datiem ir viens no ātrākajiem interneta pieslēgumiem pasaulē, joprojām infrastruktūras līmenī pastāv “digitālā plaisa” starp pilsētu un lauku reģioniem. Ievērojot Latvijas teritorijas nevienmērīgo apdzīvotību jeb reģionālo nelīdzsvarotību, lielākajam iedzīvotāju īpatsvaram koncentrējoties Rīgā un citās republikas pilsētās, ir svarīgi turpināt platjoslas interneta infrastruktūras uzbūvi arī lauku teritorijās, nodrošinot to iedzīvotājiem konkurētspējīgu mūsdienām atbilstošu piekļuvi internetam. Savukārt</w:t>
      </w:r>
      <w:r w:rsidRPr="00855036" w:rsidR="00B04883">
        <w:rPr>
          <w:lang w:val="lv-LV"/>
        </w:rPr>
        <w:t>,</w:t>
      </w:r>
      <w:r w:rsidRPr="00855036">
        <w:rPr>
          <w:lang w:val="lv-LV"/>
        </w:rPr>
        <w:t xml:space="preserve"> viena no aktivitātēm, kā uzlabot valsts atbalsta programmas ietvaros izbūvēto optiskā tīkla infrastruktūras izmantošanu, ir veicināt pieprasījumu un elektronisko sakaru komersantu interesi par optiskā tīkla infrastruktūras izmantošanu. Turklāt, ņemot vērā elektronisko sakaru nozares attīstības tendences un plānus par nākamās paaudzes 5G tehnoloģijas ieviešanu, ir vitāli svarīgi nodrošināt, ka Latvijā ir pieejama atbilstoša infrastruktūra 5G tehnoloģijas ieviešanai. Tieši ar valsts atbalsta programmu ir iespējams nodrošināt šādas infrastruktūras pieejamību, jo bez optiskā tīkla esamības šādu pakalpojumu nebūs iespējams sniegt.</w:t>
      </w:r>
    </w:p>
    <w:p w:rsidR="00D57D3B" w:rsidRPr="00855036" w:rsidP="00DA0C64" w14:paraId="69591105" w14:textId="77777777">
      <w:pPr>
        <w:shd w:val="clear" w:color="auto" w:fill="FFFFFF" w:themeFill="background1"/>
        <w:spacing w:after="0"/>
        <w:jc w:val="center"/>
        <w:rPr>
          <w:rFonts w:cs="Times New Roman"/>
          <w:b/>
          <w:szCs w:val="28"/>
          <w:lang w:val="lv-LV"/>
        </w:rPr>
      </w:pPr>
    </w:p>
    <w:p w:rsidR="00137287" w:rsidRPr="00855036" w:rsidP="002934A4" w14:paraId="1926A14C" w14:textId="36DFAF5A">
      <w:pPr>
        <w:pStyle w:val="Heading2"/>
        <w:rPr>
          <w:lang w:val="lv-LV"/>
        </w:rPr>
      </w:pPr>
      <w:bookmarkStart w:id="16" w:name="_Toc503516716"/>
      <w:bookmarkStart w:id="17" w:name="_Toc256000005"/>
      <w:bookmarkStart w:id="18" w:name="_Toc256000025"/>
      <w:r w:rsidRPr="00855036">
        <w:rPr>
          <w:lang w:val="lv-LV"/>
        </w:rPr>
        <w:t>P</w:t>
      </w:r>
      <w:r w:rsidRPr="00855036">
        <w:rPr>
          <w:lang w:val="lv-LV"/>
        </w:rPr>
        <w:t>riekšlikumi rīcībai DESI indeksa rādīt</w:t>
      </w:r>
      <w:r w:rsidRPr="00855036" w:rsidR="00DA0C64">
        <w:rPr>
          <w:lang w:val="lv-LV"/>
        </w:rPr>
        <w:t>āja “Savienojamība” uzlabošanai</w:t>
      </w:r>
      <w:bookmarkEnd w:id="18"/>
      <w:bookmarkEnd w:id="17"/>
      <w:bookmarkEnd w:id="16"/>
    </w:p>
    <w:p w:rsidR="00137287" w:rsidRPr="00855036" w:rsidP="00795F6C" w14:paraId="7A0695F5" w14:textId="77777777">
      <w:pPr>
        <w:shd w:val="clear" w:color="auto" w:fill="FFFFFF" w:themeFill="background1"/>
        <w:spacing w:after="0"/>
        <w:rPr>
          <w:rFonts w:cs="Times New Roman"/>
          <w:szCs w:val="28"/>
          <w:lang w:val="lv-LV"/>
        </w:rPr>
      </w:pPr>
    </w:p>
    <w:p w:rsidR="007C126F" w:rsidRPr="00855036" w:rsidP="0039098F" w14:paraId="2F9D677D" w14:textId="5C784CAA">
      <w:pPr>
        <w:rPr>
          <w:lang w:val="lv-LV"/>
        </w:rPr>
      </w:pPr>
      <w:r w:rsidRPr="00855036">
        <w:rPr>
          <w:lang w:val="lv-LV"/>
        </w:rPr>
        <w:t xml:space="preserve">Izvērtējot iestāžu sniegtos komentārus un priekšlikumus, </w:t>
      </w:r>
      <w:r w:rsidRPr="00855036" w:rsidR="00603096">
        <w:rPr>
          <w:lang w:val="lv-LV"/>
        </w:rPr>
        <w:t>VARAM</w:t>
      </w:r>
      <w:r w:rsidRPr="00855036">
        <w:rPr>
          <w:lang w:val="lv-LV"/>
        </w:rPr>
        <w:t xml:space="preserve"> aicina Satiksmes ministriju kā atbildīgo ministriju par sakaru nozares politikas izstrādi izvērtēt</w:t>
      </w:r>
      <w:r w:rsidRPr="00855036" w:rsidR="00267E0D">
        <w:rPr>
          <w:lang w:val="lv-LV"/>
        </w:rPr>
        <w:t xml:space="preserve"> instit</w:t>
      </w:r>
      <w:r w:rsidRPr="00855036" w:rsidR="003D230E">
        <w:rPr>
          <w:lang w:val="lv-LV"/>
        </w:rPr>
        <w:t>ūciju sniegtajo</w:t>
      </w:r>
      <w:r w:rsidRPr="00855036" w:rsidR="00267E0D">
        <w:rPr>
          <w:lang w:val="lv-LV"/>
        </w:rPr>
        <w:t>s koment</w:t>
      </w:r>
      <w:r w:rsidRPr="00855036" w:rsidR="003D230E">
        <w:rPr>
          <w:lang w:val="lv-LV"/>
        </w:rPr>
        <w:t>āros</w:t>
      </w:r>
      <w:r w:rsidRPr="00855036">
        <w:rPr>
          <w:lang w:val="lv-LV"/>
        </w:rPr>
        <w:t xml:space="preserve"> </w:t>
      </w:r>
      <w:r w:rsidRPr="00855036" w:rsidR="003D230E">
        <w:rPr>
          <w:lang w:val="lv-LV"/>
        </w:rPr>
        <w:t>pausto viedokli un</w:t>
      </w:r>
      <w:r w:rsidRPr="00855036" w:rsidR="00B04883">
        <w:rPr>
          <w:lang w:val="lv-LV"/>
        </w:rPr>
        <w:t xml:space="preserve"> </w:t>
      </w:r>
      <w:r w:rsidRPr="00855036" w:rsidR="003D230E">
        <w:rPr>
          <w:lang w:val="lv-LV"/>
        </w:rPr>
        <w:t xml:space="preserve">sagatavot </w:t>
      </w:r>
      <w:r w:rsidRPr="00855036" w:rsidR="00443D1F">
        <w:rPr>
          <w:lang w:val="lv-LV"/>
        </w:rPr>
        <w:t>priekšlikumus, kuri dotu ieguldījumu DESI indeksa rādītāja “Savienojamība” uzlabošanā.</w:t>
      </w:r>
      <w:r w:rsidRPr="00855036" w:rsidR="00B04883">
        <w:rPr>
          <w:lang w:val="lv-LV"/>
        </w:rPr>
        <w:t xml:space="preserve"> Vienlaikus, lai Latvijas pozīcijas DESI ne tikai saglabātu, bet arī paaugstinātu, kā arī uzlabotu valsts atbalsta programmas ietvaros izbūvēto optiskā tīkla infrastruktūras izmantošanu</w:t>
      </w:r>
      <w:r w:rsidRPr="00855036" w:rsidR="00016EBF">
        <w:rPr>
          <w:lang w:val="lv-LV"/>
        </w:rPr>
        <w:t>, nepieciešams izstrādāt tālākās rīcības plānu DESI rādītāja “Savienojamība” uzlabošanai. Tāpat arī jāizstrādā plāns</w:t>
      </w:r>
      <w:r w:rsidRPr="00855036" w:rsidR="00DF5655">
        <w:rPr>
          <w:lang w:val="lv-LV"/>
        </w:rPr>
        <w:t>,</w:t>
      </w:r>
      <w:r w:rsidRPr="00855036" w:rsidR="00891559">
        <w:rPr>
          <w:lang w:val="lv-LV"/>
        </w:rPr>
        <w:t xml:space="preserve"> kā veicināt pieprasījumu un elektronisko sakaru komersantu interesi par optiskā t</w:t>
      </w:r>
      <w:r w:rsidRPr="00855036" w:rsidR="00B815DC">
        <w:rPr>
          <w:lang w:val="lv-LV"/>
        </w:rPr>
        <w:t>īkla infrastruktūras izmantošanu.</w:t>
      </w:r>
    </w:p>
    <w:p w:rsidR="00016EBF" w:rsidRPr="00855036" w:rsidP="00016EBF" w14:paraId="368272D8" w14:textId="77777777">
      <w:pPr>
        <w:shd w:val="clear" w:color="auto" w:fill="FFFFFF" w:themeFill="background1"/>
        <w:spacing w:after="0"/>
        <w:rPr>
          <w:rFonts w:cs="Times New Roman"/>
          <w:szCs w:val="28"/>
          <w:lang w:val="lv-LV"/>
        </w:rPr>
      </w:pPr>
    </w:p>
    <w:p w:rsidR="00507F0B" w:rsidRPr="002934A4" w:rsidP="002934A4" w14:paraId="449804F8" w14:textId="11AC97C5">
      <w:pPr>
        <w:pStyle w:val="Heading2"/>
        <w:numPr>
          <w:ilvl w:val="1"/>
          <w:numId w:val="33"/>
        </w:numPr>
        <w:rPr>
          <w:lang w:val="lv-LV"/>
        </w:rPr>
      </w:pPr>
      <w:bookmarkStart w:id="19" w:name="_Toc503516717"/>
      <w:bookmarkStart w:id="20" w:name="_Toc256000006"/>
      <w:bookmarkStart w:id="21" w:name="_Toc256000026"/>
      <w:r w:rsidRPr="002934A4">
        <w:rPr>
          <w:lang w:val="lv-LV"/>
        </w:rPr>
        <w:t xml:space="preserve">Latvijas sniegums DESI indeksa rādītājā </w:t>
      </w:r>
      <w:r w:rsidRPr="002934A4" w:rsidR="00DA0C64">
        <w:rPr>
          <w:lang w:val="lv-LV"/>
        </w:rPr>
        <w:t>“Cilvēkkapitāls”</w:t>
      </w:r>
      <w:bookmarkEnd w:id="21"/>
      <w:bookmarkEnd w:id="20"/>
      <w:bookmarkEnd w:id="19"/>
    </w:p>
    <w:p w:rsidR="00507F0B" w:rsidRPr="00855036" w:rsidP="00507F0B" w14:paraId="170380C7" w14:textId="77777777">
      <w:pPr>
        <w:spacing w:after="0"/>
        <w:rPr>
          <w:rFonts w:cs="Times New Roman"/>
          <w:b/>
          <w:szCs w:val="28"/>
          <w:lang w:val="lv-LV"/>
        </w:rPr>
      </w:pPr>
    </w:p>
    <w:p w:rsidR="00507F0B" w:rsidRPr="00D01F47" w:rsidP="0039098F" w14:paraId="7C700E3B" w14:textId="0E220EFF">
      <w:pPr>
        <w:rPr>
          <w:lang w:val="lv-LV"/>
        </w:rPr>
      </w:pPr>
      <w:r w:rsidRPr="00D01F47">
        <w:rPr>
          <w:lang w:val="lv-LV"/>
        </w:rPr>
        <w:t>Indeksā</w:t>
      </w:r>
      <w:r w:rsidRPr="00D01F47">
        <w:rPr>
          <w:lang w:val="lv-LV"/>
        </w:rPr>
        <w:t xml:space="preserve"> “Cilvēkkapitāls”</w:t>
      </w:r>
      <w:r w:rsidRPr="00D01F47">
        <w:rPr>
          <w:lang w:val="lv-LV"/>
        </w:rPr>
        <w:t xml:space="preserve"> ietvaros tiek vērtētas digitālās pamatprasmes un augstāka līmeņa digitālās prasmes.</w:t>
      </w:r>
      <w:r w:rsidRPr="00D01F47" w:rsidR="00971A52">
        <w:rPr>
          <w:lang w:val="lv-LV"/>
        </w:rPr>
        <w:t xml:space="preserve"> </w:t>
      </w:r>
      <w:r w:rsidRPr="00D01F47" w:rsidR="00D73BD1">
        <w:rPr>
          <w:lang w:val="lv-LV"/>
        </w:rPr>
        <w:t>Indikatora svars novērtējumā ir 25</w:t>
      </w:r>
      <w:r w:rsidRPr="00D01F47" w:rsidR="00DF5655">
        <w:rPr>
          <w:lang w:val="lv-LV"/>
        </w:rPr>
        <w:t> </w:t>
      </w:r>
      <w:r w:rsidRPr="00D01F47" w:rsidR="00D73BD1">
        <w:rPr>
          <w:lang w:val="lv-LV"/>
        </w:rPr>
        <w:t>%.</w:t>
      </w:r>
      <w:r w:rsidRPr="00D01F47" w:rsidR="000F32CE">
        <w:rPr>
          <w:lang w:val="lv-LV"/>
        </w:rPr>
        <w:t xml:space="preserve"> </w:t>
      </w:r>
      <w:r w:rsidRPr="00D01F47">
        <w:rPr>
          <w:lang w:val="lv-LV"/>
        </w:rPr>
        <w:t>Minētās novērtējuma komponentes</w:t>
      </w:r>
      <w:r w:rsidRPr="00D01F47">
        <w:rPr>
          <w:lang w:val="lv-LV"/>
        </w:rPr>
        <w:t xml:space="preserve"> attiecas uz </w:t>
      </w:r>
      <w:r w:rsidRPr="00D01F47">
        <w:rPr>
          <w:lang w:val="lv-LV"/>
        </w:rPr>
        <w:t>izglītības un zinātnes</w:t>
      </w:r>
      <w:r w:rsidRPr="00D01F47">
        <w:rPr>
          <w:lang w:val="lv-LV"/>
        </w:rPr>
        <w:t xml:space="preserve"> politikas jomu, par kuru ir atbildīga </w:t>
      </w:r>
      <w:r w:rsidRPr="00D01F47">
        <w:rPr>
          <w:lang w:val="lv-LV"/>
        </w:rPr>
        <w:t>Izglītības un zinātnes</w:t>
      </w:r>
      <w:r w:rsidRPr="00D01F47">
        <w:rPr>
          <w:lang w:val="lv-LV"/>
        </w:rPr>
        <w:t xml:space="preserve"> ministrija.</w:t>
      </w:r>
    </w:p>
    <w:p w:rsidR="00A03B7E" w:rsidRPr="00855036" w:rsidP="0039098F" w14:paraId="71DEF99F" w14:textId="77777777">
      <w:pPr>
        <w:rPr>
          <w:lang w:val="lv-LV"/>
        </w:rPr>
      </w:pPr>
    </w:p>
    <w:p w:rsidR="00A03B7E" w:rsidRPr="00855036" w:rsidP="0039098F" w14:paraId="3AF0874E" w14:textId="4BA5FC11">
      <w:pPr>
        <w:rPr>
          <w:lang w:val="lv-LV"/>
        </w:rPr>
      </w:pPr>
      <w:r w:rsidRPr="00855036">
        <w:rPr>
          <w:lang w:val="lv-LV"/>
        </w:rPr>
        <w:t xml:space="preserve">Novērtējumā uzsvērts, ka </w:t>
      </w:r>
      <w:r w:rsidRPr="00855036" w:rsidR="00B815DC">
        <w:rPr>
          <w:lang w:val="lv-LV"/>
        </w:rPr>
        <w:t>DESI rādītājā “Cilvēkkapitāls”</w:t>
      </w:r>
      <w:r w:rsidRPr="00855036">
        <w:rPr>
          <w:lang w:val="lv-LV"/>
        </w:rPr>
        <w:t xml:space="preserve"> Latvija atpaliek no ES vidējās vērtības</w:t>
      </w:r>
      <w:r w:rsidRPr="00855036" w:rsidR="000E2281">
        <w:rPr>
          <w:lang w:val="lv-LV"/>
        </w:rPr>
        <w:t>,</w:t>
      </w:r>
      <w:r w:rsidRPr="00855036">
        <w:rPr>
          <w:lang w:val="lv-LV"/>
        </w:rPr>
        <w:t xml:space="preserve"> un progress ir neliels. 2016.</w:t>
      </w:r>
      <w:r w:rsidRPr="00855036" w:rsidR="000E2281">
        <w:rPr>
          <w:lang w:val="lv-LV"/>
        </w:rPr>
        <w:t> </w:t>
      </w:r>
      <w:r w:rsidRPr="00855036">
        <w:rPr>
          <w:lang w:val="lv-LV"/>
        </w:rPr>
        <w:t xml:space="preserve">gadā </w:t>
      </w:r>
      <w:r w:rsidRPr="00855036" w:rsidR="00B815DC">
        <w:rPr>
          <w:lang w:val="lv-LV"/>
        </w:rPr>
        <w:t>pusei Latvijas iedzīvotāju digitālo prasmju līmenis pieauga, tomēr tas joprojām ir zems, lai gan internetu lieto 77</w:t>
      </w:r>
      <w:r w:rsidRPr="00855036" w:rsidR="00DF5655">
        <w:rPr>
          <w:lang w:val="lv-LV"/>
        </w:rPr>
        <w:t> </w:t>
      </w:r>
      <w:r w:rsidRPr="00855036" w:rsidR="00B815DC">
        <w:rPr>
          <w:lang w:val="lv-LV"/>
        </w:rPr>
        <w:t>% iedzīvotāju. Tāpat secināts, ka informācijas un komunikācijas tehnoloģiju speciālistu skaits aug, taču tas joprojām ir mazāks par vidējo rādītāju ES.</w:t>
      </w:r>
    </w:p>
    <w:p w:rsidR="00A03B7E" w:rsidRPr="00855036" w:rsidP="00443D1F" w14:paraId="3883A1FD" w14:textId="77777777">
      <w:pPr>
        <w:spacing w:after="0"/>
        <w:rPr>
          <w:rFonts w:cs="Times New Roman"/>
          <w:szCs w:val="28"/>
          <w:lang w:val="lv-LV"/>
        </w:rPr>
      </w:pPr>
    </w:p>
    <w:p w:rsidR="007E5D5F" w:rsidRPr="00855036" w:rsidP="003B1608" w14:paraId="2CEA3AE8" w14:textId="77777777">
      <w:pPr>
        <w:spacing w:after="0"/>
        <w:ind w:hanging="142"/>
        <w:rPr>
          <w:rFonts w:cs="Times New Roman"/>
          <w:b/>
          <w:szCs w:val="28"/>
          <w:lang w:val="lv-LV"/>
        </w:rPr>
      </w:pPr>
      <w:r w:rsidRPr="00855036">
        <w:rPr>
          <w:rFonts w:cs="Times New Roman"/>
          <w:b/>
          <w:noProof/>
          <w:szCs w:val="28"/>
        </w:rPr>
        <w:drawing>
          <wp:inline distT="0" distB="0" distL="0" distR="0">
            <wp:extent cx="5486400" cy="2741055"/>
            <wp:effectExtent l="133350" t="133350" r="152400" b="1739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684808" name="Picture 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274105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p>
    <w:p w:rsidR="00D73BD1" w:rsidRPr="00855036" w:rsidP="0039098F" w14:paraId="30E2A183" w14:textId="39C3F131">
      <w:pPr>
        <w:rPr>
          <w:lang w:val="lv-LV"/>
        </w:rPr>
      </w:pPr>
      <w:r w:rsidRPr="00855036">
        <w:rPr>
          <w:lang w:val="lv-LV"/>
        </w:rPr>
        <w:t>Attēla avots: Latvijas valsts profils, Eiropas digitālā progresa 2017.</w:t>
      </w:r>
      <w:r w:rsidRPr="00855036" w:rsidR="00DF5655">
        <w:rPr>
          <w:lang w:val="lv-LV"/>
        </w:rPr>
        <w:t> </w:t>
      </w:r>
      <w:r w:rsidRPr="00855036">
        <w:rPr>
          <w:lang w:val="lv-LV"/>
        </w:rPr>
        <w:t>gada ziņojums</w:t>
      </w:r>
    </w:p>
    <w:p w:rsidR="00443D1F" w:rsidRPr="00855036" w:rsidP="0039098F" w14:paraId="015AE028" w14:textId="77777777">
      <w:pPr>
        <w:rPr>
          <w:lang w:val="lv-LV"/>
        </w:rPr>
      </w:pPr>
    </w:p>
    <w:p w:rsidR="00682436" w:rsidRPr="00855036" w:rsidP="0039098F" w14:paraId="6579F712" w14:textId="621332D1">
      <w:pPr>
        <w:rPr>
          <w:lang w:val="lv-LV"/>
        </w:rPr>
      </w:pPr>
      <w:r w:rsidRPr="00855036">
        <w:rPr>
          <w:lang w:val="lv-LV"/>
        </w:rPr>
        <w:t>Latvi</w:t>
      </w:r>
      <w:r w:rsidRPr="00855036">
        <w:rPr>
          <w:lang w:val="lv-LV"/>
        </w:rPr>
        <w:t xml:space="preserve">jā digitālo prasmju attīstīšana </w:t>
      </w:r>
      <w:r w:rsidRPr="00855036" w:rsidR="009B006B">
        <w:rPr>
          <w:lang w:val="lv-LV"/>
        </w:rPr>
        <w:t>ir iekļauta “Nacionālā attīstības plāna</w:t>
      </w:r>
      <w:r w:rsidRPr="00855036">
        <w:rPr>
          <w:lang w:val="lv-LV"/>
        </w:rPr>
        <w:t xml:space="preserve"> 2014.– 2020.</w:t>
      </w:r>
      <w:r w:rsidRPr="00855036" w:rsidR="000E2281">
        <w:rPr>
          <w:lang w:val="lv-LV"/>
        </w:rPr>
        <w:t> </w:t>
      </w:r>
      <w:r w:rsidRPr="00855036">
        <w:rPr>
          <w:lang w:val="lv-LV"/>
        </w:rPr>
        <w:t>gadam</w:t>
      </w:r>
      <w:r w:rsidRPr="00855036" w:rsidR="009B006B">
        <w:rPr>
          <w:lang w:val="lv-LV"/>
        </w:rPr>
        <w:t>” ieviešanas uzdevumos</w:t>
      </w:r>
      <w:r w:rsidRPr="00855036">
        <w:rPr>
          <w:lang w:val="lv-LV"/>
        </w:rPr>
        <w:t xml:space="preserve">, </w:t>
      </w:r>
      <w:r w:rsidRPr="00855036" w:rsidR="009B006B">
        <w:rPr>
          <w:lang w:val="lv-LV"/>
        </w:rPr>
        <w:t xml:space="preserve">kā viens no rīcības virzieniem </w:t>
      </w:r>
      <w:r w:rsidRPr="00855036">
        <w:rPr>
          <w:lang w:val="lv-LV"/>
        </w:rPr>
        <w:t>“Informācijas sabi</w:t>
      </w:r>
      <w:r w:rsidRPr="00855036" w:rsidR="009B006B">
        <w:rPr>
          <w:lang w:val="lv-LV"/>
        </w:rPr>
        <w:t>edrības attīstības pamatnostādnē</w:t>
      </w:r>
      <w:r w:rsidRPr="00855036">
        <w:rPr>
          <w:lang w:val="lv-LV"/>
        </w:rPr>
        <w:t>s 2014.– 2020.</w:t>
      </w:r>
      <w:r w:rsidRPr="00855036" w:rsidR="000E2281">
        <w:rPr>
          <w:lang w:val="lv-LV"/>
        </w:rPr>
        <w:t> </w:t>
      </w:r>
      <w:r w:rsidRPr="00855036">
        <w:rPr>
          <w:lang w:val="lv-LV"/>
        </w:rPr>
        <w:t xml:space="preserve">gadam”, kā arī </w:t>
      </w:r>
      <w:r w:rsidRPr="00855036" w:rsidR="003F0E56">
        <w:rPr>
          <w:lang w:val="lv-LV"/>
        </w:rPr>
        <w:t xml:space="preserve">“Nacionālajā reformu programmā “Eiropa 2020” stratēģijas īstenošanai”. </w:t>
      </w:r>
      <w:r w:rsidRPr="00855036">
        <w:rPr>
          <w:lang w:val="lv-LV"/>
        </w:rPr>
        <w:t>Izglītības attīstības pamatnostādnēs 2014.–2020.</w:t>
      </w:r>
      <w:r w:rsidRPr="00855036" w:rsidR="00DF5655">
        <w:rPr>
          <w:lang w:val="lv-LV"/>
        </w:rPr>
        <w:t> </w:t>
      </w:r>
      <w:r w:rsidRPr="00855036">
        <w:rPr>
          <w:lang w:val="lv-LV"/>
        </w:rPr>
        <w:t>gadam ir ietverti rīcības virzieni, kas skar IKT izmantošanu mācību procesā un digitālo prasmju pilnveidošanu, un tam tiek nodrošināts atbalsts no valsts budžeta un ES finansēšanas instrumentiem. L</w:t>
      </w:r>
      <w:r w:rsidRPr="00855036" w:rsidR="009B006B">
        <w:rPr>
          <w:lang w:val="lv-LV"/>
        </w:rPr>
        <w:t>atvijas kiberdrošības stratēģijā</w:t>
      </w:r>
      <w:r w:rsidRPr="00855036">
        <w:rPr>
          <w:lang w:val="lv-LV"/>
        </w:rPr>
        <w:t xml:space="preserve"> 2014.–2018.</w:t>
      </w:r>
      <w:r w:rsidRPr="00855036" w:rsidR="000E2281">
        <w:rPr>
          <w:lang w:val="lv-LV"/>
        </w:rPr>
        <w:t> </w:t>
      </w:r>
      <w:r w:rsidRPr="00855036" w:rsidR="009B006B">
        <w:rPr>
          <w:lang w:val="lv-LV"/>
        </w:rPr>
        <w:t xml:space="preserve">gadam </w:t>
      </w:r>
      <w:r w:rsidRPr="00855036">
        <w:rPr>
          <w:lang w:val="lv-LV"/>
        </w:rPr>
        <w:t>uzsvērta kiberdrošība</w:t>
      </w:r>
      <w:r w:rsidRPr="00855036">
        <w:rPr>
          <w:lang w:val="lv-LV"/>
        </w:rPr>
        <w:t>s prasmju nozīme visos līmeņos.</w:t>
      </w:r>
    </w:p>
    <w:p w:rsidR="007C126F" w:rsidRPr="00855036" w:rsidP="0039098F" w14:paraId="16560F8A" w14:textId="13084B94">
      <w:pPr>
        <w:rPr>
          <w:lang w:val="lv-LV"/>
        </w:rPr>
      </w:pPr>
      <w:r w:rsidRPr="00855036">
        <w:rPr>
          <w:lang w:val="lv-LV"/>
        </w:rPr>
        <w:t>Latvijā ir sava spēcīga digitālo prasmju un darba koalīcija, kas darbojas Digitālo prasmju un arodu koalīcijas ietvaros. Partnerībā ir iesaistītas vairākas ministrijas, IKT nozares apvienības un uzņēmumi, kā arī Latvijas Tirdzniecības un rūpniecības kamera. Koalīcijas darbu koordinē Latvijas Informācijas un komunikācijas</w:t>
      </w:r>
      <w:r w:rsidRPr="00855036" w:rsidR="009F2E8E">
        <w:rPr>
          <w:lang w:val="lv-LV"/>
        </w:rPr>
        <w:t xml:space="preserve"> tehnoloģijas asociācija</w:t>
      </w:r>
      <w:r w:rsidRPr="00855036">
        <w:rPr>
          <w:lang w:val="lv-LV"/>
        </w:rPr>
        <w:t>. Koalīcijas darbības aptver gan elementāras ikdienas iemaņas, gan ļoti specializētas un profesionālas IKT prasmes. Viens no tās mērķiem ir palielināt to jauniešu skaitu, kuri veido karjeru IKT nozarē. Šai nolūkā 2015. gada septembrī vairāk nekā 150 Latvijas skolās no 1. klases tika ieviests jauns datorzinību programmas izmēģinājuma standarts. Izmēģinājuma fāzes rezultāti tika novērtēti ļoti pozitīvi, un 2018.</w:t>
      </w:r>
      <w:r w:rsidRPr="00855036" w:rsidR="000E2281">
        <w:rPr>
          <w:lang w:val="lv-LV"/>
        </w:rPr>
        <w:t> </w:t>
      </w:r>
      <w:r w:rsidRPr="00855036">
        <w:rPr>
          <w:lang w:val="lv-LV"/>
        </w:rPr>
        <w:t>gadā jaunais standarts būs ieviests visās skolās. Tika turpināts 2016. gadā sāktais apmācības projekts “Informācijas tehnoloģiju apmācības mazajiem un mikro uzņēmumiem konkurētspējas un produktivitātes veicināšanai”, kura mērķis ir panākt, lai būtu vairāk nekā 7000 apmācības kursu. Projekta mērķis ir paaugstināt ražīgumu, inovāciju un mazo uzņēmumu un mikrouzņēmumu konkurētspēju ilgtermiņā, mācot projekta dalībniekiem sekmīgi izmantot IKT tehnoloģijas un digitālās prasmes. Visi ierosinātie apmācības moduļi ir saistīti ar digitālo prasmju sistēmu “DigCOMP 2.0”. Latvija atzīst digitālo prasmju nozīmīgumu un cenšas novērst nepilnības šajā ziņā un tādējādi padarīt Latvijas privāto un publisko sektoru efektīvu un konkurētspējīgu.</w:t>
      </w:r>
    </w:p>
    <w:p w:rsidR="009D2D59" w:rsidRPr="00855036" w:rsidP="00990EC6" w14:paraId="7E9ECCAA" w14:textId="77777777">
      <w:pPr>
        <w:spacing w:after="0"/>
        <w:rPr>
          <w:rFonts w:cs="Times New Roman"/>
          <w:szCs w:val="28"/>
          <w:lang w:val="lv-LV"/>
        </w:rPr>
      </w:pPr>
    </w:p>
    <w:p w:rsidR="009D2D59" w:rsidRPr="00855036" w:rsidP="002934A4" w14:paraId="2D1E8F8E" w14:textId="2E055583">
      <w:pPr>
        <w:pStyle w:val="Heading2"/>
        <w:rPr>
          <w:lang w:val="lv-LV"/>
        </w:rPr>
      </w:pPr>
      <w:bookmarkStart w:id="22" w:name="_Toc503516718"/>
      <w:bookmarkStart w:id="23" w:name="_Toc256000007"/>
      <w:bookmarkStart w:id="24" w:name="_Toc256000027"/>
      <w:r w:rsidRPr="00855036">
        <w:rPr>
          <w:lang w:val="lv-LV"/>
        </w:rPr>
        <w:t xml:space="preserve">Institūciju sniegtie priekšlikumi DESI indeksa rādītāja </w:t>
      </w:r>
      <w:r w:rsidRPr="00855036" w:rsidR="00DA0C64">
        <w:rPr>
          <w:lang w:val="lv-LV"/>
        </w:rPr>
        <w:t>“Cilvēkkapitāls” uzlabošanai</w:t>
      </w:r>
      <w:bookmarkEnd w:id="24"/>
      <w:bookmarkEnd w:id="23"/>
      <w:bookmarkEnd w:id="22"/>
    </w:p>
    <w:p w:rsidR="009D2D59" w:rsidRPr="00855036" w:rsidP="009D2D59" w14:paraId="08760B23" w14:textId="77777777">
      <w:pPr>
        <w:tabs>
          <w:tab w:val="left" w:pos="9356"/>
        </w:tabs>
        <w:spacing w:after="0"/>
        <w:ind w:right="12"/>
        <w:rPr>
          <w:rFonts w:cs="Times New Roman"/>
          <w:szCs w:val="28"/>
          <w:lang w:val="lv-LV"/>
        </w:rPr>
      </w:pPr>
    </w:p>
    <w:p w:rsidR="009D2D59" w:rsidRPr="00855036" w:rsidP="0039098F" w14:paraId="3395FB4F" w14:textId="5B877E43">
      <w:pPr>
        <w:rPr>
          <w:lang w:val="lv-LV"/>
        </w:rPr>
      </w:pPr>
      <w:r w:rsidRPr="00855036">
        <w:rPr>
          <w:b/>
          <w:lang w:val="lv-LV"/>
        </w:rPr>
        <w:t>Aizsardzības ministrija</w:t>
      </w:r>
      <w:r w:rsidRPr="00855036">
        <w:rPr>
          <w:lang w:val="lv-LV"/>
        </w:rPr>
        <w:t xml:space="preserve"> ir izteikusi šādus priekšlikumu</w:t>
      </w:r>
      <w:r w:rsidRPr="00855036" w:rsidR="00672095">
        <w:rPr>
          <w:lang w:val="lv-LV"/>
        </w:rPr>
        <w:t>s</w:t>
      </w:r>
      <w:r w:rsidRPr="00855036" w:rsidR="009B006B">
        <w:rPr>
          <w:lang w:val="lv-LV"/>
        </w:rPr>
        <w:t xml:space="preserve"> </w:t>
      </w:r>
      <w:r w:rsidRPr="00855036">
        <w:rPr>
          <w:lang w:val="lv-LV"/>
        </w:rPr>
        <w:t xml:space="preserve">izveidot sabiedrības informēšanas kampaņu, uzsverot digitālo pamatprasmju nepieciešamību ātras, ērtas un drošas sadzīviskas un saimnieciskas darbības veikšanai digitālajā vidē. Informatīvās kampaņas plānošanu būtu </w:t>
      </w:r>
      <w:r w:rsidRPr="00855036" w:rsidR="009B006B">
        <w:rPr>
          <w:lang w:val="lv-LV"/>
        </w:rPr>
        <w:t>VARAM</w:t>
      </w:r>
      <w:r w:rsidRPr="00855036" w:rsidR="00442ADC">
        <w:rPr>
          <w:lang w:val="lv-LV"/>
        </w:rPr>
        <w:t xml:space="preserve"> atbildība</w:t>
      </w:r>
      <w:r w:rsidRPr="00855036">
        <w:rPr>
          <w:lang w:val="lv-LV"/>
        </w:rPr>
        <w:t xml:space="preserve"> sadarbībā ar valsts un pašvaldību iestādēm un nevalstiskajām organizācija</w:t>
      </w:r>
      <w:r w:rsidRPr="00855036" w:rsidR="00442ADC">
        <w:rPr>
          <w:lang w:val="lv-LV"/>
        </w:rPr>
        <w:t>,</w:t>
      </w:r>
      <w:r w:rsidRPr="00855036">
        <w:rPr>
          <w:lang w:val="lv-LV"/>
        </w:rPr>
        <w:t xml:space="preserve"> un sociālajiem partneriem, kuri ir norādīti Informācijas sabiedrības attīstības pamatnostād</w:t>
      </w:r>
      <w:r w:rsidRPr="00855036" w:rsidR="00442ADC">
        <w:rPr>
          <w:lang w:val="lv-LV"/>
        </w:rPr>
        <w:t>nēs</w:t>
      </w:r>
      <w:r w:rsidRPr="00855036">
        <w:rPr>
          <w:lang w:val="lv-LV"/>
        </w:rPr>
        <w:t xml:space="preserve"> 2014.–2020.</w:t>
      </w:r>
      <w:r w:rsidRPr="00855036" w:rsidR="00442ADC">
        <w:rPr>
          <w:lang w:val="lv-LV"/>
        </w:rPr>
        <w:t> </w:t>
      </w:r>
      <w:r w:rsidRPr="00855036">
        <w:rPr>
          <w:lang w:val="lv-LV"/>
        </w:rPr>
        <w:t xml:space="preserve">gadam rīcības virzienā “IKT izglītība un e-prasmes”. </w:t>
      </w:r>
      <w:r w:rsidRPr="00855036" w:rsidR="009B006B">
        <w:rPr>
          <w:lang w:val="lv-LV"/>
        </w:rPr>
        <w:t>N</w:t>
      </w:r>
      <w:r w:rsidRPr="00855036">
        <w:rPr>
          <w:lang w:val="lv-LV"/>
        </w:rPr>
        <w:t>epieciešams uzsākt diskusiju ar privātā sektora pārstāvjiem par plašāku uzņēmēju atbalstu nodarbināto e-prasmju pilnveidošanā. Diskusijā galvenokārt būtu jāiesaista privātā sektora pārstāvji, kuru uzņēmējdarbība ir atkarīga no digitālo tehnoloģiju pielietošanas vai kuriem ir interese plašāk integrēt digitālās tehnoloģijas uzņēmējdarbības veikšanā tuvāko gadu laikā.</w:t>
      </w:r>
    </w:p>
    <w:p w:rsidR="007D7DF0" w:rsidRPr="00855036" w:rsidP="0039098F" w14:paraId="0AB0EEBB" w14:textId="7F50C691">
      <w:pPr>
        <w:rPr>
          <w:lang w:val="lv-LV"/>
        </w:rPr>
      </w:pPr>
      <w:r w:rsidRPr="00855036">
        <w:rPr>
          <w:b/>
          <w:lang w:val="lv-LV"/>
        </w:rPr>
        <w:t>Ārlietu ministrija</w:t>
      </w:r>
      <w:r w:rsidRPr="00855036">
        <w:rPr>
          <w:lang w:val="lv-LV"/>
        </w:rPr>
        <w:t xml:space="preserve"> </w:t>
      </w:r>
      <w:r w:rsidRPr="00855036">
        <w:rPr>
          <w:lang w:val="lv-LV"/>
        </w:rPr>
        <w:t>ir norādījusi par nepieciešamību nacionālā līmenī nodrošināt mērķtiecīgus ieguldījumus, t.sk. izmantojot ES finansējumu, lai uzlabotu iedzīvotāju digitālās prasmes (t.sk. mūžizglītība, droša interneta lietošana).”</w:t>
      </w:r>
    </w:p>
    <w:p w:rsidR="00443D1F" w:rsidRPr="00855036" w:rsidP="0039098F" w14:paraId="1950F097" w14:textId="15917649">
      <w:pPr>
        <w:rPr>
          <w:lang w:val="lv-LV"/>
        </w:rPr>
      </w:pPr>
      <w:r w:rsidRPr="00855036">
        <w:rPr>
          <w:b/>
          <w:lang w:val="lv-LV"/>
        </w:rPr>
        <w:t>Finanšu ministrija</w:t>
      </w:r>
      <w:r w:rsidRPr="00855036" w:rsidR="00B46631">
        <w:rPr>
          <w:b/>
          <w:lang w:val="lv-LV"/>
        </w:rPr>
        <w:t xml:space="preserve"> </w:t>
      </w:r>
      <w:r w:rsidRPr="00855036">
        <w:rPr>
          <w:lang w:val="lv-LV"/>
        </w:rPr>
        <w:t>ir norādījusi, ka indikatora rādītāja “Cilvēkkapitāls” novērtējumā kopējo salīdzinoši zemo rādītāju visvairāk ietekmē 2b1 rādītājs – IKT speciālistu īpatsvars, kur Latvijai ir 25.</w:t>
      </w:r>
      <w:r w:rsidRPr="00855036" w:rsidR="00672095">
        <w:rPr>
          <w:lang w:val="lv-LV"/>
        </w:rPr>
        <w:t> </w:t>
      </w:r>
      <w:r w:rsidRPr="00855036">
        <w:rPr>
          <w:lang w:val="lv-LV"/>
        </w:rPr>
        <w:t xml:space="preserve">vieta. </w:t>
      </w:r>
      <w:r w:rsidRPr="00855036" w:rsidR="00D70F3B">
        <w:rPr>
          <w:lang w:val="lv-LV"/>
        </w:rPr>
        <w:t>Finanšu</w:t>
      </w:r>
      <w:r w:rsidRPr="00855036" w:rsidR="00B46631">
        <w:rPr>
          <w:lang w:val="lv-LV"/>
        </w:rPr>
        <w:t xml:space="preserve"> ministrijas ieskatā ši</w:t>
      </w:r>
      <w:r w:rsidRPr="00855036">
        <w:rPr>
          <w:lang w:val="lv-LV"/>
        </w:rPr>
        <w:t>s rezultāts var radīt šaubas par novērtējuma precizitāti, jo pēc vairākiem līdzīgiem rādītājiem – IKT nozarē nodarbināto īpatsvara pēc darbaspēka apsekojuma (13.</w:t>
      </w:r>
      <w:r w:rsidRPr="00855036" w:rsidR="00886BF2">
        <w:rPr>
          <w:lang w:val="lv-LV"/>
        </w:rPr>
        <w:t> </w:t>
      </w:r>
      <w:r w:rsidRPr="00855036">
        <w:rPr>
          <w:lang w:val="lv-LV"/>
        </w:rPr>
        <w:t>vieta 2015.</w:t>
      </w:r>
      <w:r w:rsidRPr="00855036" w:rsidR="00886BF2">
        <w:rPr>
          <w:lang w:val="lv-LV"/>
        </w:rPr>
        <w:t> </w:t>
      </w:r>
      <w:r w:rsidRPr="00855036">
        <w:rPr>
          <w:lang w:val="lv-LV"/>
        </w:rPr>
        <w:t>gadā), IKT nozarē aizņemto darba vietu īpatsvara (tuvu ES vidējam) un IKT nozares īpatsvara kopējā pievienotajā vērtībā (16.</w:t>
      </w:r>
      <w:r w:rsidRPr="00855036" w:rsidR="00886BF2">
        <w:rPr>
          <w:lang w:val="lv-LV"/>
        </w:rPr>
        <w:t> </w:t>
      </w:r>
      <w:r w:rsidRPr="00855036">
        <w:rPr>
          <w:lang w:val="lv-LV"/>
        </w:rPr>
        <w:t>vieta 2014.</w:t>
      </w:r>
      <w:r w:rsidRPr="00855036" w:rsidR="00886BF2">
        <w:rPr>
          <w:lang w:val="lv-LV"/>
        </w:rPr>
        <w:t> </w:t>
      </w:r>
      <w:r w:rsidRPr="00855036">
        <w:rPr>
          <w:lang w:val="lv-LV"/>
        </w:rPr>
        <w:t>gadā) Latvijas rādītāji ir augstāki. Protams, šie rādītāji nav tieši salīdzināmi ar IKT speciālistu skaitu, tomēr atšķirības uzrādītajos līmeņos ir diezgan būtiskas, un šis varētu būt viens no rādītājiem, kur</w:t>
      </w:r>
      <w:r w:rsidRPr="00855036" w:rsidR="00442ADC">
        <w:rPr>
          <w:lang w:val="lv-LV"/>
        </w:rPr>
        <w:t>am</w:t>
      </w:r>
      <w:r w:rsidRPr="00855036">
        <w:rPr>
          <w:lang w:val="lv-LV"/>
        </w:rPr>
        <w:t xml:space="preserve"> būtu vērts pievērst uzmanību statistikas datu vākšanai. No metodoloģijas saprotams, ka datu avots 2b1 rādītājam ir darbaspēka apsekojums, - tas ir, avots, kas mazākās grupās (tajā skaitā par nodarbināto skaitu pa nozarēm un profesijām) var dot diezgan svārstīgus un neprecīzus rezultātus. Precīzākus rezultātus ar nodarbinātību saistītajos rādītājos </w:t>
      </w:r>
      <w:r w:rsidRPr="00855036" w:rsidR="00442ADC">
        <w:rPr>
          <w:lang w:val="lv-LV"/>
        </w:rPr>
        <w:t>sniedz</w:t>
      </w:r>
      <w:r w:rsidRPr="00855036">
        <w:rPr>
          <w:lang w:val="lv-LV"/>
        </w:rPr>
        <w:t xml:space="preserve"> statistika par aizņemtajām darba vietām, kas tiek iegūta tieši no uzņēmumu atskaitēm. </w:t>
      </w:r>
      <w:r w:rsidRPr="00855036" w:rsidR="00B46631">
        <w:rPr>
          <w:lang w:val="lv-LV"/>
        </w:rPr>
        <w:t xml:space="preserve">Metodoloģisks </w:t>
      </w:r>
      <w:r w:rsidRPr="00855036">
        <w:rPr>
          <w:lang w:val="lv-LV"/>
        </w:rPr>
        <w:t xml:space="preserve">aspekts pie šī rādītāja ir </w:t>
      </w:r>
      <w:r w:rsidRPr="00855036" w:rsidR="00B46631">
        <w:rPr>
          <w:lang w:val="lv-LV"/>
        </w:rPr>
        <w:t>apstāklis, ka z</w:t>
      </w:r>
      <w:r w:rsidRPr="00855036">
        <w:rPr>
          <w:lang w:val="lv-LV"/>
        </w:rPr>
        <w:t xml:space="preserve">ems vai augsts IKT speciālistu īpatsvars var arī tieši neliecināt par tehnoloģiju attīstības un izmantošanas līmeni. Piemēram, zemāks IKT speciālistu skaits var arī </w:t>
      </w:r>
      <w:r w:rsidRPr="00855036" w:rsidR="00442ADC">
        <w:rPr>
          <w:lang w:val="lv-LV"/>
        </w:rPr>
        <w:t>no</w:t>
      </w:r>
      <w:r w:rsidRPr="00855036">
        <w:rPr>
          <w:lang w:val="lv-LV"/>
        </w:rPr>
        <w:t>rādīt, ka nozarē ir augstāka produktivitāte, viens darbinieks var paveikt vairāk, ir augstāks tehnoloģiju izmantošanas līmenis, pārējiem darbiniekiem ir augstāks IKT prasmju līmenis</w:t>
      </w:r>
      <w:r w:rsidRPr="00855036" w:rsidR="00672095">
        <w:rPr>
          <w:lang w:val="lv-LV"/>
        </w:rPr>
        <w:t>,</w:t>
      </w:r>
      <w:r w:rsidRPr="00855036">
        <w:rPr>
          <w:lang w:val="lv-LV"/>
        </w:rPr>
        <w:t xml:space="preserve"> un uzņēmumā nav nepieciešami papildus IKT speciālisti. Varētu būt izvērtējams, cik pamatota ir šī rādītāja atrašanās </w:t>
      </w:r>
      <w:r w:rsidRPr="00855036" w:rsidR="00442ADC">
        <w:rPr>
          <w:lang w:val="lv-LV"/>
        </w:rPr>
        <w:t xml:space="preserve">DESI </w:t>
      </w:r>
      <w:r w:rsidRPr="00855036">
        <w:rPr>
          <w:lang w:val="lv-LV"/>
        </w:rPr>
        <w:t>indeksā, un vai nebūtu piemērotāk lietot kādu no minētajiem rādītājiem, kas raksturo tieši IKT nozarē strādājošo īpatsvaru.</w:t>
      </w:r>
    </w:p>
    <w:p w:rsidR="0052119A" w:rsidRPr="00926D90" w:rsidP="0039098F" w14:paraId="512A84EE" w14:textId="169325D3">
      <w:pPr>
        <w:rPr>
          <w:lang w:val="lv-LV"/>
        </w:rPr>
      </w:pPr>
      <w:r w:rsidRPr="00926D90">
        <w:rPr>
          <w:lang w:val="lv-LV"/>
        </w:rPr>
        <w:t>P</w:t>
      </w:r>
      <w:r w:rsidRPr="00926D90" w:rsidR="00462E7E">
        <w:rPr>
          <w:lang w:val="lv-LV"/>
        </w:rPr>
        <w:t>apildus p</w:t>
      </w:r>
      <w:r w:rsidRPr="00926D90" w:rsidR="00EC5545">
        <w:rPr>
          <w:lang w:val="lv-LV"/>
        </w:rPr>
        <w:t xml:space="preserve">ie indikatora rādītāja “Cilvēkkapitāls” </w:t>
      </w:r>
      <w:r w:rsidRPr="00926D90">
        <w:rPr>
          <w:lang w:val="lv-LV"/>
        </w:rPr>
        <w:t>Finanšu ministrija ir norādījusi</w:t>
      </w:r>
      <w:r w:rsidRPr="00926D90">
        <w:rPr>
          <w:lang w:val="lv-LV"/>
        </w:rPr>
        <w:t>, ka 2a rādītājos</w:t>
      </w:r>
      <w:r w:rsidRPr="00926D90" w:rsidR="00821B3B">
        <w:rPr>
          <w:lang w:val="lv-LV"/>
        </w:rPr>
        <w:t xml:space="preserve"> (</w:t>
      </w:r>
      <w:r w:rsidRPr="00926D90" w:rsidR="00821B3B">
        <w:rPr>
          <w:bCs/>
          <w:lang w:val="lv-LV"/>
        </w:rPr>
        <w:t>Interneta lietotāji un Digitālās prasmes vismaz pamatlīmenī)</w:t>
      </w:r>
      <w:r>
        <w:rPr>
          <w:rStyle w:val="FootnoteReference"/>
          <w:rFonts w:cs="Times New Roman"/>
          <w:bCs/>
          <w:szCs w:val="28"/>
        </w:rPr>
        <w:footnoteReference w:id="5"/>
      </w:r>
      <w:r w:rsidRPr="00926D90">
        <w:rPr>
          <w:lang w:val="lv-LV"/>
        </w:rPr>
        <w:t>, kas raksturo tieši interneta lietotājus un viņu prasmes, Latvija ir saņēmusi būtiski zemāku novērtējumu (14. un 20.</w:t>
      </w:r>
      <w:r w:rsidRPr="00926D90" w:rsidR="00F91EA2">
        <w:rPr>
          <w:lang w:val="lv-LV"/>
        </w:rPr>
        <w:t> </w:t>
      </w:r>
      <w:r w:rsidRPr="00926D90">
        <w:rPr>
          <w:lang w:val="lv-LV"/>
        </w:rPr>
        <w:t>vieta) nekā interneta lietošanas kopējā rādītājā (10.</w:t>
      </w:r>
      <w:r w:rsidRPr="00926D90" w:rsidR="005A101D">
        <w:rPr>
          <w:lang w:val="lv-LV"/>
        </w:rPr>
        <w:t> </w:t>
      </w:r>
      <w:r w:rsidRPr="00926D90">
        <w:rPr>
          <w:lang w:val="lv-LV"/>
        </w:rPr>
        <w:t xml:space="preserve">vieta). </w:t>
      </w:r>
      <w:r w:rsidRPr="00926D90" w:rsidR="00926D90">
        <w:rPr>
          <w:lang w:val="lv-LV"/>
        </w:rPr>
        <w:t>Ta</w:t>
      </w:r>
      <w:r w:rsidRPr="00926D90">
        <w:rPr>
          <w:lang w:val="lv-LV"/>
        </w:rPr>
        <w:t>s norāda, vai nu uz to, ka lietotāji ar nepietiekamām prasmēm un nepietiekamā skaitā kaut kādā veidā spēj sasniegt augstus interneta lietošanas rādītājus, vai arī tomēr ir kādas problēmas interneta lietotāju un viņa prasmju uzskaitē, kas tāpat nav balstīta uz st</w:t>
      </w:r>
      <w:r w:rsidRPr="00926D90" w:rsidR="00C5701A">
        <w:rPr>
          <w:lang w:val="lv-LV"/>
        </w:rPr>
        <w:t>atistikas datiem, bet aptaujām.</w:t>
      </w:r>
    </w:p>
    <w:p w:rsidR="003720A5" w:rsidRPr="00855036" w:rsidP="0039098F" w14:paraId="673A8184" w14:textId="26200A7C">
      <w:pPr>
        <w:rPr>
          <w:b/>
          <w:lang w:val="lv-LV"/>
        </w:rPr>
      </w:pPr>
      <w:r w:rsidRPr="00855036">
        <w:rPr>
          <w:b/>
          <w:lang w:val="lv-LV"/>
        </w:rPr>
        <w:t>Izglītības un zinātnes ministrija</w:t>
      </w:r>
      <w:r w:rsidRPr="00855036" w:rsidR="00F91EA2">
        <w:rPr>
          <w:lang w:val="lv-LV"/>
        </w:rPr>
        <w:t>,</w:t>
      </w:r>
      <w:r w:rsidRPr="00855036" w:rsidR="005B72AA">
        <w:rPr>
          <w:lang w:val="lv-LV"/>
        </w:rPr>
        <w:t xml:space="preserve"> </w:t>
      </w:r>
      <w:r w:rsidRPr="00855036">
        <w:rPr>
          <w:lang w:val="lv-LV"/>
        </w:rPr>
        <w:t xml:space="preserve">balstoties uz informatīvajā ziņojumā par Viedās specializācijas stratēģijas jeb RIS3 monitoringu sniegto informāciju par matemātikas, dabaszinību </w:t>
      </w:r>
      <w:r w:rsidRPr="00855036" w:rsidR="00443D1F">
        <w:rPr>
          <w:lang w:val="lv-LV"/>
        </w:rPr>
        <w:t>un tehnikas virziena programmu</w:t>
      </w:r>
      <w:r>
        <w:rPr>
          <w:rStyle w:val="FootnoteReference"/>
          <w:rFonts w:cs="Times New Roman"/>
          <w:szCs w:val="28"/>
          <w:lang w:val="lv-LV"/>
        </w:rPr>
        <w:footnoteReference w:id="6"/>
      </w:r>
      <w:r w:rsidRPr="00855036" w:rsidR="00443D1F">
        <w:rPr>
          <w:lang w:val="lv-LV"/>
        </w:rPr>
        <w:t>, t.s. STEM</w:t>
      </w:r>
      <w:r>
        <w:rPr>
          <w:rStyle w:val="FootnoteReference"/>
          <w:rFonts w:cs="Times New Roman"/>
          <w:szCs w:val="28"/>
          <w:lang w:val="lv-LV"/>
        </w:rPr>
        <w:footnoteReference w:id="7"/>
      </w:r>
      <w:r w:rsidRPr="00855036">
        <w:rPr>
          <w:lang w:val="lv-LV"/>
        </w:rPr>
        <w:t xml:space="preserve"> studiju programmās iesaistīto studējošo skaitu, secināts, ka nav izdevies nodrošināt </w:t>
      </w:r>
      <w:r w:rsidRPr="00855036">
        <w:rPr>
          <w:bCs/>
          <w:lang w:val="lv-LV"/>
        </w:rPr>
        <w:t>STEM studiju programmu absolventu skaita pieaugumu</w:t>
      </w:r>
      <w:r w:rsidRPr="00855036">
        <w:rPr>
          <w:lang w:val="lv-LV"/>
        </w:rPr>
        <w:t xml:space="preserve"> Viedās specializācijas stratēģijas paredzētajā apjomā. STEM programmu studējošo īpatsvars ir pakāpeniski pieaudzis, ko izskaidro studiju vietu pārdale, kuras ietvaros STEM studiju vietām ir piešķirta augstāka prioritāte. Tomēr, pēdējo gadu tendences parāda to, ka absolventu skaita pieaugums STEM programmās notiek ievērojami lēnāk</w:t>
      </w:r>
      <w:r w:rsidRPr="00855036" w:rsidR="00F91EA2">
        <w:rPr>
          <w:lang w:val="lv-LV"/>
        </w:rPr>
        <w:t>,</w:t>
      </w:r>
      <w:r w:rsidRPr="00855036">
        <w:rPr>
          <w:lang w:val="lv-LV"/>
        </w:rPr>
        <w:t xml:space="preserve"> un pēdējo trīs gadu laikā tas nav palielinājies.</w:t>
      </w:r>
    </w:p>
    <w:p w:rsidR="003720A5" w:rsidRPr="00855036" w:rsidP="0039098F" w14:paraId="4A8783BD" w14:textId="37F4AC54">
      <w:pPr>
        <w:rPr>
          <w:lang w:val="lv-LV"/>
        </w:rPr>
      </w:pPr>
      <w:r w:rsidRPr="00855036">
        <w:rPr>
          <w:lang w:val="lv-LV"/>
        </w:rPr>
        <w:t>Minētie dati rāda</w:t>
      </w:r>
      <w:r w:rsidRPr="00855036">
        <w:rPr>
          <w:lang w:val="lv-LV"/>
        </w:rPr>
        <w:t xml:space="preserve">, ka STEM studiju programmās pēdējo gadu laikā ir būtiski palielinājies </w:t>
      </w:r>
      <w:r w:rsidRPr="00855036" w:rsidR="00F91EA2">
        <w:rPr>
          <w:lang w:val="lv-LV"/>
        </w:rPr>
        <w:t xml:space="preserve">to </w:t>
      </w:r>
      <w:r w:rsidRPr="00855036">
        <w:rPr>
          <w:lang w:val="lv-LV"/>
        </w:rPr>
        <w:t xml:space="preserve">studentu </w:t>
      </w:r>
      <w:r w:rsidRPr="00855036" w:rsidR="00F91EA2">
        <w:rPr>
          <w:lang w:val="lv-LV"/>
        </w:rPr>
        <w:t>skaits, kuri sekmīgi nepab</w:t>
      </w:r>
      <w:r w:rsidRPr="00855036">
        <w:rPr>
          <w:lang w:val="lv-LV"/>
        </w:rPr>
        <w:t>eidz studijas studiju programmā</w:t>
      </w:r>
      <w:r w:rsidRPr="00855036">
        <w:rPr>
          <w:lang w:val="lv-LV"/>
        </w:rPr>
        <w:t xml:space="preserve">. Daļēji absolventu skaita </w:t>
      </w:r>
      <w:r w:rsidRPr="00855036" w:rsidR="00F91EA2">
        <w:rPr>
          <w:lang w:val="lv-LV"/>
        </w:rPr>
        <w:t>samazināšanos</w:t>
      </w:r>
      <w:r w:rsidRPr="00855036">
        <w:rPr>
          <w:lang w:val="lv-LV"/>
        </w:rPr>
        <w:t xml:space="preserve"> izraisa arī citi faktori, piemēram, nepilnīgais augstākās izglītības finansējums, vidējās izglītības kvalitāte</w:t>
      </w:r>
      <w:r w:rsidRPr="00855036" w:rsidR="00F91EA2">
        <w:rPr>
          <w:lang w:val="lv-LV"/>
        </w:rPr>
        <w:t xml:space="preserve"> un citi apstākļi</w:t>
      </w:r>
      <w:r w:rsidRPr="00855036">
        <w:rPr>
          <w:lang w:val="lv-LV"/>
        </w:rPr>
        <w:t>, jo pēdējo gadu tendences parāda to, ka absolventu kopējā skaita samazinājums notiek lielākā tempā salīdzinājumā ar kopēju studentu skaita kritumu, jo starp 2011.</w:t>
      </w:r>
      <w:r w:rsidRPr="00855036">
        <w:rPr>
          <w:lang w:val="lv-LV"/>
        </w:rPr>
        <w:t> gadu</w:t>
      </w:r>
      <w:r w:rsidRPr="00855036">
        <w:rPr>
          <w:lang w:val="lv-LV"/>
        </w:rPr>
        <w:t xml:space="preserve"> un 2016.</w:t>
      </w:r>
      <w:r w:rsidRPr="00855036" w:rsidR="00F91EA2">
        <w:rPr>
          <w:lang w:val="lv-LV"/>
        </w:rPr>
        <w:t> </w:t>
      </w:r>
      <w:r w:rsidRPr="00855036">
        <w:rPr>
          <w:lang w:val="lv-LV"/>
        </w:rPr>
        <w:t>gadu kopējais studējošo skaits ir samazinājies par 14,5</w:t>
      </w:r>
      <w:r w:rsidRPr="00855036" w:rsidR="00F91EA2">
        <w:rPr>
          <w:lang w:val="lv-LV"/>
        </w:rPr>
        <w:t> </w:t>
      </w:r>
      <w:r w:rsidRPr="00855036">
        <w:rPr>
          <w:lang w:val="lv-LV"/>
        </w:rPr>
        <w:t xml:space="preserve">%. Šīs kopējās tendences ir attiecināmas arī uz STEM studiju programmām un, lai nodrošinātu kvalitatīvu speciālistu sagatavošanu STEM nozarē, kurā ir prognozējams būtisks darbaspēka deficīts, ir nepieciešams īstenot pasākumus, kas novērstu </w:t>
      </w:r>
      <w:r w:rsidRPr="00855036" w:rsidR="008951A3">
        <w:rPr>
          <w:lang w:val="lv-LV"/>
        </w:rPr>
        <w:t xml:space="preserve">absolventu skaita </w:t>
      </w:r>
      <w:r w:rsidRPr="00855036">
        <w:rPr>
          <w:lang w:val="lv-LV"/>
        </w:rPr>
        <w:t>problēmas.</w:t>
      </w:r>
    </w:p>
    <w:p w:rsidR="005E75FA" w:rsidRPr="00855036" w:rsidP="0039098F" w14:paraId="4BD5BAE2" w14:textId="1F8536F1">
      <w:pPr>
        <w:rPr>
          <w:lang w:val="lv-LV"/>
        </w:rPr>
      </w:pPr>
      <w:bookmarkStart w:id="25" w:name="_Hlk487705289"/>
      <w:r w:rsidRPr="00855036">
        <w:rPr>
          <w:b/>
          <w:lang w:val="lv-LV"/>
        </w:rPr>
        <w:t>Tieslietu ministrijas</w:t>
      </w:r>
      <w:r w:rsidRPr="00855036">
        <w:rPr>
          <w:lang w:val="lv-LV"/>
        </w:rPr>
        <w:t xml:space="preserve"> ieskatā, </w:t>
      </w:r>
      <w:r w:rsidRPr="00855036" w:rsidR="009B006B">
        <w:rPr>
          <w:lang w:val="lv-LV"/>
        </w:rPr>
        <w:t>l</w:t>
      </w:r>
      <w:r w:rsidRPr="00855036">
        <w:rPr>
          <w:lang w:val="lv-LV"/>
        </w:rPr>
        <w:t xml:space="preserve">ai veicinātu vidējo rādītāju kāpumu, nepieciešams pilnveidot valsts pārvaldē nodarbināto IKT lietotāju (darbinieku) – cilvēkresursu – pamatprasmes, veicot būtiskas investīcijas un organizējot regulāras apmācības darbam ar jaunākajām programmatūrām, kā arī ar koplietošanas risinājumiem. </w:t>
      </w:r>
      <w:r w:rsidRPr="00855036" w:rsidR="00B111AB">
        <w:rPr>
          <w:lang w:val="lv-LV"/>
        </w:rPr>
        <w:t>Tieslietu ministrija</w:t>
      </w:r>
      <w:r w:rsidRPr="00855036">
        <w:rPr>
          <w:lang w:val="lv-LV"/>
        </w:rPr>
        <w:t xml:space="preserve"> ir informējusi, ka Valsts probācijas dienests šobrīd </w:t>
      </w:r>
      <w:r w:rsidRPr="00855036" w:rsidR="00247240">
        <w:rPr>
          <w:lang w:val="lv-LV"/>
        </w:rPr>
        <w:t>izvērtē</w:t>
      </w:r>
      <w:r w:rsidRPr="00855036">
        <w:rPr>
          <w:lang w:val="lv-LV"/>
        </w:rPr>
        <w:t xml:space="preserve"> iespējas piesaistīt šim nolūkam līdzfinansējumu projektu veidā. Tāpat, lai veicinātu jauniešu interesi studēt IKT jomā, nepieciešams kāpināt valsts pārvaldē nodarbināt IT speciālistu atalgojumu un amata prestižu.</w:t>
      </w:r>
      <w:bookmarkEnd w:id="25"/>
    </w:p>
    <w:p w:rsidR="0039098F" w:rsidP="002934A4" w14:paraId="09E238F1" w14:textId="77777777">
      <w:pPr>
        <w:pStyle w:val="Heading2"/>
        <w:rPr>
          <w:lang w:val="lv-LV"/>
        </w:rPr>
      </w:pPr>
    </w:p>
    <w:p w:rsidR="006445C7" w:rsidRPr="00855036" w:rsidP="002934A4" w14:paraId="616F460B" w14:textId="1DAE52D7">
      <w:pPr>
        <w:pStyle w:val="Heading2"/>
        <w:rPr>
          <w:lang w:val="lv-LV"/>
        </w:rPr>
      </w:pPr>
      <w:bookmarkStart w:id="26" w:name="_Toc503516719"/>
      <w:bookmarkStart w:id="27" w:name="_Toc256000009"/>
      <w:bookmarkStart w:id="28" w:name="_Toc256000029"/>
      <w:r w:rsidRPr="00855036">
        <w:rPr>
          <w:lang w:val="lv-LV"/>
        </w:rPr>
        <w:t>P</w:t>
      </w:r>
      <w:r w:rsidRPr="00855036">
        <w:rPr>
          <w:lang w:val="lv-LV"/>
        </w:rPr>
        <w:t>riekšlikumi rīcībai DESI indeksa rādītāja “Cilvēkkapitāls” uzlabošanai</w:t>
      </w:r>
      <w:bookmarkEnd w:id="28"/>
      <w:bookmarkEnd w:id="27"/>
      <w:bookmarkEnd w:id="26"/>
    </w:p>
    <w:p w:rsidR="00723B66" w:rsidRPr="00855036" w:rsidP="00443D1F" w14:paraId="04DEFAF4" w14:textId="77777777">
      <w:pPr>
        <w:keepNext/>
        <w:tabs>
          <w:tab w:val="left" w:pos="9356"/>
        </w:tabs>
        <w:spacing w:after="0"/>
        <w:ind w:right="11"/>
        <w:rPr>
          <w:rFonts w:cs="Times New Roman"/>
          <w:b/>
          <w:szCs w:val="28"/>
          <w:lang w:val="lv-LV"/>
        </w:rPr>
      </w:pPr>
    </w:p>
    <w:p w:rsidR="007E4C82" w:rsidRPr="00855036" w:rsidP="0039098F" w14:paraId="794E05C7" w14:textId="6201C2B8">
      <w:pPr>
        <w:rPr>
          <w:lang w:val="lv-LV"/>
        </w:rPr>
      </w:pPr>
      <w:r w:rsidRPr="00855036">
        <w:rPr>
          <w:lang w:val="lv-LV"/>
        </w:rPr>
        <w:t>Ņ</w:t>
      </w:r>
      <w:r w:rsidRPr="00855036">
        <w:rPr>
          <w:lang w:val="lv-LV"/>
        </w:rPr>
        <w:t>emot vērā neapmierinošo Latvijas sniegumu DESI indeksa rādītāj</w:t>
      </w:r>
      <w:r w:rsidRPr="00855036" w:rsidR="00334FE9">
        <w:rPr>
          <w:lang w:val="lv-LV"/>
        </w:rPr>
        <w:t>a</w:t>
      </w:r>
      <w:r w:rsidRPr="00855036">
        <w:rPr>
          <w:lang w:val="lv-LV"/>
        </w:rPr>
        <w:t xml:space="preserve"> “Cilvēkkapitāls” (23.</w:t>
      </w:r>
      <w:r w:rsidRPr="00855036" w:rsidR="00247240">
        <w:rPr>
          <w:lang w:val="lv-LV"/>
        </w:rPr>
        <w:t> </w:t>
      </w:r>
      <w:r w:rsidRPr="00855036">
        <w:rPr>
          <w:lang w:val="lv-LV"/>
        </w:rPr>
        <w:t xml:space="preserve">vieta), </w:t>
      </w:r>
      <w:r w:rsidRPr="00855036" w:rsidR="00443D1F">
        <w:rPr>
          <w:lang w:val="lv-LV"/>
        </w:rPr>
        <w:t>secināms</w:t>
      </w:r>
      <w:r w:rsidRPr="00855036">
        <w:rPr>
          <w:lang w:val="lv-LV"/>
        </w:rPr>
        <w:t xml:space="preserve">, ka DESI indeksa rādītāja “Cilvēkkapitāls” uzlabošana </w:t>
      </w:r>
      <w:r w:rsidRPr="00855036">
        <w:rPr>
          <w:lang w:val="lv-LV"/>
        </w:rPr>
        <w:t>ir stratē</w:t>
      </w:r>
      <w:r w:rsidRPr="00855036">
        <w:rPr>
          <w:lang w:val="lv-LV"/>
        </w:rPr>
        <w:t>ģisks uzdevums</w:t>
      </w:r>
      <w:r w:rsidRPr="00855036">
        <w:rPr>
          <w:lang w:val="lv-LV"/>
        </w:rPr>
        <w:t>, ka</w:t>
      </w:r>
      <w:r w:rsidRPr="00855036">
        <w:rPr>
          <w:lang w:val="lv-LV"/>
        </w:rPr>
        <w:t>s risināms ar mērķtiecīgas un plānveidīgas darbības  palīdzību. Šim nolūkam</w:t>
      </w:r>
      <w:r w:rsidRPr="00855036" w:rsidR="00443D1F">
        <w:rPr>
          <w:lang w:val="lv-LV"/>
        </w:rPr>
        <w:t xml:space="preserve"> aicinām</w:t>
      </w:r>
      <w:r w:rsidRPr="00855036">
        <w:rPr>
          <w:lang w:val="lv-LV"/>
        </w:rPr>
        <w:t xml:space="preserve"> informatīvā ziņojuma pro</w:t>
      </w:r>
      <w:r w:rsidRPr="00855036" w:rsidR="00A40ED7">
        <w:rPr>
          <w:lang w:val="lv-LV"/>
        </w:rPr>
        <w:t xml:space="preserve">tokollēmumā iekļaut uzdevumu </w:t>
      </w:r>
      <w:r w:rsidRPr="00855036" w:rsidR="009B006B">
        <w:rPr>
          <w:lang w:val="lv-LV"/>
        </w:rPr>
        <w:t xml:space="preserve">Izglītības un zinātnes ministrijai sadarbībā ar citām ministrijām līdz 2018. gada </w:t>
      </w:r>
      <w:r w:rsidR="00D01F47">
        <w:rPr>
          <w:lang w:val="lv-LV"/>
        </w:rPr>
        <w:t>28</w:t>
      </w:r>
      <w:r w:rsidRPr="00855036" w:rsidR="009B006B">
        <w:rPr>
          <w:lang w:val="lv-LV"/>
        </w:rPr>
        <w:t>. </w:t>
      </w:r>
      <w:r w:rsidR="00D01F47">
        <w:rPr>
          <w:lang w:val="lv-LV"/>
        </w:rPr>
        <w:t>februārim</w:t>
      </w:r>
      <w:r w:rsidRPr="00855036" w:rsidR="009B006B">
        <w:rPr>
          <w:lang w:val="lv-LV"/>
        </w:rPr>
        <w:t xml:space="preserve"> izstrādāt DESI indeksa rādītāja “Cilvēkkapitāls” uzlabošanas aktivitāšu plānu.</w:t>
      </w:r>
    </w:p>
    <w:p w:rsidR="007E5D5F" w:rsidRPr="00855036" w:rsidP="00990EC6" w14:paraId="68E3E443" w14:textId="77777777">
      <w:pPr>
        <w:spacing w:after="0"/>
        <w:rPr>
          <w:rFonts w:cs="Times New Roman"/>
          <w:b/>
          <w:szCs w:val="28"/>
          <w:lang w:val="lv-LV"/>
        </w:rPr>
      </w:pPr>
    </w:p>
    <w:p w:rsidR="007C126F" w:rsidRPr="00855036" w:rsidP="002934A4" w14:paraId="09B8CDFD" w14:textId="3FF7A2C8">
      <w:pPr>
        <w:pStyle w:val="Heading2"/>
        <w:numPr>
          <w:ilvl w:val="1"/>
          <w:numId w:val="33"/>
        </w:numPr>
      </w:pPr>
      <w:bookmarkStart w:id="29" w:name="_Toc503516720"/>
      <w:bookmarkStart w:id="30" w:name="_Toc256000010"/>
      <w:bookmarkStart w:id="31" w:name="_Toc256000030"/>
      <w:r w:rsidRPr="00855036">
        <w:t xml:space="preserve">Latvijas sniegums DESI indeksa rādītājā </w:t>
      </w:r>
      <w:r w:rsidRPr="00855036" w:rsidR="007E5D5F">
        <w:t>“I</w:t>
      </w:r>
      <w:r w:rsidRPr="00855036">
        <w:t>nterneta izmantojums</w:t>
      </w:r>
      <w:r w:rsidRPr="00855036" w:rsidR="00DA0C64">
        <w:t>”</w:t>
      </w:r>
      <w:bookmarkEnd w:id="31"/>
      <w:bookmarkEnd w:id="30"/>
      <w:bookmarkEnd w:id="29"/>
    </w:p>
    <w:p w:rsidR="003B1608" w:rsidRPr="00855036" w:rsidP="003B1608" w14:paraId="11C308C1" w14:textId="77777777">
      <w:pPr>
        <w:pStyle w:val="ListParagraph"/>
        <w:ind w:left="232"/>
        <w:rPr>
          <w:rFonts w:cs="Times New Roman"/>
          <w:szCs w:val="28"/>
        </w:rPr>
      </w:pPr>
    </w:p>
    <w:p w:rsidR="003B1608" w:rsidRPr="00855036" w:rsidP="0039098F" w14:paraId="02337D2E" w14:textId="05E9F506">
      <w:pPr>
        <w:rPr>
          <w:lang w:val="lv-LV"/>
        </w:rPr>
      </w:pPr>
      <w:r w:rsidRPr="00855036">
        <w:rPr>
          <w:lang w:val="lv-LV"/>
        </w:rPr>
        <w:t>DESI indeksa rādītāj</w:t>
      </w:r>
      <w:r w:rsidRPr="00855036" w:rsidR="00334FE9">
        <w:rPr>
          <w:lang w:val="lv-LV"/>
        </w:rPr>
        <w:t>a</w:t>
      </w:r>
      <w:r w:rsidRPr="00855036">
        <w:rPr>
          <w:lang w:val="lv-LV"/>
        </w:rPr>
        <w:t xml:space="preserve"> “Interneta izmantojums” ietvaros </w:t>
      </w:r>
      <w:r w:rsidRPr="00855036" w:rsidR="000F32CE">
        <w:rPr>
          <w:lang w:val="lv-LV"/>
        </w:rPr>
        <w:t xml:space="preserve">tiek vērtēta </w:t>
      </w:r>
      <w:r w:rsidRPr="00855036">
        <w:rPr>
          <w:lang w:val="lv-LV"/>
        </w:rPr>
        <w:t>digitāla satura izmantošana,</w:t>
      </w:r>
      <w:r w:rsidRPr="00855036" w:rsidR="000F32CE">
        <w:rPr>
          <w:lang w:val="lv-LV"/>
        </w:rPr>
        <w:t xml:space="preserve"> t.sk., ziņu lasīšana internetā, mūzikas klausīšanās, video skatīšanās, spēļu spēlēšana, kā arī video lejupielāde pēc pieprasījuma. Komunikācijas komponentes ietvaros tie vērtēta videozvanu un sociālo tīklu izmantošana. Darījumu komponentes ietvaros tiek vērtēta banku pakalpojumu izmantošana un iepirkšanās interneta vidē.</w:t>
      </w:r>
      <w:r w:rsidRPr="00855036">
        <w:rPr>
          <w:lang w:val="lv-LV"/>
        </w:rPr>
        <w:t xml:space="preserve"> Minētās novērtējuma komponentes attiecas uz </w:t>
      </w:r>
      <w:r w:rsidRPr="00855036" w:rsidR="000F32CE">
        <w:rPr>
          <w:lang w:val="lv-LV"/>
        </w:rPr>
        <w:t>m</w:t>
      </w:r>
      <w:r w:rsidRPr="00855036">
        <w:rPr>
          <w:lang w:val="lv-LV"/>
        </w:rPr>
        <w:t>asu informācijas (plašsaziņas) līdzekļu politikas jomu</w:t>
      </w:r>
      <w:r w:rsidRPr="00855036" w:rsidR="000F32CE">
        <w:rPr>
          <w:lang w:val="lv-LV"/>
        </w:rPr>
        <w:t xml:space="preserve"> un iekšējā tirgus politikas jomu</w:t>
      </w:r>
      <w:r w:rsidRPr="00855036">
        <w:rPr>
          <w:lang w:val="lv-LV"/>
        </w:rPr>
        <w:t>,</w:t>
      </w:r>
      <w:r w:rsidRPr="00855036" w:rsidR="000F32CE">
        <w:rPr>
          <w:lang w:val="lv-LV"/>
        </w:rPr>
        <w:t xml:space="preserve"> par kurām</w:t>
      </w:r>
      <w:r w:rsidRPr="00855036">
        <w:rPr>
          <w:lang w:val="lv-LV"/>
        </w:rPr>
        <w:t xml:space="preserve"> ir atbildīga Kultūras ministrija</w:t>
      </w:r>
      <w:r w:rsidRPr="00855036" w:rsidR="00795F6C">
        <w:rPr>
          <w:lang w:val="lv-LV"/>
        </w:rPr>
        <w:t xml:space="preserve">, Ekonomikas ministrija un </w:t>
      </w:r>
      <w:r w:rsidRPr="00855036" w:rsidR="000F32CE">
        <w:rPr>
          <w:lang w:val="lv-LV"/>
        </w:rPr>
        <w:t>Finanšu ministrija</w:t>
      </w:r>
      <w:r w:rsidRPr="00855036">
        <w:rPr>
          <w:lang w:val="lv-LV"/>
        </w:rPr>
        <w:t>.</w:t>
      </w:r>
    </w:p>
    <w:p w:rsidR="00A03B7E" w:rsidRPr="00855036" w:rsidP="0039098F" w14:paraId="0C55EF82" w14:textId="77777777">
      <w:pPr>
        <w:rPr>
          <w:lang w:val="lv-LV"/>
        </w:rPr>
      </w:pPr>
      <w:r w:rsidRPr="00855036">
        <w:rPr>
          <w:lang w:val="lv-LV"/>
        </w:rPr>
        <w:t>Latvijas iedzīvotāju vidū visvairāk pieaudzis to tiešsaistes darbību skaits, kas saistītas ar iepirkšanos tiešsaistē.</w:t>
      </w:r>
    </w:p>
    <w:p w:rsidR="00A03B7E" w:rsidRPr="00855036" w:rsidP="0039098F" w14:paraId="57D1FEA2" w14:textId="44F1006E">
      <w:pPr>
        <w:rPr>
          <w:lang w:val="lv-LV"/>
        </w:rPr>
      </w:pPr>
      <w:r w:rsidRPr="00855036">
        <w:rPr>
          <w:lang w:val="lv-LV"/>
        </w:rPr>
        <w:t>Internetu Latvijā izmanto 77</w:t>
      </w:r>
      <w:r w:rsidRPr="00855036" w:rsidR="00851B9A">
        <w:rPr>
          <w:lang w:val="lv-LV"/>
        </w:rPr>
        <w:t> </w:t>
      </w:r>
      <w:r w:rsidRPr="00855036">
        <w:rPr>
          <w:lang w:val="lv-LV"/>
        </w:rPr>
        <w:t>% iedzīvotāju, i</w:t>
      </w:r>
      <w:r w:rsidRPr="00855036">
        <w:rPr>
          <w:lang w:val="lv-LV"/>
        </w:rPr>
        <w:t>nterneta izmantošanā ir vērojama Latvijas iedzīvotāju tendence arvien biežāk iepirkties tiešsaistē</w:t>
      </w:r>
      <w:r w:rsidRPr="00855036">
        <w:rPr>
          <w:lang w:val="lv-LV"/>
        </w:rPr>
        <w:t>, sasniedzot 55</w:t>
      </w:r>
      <w:r w:rsidRPr="00855036" w:rsidR="00851B9A">
        <w:rPr>
          <w:lang w:val="lv-LV"/>
        </w:rPr>
        <w:t> </w:t>
      </w:r>
      <w:r w:rsidRPr="00855036">
        <w:rPr>
          <w:lang w:val="lv-LV"/>
        </w:rPr>
        <w:t xml:space="preserve">%, kas ir par </w:t>
      </w:r>
      <w:r w:rsidRPr="00855036" w:rsidR="00851B9A">
        <w:rPr>
          <w:lang w:val="lv-LV"/>
        </w:rPr>
        <w:t xml:space="preserve">septiņiem </w:t>
      </w:r>
      <w:r w:rsidRPr="00855036">
        <w:rPr>
          <w:lang w:val="lv-LV"/>
        </w:rPr>
        <w:t>procentpunktiem vairāk kā 2016. gadā</w:t>
      </w:r>
      <w:r w:rsidRPr="00855036">
        <w:rPr>
          <w:lang w:val="lv-LV"/>
        </w:rPr>
        <w:t>. Latvijas iedzīvotāji bieži izmanto dažādus tiešsaistes pakalpojumus, taču pagājušajā gadā lielākā daļa pakalpojumu izmantošana</w:t>
      </w:r>
      <w:r w:rsidRPr="00855036" w:rsidR="00334FE9">
        <w:rPr>
          <w:lang w:val="lv-LV"/>
        </w:rPr>
        <w:t>s</w:t>
      </w:r>
      <w:r w:rsidRPr="00855036">
        <w:rPr>
          <w:lang w:val="lv-LV"/>
        </w:rPr>
        <w:t xml:space="preserve"> samazinājās. Lai gan mazliet pieauga iepirkšanās tiešsaistē, tomēr vēl nav sasniegts ES vidējais apmērs.</w:t>
      </w:r>
      <w:r w:rsidRPr="00855036">
        <w:rPr>
          <w:lang w:val="lv-LV"/>
        </w:rPr>
        <w:t xml:space="preserve"> Savukārt, internetbankas pakalpojumus izmanto 78</w:t>
      </w:r>
      <w:r w:rsidRPr="00855036" w:rsidR="00851B9A">
        <w:rPr>
          <w:lang w:val="lv-LV"/>
        </w:rPr>
        <w:t> </w:t>
      </w:r>
      <w:r w:rsidRPr="00855036">
        <w:rPr>
          <w:lang w:val="lv-LV"/>
        </w:rPr>
        <w:t>% Latvijas iedzīvotāju</w:t>
      </w:r>
      <w:r w:rsidRPr="00855036" w:rsidR="00851B9A">
        <w:rPr>
          <w:lang w:val="lv-LV"/>
        </w:rPr>
        <w:t>,</w:t>
      </w:r>
      <w:r w:rsidRPr="00855036">
        <w:rPr>
          <w:lang w:val="lv-LV"/>
        </w:rPr>
        <w:t xml:space="preserve"> un šis rezultāts ievērojami pārsniedz ES vidējo rādītāju, kas ir 59</w:t>
      </w:r>
      <w:r w:rsidRPr="00855036" w:rsidR="00851B9A">
        <w:rPr>
          <w:lang w:val="lv-LV"/>
        </w:rPr>
        <w:t> </w:t>
      </w:r>
      <w:r w:rsidRPr="00855036">
        <w:rPr>
          <w:lang w:val="lv-LV"/>
        </w:rPr>
        <w:t>%.</w:t>
      </w:r>
    </w:p>
    <w:p w:rsidR="000F32CE" w:rsidRPr="00855036" w:rsidP="00443D1F" w14:paraId="2E22645C" w14:textId="77777777">
      <w:pPr>
        <w:spacing w:after="0"/>
        <w:rPr>
          <w:rFonts w:cs="Times New Roman"/>
          <w:szCs w:val="28"/>
          <w:lang w:val="lv-LV"/>
        </w:rPr>
      </w:pPr>
    </w:p>
    <w:p w:rsidR="00C10998" w:rsidRPr="00855036" w:rsidP="00C10998" w14:paraId="7870EDF7" w14:textId="77777777">
      <w:pPr>
        <w:rPr>
          <w:rFonts w:cs="Times New Roman"/>
          <w:szCs w:val="28"/>
          <w:lang w:val="lv-LV"/>
        </w:rPr>
      </w:pPr>
      <w:r w:rsidRPr="00855036">
        <w:rPr>
          <w:rFonts w:cs="Times New Roman"/>
          <w:noProof/>
          <w:szCs w:val="28"/>
        </w:rPr>
        <w:drawing>
          <wp:inline distT="0" distB="0" distL="0" distR="0">
            <wp:extent cx="5488344" cy="4304030"/>
            <wp:effectExtent l="133350" t="114300" r="150495" b="1727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957227" name="Picture 7"/>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495930" cy="4309979"/>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r w:rsidRPr="00855036">
        <w:rPr>
          <w:rFonts w:cs="Times New Roman"/>
          <w:noProof/>
          <w:szCs w:val="28"/>
          <w:lang w:val="lv-LV"/>
        </w:rPr>
        <w:t xml:space="preserve"> </w:t>
      </w:r>
    </w:p>
    <w:p w:rsidR="00D73BD1" w:rsidRPr="00855036" w:rsidP="00E60B8C" w14:paraId="1F66270D" w14:textId="67D9CFAA">
      <w:pPr>
        <w:rPr>
          <w:lang w:val="lv-LV"/>
        </w:rPr>
      </w:pPr>
      <w:r w:rsidRPr="00855036">
        <w:rPr>
          <w:lang w:val="lv-LV"/>
        </w:rPr>
        <w:t>Attēla avots: Latvijas valsts profils, Eiropas digitālā progresa 2017.</w:t>
      </w:r>
      <w:r w:rsidRPr="00855036" w:rsidR="00334FE9">
        <w:rPr>
          <w:lang w:val="lv-LV"/>
        </w:rPr>
        <w:t> </w:t>
      </w:r>
      <w:r w:rsidRPr="00855036">
        <w:rPr>
          <w:lang w:val="lv-LV"/>
        </w:rPr>
        <w:t>gada ziņojums</w:t>
      </w:r>
      <w:r w:rsidR="00E60B8C">
        <w:rPr>
          <w:lang w:val="lv-LV"/>
        </w:rPr>
        <w:t>.</w:t>
      </w:r>
    </w:p>
    <w:p w:rsidR="007C2EE1" w:rsidRPr="00855036" w:rsidP="00990EC6" w14:paraId="48D64E82" w14:textId="77777777">
      <w:pPr>
        <w:spacing w:after="0"/>
        <w:rPr>
          <w:rFonts w:cs="Times New Roman"/>
          <w:szCs w:val="28"/>
          <w:lang w:val="lv-LV"/>
        </w:rPr>
      </w:pPr>
    </w:p>
    <w:p w:rsidR="006268CE" w:rsidRPr="00855036" w:rsidP="002934A4" w14:paraId="608EA36C" w14:textId="6D3A6907">
      <w:pPr>
        <w:pStyle w:val="Heading2"/>
        <w:rPr>
          <w:lang w:val="lv-LV"/>
        </w:rPr>
      </w:pPr>
      <w:bookmarkStart w:id="32" w:name="_Toc503516721"/>
      <w:bookmarkStart w:id="33" w:name="_Toc256000011"/>
      <w:bookmarkStart w:id="34" w:name="_Toc256000031"/>
      <w:r w:rsidRPr="00855036">
        <w:rPr>
          <w:lang w:val="lv-LV"/>
        </w:rPr>
        <w:t>P</w:t>
      </w:r>
      <w:r w:rsidRPr="00855036">
        <w:rPr>
          <w:lang w:val="lv-LV"/>
        </w:rPr>
        <w:t>riekšlikumi rīcībai DESI indeksa rādītāja “Interneta izmantojums” uzlabošanai</w:t>
      </w:r>
      <w:bookmarkEnd w:id="34"/>
      <w:bookmarkEnd w:id="33"/>
      <w:bookmarkEnd w:id="32"/>
    </w:p>
    <w:p w:rsidR="00F072AE" w:rsidRPr="00855036" w:rsidP="00F072AE" w14:paraId="5B204A0A" w14:textId="77777777">
      <w:pPr>
        <w:spacing w:after="0"/>
        <w:rPr>
          <w:rFonts w:cs="Times New Roman"/>
          <w:szCs w:val="28"/>
          <w:lang w:val="lv-LV"/>
        </w:rPr>
      </w:pPr>
    </w:p>
    <w:p w:rsidR="00F01486" w:rsidRPr="00855036" w:rsidP="00E60B8C" w14:paraId="00C53961" w14:textId="7EE6DB1B">
      <w:pPr>
        <w:rPr>
          <w:lang w:val="lv-LV"/>
        </w:rPr>
      </w:pPr>
      <w:r w:rsidRPr="00855036">
        <w:rPr>
          <w:lang w:val="lv-LV"/>
        </w:rPr>
        <w:t>VARAM</w:t>
      </w:r>
      <w:r w:rsidRPr="00855036" w:rsidR="00BD1D97">
        <w:rPr>
          <w:lang w:val="lv-LV"/>
        </w:rPr>
        <w:t xml:space="preserve"> ieskatā daudz aktīvāk </w:t>
      </w:r>
      <w:r w:rsidRPr="00855036" w:rsidR="00295493">
        <w:rPr>
          <w:lang w:val="lv-LV"/>
        </w:rPr>
        <w:t xml:space="preserve">ir </w:t>
      </w:r>
      <w:r w:rsidRPr="00855036" w:rsidR="00BD1D97">
        <w:rPr>
          <w:lang w:val="lv-LV"/>
        </w:rPr>
        <w:t xml:space="preserve">jāveic sabiedrības informēšanas pasākumi par digitālās vides izmantošanas iespējām. </w:t>
      </w:r>
      <w:r w:rsidRPr="00855036" w:rsidR="00851B9A">
        <w:rPr>
          <w:lang w:val="lv-LV"/>
        </w:rPr>
        <w:t xml:space="preserve">VARAM </w:t>
      </w:r>
      <w:r w:rsidRPr="00855036" w:rsidR="00FF6CC7">
        <w:rPr>
          <w:lang w:val="lv-LV"/>
        </w:rPr>
        <w:t>2014.-2020.</w:t>
      </w:r>
      <w:r w:rsidRPr="00855036" w:rsidR="00851B9A">
        <w:rPr>
          <w:lang w:val="lv-LV"/>
        </w:rPr>
        <w:t> </w:t>
      </w:r>
      <w:r w:rsidRPr="00855036" w:rsidR="00FF6CC7">
        <w:rPr>
          <w:lang w:val="lv-LV"/>
        </w:rPr>
        <w:t>gada periodā</w:t>
      </w:r>
      <w:r w:rsidRPr="00855036" w:rsidR="00295493">
        <w:rPr>
          <w:lang w:val="lv-LV"/>
        </w:rPr>
        <w:t xml:space="preserve"> </w:t>
      </w:r>
      <w:r w:rsidRPr="00855036" w:rsidR="006E56E8">
        <w:rPr>
          <w:lang w:val="lv-LV"/>
        </w:rPr>
        <w:t>plāno realizēt</w:t>
      </w:r>
      <w:r w:rsidRPr="00855036">
        <w:rPr>
          <w:lang w:val="lv-LV"/>
        </w:rPr>
        <w:t xml:space="preserve"> IKT iespēju izmantošanas veicināšanas pasākumu aktivitātes, lai attīstītu sabiedrības spējas un ieinteresētību efektīvi izmantot </w:t>
      </w:r>
      <w:r w:rsidRPr="00855036" w:rsidR="00FF6CC7">
        <w:rPr>
          <w:lang w:val="lv-LV"/>
        </w:rPr>
        <w:t>pieejamos risinājumus. To ietvarā tiks popularizēti digitālās vides radītie risinājumi</w:t>
      </w:r>
      <w:r w:rsidRPr="00855036">
        <w:rPr>
          <w:lang w:val="lv-LV"/>
        </w:rPr>
        <w:t xml:space="preserve"> un to priekšrocības, </w:t>
      </w:r>
      <w:r w:rsidRPr="00855036" w:rsidR="00FF6CC7">
        <w:rPr>
          <w:lang w:val="lv-LV"/>
        </w:rPr>
        <w:t>sabiedrība tiks informēta</w:t>
      </w:r>
      <w:r w:rsidRPr="00855036">
        <w:rPr>
          <w:lang w:val="lv-LV"/>
        </w:rPr>
        <w:t xml:space="preserve"> par valsts e-iespējām, </w:t>
      </w:r>
      <w:r w:rsidRPr="00855036" w:rsidR="00FF6CC7">
        <w:rPr>
          <w:lang w:val="lv-LV"/>
        </w:rPr>
        <w:t>publiskās pārvaldes darbinieki</w:t>
      </w:r>
      <w:r w:rsidRPr="00855036">
        <w:rPr>
          <w:lang w:val="lv-LV"/>
        </w:rPr>
        <w:t xml:space="preserve"> </w:t>
      </w:r>
      <w:r w:rsidRPr="00855036" w:rsidR="00FF6CC7">
        <w:rPr>
          <w:lang w:val="lv-LV"/>
        </w:rPr>
        <w:t xml:space="preserve">tiks apmācīti </w:t>
      </w:r>
      <w:r w:rsidRPr="00855036">
        <w:rPr>
          <w:lang w:val="lv-LV"/>
        </w:rPr>
        <w:t xml:space="preserve">sniegt sabiedrībai konsultācijas par digitālās vides izmantošanas aspektiem, </w:t>
      </w:r>
      <w:r w:rsidRPr="00855036" w:rsidR="00FF6CC7">
        <w:rPr>
          <w:lang w:val="lv-LV"/>
        </w:rPr>
        <w:t>tiks</w:t>
      </w:r>
      <w:r w:rsidRPr="00855036">
        <w:rPr>
          <w:lang w:val="lv-LV"/>
        </w:rPr>
        <w:t xml:space="preserve"> izstrādā</w:t>
      </w:r>
      <w:r w:rsidRPr="00855036" w:rsidR="00FF6CC7">
        <w:rPr>
          <w:lang w:val="lv-LV"/>
        </w:rPr>
        <w:t xml:space="preserve">ti </w:t>
      </w:r>
      <w:r w:rsidRPr="00855036" w:rsidR="0082493B">
        <w:rPr>
          <w:lang w:val="lv-LV"/>
        </w:rPr>
        <w:t xml:space="preserve">informatīvie un </w:t>
      </w:r>
      <w:r w:rsidRPr="00855036" w:rsidR="00FF6CC7">
        <w:rPr>
          <w:lang w:val="lv-LV"/>
        </w:rPr>
        <w:t>apmācību materiāli</w:t>
      </w:r>
      <w:r w:rsidRPr="00855036">
        <w:rPr>
          <w:lang w:val="lv-LV"/>
        </w:rPr>
        <w:t xml:space="preserve"> un prog</w:t>
      </w:r>
      <w:r w:rsidRPr="00855036" w:rsidR="0082493B">
        <w:rPr>
          <w:lang w:val="lv-LV"/>
        </w:rPr>
        <w:t>rammas par e-pārvaldības rīkiem</w:t>
      </w:r>
      <w:r w:rsidRPr="00855036">
        <w:rPr>
          <w:lang w:val="lv-LV"/>
        </w:rPr>
        <w:t>. Minēto pasākumu rezultātā tiks veicināta iedzīvotāju interese par e-pakalpojumiem, uzlabosies izpratne par drošu e-identifikāciju,</w:t>
      </w:r>
      <w:r w:rsidRPr="00855036" w:rsidR="00DD05F1">
        <w:rPr>
          <w:lang w:val="lv-LV"/>
        </w:rPr>
        <w:t xml:space="preserve"> drošu darbošanos digitālajā vidē, </w:t>
      </w:r>
      <w:r w:rsidRPr="00855036">
        <w:rPr>
          <w:lang w:val="lv-LV"/>
        </w:rPr>
        <w:t>sabiedrība tiks informēta par valsts pā</w:t>
      </w:r>
      <w:r w:rsidRPr="00855036" w:rsidR="007909C1">
        <w:rPr>
          <w:lang w:val="lv-LV"/>
        </w:rPr>
        <w:t xml:space="preserve">rvaldes piedāvātajām e-iespējām, tiks veicināta informācijas </w:t>
      </w:r>
      <w:r w:rsidRPr="00855036" w:rsidR="00A35C9F">
        <w:rPr>
          <w:lang w:val="lv-LV"/>
        </w:rPr>
        <w:t>aprite,</w:t>
      </w:r>
      <w:r w:rsidRPr="00855036" w:rsidR="007909C1">
        <w:rPr>
          <w:lang w:val="lv-LV"/>
        </w:rPr>
        <w:t xml:space="preserve"> </w:t>
      </w:r>
      <w:r w:rsidRPr="00855036" w:rsidR="00A35C9F">
        <w:rPr>
          <w:lang w:val="lv-LV"/>
        </w:rPr>
        <w:t>izmantojot drošas elektroniskās piegādes vides priekšrocības</w:t>
      </w:r>
      <w:r w:rsidRPr="00855036" w:rsidR="007909C1">
        <w:rPr>
          <w:lang w:val="lv-LV"/>
        </w:rPr>
        <w:t>.</w:t>
      </w:r>
    </w:p>
    <w:p w:rsidR="00A92A18" w:rsidRPr="00855036" w:rsidP="00990EC6" w14:paraId="2936E640" w14:textId="77777777">
      <w:pPr>
        <w:spacing w:after="0"/>
        <w:rPr>
          <w:rFonts w:cs="Times New Roman"/>
          <w:b/>
          <w:szCs w:val="28"/>
          <w:lang w:val="lv-LV"/>
        </w:rPr>
      </w:pPr>
    </w:p>
    <w:p w:rsidR="007C126F" w:rsidRPr="002934A4" w:rsidP="002934A4" w14:paraId="3A2BFEF1" w14:textId="1ED78B81">
      <w:pPr>
        <w:pStyle w:val="Heading2"/>
        <w:numPr>
          <w:ilvl w:val="1"/>
          <w:numId w:val="33"/>
        </w:numPr>
        <w:rPr>
          <w:lang w:val="lv-LV"/>
        </w:rPr>
      </w:pPr>
      <w:bookmarkStart w:id="35" w:name="_Toc503516722"/>
      <w:bookmarkStart w:id="36" w:name="_Toc256000012"/>
      <w:bookmarkStart w:id="37" w:name="_Toc256000032"/>
      <w:r w:rsidRPr="002934A4">
        <w:rPr>
          <w:lang w:val="lv-LV"/>
        </w:rPr>
        <w:t xml:space="preserve">Latvijas sniegums </w:t>
      </w:r>
      <w:r w:rsidRPr="002934A4" w:rsidR="004B4FBE">
        <w:rPr>
          <w:lang w:val="lv-LV"/>
        </w:rPr>
        <w:t xml:space="preserve">DESI </w:t>
      </w:r>
      <w:r w:rsidRPr="002934A4">
        <w:rPr>
          <w:lang w:val="lv-LV"/>
        </w:rPr>
        <w:t>indeks</w:t>
      </w:r>
      <w:r w:rsidRPr="002934A4" w:rsidR="004B4FBE">
        <w:rPr>
          <w:lang w:val="lv-LV"/>
        </w:rPr>
        <w:t>a rādītājā</w:t>
      </w:r>
      <w:r w:rsidRPr="002934A4">
        <w:rPr>
          <w:lang w:val="lv-LV"/>
        </w:rPr>
        <w:t xml:space="preserve"> </w:t>
      </w:r>
      <w:r w:rsidRPr="002934A4" w:rsidR="007E5D5F">
        <w:rPr>
          <w:lang w:val="lv-LV"/>
        </w:rPr>
        <w:t>“C</w:t>
      </w:r>
      <w:r w:rsidRPr="002934A4">
        <w:rPr>
          <w:lang w:val="lv-LV"/>
        </w:rPr>
        <w:t>iparu tehnoloģiju integrācija</w:t>
      </w:r>
      <w:r w:rsidRPr="002934A4" w:rsidR="00DA0C64">
        <w:rPr>
          <w:lang w:val="lv-LV"/>
        </w:rPr>
        <w:t>”</w:t>
      </w:r>
      <w:bookmarkEnd w:id="37"/>
      <w:bookmarkEnd w:id="36"/>
      <w:bookmarkEnd w:id="35"/>
    </w:p>
    <w:p w:rsidR="00A92A18" w:rsidRPr="00855036" w:rsidP="00D73BD1" w14:paraId="44E032CA" w14:textId="77777777">
      <w:pPr>
        <w:keepNext/>
        <w:spacing w:after="0"/>
        <w:rPr>
          <w:rFonts w:cs="Times New Roman"/>
          <w:szCs w:val="28"/>
          <w:lang w:val="lv-LV"/>
        </w:rPr>
      </w:pPr>
    </w:p>
    <w:p w:rsidR="001C31D3" w:rsidRPr="00855036" w:rsidP="00D17886" w14:paraId="68093943" w14:textId="36E0C9C8">
      <w:pPr>
        <w:rPr>
          <w:lang w:val="lv-LV"/>
        </w:rPr>
      </w:pPr>
      <w:r w:rsidRPr="00855036">
        <w:rPr>
          <w:lang w:val="lv-LV"/>
        </w:rPr>
        <w:t>Indeksa “Ciparu tehnoloģiju integrācija” ietvaros tiek vērtēta uzņēmējdarbības digitalizācija</w:t>
      </w:r>
      <w:r w:rsidRPr="00855036" w:rsidR="00547705">
        <w:rPr>
          <w:lang w:val="lv-LV"/>
        </w:rPr>
        <w:t>, tā svars novērtējumā ir 20</w:t>
      </w:r>
      <w:r w:rsidRPr="00855036" w:rsidR="00851B9A">
        <w:rPr>
          <w:lang w:val="lv-LV"/>
        </w:rPr>
        <w:t> </w:t>
      </w:r>
      <w:r w:rsidRPr="00855036" w:rsidR="00547705">
        <w:rPr>
          <w:lang w:val="lv-LV"/>
        </w:rPr>
        <w:t xml:space="preserve">%. </w:t>
      </w:r>
      <w:r w:rsidRPr="00855036" w:rsidR="004B4FBE">
        <w:rPr>
          <w:lang w:val="lv-LV"/>
        </w:rPr>
        <w:t>DESI i</w:t>
      </w:r>
      <w:r w:rsidRPr="00855036" w:rsidR="00D73BD1">
        <w:rPr>
          <w:lang w:val="lv-LV"/>
        </w:rPr>
        <w:t xml:space="preserve">ndeksa </w:t>
      </w:r>
      <w:r w:rsidRPr="00855036" w:rsidR="004B4FBE">
        <w:rPr>
          <w:lang w:val="lv-LV"/>
        </w:rPr>
        <w:t xml:space="preserve">rādītāja </w:t>
      </w:r>
      <w:r w:rsidRPr="00855036" w:rsidR="00D73BD1">
        <w:rPr>
          <w:lang w:val="lv-LV"/>
        </w:rPr>
        <w:t xml:space="preserve">“Ciparu tehnoloģiju integrācija” </w:t>
      </w:r>
      <w:r w:rsidRPr="00855036">
        <w:rPr>
          <w:lang w:val="lv-LV"/>
        </w:rPr>
        <w:t xml:space="preserve">novērtējuma komponentes attiecas uz </w:t>
      </w:r>
      <w:r w:rsidRPr="00855036" w:rsidR="00D73BD1">
        <w:rPr>
          <w:lang w:val="lv-LV"/>
        </w:rPr>
        <w:t>komercdarbības attīstības</w:t>
      </w:r>
      <w:r w:rsidRPr="00855036">
        <w:rPr>
          <w:lang w:val="lv-LV"/>
        </w:rPr>
        <w:t xml:space="preserve"> politikas jomu, par kuru ir atbildīga </w:t>
      </w:r>
      <w:r w:rsidRPr="00855036" w:rsidR="00D73BD1">
        <w:rPr>
          <w:lang w:val="lv-LV"/>
        </w:rPr>
        <w:t>Ekonomikas</w:t>
      </w:r>
      <w:r w:rsidRPr="00855036">
        <w:rPr>
          <w:lang w:val="lv-LV"/>
        </w:rPr>
        <w:t xml:space="preserve"> ministrija.</w:t>
      </w:r>
    </w:p>
    <w:p w:rsidR="00D73BD1" w:rsidRPr="00855036" w:rsidP="00D73BD1" w14:paraId="44E69CED" w14:textId="77777777">
      <w:pPr>
        <w:spacing w:after="0"/>
        <w:rPr>
          <w:rFonts w:cs="Times New Roman"/>
          <w:b/>
          <w:i/>
          <w:szCs w:val="28"/>
          <w:lang w:val="lv-LV"/>
        </w:rPr>
      </w:pPr>
      <w:r w:rsidRPr="00855036">
        <w:rPr>
          <w:rFonts w:cs="Times New Roman"/>
          <w:b/>
          <w:i/>
          <w:noProof/>
          <w:szCs w:val="28"/>
        </w:rPr>
        <w:drawing>
          <wp:inline distT="0" distB="0" distL="0" distR="0">
            <wp:extent cx="5292970" cy="3541267"/>
            <wp:effectExtent l="114300" t="114300" r="155575" b="1549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6517928" name="Picture 9"/>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99528" cy="3545655"/>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p>
    <w:p w:rsidR="00D73BD1" w:rsidRPr="00855036" w:rsidP="00D17886" w14:paraId="5E1F04EA" w14:textId="261EC8E6">
      <w:pPr>
        <w:rPr>
          <w:lang w:val="lv-LV"/>
        </w:rPr>
      </w:pPr>
      <w:r w:rsidRPr="00855036">
        <w:rPr>
          <w:lang w:val="lv-LV"/>
        </w:rPr>
        <w:t>Attēla avots: Latvijas valsts profils, Eiropas digitālā progresa 2017.</w:t>
      </w:r>
      <w:r w:rsidRPr="00855036" w:rsidR="004B4FBE">
        <w:rPr>
          <w:lang w:val="lv-LV"/>
        </w:rPr>
        <w:t> </w:t>
      </w:r>
      <w:r w:rsidRPr="00855036">
        <w:rPr>
          <w:lang w:val="lv-LV"/>
        </w:rPr>
        <w:t>gada ziņojums</w:t>
      </w:r>
      <w:r w:rsidR="00926D90">
        <w:rPr>
          <w:lang w:val="lv-LV"/>
        </w:rPr>
        <w:t>.</w:t>
      </w:r>
    </w:p>
    <w:p w:rsidR="00D73BD1" w:rsidRPr="00855036" w:rsidP="00D17886" w14:paraId="670C7686" w14:textId="77777777">
      <w:pPr>
        <w:rPr>
          <w:b/>
          <w:i/>
          <w:lang w:val="lv-LV"/>
        </w:rPr>
      </w:pPr>
    </w:p>
    <w:p w:rsidR="00F25CEC" w:rsidRPr="00855036" w:rsidP="00D17886" w14:paraId="642BD3A3" w14:textId="6BA5FD0A">
      <w:pPr>
        <w:rPr>
          <w:lang w:val="lv-LV"/>
        </w:rPr>
      </w:pPr>
      <w:r w:rsidRPr="00855036">
        <w:rPr>
          <w:lang w:val="lv-LV"/>
        </w:rPr>
        <w:t xml:space="preserve">DESI </w:t>
      </w:r>
      <w:r w:rsidRPr="00855036" w:rsidR="00107522">
        <w:rPr>
          <w:lang w:val="lv-LV"/>
        </w:rPr>
        <w:t xml:space="preserve">indeksa </w:t>
      </w:r>
      <w:r w:rsidRPr="00855036">
        <w:rPr>
          <w:lang w:val="lv-LV"/>
        </w:rPr>
        <w:t>2017.</w:t>
      </w:r>
      <w:r w:rsidRPr="00855036" w:rsidR="00107522">
        <w:rPr>
          <w:lang w:val="lv-LV"/>
        </w:rPr>
        <w:t> </w:t>
      </w:r>
      <w:r w:rsidRPr="00855036">
        <w:rPr>
          <w:lang w:val="lv-LV"/>
        </w:rPr>
        <w:t>gada novērtējumā secināts, ka v</w:t>
      </w:r>
      <w:r w:rsidRPr="00855036" w:rsidR="009F2E8E">
        <w:rPr>
          <w:lang w:val="lv-LV"/>
        </w:rPr>
        <w:t>isvājākais progress Latvijai novērojams uzņēmējdarbības digitalizācijas un e-komercijas jomās.</w:t>
      </w:r>
      <w:r w:rsidRPr="00855036">
        <w:rPr>
          <w:lang w:val="lv-LV"/>
        </w:rPr>
        <w:t xml:space="preserve"> N</w:t>
      </w:r>
      <w:r w:rsidRPr="00855036" w:rsidR="009F2E8E">
        <w:rPr>
          <w:lang w:val="lv-LV"/>
        </w:rPr>
        <w:t>eskatoties uz faktu, ka 55</w:t>
      </w:r>
      <w:r w:rsidRPr="00855036" w:rsidR="00107522">
        <w:rPr>
          <w:lang w:val="lv-LV"/>
        </w:rPr>
        <w:t> </w:t>
      </w:r>
      <w:r w:rsidRPr="00855036" w:rsidR="009F2E8E">
        <w:rPr>
          <w:lang w:val="lv-LV"/>
        </w:rPr>
        <w:t>% Latvijas iedzīvotāj</w:t>
      </w:r>
      <w:r w:rsidRPr="00855036" w:rsidR="00107522">
        <w:rPr>
          <w:lang w:val="lv-LV"/>
        </w:rPr>
        <w:t>u</w:t>
      </w:r>
      <w:r w:rsidRPr="00855036" w:rsidR="009F2E8E">
        <w:rPr>
          <w:lang w:val="lv-LV"/>
        </w:rPr>
        <w:t xml:space="preserve"> arvien vairāk izmantot e-komercijas pakalpojumus, mazie un vidējie uzņēmumi e-komercijas kanālus, lai pārdotu savu preci un sniegtu pakalpojumus, izmanto maz – tikai 8</w:t>
      </w:r>
      <w:r w:rsidRPr="00855036" w:rsidR="00107522">
        <w:rPr>
          <w:lang w:val="lv-LV"/>
        </w:rPr>
        <w:t> </w:t>
      </w:r>
      <w:r w:rsidRPr="00855036" w:rsidR="009F2E8E">
        <w:rPr>
          <w:lang w:val="lv-LV"/>
        </w:rPr>
        <w:t>%. </w:t>
      </w:r>
      <w:r w:rsidRPr="00855036">
        <w:rPr>
          <w:lang w:val="lv-LV"/>
        </w:rPr>
        <w:t xml:space="preserve"> Taču tie uzņēmumi, kuri izmanto e-komercijas piedāvātās iespējas, no pārdošanas tiešsaistē panāk ievērojamu apgrozījumu.</w:t>
      </w:r>
    </w:p>
    <w:p w:rsidR="009F2E8E" w:rsidRPr="00855036" w:rsidP="00D17886" w14:paraId="0062EFB5" w14:textId="77777777">
      <w:pPr>
        <w:rPr>
          <w:b/>
          <w:i/>
          <w:lang w:val="lv-LV"/>
        </w:rPr>
      </w:pPr>
    </w:p>
    <w:p w:rsidR="007E5D5F" w:rsidRPr="00855036" w:rsidP="00D17886" w14:paraId="6E929DE9" w14:textId="5A2E278B">
      <w:pPr>
        <w:rPr>
          <w:lang w:val="lv-LV"/>
        </w:rPr>
      </w:pPr>
      <w:r w:rsidRPr="00855036">
        <w:rPr>
          <w:lang w:val="lv-LV"/>
        </w:rPr>
        <w:t>Digitālās tehnoloģijas integrācijas z</w:t>
      </w:r>
      <w:r w:rsidRPr="00855036" w:rsidR="00A92A18">
        <w:rPr>
          <w:lang w:val="lv-LV"/>
        </w:rPr>
        <w:t>iņā uzņēmumos Latvija ieņem 25. </w:t>
      </w:r>
      <w:r w:rsidRPr="00855036">
        <w:rPr>
          <w:lang w:val="lv-LV"/>
        </w:rPr>
        <w:t>vie</w:t>
      </w:r>
      <w:r w:rsidRPr="00855036" w:rsidR="00A92A18">
        <w:rPr>
          <w:lang w:val="lv-LV"/>
        </w:rPr>
        <w:t>tu, kas ir labāk nekā pērn (26. </w:t>
      </w:r>
      <w:r w:rsidRPr="00855036">
        <w:rPr>
          <w:lang w:val="lv-LV"/>
        </w:rPr>
        <w:t xml:space="preserve">vieta), taču netuvojas ES vidējam apmēram. Tādu uzņēmumu īpatsvars, kuri iegādājas vismaz vienu no šādiem pakalpojumiem: mākoņskaitļošana, datubāzu </w:t>
      </w:r>
      <w:r w:rsidRPr="00855036" w:rsidR="00A92A18">
        <w:rPr>
          <w:lang w:val="lv-LV"/>
        </w:rPr>
        <w:t>iz</w:t>
      </w:r>
      <w:r w:rsidRPr="00855036">
        <w:rPr>
          <w:lang w:val="lv-LV"/>
        </w:rPr>
        <w:t>mitināšana, grāmatvedīb</w:t>
      </w:r>
      <w:r w:rsidRPr="00855036" w:rsidR="00A92A18">
        <w:rPr>
          <w:lang w:val="lv-LV"/>
        </w:rPr>
        <w:t>as lietotnes u</w:t>
      </w:r>
      <w:r w:rsidRPr="00855036" w:rsidR="00107522">
        <w:rPr>
          <w:lang w:val="lv-LV"/>
        </w:rPr>
        <w:t>n tamlīdzīgi pakalpojumi</w:t>
      </w:r>
      <w:r w:rsidRPr="00855036" w:rsidR="00A92A18">
        <w:rPr>
          <w:lang w:val="lv-LV"/>
        </w:rPr>
        <w:t>., saglabājas 6 </w:t>
      </w:r>
      <w:r w:rsidRPr="00855036">
        <w:rPr>
          <w:lang w:val="lv-LV"/>
        </w:rPr>
        <w:t xml:space="preserve">% līmenī. Neraugoties uz </w:t>
      </w:r>
      <w:r w:rsidRPr="00855036" w:rsidR="00107522">
        <w:rPr>
          <w:lang w:val="lv-LV"/>
        </w:rPr>
        <w:t xml:space="preserve">Latvijas </w:t>
      </w:r>
      <w:r w:rsidRPr="00855036">
        <w:rPr>
          <w:lang w:val="lv-LV"/>
        </w:rPr>
        <w:t xml:space="preserve">iedzīvotāju augošo interesi par e-komerciju, ļoti maz </w:t>
      </w:r>
      <w:r w:rsidRPr="00855036" w:rsidR="00436B73">
        <w:rPr>
          <w:lang w:val="lv-LV"/>
        </w:rPr>
        <w:t>mazo un vidējo uzņēmumu (turpmāk – MVU)</w:t>
      </w:r>
      <w:r w:rsidRPr="00855036">
        <w:rPr>
          <w:lang w:val="lv-LV"/>
        </w:rPr>
        <w:t xml:space="preserve"> izmanto elektronisk</w:t>
      </w:r>
      <w:r w:rsidRPr="00855036" w:rsidR="00A92A18">
        <w:rPr>
          <w:lang w:val="lv-LV"/>
        </w:rPr>
        <w:t>os pārdošanas kanālus — tikai 8 </w:t>
      </w:r>
      <w:r w:rsidRPr="00855036">
        <w:rPr>
          <w:lang w:val="lv-LV"/>
        </w:rPr>
        <w:t>% MVU nodarbojas ar tiešsaistes pārdošanu. Tomēr to uzņēmumu apgrozījumā, kuri nodarbojas ar e-komerciju, tiešsaistes tirdzniecība</w:t>
      </w:r>
      <w:r w:rsidRPr="00855036" w:rsidR="00A92A18">
        <w:rPr>
          <w:lang w:val="lv-LV"/>
        </w:rPr>
        <w:t>s īpatsvars ir ievērojams — 8,2 </w:t>
      </w:r>
      <w:r w:rsidRPr="00855036">
        <w:rPr>
          <w:lang w:val="lv-LV"/>
        </w:rPr>
        <w:t>%, t</w:t>
      </w:r>
      <w:r w:rsidRPr="00855036" w:rsidR="00A92A18">
        <w:rPr>
          <w:lang w:val="lv-LV"/>
        </w:rPr>
        <w:t>aču ES vidējā vērtība ir 9,4 </w:t>
      </w:r>
      <w:r w:rsidRPr="00855036">
        <w:rPr>
          <w:lang w:val="lv-LV"/>
        </w:rPr>
        <w:t xml:space="preserve">%. Latvija nav izstrādājusi vispārēju stratēģiju uzņēmumu digitalizācijai. Tomēr tiek īstenoti vairāki pasākumi digitālās uzņēmējdarbības atbalstīšanai, un Latvija ir sasniegusi samērā labus rezultātus </w:t>
      </w:r>
      <w:r w:rsidRPr="00855036" w:rsidR="00A92A18">
        <w:rPr>
          <w:lang w:val="lv-LV"/>
        </w:rPr>
        <w:t>IKT jaunuzņēmumu darbības jomā</w:t>
      </w:r>
      <w:r w:rsidRPr="00855036">
        <w:rPr>
          <w:lang w:val="lv-LV"/>
        </w:rPr>
        <w:t>. Latvijas valdības mērķis ir pārstrukturēt valsts ekonomiku, izmantojot tehnoloģijas, lai uzlabotu uzņēmumus, — gan modernizējot tradicionālos uzņēmumus, gan veicinot digitālo uzņēmējdarbību. Valdība plāno piešķirt inovācijas kuponus, kas nodroš</w:t>
      </w:r>
      <w:r w:rsidRPr="00855036" w:rsidR="00A92A18">
        <w:rPr>
          <w:lang w:val="lv-LV"/>
        </w:rPr>
        <w:t>inātu valsts līdzfinansējumu 60 </w:t>
      </w:r>
      <w:r w:rsidRPr="00855036">
        <w:rPr>
          <w:lang w:val="lv-LV"/>
        </w:rPr>
        <w:t>% apmērā pētniecībai un attīstībai, kā arī ražojumu izmēģināšanai.</w:t>
      </w:r>
    </w:p>
    <w:p w:rsidR="009D2D59" w:rsidRPr="00855036" w:rsidP="002934A4" w14:paraId="09C0E577" w14:textId="77777777">
      <w:pPr>
        <w:pStyle w:val="Heading2"/>
        <w:rPr>
          <w:lang w:val="lv-LV"/>
        </w:rPr>
      </w:pPr>
    </w:p>
    <w:p w:rsidR="009D2D59" w:rsidRPr="00855036" w:rsidP="002934A4" w14:paraId="482FC4CC" w14:textId="21402906">
      <w:pPr>
        <w:pStyle w:val="Heading2"/>
        <w:rPr>
          <w:lang w:val="lv-LV"/>
        </w:rPr>
      </w:pPr>
      <w:bookmarkStart w:id="38" w:name="_Toc503516723"/>
      <w:bookmarkStart w:id="39" w:name="_Toc256000014"/>
      <w:bookmarkStart w:id="40" w:name="_Toc256000034"/>
      <w:r w:rsidRPr="00855036">
        <w:rPr>
          <w:lang w:val="lv-LV"/>
        </w:rPr>
        <w:t xml:space="preserve">Institūciju sniegtie priekšlikumi DESI indeksa rādītāja </w:t>
      </w:r>
      <w:r w:rsidRPr="00855036">
        <w:rPr>
          <w:lang w:val="lv-LV"/>
        </w:rPr>
        <w:t>“Ciparu tehno</w:t>
      </w:r>
      <w:r w:rsidRPr="00855036" w:rsidR="00DA0C64">
        <w:rPr>
          <w:lang w:val="lv-LV"/>
        </w:rPr>
        <w:t>loģiju integrācija” uzlabošanai</w:t>
      </w:r>
      <w:bookmarkEnd w:id="40"/>
      <w:bookmarkEnd w:id="39"/>
      <w:bookmarkEnd w:id="38"/>
    </w:p>
    <w:p w:rsidR="009D2D59" w:rsidRPr="00855036" w:rsidP="00DA0C64" w14:paraId="6B9D9348" w14:textId="77777777">
      <w:pPr>
        <w:spacing w:after="0"/>
        <w:jc w:val="center"/>
        <w:rPr>
          <w:rFonts w:cs="Times New Roman"/>
          <w:b/>
          <w:szCs w:val="28"/>
          <w:lang w:val="lv-LV"/>
        </w:rPr>
      </w:pPr>
    </w:p>
    <w:p w:rsidR="00204037" w:rsidRPr="00855036" w:rsidP="00934EB6" w14:paraId="172834CF" w14:textId="64E145E4">
      <w:pPr>
        <w:rPr>
          <w:lang w:val="lv-LV"/>
        </w:rPr>
      </w:pPr>
      <w:r w:rsidRPr="00855036">
        <w:rPr>
          <w:b/>
          <w:lang w:val="lv-LV"/>
        </w:rPr>
        <w:t>Ārlietu ministrija</w:t>
      </w:r>
      <w:r w:rsidRPr="00855036">
        <w:rPr>
          <w:lang w:val="lv-LV"/>
        </w:rPr>
        <w:t xml:space="preserve"> ir norādījusi par nepieciešamību nodrošināt savlaicīgu un pamatotu Latvijas interešu definēšanu un argumentācijas attīstīšanu par IKT infrastruktūras turpmākās attīstības vajadzībām Latvijai sarunu par ES Daudzgadu budžeta satvaru pēc 2020. gada kontekstā </w:t>
      </w:r>
      <w:r w:rsidRPr="00855036" w:rsidR="0050702C">
        <w:rPr>
          <w:lang w:val="lv-LV"/>
        </w:rPr>
        <w:t xml:space="preserve">Tāpat Ārlietu </w:t>
      </w:r>
      <w:r w:rsidRPr="00855036" w:rsidR="00F54FC0">
        <w:rPr>
          <w:lang w:val="lv-LV"/>
        </w:rPr>
        <w:t>ministrija</w:t>
      </w:r>
      <w:r w:rsidRPr="00855036" w:rsidR="0050702C">
        <w:rPr>
          <w:lang w:val="lv-LV"/>
        </w:rPr>
        <w:t xml:space="preserve"> ir aicinājusi turpināt attīstīt pieprasījumu nacionālā līmenī nodrošināt mērķtiecīgus ieguldījumus, t.sk. izmantojot ES finansējumu, lai veicinātu informācijas tehnoloģiju izmantošanu mazajos un vidējos uzņēmumos, tādejādi attīstot e-komerciju. </w:t>
      </w:r>
    </w:p>
    <w:p w:rsidR="009D2D59" w:rsidRPr="00855036" w:rsidP="00934EB6" w14:paraId="7C7EA237" w14:textId="74997E11">
      <w:pPr>
        <w:rPr>
          <w:lang w:val="lv-LV"/>
        </w:rPr>
      </w:pPr>
      <w:r w:rsidRPr="00855036">
        <w:rPr>
          <w:b/>
          <w:lang w:val="lv-LV"/>
        </w:rPr>
        <w:t>Aizsardzības ministrija</w:t>
      </w:r>
      <w:r w:rsidRPr="00855036">
        <w:rPr>
          <w:lang w:val="lv-LV"/>
        </w:rPr>
        <w:t xml:space="preserve"> </w:t>
      </w:r>
      <w:r w:rsidRPr="00855036" w:rsidR="00C5701A">
        <w:rPr>
          <w:lang w:val="lv-LV"/>
        </w:rPr>
        <w:t>uzskata par</w:t>
      </w:r>
      <w:r w:rsidRPr="00855036">
        <w:rPr>
          <w:lang w:val="lv-LV"/>
        </w:rPr>
        <w:t xml:space="preserve"> lietder</w:t>
      </w:r>
      <w:r w:rsidRPr="00855036" w:rsidR="00C5701A">
        <w:rPr>
          <w:lang w:val="lv-LV"/>
        </w:rPr>
        <w:t>īgu</w:t>
      </w:r>
      <w:r w:rsidRPr="00855036">
        <w:rPr>
          <w:lang w:val="lv-LV"/>
        </w:rPr>
        <w:t xml:space="preserve"> </w:t>
      </w:r>
      <w:r w:rsidRPr="00855036">
        <w:rPr>
          <w:lang w:val="lv-LV"/>
        </w:rPr>
        <w:t>veikt aptauju, lai noskaidrotu, kuru ciparu tehnoloģiju integrācija no DESI ind</w:t>
      </w:r>
      <w:r w:rsidRPr="00855036" w:rsidR="009C7AFB">
        <w:rPr>
          <w:lang w:val="lv-LV"/>
        </w:rPr>
        <w:t>eksā</w:t>
      </w:r>
      <w:r w:rsidRPr="00855036">
        <w:rPr>
          <w:lang w:val="lv-LV"/>
        </w:rPr>
        <w:t xml:space="preserve"> norādītajām tehnoloģijām ir sagādājusi lielākos sarežģījumus, lai izvērtētu tālākās rīcības iespējas ciparu tehnoloģiju integrācijā uzņēmējdarbībā.</w:t>
      </w:r>
    </w:p>
    <w:p w:rsidR="008102F1" w:rsidRPr="00855036" w:rsidP="00934EB6" w14:paraId="212220F4" w14:textId="271848D7">
      <w:pPr>
        <w:rPr>
          <w:lang w:val="lv-LV"/>
        </w:rPr>
      </w:pPr>
      <w:r w:rsidRPr="00855036">
        <w:rPr>
          <w:b/>
          <w:lang w:val="lv-LV"/>
        </w:rPr>
        <w:t>Finanšu ministrijas</w:t>
      </w:r>
      <w:r w:rsidRPr="00855036">
        <w:rPr>
          <w:lang w:val="lv-LV"/>
        </w:rPr>
        <w:t xml:space="preserve"> ieskatā n</w:t>
      </w:r>
      <w:r w:rsidRPr="00855036" w:rsidR="00226B3B">
        <w:rPr>
          <w:lang w:val="lv-LV"/>
        </w:rPr>
        <w:t>av iespējams</w:t>
      </w:r>
      <w:r w:rsidRPr="00855036">
        <w:rPr>
          <w:lang w:val="lv-LV"/>
        </w:rPr>
        <w:t xml:space="preserve"> izvērtēt digitālo tehnoloģiju integrētības rādītāja atbilstību reālajai situācijai, taču skatoties pēc būtības, </w:t>
      </w:r>
      <w:r w:rsidRPr="00855036" w:rsidR="00226B3B">
        <w:rPr>
          <w:lang w:val="lv-LV"/>
        </w:rPr>
        <w:t xml:space="preserve">uzskata, ka </w:t>
      </w:r>
      <w:r w:rsidRPr="00855036">
        <w:rPr>
          <w:lang w:val="lv-LV"/>
        </w:rPr>
        <w:t xml:space="preserve">zemi rādītāji šajā kategorijā paši par sevi neliecina par kaut ko sliktu, jo vienlaikus Latvijai ir ļoti labi rādītāji IKT tehnoloģiju pieejamības ziņā, kas nozīmē, ka uzņēmumiem ir visas iespējas IKT pakalpojumus izmantot, bet </w:t>
      </w:r>
      <w:r w:rsidRPr="00855036" w:rsidR="00C74D0F">
        <w:rPr>
          <w:lang w:val="lv-LV"/>
        </w:rPr>
        <w:t>tie</w:t>
      </w:r>
      <w:r w:rsidRPr="00855036">
        <w:rPr>
          <w:lang w:val="lv-LV"/>
        </w:rPr>
        <w:t xml:space="preserve"> to kādu iemeslu dēļ nedara (nav nepieciešamības vai nav informācijas par to lietderību) vai arī neziņo par to izmantošanu. Daudz sliktāka būtu situācija, ja uzņēmumi digitālos rosinājumus nelietotu tāpēc, ka tie </w:t>
      </w:r>
      <w:r w:rsidRPr="00855036" w:rsidR="00C74D0F">
        <w:rPr>
          <w:lang w:val="lv-LV"/>
        </w:rPr>
        <w:t>tiem</w:t>
      </w:r>
      <w:r w:rsidRPr="00855036">
        <w:rPr>
          <w:lang w:val="lv-LV"/>
        </w:rPr>
        <w:t xml:space="preserve"> nebūtu pieejami. Risinājums </w:t>
      </w:r>
      <w:r w:rsidRPr="00855036" w:rsidR="009C7AFB">
        <w:rPr>
          <w:lang w:val="lv-LV"/>
        </w:rPr>
        <w:t xml:space="preserve">DESI indeksa </w:t>
      </w:r>
      <w:r w:rsidRPr="00855036" w:rsidR="00962B7A">
        <w:rPr>
          <w:lang w:val="lv-LV"/>
        </w:rPr>
        <w:t>4.</w:t>
      </w:r>
      <w:r w:rsidRPr="00855036" w:rsidR="005A101D">
        <w:rPr>
          <w:lang w:val="lv-LV"/>
        </w:rPr>
        <w:t> </w:t>
      </w:r>
      <w:r w:rsidRPr="00855036" w:rsidR="00962B7A">
        <w:rPr>
          <w:lang w:val="lv-LV"/>
        </w:rPr>
        <w:t>sadaļas</w:t>
      </w:r>
      <w:r w:rsidRPr="00855036" w:rsidR="009C7AFB">
        <w:rPr>
          <w:lang w:val="lv-LV"/>
        </w:rPr>
        <w:t xml:space="preserve"> “Ciparu tehnoloģiju integrācija”</w:t>
      </w:r>
      <w:r w:rsidRPr="00855036">
        <w:rPr>
          <w:lang w:val="lv-LV"/>
        </w:rPr>
        <w:t xml:space="preserve"> </w:t>
      </w:r>
      <w:r w:rsidRPr="00855036" w:rsidR="00962B7A">
        <w:rPr>
          <w:lang w:val="lv-LV"/>
        </w:rPr>
        <w:t xml:space="preserve">rādītāju </w:t>
      </w:r>
      <w:r w:rsidRPr="00855036">
        <w:rPr>
          <w:lang w:val="lv-LV"/>
        </w:rPr>
        <w:t>uzlabošanai varētu būt uzņēmumu informēšana par pieejamajām digitālajam tehnoloģijām un to ieguvumiem, ja tās netiek izmantotas nezināšanas un prasmju trūkuma dēļ, nevis tāpēc, ka uzņēmēji tās neuzskata par lietderīgām.</w:t>
      </w:r>
    </w:p>
    <w:p w:rsidR="0059082E" w:rsidRPr="00855036" w:rsidP="00934EB6" w14:paraId="3556E59E" w14:textId="69AF2A35">
      <w:pPr>
        <w:rPr>
          <w:lang w:val="lv-LV"/>
        </w:rPr>
      </w:pPr>
      <w:r w:rsidRPr="00855036">
        <w:rPr>
          <w:b/>
          <w:lang w:val="lv-LV"/>
        </w:rPr>
        <w:t>Ekonomikas ministrija</w:t>
      </w:r>
      <w:r w:rsidRPr="00855036">
        <w:rPr>
          <w:lang w:val="lv-LV"/>
        </w:rPr>
        <w:t xml:space="preserve"> 2016.</w:t>
      </w:r>
      <w:r w:rsidRPr="00855036" w:rsidR="009C7AFB">
        <w:rPr>
          <w:lang w:val="lv-LV"/>
        </w:rPr>
        <w:t> </w:t>
      </w:r>
      <w:r w:rsidRPr="00855036">
        <w:rPr>
          <w:lang w:val="lv-LV"/>
        </w:rPr>
        <w:t xml:space="preserve">gadā organizēja darbseminārus par ES Vienotā tirgus stratēģiju un Digitālā vienotā tirgus stratēģiju. Tajos identificētie pasākumi tika ietverti </w:t>
      </w:r>
      <w:r>
        <w:fldChar w:fldCharType="begin"/>
      </w:r>
      <w:r>
        <w:instrText xml:space="preserve"> HYPERLINK "https://eportfelis.mk.gov.lv/eportfelis/DesktopModules/NOpenDocument.aspx?tabindex=0&amp;tabid=8&amp;BriefcaseID=32210&amp;mid=38&amp;SubjectID=40367813" </w:instrText>
      </w:r>
      <w:r>
        <w:fldChar w:fldCharType="separate"/>
      </w:r>
      <w:r w:rsidRPr="00855036" w:rsidR="00EE2637">
        <w:rPr>
          <w:lang w:val="lv-LV"/>
        </w:rPr>
        <w:t>i</w:t>
      </w:r>
      <w:r w:rsidRPr="00855036" w:rsidR="00226B3B">
        <w:rPr>
          <w:lang w:val="lv-LV"/>
        </w:rPr>
        <w:t>nformatīv</w:t>
      </w:r>
      <w:r w:rsidRPr="00855036">
        <w:rPr>
          <w:lang w:val="lv-LV"/>
        </w:rPr>
        <w:t>ajā</w:t>
      </w:r>
      <w:r w:rsidRPr="00855036" w:rsidR="00226B3B">
        <w:rPr>
          <w:lang w:val="lv-LV"/>
        </w:rPr>
        <w:t xml:space="preserve"> ziņojumā</w:t>
      </w:r>
      <w:r w:rsidRPr="00855036">
        <w:rPr>
          <w:lang w:val="lv-LV"/>
        </w:rPr>
        <w:t xml:space="preserve"> </w:t>
      </w:r>
      <w:r w:rsidRPr="00855036" w:rsidR="00EE2637">
        <w:rPr>
          <w:lang w:val="lv-LV"/>
        </w:rPr>
        <w:t>“</w:t>
      </w:r>
      <w:r w:rsidRPr="00855036">
        <w:rPr>
          <w:lang w:val="lv-LV"/>
        </w:rPr>
        <w:t xml:space="preserve">Par Ekonomikas </w:t>
      </w:r>
      <w:r w:rsidRPr="00855036" w:rsidR="001F10FB">
        <w:rPr>
          <w:lang w:val="lv-LV"/>
        </w:rPr>
        <w:t>ministrijas</w:t>
      </w:r>
      <w:r w:rsidRPr="00855036">
        <w:rPr>
          <w:lang w:val="lv-LV"/>
        </w:rPr>
        <w:t xml:space="preserve"> organizētajiem darbsemināriem par Eiropas Savienības Vienotā un Digitālā vienotā tirgus jautājumiem, identificētajām Latvijas interesēm un ieteicamajiem pasākumiem nacionālajā līmenī</w:t>
      </w:r>
      <w:r w:rsidRPr="00855036" w:rsidR="00EE2637">
        <w:rPr>
          <w:lang w:val="lv-LV"/>
        </w:rPr>
        <w:t xml:space="preserve">”, </w:t>
      </w:r>
      <w:r>
        <w:fldChar w:fldCharType="end"/>
      </w:r>
      <w:r w:rsidRPr="00855036" w:rsidR="00926C27">
        <w:rPr>
          <w:lang w:val="lv-LV"/>
        </w:rPr>
        <w:t xml:space="preserve">un </w:t>
      </w:r>
      <w:r w:rsidRPr="00855036" w:rsidR="00EE2637">
        <w:rPr>
          <w:lang w:val="lv-LV"/>
        </w:rPr>
        <w:t>tie</w:t>
      </w:r>
      <w:r w:rsidRPr="00855036" w:rsidR="00226B3B">
        <w:rPr>
          <w:lang w:val="lv-LV"/>
        </w:rPr>
        <w:t xml:space="preserve"> </w:t>
      </w:r>
      <w:r w:rsidRPr="00855036">
        <w:rPr>
          <w:lang w:val="lv-LV"/>
        </w:rPr>
        <w:t xml:space="preserve">paredz tuvāko gadu laikā virkni iniciatīvu, kuru mērķis ir uzlabot un stiprināt ES </w:t>
      </w:r>
      <w:r w:rsidRPr="00855036" w:rsidR="00EE2637">
        <w:rPr>
          <w:lang w:val="lv-LV"/>
        </w:rPr>
        <w:t>v</w:t>
      </w:r>
      <w:r w:rsidRPr="00855036">
        <w:rPr>
          <w:lang w:val="lv-LV"/>
        </w:rPr>
        <w:t xml:space="preserve">ienotā un </w:t>
      </w:r>
      <w:r w:rsidRPr="00855036" w:rsidR="00EE2637">
        <w:rPr>
          <w:lang w:val="lv-LV"/>
        </w:rPr>
        <w:t>d</w:t>
      </w:r>
      <w:r w:rsidRPr="00855036">
        <w:rPr>
          <w:lang w:val="lv-LV"/>
        </w:rPr>
        <w:t>igitālā vienotā preču un pakalpojumu tirgus attīstību. Lai nodrošinātu arī turpmāku sabiedrības izglītošanu e-komercijas jautājumos, periodiski tiek rīkoti e-komercijas semināri komersantiem, kā arī stiprināta sadarbība ar Latvijas Investīciju un attīstības aģentūru kopīgu semināru rīkošanai par e-komercijas jautājumiem. 2017.</w:t>
      </w:r>
      <w:r w:rsidRPr="00855036" w:rsidR="00EE2637">
        <w:rPr>
          <w:lang w:val="lv-LV"/>
        </w:rPr>
        <w:t> </w:t>
      </w:r>
      <w:r w:rsidRPr="00855036">
        <w:rPr>
          <w:lang w:val="lv-LV"/>
        </w:rPr>
        <w:t>gadā organizēts seminārs “Mazo un vidējo uzņēmumu mārketings digitālajā laikmetā” ar mērķi informēt Latvijas mazo un vidējo uzņēmumu pārstāvjus par aktuālākajām tendencēm mūsdienu digitālajā vidē.</w:t>
      </w:r>
      <w:r w:rsidRPr="00855036" w:rsidR="003572F2">
        <w:rPr>
          <w:lang w:val="lv-LV"/>
        </w:rPr>
        <w:t xml:space="preserve"> </w:t>
      </w:r>
      <w:r w:rsidRPr="00855036">
        <w:rPr>
          <w:lang w:val="lv-LV"/>
        </w:rPr>
        <w:t xml:space="preserve">Papildus </w:t>
      </w:r>
      <w:r w:rsidRPr="00855036" w:rsidR="003572F2">
        <w:rPr>
          <w:lang w:val="lv-LV"/>
        </w:rPr>
        <w:t xml:space="preserve">minētajam, </w:t>
      </w:r>
      <w:r w:rsidRPr="00855036" w:rsidR="004073CC">
        <w:rPr>
          <w:lang w:val="lv-LV"/>
        </w:rPr>
        <w:t>Ekonomikas ministrija</w:t>
      </w:r>
      <w:r w:rsidRPr="00855036">
        <w:rPr>
          <w:lang w:val="lv-LV"/>
        </w:rPr>
        <w:t xml:space="preserve"> izvērtēs iespēju izstrādāt uzņēmējdarbības ceļa kartes e-veikala atvēršanai, kas paredzēs mobilākas iespējas biznesa attīstībai un e-komercijas apgrozījuma pieaugumam.</w:t>
      </w:r>
    </w:p>
    <w:p w:rsidR="003572F2" w:rsidRPr="00855036" w:rsidP="00934EB6" w14:paraId="61B3A1FB" w14:textId="6BDCC534">
      <w:pPr>
        <w:rPr>
          <w:lang w:val="lv-LV"/>
        </w:rPr>
      </w:pPr>
      <w:r w:rsidRPr="00855036">
        <w:rPr>
          <w:lang w:val="lv-LV"/>
        </w:rPr>
        <w:t>Informācijas sabiedrības attīstības pamatnostādņu 2014.-2020.</w:t>
      </w:r>
      <w:r w:rsidRPr="00855036" w:rsidR="004D52B2">
        <w:rPr>
          <w:lang w:val="lv-LV"/>
        </w:rPr>
        <w:t> </w:t>
      </w:r>
      <w:r w:rsidRPr="00855036">
        <w:rPr>
          <w:lang w:val="lv-LV"/>
        </w:rPr>
        <w:t>gadam (turpmāk – pamatnostādnes</w:t>
      </w:r>
      <w:r w:rsidRPr="00855036" w:rsidR="004073CC">
        <w:rPr>
          <w:lang w:val="lv-LV"/>
        </w:rPr>
        <w:t>) turpmākās rīcības plānojumā Ekonomikas ministrija</w:t>
      </w:r>
      <w:r w:rsidRPr="00855036">
        <w:rPr>
          <w:lang w:val="lv-LV"/>
        </w:rPr>
        <w:t>, kā atbildīgā institūcija īsteno šādus pasākumus izvirzītā mērķa sasniegšanā:</w:t>
      </w:r>
    </w:p>
    <w:p w:rsidR="003572F2" w:rsidRPr="00926D90" w:rsidP="00934EB6" w14:paraId="435A143E" w14:textId="5FD7F85D">
      <w:pPr>
        <w:rPr>
          <w:lang w:val="lv-LV"/>
        </w:rPr>
      </w:pPr>
      <w:r w:rsidRPr="00926D90">
        <w:rPr>
          <w:lang w:val="lv-LV"/>
        </w:rPr>
        <w:t xml:space="preserve">Partnerībā organizētas nodarbināto apmācības, </w:t>
      </w:r>
      <w:r w:rsidRPr="00926D90" w:rsidR="00BD1D97">
        <w:rPr>
          <w:lang w:val="lv-LV"/>
        </w:rPr>
        <w:t>kas paredz atbalstu</w:t>
      </w:r>
      <w:r w:rsidRPr="00926D90">
        <w:rPr>
          <w:lang w:val="lv-LV"/>
        </w:rPr>
        <w:t xml:space="preserve"> partnerībā organizētām nodarbināto a</w:t>
      </w:r>
      <w:r w:rsidRPr="00926D90" w:rsidR="00926D90">
        <w:rPr>
          <w:lang w:val="lv-LV"/>
        </w:rPr>
        <w:t xml:space="preserve">pmācībām, veicot arī procesu un </w:t>
      </w:r>
      <w:r w:rsidRPr="00926D90">
        <w:rPr>
          <w:lang w:val="lv-LV"/>
        </w:rPr>
        <w:t>tehnoloģiju auditus un nodrošinot konsultatīvu atbalstu un subsidētus pakalpojumus procesu inovācijas, efektīvāku ražošanas metožu ieviešanai komersantos.</w:t>
      </w:r>
    </w:p>
    <w:p w:rsidR="003572F2" w:rsidRPr="00D01F47" w:rsidP="00934EB6" w14:paraId="71C7643D" w14:textId="0571729D">
      <w:pPr>
        <w:rPr>
          <w:lang w:val="lv-LV"/>
        </w:rPr>
      </w:pPr>
      <w:r w:rsidRPr="00926D90">
        <w:rPr>
          <w:lang w:val="lv-LV"/>
        </w:rPr>
        <w:t>Ekonomikas ministrija</w:t>
      </w:r>
      <w:r w:rsidRPr="00926D90">
        <w:rPr>
          <w:lang w:val="lv-LV"/>
        </w:rPr>
        <w:t xml:space="preserve"> īsteno divas nodarbināto apmācību programmas: 1.2.2.1.</w:t>
      </w:r>
      <w:r w:rsidRPr="00926D90" w:rsidR="005A101D">
        <w:rPr>
          <w:lang w:val="lv-LV"/>
        </w:rPr>
        <w:t> </w:t>
      </w:r>
      <w:r w:rsidRPr="00926D90">
        <w:rPr>
          <w:lang w:val="lv-LV"/>
        </w:rPr>
        <w:t>pasākums “Atbalsts nodarbināto apmācībām”, kur E</w:t>
      </w:r>
      <w:r w:rsidRPr="00926D90" w:rsidR="00FD7208">
        <w:rPr>
          <w:lang w:val="lv-LV"/>
        </w:rPr>
        <w:t>iropas Reģionālās attīstības fonda (turpmāk – E</w:t>
      </w:r>
      <w:r w:rsidRPr="00926D90">
        <w:rPr>
          <w:lang w:val="lv-LV"/>
        </w:rPr>
        <w:t>RAF</w:t>
      </w:r>
      <w:r w:rsidRPr="00926D90" w:rsidR="00FD7208">
        <w:rPr>
          <w:lang w:val="lv-LV"/>
        </w:rPr>
        <w:t>)</w:t>
      </w:r>
      <w:r w:rsidRPr="00926D90">
        <w:rPr>
          <w:lang w:val="lv-LV"/>
        </w:rPr>
        <w:t xml:space="preserve"> atbalsts līdz </w:t>
      </w:r>
      <w:r w:rsidRPr="00926D90" w:rsidR="00926D90">
        <w:rPr>
          <w:lang w:val="lv-LV"/>
        </w:rPr>
        <w:t>2018. </w:t>
      </w:r>
      <w:r w:rsidRPr="00926D90" w:rsidR="004D52B2">
        <w:rPr>
          <w:lang w:val="lv-LV"/>
        </w:rPr>
        <w:t>gada 31. decembrim</w:t>
      </w:r>
      <w:r w:rsidRPr="00926D90">
        <w:rPr>
          <w:lang w:val="lv-LV"/>
        </w:rPr>
        <w:t xml:space="preserve"> (1.</w:t>
      </w:r>
      <w:r w:rsidRPr="00926D90" w:rsidR="004D52B2">
        <w:rPr>
          <w:lang w:val="lv-LV"/>
        </w:rPr>
        <w:t> </w:t>
      </w:r>
      <w:r w:rsidRPr="00926D90">
        <w:rPr>
          <w:lang w:val="lv-LV"/>
        </w:rPr>
        <w:t>kārta) tiek sniegts tikai Latvijā reģistrētiem mikro</w:t>
      </w:r>
      <w:r w:rsidRPr="00926D90" w:rsidR="004D52B2">
        <w:rPr>
          <w:lang w:val="lv-LV"/>
        </w:rPr>
        <w:t>uzņēmumiem</w:t>
      </w:r>
      <w:r w:rsidRPr="00926D90">
        <w:rPr>
          <w:lang w:val="lv-LV"/>
        </w:rPr>
        <w:t xml:space="preserve">, </w:t>
      </w:r>
      <w:r w:rsidRPr="00926D90" w:rsidR="004D52B2">
        <w:rPr>
          <w:lang w:val="lv-LV"/>
        </w:rPr>
        <w:t>MVU</w:t>
      </w:r>
      <w:r w:rsidRPr="00926D90">
        <w:rPr>
          <w:lang w:val="lv-LV"/>
        </w:rPr>
        <w:t xml:space="preserve"> un lielajiem komersantiem</w:t>
      </w:r>
      <w:r w:rsidRPr="00926D90" w:rsidR="004D52B2">
        <w:rPr>
          <w:lang w:val="lv-LV"/>
        </w:rPr>
        <w:t>,</w:t>
      </w:r>
      <w:r w:rsidRPr="00926D90">
        <w:rPr>
          <w:lang w:val="lv-LV"/>
        </w:rPr>
        <w:t xml:space="preserve"> un finansējuma saņēmēji ir biedrības, kuras pārstāv vienu no apstrādes rūpniecības apakšnozarēm, IKT nozari vai izmitināšanas un ēdināšanas pakalpojumu nozari. </w:t>
      </w:r>
      <w:r w:rsidRPr="00D01F47">
        <w:rPr>
          <w:lang w:val="lv-LV"/>
        </w:rPr>
        <w:t>Atbalsts tiek sniegts nozaru specifiskām apmācībām (piemēram, STEM (zinātne, tehnoloģijas, inženierzinātnes un matemātika), rūpnieciskais dizains, datorzinātnes, loģistika u.c.), kas sekmētu darba ražīguma pieaugumu un jaunu vai uzlabotu produktu un tehnoloģiju izstrādi un ieviešanu ražošanā. 1.2.2.3.</w:t>
      </w:r>
      <w:r w:rsidRPr="00D01F47" w:rsidR="00926D90">
        <w:rPr>
          <w:lang w:val="lv-LV"/>
        </w:rPr>
        <w:t> </w:t>
      </w:r>
      <w:r w:rsidRPr="00D01F47">
        <w:rPr>
          <w:lang w:val="lv-LV"/>
        </w:rPr>
        <w:t xml:space="preserve">pasākums “Atbalsts IKT un netehnoloģiskām apmācībām, kā arī apmācībām, lai sekmētu investoru piesaisti”, kur ERAF atbalsts līdz </w:t>
      </w:r>
      <w:r w:rsidRPr="00D01F47" w:rsidR="00926D90">
        <w:rPr>
          <w:lang w:val="lv-LV"/>
        </w:rPr>
        <w:t>2020. gada 31. </w:t>
      </w:r>
      <w:r w:rsidRPr="00D01F47" w:rsidR="004D52B2">
        <w:rPr>
          <w:lang w:val="lv-LV"/>
        </w:rPr>
        <w:t>decembrim</w:t>
      </w:r>
      <w:r w:rsidRPr="00D01F47">
        <w:rPr>
          <w:lang w:val="lv-LV"/>
        </w:rPr>
        <w:t xml:space="preserve"> tiek sniegts pašnodarbinātām personām, mikro</w:t>
      </w:r>
      <w:r w:rsidRPr="00D01F47" w:rsidR="004D52B2">
        <w:rPr>
          <w:lang w:val="lv-LV"/>
        </w:rPr>
        <w:t>uzņēmumiem</w:t>
      </w:r>
      <w:r w:rsidRPr="00D01F47">
        <w:rPr>
          <w:lang w:val="lv-LV"/>
        </w:rPr>
        <w:t xml:space="preserve">, </w:t>
      </w:r>
      <w:r w:rsidRPr="00D01F47" w:rsidR="004D52B2">
        <w:rPr>
          <w:lang w:val="lv-LV"/>
        </w:rPr>
        <w:t>MVU</w:t>
      </w:r>
      <w:r w:rsidRPr="00D01F47">
        <w:rPr>
          <w:lang w:val="lv-LV"/>
        </w:rPr>
        <w:t xml:space="preserve"> un lieliem komersantiem. Atbalsts tiek sniegts horizontālām apmācībām, kas nepieciešamas produktu, procesu, mārketinga vai organizācijas inovāciju ieviešanai komersantā. </w:t>
      </w:r>
      <w:r w:rsidRPr="00D01F47" w:rsidR="000E6DF5">
        <w:rPr>
          <w:lang w:val="lv-LV"/>
        </w:rPr>
        <w:t>Latvijas Informācijas un komunikācijas tehnoloģijas asociācija (turpmāk – L</w:t>
      </w:r>
      <w:r w:rsidRPr="00D01F47">
        <w:rPr>
          <w:lang w:val="lv-LV"/>
        </w:rPr>
        <w:t>IKTA</w:t>
      </w:r>
      <w:r w:rsidRPr="00D01F47" w:rsidR="000E6DF5">
        <w:rPr>
          <w:lang w:val="lv-LV"/>
        </w:rPr>
        <w:t>)</w:t>
      </w:r>
      <w:r w:rsidRPr="00D01F47">
        <w:rPr>
          <w:lang w:val="lv-LV"/>
        </w:rPr>
        <w:t xml:space="preserve"> īsteno divus projektus “IKT profesionāļu  apmācības inovāciju veicināšanai un nozares attīstībai” (</w:t>
      </w:r>
      <w:r w:rsidRPr="00D01F47" w:rsidR="00F17C81">
        <w:rPr>
          <w:lang w:val="lv-LV"/>
        </w:rPr>
        <w:t xml:space="preserve">kopš </w:t>
      </w:r>
      <w:r w:rsidRPr="00D01F47">
        <w:rPr>
          <w:lang w:val="lv-LV"/>
        </w:rPr>
        <w:t>2016.</w:t>
      </w:r>
      <w:r w:rsidRPr="00D01F47" w:rsidR="00F17C81">
        <w:rPr>
          <w:lang w:val="lv-LV"/>
        </w:rPr>
        <w:t> </w:t>
      </w:r>
      <w:r w:rsidRPr="00D01F47">
        <w:rPr>
          <w:lang w:val="lv-LV"/>
        </w:rPr>
        <w:t>gada jūlij</w:t>
      </w:r>
      <w:r w:rsidRPr="00D01F47" w:rsidR="00F17C81">
        <w:rPr>
          <w:lang w:val="lv-LV"/>
        </w:rPr>
        <w:t>a</w:t>
      </w:r>
      <w:r w:rsidRPr="00D01F47">
        <w:rPr>
          <w:lang w:val="lv-LV"/>
        </w:rPr>
        <w:t>) un “Mazo un mikro komersantu apmācības inovāciju un digitālo tehnoloģiju attīstībai Latvijā” (</w:t>
      </w:r>
      <w:r w:rsidRPr="00D01F47" w:rsidR="00F17C81">
        <w:rPr>
          <w:lang w:val="lv-LV"/>
        </w:rPr>
        <w:t>kopš</w:t>
      </w:r>
      <w:r w:rsidRPr="00D01F47">
        <w:rPr>
          <w:lang w:val="lv-LV"/>
        </w:rPr>
        <w:t xml:space="preserve"> 2017.</w:t>
      </w:r>
      <w:r w:rsidRPr="00D01F47" w:rsidR="00F17C81">
        <w:rPr>
          <w:lang w:val="lv-LV"/>
        </w:rPr>
        <w:t> </w:t>
      </w:r>
      <w:r w:rsidRPr="00D01F47">
        <w:rPr>
          <w:lang w:val="lv-LV"/>
        </w:rPr>
        <w:t>gada februār</w:t>
      </w:r>
      <w:r w:rsidRPr="00D01F47" w:rsidR="00F17C81">
        <w:rPr>
          <w:lang w:val="lv-LV"/>
        </w:rPr>
        <w:t>a</w:t>
      </w:r>
      <w:r w:rsidRPr="00D01F47">
        <w:rPr>
          <w:lang w:val="lv-LV"/>
        </w:rPr>
        <w:t>).</w:t>
      </w:r>
    </w:p>
    <w:p w:rsidR="003572F2" w:rsidRPr="00926D90" w:rsidP="00934EB6" w14:paraId="095D7093" w14:textId="6F836BD8">
      <w:pPr>
        <w:rPr>
          <w:lang w:val="lv-LV"/>
        </w:rPr>
      </w:pPr>
      <w:r w:rsidRPr="00926D90">
        <w:rPr>
          <w:lang w:val="lv-LV"/>
        </w:rPr>
        <w:t>Atbalsts jaunu produktu un</w:t>
      </w:r>
      <w:r w:rsidRPr="00926D90">
        <w:rPr>
          <w:lang w:val="lv-LV"/>
        </w:rPr>
        <w:t xml:space="preserve"> tehnoloģiju izstrādei, </w:t>
      </w:r>
      <w:r w:rsidRPr="00926D90" w:rsidR="00BD1D97">
        <w:rPr>
          <w:lang w:val="lv-LV"/>
        </w:rPr>
        <w:t>kur p</w:t>
      </w:r>
      <w:r w:rsidRPr="00926D90">
        <w:rPr>
          <w:lang w:val="lv-LV"/>
        </w:rPr>
        <w:t xml:space="preserve">asākuma ietvaros īstenotā </w:t>
      </w:r>
      <w:r w:rsidRPr="00926D90" w:rsidR="008611C5">
        <w:rPr>
          <w:lang w:val="lv-LV"/>
        </w:rPr>
        <w:t>d</w:t>
      </w:r>
      <w:r w:rsidRPr="00926D90">
        <w:rPr>
          <w:lang w:val="lv-LV"/>
        </w:rPr>
        <w:t xml:space="preserve">arbības programmas </w:t>
      </w:r>
      <w:r w:rsidRPr="00926D90" w:rsidR="00F17C81">
        <w:rPr>
          <w:lang w:val="lv-LV"/>
        </w:rPr>
        <w:t>“</w:t>
      </w:r>
      <w:r w:rsidRPr="00926D90">
        <w:rPr>
          <w:lang w:val="lv-LV"/>
        </w:rPr>
        <w:t>Izaugsme un nodarbinātība</w:t>
      </w:r>
      <w:r w:rsidRPr="00926D90" w:rsidR="00F17C81">
        <w:rPr>
          <w:lang w:val="lv-LV"/>
        </w:rPr>
        <w:t>”</w:t>
      </w:r>
      <w:r w:rsidRPr="00926D90">
        <w:rPr>
          <w:lang w:val="lv-LV"/>
        </w:rPr>
        <w:t xml:space="preserve"> 1.2.1.</w:t>
      </w:r>
      <w:r w:rsidRPr="00926D90" w:rsidR="00F17C81">
        <w:rPr>
          <w:lang w:val="lv-LV"/>
        </w:rPr>
        <w:t> </w:t>
      </w:r>
      <w:r w:rsidRPr="00926D90">
        <w:rPr>
          <w:lang w:val="lv-LV"/>
        </w:rPr>
        <w:t xml:space="preserve">specifiskā atbalsta mērķa </w:t>
      </w:r>
      <w:r w:rsidRPr="00926D90" w:rsidR="00F17C81">
        <w:rPr>
          <w:lang w:val="lv-LV"/>
        </w:rPr>
        <w:t>“</w:t>
      </w:r>
      <w:r w:rsidRPr="00926D90">
        <w:rPr>
          <w:lang w:val="lv-LV"/>
        </w:rPr>
        <w:t>Palielināt privātā sektora investīcijas P&amp;A</w:t>
      </w:r>
      <w:r w:rsidRPr="00926D90" w:rsidR="00F17C81">
        <w:rPr>
          <w:lang w:val="lv-LV"/>
        </w:rPr>
        <w:t>”</w:t>
      </w:r>
      <w:r w:rsidRPr="00926D90">
        <w:rPr>
          <w:lang w:val="lv-LV"/>
        </w:rPr>
        <w:t xml:space="preserve"> 1.2.1.2.</w:t>
      </w:r>
      <w:r w:rsidRPr="00926D90" w:rsidR="00F17C81">
        <w:rPr>
          <w:lang w:val="lv-LV"/>
        </w:rPr>
        <w:t> </w:t>
      </w:r>
      <w:r w:rsidRPr="00926D90">
        <w:rPr>
          <w:lang w:val="lv-LV"/>
        </w:rPr>
        <w:t xml:space="preserve">pasākuma </w:t>
      </w:r>
      <w:r w:rsidRPr="00926D90" w:rsidR="00F17C81">
        <w:rPr>
          <w:lang w:val="lv-LV"/>
        </w:rPr>
        <w:t>“</w:t>
      </w:r>
      <w:r w:rsidRPr="00926D90">
        <w:rPr>
          <w:lang w:val="lv-LV"/>
        </w:rPr>
        <w:t>Atbalsts tehnoloģiju pārneses sistēmas pilnveidošanai</w:t>
      </w:r>
      <w:r w:rsidRPr="00926D90" w:rsidR="00F17C81">
        <w:rPr>
          <w:lang w:val="lv-LV"/>
        </w:rPr>
        <w:t>”</w:t>
      </w:r>
      <w:r w:rsidRPr="00926D90">
        <w:rPr>
          <w:lang w:val="lv-LV"/>
        </w:rPr>
        <w:t xml:space="preserve"> īstenošanas noteikumi paredz </w:t>
      </w:r>
      <w:r w:rsidRPr="00926D90" w:rsidR="00F17C81">
        <w:rPr>
          <w:lang w:val="lv-LV"/>
        </w:rPr>
        <w:t>šādas</w:t>
      </w:r>
      <w:r w:rsidRPr="00926D90">
        <w:rPr>
          <w:lang w:val="lv-LV"/>
        </w:rPr>
        <w:t xml:space="preserve"> atbalstāmās darbības:</w:t>
      </w:r>
    </w:p>
    <w:p w:rsidR="003572F2" w:rsidRPr="00926D90" w:rsidP="00934EB6" w14:paraId="60B466FB" w14:textId="71F6BF24">
      <w:pPr>
        <w:rPr>
          <w:lang w:val="lv-LV"/>
        </w:rPr>
      </w:pPr>
      <w:r w:rsidRPr="00926D90">
        <w:rPr>
          <w:lang w:val="lv-LV"/>
        </w:rPr>
        <w:t>t</w:t>
      </w:r>
      <w:r w:rsidRPr="00926D90">
        <w:rPr>
          <w:lang w:val="lv-LV"/>
        </w:rPr>
        <w:t>ehnoloģiju pārneses procesa veicināšana un koordinācija;</w:t>
      </w:r>
    </w:p>
    <w:p w:rsidR="003572F2" w:rsidRPr="00926D90" w:rsidP="00934EB6" w14:paraId="03DF9224" w14:textId="220FC4D6">
      <w:pPr>
        <w:rPr>
          <w:lang w:val="lv-LV"/>
        </w:rPr>
      </w:pPr>
      <w:r w:rsidRPr="00926D90">
        <w:rPr>
          <w:lang w:val="lv-LV"/>
        </w:rPr>
        <w:t>p</w:t>
      </w:r>
      <w:r w:rsidRPr="00926D90">
        <w:rPr>
          <w:lang w:val="lv-LV"/>
        </w:rPr>
        <w:t>ublisko zinātnisko institūciju un augstskolu pētnieku pētniecības rezultātu komercializācijas un patentēšanas fonds;</w:t>
      </w:r>
    </w:p>
    <w:p w:rsidR="003572F2" w:rsidRPr="00926D90" w:rsidP="00934EB6" w14:paraId="32F61238" w14:textId="51FF09DA">
      <w:pPr>
        <w:rPr>
          <w:lang w:val="lv-LV"/>
        </w:rPr>
      </w:pPr>
      <w:r w:rsidRPr="00926D90">
        <w:rPr>
          <w:lang w:val="lv-LV"/>
        </w:rPr>
        <w:t>a</w:t>
      </w:r>
      <w:r w:rsidRPr="00926D90">
        <w:rPr>
          <w:lang w:val="lv-LV"/>
        </w:rPr>
        <w:t>tbalsta (vaučera) piešķiršana MVK.</w:t>
      </w:r>
    </w:p>
    <w:p w:rsidR="003572F2" w:rsidRPr="00926D90" w:rsidP="00934EB6" w14:paraId="2525CF74" w14:textId="535E766B">
      <w:pPr>
        <w:rPr>
          <w:lang w:val="lv-LV"/>
        </w:rPr>
      </w:pPr>
      <w:r w:rsidRPr="00926D90">
        <w:rPr>
          <w:lang w:val="lv-LV"/>
        </w:rPr>
        <w:t xml:space="preserve">Tāpat īstenotās </w:t>
      </w:r>
      <w:r w:rsidRPr="00926D90" w:rsidR="008611C5">
        <w:rPr>
          <w:lang w:val="lv-LV"/>
        </w:rPr>
        <w:t>d</w:t>
      </w:r>
      <w:r w:rsidRPr="00926D90">
        <w:rPr>
          <w:lang w:val="lv-LV"/>
        </w:rPr>
        <w:t xml:space="preserve">arbības programmas </w:t>
      </w:r>
      <w:r w:rsidRPr="00926D90" w:rsidR="008611C5">
        <w:rPr>
          <w:lang w:val="lv-LV"/>
        </w:rPr>
        <w:t>“</w:t>
      </w:r>
      <w:r w:rsidRPr="00926D90">
        <w:rPr>
          <w:lang w:val="lv-LV"/>
        </w:rPr>
        <w:t>Izaugsme un nodarbinātība</w:t>
      </w:r>
      <w:r w:rsidRPr="00926D90" w:rsidR="008611C5">
        <w:rPr>
          <w:lang w:val="lv-LV"/>
        </w:rPr>
        <w:t>”</w:t>
      </w:r>
      <w:r w:rsidRPr="00926D90">
        <w:rPr>
          <w:lang w:val="lv-LV"/>
        </w:rPr>
        <w:t xml:space="preserve"> 1.2.1.</w:t>
      </w:r>
      <w:r w:rsidRPr="00926D90" w:rsidR="008611C5">
        <w:rPr>
          <w:lang w:val="lv-LV"/>
        </w:rPr>
        <w:t> </w:t>
      </w:r>
      <w:r w:rsidRPr="00926D90">
        <w:rPr>
          <w:lang w:val="lv-LV"/>
        </w:rPr>
        <w:t xml:space="preserve">specifiskā atbalsta mērķa </w:t>
      </w:r>
      <w:r w:rsidRPr="00926D90" w:rsidR="008611C5">
        <w:rPr>
          <w:lang w:val="lv-LV"/>
        </w:rPr>
        <w:t>“</w:t>
      </w:r>
      <w:r w:rsidRPr="00926D90">
        <w:rPr>
          <w:lang w:val="lv-LV"/>
        </w:rPr>
        <w:t>Palielināt privātā sektora investīcijas P&amp;A</w:t>
      </w:r>
      <w:r w:rsidRPr="00926D90" w:rsidR="008611C5">
        <w:rPr>
          <w:lang w:val="lv-LV"/>
        </w:rPr>
        <w:t>”</w:t>
      </w:r>
      <w:r w:rsidRPr="00926D90">
        <w:rPr>
          <w:lang w:val="lv-LV"/>
        </w:rPr>
        <w:t xml:space="preserve"> 1.2.1.1.</w:t>
      </w:r>
      <w:r w:rsidRPr="00926D90" w:rsidR="005A101D">
        <w:rPr>
          <w:lang w:val="lv-LV"/>
        </w:rPr>
        <w:t> </w:t>
      </w:r>
      <w:r w:rsidRPr="00926D90">
        <w:rPr>
          <w:lang w:val="lv-LV"/>
        </w:rPr>
        <w:t xml:space="preserve">pasākuma </w:t>
      </w:r>
      <w:r w:rsidRPr="00926D90" w:rsidR="008611C5">
        <w:rPr>
          <w:lang w:val="lv-LV"/>
        </w:rPr>
        <w:t>“</w:t>
      </w:r>
      <w:r w:rsidRPr="00926D90">
        <w:rPr>
          <w:lang w:val="lv-LV"/>
        </w:rPr>
        <w:t>Atbalsts jaunu produktu un tehnoloģiju izstrādei kompetences centru ietvaros</w:t>
      </w:r>
      <w:r w:rsidRPr="00926D90" w:rsidR="008611C5">
        <w:rPr>
          <w:lang w:val="lv-LV"/>
        </w:rPr>
        <w:t>”</w:t>
      </w:r>
      <w:r w:rsidRPr="00926D90">
        <w:rPr>
          <w:lang w:val="lv-LV"/>
        </w:rPr>
        <w:t xml:space="preserve"> paredz atbalstīt:</w:t>
      </w:r>
    </w:p>
    <w:p w:rsidR="003572F2" w:rsidRPr="00926D90" w:rsidP="00934EB6" w14:paraId="36945834" w14:textId="2EB407C3">
      <w:pPr>
        <w:rPr>
          <w:lang w:val="lv-LV"/>
        </w:rPr>
      </w:pPr>
      <w:r w:rsidRPr="00926D90">
        <w:rPr>
          <w:lang w:val="lv-LV"/>
        </w:rPr>
        <w:t>i</w:t>
      </w:r>
      <w:r w:rsidRPr="00926D90">
        <w:rPr>
          <w:lang w:val="lv-LV"/>
        </w:rPr>
        <w:t>ndividuālo pētījumu un sadarbības pētniecības projektu īstenošanu;</w:t>
      </w:r>
    </w:p>
    <w:p w:rsidR="003572F2" w:rsidRPr="00926D90" w:rsidP="00934EB6" w14:paraId="74088C2B" w14:textId="4B9A96A3">
      <w:pPr>
        <w:rPr>
          <w:lang w:val="lv-LV"/>
        </w:rPr>
      </w:pPr>
      <w:r w:rsidRPr="00926D90">
        <w:rPr>
          <w:lang w:val="lv-LV"/>
        </w:rPr>
        <w:t>p</w:t>
      </w:r>
      <w:r w:rsidRPr="00926D90">
        <w:rPr>
          <w:lang w:val="lv-LV"/>
        </w:rPr>
        <w:t>ētniecības projektu koordināciju, tai skaitā sadarbības veicināšanu, informācijas un zināšanu kopīgošanai un tīklošanās un starptautiskas sadarbības veicināšanai;</w:t>
      </w:r>
    </w:p>
    <w:p w:rsidR="003572F2" w:rsidRPr="00926D90" w:rsidP="00934EB6" w14:paraId="06F64031" w14:textId="0491BA0B">
      <w:pPr>
        <w:rPr>
          <w:lang w:val="lv-LV"/>
        </w:rPr>
      </w:pPr>
      <w:r w:rsidRPr="00926D90">
        <w:rPr>
          <w:lang w:val="lv-LV"/>
        </w:rPr>
        <w:t>s</w:t>
      </w:r>
      <w:r w:rsidRPr="00926D90">
        <w:rPr>
          <w:lang w:val="lv-LV"/>
        </w:rPr>
        <w:t>adarbības veicināšanu, lai iesaistītos starptautiskos pētniecības projektos.</w:t>
      </w:r>
    </w:p>
    <w:p w:rsidR="003572F2" w:rsidRPr="00926D90" w:rsidP="00934EB6" w14:paraId="300940F0" w14:textId="7CB0F710">
      <w:pPr>
        <w:rPr>
          <w:lang w:val="lv-LV"/>
        </w:rPr>
      </w:pPr>
      <w:r w:rsidRPr="00926D90">
        <w:rPr>
          <w:lang w:val="lv-LV"/>
        </w:rPr>
        <w:t>Papildus minētajam</w:t>
      </w:r>
      <w:r w:rsidRPr="00926D90">
        <w:rPr>
          <w:lang w:val="lv-LV"/>
        </w:rPr>
        <w:t xml:space="preserve"> notiek arī uzņēmēju apmācības šādu </w:t>
      </w:r>
      <w:r w:rsidRPr="00926D90" w:rsidR="00DA0C64">
        <w:rPr>
          <w:lang w:val="lv-LV"/>
        </w:rPr>
        <w:t xml:space="preserve">ES atbalsta </w:t>
      </w:r>
      <w:r w:rsidRPr="00926D90">
        <w:rPr>
          <w:lang w:val="lv-LV"/>
        </w:rPr>
        <w:t>fondu programmu ietvaros- Inovācijas motivācijas programma un Kompetences centru programmas ietvaros, sniedzot atbalstu pārnozaru sadarbībā, veicinot nozaru sarunu attīstību atvērto datu iniciatīvai un to potenciālai komercializācijai.</w:t>
      </w:r>
    </w:p>
    <w:p w:rsidR="003572F2" w:rsidRPr="00855036" w:rsidP="00934EB6" w14:paraId="6E0D064F" w14:textId="6FB79916">
      <w:pPr>
        <w:rPr>
          <w:lang w:val="lv-LV"/>
        </w:rPr>
      </w:pPr>
      <w:r w:rsidRPr="00855036">
        <w:rPr>
          <w:lang w:val="lv-LV"/>
        </w:rPr>
        <w:t xml:space="preserve">Meklējot iespējas uzlabot Latvijas DESI indeksa rādītājus, </w:t>
      </w:r>
      <w:r w:rsidRPr="00855036" w:rsidR="00D6612E">
        <w:rPr>
          <w:lang w:val="lv-LV"/>
        </w:rPr>
        <w:t>Ekonomikas ministrija</w:t>
      </w:r>
      <w:r w:rsidRPr="00855036">
        <w:rPr>
          <w:lang w:val="lv-LV"/>
        </w:rPr>
        <w:t xml:space="preserve"> aicina uz sadarbību arī </w:t>
      </w:r>
      <w:r w:rsidRPr="00855036" w:rsidR="000E6DF5">
        <w:rPr>
          <w:lang w:val="lv-LV"/>
        </w:rPr>
        <w:t>LIKTA</w:t>
      </w:r>
      <w:r w:rsidRPr="00855036">
        <w:rPr>
          <w:lang w:val="lv-LV"/>
        </w:rPr>
        <w:t xml:space="preserve">, kuras mērķis ir sekmēt IKT nozares izaugsmi Latvijā, veicinot informācijas sabiedrības attīstību un IKT izglītību, ceļot Latvijas konkurētspēju starptautiskā mērogā. Asociācija sniedz profesionāļu viedokli valsts institūcijām likumdošanas un citos ar nozari saistītos jautājumos. Vēršam uzmanību, ka tikai sadarbībā ar nozares profesionāļiem ir iespējams rast risinājumu, kas gala lietotājam būs piemērots un lietderīgs. </w:t>
      </w:r>
    </w:p>
    <w:p w:rsidR="003572F2" w:rsidRPr="00855036" w:rsidP="00934EB6" w14:paraId="04B7FDB6" w14:textId="54E792CB">
      <w:pPr>
        <w:rPr>
          <w:lang w:val="lv-LV"/>
        </w:rPr>
      </w:pPr>
      <w:r w:rsidRPr="00855036">
        <w:rPr>
          <w:lang w:val="lv-LV"/>
        </w:rPr>
        <w:t>Ekonomikas ministrija ir vērsusi</w:t>
      </w:r>
      <w:r w:rsidRPr="00855036">
        <w:rPr>
          <w:lang w:val="lv-LV"/>
        </w:rPr>
        <w:t xml:space="preserve"> uzmanību, ka katrs uzņēmējs izvēlas savu biznesa modeli un veidu kādā tas strādā – izmantojot digitālo vidi, vai </w:t>
      </w:r>
      <w:r w:rsidRPr="00855036" w:rsidR="008611C5">
        <w:rPr>
          <w:lang w:val="lv-LV"/>
        </w:rPr>
        <w:t>to neizmantojot</w:t>
      </w:r>
      <w:r w:rsidRPr="00855036">
        <w:rPr>
          <w:lang w:val="lv-LV"/>
        </w:rPr>
        <w:t xml:space="preserve">, tāpēc </w:t>
      </w:r>
      <w:r w:rsidRPr="00855036">
        <w:rPr>
          <w:lang w:val="lv-LV"/>
        </w:rPr>
        <w:t>Ekonomikas ministrijas</w:t>
      </w:r>
      <w:r w:rsidRPr="00855036">
        <w:rPr>
          <w:lang w:val="lv-LV"/>
        </w:rPr>
        <w:t xml:space="preserve"> ieskatā ir būtiski turpināt sabiedrības informēšanu par digitālo iespēju priekšrocībām uzņēmējdarbībā. Kopš 2014.</w:t>
      </w:r>
      <w:r w:rsidRPr="00855036" w:rsidR="008611C5">
        <w:rPr>
          <w:lang w:val="lv-LV"/>
        </w:rPr>
        <w:t> </w:t>
      </w:r>
      <w:r w:rsidRPr="00855036">
        <w:rPr>
          <w:lang w:val="lv-LV"/>
        </w:rPr>
        <w:t xml:space="preserve">gada </w:t>
      </w:r>
      <w:r w:rsidRPr="00855036">
        <w:rPr>
          <w:lang w:val="lv-LV"/>
        </w:rPr>
        <w:t>Ekonomikas ministrija</w:t>
      </w:r>
      <w:r w:rsidRPr="00855036">
        <w:rPr>
          <w:lang w:val="lv-LV"/>
        </w:rPr>
        <w:t xml:space="preserve"> sadarbībā ar citām valsts iestādēm rīko ikgadējas informatīvas kampaņas “Atbalsts uzņēmējiem”, šajās kampaņās, kas norit dažādās Latvijas pilsētās ar informatīvu stendu piedalās arī </w:t>
      </w:r>
      <w:r w:rsidRPr="00855036" w:rsidR="00BD1D97">
        <w:rPr>
          <w:lang w:val="lv-LV"/>
        </w:rPr>
        <w:t>VARAM</w:t>
      </w:r>
      <w:r w:rsidRPr="00855036">
        <w:rPr>
          <w:lang w:val="lv-LV"/>
        </w:rPr>
        <w:t xml:space="preserve">. </w:t>
      </w:r>
      <w:r w:rsidRPr="00855036">
        <w:rPr>
          <w:lang w:val="lv-LV"/>
        </w:rPr>
        <w:t>Ekonomikas ministrija</w:t>
      </w:r>
      <w:r w:rsidRPr="00855036">
        <w:rPr>
          <w:lang w:val="lv-LV"/>
        </w:rPr>
        <w:t xml:space="preserve"> arī turpmāk plāno organizēt šādas informatīvas kampaņas</w:t>
      </w:r>
      <w:r w:rsidRPr="00855036" w:rsidR="008611C5">
        <w:rPr>
          <w:lang w:val="lv-LV"/>
        </w:rPr>
        <w:t>,</w:t>
      </w:r>
      <w:r w:rsidRPr="00855036">
        <w:rPr>
          <w:lang w:val="lv-LV"/>
        </w:rPr>
        <w:t xml:space="preserve"> un ir atvērta uz sadarbību, kā līdz šim aicinot piedalīties </w:t>
      </w:r>
      <w:r w:rsidRPr="00855036" w:rsidR="00BD1D97">
        <w:rPr>
          <w:lang w:val="lv-LV"/>
        </w:rPr>
        <w:t>VARAM</w:t>
      </w:r>
      <w:r w:rsidRPr="00855036">
        <w:rPr>
          <w:lang w:val="lv-LV"/>
        </w:rPr>
        <w:t xml:space="preserve"> pārstāvjus arī par tēmām, kas veicinātu sabiedrības informētību par IKT sniegtajām iespējām un priekšrocībām. Informējam, ka 2017.</w:t>
      </w:r>
      <w:r w:rsidRPr="00855036" w:rsidR="008611C5">
        <w:rPr>
          <w:lang w:val="lv-LV"/>
        </w:rPr>
        <w:t> </w:t>
      </w:r>
      <w:r w:rsidRPr="00855036">
        <w:rPr>
          <w:lang w:val="lv-LV"/>
        </w:rPr>
        <w:t xml:space="preserve">gadā informatīvās kampaņas </w:t>
      </w:r>
      <w:r w:rsidRPr="00855036" w:rsidR="00BD1D97">
        <w:rPr>
          <w:lang w:val="lv-LV"/>
        </w:rPr>
        <w:t>notika</w:t>
      </w:r>
      <w:r w:rsidRPr="00855036">
        <w:rPr>
          <w:lang w:val="lv-LV"/>
        </w:rPr>
        <w:t xml:space="preserve"> Rīgā – 20.</w:t>
      </w:r>
      <w:r w:rsidRPr="00855036" w:rsidR="008611C5">
        <w:rPr>
          <w:lang w:val="lv-LV"/>
        </w:rPr>
        <w:t> </w:t>
      </w:r>
      <w:r w:rsidRPr="00855036">
        <w:rPr>
          <w:lang w:val="lv-LV"/>
        </w:rPr>
        <w:t xml:space="preserve">septembrī, Liepājā </w:t>
      </w:r>
      <w:r w:rsidRPr="00855036" w:rsidR="008611C5">
        <w:rPr>
          <w:lang w:val="lv-LV"/>
        </w:rPr>
        <w:noBreakHyphen/>
      </w:r>
      <w:r w:rsidRPr="00855036">
        <w:rPr>
          <w:lang w:val="lv-LV"/>
        </w:rPr>
        <w:t xml:space="preserve"> 27.</w:t>
      </w:r>
      <w:r w:rsidRPr="00855036" w:rsidR="008611C5">
        <w:rPr>
          <w:lang w:val="lv-LV"/>
        </w:rPr>
        <w:t> </w:t>
      </w:r>
      <w:r w:rsidRPr="00855036">
        <w:rPr>
          <w:lang w:val="lv-LV"/>
        </w:rPr>
        <w:t xml:space="preserve">septembrī, Rēzeknē </w:t>
      </w:r>
      <w:r w:rsidRPr="00855036" w:rsidR="008611C5">
        <w:rPr>
          <w:lang w:val="lv-LV"/>
        </w:rPr>
        <w:noBreakHyphen/>
      </w:r>
      <w:r w:rsidRPr="00855036">
        <w:rPr>
          <w:lang w:val="lv-LV"/>
        </w:rPr>
        <w:t xml:space="preserve"> 4.</w:t>
      </w:r>
      <w:r w:rsidRPr="00855036" w:rsidR="008611C5">
        <w:rPr>
          <w:lang w:val="lv-LV"/>
        </w:rPr>
        <w:t> </w:t>
      </w:r>
      <w:r w:rsidRPr="00855036">
        <w:rPr>
          <w:lang w:val="lv-LV"/>
        </w:rPr>
        <w:t>oktobrī, Valmierā -11.</w:t>
      </w:r>
      <w:r w:rsidRPr="00855036" w:rsidR="008611C5">
        <w:rPr>
          <w:lang w:val="lv-LV"/>
        </w:rPr>
        <w:t> </w:t>
      </w:r>
      <w:r w:rsidRPr="00855036">
        <w:rPr>
          <w:lang w:val="lv-LV"/>
        </w:rPr>
        <w:t>oktobrī un Jelgavā -</w:t>
      </w:r>
      <w:r w:rsidRPr="00855036" w:rsidR="008611C5">
        <w:rPr>
          <w:lang w:val="lv-LV"/>
        </w:rPr>
        <w:t xml:space="preserve"> </w:t>
      </w:r>
      <w:r w:rsidRPr="00855036">
        <w:rPr>
          <w:lang w:val="lv-LV"/>
        </w:rPr>
        <w:t>18.</w:t>
      </w:r>
      <w:r w:rsidRPr="00855036" w:rsidR="008611C5">
        <w:rPr>
          <w:lang w:val="lv-LV"/>
        </w:rPr>
        <w:t> </w:t>
      </w:r>
      <w:r w:rsidRPr="00855036">
        <w:rPr>
          <w:lang w:val="lv-LV"/>
        </w:rPr>
        <w:t xml:space="preserve">oktobrī. </w:t>
      </w:r>
    </w:p>
    <w:p w:rsidR="008102F1" w:rsidRPr="00855036" w:rsidP="00934EB6" w14:paraId="218CF015" w14:textId="04011E3F">
      <w:pPr>
        <w:rPr>
          <w:lang w:val="lv-LV"/>
        </w:rPr>
      </w:pPr>
      <w:r w:rsidRPr="00855036">
        <w:rPr>
          <w:b/>
          <w:lang w:val="lv-LV"/>
        </w:rPr>
        <w:t>Valsts akciju sabiedrība “</w:t>
      </w:r>
      <w:r w:rsidRPr="00855036">
        <w:rPr>
          <w:b/>
          <w:lang w:val="lv-LV"/>
        </w:rPr>
        <w:t>Latvijas valsts radio un televīzijas centrs</w:t>
      </w:r>
      <w:r w:rsidRPr="00855036">
        <w:rPr>
          <w:b/>
          <w:lang w:val="lv-LV"/>
        </w:rPr>
        <w:t>”</w:t>
      </w:r>
      <w:r w:rsidRPr="00855036" w:rsidR="00A33C21">
        <w:rPr>
          <w:lang w:val="lv-LV"/>
        </w:rPr>
        <w:t xml:space="preserve"> ir vērsis uzmanību</w:t>
      </w:r>
      <w:r w:rsidRPr="00855036">
        <w:rPr>
          <w:lang w:val="lv-LV"/>
        </w:rPr>
        <w:t xml:space="preserve"> uz Eiropas statistikas biroja </w:t>
      </w:r>
      <w:r w:rsidRPr="00855036">
        <w:rPr>
          <w:i/>
          <w:lang w:val="lv-LV"/>
        </w:rPr>
        <w:t>Eurostat</w:t>
      </w:r>
      <w:r w:rsidRPr="00855036">
        <w:rPr>
          <w:lang w:val="lv-LV"/>
        </w:rPr>
        <w:t xml:space="preserve"> veiktā pētījuma “Informācijas un komunikāciju  tehnoloģiju lietošana un e-komercija uzņēmumos” rezultātiem par mākoņpakalpojumu izmantošanu </w:t>
      </w:r>
      <w:r w:rsidRPr="00855036" w:rsidR="008E673B">
        <w:rPr>
          <w:lang w:val="lv-LV"/>
        </w:rPr>
        <w:t xml:space="preserve">un </w:t>
      </w:r>
      <w:r w:rsidRPr="00855036">
        <w:rPr>
          <w:lang w:val="lv-LV"/>
        </w:rPr>
        <w:t>norād</w:t>
      </w:r>
      <w:r w:rsidRPr="00855036" w:rsidR="008E673B">
        <w:rPr>
          <w:lang w:val="lv-LV"/>
        </w:rPr>
        <w:t>a</w:t>
      </w:r>
      <w:r w:rsidRPr="00855036">
        <w:rPr>
          <w:lang w:val="lv-LV"/>
        </w:rPr>
        <w:t>, ka, E</w:t>
      </w:r>
      <w:r w:rsidRPr="00855036" w:rsidR="00726530">
        <w:rPr>
          <w:lang w:val="lv-LV"/>
        </w:rPr>
        <w:t>S</w:t>
      </w:r>
      <w:r w:rsidRPr="00855036">
        <w:rPr>
          <w:lang w:val="lv-LV"/>
        </w:rPr>
        <w:t xml:space="preserve"> strauji izplat</w:t>
      </w:r>
      <w:r w:rsidRPr="00855036" w:rsidR="008E673B">
        <w:rPr>
          <w:lang w:val="lv-LV"/>
        </w:rPr>
        <w:t>ās mākoņpakalpojumu izmantošana, ko</w:t>
      </w:r>
      <w:r w:rsidRPr="00855036">
        <w:rPr>
          <w:lang w:val="lv-LV"/>
        </w:rPr>
        <w:t xml:space="preserve"> Eiropā vidēji </w:t>
      </w:r>
      <w:r w:rsidRPr="00855036" w:rsidR="00DA0C64">
        <w:rPr>
          <w:lang w:val="lv-LV"/>
        </w:rPr>
        <w:t xml:space="preserve">lieto </w:t>
      </w:r>
      <w:r w:rsidRPr="00855036">
        <w:rPr>
          <w:lang w:val="lv-LV"/>
        </w:rPr>
        <w:t xml:space="preserve">aptuveni viena piektā daļa </w:t>
      </w:r>
      <w:r w:rsidRPr="00855036" w:rsidR="008E673B">
        <w:rPr>
          <w:lang w:val="lv-LV"/>
        </w:rPr>
        <w:t>uzņēmumu</w:t>
      </w:r>
      <w:r w:rsidRPr="00855036" w:rsidR="00BD1D97">
        <w:rPr>
          <w:lang w:val="lv-LV"/>
        </w:rPr>
        <w:t>.</w:t>
      </w:r>
      <w:r w:rsidRPr="00855036">
        <w:rPr>
          <w:lang w:val="lv-LV"/>
        </w:rPr>
        <w:t xml:space="preserve"> Skandināvijā šie rādītāj</w:t>
      </w:r>
      <w:r w:rsidRPr="00855036" w:rsidR="00A33C21">
        <w:rPr>
          <w:lang w:val="lv-LV"/>
        </w:rPr>
        <w:t>i ir visaugstākie, kur mākoņpakalpojumus</w:t>
      </w:r>
      <w:r w:rsidRPr="00855036">
        <w:rPr>
          <w:lang w:val="lv-LV"/>
        </w:rPr>
        <w:t xml:space="preserve"> lieto aptuveni puse uzņēmumu (57</w:t>
      </w:r>
      <w:r w:rsidRPr="00855036" w:rsidR="005A101D">
        <w:rPr>
          <w:lang w:val="lv-LV"/>
        </w:rPr>
        <w:t> </w:t>
      </w:r>
      <w:r w:rsidRPr="00855036">
        <w:rPr>
          <w:lang w:val="lv-LV"/>
        </w:rPr>
        <w:t>%), tajā pašā laikā Latvijā tikai 8,3</w:t>
      </w:r>
      <w:r w:rsidRPr="00855036" w:rsidR="00DB5F43">
        <w:rPr>
          <w:lang w:val="lv-LV"/>
        </w:rPr>
        <w:t> </w:t>
      </w:r>
      <w:r w:rsidRPr="00855036">
        <w:rPr>
          <w:lang w:val="lv-LV"/>
        </w:rPr>
        <w:t xml:space="preserve">% uzņēmumu savā darbā izmanto kādu no mākoņpakalpojumiem. </w:t>
      </w:r>
      <w:r w:rsidRPr="00855036" w:rsidR="008E673B">
        <w:rPr>
          <w:lang w:val="lv-LV"/>
        </w:rPr>
        <w:t>Saskaņā ar b</w:t>
      </w:r>
      <w:r w:rsidRPr="00855036">
        <w:rPr>
          <w:lang w:val="lv-LV"/>
        </w:rPr>
        <w:t>iznesa tehnoloģiju</w:t>
      </w:r>
      <w:r w:rsidRPr="00855036" w:rsidR="008E673B">
        <w:rPr>
          <w:lang w:val="lv-LV"/>
        </w:rPr>
        <w:t xml:space="preserve"> platformas BiSMARTekspertu novērtējumu</w:t>
      </w:r>
      <w:r w:rsidRPr="00855036">
        <w:rPr>
          <w:lang w:val="lv-LV"/>
        </w:rPr>
        <w:t xml:space="preserve"> mākoņpakalpojumu izmantošana uzņēmumam ļautu gadā ietaupīt ap 40-50%</w:t>
      </w:r>
      <w:r w:rsidRPr="00855036" w:rsidR="00DB5F43">
        <w:rPr>
          <w:lang w:val="lv-LV"/>
        </w:rPr>
        <w:t> </w:t>
      </w:r>
      <w:r w:rsidRPr="00855036">
        <w:rPr>
          <w:lang w:val="lv-LV"/>
        </w:rPr>
        <w:t>operacionālo tēriņu. Kopumā secināts, ka mākoņpakalpojumu izmantošana ir lietderīga šādu iemeslu dēļ:</w:t>
      </w:r>
    </w:p>
    <w:p w:rsidR="008102F1" w:rsidRPr="00855036" w:rsidP="00926D90" w14:paraId="36E31B9D" w14:textId="77777777">
      <w:pPr>
        <w:pStyle w:val="ListParagraph"/>
        <w:numPr>
          <w:ilvl w:val="0"/>
          <w:numId w:val="34"/>
        </w:numPr>
      </w:pPr>
      <w:r w:rsidRPr="00855036">
        <w:t>garantēta datu drošība,</w:t>
      </w:r>
    </w:p>
    <w:p w:rsidR="008102F1" w:rsidRPr="00855036" w:rsidP="00926D90" w14:paraId="41A7228A" w14:textId="77777777">
      <w:pPr>
        <w:pStyle w:val="ListParagraph"/>
        <w:numPr>
          <w:ilvl w:val="0"/>
          <w:numId w:val="34"/>
        </w:numPr>
      </w:pPr>
      <w:r w:rsidRPr="00855036">
        <w:t>izmaksu samazināšana un laika ietaupīšana,</w:t>
      </w:r>
    </w:p>
    <w:p w:rsidR="008102F1" w:rsidRPr="00855036" w:rsidP="00926D90" w14:paraId="43E4CD11" w14:textId="77777777">
      <w:pPr>
        <w:pStyle w:val="ListParagraph"/>
        <w:numPr>
          <w:ilvl w:val="0"/>
          <w:numId w:val="34"/>
        </w:numPr>
      </w:pPr>
      <w:r w:rsidRPr="00855036">
        <w:t>mazākas elektroenerģijas izmaksas,</w:t>
      </w:r>
    </w:p>
    <w:p w:rsidR="008102F1" w:rsidRPr="00855036" w:rsidP="00926D90" w14:paraId="3B9BE336" w14:textId="77777777">
      <w:pPr>
        <w:pStyle w:val="ListParagraph"/>
        <w:numPr>
          <w:ilvl w:val="0"/>
          <w:numId w:val="34"/>
        </w:numPr>
      </w:pPr>
      <w:r w:rsidRPr="00855036">
        <w:t>atslogots IT personāla darbs sistēmu uzturēšanā,</w:t>
      </w:r>
    </w:p>
    <w:p w:rsidR="008102F1" w:rsidRPr="00855036" w:rsidP="00926D90" w14:paraId="666866E1" w14:textId="77777777">
      <w:pPr>
        <w:pStyle w:val="ListParagraph"/>
        <w:numPr>
          <w:ilvl w:val="0"/>
          <w:numId w:val="34"/>
        </w:numPr>
      </w:pPr>
      <w:r w:rsidRPr="00855036">
        <w:t>automātiska programmatūru atjaunināšana,</w:t>
      </w:r>
    </w:p>
    <w:p w:rsidR="008102F1" w:rsidRPr="00855036" w:rsidP="00926D90" w14:paraId="4E3FC4E4" w14:textId="77777777">
      <w:pPr>
        <w:pStyle w:val="ListParagraph"/>
        <w:numPr>
          <w:ilvl w:val="0"/>
          <w:numId w:val="34"/>
        </w:numPr>
      </w:pPr>
      <w:r w:rsidRPr="00855036">
        <w:t>elastīgums,</w:t>
      </w:r>
    </w:p>
    <w:p w:rsidR="008102F1" w:rsidRPr="00855036" w:rsidP="00926D90" w14:paraId="7F714208" w14:textId="77777777">
      <w:pPr>
        <w:pStyle w:val="ListParagraph"/>
        <w:numPr>
          <w:ilvl w:val="0"/>
          <w:numId w:val="34"/>
        </w:numPr>
      </w:pPr>
      <w:r w:rsidRPr="00855036">
        <w:t>konkurētspējas paaugstināšanās.</w:t>
      </w:r>
    </w:p>
    <w:p w:rsidR="008102F1" w:rsidRPr="00855036" w:rsidP="00934EB6" w14:paraId="36FF19A1" w14:textId="2DC20520">
      <w:pPr>
        <w:rPr>
          <w:lang w:val="lv-LV"/>
        </w:rPr>
      </w:pPr>
      <w:r w:rsidRPr="00855036">
        <w:rPr>
          <w:lang w:val="lv-LV"/>
        </w:rPr>
        <w:t xml:space="preserve">Minētā </w:t>
      </w:r>
      <w:r w:rsidRPr="00855036">
        <w:rPr>
          <w:i/>
          <w:lang w:val="lv-LV"/>
        </w:rPr>
        <w:t>Eurostat</w:t>
      </w:r>
      <w:r w:rsidRPr="00855036">
        <w:rPr>
          <w:lang w:val="lv-LV"/>
        </w:rPr>
        <w:t xml:space="preserve"> pētījuma rezultāti rāda, ka uzņēmēju vidē joprojām pastāv dažādas barjeras, kuru dēļ netiek veikta izvēle par labu mākoņpakalpojumu izmantošanai. Viens no lielākajiem aizspriedumiem attiecībā uz mākoņpakalpojumu izmantošanu ir bažas par drošību (45</w:t>
      </w:r>
      <w:r w:rsidRPr="00855036" w:rsidR="005A101D">
        <w:rPr>
          <w:lang w:val="lv-LV"/>
        </w:rPr>
        <w:t> </w:t>
      </w:r>
      <w:r w:rsidRPr="00855036">
        <w:rPr>
          <w:lang w:val="lv-LV"/>
        </w:rPr>
        <w:t>%), kam seko bažas par reglamentējošiem šķēršļiem un privātumu.</w:t>
      </w:r>
    </w:p>
    <w:p w:rsidR="008102F1" w:rsidRPr="00855036" w:rsidP="00934EB6" w14:paraId="7386FE8A" w14:textId="178DB7FF">
      <w:pPr>
        <w:rPr>
          <w:lang w:val="lv-LV"/>
        </w:rPr>
      </w:pPr>
      <w:r w:rsidRPr="00855036">
        <w:rPr>
          <w:lang w:val="lv-LV"/>
        </w:rPr>
        <w:t>Lai mazinā</w:t>
      </w:r>
      <w:r w:rsidRPr="00855036">
        <w:rPr>
          <w:lang w:val="lv-LV"/>
        </w:rPr>
        <w:t>tu aizspriedumus par mākoņpakalpojumu izmantošanas riskiem, kā arī vairotu informētības līmeni par datu glabāšan</w:t>
      </w:r>
      <w:r w:rsidRPr="00855036" w:rsidR="006533FD">
        <w:rPr>
          <w:lang w:val="lv-LV"/>
        </w:rPr>
        <w:t>u</w:t>
      </w:r>
      <w:r w:rsidRPr="00855036" w:rsidR="006C0277">
        <w:rPr>
          <w:lang w:val="lv-LV"/>
        </w:rPr>
        <w:t>,</w:t>
      </w:r>
      <w:r w:rsidRPr="00855036" w:rsidR="006533FD">
        <w:rPr>
          <w:lang w:val="lv-LV"/>
        </w:rPr>
        <w:t xml:space="preserve"> izmantojot mākoņpakalpojumu iespējas</w:t>
      </w:r>
      <w:r w:rsidRPr="00855036">
        <w:rPr>
          <w:lang w:val="lv-LV"/>
        </w:rPr>
        <w:t xml:space="preserve"> mākoņos ieguvumiem, nepieciešama mērķtiecīga un uz faktiem balstīta komunikācija ar potenciālajiem pakalpojumu izmantotājiem. Tādēļ vērtīgi būtu </w:t>
      </w:r>
      <w:r w:rsidRPr="00855036" w:rsidR="006C0277">
        <w:rPr>
          <w:lang w:val="lv-LV"/>
        </w:rPr>
        <w:t>uzsākt</w:t>
      </w:r>
      <w:r w:rsidRPr="00855036">
        <w:rPr>
          <w:lang w:val="lv-LV"/>
        </w:rPr>
        <w:t xml:space="preserve"> diskusiju valstiskā līmenī, kur</w:t>
      </w:r>
      <w:r w:rsidRPr="00855036" w:rsidR="006C0277">
        <w:rPr>
          <w:lang w:val="lv-LV"/>
        </w:rPr>
        <w:t>ā</w:t>
      </w:r>
      <w:r w:rsidRPr="00855036">
        <w:rPr>
          <w:lang w:val="lv-LV"/>
        </w:rPr>
        <w:t xml:space="preserve"> tiktu iesaistīti gan nozares eksperti, gan uzņēmumu pārstāvji, kuri jau ir izdarījuši izvēli par labu mākoņpakalpojumu izmantošanai, tādējādi veicinot labvēlīgu augsni informācijas apmaiņai un rosinot uzņēmējus izvērtēt esošo datu glabāšanas politiku uzņēmumos.</w:t>
      </w:r>
    </w:p>
    <w:p w:rsidR="00971539" w:rsidRPr="00855036" w:rsidP="00934EB6" w14:paraId="1CDFF829" w14:textId="77777777">
      <w:pPr>
        <w:rPr>
          <w:lang w:val="lv-LV"/>
        </w:rPr>
      </w:pPr>
      <w:r w:rsidRPr="00855036">
        <w:rPr>
          <w:b/>
          <w:lang w:val="lv-LV"/>
        </w:rPr>
        <w:t xml:space="preserve">Pārresoru koordinācijas centrs </w:t>
      </w:r>
      <w:r w:rsidRPr="00855036">
        <w:rPr>
          <w:lang w:val="lv-LV"/>
        </w:rPr>
        <w:t xml:space="preserve">ir norādījis, ka Eiropas digitālā vienotā tirgus potenciāls ietver nozīmīgas iespējas Latvijas IKT nozares un valsts ekonomikas kopējai attīstībai, un tā izveide veicinās Latvijas izstrādātāju un pakalpojumu sniedzēju eksportspēju un pārrobežu konkurētspēju, kā arī radīs priekšnoteikumus jaunu inovāciju izstrādē. NAP2020 [367] uzdevums paredz, nepieciešamību palielināt ekonomisko aktivitāti reģionos un attīstības centros, piesaistot un izmantojot apkārt esošo teritoriju resursus, atbalstot uzņēmējdarbības, transporta un IKT infrastruktūras attīstību, lai apturētu negatīvās tendences sociālekonomiska atšķirību starp reģioniem pieaugumā. </w:t>
      </w:r>
    </w:p>
    <w:p w:rsidR="00971539" w:rsidRPr="00855036" w:rsidP="006E56E8" w14:paraId="573FF278" w14:textId="77777777">
      <w:pPr>
        <w:spacing w:after="0"/>
        <w:jc w:val="center"/>
        <w:rPr>
          <w:rFonts w:cs="Times New Roman"/>
          <w:szCs w:val="28"/>
          <w:lang w:val="lv-LV"/>
        </w:rPr>
      </w:pPr>
    </w:p>
    <w:p w:rsidR="00C5701A" w:rsidRPr="00855036" w:rsidP="002934A4" w14:paraId="4B45BA90" w14:textId="77FA6E8D">
      <w:pPr>
        <w:pStyle w:val="Heading2"/>
        <w:rPr>
          <w:lang w:val="lv-LV"/>
        </w:rPr>
      </w:pPr>
      <w:bookmarkStart w:id="41" w:name="_Toc503516724"/>
      <w:bookmarkStart w:id="42" w:name="_Toc256000015"/>
      <w:bookmarkStart w:id="43" w:name="_Toc256000035"/>
      <w:r w:rsidRPr="00855036">
        <w:rPr>
          <w:lang w:val="lv-LV"/>
        </w:rPr>
        <w:t>P</w:t>
      </w:r>
      <w:r w:rsidRPr="00855036" w:rsidR="006445C7">
        <w:rPr>
          <w:lang w:val="lv-LV"/>
        </w:rPr>
        <w:t>riekšlikumi rīcībai DESI indeksa rādītāja “Ciparu tehnoloģiju integrācija” uzlabošanai</w:t>
      </w:r>
      <w:bookmarkEnd w:id="43"/>
      <w:bookmarkEnd w:id="42"/>
      <w:bookmarkEnd w:id="41"/>
    </w:p>
    <w:p w:rsidR="007E4C82" w:rsidRPr="00855036" w:rsidP="00D159A8" w14:paraId="4D12FF67" w14:textId="77777777">
      <w:pPr>
        <w:tabs>
          <w:tab w:val="left" w:pos="9356"/>
        </w:tabs>
        <w:spacing w:after="0"/>
        <w:ind w:right="12"/>
        <w:jc w:val="center"/>
        <w:rPr>
          <w:rFonts w:cs="Times New Roman"/>
          <w:szCs w:val="28"/>
          <w:lang w:val="lv-LV"/>
        </w:rPr>
      </w:pPr>
    </w:p>
    <w:p w:rsidR="009F2E8E" w:rsidRPr="00855036" w:rsidP="00934EB6" w14:paraId="02D4926A" w14:textId="27DD0ED2">
      <w:pPr>
        <w:rPr>
          <w:lang w:val="lv-LV"/>
        </w:rPr>
      </w:pPr>
      <w:r w:rsidRPr="00855036">
        <w:rPr>
          <w:lang w:val="lv-LV"/>
        </w:rPr>
        <w:t>Ņemot vērā neapmierinošo Latvijas sniegumu DESI indeksa rādītājā “Ciparu tehnoloģiju integrācija” (25.</w:t>
      </w:r>
      <w:r w:rsidRPr="00855036" w:rsidR="006C0277">
        <w:rPr>
          <w:lang w:val="lv-LV"/>
        </w:rPr>
        <w:t> </w:t>
      </w:r>
      <w:r w:rsidRPr="00855036">
        <w:rPr>
          <w:lang w:val="lv-LV"/>
        </w:rPr>
        <w:t xml:space="preserve">vieta), uzskatām, ka DESI indeksa rādītāja “Ciparu tehnoloģiju integrācija” uzlabošana ir stratēģisks uzdevums, kas risināms ar mērķtiecīgas un plānveidīgas darbības  palīdzību. Šim nolūkam </w:t>
      </w:r>
      <w:r w:rsidRPr="00855036" w:rsidR="003D6068">
        <w:rPr>
          <w:lang w:val="lv-LV"/>
        </w:rPr>
        <w:t>aicinām</w:t>
      </w:r>
      <w:r w:rsidRPr="00855036">
        <w:rPr>
          <w:lang w:val="lv-LV"/>
        </w:rPr>
        <w:t xml:space="preserve"> informatīvā ziņojuma protokollēmumā iekļaut uzdevumu </w:t>
      </w:r>
      <w:r w:rsidRPr="00855036" w:rsidR="004F4843">
        <w:rPr>
          <w:lang w:val="lv-LV"/>
        </w:rPr>
        <w:t xml:space="preserve">Ekonomikas ministrijai sadarbībā ar citām ministrijām līdz 2018. gada </w:t>
      </w:r>
      <w:r w:rsidR="00D01F47">
        <w:rPr>
          <w:lang w:val="lv-LV"/>
        </w:rPr>
        <w:t>28</w:t>
      </w:r>
      <w:r w:rsidRPr="00855036" w:rsidR="004F4843">
        <w:rPr>
          <w:lang w:val="lv-LV"/>
        </w:rPr>
        <w:t>. </w:t>
      </w:r>
      <w:r w:rsidR="00D01F47">
        <w:rPr>
          <w:lang w:val="lv-LV"/>
        </w:rPr>
        <w:t>februārim</w:t>
      </w:r>
      <w:r w:rsidRPr="00855036" w:rsidR="004F4843">
        <w:rPr>
          <w:lang w:val="lv-LV"/>
        </w:rPr>
        <w:t xml:space="preserve"> izstrādāt Digitālās ekonomikas un sabiedrības indikatora (turpmāk – DESI) rādītāja “Ciparu tehnoloģiju integrācija” uzlabošanas aktivitāšu plānu.</w:t>
      </w:r>
    </w:p>
    <w:p w:rsidR="004F4843" w:rsidRPr="00855036" w:rsidP="004F4843" w14:paraId="745F1525" w14:textId="77777777">
      <w:pPr>
        <w:tabs>
          <w:tab w:val="left" w:pos="9356"/>
        </w:tabs>
        <w:spacing w:after="0"/>
        <w:ind w:right="12"/>
        <w:rPr>
          <w:rFonts w:cs="Times New Roman"/>
          <w:b/>
          <w:szCs w:val="28"/>
          <w:lang w:val="lv-LV"/>
        </w:rPr>
      </w:pPr>
    </w:p>
    <w:p w:rsidR="007C126F" w:rsidRPr="00D01F47" w:rsidP="002934A4" w14:paraId="300195CB" w14:textId="6494E854">
      <w:pPr>
        <w:pStyle w:val="Heading2"/>
        <w:numPr>
          <w:ilvl w:val="1"/>
          <w:numId w:val="33"/>
        </w:numPr>
        <w:rPr>
          <w:lang w:val="lv-LV"/>
        </w:rPr>
      </w:pPr>
      <w:bookmarkStart w:id="44" w:name="_Toc503516725"/>
      <w:bookmarkStart w:id="45" w:name="_Toc256000016"/>
      <w:bookmarkStart w:id="46" w:name="_Toc256000036"/>
      <w:r w:rsidRPr="00D01F47">
        <w:rPr>
          <w:lang w:val="lv-LV"/>
        </w:rPr>
        <w:t xml:space="preserve">Latvijas sniegums DESI indeksa rādītājā </w:t>
      </w:r>
      <w:r w:rsidRPr="00D01F47" w:rsidR="007E5D5F">
        <w:rPr>
          <w:lang w:val="lv-LV"/>
        </w:rPr>
        <w:t>“D</w:t>
      </w:r>
      <w:r w:rsidRPr="00D01F47" w:rsidR="00D159A8">
        <w:rPr>
          <w:lang w:val="lv-LV"/>
        </w:rPr>
        <w:t>igitālie publiskie pakalpojumi”</w:t>
      </w:r>
      <w:bookmarkEnd w:id="46"/>
      <w:bookmarkEnd w:id="45"/>
      <w:bookmarkEnd w:id="44"/>
    </w:p>
    <w:p w:rsidR="00A92A18" w:rsidRPr="00855036" w:rsidP="00CF5C05" w14:paraId="47DC69CF" w14:textId="77777777">
      <w:pPr>
        <w:keepNext/>
        <w:spacing w:after="0"/>
        <w:rPr>
          <w:rFonts w:cs="Times New Roman"/>
          <w:b/>
          <w:szCs w:val="28"/>
          <w:lang w:val="lv-LV"/>
        </w:rPr>
      </w:pPr>
    </w:p>
    <w:p w:rsidR="009250B6" w:rsidRPr="00855036" w:rsidP="00934EB6" w14:paraId="6DD40B9B" w14:textId="6CFC0CEF">
      <w:pPr>
        <w:rPr>
          <w:lang w:val="lv-LV"/>
        </w:rPr>
      </w:pPr>
      <w:r w:rsidRPr="00855036">
        <w:rPr>
          <w:lang w:val="lv-LV"/>
        </w:rPr>
        <w:t>DESI i</w:t>
      </w:r>
      <w:r w:rsidRPr="00855036">
        <w:rPr>
          <w:lang w:val="lv-LV"/>
        </w:rPr>
        <w:t>ndeks</w:t>
      </w:r>
      <w:r w:rsidRPr="00855036" w:rsidR="00514FB3">
        <w:rPr>
          <w:lang w:val="lv-LV"/>
        </w:rPr>
        <w:t>a</w:t>
      </w:r>
      <w:r w:rsidRPr="00855036">
        <w:rPr>
          <w:lang w:val="lv-LV"/>
        </w:rPr>
        <w:t xml:space="preserve"> </w:t>
      </w:r>
      <w:r w:rsidRPr="00855036">
        <w:rPr>
          <w:lang w:val="lv-LV"/>
        </w:rPr>
        <w:t xml:space="preserve">rādītāja </w:t>
      </w:r>
      <w:r w:rsidRPr="00855036">
        <w:rPr>
          <w:lang w:val="lv-LV"/>
        </w:rPr>
        <w:t>“</w:t>
      </w:r>
      <w:r w:rsidRPr="00855036" w:rsidR="00514FB3">
        <w:rPr>
          <w:lang w:val="lv-LV"/>
        </w:rPr>
        <w:t>Digitālie publiskie pakalpojumi</w:t>
      </w:r>
      <w:r w:rsidRPr="00855036">
        <w:rPr>
          <w:lang w:val="lv-LV"/>
        </w:rPr>
        <w:t xml:space="preserve">” ietvaros tiek vērtēta </w:t>
      </w:r>
      <w:r w:rsidRPr="00855036" w:rsidR="00EC441D">
        <w:rPr>
          <w:lang w:val="lv-LV"/>
        </w:rPr>
        <w:t xml:space="preserve">elektroniskās pārvaldes risinājumu lietotāju skaits, automātiski aizpildītu veidlapu pieejamība, tiešsaistes pakalpojumu pilnīgas izpildes iespēja un atvērto datu izmantošana. </w:t>
      </w:r>
      <w:r w:rsidRPr="00855036">
        <w:rPr>
          <w:lang w:val="lv-LV"/>
        </w:rPr>
        <w:t xml:space="preserve">Minētās novērtējuma komponentes attiecas uz </w:t>
      </w:r>
      <w:r w:rsidRPr="00855036" w:rsidR="00EC441D">
        <w:rPr>
          <w:lang w:val="lv-LV"/>
        </w:rPr>
        <w:t>Elektroniskās pārvaldes attīstības</w:t>
      </w:r>
      <w:r w:rsidRPr="00855036">
        <w:rPr>
          <w:lang w:val="lv-LV"/>
        </w:rPr>
        <w:t xml:space="preserve"> politikas jomu, par kur</w:t>
      </w:r>
      <w:r w:rsidRPr="00855036" w:rsidR="00EC441D">
        <w:rPr>
          <w:lang w:val="lv-LV"/>
        </w:rPr>
        <w:t>u</w:t>
      </w:r>
      <w:r w:rsidRPr="00855036">
        <w:rPr>
          <w:lang w:val="lv-LV"/>
        </w:rPr>
        <w:t xml:space="preserve"> ir atbildīga </w:t>
      </w:r>
      <w:r w:rsidRPr="00855036" w:rsidR="00603096">
        <w:rPr>
          <w:lang w:val="lv-LV"/>
        </w:rPr>
        <w:t>VARAM</w:t>
      </w:r>
      <w:r w:rsidRPr="00855036" w:rsidR="00EC441D">
        <w:rPr>
          <w:lang w:val="lv-LV"/>
        </w:rPr>
        <w:t xml:space="preserve"> un līdzatbildīgas ir visas pārējās ministrijas.</w:t>
      </w:r>
    </w:p>
    <w:p w:rsidR="009250B6" w:rsidRPr="00855036" w:rsidP="00514FB3" w14:paraId="7ACE183D" w14:textId="77777777">
      <w:pPr>
        <w:rPr>
          <w:rFonts w:cs="Times New Roman"/>
          <w:b/>
          <w:i/>
          <w:szCs w:val="28"/>
          <w:lang w:val="lv-LV"/>
        </w:rPr>
      </w:pPr>
      <w:r w:rsidRPr="00855036">
        <w:rPr>
          <w:rFonts w:cs="Times New Roman"/>
          <w:b/>
          <w:i/>
          <w:noProof/>
          <w:szCs w:val="28"/>
        </w:rPr>
        <w:drawing>
          <wp:inline distT="0" distB="0" distL="0" distR="0">
            <wp:extent cx="5486400" cy="2678850"/>
            <wp:effectExtent l="133350" t="133350" r="152400" b="1600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44183" name="Picture 10"/>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2678850"/>
                    </a:xfrm>
                    <a:prstGeom prst="rect">
                      <a:avLst/>
                    </a:prstGeom>
                    <a:solidFill>
                      <a:srgbClr val="FFFFFF">
                        <a:shade val="85000"/>
                      </a:srgbClr>
                    </a:solidFill>
                    <a:ln w="88900" cap="sq">
                      <a:solidFill>
                        <a:srgbClr val="FFFFFF"/>
                      </a:solidFill>
                      <a:miter lim="800000"/>
                    </a:ln>
                    <a:effectLst>
                      <a:outerShdw blurRad="55000" dist="18000" dir="5400000" sx="100000" sy="100000" kx="0" ky="0" algn="tl" rotWithShape="0">
                        <a:srgbClr val="000000">
                          <a:alpha val="40000"/>
                        </a:srgbClr>
                      </a:outerShdw>
                    </a:effectLst>
                    <a:scene3d>
                      <a:camera prst="orthographicFront"/>
                      <a:lightRig rig="twoPt" dir="t">
                        <a:rot lat="0" lon="0" rev="7200000"/>
                      </a:lightRig>
                    </a:scene3d>
                    <a:sp3d>
                      <a:bevelT w="25400" h="19050" prst="circle"/>
                      <a:contourClr>
                        <a:srgbClr val="FFFFFF"/>
                      </a:contourClr>
                    </a:sp3d>
                  </pic:spPr>
                </pic:pic>
              </a:graphicData>
            </a:graphic>
          </wp:inline>
        </w:drawing>
      </w:r>
    </w:p>
    <w:p w:rsidR="00514FB3" w:rsidRPr="00855036" w:rsidP="00934EB6" w14:paraId="4F84E1C2" w14:textId="471562D3">
      <w:pPr>
        <w:rPr>
          <w:lang w:val="lv-LV"/>
        </w:rPr>
      </w:pPr>
      <w:r w:rsidRPr="00855036">
        <w:rPr>
          <w:lang w:val="lv-LV"/>
        </w:rPr>
        <w:t>Attēla avots: Latvijas valsts profils, Eiropas digitālā progresa 2017.</w:t>
      </w:r>
      <w:r w:rsidRPr="00855036" w:rsidR="00A63719">
        <w:rPr>
          <w:lang w:val="lv-LV"/>
        </w:rPr>
        <w:t> </w:t>
      </w:r>
      <w:r w:rsidRPr="00855036">
        <w:rPr>
          <w:lang w:val="lv-LV"/>
        </w:rPr>
        <w:t>gada ziņojums</w:t>
      </w:r>
      <w:r w:rsidR="00926D90">
        <w:rPr>
          <w:lang w:val="lv-LV"/>
        </w:rPr>
        <w:t>.</w:t>
      </w:r>
    </w:p>
    <w:p w:rsidR="00514FB3" w:rsidRPr="00855036" w:rsidP="00934EB6" w14:paraId="37D5A439" w14:textId="77777777">
      <w:pPr>
        <w:rPr>
          <w:b/>
          <w:i/>
          <w:lang w:val="lv-LV"/>
        </w:rPr>
      </w:pPr>
    </w:p>
    <w:p w:rsidR="00F25CEC" w:rsidRPr="00855036" w:rsidP="00934EB6" w14:paraId="1A09E2E5" w14:textId="6E718A2D">
      <w:pPr>
        <w:rPr>
          <w:lang w:val="lv-LV"/>
        </w:rPr>
      </w:pPr>
      <w:r w:rsidRPr="00855036">
        <w:rPr>
          <w:lang w:val="lv-LV"/>
        </w:rPr>
        <w:t xml:space="preserve">Digitālie publiskie pakalpojumi. Latvijā visstraujākā attīstība vērojama tiešsaistē sniegtajos publiskajos pakalpojumos, savukārt atklāto datu jomā, salīdzinot ar citām </w:t>
      </w:r>
      <w:r w:rsidRPr="00855036" w:rsidR="00A63719">
        <w:rPr>
          <w:lang w:val="lv-LV"/>
        </w:rPr>
        <w:t xml:space="preserve">ES </w:t>
      </w:r>
      <w:r w:rsidRPr="00855036">
        <w:rPr>
          <w:lang w:val="lv-LV"/>
        </w:rPr>
        <w:t>dalībvalstīm, virzība uz priekšu ir gausa.</w:t>
      </w:r>
    </w:p>
    <w:p w:rsidR="003024DA" w:rsidRPr="00855036" w:rsidP="00934EB6" w14:paraId="085229E9" w14:textId="3D1898B7">
      <w:pPr>
        <w:rPr>
          <w:lang w:val="lv-LV"/>
        </w:rPr>
      </w:pPr>
      <w:r w:rsidRPr="00855036">
        <w:rPr>
          <w:lang w:val="lv-LV"/>
        </w:rPr>
        <w:t>Pagājušajā gadā Latvija ir atzīstami progresējusi digitālo</w:t>
      </w:r>
      <w:r w:rsidRPr="00855036" w:rsidR="00C94641">
        <w:rPr>
          <w:lang w:val="lv-LV"/>
        </w:rPr>
        <w:t xml:space="preserve"> publisko pakalpojumu sniegšanā un izmantošan</w:t>
      </w:r>
      <w:r w:rsidRPr="00855036">
        <w:rPr>
          <w:lang w:val="lv-LV"/>
        </w:rPr>
        <w:t>ā, Latvija ieņem 8.</w:t>
      </w:r>
      <w:r w:rsidRPr="00855036" w:rsidR="00A63719">
        <w:rPr>
          <w:lang w:val="lv-LV"/>
        </w:rPr>
        <w:t> </w:t>
      </w:r>
      <w:r w:rsidRPr="00855036">
        <w:rPr>
          <w:lang w:val="lv-LV"/>
        </w:rPr>
        <w:t>vietu ES dalībvalstu vidū valsts pārvaldes tiešsaistes pakalpojumu pieejamības ziņā. To iedzīvotāju skaits, kuri izmanto e-pārvaldes pakalpojumus, ir 38</w:t>
      </w:r>
      <w:r w:rsidRPr="00855036" w:rsidR="00A63719">
        <w:rPr>
          <w:lang w:val="lv-LV"/>
        </w:rPr>
        <w:t> </w:t>
      </w:r>
      <w:r w:rsidRPr="00855036">
        <w:rPr>
          <w:lang w:val="lv-LV"/>
        </w:rPr>
        <w:t>%, kas ir virs ES vidējā (34</w:t>
      </w:r>
      <w:r w:rsidRPr="00855036" w:rsidR="00A63719">
        <w:rPr>
          <w:lang w:val="lv-LV"/>
        </w:rPr>
        <w:t> </w:t>
      </w:r>
      <w:r w:rsidRPr="00855036">
        <w:rPr>
          <w:lang w:val="lv-LV"/>
        </w:rPr>
        <w:t xml:space="preserve">%). Tomēr, neraugoties uz progresu saistībā ar gatavību izmantot atklātos datus, Latvija atrodas pēdējā vietā — galvenokārt tādēļ, ka </w:t>
      </w:r>
      <w:r w:rsidRPr="00855036">
        <w:rPr>
          <w:lang w:val="lv-LV"/>
        </w:rPr>
        <w:t>novērtējuma brīd</w:t>
      </w:r>
      <w:r w:rsidRPr="00855036" w:rsidR="009D4458">
        <w:rPr>
          <w:lang w:val="lv-LV"/>
        </w:rPr>
        <w:t>ī</w:t>
      </w:r>
      <w:r w:rsidRPr="00855036">
        <w:rPr>
          <w:lang w:val="lv-LV"/>
        </w:rPr>
        <w:t xml:space="preserve"> darbību vēl nebija uzsācis valsts atklāto datu portāls. Lai uzlabotu datu pieejamību publiskās pārvaldes institūcijām un nodrošinātu atkalizmantojamu datu publicēšanu atkalizmantošanai privātu uzņēmumu pakalpojumos, centralizētas publiskās pārvaldes atvērto datu portāla darbināšana tika uzsākta 2017.</w:t>
      </w:r>
      <w:r w:rsidRPr="00855036" w:rsidR="00EB52A3">
        <w:rPr>
          <w:lang w:val="lv-LV"/>
        </w:rPr>
        <w:t> </w:t>
      </w:r>
      <w:r w:rsidRPr="00855036">
        <w:rPr>
          <w:lang w:val="lv-LV"/>
        </w:rPr>
        <w:t>gada jūnijā.</w:t>
      </w:r>
    </w:p>
    <w:p w:rsidR="009F5FC0" w:rsidRPr="00855036" w:rsidP="00934EB6" w14:paraId="531E8465" w14:textId="519E8480">
      <w:pPr>
        <w:rPr>
          <w:lang w:val="lv-LV"/>
        </w:rPr>
      </w:pPr>
      <w:r w:rsidRPr="00855036">
        <w:rPr>
          <w:lang w:val="lv-LV"/>
        </w:rPr>
        <w:t xml:space="preserve">DESI </w:t>
      </w:r>
      <w:r w:rsidRPr="00855036" w:rsidR="00A63719">
        <w:rPr>
          <w:lang w:val="lv-LV"/>
        </w:rPr>
        <w:t xml:space="preserve">indekss </w:t>
      </w:r>
      <w:r w:rsidRPr="00855036">
        <w:rPr>
          <w:lang w:val="lv-LV"/>
        </w:rPr>
        <w:t>apliecina, ka Latvijai ir potenciāls digitālo pakalpojumu jomā. Tomēr jāapzinās, ka digitālās vides sniegto iespēju izmantošana iedzīvotāju, uzņēmēju, kā arī publiskās pārvaldes pusē ir cieši saistīta ar vairāku ministriju paveikto. Digitālai videi nav fizisku robežu. Tāpēc arī Latvijas dažādu atbildīgo iestāžu sadarbībai ir jābūt ar plašāku un, iespējams, ambiciozāku redzējumu. Būtiski, lai nozaru griezumā atbildīgās institūcijas aktīvi rīkotos savas kompetences ietvaros. Tikai tā iespējams panākt situāciju, ka Latvijas iedzīvotāji un komersanti būs zinoši un prasmīgi, lai izmantotu visas digitālās vides radītās iespējas.</w:t>
      </w:r>
    </w:p>
    <w:p w:rsidR="009A7D6B" w:rsidRPr="00855036" w:rsidP="00934EB6" w14:paraId="73C18F3E" w14:textId="77777777">
      <w:pPr>
        <w:rPr>
          <w:lang w:val="lv-LV"/>
        </w:rPr>
      </w:pPr>
      <w:r w:rsidRPr="00855036">
        <w:rPr>
          <w:lang w:val="lv-LV"/>
        </w:rPr>
        <w:t>E-pārvaldes politika galvenokārt ir noteikta Informācijas sabiedrības attīstības pama</w:t>
      </w:r>
      <w:r w:rsidRPr="00855036" w:rsidR="00A92A18">
        <w:rPr>
          <w:lang w:val="lv-LV"/>
        </w:rPr>
        <w:t>tnostādnēs 2014.–2020.</w:t>
      </w:r>
      <w:r w:rsidRPr="00855036" w:rsidR="00A63719">
        <w:rPr>
          <w:lang w:val="lv-LV"/>
        </w:rPr>
        <w:t> </w:t>
      </w:r>
      <w:r w:rsidRPr="00855036" w:rsidR="00A92A18">
        <w:rPr>
          <w:lang w:val="lv-LV"/>
        </w:rPr>
        <w:t xml:space="preserve">gadam. </w:t>
      </w:r>
      <w:r w:rsidRPr="00855036" w:rsidR="00A63719">
        <w:rPr>
          <w:lang w:val="lv-LV"/>
        </w:rPr>
        <w:t xml:space="preserve">Latvijas Republikas Saeima 2015. gada 5. novembrī pieņēma Fizisko personu elektroniskās identifikācijas likumu, kas stājās spēkā </w:t>
      </w:r>
      <w:r w:rsidRPr="00855036">
        <w:rPr>
          <w:lang w:val="lv-LV"/>
        </w:rPr>
        <w:t>2015.</w:t>
      </w:r>
      <w:r w:rsidRPr="00855036" w:rsidR="00A63719">
        <w:rPr>
          <w:lang w:val="lv-LV"/>
        </w:rPr>
        <w:t> </w:t>
      </w:r>
      <w:r w:rsidRPr="00855036">
        <w:rPr>
          <w:lang w:val="lv-LV"/>
        </w:rPr>
        <w:t xml:space="preserve">gada </w:t>
      </w:r>
      <w:r w:rsidRPr="00855036" w:rsidR="00A63719">
        <w:rPr>
          <w:lang w:val="lv-LV"/>
        </w:rPr>
        <w:t>8. </w:t>
      </w:r>
      <w:r w:rsidRPr="00855036">
        <w:rPr>
          <w:lang w:val="lv-LV"/>
        </w:rPr>
        <w:t>decembrī</w:t>
      </w:r>
      <w:r w:rsidRPr="00855036" w:rsidR="004003F2">
        <w:rPr>
          <w:lang w:val="lv-LV"/>
        </w:rPr>
        <w:t xml:space="preserve"> (turpmāk – Likums)</w:t>
      </w:r>
      <w:r w:rsidRPr="00855036">
        <w:rPr>
          <w:lang w:val="lv-LV"/>
        </w:rPr>
        <w:t xml:space="preserve">. Likumā noteiktas prasības personu identifikācijai, lai nodrošinātu iespēju saņemt publiskos pakalpojumus elektroniskajā vidē; gaidāms, ka </w:t>
      </w:r>
      <w:r w:rsidRPr="00855036" w:rsidR="004003F2">
        <w:rPr>
          <w:lang w:val="lv-LV"/>
        </w:rPr>
        <w:t xml:space="preserve">Likuma piemērošanas </w:t>
      </w:r>
      <w:r w:rsidRPr="00855036">
        <w:rPr>
          <w:lang w:val="lv-LV"/>
        </w:rPr>
        <w:t>rezultātā palielināsies e-pār</w:t>
      </w:r>
      <w:r w:rsidRPr="00855036">
        <w:rPr>
          <w:lang w:val="lv-LV"/>
        </w:rPr>
        <w:t>valdes pakalpojumu izmantošana.</w:t>
      </w:r>
    </w:p>
    <w:p w:rsidR="009A7D6B" w:rsidRPr="00855036" w:rsidP="00934EB6" w14:paraId="4E868599" w14:textId="2DFBD8D8">
      <w:pPr>
        <w:rPr>
          <w:rFonts w:eastAsia="Times New Roman"/>
          <w:b/>
          <w:lang w:val="lv-LV" w:eastAsia="lv-LV"/>
        </w:rPr>
      </w:pPr>
      <w:r w:rsidRPr="00855036">
        <w:rPr>
          <w:lang w:val="lv-LV"/>
        </w:rPr>
        <w:t>Ministru kabineta 2017.</w:t>
      </w:r>
      <w:r w:rsidRPr="00855036" w:rsidR="008A0D2C">
        <w:rPr>
          <w:lang w:val="lv-LV"/>
        </w:rPr>
        <w:t> </w:t>
      </w:r>
      <w:r w:rsidRPr="00855036">
        <w:rPr>
          <w:lang w:val="lv-LV"/>
        </w:rPr>
        <w:t>gada 24.</w:t>
      </w:r>
      <w:r w:rsidRPr="00855036" w:rsidR="008A0D2C">
        <w:rPr>
          <w:lang w:val="lv-LV"/>
        </w:rPr>
        <w:t> </w:t>
      </w:r>
      <w:r w:rsidRPr="00855036">
        <w:rPr>
          <w:lang w:val="lv-LV"/>
        </w:rPr>
        <w:t>oktobra sēdē tika apstiprināts VARAM sagatavotais informatīvais ziņojums “Par pakalpojumu vides pilnveidi” (Prot.</w:t>
      </w:r>
      <w:r w:rsidRPr="00855036" w:rsidR="008A0D2C">
        <w:rPr>
          <w:lang w:val="lv-LV"/>
        </w:rPr>
        <w:t> </w:t>
      </w:r>
      <w:r w:rsidRPr="00855036">
        <w:rPr>
          <w:lang w:val="lv-LV"/>
        </w:rPr>
        <w:t>Nr.</w:t>
      </w:r>
      <w:r w:rsidRPr="00855036" w:rsidR="008A0D2C">
        <w:rPr>
          <w:lang w:val="lv-LV"/>
        </w:rPr>
        <w:t> </w:t>
      </w:r>
      <w:r w:rsidRPr="00855036">
        <w:rPr>
          <w:lang w:val="lv-LV"/>
        </w:rPr>
        <w:t xml:space="preserve">52, </w:t>
      </w:r>
      <w:bookmarkStart w:id="47" w:name="14"/>
      <w:r w:rsidRPr="00855036">
        <w:rPr>
          <w:lang w:val="lv-LV"/>
        </w:rPr>
        <w:t>14</w:t>
      </w:r>
      <w:bookmarkEnd w:id="47"/>
      <w:r w:rsidRPr="00855036">
        <w:rPr>
          <w:lang w:val="lv-LV"/>
        </w:rPr>
        <w:t xml:space="preserve">.§), kas tika izstrādāts ar mērķi, iezīmēt valsts pārvaldes tīmekļvietņu pilnveides virzienus un noteikt galvenos uzdevumus noteiktu valsts pārvaldes procesu un pakalpojumu elektronizācijā, veidojot koordinētu, sistemātisku pakalpojumu sniegšanas modernizāciju un e-pārvaldes attīstību, kas balstīta uz tādiem principiem - lietotājorientētība, caurskatāmība, pārrobežu mobilitāte, koplietošanas infrastruktūras priekšnosacījumi, mobilā pieejamība, balstoties uz </w:t>
      </w:r>
      <w:r w:rsidRPr="00855036" w:rsidR="008E5D16">
        <w:rPr>
          <w:lang w:val="lv-LV"/>
        </w:rPr>
        <w:t>Eiropas Komisijas</w:t>
      </w:r>
      <w:r w:rsidRPr="00855036">
        <w:rPr>
          <w:lang w:val="lv-LV"/>
        </w:rPr>
        <w:t xml:space="preserve"> ikgadējā novērtējuma </w:t>
      </w:r>
      <w:r w:rsidRPr="00855036">
        <w:rPr>
          <w:i/>
          <w:iCs/>
          <w:lang w:val="lv-LV"/>
        </w:rPr>
        <w:t xml:space="preserve">eGovernment Benchmark 2016 </w:t>
      </w:r>
      <w:r w:rsidRPr="00855036">
        <w:rPr>
          <w:lang w:val="lv-LV"/>
        </w:rPr>
        <w:t xml:space="preserve">datiem. </w:t>
      </w:r>
    </w:p>
    <w:p w:rsidR="007E5D5F" w:rsidRPr="00855036" w:rsidP="00990EC6" w14:paraId="61656B5A" w14:textId="738A0F52">
      <w:pPr>
        <w:spacing w:after="0"/>
        <w:rPr>
          <w:rFonts w:cs="Times New Roman"/>
          <w:szCs w:val="28"/>
          <w:lang w:val="lv-LV"/>
        </w:rPr>
      </w:pPr>
    </w:p>
    <w:p w:rsidR="006E56E8" w:rsidRPr="00855036" w:rsidP="00990EC6" w14:paraId="6AF9AD3E" w14:textId="77777777">
      <w:pPr>
        <w:spacing w:after="0"/>
        <w:rPr>
          <w:rFonts w:cs="Times New Roman"/>
          <w:szCs w:val="28"/>
          <w:lang w:val="lv-LV"/>
        </w:rPr>
      </w:pPr>
    </w:p>
    <w:p w:rsidR="008B3547" w:rsidRPr="00855036" w:rsidP="002934A4" w14:paraId="0F0D2148" w14:textId="5B246A99">
      <w:pPr>
        <w:pStyle w:val="Heading2"/>
        <w:rPr>
          <w:lang w:val="lv-LV"/>
        </w:rPr>
      </w:pPr>
      <w:bookmarkStart w:id="48" w:name="_Toc503516726"/>
      <w:bookmarkStart w:id="49" w:name="_Toc256000017"/>
      <w:bookmarkStart w:id="50" w:name="_Toc256000037"/>
      <w:r w:rsidRPr="00855036">
        <w:rPr>
          <w:lang w:val="lv-LV"/>
        </w:rPr>
        <w:t xml:space="preserve">Institūciju sniegtie priekšlikumi </w:t>
      </w:r>
      <w:r w:rsidRPr="00855036" w:rsidR="00601497">
        <w:rPr>
          <w:lang w:val="lv-LV"/>
        </w:rPr>
        <w:t xml:space="preserve">rīcībai </w:t>
      </w:r>
      <w:r w:rsidRPr="00855036">
        <w:rPr>
          <w:lang w:val="lv-LV"/>
        </w:rPr>
        <w:t xml:space="preserve">DESI indeksa rādītāja </w:t>
      </w:r>
      <w:r w:rsidRPr="00855036">
        <w:rPr>
          <w:lang w:val="lv-LV"/>
        </w:rPr>
        <w:t>“Digitālie pub</w:t>
      </w:r>
      <w:r w:rsidRPr="00855036" w:rsidR="00D159A8">
        <w:rPr>
          <w:lang w:val="lv-LV"/>
        </w:rPr>
        <w:t>liskie pakalpojumi” uzlabošanai</w:t>
      </w:r>
      <w:bookmarkEnd w:id="50"/>
      <w:bookmarkEnd w:id="49"/>
      <w:bookmarkEnd w:id="48"/>
    </w:p>
    <w:p w:rsidR="00250717" w:rsidRPr="00855036" w:rsidP="008B3547" w14:paraId="05C28E1E" w14:textId="77777777">
      <w:pPr>
        <w:spacing w:after="0"/>
        <w:rPr>
          <w:rFonts w:cs="Times New Roman"/>
          <w:b/>
          <w:szCs w:val="28"/>
          <w:lang w:val="lv-LV"/>
        </w:rPr>
      </w:pPr>
    </w:p>
    <w:p w:rsidR="00250717" w:rsidRPr="00855036" w:rsidP="00934EB6" w14:paraId="13D2C8E7" w14:textId="05BAFF05">
      <w:pPr>
        <w:rPr>
          <w:lang w:val="lv-LV"/>
        </w:rPr>
      </w:pPr>
      <w:r w:rsidRPr="00855036">
        <w:rPr>
          <w:b/>
          <w:lang w:val="lv-LV"/>
        </w:rPr>
        <w:t>Ārlietu ministrija</w:t>
      </w:r>
      <w:r w:rsidRPr="00855036" w:rsidR="00C5701A">
        <w:rPr>
          <w:lang w:val="lv-LV"/>
        </w:rPr>
        <w:t xml:space="preserve"> </w:t>
      </w:r>
      <w:r w:rsidRPr="00855036">
        <w:rPr>
          <w:lang w:val="lv-LV"/>
        </w:rPr>
        <w:t xml:space="preserve">ir aicinājusi </w:t>
      </w:r>
      <w:r w:rsidRPr="00855036" w:rsidR="00551A63">
        <w:rPr>
          <w:lang w:val="lv-LV"/>
        </w:rPr>
        <w:t>VARAM</w:t>
      </w:r>
      <w:r w:rsidRPr="00855036">
        <w:rPr>
          <w:lang w:val="lv-LV"/>
        </w:rPr>
        <w:t xml:space="preserve"> turpināt darbu atvērto datu jomā, Latvijas salīdzinoši zemo radītāju mākoņskaitļošanas kontekstā, </w:t>
      </w:r>
      <w:r w:rsidRPr="00855036" w:rsidR="00C5701A">
        <w:rPr>
          <w:lang w:val="lv-LV"/>
        </w:rPr>
        <w:t>un</w:t>
      </w:r>
      <w:r w:rsidRPr="00855036">
        <w:rPr>
          <w:lang w:val="lv-LV"/>
        </w:rPr>
        <w:t xml:space="preserve"> ir vērsusi uzmanību uz ES ietvaros notiekošo darbu mākoņskaitļošanas jomā, īpaši zinātnes un pētniecības jomā, kur</w:t>
      </w:r>
      <w:r w:rsidRPr="00855036" w:rsidR="008A0D2C">
        <w:rPr>
          <w:lang w:val="lv-LV"/>
        </w:rPr>
        <w:t>ā</w:t>
      </w:r>
      <w:r w:rsidRPr="00855036">
        <w:rPr>
          <w:lang w:val="lv-LV"/>
        </w:rPr>
        <w:t xml:space="preserve"> nepieciešams nodrošināt mērķtiecīgāku pieeju nacionālajā līmenī.</w:t>
      </w:r>
    </w:p>
    <w:p w:rsidR="006227AD" w:rsidRPr="00855036" w:rsidP="00934EB6" w14:paraId="6B54D598" w14:textId="38C25429">
      <w:pPr>
        <w:rPr>
          <w:lang w:val="lv-LV"/>
        </w:rPr>
      </w:pPr>
      <w:r w:rsidRPr="00855036">
        <w:rPr>
          <w:b/>
          <w:lang w:val="lv-LV"/>
        </w:rPr>
        <w:t>Ekonomikas</w:t>
      </w:r>
      <w:r w:rsidRPr="00855036" w:rsidR="003949F1">
        <w:rPr>
          <w:b/>
          <w:lang w:val="lv-LV"/>
        </w:rPr>
        <w:t xml:space="preserve"> ministrija</w:t>
      </w:r>
      <w:r w:rsidRPr="00855036">
        <w:rPr>
          <w:b/>
          <w:lang w:val="lv-LV"/>
        </w:rPr>
        <w:t xml:space="preserve"> </w:t>
      </w:r>
      <w:r w:rsidRPr="00855036">
        <w:rPr>
          <w:lang w:val="lv-LV"/>
        </w:rPr>
        <w:t>ir vērsusi uzmanību, ka ņemot vērā, ka DESI indeksa rādītāji atspoguļo dalībvalstu digitalizācijas progresu, kuru ietekmē ne tikai valsts iestāžu piedāvātie e-pakalpojumi, bet arī sabiedrības zināšanas par digitalizācijas iesp</w:t>
      </w:r>
      <w:r w:rsidRPr="00855036" w:rsidR="00551A63">
        <w:rPr>
          <w:lang w:val="lv-LV"/>
        </w:rPr>
        <w:t>ējām un vēlēšanās tās pielietot.</w:t>
      </w:r>
      <w:r w:rsidRPr="00855036">
        <w:rPr>
          <w:lang w:val="lv-LV"/>
        </w:rPr>
        <w:t xml:space="preserve"> Ekonomikas </w:t>
      </w:r>
      <w:r w:rsidRPr="00855036" w:rsidR="003949F1">
        <w:rPr>
          <w:lang w:val="lv-LV"/>
        </w:rPr>
        <w:t>ministrija</w:t>
      </w:r>
      <w:r w:rsidRPr="00855036">
        <w:rPr>
          <w:lang w:val="lv-LV"/>
        </w:rPr>
        <w:t xml:space="preserve"> </w:t>
      </w:r>
      <w:r w:rsidRPr="00855036" w:rsidR="00551A63">
        <w:rPr>
          <w:lang w:val="lv-LV"/>
        </w:rPr>
        <w:t>uzskata</w:t>
      </w:r>
      <w:r w:rsidRPr="00855036">
        <w:rPr>
          <w:lang w:val="lv-LV"/>
        </w:rPr>
        <w:t>, ka ir nepieciešams turpināt sadarbību un sarunas ar L</w:t>
      </w:r>
      <w:r w:rsidRPr="00855036" w:rsidR="00967871">
        <w:rPr>
          <w:lang w:val="lv-LV"/>
        </w:rPr>
        <w:t>atvijas Tirdzniecības un rūpniecības kameru</w:t>
      </w:r>
      <w:r w:rsidRPr="00855036">
        <w:rPr>
          <w:lang w:val="lv-LV"/>
        </w:rPr>
        <w:t xml:space="preserve"> un C</w:t>
      </w:r>
      <w:r w:rsidRPr="00855036" w:rsidR="00967871">
        <w:rPr>
          <w:lang w:val="lv-LV"/>
        </w:rPr>
        <w:t>entrālo statistikas pārvaldi</w:t>
      </w:r>
      <w:r w:rsidRPr="00855036">
        <w:rPr>
          <w:lang w:val="lv-LV"/>
        </w:rPr>
        <w:t xml:space="preserve">, lai </w:t>
      </w:r>
      <w:r w:rsidRPr="00855036" w:rsidR="001E55CA">
        <w:rPr>
          <w:lang w:val="lv-LV"/>
        </w:rPr>
        <w:t xml:space="preserve">atbildes uz jautājumiem </w:t>
      </w:r>
      <w:r w:rsidRPr="00855036">
        <w:rPr>
          <w:lang w:val="lv-LV"/>
        </w:rPr>
        <w:t>uzņēmumu apsekojumu veidlapās sniegtu uzņēmuma vadītājs vai informācijas tehnoloģiju speci</w:t>
      </w:r>
      <w:r w:rsidRPr="00855036" w:rsidR="00967871">
        <w:rPr>
          <w:lang w:val="lv-LV"/>
        </w:rPr>
        <w:t>ā</w:t>
      </w:r>
      <w:r w:rsidRPr="00855036">
        <w:rPr>
          <w:lang w:val="lv-LV"/>
        </w:rPr>
        <w:t xml:space="preserve">lists. Ekonomikas </w:t>
      </w:r>
      <w:r w:rsidRPr="00855036" w:rsidR="003949F1">
        <w:rPr>
          <w:lang w:val="lv-LV"/>
        </w:rPr>
        <w:t>ministrija</w:t>
      </w:r>
      <w:r w:rsidRPr="00855036">
        <w:rPr>
          <w:lang w:val="lv-LV"/>
        </w:rPr>
        <w:t xml:space="preserve"> norāda, ka IKT apsekojumu veidlapas, kas ir viens no DESI</w:t>
      </w:r>
      <w:r w:rsidRPr="00855036" w:rsidR="001E55CA">
        <w:rPr>
          <w:lang w:val="lv-LV"/>
        </w:rPr>
        <w:t xml:space="preserve"> datu avotiem, izstrādā vienoti</w:t>
      </w:r>
      <w:r w:rsidRPr="00855036">
        <w:rPr>
          <w:lang w:val="lv-LV"/>
        </w:rPr>
        <w:t xml:space="preserve"> visām E</w:t>
      </w:r>
      <w:r w:rsidRPr="00855036" w:rsidR="00967871">
        <w:rPr>
          <w:lang w:val="lv-LV"/>
        </w:rPr>
        <w:t>S</w:t>
      </w:r>
      <w:r w:rsidRPr="00855036">
        <w:rPr>
          <w:lang w:val="lv-LV"/>
        </w:rPr>
        <w:t xml:space="preserve"> dalībvalstīm, lai nodrošinātu datu harmonizāciju un rezultātu salīdzināmību. Apsekojuma veidlapas ir apstiprinātas ar 2016.</w:t>
      </w:r>
      <w:r w:rsidRPr="00855036" w:rsidR="00967871">
        <w:rPr>
          <w:lang w:val="lv-LV"/>
        </w:rPr>
        <w:t> </w:t>
      </w:r>
      <w:r w:rsidRPr="00855036">
        <w:rPr>
          <w:lang w:val="lv-LV"/>
        </w:rPr>
        <w:t>gada 20.</w:t>
      </w:r>
      <w:r w:rsidRPr="00855036" w:rsidR="00967871">
        <w:rPr>
          <w:lang w:val="lv-LV"/>
        </w:rPr>
        <w:t> </w:t>
      </w:r>
      <w:r w:rsidRPr="00855036">
        <w:rPr>
          <w:lang w:val="lv-LV"/>
        </w:rPr>
        <w:t>decembra Ministru kabineta noteikumiem Nr.</w:t>
      </w:r>
      <w:r w:rsidRPr="00855036" w:rsidR="00967871">
        <w:rPr>
          <w:lang w:val="lv-LV"/>
        </w:rPr>
        <w:t> </w:t>
      </w:r>
      <w:r w:rsidRPr="00855036">
        <w:rPr>
          <w:lang w:val="lv-LV"/>
        </w:rPr>
        <w:t>812 “Oficiālās statistikas veidlapu paraugu apstiprināšanas un veidlapu aizpildīšanas un iesniegšanas noteikumi” (16.</w:t>
      </w:r>
      <w:r w:rsidRPr="00855036" w:rsidR="00967871">
        <w:rPr>
          <w:lang w:val="lv-LV"/>
        </w:rPr>
        <w:t> </w:t>
      </w:r>
      <w:r w:rsidRPr="00855036">
        <w:rPr>
          <w:lang w:val="lv-LV"/>
        </w:rPr>
        <w:t xml:space="preserve">pielikums </w:t>
      </w:r>
      <w:r w:rsidRPr="00855036" w:rsidR="001E55CA">
        <w:rPr>
          <w:lang w:val="lv-LV"/>
        </w:rPr>
        <w:t>un 17.</w:t>
      </w:r>
      <w:r w:rsidRPr="00855036" w:rsidR="00967871">
        <w:rPr>
          <w:lang w:val="lv-LV"/>
        </w:rPr>
        <w:t> </w:t>
      </w:r>
      <w:r w:rsidRPr="00855036" w:rsidR="001E55CA">
        <w:rPr>
          <w:lang w:val="lv-LV"/>
        </w:rPr>
        <w:t>pielikums, 116.pielikums)</w:t>
      </w:r>
      <w:r w:rsidRPr="00855036">
        <w:rPr>
          <w:lang w:val="lv-LV"/>
        </w:rPr>
        <w:t>.</w:t>
      </w:r>
    </w:p>
    <w:p w:rsidR="006227AD" w:rsidRPr="00855036" w:rsidP="00934EB6" w14:paraId="36464AB5" w14:textId="23BE05EE">
      <w:pPr>
        <w:rPr>
          <w:lang w:val="lv-LV"/>
        </w:rPr>
      </w:pPr>
      <w:r w:rsidRPr="00855036">
        <w:rPr>
          <w:lang w:val="lv-LV"/>
        </w:rPr>
        <w:t xml:space="preserve">Papildus Ekonomikas </w:t>
      </w:r>
      <w:r w:rsidRPr="00855036" w:rsidR="003949F1">
        <w:rPr>
          <w:lang w:val="lv-LV"/>
        </w:rPr>
        <w:t>ministrija</w:t>
      </w:r>
      <w:r w:rsidRPr="00855036" w:rsidR="00143A39">
        <w:rPr>
          <w:lang w:val="lv-LV"/>
        </w:rPr>
        <w:t xml:space="preserve"> ir vērsusi</w:t>
      </w:r>
      <w:r w:rsidRPr="00855036" w:rsidR="004279D5">
        <w:rPr>
          <w:lang w:val="lv-LV"/>
        </w:rPr>
        <w:t xml:space="preserve"> </w:t>
      </w:r>
      <w:r w:rsidRPr="00855036">
        <w:rPr>
          <w:lang w:val="lv-LV"/>
        </w:rPr>
        <w:t xml:space="preserve">uzmanību, ka ar Ministru kabineta 2017. gada 15. marta rīkojumu Nr. 125 ir apstiprināts </w:t>
      </w:r>
      <w:r w:rsidRPr="00855036" w:rsidR="001E55CA">
        <w:rPr>
          <w:lang w:val="lv-LV"/>
        </w:rPr>
        <w:t>uzņēmējdarbības vides pilnveidošanas pasākumu plāns</w:t>
      </w:r>
      <w:r w:rsidRPr="00855036">
        <w:rPr>
          <w:lang w:val="lv-LV"/>
        </w:rPr>
        <w:t>, kurā ir iekļauti vairāki pasākumi, kas vērsti uz arvien aktīvāku e-risinājumu integrēšanu valsts un pašvaldību sniegtajos pakalpojumos. Uzņēmējdarbības vides pilnveidošanas pasākumu plānā ir sadaļa “Lietpratīga valsts pārvalde un tās e-pakalpojumi”, kuras mērķis ir samazināt uzņēmēju laiku administratīvo procedūru veikšanai no 13 % 2014. gadā līdz 11 % 2018. gadā,</w:t>
      </w:r>
      <w:r w:rsidRPr="00855036" w:rsidR="001E55CA">
        <w:rPr>
          <w:lang w:val="lv-LV"/>
        </w:rPr>
        <w:t xml:space="preserve"> plānots</w:t>
      </w:r>
      <w:r w:rsidRPr="00855036">
        <w:rPr>
          <w:lang w:val="lv-LV"/>
        </w:rPr>
        <w:t xml:space="preserve"> ieviest vismaz papildus 20 tiešsaistes e-pakalpojumus, kā arī paaugstināt eID kar</w:t>
      </w:r>
      <w:r w:rsidRPr="00855036" w:rsidR="001E55CA">
        <w:rPr>
          <w:lang w:val="lv-LV"/>
        </w:rPr>
        <w:t>tē esošā e-paraksta izmantošanu</w:t>
      </w:r>
      <w:r w:rsidRPr="00855036">
        <w:rPr>
          <w:lang w:val="lv-LV"/>
        </w:rPr>
        <w:t xml:space="preserve"> par 25 %. </w:t>
      </w:r>
    </w:p>
    <w:p w:rsidR="006227AD" w:rsidRPr="00855036" w:rsidP="00934EB6" w14:paraId="41ACC21E" w14:textId="3B4956DC">
      <w:pPr>
        <w:rPr>
          <w:lang w:val="lv-LV"/>
        </w:rPr>
      </w:pPr>
      <w:r w:rsidRPr="00855036">
        <w:rPr>
          <w:lang w:val="lv-LV"/>
        </w:rPr>
        <w:t>L</w:t>
      </w:r>
      <w:r w:rsidRPr="00855036">
        <w:rPr>
          <w:lang w:val="lv-LV"/>
        </w:rPr>
        <w:t xml:space="preserve">ai turpmāk vērtētu nepieciešamos uzlabojumus uzņēmējdarbības vides pilnveidošanā, tostarp valsts pārvaldes sniegto pakalpojumu e-risinājumu integrēšanā, Ekonomikas </w:t>
      </w:r>
      <w:r w:rsidRPr="00855036" w:rsidR="003949F1">
        <w:rPr>
          <w:lang w:val="lv-LV"/>
        </w:rPr>
        <w:t>ministrija</w:t>
      </w:r>
      <w:r w:rsidRPr="00855036" w:rsidR="00551A63">
        <w:rPr>
          <w:lang w:val="lv-LV"/>
        </w:rPr>
        <w:t xml:space="preserve"> ir izveidojusi darba grupu. </w:t>
      </w:r>
      <w:r w:rsidRPr="00855036">
        <w:rPr>
          <w:lang w:val="lv-LV"/>
        </w:rPr>
        <w:t xml:space="preserve">Vēršam uzmanību, ka Uzņēmējdarbības vides pilnveidošanas pasākumu plānā tiek iekļauti uzdevumi, ņemot vērā Pasaules Bankas </w:t>
      </w:r>
      <w:r w:rsidRPr="00855036">
        <w:rPr>
          <w:i/>
          <w:lang w:val="lv-LV"/>
        </w:rPr>
        <w:t>Doing Business</w:t>
      </w:r>
      <w:r w:rsidRPr="00855036">
        <w:rPr>
          <w:lang w:val="lv-LV"/>
        </w:rPr>
        <w:t xml:space="preserve"> pārskatos un Pasaules ekonomikas foruma Globālās konkurētspējas indeksa ziņojumos piemēroto metodoloģiju, tomēr VARAM kā kompetentā iestāde var rosināt iekļaut arī tādus pasākumus, kas varētu pozitīvi ietekmēt DESI indeksa rādītājus.  </w:t>
      </w:r>
    </w:p>
    <w:p w:rsidR="006A3C76" w:rsidRPr="00D01F47" w:rsidP="00934EB6" w14:paraId="2CA9CF5C" w14:textId="12AA536A">
      <w:pPr>
        <w:rPr>
          <w:lang w:val="lv-LV"/>
        </w:rPr>
      </w:pPr>
      <w:r w:rsidRPr="00D01F47">
        <w:rPr>
          <w:b/>
          <w:lang w:val="lv-LV"/>
        </w:rPr>
        <w:t>Iekšlietu ministrija</w:t>
      </w:r>
      <w:r w:rsidRPr="00D01F47" w:rsidR="00143A39">
        <w:rPr>
          <w:lang w:val="lv-LV"/>
        </w:rPr>
        <w:t xml:space="preserve"> </w:t>
      </w:r>
      <w:r w:rsidRPr="00D01F47">
        <w:rPr>
          <w:lang w:val="lv-LV"/>
        </w:rPr>
        <w:t xml:space="preserve">plāno </w:t>
      </w:r>
      <w:r w:rsidRPr="00D01F47" w:rsidR="00143A39">
        <w:rPr>
          <w:lang w:val="lv-LV"/>
        </w:rPr>
        <w:t>ieviest projektu “Jaunas paaudzes Iekšlietu integrētā informācijas sistēma”</w:t>
      </w:r>
      <w:r w:rsidRPr="00D01F47">
        <w:rPr>
          <w:lang w:val="lv-LV"/>
        </w:rPr>
        <w:t xml:space="preserve">, kuras ietvaros tiks izveidots e-pakalpojums “Personu un mantu identifikācija”, kurā tiks publicēta informācija par meklējamo personu vai mantu, e-pakalpojums “E-lietas materiāli un sodi”, </w:t>
      </w:r>
      <w:r w:rsidRPr="00D01F47" w:rsidR="00967871">
        <w:rPr>
          <w:lang w:val="lv-LV"/>
        </w:rPr>
        <w:t xml:space="preserve">ar </w:t>
      </w:r>
      <w:r w:rsidRPr="00D01F47">
        <w:rPr>
          <w:lang w:val="lv-LV"/>
        </w:rPr>
        <w:t>kur</w:t>
      </w:r>
      <w:r w:rsidRPr="00D01F47" w:rsidR="00967871">
        <w:rPr>
          <w:lang w:val="lv-LV"/>
        </w:rPr>
        <w:t>u</w:t>
      </w:r>
      <w:r w:rsidRPr="00D01F47">
        <w:rPr>
          <w:lang w:val="lv-LV"/>
        </w:rPr>
        <w:t xml:space="preserve"> lietotājiem ar procesa virzītāja akceptu tiks nodrošināta iespēja saņemt informāciju par pieņemtajiem lēmumiem </w:t>
      </w:r>
      <w:r w:rsidRPr="00D01F47" w:rsidR="00FE1A51">
        <w:rPr>
          <w:lang w:val="lv-LV"/>
        </w:rPr>
        <w:t>(</w:t>
      </w:r>
      <w:r w:rsidRPr="00D01F47">
        <w:rPr>
          <w:lang w:val="lv-LV"/>
        </w:rPr>
        <w:t>atteikt uzsākt kriminālprocesu vai atteikt uzsākt administratīvā pārkāpuma lietu, iepazīties ar krimināllietas un administratīvā pārkāpuma lietas materiāliem un veikt sodu pārbaudi un nomaksu krimināllietas un administratīvā pārkāpuma lietās</w:t>
      </w:r>
      <w:r w:rsidRPr="00D01F47" w:rsidR="00FE1A51">
        <w:rPr>
          <w:lang w:val="lv-LV"/>
        </w:rPr>
        <w:t>)</w:t>
      </w:r>
      <w:r w:rsidRPr="00D01F47">
        <w:rPr>
          <w:lang w:val="lv-LV"/>
        </w:rPr>
        <w:t>. E</w:t>
      </w:r>
      <w:r w:rsidRPr="00D01F47" w:rsidR="00E55FA7">
        <w:rPr>
          <w:lang w:val="lv-LV"/>
        </w:rPr>
        <w:t>lektronisku</w:t>
      </w:r>
      <w:r w:rsidRPr="00D01F47">
        <w:rPr>
          <w:lang w:val="lv-LV"/>
        </w:rPr>
        <w:t xml:space="preserve"> pa</w:t>
      </w:r>
      <w:r w:rsidRPr="00D01F47" w:rsidR="00E55FA7">
        <w:rPr>
          <w:lang w:val="lv-LV"/>
        </w:rPr>
        <w:t>kalpojumu</w:t>
      </w:r>
      <w:r w:rsidRPr="00D01F47">
        <w:rPr>
          <w:lang w:val="lv-LV"/>
        </w:rPr>
        <w:t xml:space="preserve"> ieviešana </w:t>
      </w:r>
      <w:r w:rsidRPr="00D01F47" w:rsidR="00967348">
        <w:rPr>
          <w:lang w:val="lv-LV"/>
        </w:rPr>
        <w:t>t</w:t>
      </w:r>
      <w:r w:rsidRPr="00D01F47">
        <w:rPr>
          <w:lang w:val="lv-LV"/>
        </w:rPr>
        <w:t>iesība</w:t>
      </w:r>
      <w:r w:rsidRPr="00D01F47" w:rsidR="00E55FA7">
        <w:rPr>
          <w:lang w:val="lv-LV"/>
        </w:rPr>
        <w:t>izsardzības un drošības iestādēs</w:t>
      </w:r>
      <w:r w:rsidRPr="00D01F47">
        <w:rPr>
          <w:lang w:val="lv-LV"/>
        </w:rPr>
        <w:t xml:space="preserve"> </w:t>
      </w:r>
      <w:r w:rsidRPr="00D01F47" w:rsidR="009712E6">
        <w:rPr>
          <w:lang w:val="lv-LV"/>
        </w:rPr>
        <w:t>samazinās iesniedzamās un izsniedzamās informācijas apriti “papīra” formā</w:t>
      </w:r>
      <w:r w:rsidRPr="00D01F47" w:rsidR="00967871">
        <w:rPr>
          <w:lang w:val="lv-LV"/>
        </w:rPr>
        <w:t>,</w:t>
      </w:r>
      <w:r w:rsidRPr="00D01F47" w:rsidR="009712E6">
        <w:rPr>
          <w:lang w:val="lv-LV"/>
        </w:rPr>
        <w:t xml:space="preserve"> pēc iespējas nodrošinot, ka datu apmaiņa ar iedzīvotājiem un iestādēm notiek tiešsaistē, </w:t>
      </w:r>
      <w:r w:rsidRPr="00D01F47" w:rsidR="00967348">
        <w:rPr>
          <w:lang w:val="lv-LV"/>
        </w:rPr>
        <w:t xml:space="preserve">un </w:t>
      </w:r>
      <w:r w:rsidRPr="00D01F47" w:rsidR="00E55FA7">
        <w:rPr>
          <w:lang w:val="lv-LV"/>
        </w:rPr>
        <w:t>palielin</w:t>
      </w:r>
      <w:r w:rsidRPr="00D01F47" w:rsidR="00967348">
        <w:rPr>
          <w:lang w:val="lv-LV"/>
        </w:rPr>
        <w:t>ot</w:t>
      </w:r>
      <w:r w:rsidRPr="00D01F47" w:rsidR="00E55FA7">
        <w:rPr>
          <w:lang w:val="lv-LV"/>
        </w:rPr>
        <w:t xml:space="preserve"> elektroniskās pārvaldes lietotāju skaitu</w:t>
      </w:r>
      <w:r w:rsidRPr="00D01F47" w:rsidR="009712E6">
        <w:rPr>
          <w:lang w:val="lv-LV"/>
        </w:rPr>
        <w:t xml:space="preserve"> un </w:t>
      </w:r>
      <w:r w:rsidRPr="00D01F47" w:rsidR="00FE1A51">
        <w:rPr>
          <w:lang w:val="lv-LV"/>
        </w:rPr>
        <w:t>atvērto datu veidā pieejamās</w:t>
      </w:r>
      <w:r w:rsidRPr="00D01F47" w:rsidR="009712E6">
        <w:rPr>
          <w:lang w:val="lv-LV"/>
        </w:rPr>
        <w:t xml:space="preserve"> inform</w:t>
      </w:r>
      <w:r w:rsidRPr="00D01F47" w:rsidR="00FE1A51">
        <w:rPr>
          <w:lang w:val="lv-LV"/>
        </w:rPr>
        <w:t>ācijas apjomu</w:t>
      </w:r>
      <w:r w:rsidRPr="00D01F47" w:rsidR="009712E6">
        <w:rPr>
          <w:lang w:val="lv-LV"/>
        </w:rPr>
        <w:t>. S</w:t>
      </w:r>
      <w:r w:rsidRPr="00D01F47">
        <w:rPr>
          <w:lang w:val="lv-LV"/>
        </w:rPr>
        <w:t xml:space="preserve">avukārt, iedzīvotājiem tiks nodrošināta iespēja </w:t>
      </w:r>
      <w:r w:rsidRPr="00D01F47" w:rsidR="00FE1A51">
        <w:rPr>
          <w:lang w:val="lv-LV"/>
        </w:rPr>
        <w:t xml:space="preserve">elektroniski </w:t>
      </w:r>
      <w:r w:rsidRPr="00D01F47">
        <w:rPr>
          <w:lang w:val="lv-LV"/>
        </w:rPr>
        <w:t>sekot iesnieguma izskatīšanai, informācija par notikumu, administratīvo pārkāpumu un nozie</w:t>
      </w:r>
      <w:r w:rsidRPr="00D01F47" w:rsidR="00967348">
        <w:rPr>
          <w:lang w:val="lv-LV"/>
        </w:rPr>
        <w:t>dzīgu nodarījumu</w:t>
      </w:r>
      <w:r w:rsidRPr="00D01F47">
        <w:rPr>
          <w:lang w:val="lv-LV"/>
        </w:rPr>
        <w:t xml:space="preserve"> notikumu vietām </w:t>
      </w:r>
      <w:r w:rsidRPr="00D01F47" w:rsidR="009712E6">
        <w:rPr>
          <w:lang w:val="lv-LV"/>
        </w:rPr>
        <w:t xml:space="preserve">būs </w:t>
      </w:r>
      <w:r w:rsidRPr="00D01F47">
        <w:rPr>
          <w:lang w:val="lv-LV"/>
        </w:rPr>
        <w:t xml:space="preserve">pieejama tiešsaistes režīmā, tai skaitā atvērto datu veidā. </w:t>
      </w:r>
    </w:p>
    <w:p w:rsidR="0054753A" w:rsidRPr="00855036" w:rsidP="00934EB6" w14:paraId="73100878" w14:textId="2B4EC5FA">
      <w:pPr>
        <w:rPr>
          <w:lang w:val="lv-LV"/>
        </w:rPr>
      </w:pPr>
      <w:r w:rsidRPr="00855036">
        <w:rPr>
          <w:b/>
          <w:lang w:val="lv-LV"/>
        </w:rPr>
        <w:t xml:space="preserve">Tieslietu ministrija </w:t>
      </w:r>
      <w:r w:rsidRPr="00855036">
        <w:rPr>
          <w:lang w:val="lv-LV"/>
        </w:rPr>
        <w:t xml:space="preserve">ir iesniegusi informāciju par </w:t>
      </w:r>
      <w:r w:rsidRPr="00855036" w:rsidR="005E75FA">
        <w:rPr>
          <w:lang w:val="lv-LV"/>
        </w:rPr>
        <w:t xml:space="preserve">plānotiem </w:t>
      </w:r>
      <w:r w:rsidRPr="00855036">
        <w:rPr>
          <w:lang w:val="lv-LV"/>
        </w:rPr>
        <w:t xml:space="preserve">pasākumiem ar potenciālu ietekmi uz DESI indeksa rādītāju </w:t>
      </w:r>
      <w:r w:rsidRPr="00855036" w:rsidR="00205401">
        <w:rPr>
          <w:lang w:val="lv-LV"/>
        </w:rPr>
        <w:t>“</w:t>
      </w:r>
      <w:r w:rsidRPr="00855036">
        <w:rPr>
          <w:lang w:val="lv-LV"/>
        </w:rPr>
        <w:t>Digitālie publiskie pakalpojumi, e-pārvalde</w:t>
      </w:r>
      <w:r w:rsidRPr="00855036" w:rsidR="00967348">
        <w:rPr>
          <w:lang w:val="lv-LV"/>
        </w:rPr>
        <w:t>”</w:t>
      </w:r>
      <w:r w:rsidRPr="00855036">
        <w:rPr>
          <w:lang w:val="lv-LV"/>
        </w:rPr>
        <w:t>, ko realizēs Valsts zemes dienests, Uzņēmumu reģistrs, Tiesu administrācija, Valsts valodas centrs, Juridiskās palīdzības administrācija un Valsts probācijas dienests.</w:t>
      </w:r>
    </w:p>
    <w:p w:rsidR="0054753A" w:rsidRPr="00855036" w:rsidP="00934EB6" w14:paraId="4921E9B7" w14:textId="3733F8D3">
      <w:pPr>
        <w:rPr>
          <w:rFonts w:eastAsia="Times New Roman"/>
          <w:b/>
          <w:lang w:val="lv-LV" w:eastAsia="lv-LV"/>
        </w:rPr>
      </w:pPr>
      <w:r w:rsidRPr="00855036">
        <w:rPr>
          <w:rFonts w:eastAsia="Times New Roman"/>
          <w:b/>
          <w:lang w:val="lv-LV" w:eastAsia="lv-LV"/>
        </w:rPr>
        <w:t>Valsts zemes dienests</w:t>
      </w:r>
    </w:p>
    <w:p w:rsidR="00780D4E" w:rsidRPr="00855036" w:rsidP="00934EB6" w14:paraId="51B611F9" w14:textId="080DD1B4">
      <w:pPr>
        <w:rPr>
          <w:lang w:val="lv-LV"/>
        </w:rPr>
      </w:pPr>
      <w:r w:rsidRPr="00855036">
        <w:rPr>
          <w:lang w:val="lv-LV"/>
        </w:rPr>
        <w:t>Plānošanas periodā 2014.-2020.</w:t>
      </w:r>
      <w:r w:rsidRPr="00855036" w:rsidR="00FD7208">
        <w:rPr>
          <w:lang w:val="lv-LV"/>
        </w:rPr>
        <w:t> </w:t>
      </w:r>
      <w:r w:rsidRPr="00855036">
        <w:rPr>
          <w:lang w:val="lv-LV"/>
        </w:rPr>
        <w:t xml:space="preserve">gadam ERAF darbības programmas </w:t>
      </w:r>
      <w:r w:rsidRPr="00855036" w:rsidR="00346AE0">
        <w:rPr>
          <w:lang w:val="lv-LV"/>
        </w:rPr>
        <w:t>“</w:t>
      </w:r>
      <w:r w:rsidRPr="00855036">
        <w:rPr>
          <w:lang w:val="lv-LV"/>
        </w:rPr>
        <w:t>Izaugsme un nodarbinātība</w:t>
      </w:r>
      <w:r w:rsidRPr="00855036" w:rsidR="00346AE0">
        <w:rPr>
          <w:lang w:val="lv-LV"/>
        </w:rPr>
        <w:t>”</w:t>
      </w:r>
      <w:r w:rsidRPr="00855036">
        <w:rPr>
          <w:lang w:val="lv-LV"/>
        </w:rPr>
        <w:t xml:space="preserve"> prioritārā virziena </w:t>
      </w:r>
      <w:r w:rsidRPr="00855036" w:rsidR="00346AE0">
        <w:rPr>
          <w:lang w:val="lv-LV"/>
        </w:rPr>
        <w:t>“</w:t>
      </w:r>
      <w:r w:rsidRPr="00855036">
        <w:rPr>
          <w:lang w:val="lv-LV"/>
        </w:rPr>
        <w:t>IKT pieejamība, e-pārvalde un pakalpojumi</w:t>
      </w:r>
      <w:r w:rsidRPr="00855036" w:rsidR="00346AE0">
        <w:rPr>
          <w:lang w:val="lv-LV"/>
        </w:rPr>
        <w:t>”</w:t>
      </w:r>
      <w:r w:rsidRPr="00855036">
        <w:rPr>
          <w:lang w:val="lv-LV"/>
        </w:rPr>
        <w:t xml:space="preserve"> 2.2.1. specifiskā atbalsta mērķa </w:t>
      </w:r>
      <w:r w:rsidRPr="00855036" w:rsidR="00346AE0">
        <w:rPr>
          <w:lang w:val="lv-LV"/>
        </w:rPr>
        <w:t>“</w:t>
      </w:r>
      <w:r w:rsidRPr="00855036">
        <w:rPr>
          <w:lang w:val="lv-LV"/>
        </w:rPr>
        <w:t>Nodrošināt publisko datu atkalizmantošanas pieaugumu un efektīvu publiskās pārvaldes un privātā sektora mijiedarbību</w:t>
      </w:r>
      <w:r w:rsidRPr="00855036" w:rsidR="00346AE0">
        <w:rPr>
          <w:lang w:val="lv-LV"/>
        </w:rPr>
        <w:t>”</w:t>
      </w:r>
      <w:r w:rsidRPr="00855036">
        <w:rPr>
          <w:lang w:val="lv-LV"/>
        </w:rPr>
        <w:t xml:space="preserve"> 2.2.1.1. pasākumu </w:t>
      </w:r>
      <w:r w:rsidRPr="00855036" w:rsidR="00346AE0">
        <w:rPr>
          <w:lang w:val="lv-LV"/>
        </w:rPr>
        <w:t>“</w:t>
      </w:r>
      <w:r w:rsidRPr="00855036">
        <w:rPr>
          <w:lang w:val="lv-LV"/>
        </w:rPr>
        <w:t>Centralizētu publiskās pārvaldes IKT platformu izveide, publiskās pārvaldes procesu optimizēšana un attīstība</w:t>
      </w:r>
      <w:r w:rsidRPr="00855036" w:rsidR="00346AE0">
        <w:rPr>
          <w:lang w:val="lv-LV"/>
        </w:rPr>
        <w:t>”</w:t>
      </w:r>
      <w:r w:rsidRPr="00855036">
        <w:rPr>
          <w:lang w:val="lv-LV"/>
        </w:rPr>
        <w:t xml:space="preserve"> </w:t>
      </w:r>
      <w:r w:rsidRPr="00855036" w:rsidR="004B0290">
        <w:rPr>
          <w:lang w:val="lv-LV"/>
        </w:rPr>
        <w:t xml:space="preserve">(turpmāk – 2.2.1. SAM 2.2.1.1 pasākums) </w:t>
      </w:r>
      <w:r w:rsidRPr="00855036">
        <w:rPr>
          <w:lang w:val="lv-LV"/>
        </w:rPr>
        <w:t>projektu iesniegumu atlases 2.</w:t>
      </w:r>
      <w:r w:rsidRPr="00855036" w:rsidR="00205401">
        <w:rPr>
          <w:lang w:val="lv-LV"/>
        </w:rPr>
        <w:t> </w:t>
      </w:r>
      <w:r w:rsidRPr="00855036">
        <w:rPr>
          <w:lang w:val="lv-LV"/>
        </w:rPr>
        <w:t>kārtas sarakstā ir iekļaut</w:t>
      </w:r>
      <w:r w:rsidRPr="00855036" w:rsidR="000A0E56">
        <w:rPr>
          <w:lang w:val="lv-LV"/>
        </w:rPr>
        <w:t>s</w:t>
      </w:r>
      <w:r w:rsidRPr="00855036">
        <w:rPr>
          <w:lang w:val="lv-LV"/>
        </w:rPr>
        <w:t xml:space="preserve"> Valsts zemes dienesta projekt</w:t>
      </w:r>
      <w:r w:rsidRPr="00855036" w:rsidR="000A0E56">
        <w:rPr>
          <w:lang w:val="lv-LV"/>
        </w:rPr>
        <w:t>s</w:t>
      </w:r>
      <w:r w:rsidRPr="00855036">
        <w:rPr>
          <w:lang w:val="lv-LV"/>
        </w:rPr>
        <w:t xml:space="preserve"> </w:t>
      </w:r>
      <w:r w:rsidRPr="00855036" w:rsidR="00205401">
        <w:rPr>
          <w:lang w:val="lv-LV"/>
        </w:rPr>
        <w:t>“</w:t>
      </w:r>
      <w:r w:rsidRPr="00855036">
        <w:rPr>
          <w:iCs/>
          <w:lang w:val="lv-LV"/>
        </w:rPr>
        <w:t>Kadastra informācijas sistēmas modernizācija un datu pakalpojumu attīstība</w:t>
      </w:r>
      <w:r w:rsidRPr="00855036" w:rsidR="00205401">
        <w:rPr>
          <w:lang w:val="lv-LV"/>
        </w:rPr>
        <w:t>”</w:t>
      </w:r>
      <w:r w:rsidRPr="00855036">
        <w:rPr>
          <w:lang w:val="lv-LV"/>
        </w:rPr>
        <w:t>.</w:t>
      </w:r>
    </w:p>
    <w:p w:rsidR="00780D4E" w:rsidRPr="00855036" w:rsidP="00934EB6" w14:paraId="51F32D24" w14:textId="10B64F65">
      <w:pPr>
        <w:rPr>
          <w:lang w:val="lv-LV"/>
        </w:rPr>
      </w:pPr>
      <w:r w:rsidRPr="00855036">
        <w:rPr>
          <w:lang w:val="lv-LV"/>
        </w:rPr>
        <w:t xml:space="preserve">Projekta ietvaros paredzēts veikt Nekustamā īpašuma valsts kadastra informācijas sistēmas modernizāciju, pilnveidot nekustamā īpašuma reģistrācijas procesus, uzlabot datu apmaiņu ar citām valsts un pašvaldību informācijas sistēmām (piemēram, Valsts vienoto datorizēto zemesgrāmatu, būvniecības informācijas sistēmu, Apgrūtināto teritoriju informācijas sistēmu, Valsts adrešu reģistra informācijas sistēmu), veicināt datu pakalpojumu attīstību, līdz ar to nodrošinot kadastra datu pieejamību ērtā, kvalitatīvā un mūsdienu prasībām, standartiem atbilstošā veidā. Papildus tam paredzēts nodrošināt atbilstību Eiropas Parlamenta un Padomes </w:t>
      </w:r>
      <w:r w:rsidRPr="00855036" w:rsidR="00967348">
        <w:rPr>
          <w:lang w:val="lv-LV"/>
        </w:rPr>
        <w:t>2007. gada 14. marta D</w:t>
      </w:r>
      <w:r w:rsidRPr="00855036">
        <w:rPr>
          <w:lang w:val="lv-LV"/>
        </w:rPr>
        <w:t>irektīva</w:t>
      </w:r>
      <w:r w:rsidRPr="00855036" w:rsidR="00967348">
        <w:rPr>
          <w:lang w:val="lv-LV"/>
        </w:rPr>
        <w:t>i</w:t>
      </w:r>
      <w:r w:rsidRPr="00855036">
        <w:rPr>
          <w:lang w:val="lv-LV"/>
        </w:rPr>
        <w:t xml:space="preserve"> 2007/2/EK, ar ko izveido Telpiskās informācijas infrastruktūru Eiropas Kopienā (INSPIRE), un cit</w:t>
      </w:r>
      <w:r w:rsidRPr="00855036" w:rsidR="00967348">
        <w:rPr>
          <w:lang w:val="lv-LV"/>
        </w:rPr>
        <w:t>ām</w:t>
      </w:r>
      <w:r w:rsidRPr="00855036">
        <w:rPr>
          <w:lang w:val="lv-LV"/>
        </w:rPr>
        <w:t xml:space="preserve"> E</w:t>
      </w:r>
      <w:r w:rsidRPr="00855036" w:rsidR="00967348">
        <w:rPr>
          <w:lang w:val="lv-LV"/>
        </w:rPr>
        <w:t>S</w:t>
      </w:r>
      <w:r w:rsidRPr="00855036">
        <w:rPr>
          <w:lang w:val="lv-LV"/>
        </w:rPr>
        <w:t xml:space="preserve"> normatīvo aktu prasībām attiecībā uz kadastra pamatdatiem.</w:t>
      </w:r>
    </w:p>
    <w:p w:rsidR="0054753A" w:rsidRPr="00855036" w:rsidP="00934EB6" w14:paraId="28A56ACB" w14:textId="7917A062">
      <w:pPr>
        <w:rPr>
          <w:rFonts w:eastAsia="Times New Roman"/>
          <w:lang w:val="lv-LV" w:eastAsia="lv-LV"/>
        </w:rPr>
      </w:pPr>
      <w:r w:rsidRPr="00855036">
        <w:rPr>
          <w:rFonts w:eastAsia="Times New Roman"/>
          <w:b/>
          <w:lang w:val="lv-LV" w:eastAsia="lv-LV"/>
        </w:rPr>
        <w:t xml:space="preserve"> </w:t>
      </w:r>
      <w:r w:rsidRPr="00855036">
        <w:rPr>
          <w:rFonts w:eastAsia="Times New Roman"/>
          <w:b/>
          <w:lang w:val="lv-LV" w:eastAsia="lv-LV"/>
        </w:rPr>
        <w:t>Uzņēmumu reģistrs</w:t>
      </w:r>
    </w:p>
    <w:p w:rsidR="00533EAA" w:rsidRPr="00855036" w:rsidP="00934EB6" w14:paraId="761D37CE" w14:textId="19131135">
      <w:pPr>
        <w:rPr>
          <w:rFonts w:eastAsia="Times New Roman"/>
          <w:lang w:val="lv-LV"/>
        </w:rPr>
      </w:pPr>
      <w:r w:rsidRPr="00855036">
        <w:rPr>
          <w:lang w:val="lv-LV"/>
        </w:rPr>
        <w:t xml:space="preserve">Atvērto datu portālā ir pieejami dati par reģistrētajiem subjektiem. </w:t>
      </w:r>
      <w:r w:rsidRPr="00855036">
        <w:rPr>
          <w:lang w:val="lv-LV"/>
        </w:rPr>
        <w:t>Līdz 2017.</w:t>
      </w:r>
      <w:r w:rsidRPr="00855036" w:rsidR="00967348">
        <w:rPr>
          <w:lang w:val="lv-LV"/>
        </w:rPr>
        <w:t> </w:t>
      </w:r>
      <w:r w:rsidRPr="00855036">
        <w:rPr>
          <w:lang w:val="lv-LV"/>
        </w:rPr>
        <w:t xml:space="preserve">gada oktobra beigām ir izstrādāts risinājums </w:t>
      </w:r>
      <w:r w:rsidRPr="00855036">
        <w:rPr>
          <w:lang w:val="lv-LV"/>
        </w:rPr>
        <w:t>publiskā maksātnespējas reģistra informācijas pieejamībai atvērto datu veidā</w:t>
      </w:r>
      <w:r w:rsidRPr="00855036" w:rsidR="00967348">
        <w:rPr>
          <w:lang w:val="lv-LV"/>
        </w:rPr>
        <w:t>,</w:t>
      </w:r>
      <w:r w:rsidRPr="00855036">
        <w:rPr>
          <w:lang w:val="lv-LV"/>
        </w:rPr>
        <w:t xml:space="preserve"> </w:t>
      </w:r>
      <w:r w:rsidRPr="00855036">
        <w:rPr>
          <w:lang w:val="lv-LV"/>
        </w:rPr>
        <w:t xml:space="preserve">un turpinās izmaiņu veikšana serveru infrastruktūrā, lai šos datus varētu publicēt. Plānots, ka maksātnespējas </w:t>
      </w:r>
      <w:r w:rsidRPr="00855036">
        <w:rPr>
          <w:lang w:val="lv-LV"/>
        </w:rPr>
        <w:t xml:space="preserve">reģistra </w:t>
      </w:r>
      <w:r w:rsidRPr="00855036">
        <w:rPr>
          <w:lang w:val="lv-LV"/>
        </w:rPr>
        <w:t>dati būs pieejami sākot ar 2017.</w:t>
      </w:r>
      <w:r w:rsidRPr="00855036" w:rsidR="00967348">
        <w:rPr>
          <w:lang w:val="lv-LV"/>
        </w:rPr>
        <w:t> </w:t>
      </w:r>
      <w:r w:rsidRPr="00855036">
        <w:rPr>
          <w:lang w:val="lv-LV"/>
        </w:rPr>
        <w:t xml:space="preserve">gada decembri, </w:t>
      </w:r>
      <w:r w:rsidRPr="00855036" w:rsidR="00967348">
        <w:rPr>
          <w:lang w:val="lv-LV"/>
        </w:rPr>
        <w:t>vienlaikus</w:t>
      </w:r>
      <w:r w:rsidRPr="00855036">
        <w:rPr>
          <w:lang w:val="lv-LV"/>
        </w:rPr>
        <w:t xml:space="preserve"> </w:t>
      </w:r>
      <w:r w:rsidRPr="00855036">
        <w:rPr>
          <w:lang w:val="lv-LV"/>
        </w:rPr>
        <w:t xml:space="preserve">tiks publicēta arī </w:t>
      </w:r>
      <w:r w:rsidRPr="00855036" w:rsidR="00967348">
        <w:rPr>
          <w:lang w:val="lv-LV"/>
        </w:rPr>
        <w:t>tīmekļvietne</w:t>
      </w:r>
      <w:r w:rsidRPr="00855036">
        <w:rPr>
          <w:lang w:val="lv-LV"/>
        </w:rPr>
        <w:t xml:space="preserve"> atvērto datu portālā (</w:t>
      </w:r>
      <w:r>
        <w:fldChar w:fldCharType="begin"/>
      </w:r>
      <w:r>
        <w:instrText xml:space="preserve"> HYPERLINK "https://data.gov.lv/" </w:instrText>
      </w:r>
      <w:r>
        <w:fldChar w:fldCharType="separate"/>
      </w:r>
      <w:r w:rsidRPr="00855036">
        <w:rPr>
          <w:lang w:val="lv-LV"/>
        </w:rPr>
        <w:t>https://data.gov.lv/</w:t>
      </w:r>
      <w:r>
        <w:fldChar w:fldCharType="end"/>
      </w:r>
      <w:r w:rsidRPr="00855036">
        <w:rPr>
          <w:lang w:val="lv-LV"/>
        </w:rPr>
        <w:t>).</w:t>
      </w:r>
    </w:p>
    <w:p w:rsidR="0054753A" w:rsidRPr="00855036" w:rsidP="00934EB6" w14:paraId="03DE6DE2" w14:textId="3E573262">
      <w:pPr>
        <w:rPr>
          <w:rFonts w:eastAsia="Times New Roman"/>
          <w:lang w:val="lv-LV" w:eastAsia="lv-LV"/>
        </w:rPr>
      </w:pPr>
      <w:r w:rsidRPr="00855036">
        <w:rPr>
          <w:rFonts w:eastAsia="Times New Roman"/>
          <w:b/>
          <w:lang w:val="lv-LV" w:eastAsia="lv-LV"/>
        </w:rPr>
        <w:t>Tiesu administrācija</w:t>
      </w:r>
    </w:p>
    <w:p w:rsidR="00FB0FBB" w:rsidRPr="00855036" w:rsidP="00934EB6" w14:paraId="234F344E" w14:textId="1EEBBF7A">
      <w:pPr>
        <w:rPr>
          <w:rFonts w:eastAsia="Times New Roman"/>
          <w:lang w:val="lv-LV"/>
        </w:rPr>
      </w:pPr>
      <w:r w:rsidRPr="00855036">
        <w:rPr>
          <w:rFonts w:eastAsia="Times New Roman"/>
          <w:bCs/>
          <w:lang w:val="lv-LV"/>
        </w:rPr>
        <w:t>Tiesu pakalpojumu pilnveidošanai</w:t>
      </w:r>
      <w:r w:rsidRPr="00855036">
        <w:rPr>
          <w:rFonts w:eastAsia="Times New Roman"/>
          <w:b/>
          <w:bCs/>
          <w:lang w:val="lv-LV"/>
        </w:rPr>
        <w:t xml:space="preserve"> </w:t>
      </w:r>
      <w:r w:rsidRPr="00855036">
        <w:rPr>
          <w:rFonts w:eastAsia="Times New Roman"/>
          <w:bCs/>
          <w:lang w:val="lv-LV"/>
        </w:rPr>
        <w:t>s</w:t>
      </w:r>
      <w:r w:rsidRPr="00855036">
        <w:rPr>
          <w:rFonts w:eastAsia="Times New Roman"/>
          <w:lang w:val="lv-LV"/>
        </w:rPr>
        <w:t>askaņā ar Tiesu administrācijas</w:t>
      </w:r>
      <w:r w:rsidRPr="00855036">
        <w:rPr>
          <w:lang w:val="lv-LV"/>
        </w:rPr>
        <w:t xml:space="preserve"> </w:t>
      </w:r>
      <w:r w:rsidRPr="00855036">
        <w:rPr>
          <w:lang w:val="lv-LV"/>
        </w:rPr>
        <w:t>maksas pakalpojumu cenrāža</w:t>
      </w:r>
      <w:r w:rsidRPr="00855036">
        <w:rPr>
          <w:rFonts w:eastAsia="Times New Roman"/>
          <w:lang w:val="lv-LV"/>
        </w:rPr>
        <w:t xml:space="preserve"> pielikuma 16. punktu līdz 2018. gada 1.</w:t>
      </w:r>
      <w:r w:rsidRPr="00855036" w:rsidR="00B916D4">
        <w:rPr>
          <w:rFonts w:eastAsia="Times New Roman"/>
          <w:lang w:val="lv-LV"/>
        </w:rPr>
        <w:t> </w:t>
      </w:r>
      <w:r w:rsidRPr="00855036">
        <w:rPr>
          <w:rFonts w:eastAsia="Times New Roman"/>
          <w:lang w:val="lv-LV"/>
        </w:rPr>
        <w:t xml:space="preserve">jūnijam plānots ieviest pakalpojumu “Nozīmēto tiesas sēžu monitorings pēc lietas numura” </w:t>
      </w:r>
      <w:r w:rsidRPr="00855036">
        <w:rPr>
          <w:lang w:val="lv-LV"/>
        </w:rPr>
        <w:t xml:space="preserve">(ietekme uz </w:t>
      </w:r>
      <w:r w:rsidRPr="00855036">
        <w:rPr>
          <w:iCs/>
          <w:lang w:val="lv-LV" w:eastAsia="lv-LV"/>
        </w:rPr>
        <w:t>5a3. </w:t>
      </w:r>
      <w:r w:rsidRPr="00855036">
        <w:rPr>
          <w:lang w:val="lv-LV"/>
        </w:rPr>
        <w:t>i</w:t>
      </w:r>
      <w:r w:rsidRPr="00855036">
        <w:rPr>
          <w:iCs/>
          <w:lang w:val="lv-LV" w:eastAsia="lv-LV"/>
        </w:rPr>
        <w:t xml:space="preserve">ndikatoru </w:t>
      </w:r>
      <w:r w:rsidRPr="00855036" w:rsidR="00B916D4">
        <w:rPr>
          <w:iCs/>
          <w:lang w:val="lv-LV" w:eastAsia="lv-LV"/>
        </w:rPr>
        <w:t>“</w:t>
      </w:r>
      <w:r w:rsidRPr="00855036">
        <w:rPr>
          <w:iCs/>
          <w:lang w:val="lv-LV" w:eastAsia="lv-LV"/>
        </w:rPr>
        <w:t>Tiešsaistē pabeigtie pakalpojumi</w:t>
      </w:r>
      <w:r w:rsidRPr="00855036" w:rsidR="00B916D4">
        <w:rPr>
          <w:iCs/>
          <w:lang w:val="lv-LV" w:eastAsia="lv-LV"/>
        </w:rPr>
        <w:t>”</w:t>
      </w:r>
      <w:r w:rsidRPr="00855036">
        <w:rPr>
          <w:iCs/>
          <w:lang w:val="lv-LV" w:eastAsia="lv-LV"/>
        </w:rPr>
        <w:t xml:space="preserve"> (</w:t>
      </w:r>
      <w:r w:rsidRPr="00855036">
        <w:rPr>
          <w:i/>
          <w:iCs/>
          <w:lang w:val="lv-LV" w:eastAsia="lv-LV"/>
        </w:rPr>
        <w:t>Online Service Completion</w:t>
      </w:r>
      <w:r w:rsidRPr="00855036">
        <w:rPr>
          <w:iCs/>
          <w:lang w:val="lv-LV" w:eastAsia="lv-LV"/>
        </w:rPr>
        <w:t>))</w:t>
      </w:r>
      <w:r w:rsidRPr="00855036">
        <w:rPr>
          <w:lang w:val="lv-LV"/>
        </w:rPr>
        <w:t>.</w:t>
      </w:r>
    </w:p>
    <w:p w:rsidR="0054753A" w:rsidRPr="00855036" w:rsidP="00934EB6" w14:paraId="072A3645" w14:textId="398DD26D">
      <w:pPr>
        <w:rPr>
          <w:rFonts w:eastAsia="Times New Roman"/>
          <w:lang w:val="lv-LV"/>
        </w:rPr>
      </w:pPr>
      <w:r w:rsidRPr="00855036">
        <w:rPr>
          <w:rFonts w:eastAsia="Times New Roman"/>
          <w:lang w:val="lv-LV"/>
        </w:rPr>
        <w:t xml:space="preserve">Savukārt, līdz </w:t>
      </w:r>
      <w:r w:rsidRPr="00855036">
        <w:rPr>
          <w:lang w:val="lv-LV"/>
        </w:rPr>
        <w:t>2018. gada</w:t>
      </w:r>
      <w:r w:rsidRPr="00855036" w:rsidR="00614442">
        <w:rPr>
          <w:lang w:val="lv-LV"/>
        </w:rPr>
        <w:t xml:space="preserve"> 1.</w:t>
      </w:r>
      <w:r w:rsidRPr="00855036" w:rsidR="00B916D4">
        <w:rPr>
          <w:lang w:val="lv-LV"/>
        </w:rPr>
        <w:t> </w:t>
      </w:r>
      <w:r w:rsidRPr="00855036" w:rsidR="00614442">
        <w:rPr>
          <w:lang w:val="lv-LV"/>
        </w:rPr>
        <w:t>jūlijam</w:t>
      </w:r>
      <w:r w:rsidRPr="00855036">
        <w:rPr>
          <w:lang w:val="lv-LV"/>
        </w:rPr>
        <w:t xml:space="preserve"> plānots ieviest šādus pakalpojumus:</w:t>
      </w:r>
    </w:p>
    <w:p w:rsidR="0054753A" w:rsidRPr="00855036" w:rsidP="00934EB6" w14:paraId="7970AD42" w14:textId="6725D79A">
      <w:pPr>
        <w:rPr>
          <w:lang w:val="lv-LV"/>
        </w:rPr>
      </w:pPr>
      <w:r w:rsidRPr="00855036">
        <w:rPr>
          <w:rFonts w:eastAsia="Times New Roman"/>
          <w:bCs/>
          <w:lang w:val="lv-LV"/>
        </w:rPr>
        <w:t>1</w:t>
      </w:r>
      <w:r w:rsidRPr="00855036" w:rsidR="00515459">
        <w:rPr>
          <w:rFonts w:eastAsia="Times New Roman"/>
          <w:bCs/>
          <w:lang w:val="lv-LV"/>
        </w:rPr>
        <w:t>.</w:t>
      </w:r>
      <w:r w:rsidRPr="00855036">
        <w:rPr>
          <w:rFonts w:eastAsia="Times New Roman"/>
          <w:bCs/>
          <w:lang w:val="lv-LV"/>
        </w:rPr>
        <w:t> Izpildu lietu reģistra pilnveidošanai</w:t>
      </w:r>
      <w:r w:rsidRPr="00855036">
        <w:rPr>
          <w:rFonts w:eastAsia="Times New Roman"/>
          <w:lang w:val="lv-LV"/>
        </w:rPr>
        <w:t xml:space="preserve"> saskaņā ar Ministru kabineta </w:t>
      </w:r>
      <w:r w:rsidRPr="00855036">
        <w:rPr>
          <w:lang w:val="lv-LV"/>
        </w:rPr>
        <w:t>2017. gada 20. jūnija noteikumu Nr.</w:t>
      </w:r>
      <w:r w:rsidRPr="00855036" w:rsidR="00515459">
        <w:rPr>
          <w:lang w:val="lv-LV"/>
        </w:rPr>
        <w:t> </w:t>
      </w:r>
      <w:r w:rsidRPr="00855036">
        <w:rPr>
          <w:lang w:val="lv-LV"/>
        </w:rPr>
        <w:t xml:space="preserve">343 </w:t>
      </w:r>
      <w:r w:rsidRPr="00855036" w:rsidR="00515459">
        <w:rPr>
          <w:lang w:val="lv-LV"/>
        </w:rPr>
        <w:t>“</w:t>
      </w:r>
      <w:r w:rsidRPr="00855036">
        <w:rPr>
          <w:rFonts w:eastAsia="Times New Roman"/>
          <w:lang w:val="lv-LV"/>
        </w:rPr>
        <w:t>Tiesu administrācijas maksas pakalpojuma cenrādis</w:t>
      </w:r>
      <w:r w:rsidRPr="00855036" w:rsidR="00515459">
        <w:rPr>
          <w:rFonts w:eastAsia="Times New Roman"/>
          <w:lang w:val="lv-LV"/>
        </w:rPr>
        <w:t>”</w:t>
      </w:r>
      <w:r w:rsidRPr="00855036">
        <w:rPr>
          <w:rFonts w:eastAsia="Times New Roman"/>
          <w:lang w:val="lv-LV"/>
        </w:rPr>
        <w:t xml:space="preserve">  pielikuma 23. punktu, līdz 2018. gadam plāno</w:t>
      </w:r>
      <w:r w:rsidRPr="00855036" w:rsidR="00515459">
        <w:rPr>
          <w:rFonts w:eastAsia="Times New Roman"/>
          <w:lang w:val="lv-LV"/>
        </w:rPr>
        <w:t>ts</w:t>
      </w:r>
      <w:r w:rsidRPr="00855036">
        <w:rPr>
          <w:rFonts w:eastAsia="Times New Roman"/>
          <w:lang w:val="lv-LV"/>
        </w:rPr>
        <w:t xml:space="preserve"> ieviest pakalpojumu “Informācijas sniegšana kreditēšanas pakalpojumu sniedzējam vai kredītinformācijas birojam no Izpildu lietu reģistra par fizisko un juridisko personu izpildu lietām kredītspējas vērtēšanai” </w:t>
      </w:r>
      <w:r w:rsidRPr="00855036">
        <w:rPr>
          <w:lang w:val="lv-LV"/>
        </w:rPr>
        <w:t xml:space="preserve">(ietekme uz </w:t>
      </w:r>
      <w:r w:rsidRPr="00855036">
        <w:rPr>
          <w:iCs/>
          <w:lang w:val="lv-LV" w:eastAsia="lv-LV"/>
        </w:rPr>
        <w:t>5a3. </w:t>
      </w:r>
      <w:r w:rsidRPr="00855036">
        <w:rPr>
          <w:lang w:val="lv-LV"/>
        </w:rPr>
        <w:t>i</w:t>
      </w:r>
      <w:r w:rsidRPr="00855036">
        <w:rPr>
          <w:iCs/>
          <w:lang w:val="lv-LV" w:eastAsia="lv-LV"/>
        </w:rPr>
        <w:t>ndikatoru</w:t>
      </w:r>
      <w:r>
        <w:rPr>
          <w:rStyle w:val="FootnoteReference"/>
          <w:rFonts w:cs="Times New Roman"/>
          <w:iCs/>
          <w:szCs w:val="28"/>
          <w:lang w:val="lv-LV" w:eastAsia="lv-LV"/>
        </w:rPr>
        <w:footnoteReference w:id="8"/>
      </w:r>
      <w:r w:rsidRPr="00855036">
        <w:rPr>
          <w:iCs/>
          <w:lang w:val="lv-LV" w:eastAsia="lv-LV"/>
        </w:rPr>
        <w:t xml:space="preserve"> </w:t>
      </w:r>
      <w:r w:rsidRPr="00855036" w:rsidR="00B916D4">
        <w:rPr>
          <w:iCs/>
          <w:lang w:val="lv-LV" w:eastAsia="lv-LV"/>
        </w:rPr>
        <w:t>“</w:t>
      </w:r>
      <w:r w:rsidRPr="00855036">
        <w:rPr>
          <w:iCs/>
          <w:lang w:val="lv-LV" w:eastAsia="lv-LV"/>
        </w:rPr>
        <w:t>Tiešsaistē pabeigtie pakalpojumi</w:t>
      </w:r>
      <w:r w:rsidRPr="00855036" w:rsidR="00B916D4">
        <w:rPr>
          <w:iCs/>
          <w:lang w:val="lv-LV" w:eastAsia="lv-LV"/>
        </w:rPr>
        <w:t>”</w:t>
      </w:r>
      <w:r w:rsidRPr="00855036">
        <w:rPr>
          <w:iCs/>
          <w:lang w:val="lv-LV" w:eastAsia="lv-LV"/>
        </w:rPr>
        <w:t xml:space="preserve"> (</w:t>
      </w:r>
      <w:r w:rsidRPr="00855036">
        <w:rPr>
          <w:i/>
          <w:iCs/>
          <w:lang w:val="lv-LV" w:eastAsia="lv-LV"/>
        </w:rPr>
        <w:t>Online Service Completion</w:t>
      </w:r>
      <w:r w:rsidRPr="00855036">
        <w:rPr>
          <w:iCs/>
          <w:lang w:val="lv-LV" w:eastAsia="lv-LV"/>
        </w:rPr>
        <w:t>))</w:t>
      </w:r>
      <w:r w:rsidRPr="00855036" w:rsidR="00515459">
        <w:rPr>
          <w:lang w:val="lv-LV"/>
        </w:rPr>
        <w:t>;</w:t>
      </w:r>
    </w:p>
    <w:p w:rsidR="0054753A" w:rsidRPr="00855036" w:rsidP="00934EB6" w14:paraId="72B3C605" w14:textId="239D0443">
      <w:pPr>
        <w:rPr>
          <w:lang w:val="lv-LV"/>
        </w:rPr>
      </w:pPr>
      <w:r w:rsidRPr="00855036">
        <w:rPr>
          <w:rFonts w:eastAsia="Times New Roman"/>
          <w:bCs/>
          <w:lang w:val="lv-LV"/>
        </w:rPr>
        <w:t>2</w:t>
      </w:r>
      <w:r w:rsidRPr="00855036" w:rsidR="00515459">
        <w:rPr>
          <w:rFonts w:eastAsia="Times New Roman"/>
          <w:bCs/>
          <w:lang w:val="lv-LV"/>
        </w:rPr>
        <w:t>.</w:t>
      </w:r>
      <w:r w:rsidRPr="00855036">
        <w:rPr>
          <w:rFonts w:eastAsia="Times New Roman"/>
          <w:bCs/>
          <w:lang w:val="lv-LV"/>
        </w:rPr>
        <w:t>  Elektronisko izsoļu vietnes pilnveidošanai</w:t>
      </w:r>
      <w:r w:rsidRPr="00855036">
        <w:rPr>
          <w:rFonts w:eastAsia="Times New Roman"/>
          <w:lang w:val="lv-LV"/>
        </w:rPr>
        <w:t xml:space="preserve"> saskaņā ar </w:t>
      </w:r>
      <w:r w:rsidRPr="00855036" w:rsidR="00515459">
        <w:rPr>
          <w:rFonts w:eastAsia="Times New Roman"/>
          <w:lang w:val="lv-LV"/>
        </w:rPr>
        <w:t>Tiesu administrācijas</w:t>
      </w:r>
      <w:r w:rsidRPr="00855036" w:rsidR="00515459">
        <w:rPr>
          <w:lang w:val="lv-LV"/>
        </w:rPr>
        <w:t xml:space="preserve"> </w:t>
      </w:r>
      <w:r w:rsidRPr="00855036">
        <w:rPr>
          <w:lang w:val="lv-LV"/>
        </w:rPr>
        <w:t xml:space="preserve"> maksas pakalpojumu cenrāža</w:t>
      </w:r>
      <w:r w:rsidRPr="00855036">
        <w:rPr>
          <w:rFonts w:eastAsia="Times New Roman"/>
          <w:lang w:val="lv-LV"/>
        </w:rPr>
        <w:t xml:space="preserve"> pielikuma 21. punktu līdz 2018. gadam plāno</w:t>
      </w:r>
      <w:r w:rsidRPr="00855036" w:rsidR="0083401C">
        <w:rPr>
          <w:rFonts w:eastAsia="Times New Roman"/>
          <w:lang w:val="lv-LV"/>
        </w:rPr>
        <w:t>t</w:t>
      </w:r>
      <w:r w:rsidRPr="00855036" w:rsidR="00515459">
        <w:rPr>
          <w:rFonts w:eastAsia="Times New Roman"/>
          <w:lang w:val="lv-LV"/>
        </w:rPr>
        <w:t>s</w:t>
      </w:r>
      <w:r w:rsidRPr="00855036">
        <w:rPr>
          <w:rFonts w:eastAsia="Times New Roman"/>
          <w:lang w:val="lv-LV"/>
        </w:rPr>
        <w:t xml:space="preserve"> ieviest pakalpojumu “Viena elektronisko izsoļu vietnē reģistrēto izsoļu sludinājumu monitoringa uzstādīšana, nosūtot informāciju elektroniski” </w:t>
      </w:r>
      <w:r w:rsidRPr="00855036">
        <w:rPr>
          <w:lang w:val="lv-LV"/>
        </w:rPr>
        <w:t xml:space="preserve">(ietekme uz </w:t>
      </w:r>
      <w:r w:rsidRPr="00855036">
        <w:rPr>
          <w:iCs/>
          <w:lang w:val="lv-LV" w:eastAsia="lv-LV"/>
        </w:rPr>
        <w:t>5a3. </w:t>
      </w:r>
      <w:r w:rsidRPr="00855036">
        <w:rPr>
          <w:lang w:val="lv-LV"/>
        </w:rPr>
        <w:t>i</w:t>
      </w:r>
      <w:r w:rsidRPr="00855036">
        <w:rPr>
          <w:iCs/>
          <w:lang w:val="lv-LV" w:eastAsia="lv-LV"/>
        </w:rPr>
        <w:t xml:space="preserve">ndikatoru </w:t>
      </w:r>
      <w:r w:rsidRPr="00855036" w:rsidR="00B916D4">
        <w:rPr>
          <w:iCs/>
          <w:lang w:val="lv-LV" w:eastAsia="lv-LV"/>
        </w:rPr>
        <w:t>“</w:t>
      </w:r>
      <w:r w:rsidRPr="00855036">
        <w:rPr>
          <w:iCs/>
          <w:lang w:val="lv-LV" w:eastAsia="lv-LV"/>
        </w:rPr>
        <w:t>Tiešsaistē pabeigtie pakalpojumi</w:t>
      </w:r>
      <w:r w:rsidRPr="00855036" w:rsidR="00B916D4">
        <w:rPr>
          <w:iCs/>
          <w:lang w:val="lv-LV" w:eastAsia="lv-LV"/>
        </w:rPr>
        <w:t>”</w:t>
      </w:r>
      <w:r w:rsidRPr="00855036">
        <w:rPr>
          <w:iCs/>
          <w:lang w:val="lv-LV" w:eastAsia="lv-LV"/>
        </w:rPr>
        <w:t xml:space="preserve"> (</w:t>
      </w:r>
      <w:r w:rsidRPr="00855036">
        <w:rPr>
          <w:i/>
          <w:iCs/>
          <w:lang w:val="lv-LV" w:eastAsia="lv-LV"/>
        </w:rPr>
        <w:t>Online Service Completion</w:t>
      </w:r>
      <w:r w:rsidRPr="00855036">
        <w:rPr>
          <w:iCs/>
          <w:lang w:val="lv-LV" w:eastAsia="lv-LV"/>
        </w:rPr>
        <w:t>)</w:t>
      </w:r>
      <w:r w:rsidRPr="00855036">
        <w:rPr>
          <w:rFonts w:eastAsia="Times New Roman"/>
          <w:lang w:val="lv-LV"/>
        </w:rPr>
        <w:t>).</w:t>
      </w:r>
    </w:p>
    <w:p w:rsidR="0054753A" w:rsidRPr="00855036" w:rsidP="00934EB6" w14:paraId="7768BB08" w14:textId="59B9326A">
      <w:pPr>
        <w:rPr>
          <w:rFonts w:eastAsia="Times New Roman"/>
          <w:bCs/>
          <w:lang w:val="lv-LV"/>
        </w:rPr>
      </w:pPr>
      <w:r w:rsidRPr="00855036">
        <w:rPr>
          <w:rFonts w:eastAsia="Times New Roman"/>
          <w:bCs/>
          <w:lang w:val="lv-LV"/>
        </w:rPr>
        <w:t>3</w:t>
      </w:r>
      <w:r w:rsidRPr="00855036" w:rsidR="00241B1D">
        <w:rPr>
          <w:rFonts w:eastAsia="Times New Roman"/>
          <w:bCs/>
          <w:lang w:val="lv-LV"/>
        </w:rPr>
        <w:t>.</w:t>
      </w:r>
      <w:r w:rsidRPr="00855036">
        <w:rPr>
          <w:rFonts w:eastAsia="Times New Roman"/>
          <w:bCs/>
          <w:lang w:val="lv-LV"/>
        </w:rPr>
        <w:t> Zemesgrāmatu pakalpojumu pilnveidošanai:</w:t>
      </w:r>
    </w:p>
    <w:p w:rsidR="0054753A" w:rsidRPr="00855036" w:rsidP="00934EB6" w14:paraId="07DC1F44" w14:textId="3B5BFE4E">
      <w:pPr>
        <w:rPr>
          <w:lang w:val="lv-LV"/>
        </w:rPr>
      </w:pPr>
      <w:r w:rsidRPr="00855036">
        <w:rPr>
          <w:rFonts w:eastAsia="Times New Roman"/>
          <w:bCs/>
          <w:lang w:val="lv-LV"/>
        </w:rPr>
        <w:t>–sa</w:t>
      </w:r>
      <w:r w:rsidRPr="00855036">
        <w:rPr>
          <w:lang w:val="lv-LV"/>
        </w:rPr>
        <w:t xml:space="preserve">skaņā ar </w:t>
      </w:r>
      <w:r w:rsidRPr="00855036" w:rsidR="00241B1D">
        <w:rPr>
          <w:rFonts w:eastAsia="Times New Roman"/>
          <w:lang w:val="lv-LV"/>
        </w:rPr>
        <w:t>Tiesu administrācijas</w:t>
      </w:r>
      <w:r w:rsidRPr="00855036" w:rsidR="00241B1D">
        <w:rPr>
          <w:lang w:val="lv-LV"/>
        </w:rPr>
        <w:t xml:space="preserve"> </w:t>
      </w:r>
      <w:r w:rsidRPr="00855036">
        <w:rPr>
          <w:lang w:val="lv-LV"/>
        </w:rPr>
        <w:t>maksas pakalpojumu cenrāža pielikuma 6. punktu līdz 2018. gadam plāno</w:t>
      </w:r>
      <w:r w:rsidRPr="00855036" w:rsidR="00241B1D">
        <w:rPr>
          <w:lang w:val="lv-LV"/>
        </w:rPr>
        <w:t>ts</w:t>
      </w:r>
      <w:r w:rsidRPr="00855036">
        <w:rPr>
          <w:lang w:val="lv-LV"/>
        </w:rPr>
        <w:t xml:space="preserve"> ieviest pakalpojumu “Zemesgrāmatu nodalījuma daļas elektroniska atlase” (ietekme uz </w:t>
      </w:r>
      <w:r w:rsidRPr="00855036">
        <w:rPr>
          <w:iCs/>
          <w:lang w:val="lv-LV" w:eastAsia="lv-LV"/>
        </w:rPr>
        <w:t>5a3. </w:t>
      </w:r>
      <w:r w:rsidRPr="00855036">
        <w:rPr>
          <w:lang w:val="lv-LV"/>
        </w:rPr>
        <w:t>i</w:t>
      </w:r>
      <w:r w:rsidRPr="00855036">
        <w:rPr>
          <w:iCs/>
          <w:lang w:val="lv-LV" w:eastAsia="lv-LV"/>
        </w:rPr>
        <w:t xml:space="preserve">ndikatoru </w:t>
      </w:r>
      <w:r w:rsidRPr="00855036" w:rsidR="00B916D4">
        <w:rPr>
          <w:iCs/>
          <w:lang w:val="lv-LV" w:eastAsia="lv-LV"/>
        </w:rPr>
        <w:t>“</w:t>
      </w:r>
      <w:r w:rsidRPr="00855036">
        <w:rPr>
          <w:iCs/>
          <w:lang w:val="lv-LV" w:eastAsia="lv-LV"/>
        </w:rPr>
        <w:t>Tiešsaistē pabeigtie pakalpojumi</w:t>
      </w:r>
      <w:r w:rsidRPr="00855036" w:rsidR="00B916D4">
        <w:rPr>
          <w:iCs/>
          <w:lang w:val="lv-LV" w:eastAsia="lv-LV"/>
        </w:rPr>
        <w:t>”</w:t>
      </w:r>
      <w:r w:rsidRPr="00855036">
        <w:rPr>
          <w:iCs/>
          <w:lang w:val="lv-LV" w:eastAsia="lv-LV"/>
        </w:rPr>
        <w:t xml:space="preserve"> (</w:t>
      </w:r>
      <w:r w:rsidRPr="00855036">
        <w:rPr>
          <w:i/>
          <w:iCs/>
          <w:lang w:val="lv-LV" w:eastAsia="lv-LV"/>
        </w:rPr>
        <w:t>Online Service Completion</w:t>
      </w:r>
      <w:r w:rsidRPr="00855036">
        <w:rPr>
          <w:iCs/>
          <w:lang w:val="lv-LV" w:eastAsia="lv-LV"/>
        </w:rPr>
        <w:t>))</w:t>
      </w:r>
      <w:r w:rsidRPr="00855036">
        <w:rPr>
          <w:lang w:val="lv-LV"/>
        </w:rPr>
        <w:t>;</w:t>
      </w:r>
    </w:p>
    <w:p w:rsidR="0054753A" w:rsidRPr="00855036" w:rsidP="00934EB6" w14:paraId="22A822D6" w14:textId="2D9DB6E5">
      <w:pPr>
        <w:rPr>
          <w:rFonts w:eastAsia="Times New Roman"/>
          <w:lang w:val="lv-LV"/>
        </w:rPr>
      </w:pPr>
      <w:r w:rsidRPr="00855036">
        <w:rPr>
          <w:rFonts w:eastAsia="Times New Roman"/>
          <w:lang w:val="lv-LV"/>
        </w:rPr>
        <w:t>–</w:t>
      </w:r>
      <w:r w:rsidRPr="00855036">
        <w:rPr>
          <w:rFonts w:eastAsia="Times New Roman"/>
          <w:bCs/>
          <w:lang w:val="lv-LV"/>
        </w:rPr>
        <w:t>sa</w:t>
      </w:r>
      <w:r w:rsidRPr="00855036">
        <w:rPr>
          <w:lang w:val="lv-LV"/>
        </w:rPr>
        <w:t xml:space="preserve">skaņā ar </w:t>
      </w:r>
      <w:r w:rsidRPr="00855036" w:rsidR="00E6387C">
        <w:rPr>
          <w:rFonts w:eastAsia="Times New Roman"/>
          <w:lang w:val="lv-LV"/>
        </w:rPr>
        <w:t>Tiesu administrācijas</w:t>
      </w:r>
      <w:r w:rsidRPr="00855036" w:rsidR="00E6387C">
        <w:rPr>
          <w:lang w:val="lv-LV"/>
        </w:rPr>
        <w:t xml:space="preserve"> </w:t>
      </w:r>
      <w:r w:rsidRPr="00855036">
        <w:rPr>
          <w:lang w:val="lv-LV"/>
        </w:rPr>
        <w:t xml:space="preserve">maksas pakalpojumu cenrāža </w:t>
      </w:r>
      <w:r w:rsidRPr="00855036">
        <w:rPr>
          <w:rFonts w:eastAsia="Times New Roman"/>
          <w:lang w:val="lv-LV"/>
        </w:rPr>
        <w:t>pielikuma 11.</w:t>
      </w:r>
      <w:r w:rsidRPr="00855036" w:rsidR="00E6387C">
        <w:rPr>
          <w:rFonts w:eastAsia="Times New Roman"/>
          <w:lang w:val="lv-LV"/>
        </w:rPr>
        <w:t> </w:t>
      </w:r>
      <w:r w:rsidRPr="00855036">
        <w:rPr>
          <w:rFonts w:eastAsia="Times New Roman"/>
          <w:lang w:val="lv-LV"/>
        </w:rPr>
        <w:t>punktu līdz 2018. gadam plāno</w:t>
      </w:r>
      <w:r w:rsidRPr="00855036" w:rsidR="00E6387C">
        <w:rPr>
          <w:rFonts w:eastAsia="Times New Roman"/>
          <w:lang w:val="lv-LV"/>
        </w:rPr>
        <w:t>ts</w:t>
      </w:r>
      <w:r w:rsidRPr="00855036">
        <w:rPr>
          <w:rFonts w:eastAsia="Times New Roman"/>
          <w:lang w:val="lv-LV"/>
        </w:rPr>
        <w:t xml:space="preserve"> ieviest pakalpojumu “Datu atlase par daudzdzīvokļu ēkas īpašniekiem”</w:t>
      </w:r>
      <w:r w:rsidRPr="00855036">
        <w:rPr>
          <w:lang w:val="lv-LV"/>
        </w:rPr>
        <w:t xml:space="preserve"> (ietekme uz </w:t>
      </w:r>
      <w:r w:rsidRPr="00855036">
        <w:rPr>
          <w:iCs/>
          <w:lang w:val="lv-LV" w:eastAsia="lv-LV"/>
        </w:rPr>
        <w:t>5a3. </w:t>
      </w:r>
      <w:r w:rsidRPr="00855036">
        <w:rPr>
          <w:lang w:val="lv-LV"/>
        </w:rPr>
        <w:t>i</w:t>
      </w:r>
      <w:r w:rsidRPr="00855036">
        <w:rPr>
          <w:iCs/>
          <w:lang w:val="lv-LV" w:eastAsia="lv-LV"/>
        </w:rPr>
        <w:t xml:space="preserve">ndikatoru </w:t>
      </w:r>
      <w:r w:rsidRPr="00855036" w:rsidR="00B916D4">
        <w:rPr>
          <w:iCs/>
          <w:lang w:val="lv-LV" w:eastAsia="lv-LV"/>
        </w:rPr>
        <w:t>“</w:t>
      </w:r>
      <w:r w:rsidRPr="00855036">
        <w:rPr>
          <w:iCs/>
          <w:lang w:val="lv-LV" w:eastAsia="lv-LV"/>
        </w:rPr>
        <w:t>Tiešsaistē pabeigtie pakalpojumi</w:t>
      </w:r>
      <w:r w:rsidRPr="00855036" w:rsidR="00B916D4">
        <w:rPr>
          <w:iCs/>
          <w:lang w:val="lv-LV" w:eastAsia="lv-LV"/>
        </w:rPr>
        <w:t>’</w:t>
      </w:r>
      <w:r w:rsidRPr="00855036">
        <w:rPr>
          <w:iCs/>
          <w:lang w:val="lv-LV" w:eastAsia="lv-LV"/>
        </w:rPr>
        <w:t xml:space="preserve"> (</w:t>
      </w:r>
      <w:r w:rsidRPr="00855036">
        <w:rPr>
          <w:i/>
          <w:iCs/>
          <w:lang w:val="lv-LV" w:eastAsia="lv-LV"/>
        </w:rPr>
        <w:t>Online Service Completion</w:t>
      </w:r>
      <w:r w:rsidRPr="00855036">
        <w:rPr>
          <w:iCs/>
          <w:lang w:val="lv-LV" w:eastAsia="lv-LV"/>
        </w:rPr>
        <w:t>))</w:t>
      </w:r>
      <w:r w:rsidRPr="00855036">
        <w:rPr>
          <w:lang w:val="lv-LV"/>
        </w:rPr>
        <w:t>;</w:t>
      </w:r>
    </w:p>
    <w:p w:rsidR="0054753A" w:rsidRPr="00855036" w:rsidP="00934EB6" w14:paraId="274D28E3" w14:textId="1BB92388">
      <w:pPr>
        <w:rPr>
          <w:rFonts w:eastAsia="Times New Roman"/>
          <w:lang w:val="lv-LV"/>
        </w:rPr>
      </w:pPr>
      <w:r w:rsidRPr="00855036">
        <w:rPr>
          <w:rFonts w:eastAsia="Times New Roman"/>
          <w:lang w:val="lv-LV"/>
        </w:rPr>
        <w:t>–</w:t>
      </w:r>
      <w:r w:rsidRPr="00855036">
        <w:rPr>
          <w:rFonts w:eastAsia="Times New Roman"/>
          <w:bCs/>
          <w:lang w:val="lv-LV"/>
        </w:rPr>
        <w:t>sa</w:t>
      </w:r>
      <w:r w:rsidRPr="00855036">
        <w:rPr>
          <w:lang w:val="lv-LV"/>
        </w:rPr>
        <w:t xml:space="preserve">skaņā ar </w:t>
      </w:r>
      <w:r w:rsidRPr="00855036" w:rsidR="00E6387C">
        <w:rPr>
          <w:rFonts w:eastAsia="Times New Roman"/>
          <w:lang w:val="lv-LV"/>
        </w:rPr>
        <w:t>Tiesu administrācijas</w:t>
      </w:r>
      <w:r w:rsidRPr="00855036" w:rsidR="00E6387C">
        <w:rPr>
          <w:lang w:val="lv-LV"/>
        </w:rPr>
        <w:t xml:space="preserve"> </w:t>
      </w:r>
      <w:r w:rsidRPr="00855036">
        <w:rPr>
          <w:lang w:val="lv-LV"/>
        </w:rPr>
        <w:t xml:space="preserve">maksas pakalpojumu cenrāža </w:t>
      </w:r>
      <w:r w:rsidRPr="00855036">
        <w:rPr>
          <w:rFonts w:eastAsia="Times New Roman"/>
          <w:lang w:val="lv-LV"/>
        </w:rPr>
        <w:t>pielikuma 12. punktu līdz 2018. gadam plāno</w:t>
      </w:r>
      <w:r w:rsidRPr="00855036" w:rsidR="00E6387C">
        <w:rPr>
          <w:rFonts w:eastAsia="Times New Roman"/>
          <w:lang w:val="lv-LV"/>
        </w:rPr>
        <w:t>ts</w:t>
      </w:r>
      <w:r w:rsidRPr="00855036">
        <w:rPr>
          <w:rFonts w:eastAsia="Times New Roman"/>
          <w:lang w:val="lv-LV"/>
        </w:rPr>
        <w:t xml:space="preserve"> ieviest pakalpojumu “Zemesgrāmatu nodalījumu monitorings uz īpašumtiesību laiku”</w:t>
      </w:r>
      <w:r w:rsidRPr="00855036">
        <w:rPr>
          <w:lang w:val="lv-LV"/>
        </w:rPr>
        <w:t xml:space="preserve"> (ietekme uz </w:t>
      </w:r>
      <w:r w:rsidRPr="00855036">
        <w:rPr>
          <w:iCs/>
          <w:lang w:val="lv-LV" w:eastAsia="lv-LV"/>
        </w:rPr>
        <w:t>5a3. </w:t>
      </w:r>
      <w:r w:rsidRPr="00855036">
        <w:rPr>
          <w:lang w:val="lv-LV"/>
        </w:rPr>
        <w:t>i</w:t>
      </w:r>
      <w:r w:rsidRPr="00855036">
        <w:rPr>
          <w:iCs/>
          <w:lang w:val="lv-LV" w:eastAsia="lv-LV"/>
        </w:rPr>
        <w:t xml:space="preserve">ndikatoru </w:t>
      </w:r>
      <w:r w:rsidRPr="00855036" w:rsidR="00B916D4">
        <w:rPr>
          <w:iCs/>
          <w:lang w:val="lv-LV" w:eastAsia="lv-LV"/>
        </w:rPr>
        <w:t>“</w:t>
      </w:r>
      <w:r w:rsidRPr="00855036">
        <w:rPr>
          <w:iCs/>
          <w:lang w:val="lv-LV" w:eastAsia="lv-LV"/>
        </w:rPr>
        <w:t>Tiešsaistē pabeigtie pakalpojumi</w:t>
      </w:r>
      <w:r w:rsidRPr="00855036" w:rsidR="00B916D4">
        <w:rPr>
          <w:iCs/>
          <w:lang w:val="lv-LV" w:eastAsia="lv-LV"/>
        </w:rPr>
        <w:t>”</w:t>
      </w:r>
      <w:r w:rsidRPr="00855036">
        <w:rPr>
          <w:iCs/>
          <w:lang w:val="lv-LV" w:eastAsia="lv-LV"/>
        </w:rPr>
        <w:t xml:space="preserve"> </w:t>
      </w:r>
      <w:r w:rsidRPr="00855036">
        <w:rPr>
          <w:i/>
          <w:iCs/>
          <w:lang w:val="lv-LV" w:eastAsia="lv-LV"/>
        </w:rPr>
        <w:t>(Online Service Completion</w:t>
      </w:r>
      <w:r w:rsidRPr="00855036">
        <w:rPr>
          <w:iCs/>
          <w:lang w:val="lv-LV" w:eastAsia="lv-LV"/>
        </w:rPr>
        <w:t>))</w:t>
      </w:r>
      <w:r w:rsidRPr="00855036">
        <w:rPr>
          <w:lang w:val="lv-LV"/>
        </w:rPr>
        <w:t>.</w:t>
      </w:r>
    </w:p>
    <w:p w:rsidR="0054753A" w:rsidRPr="00855036" w:rsidP="00934EB6" w14:paraId="56264855" w14:textId="22951555">
      <w:pPr>
        <w:rPr>
          <w:lang w:val="lv-LV"/>
        </w:rPr>
      </w:pPr>
      <w:r w:rsidRPr="00855036">
        <w:rPr>
          <w:b/>
          <w:lang w:val="lv-LV"/>
        </w:rPr>
        <w:t>Valsts valodas centrs</w:t>
      </w:r>
      <w:r w:rsidRPr="00855036">
        <w:rPr>
          <w:lang w:val="lv-LV"/>
        </w:rPr>
        <w:t xml:space="preserve"> l</w:t>
      </w:r>
      <w:r w:rsidRPr="00855036">
        <w:rPr>
          <w:rFonts w:eastAsia="Times New Roman"/>
          <w:lang w:val="lv-LV"/>
        </w:rPr>
        <w:t xml:space="preserve">īdz 2017. gada beigām </w:t>
      </w:r>
      <w:r w:rsidRPr="00855036" w:rsidR="00E361EC">
        <w:rPr>
          <w:rFonts w:eastAsia="Times New Roman"/>
          <w:lang w:val="lv-LV"/>
        </w:rPr>
        <w:t>plāno izstrādāt</w:t>
      </w:r>
      <w:r w:rsidRPr="00855036">
        <w:rPr>
          <w:rFonts w:eastAsia="Times New Roman"/>
          <w:lang w:val="lv-LV"/>
        </w:rPr>
        <w:t xml:space="preserve"> mobilo lietotni, lai veicinātu sabiedrības līdzdalību valsts valodas normu pārkāpumu novēršanā un valsts valodas lietojuma uzlabošanai publiskajā telpā, nodrošinot iespēju jebkuram lietotājam ērti un ātri nosūtīt iestādei informāciju, t</w:t>
      </w:r>
      <w:r w:rsidRPr="00855036" w:rsidR="00E6387C">
        <w:rPr>
          <w:rFonts w:eastAsia="Times New Roman"/>
          <w:lang w:val="lv-LV"/>
        </w:rPr>
        <w:t>ostarp</w:t>
      </w:r>
      <w:r w:rsidRPr="00855036" w:rsidR="00E361EC">
        <w:rPr>
          <w:rFonts w:eastAsia="Times New Roman"/>
          <w:lang w:val="lv-LV"/>
        </w:rPr>
        <w:t>,</w:t>
      </w:r>
      <w:r w:rsidRPr="00855036">
        <w:rPr>
          <w:rFonts w:eastAsia="Times New Roman"/>
          <w:lang w:val="lv-LV"/>
        </w:rPr>
        <w:t xml:space="preserve"> fotogrāfijas, par iesp</w:t>
      </w:r>
      <w:r w:rsidRPr="00855036" w:rsidR="00E361EC">
        <w:rPr>
          <w:rFonts w:eastAsia="Times New Roman"/>
          <w:lang w:val="lv-LV"/>
        </w:rPr>
        <w:t>ējamu valsts valodas pārkāpumu. Ar lietotnes palīdzību būs iespējams norādīt arī uz labās prakses piemēriem.</w:t>
      </w:r>
    </w:p>
    <w:p w:rsidR="0054753A" w:rsidRPr="00855036" w:rsidP="00934EB6" w14:paraId="15B1C3BE" w14:textId="302AA1E9">
      <w:pPr>
        <w:rPr>
          <w:lang w:val="lv-LV"/>
        </w:rPr>
      </w:pPr>
      <w:r w:rsidRPr="00855036">
        <w:rPr>
          <w:b/>
          <w:lang w:val="lv-LV"/>
        </w:rPr>
        <w:t>Juridiskās palīdzības administrācijā</w:t>
      </w:r>
      <w:r w:rsidRPr="00855036">
        <w:rPr>
          <w:lang w:val="lv-LV"/>
        </w:rPr>
        <w:t xml:space="preserve"> šobrīd norit darbs pie valsts informācijas sistēmu attīstības projekta </w:t>
      </w:r>
      <w:r w:rsidRPr="00855036" w:rsidR="00E6387C">
        <w:rPr>
          <w:lang w:val="lv-LV"/>
        </w:rPr>
        <w:t>“</w:t>
      </w:r>
      <w:r w:rsidRPr="00855036">
        <w:rPr>
          <w:lang w:val="lv-LV"/>
        </w:rPr>
        <w:t>Valsts nodrošinātās juridiskās palīdzības reģistrs un Valsts kompensāciju reģistrs</w:t>
      </w:r>
      <w:r w:rsidRPr="00855036" w:rsidR="00E6387C">
        <w:rPr>
          <w:lang w:val="lv-LV"/>
        </w:rPr>
        <w:t>”</w:t>
      </w:r>
      <w:r w:rsidRPr="00855036">
        <w:rPr>
          <w:lang w:val="lv-LV"/>
        </w:rPr>
        <w:t xml:space="preserve"> ieviešanas un pilnveidošanas, kura ietvaros paredzēts izveidot </w:t>
      </w:r>
      <w:r w:rsidRPr="00855036">
        <w:rPr>
          <w:lang w:val="lv-LV" w:eastAsia="lv-LV"/>
        </w:rPr>
        <w:t xml:space="preserve">interaktīvos pakalpojuma aprakstus, nodrošināt juridiskās palīdzības sniedzējam pakalpojumu pieteikšanu elektroniski (elektroniski aizpildāmo veidlapu formu pieejamība, elektroniskais klientu pieņemšanas vadības rīks, tehnisko risinājumu izstrāde, kas neprasa elektronisko parakstu un ļauj nodrošināt personu identifikāciju, un </w:t>
      </w:r>
      <w:r w:rsidRPr="00855036" w:rsidR="00E6387C">
        <w:rPr>
          <w:lang w:val="lv-LV" w:eastAsia="lv-LV"/>
        </w:rPr>
        <w:t>citi pakalpojumi</w:t>
      </w:r>
      <w:r w:rsidRPr="00855036">
        <w:rPr>
          <w:lang w:val="lv-LV" w:eastAsia="lv-LV"/>
        </w:rPr>
        <w:t>) un rezultātu saņemšanu elektroniski.</w:t>
      </w:r>
    </w:p>
    <w:p w:rsidR="004B0290" w:rsidRPr="00855036" w:rsidP="00934EB6" w14:paraId="4987F0D2" w14:textId="73130F98">
      <w:pPr>
        <w:rPr>
          <w:lang w:val="lv-LV" w:eastAsia="lv-LV"/>
        </w:rPr>
      </w:pPr>
      <w:r w:rsidRPr="00855036">
        <w:rPr>
          <w:b/>
          <w:lang w:val="lv-LV"/>
        </w:rPr>
        <w:t>Valsts probācijas diene</w:t>
      </w:r>
      <w:r w:rsidRPr="00855036" w:rsidR="00ED5215">
        <w:rPr>
          <w:b/>
          <w:lang w:val="lv-LV"/>
        </w:rPr>
        <w:t xml:space="preserve">sts </w:t>
      </w:r>
      <w:r w:rsidRPr="00855036" w:rsidR="0083401C">
        <w:rPr>
          <w:lang w:val="lv-LV" w:eastAsia="lv-LV"/>
        </w:rPr>
        <w:t>plāno</w:t>
      </w:r>
      <w:r w:rsidRPr="00855036">
        <w:rPr>
          <w:lang w:val="lv-LV" w:eastAsia="lv-LV"/>
        </w:rPr>
        <w:t xml:space="preserve"> īstenot projektu </w:t>
      </w:r>
      <w:r w:rsidRPr="00855036" w:rsidR="00E6387C">
        <w:rPr>
          <w:lang w:val="lv-LV"/>
        </w:rPr>
        <w:t>“</w:t>
      </w:r>
      <w:r w:rsidRPr="00855036">
        <w:rPr>
          <w:lang w:val="lv-LV"/>
        </w:rPr>
        <w:t>Probācijas klientu uzskaites sistēmas pilnveidošana</w:t>
      </w:r>
      <w:r w:rsidRPr="00855036" w:rsidR="00E6387C">
        <w:rPr>
          <w:lang w:val="lv-LV"/>
        </w:rPr>
        <w:t>”</w:t>
      </w:r>
      <w:r w:rsidRPr="00855036">
        <w:rPr>
          <w:lang w:val="lv-LV"/>
        </w:rPr>
        <w:t xml:space="preserve">, </w:t>
      </w:r>
      <w:r w:rsidRPr="00855036">
        <w:rPr>
          <w:lang w:val="lv-LV"/>
        </w:rPr>
        <w:t>2.2.1. SAM 2.2.1.1 pasākumā izvirzīto rādītāju sasniegšanai</w:t>
      </w:r>
      <w:r w:rsidRPr="00855036">
        <w:rPr>
          <w:lang w:val="lv-LV"/>
        </w:rPr>
        <w:t>.</w:t>
      </w:r>
      <w:r w:rsidRPr="00855036">
        <w:rPr>
          <w:lang w:val="lv-LV"/>
        </w:rPr>
        <w:t xml:space="preserve"> </w:t>
      </w:r>
      <w:r w:rsidRPr="00855036">
        <w:rPr>
          <w:lang w:val="lv-LV" w:eastAsia="lv-LV"/>
        </w:rPr>
        <w:t xml:space="preserve">Projekta ietvaros </w:t>
      </w:r>
      <w:r w:rsidRPr="00855036" w:rsidR="00B916D4">
        <w:rPr>
          <w:lang w:val="lv-LV" w:eastAsia="lv-LV"/>
        </w:rPr>
        <w:t>“</w:t>
      </w:r>
      <w:r w:rsidRPr="00855036">
        <w:rPr>
          <w:lang w:val="lv-LV" w:eastAsia="lv-LV"/>
        </w:rPr>
        <w:t>Probācijas klientu uzskaites sistēma</w:t>
      </w:r>
      <w:r w:rsidRPr="00855036" w:rsidR="00B916D4">
        <w:rPr>
          <w:lang w:val="lv-LV" w:eastAsia="lv-LV"/>
        </w:rPr>
        <w:t>”</w:t>
      </w:r>
      <w:r w:rsidRPr="00855036">
        <w:rPr>
          <w:lang w:val="lv-LV" w:eastAsia="lv-LV"/>
        </w:rPr>
        <w:t xml:space="preserve"> </w:t>
      </w:r>
      <w:r w:rsidRPr="00855036" w:rsidR="001B7CEA">
        <w:rPr>
          <w:lang w:val="lv-LV" w:eastAsia="lv-LV"/>
        </w:rPr>
        <w:t>tiks pilnveidota un integrēta</w:t>
      </w:r>
      <w:r w:rsidRPr="00855036">
        <w:rPr>
          <w:lang w:val="lv-LV" w:eastAsia="lv-LV"/>
        </w:rPr>
        <w:t xml:space="preserve"> kopējā E-lietas platformā</w:t>
      </w:r>
      <w:r w:rsidRPr="00855036" w:rsidR="001B7CEA">
        <w:rPr>
          <w:lang w:val="lv-LV" w:eastAsia="lv-LV"/>
        </w:rPr>
        <w:t>, tiks nodrošināta atvērto datu kopu nodošana publicēšanai atvērto datu portālā.</w:t>
      </w:r>
    </w:p>
    <w:p w:rsidR="00A03B7E" w:rsidRPr="00855036" w:rsidP="00934EB6" w14:paraId="065B8461" w14:textId="535B2FF4">
      <w:pPr>
        <w:rPr>
          <w:lang w:val="lv-LV"/>
        </w:rPr>
      </w:pPr>
      <w:r w:rsidRPr="00855036">
        <w:rPr>
          <w:b/>
          <w:lang w:val="lv-LV"/>
        </w:rPr>
        <w:t>VARAM</w:t>
      </w:r>
      <w:r w:rsidRPr="00855036" w:rsidR="003949F1">
        <w:rPr>
          <w:b/>
          <w:lang w:val="lv-LV"/>
        </w:rPr>
        <w:t xml:space="preserve"> </w:t>
      </w:r>
      <w:r w:rsidRPr="00855036" w:rsidR="00F072AE">
        <w:rPr>
          <w:lang w:val="lv-LV"/>
        </w:rPr>
        <w:t>projekta “Publiskās pārvaldes informācijas un komunikāciju tehnoloģiju arhitektūras pārvaldības sistēma” ietvaros</w:t>
      </w:r>
      <w:r w:rsidRPr="00855036" w:rsidR="0025333B">
        <w:rPr>
          <w:lang w:val="lv-LV"/>
        </w:rPr>
        <w:t>,</w:t>
      </w:r>
      <w:r w:rsidRPr="00855036" w:rsidR="00F072AE">
        <w:rPr>
          <w:lang w:val="lv-LV"/>
        </w:rPr>
        <w:t xml:space="preserve"> lai pilnveidotu IKT iespēju izmantošanu sabiedrībā, plānots veicināt sabiedrības izpratni par drošu e-identifikāciju, organizēt apmācības par e-pakalpojumu izmantošanu un drošu e-vidi, kā arī izstrādāt mācību programmas un materiālus par e-pārvaldības rīkiem.</w:t>
      </w:r>
    </w:p>
    <w:p w:rsidR="000445B0" w:rsidRPr="00855036" w:rsidP="00934EB6" w14:paraId="4710211A" w14:textId="6905BBC4">
      <w:pPr>
        <w:rPr>
          <w:b/>
          <w:lang w:val="lv-LV"/>
        </w:rPr>
      </w:pPr>
      <w:r w:rsidRPr="00855036">
        <w:rPr>
          <w:b/>
          <w:lang w:val="lv-LV"/>
        </w:rPr>
        <w:t xml:space="preserve">Veselības </w:t>
      </w:r>
      <w:r w:rsidRPr="00855036" w:rsidR="003949F1">
        <w:rPr>
          <w:b/>
          <w:lang w:val="lv-LV"/>
        </w:rPr>
        <w:t>ministrija</w:t>
      </w:r>
    </w:p>
    <w:p w:rsidR="000445B0" w:rsidRPr="00855036" w:rsidP="00934EB6" w14:paraId="50D2B5FD" w14:textId="3D4A3763">
      <w:pPr>
        <w:rPr>
          <w:lang w:val="lv-LV"/>
        </w:rPr>
      </w:pPr>
      <w:r w:rsidRPr="00855036">
        <w:rPr>
          <w:lang w:val="lv-LV"/>
        </w:rPr>
        <w:t xml:space="preserve">Portālā </w:t>
      </w:r>
      <w:r>
        <w:fldChar w:fldCharType="begin"/>
      </w:r>
      <w:r>
        <w:instrText xml:space="preserve"> HYPERLINK "http://www.latvija.lv" </w:instrText>
      </w:r>
      <w:r>
        <w:fldChar w:fldCharType="separate"/>
      </w:r>
      <w:r w:rsidRPr="00855036">
        <w:rPr>
          <w:lang w:val="lv-LV"/>
        </w:rPr>
        <w:t>www.latvija.lv</w:t>
      </w:r>
      <w:r>
        <w:fldChar w:fldCharType="end"/>
      </w:r>
      <w:r w:rsidRPr="00855036">
        <w:rPr>
          <w:lang w:val="lv-LV"/>
        </w:rPr>
        <w:t xml:space="preserve"> iedzīvotājiem un uzņ</w:t>
      </w:r>
      <w:r w:rsidRPr="00855036" w:rsidR="00BC7456">
        <w:rPr>
          <w:lang w:val="lv-LV"/>
        </w:rPr>
        <w:t>ēmējiem pieejami vairāk nekā 20 </w:t>
      </w:r>
      <w:r w:rsidRPr="00855036">
        <w:rPr>
          <w:lang w:val="lv-LV"/>
        </w:rPr>
        <w:t xml:space="preserve">veselības nozares e-pakalpojumi. Ar mērķi nodrošināt medicīnisko dokumentu elektronisku apriti ir izveidota e-veselības sistēma un e-veselības portāls </w:t>
      </w:r>
      <w:r>
        <w:fldChar w:fldCharType="begin"/>
      </w:r>
      <w:r>
        <w:instrText xml:space="preserve"> HYPERLINK "http://www.eveseliba.gov.lv" </w:instrText>
      </w:r>
      <w:r>
        <w:fldChar w:fldCharType="separate"/>
      </w:r>
      <w:r w:rsidRPr="00855036">
        <w:rPr>
          <w:lang w:val="lv-LV"/>
        </w:rPr>
        <w:t>www.eveseliba.gov.lv</w:t>
      </w:r>
      <w:r>
        <w:fldChar w:fldCharType="end"/>
      </w:r>
      <w:r w:rsidRPr="00855036">
        <w:rPr>
          <w:lang w:val="lv-LV"/>
        </w:rPr>
        <w:t>, kurā tiek uzkrāti pacientu veselības dati. Jau šobrīd e-veselības sistēma nodrošina vairāku medicīnisko dokumentu elektronisku apriti, piemēram, recepšu, darbnespējas lapu, nosūtījumu</w:t>
      </w:r>
      <w:r w:rsidRPr="00855036" w:rsidR="00BC7456">
        <w:rPr>
          <w:lang w:val="lv-LV"/>
        </w:rPr>
        <w:t xml:space="preserve"> apriti,</w:t>
      </w:r>
      <w:r w:rsidRPr="00855036">
        <w:rPr>
          <w:lang w:val="lv-LV"/>
        </w:rPr>
        <w:t xml:space="preserve"> u.c. Veselības nozares procesu elektronizācijas turpināšana, tai skaitā informācijas sistēmu un e-pakalpojumu attīstīšana paredzēta realizējot vairākus projektus </w:t>
      </w:r>
      <w:r w:rsidRPr="00855036" w:rsidR="00BC7456">
        <w:rPr>
          <w:lang w:val="lv-LV"/>
        </w:rPr>
        <w:t>2.2.1. SAM 2.2.1.1 pasākuma</w:t>
      </w:r>
      <w:r w:rsidRPr="00855036">
        <w:rPr>
          <w:lang w:val="lv-LV"/>
        </w:rPr>
        <w:t xml:space="preserve"> ietvaros. Sagaidāms, ka šo projektu realizācijai būs pozitīva ietekme uz DESI indeksa  rādītāju “Di</w:t>
      </w:r>
      <w:r w:rsidRPr="00855036" w:rsidR="00BC7456">
        <w:rPr>
          <w:lang w:val="lv-LV"/>
        </w:rPr>
        <w:t>gitālie publiskie pakalpojumi”, ņemot vērā, ka minēto projektu ieviešana palielinās e-pārvaldes pakalpojumu izmantošanas apjomus un tiešsaist</w:t>
      </w:r>
      <w:r w:rsidRPr="00855036" w:rsidR="00AF152A">
        <w:rPr>
          <w:lang w:val="lv-LV"/>
        </w:rPr>
        <w:t>ē pabeidzamu pakalpojumu skaitu.</w:t>
      </w:r>
      <w:r w:rsidRPr="00855036" w:rsidR="00BC7456">
        <w:rPr>
          <w:lang w:val="lv-LV"/>
        </w:rPr>
        <w:t xml:space="preserve"> </w:t>
      </w:r>
    </w:p>
    <w:p w:rsidR="00B76939" w:rsidRPr="00855036" w:rsidP="00934EB6" w14:paraId="0663CBC6" w14:textId="16998D97">
      <w:pPr>
        <w:rPr>
          <w:lang w:val="lv-LV"/>
        </w:rPr>
      </w:pPr>
      <w:r w:rsidRPr="00855036">
        <w:rPr>
          <w:b/>
          <w:lang w:val="lv-LV"/>
        </w:rPr>
        <w:t>Zemkopības ministrija</w:t>
      </w:r>
      <w:r w:rsidRPr="00855036" w:rsidR="00ED5215">
        <w:rPr>
          <w:lang w:val="lv-LV"/>
        </w:rPr>
        <w:t xml:space="preserve"> </w:t>
      </w:r>
      <w:r w:rsidRPr="00855036">
        <w:rPr>
          <w:lang w:val="lv-LV"/>
        </w:rPr>
        <w:t>un tās padotības iestādes klientiem piedāvā virkni elektroniskos pakalpojumus, elektroniskā vidē nodrošinot pilnu pakalpojuma procesu – sākot ar pakalpojuma pieteikšanu, apmaksu un beidzot ar vēlamā pakalpojuma darbības rezultāta saņemšanu. Tos izmanto gan publiskā sektora, gan privātā sektora pārstāvji.</w:t>
      </w:r>
    </w:p>
    <w:p w:rsidR="00B76939" w:rsidRPr="00855036" w:rsidP="00934EB6" w14:paraId="3A51807E" w14:textId="03D532D6">
      <w:pPr>
        <w:rPr>
          <w:lang w:val="lv-LV"/>
        </w:rPr>
      </w:pPr>
      <w:r w:rsidRPr="00855036">
        <w:rPr>
          <w:lang w:val="lv-LV"/>
        </w:rPr>
        <w:t xml:space="preserve">Lai nodrošinātu sniegto elektronisko pakalpojumu sekmīgu attīstību, </w:t>
      </w:r>
      <w:r w:rsidRPr="00855036">
        <w:rPr>
          <w:lang w:val="lv-LV"/>
        </w:rPr>
        <w:t>Valsts tehniskās uzraudzības aģentūra, 2017. un 2018.</w:t>
      </w:r>
      <w:r w:rsidRPr="00855036" w:rsidR="00C21AA3">
        <w:rPr>
          <w:lang w:val="lv-LV"/>
        </w:rPr>
        <w:t> </w:t>
      </w:r>
      <w:r w:rsidRPr="00855036">
        <w:rPr>
          <w:lang w:val="lv-LV"/>
        </w:rPr>
        <w:t>gada darba plānā ir iekļāvusi v</w:t>
      </w:r>
      <w:r w:rsidRPr="00855036">
        <w:rPr>
          <w:lang w:val="lv-LV"/>
        </w:rPr>
        <w:t xml:space="preserve">airākas aktivitātes </w:t>
      </w:r>
      <w:r w:rsidRPr="00855036">
        <w:rPr>
          <w:lang w:val="lv-LV"/>
        </w:rPr>
        <w:t>ERAF projekta “</w:t>
      </w:r>
      <w:r w:rsidRPr="00855036" w:rsidR="00CC48F6">
        <w:rPr>
          <w:lang w:val="lv-LV"/>
        </w:rPr>
        <w:t>Zemkopības ministrijas un tās padotībā esošo iestāžu informācijas un komunikācijas tehnoloģiju attīstība</w:t>
      </w:r>
      <w:r w:rsidRPr="00855036">
        <w:rPr>
          <w:lang w:val="lv-LV"/>
        </w:rPr>
        <w:t>” ietvaros</w:t>
      </w:r>
      <w:r w:rsidRPr="00855036" w:rsidR="00557CD2">
        <w:rPr>
          <w:lang w:val="lv-LV"/>
        </w:rPr>
        <w:t>, kas ir apstiprināts ar Ministru kabineta 2017.</w:t>
      </w:r>
      <w:r w:rsidRPr="00855036" w:rsidR="00B916D4">
        <w:rPr>
          <w:lang w:val="lv-LV"/>
        </w:rPr>
        <w:t> </w:t>
      </w:r>
      <w:r w:rsidRPr="00855036" w:rsidR="00557CD2">
        <w:rPr>
          <w:lang w:val="lv-LV"/>
        </w:rPr>
        <w:t>gada 3.</w:t>
      </w:r>
      <w:r w:rsidRPr="00855036" w:rsidR="00B916D4">
        <w:rPr>
          <w:lang w:val="lv-LV"/>
        </w:rPr>
        <w:t> </w:t>
      </w:r>
      <w:r w:rsidRPr="00855036" w:rsidR="00557CD2">
        <w:rPr>
          <w:lang w:val="lv-LV"/>
        </w:rPr>
        <w:t>janvāra rīkojumu Nr.</w:t>
      </w:r>
      <w:r w:rsidRPr="00855036" w:rsidR="00B916D4">
        <w:rPr>
          <w:lang w:val="lv-LV"/>
        </w:rPr>
        <w:t> </w:t>
      </w:r>
      <w:r w:rsidRPr="00855036" w:rsidR="00557CD2">
        <w:rPr>
          <w:lang w:val="lv-LV"/>
        </w:rPr>
        <w:t>7.</w:t>
      </w:r>
      <w:r w:rsidRPr="00855036">
        <w:rPr>
          <w:lang w:val="lv-LV"/>
        </w:rPr>
        <w:t xml:space="preserve"> </w:t>
      </w:r>
      <w:r w:rsidRPr="00855036" w:rsidR="00C21AA3">
        <w:rPr>
          <w:lang w:val="lv-LV"/>
        </w:rPr>
        <w:t xml:space="preserve">Īstenojot minēto </w:t>
      </w:r>
      <w:r w:rsidRPr="00855036">
        <w:rPr>
          <w:lang w:val="lv-LV"/>
        </w:rPr>
        <w:t>Projekt</w:t>
      </w:r>
      <w:r w:rsidRPr="00855036" w:rsidR="00C21AA3">
        <w:rPr>
          <w:lang w:val="lv-LV"/>
        </w:rPr>
        <w:t>u,</w:t>
      </w:r>
      <w:r w:rsidRPr="00855036">
        <w:rPr>
          <w:lang w:val="lv-LV"/>
        </w:rPr>
        <w:t xml:space="preserve"> tiks nodrošināta atvērt</w:t>
      </w:r>
      <w:r w:rsidRPr="00855036">
        <w:rPr>
          <w:lang w:val="lv-LV"/>
        </w:rPr>
        <w:t xml:space="preserve">o datu izveide un publicēšana, pilnveidota esošo e-pakalpojumu pieejamība nodrošinot ērtākus autentifikācijas un autorizācijas risinājumus, mazināts papīra formātā izsniegto un apstrādāto dokumentu īpatsvars, kā arī izveidoti </w:t>
      </w:r>
      <w:r w:rsidRPr="00855036">
        <w:rPr>
          <w:lang w:val="lv-LV"/>
        </w:rPr>
        <w:t xml:space="preserve">jauni e-pakalpojumi, tostarp, </w:t>
      </w:r>
      <w:r w:rsidRPr="00855036" w:rsidR="002B399E">
        <w:rPr>
          <w:lang w:val="lv-LV"/>
        </w:rPr>
        <w:t>i</w:t>
      </w:r>
      <w:r w:rsidRPr="00855036">
        <w:rPr>
          <w:lang w:val="lv-LV"/>
        </w:rPr>
        <w:t>nformācijas saņemšana par tr</w:t>
      </w:r>
      <w:r w:rsidRPr="00855036">
        <w:rPr>
          <w:lang w:val="lv-LV"/>
        </w:rPr>
        <w:t xml:space="preserve">aktortehnikas vadītāju apmācību, </w:t>
      </w:r>
      <w:r w:rsidRPr="00855036" w:rsidR="002B399E">
        <w:rPr>
          <w:lang w:val="lv-LV"/>
        </w:rPr>
        <w:t>t</w:t>
      </w:r>
      <w:r w:rsidRPr="00855036">
        <w:rPr>
          <w:lang w:val="lv-LV"/>
        </w:rPr>
        <w:t>raktortehnikas noņemš</w:t>
      </w:r>
      <w:r w:rsidRPr="00855036">
        <w:rPr>
          <w:lang w:val="lv-LV"/>
        </w:rPr>
        <w:t xml:space="preserve">ana no uzskaites norakstīšanai, </w:t>
      </w:r>
      <w:r w:rsidRPr="00855036" w:rsidR="002B399E">
        <w:rPr>
          <w:lang w:val="lv-LV"/>
        </w:rPr>
        <w:t>a</w:t>
      </w:r>
      <w:r w:rsidRPr="00855036">
        <w:rPr>
          <w:lang w:val="lv-LV"/>
        </w:rPr>
        <w:t>tgādinājumi par dokumentu derīg</w:t>
      </w:r>
      <w:r w:rsidRPr="00855036">
        <w:rPr>
          <w:lang w:val="lv-LV"/>
        </w:rPr>
        <w:t xml:space="preserve">umu termiņu, </w:t>
      </w:r>
      <w:r w:rsidRPr="00855036" w:rsidR="002B399E">
        <w:rPr>
          <w:lang w:val="lv-LV"/>
        </w:rPr>
        <w:t>t</w:t>
      </w:r>
      <w:r w:rsidRPr="00855036">
        <w:rPr>
          <w:lang w:val="lv-LV"/>
        </w:rPr>
        <w:t>raktortehnikas vadītāju kvalifikācijas</w:t>
      </w:r>
      <w:r w:rsidRPr="00855036">
        <w:rPr>
          <w:lang w:val="lv-LV"/>
        </w:rPr>
        <w:t xml:space="preserve"> teorētiskā eksāmena kārtošana kā arī </w:t>
      </w:r>
      <w:r w:rsidRPr="00855036" w:rsidR="002B399E">
        <w:rPr>
          <w:lang w:val="lv-LV"/>
        </w:rPr>
        <w:t>t</w:t>
      </w:r>
      <w:r w:rsidRPr="00855036">
        <w:rPr>
          <w:lang w:val="lv-LV"/>
        </w:rPr>
        <w:t>raktortehnikas agregātu numuru salīdzināšanas pieteikšana.</w:t>
      </w:r>
    </w:p>
    <w:p w:rsidR="00B76939" w:rsidRPr="00855036" w:rsidP="00934EB6" w14:paraId="5F25F1B7" w14:textId="37405A59">
      <w:pPr>
        <w:rPr>
          <w:lang w:val="lv-LV"/>
        </w:rPr>
      </w:pPr>
      <w:r w:rsidRPr="00855036">
        <w:rPr>
          <w:lang w:val="lv-LV"/>
        </w:rPr>
        <w:t>Valsts meža dienesta Ģe</w:t>
      </w:r>
      <w:r w:rsidRPr="00855036" w:rsidR="006A1644">
        <w:rPr>
          <w:lang w:val="lv-LV"/>
        </w:rPr>
        <w:t>ogrāfiskās informācijas sistēma</w:t>
      </w:r>
      <w:r w:rsidRPr="00855036">
        <w:rPr>
          <w:lang w:val="lv-LV"/>
        </w:rPr>
        <w:t xml:space="preserve"> </w:t>
      </w:r>
      <w:r w:rsidRPr="00855036" w:rsidR="006A1644">
        <w:rPr>
          <w:lang w:val="lv-LV"/>
        </w:rPr>
        <w:t xml:space="preserve">(turpmāk – VMD ĢIS) nodrošina piekļuves iespējas sistēmai gan Valsts meža dienesta darbiniekiem, gan meža īpašniekiem un citiem lietotājiem. VMD ĢIS </w:t>
      </w:r>
      <w:r w:rsidRPr="00855036">
        <w:rPr>
          <w:lang w:val="lv-LV"/>
        </w:rPr>
        <w:t xml:space="preserve">modernizācijas ietvaros </w:t>
      </w:r>
      <w:r w:rsidRPr="00855036">
        <w:rPr>
          <w:lang w:val="lv-LV"/>
        </w:rPr>
        <w:t xml:space="preserve">Meža valsts reģistra informācijas lietošana tiešsaistē meža īpašniekam vai tiesiskajam valdītājam dod iespēju iegūt informāciju par saviem īpašumiem/valdījumiem. </w:t>
      </w:r>
      <w:r w:rsidRPr="00855036" w:rsidR="002B399E">
        <w:rPr>
          <w:lang w:val="lv-LV"/>
        </w:rPr>
        <w:t>V</w:t>
      </w:r>
      <w:r w:rsidRPr="00855036" w:rsidR="001A4FB3">
        <w:rPr>
          <w:lang w:val="lv-LV"/>
        </w:rPr>
        <w:t>alsts akciju sabiedrība</w:t>
      </w:r>
      <w:r w:rsidRPr="00855036">
        <w:rPr>
          <w:lang w:val="lv-LV"/>
        </w:rPr>
        <w:t xml:space="preserve"> “Latvijas valsts meži”, kuras apsaimniekošanā atrodas 49</w:t>
      </w:r>
      <w:r w:rsidRPr="00855036" w:rsidR="001A4FB3">
        <w:rPr>
          <w:lang w:val="lv-LV"/>
        </w:rPr>
        <w:t> </w:t>
      </w:r>
      <w:r w:rsidRPr="00855036">
        <w:rPr>
          <w:lang w:val="lv-LV"/>
        </w:rPr>
        <w:t xml:space="preserve">% no valsts mežu teritorijām, izmanto </w:t>
      </w:r>
      <w:r w:rsidRPr="00855036" w:rsidR="001A4FB3">
        <w:rPr>
          <w:lang w:val="lv-LV"/>
        </w:rPr>
        <w:t xml:space="preserve">minētos </w:t>
      </w:r>
      <w:r w:rsidRPr="00855036">
        <w:rPr>
          <w:lang w:val="lv-LV"/>
        </w:rPr>
        <w:t xml:space="preserve"> pakalpojumus pilnā apjomā, </w:t>
      </w:r>
      <w:r w:rsidRPr="00855036" w:rsidR="001A4FB3">
        <w:rPr>
          <w:lang w:val="lv-LV"/>
        </w:rPr>
        <w:t>jo</w:t>
      </w:r>
      <w:r w:rsidRPr="00855036" w:rsidR="003949F1">
        <w:rPr>
          <w:lang w:val="lv-LV"/>
        </w:rPr>
        <w:t xml:space="preserve"> </w:t>
      </w:r>
      <w:r w:rsidRPr="00855036">
        <w:rPr>
          <w:lang w:val="lv-LV"/>
        </w:rPr>
        <w:t>sadarbība - informācijas apmaiņa ar V</w:t>
      </w:r>
      <w:r w:rsidRPr="00855036" w:rsidR="001A4FB3">
        <w:rPr>
          <w:lang w:val="lv-LV"/>
        </w:rPr>
        <w:t>alsts meža dienestu</w:t>
      </w:r>
      <w:r w:rsidRPr="00855036">
        <w:rPr>
          <w:lang w:val="lv-LV"/>
        </w:rPr>
        <w:t xml:space="preserve"> notiek tikai tiešsaistē starpsistēmu līmenī. </w:t>
      </w:r>
      <w:r w:rsidRPr="00855036" w:rsidR="001A4FB3">
        <w:rPr>
          <w:lang w:val="lv-LV"/>
        </w:rPr>
        <w:t>2017. gada</w:t>
      </w:r>
      <w:r w:rsidRPr="00855036" w:rsidR="005A101D">
        <w:rPr>
          <w:lang w:val="lv-LV"/>
        </w:rPr>
        <w:t> </w:t>
      </w:r>
      <w:r w:rsidRPr="00855036" w:rsidR="001A4FB3">
        <w:rPr>
          <w:lang w:val="lv-LV"/>
        </w:rPr>
        <w:t xml:space="preserve">jūlijā Meža valsts reģistra </w:t>
      </w:r>
      <w:r w:rsidRPr="00855036">
        <w:rPr>
          <w:lang w:val="lv-LV"/>
        </w:rPr>
        <w:t>tiešsaistes pieslēgumu izmanto</w:t>
      </w:r>
      <w:r w:rsidRPr="00855036" w:rsidR="006A1644">
        <w:rPr>
          <w:lang w:val="lv-LV"/>
        </w:rPr>
        <w:t>ja</w:t>
      </w:r>
      <w:r w:rsidRPr="00855036">
        <w:rPr>
          <w:lang w:val="lv-LV"/>
        </w:rPr>
        <w:t xml:space="preserve"> 816 meža īpašnieki</w:t>
      </w:r>
      <w:r w:rsidRPr="00855036" w:rsidR="002B399E">
        <w:rPr>
          <w:lang w:val="lv-LV"/>
        </w:rPr>
        <w:t xml:space="preserve"> no kopumā aptuveni 140 tūkst. meža īpašniekiem Latvijā</w:t>
      </w:r>
      <w:r w:rsidRPr="00855036">
        <w:rPr>
          <w:lang w:val="lv-LV"/>
        </w:rPr>
        <w:t>.</w:t>
      </w:r>
      <w:r w:rsidRPr="00855036" w:rsidR="002B399E">
        <w:rPr>
          <w:lang w:val="lv-LV"/>
        </w:rPr>
        <w:t xml:space="preserve"> </w:t>
      </w:r>
      <w:r w:rsidRPr="00855036">
        <w:rPr>
          <w:lang w:val="lv-LV"/>
        </w:rPr>
        <w:t>VMD ĢIS izmanto arī mednieki, iegūstot aktuālo informāciju, ko ir iespējams lejupielādēt dažādu formātu veidā izmantošanai mobilajās ierīcēs. Latvijā 2016</w:t>
      </w:r>
      <w:r w:rsidRPr="00855036" w:rsidR="006A1644">
        <w:rPr>
          <w:lang w:val="lv-LV"/>
        </w:rPr>
        <w:t>.</w:t>
      </w:r>
      <w:r w:rsidRPr="00855036">
        <w:rPr>
          <w:lang w:val="lv-LV"/>
        </w:rPr>
        <w:t>/2017.</w:t>
      </w:r>
      <w:r w:rsidRPr="00855036" w:rsidR="005A101D">
        <w:rPr>
          <w:lang w:val="lv-LV"/>
        </w:rPr>
        <w:t> </w:t>
      </w:r>
      <w:r w:rsidRPr="00855036">
        <w:rPr>
          <w:lang w:val="lv-LV"/>
        </w:rPr>
        <w:t xml:space="preserve">gada medību sezonā </w:t>
      </w:r>
      <w:r w:rsidRPr="00855036" w:rsidR="006A1644">
        <w:rPr>
          <w:lang w:val="lv-LV"/>
        </w:rPr>
        <w:t xml:space="preserve">bija aptuveni 21 000 </w:t>
      </w:r>
      <w:r w:rsidRPr="00855036">
        <w:rPr>
          <w:lang w:val="lv-LV"/>
        </w:rPr>
        <w:t>aktīvie mednieki</w:t>
      </w:r>
      <w:r w:rsidRPr="00855036" w:rsidR="006A1644">
        <w:rPr>
          <w:lang w:val="lv-LV"/>
        </w:rPr>
        <w:t>, no tiem</w:t>
      </w:r>
      <w:r w:rsidRPr="00855036">
        <w:rPr>
          <w:lang w:val="lv-LV"/>
        </w:rPr>
        <w:t xml:space="preserve"> VMD ĢIS medību sadaļu šobrīd tiešsaistē lieto 328 personas.</w:t>
      </w:r>
      <w:r w:rsidRPr="00855036" w:rsidR="002B399E">
        <w:rPr>
          <w:lang w:val="lv-LV"/>
        </w:rPr>
        <w:t xml:space="preserve"> </w:t>
      </w:r>
      <w:r w:rsidRPr="00855036">
        <w:rPr>
          <w:lang w:val="lv-LV"/>
        </w:rPr>
        <w:t>ERAF projekta “</w:t>
      </w:r>
      <w:r w:rsidRPr="00855036" w:rsidR="00CC48F6">
        <w:rPr>
          <w:lang w:val="lv-LV"/>
        </w:rPr>
        <w:t>Zemkopības ministrijas un tās padotībā esošo iestāžu informācijas un komunikācijas tehnoloģiju attīstība</w:t>
      </w:r>
      <w:r w:rsidRPr="00855036">
        <w:rPr>
          <w:lang w:val="lv-LV"/>
        </w:rPr>
        <w:t>” ietvaros, V</w:t>
      </w:r>
      <w:r w:rsidRPr="00855036" w:rsidR="001A4FB3">
        <w:rPr>
          <w:lang w:val="lv-LV"/>
        </w:rPr>
        <w:t>alsts meža dienests</w:t>
      </w:r>
      <w:r w:rsidRPr="00855036">
        <w:rPr>
          <w:lang w:val="lv-LV"/>
        </w:rPr>
        <w:t xml:space="preserve"> plāno ieviest</w:t>
      </w:r>
      <w:r w:rsidRPr="00855036" w:rsidR="002B399E">
        <w:rPr>
          <w:lang w:val="lv-LV"/>
        </w:rPr>
        <w:t xml:space="preserve"> jaunus e-pakalpojumus, tostarp, </w:t>
      </w:r>
      <w:r w:rsidRPr="00855036">
        <w:rPr>
          <w:lang w:val="lv-LV"/>
        </w:rPr>
        <w:t>pieteikšanās medniek</w:t>
      </w:r>
      <w:r w:rsidRPr="00855036" w:rsidR="002B399E">
        <w:rPr>
          <w:lang w:val="lv-LV"/>
        </w:rPr>
        <w:t xml:space="preserve">a vai medību vadītāja eksāmenam un </w:t>
      </w:r>
      <w:r w:rsidRPr="00855036">
        <w:rPr>
          <w:lang w:val="lv-LV"/>
        </w:rPr>
        <w:t>mednieka sezonas kartes saņemšana.</w:t>
      </w:r>
    </w:p>
    <w:p w:rsidR="00A03B7E" w:rsidRPr="00855036" w:rsidP="00934EB6" w14:paraId="287C9B48" w14:textId="6B214F73">
      <w:pPr>
        <w:rPr>
          <w:lang w:val="lv-LV"/>
        </w:rPr>
      </w:pPr>
      <w:r w:rsidRPr="00855036">
        <w:rPr>
          <w:lang w:val="lv-LV"/>
        </w:rPr>
        <w:t xml:space="preserve">Lauku atbalsta dienesta Elektronisko pakalpojumu sistēmā (turpmāk – EPS) tiek nodrošināta visu svarīgāko Lauku atbalsta dienesta pakalpojumu pieejamība. </w:t>
      </w:r>
      <w:r w:rsidRPr="00855036" w:rsidR="001A4FB3">
        <w:rPr>
          <w:lang w:val="lv-LV"/>
        </w:rPr>
        <w:t xml:space="preserve">EPS lietotāju </w:t>
      </w:r>
      <w:r w:rsidRPr="00855036">
        <w:rPr>
          <w:lang w:val="lv-LV"/>
        </w:rPr>
        <w:t>2017.</w:t>
      </w:r>
      <w:r w:rsidRPr="00855036" w:rsidR="001A4FB3">
        <w:rPr>
          <w:lang w:val="lv-LV"/>
        </w:rPr>
        <w:t> </w:t>
      </w:r>
      <w:r w:rsidRPr="00855036">
        <w:rPr>
          <w:lang w:val="lv-LV"/>
        </w:rPr>
        <w:t>gada 1.</w:t>
      </w:r>
      <w:r w:rsidRPr="00855036" w:rsidR="001A4FB3">
        <w:rPr>
          <w:lang w:val="lv-LV"/>
        </w:rPr>
        <w:t> </w:t>
      </w:r>
      <w:r w:rsidRPr="00855036">
        <w:rPr>
          <w:lang w:val="lv-LV"/>
        </w:rPr>
        <w:t>jūlij</w:t>
      </w:r>
      <w:r w:rsidRPr="00855036" w:rsidR="001A4FB3">
        <w:rPr>
          <w:lang w:val="lv-LV"/>
        </w:rPr>
        <w:t>ā</w:t>
      </w:r>
      <w:r w:rsidRPr="00855036">
        <w:rPr>
          <w:lang w:val="lv-LV"/>
        </w:rPr>
        <w:t xml:space="preserve"> ir vairāk kā 74 000, kas ir lauksaimnieku juridisko un fizisko personu pilnvarotie pārstāvji, Lauku atbalsta dienesta sadarbības partneru pārstāvji, vietējo rīcības gru</w:t>
      </w:r>
      <w:r w:rsidRPr="00855036" w:rsidR="0046451C">
        <w:rPr>
          <w:lang w:val="lv-LV"/>
        </w:rPr>
        <w:t>pu pārstāvji, degvielas uzpildes</w:t>
      </w:r>
      <w:r w:rsidRPr="00855036">
        <w:rPr>
          <w:lang w:val="lv-LV"/>
        </w:rPr>
        <w:t xml:space="preserve"> staciju darbinieki </w:t>
      </w:r>
      <w:r w:rsidRPr="00855036" w:rsidR="001A4FB3">
        <w:rPr>
          <w:lang w:val="lv-LV"/>
        </w:rPr>
        <w:t>un citi EPS</w:t>
      </w:r>
      <w:r w:rsidRPr="00855036">
        <w:rPr>
          <w:lang w:val="lv-LV"/>
        </w:rPr>
        <w:t xml:space="preserve"> lietotāji</w:t>
      </w:r>
      <w:r w:rsidRPr="00855036" w:rsidR="001A4FB3">
        <w:rPr>
          <w:lang w:val="lv-LV"/>
        </w:rPr>
        <w:t>.</w:t>
      </w:r>
      <w:r w:rsidRPr="00855036" w:rsidR="002B399E">
        <w:rPr>
          <w:lang w:val="lv-LV"/>
        </w:rPr>
        <w:t xml:space="preserve"> </w:t>
      </w:r>
      <w:r w:rsidRPr="00855036" w:rsidR="00D27D46">
        <w:rPr>
          <w:lang w:val="lv-LV"/>
        </w:rPr>
        <w:t>2017.</w:t>
      </w:r>
      <w:r w:rsidRPr="00855036" w:rsidR="005A101D">
        <w:rPr>
          <w:lang w:val="lv-LV"/>
        </w:rPr>
        <w:t> </w:t>
      </w:r>
      <w:r w:rsidRPr="00855036" w:rsidR="00D27D46">
        <w:rPr>
          <w:lang w:val="lv-LV"/>
        </w:rPr>
        <w:t>gadā</w:t>
      </w:r>
      <w:r w:rsidRPr="00855036">
        <w:rPr>
          <w:lang w:val="lv-LV"/>
        </w:rPr>
        <w:t xml:space="preserve"> 100</w:t>
      </w:r>
      <w:r w:rsidRPr="00855036" w:rsidR="005A101D">
        <w:rPr>
          <w:lang w:val="lv-LV"/>
        </w:rPr>
        <w:t> </w:t>
      </w:r>
      <w:r w:rsidRPr="00855036">
        <w:rPr>
          <w:lang w:val="lv-LV"/>
        </w:rPr>
        <w:t>% platību maksājumu iesniegumi tika iesniegti elektroniski, izmantojot EPS, t.i. vairāk kā 60 000 pieteikumu, iekļaujot ģeogrāfiskās informācijas sistēmas pieteikumu datus.</w:t>
      </w:r>
      <w:r w:rsidRPr="00855036" w:rsidR="002B399E">
        <w:rPr>
          <w:lang w:val="lv-LV"/>
        </w:rPr>
        <w:t xml:space="preserve"> </w:t>
      </w:r>
      <w:r w:rsidRPr="00855036">
        <w:rPr>
          <w:lang w:val="lv-LV"/>
        </w:rPr>
        <w:t>Lauku atbalsta dienests Pasaules informācijas samita (</w:t>
      </w:r>
      <w:r w:rsidRPr="00855036">
        <w:rPr>
          <w:i/>
          <w:lang w:val="lv-LV"/>
        </w:rPr>
        <w:t>WSIS forum</w:t>
      </w:r>
      <w:r w:rsidRPr="00855036">
        <w:rPr>
          <w:lang w:val="lv-LV"/>
        </w:rPr>
        <w:t xml:space="preserve">) laikā saņēma </w:t>
      </w:r>
      <w:r w:rsidRPr="00855036">
        <w:rPr>
          <w:i/>
          <w:lang w:val="lv-LV"/>
        </w:rPr>
        <w:t>WSIS Prize 2017</w:t>
      </w:r>
      <w:r w:rsidRPr="00855036">
        <w:rPr>
          <w:lang w:val="lv-LV"/>
        </w:rPr>
        <w:t xml:space="preserve"> uzvarētāja balvu par LAD Elektronisko pakalpojumu sistēmu (EPS) kā labāko I</w:t>
      </w:r>
      <w:r w:rsidRPr="00855036" w:rsidR="002B399E">
        <w:rPr>
          <w:lang w:val="lv-LV"/>
        </w:rPr>
        <w:t xml:space="preserve">T rīku lauksaimniekiem pasaulē. </w:t>
      </w:r>
      <w:r w:rsidRPr="00855036">
        <w:rPr>
          <w:lang w:val="lv-LV"/>
        </w:rPr>
        <w:t xml:space="preserve">E-pārvaldes risinājumu attīstīšana </w:t>
      </w:r>
      <w:r w:rsidRPr="00855036" w:rsidR="00871853">
        <w:rPr>
          <w:lang w:val="lv-LV"/>
        </w:rPr>
        <w:t xml:space="preserve">Lauku atbalsta dienestā </w:t>
      </w:r>
      <w:r w:rsidRPr="00855036">
        <w:rPr>
          <w:lang w:val="lv-LV"/>
        </w:rPr>
        <w:t>notiek, turpinot darbu pie dažādu mobilo lietotņu izstrādes klientiem, paredzot operatīvu elektroniku komunikāciju ar klientiem, nodrošinot klientus ar individuāliem atgādinājumiem, u.c. iespējām.</w:t>
      </w:r>
    </w:p>
    <w:p w:rsidR="0053576B" w:rsidRPr="00855036" w:rsidP="00934EB6" w14:paraId="4F5DF3E5" w14:textId="1F1741E5">
      <w:pPr>
        <w:rPr>
          <w:b/>
          <w:lang w:val="lv-LV"/>
        </w:rPr>
      </w:pPr>
      <w:r w:rsidRPr="00855036">
        <w:rPr>
          <w:b/>
          <w:lang w:val="lv-LV"/>
        </w:rPr>
        <w:t>Latvijas</w:t>
      </w:r>
      <w:r w:rsidRPr="00855036" w:rsidR="00ED5215">
        <w:rPr>
          <w:b/>
          <w:lang w:val="lv-LV"/>
        </w:rPr>
        <w:t xml:space="preserve"> atvērto tehnoloģiju asociācija </w:t>
      </w:r>
      <w:r w:rsidRPr="00855036" w:rsidR="00016BD0">
        <w:rPr>
          <w:lang w:val="lv-LV"/>
        </w:rPr>
        <w:t xml:space="preserve">ir </w:t>
      </w:r>
      <w:r w:rsidRPr="00855036">
        <w:rPr>
          <w:lang w:val="lv-LV"/>
        </w:rPr>
        <w:t>sniegusi šādus priekšlikumus:</w:t>
      </w:r>
    </w:p>
    <w:p w:rsidR="0053576B" w:rsidRPr="00855036" w:rsidP="00934EB6" w14:paraId="626270C1" w14:textId="10B3BAF8">
      <w:pPr>
        <w:rPr>
          <w:lang w:val="lv-LV"/>
        </w:rPr>
      </w:pPr>
      <w:r w:rsidRPr="00855036">
        <w:rPr>
          <w:lang w:val="lv-LV"/>
        </w:rPr>
        <w:t>1</w:t>
      </w:r>
      <w:r w:rsidRPr="00855036" w:rsidR="004C1FC1">
        <w:rPr>
          <w:lang w:val="lv-LV"/>
        </w:rPr>
        <w:t>. </w:t>
      </w:r>
      <w:r w:rsidRPr="00855036">
        <w:rPr>
          <w:lang w:val="lv-LV"/>
        </w:rPr>
        <w:t xml:space="preserve">Lai veicinātu atvērto datu principu straujāku ieviešanu Latvijā, </w:t>
      </w:r>
      <w:r w:rsidRPr="00855036" w:rsidR="004C1FC1">
        <w:rPr>
          <w:lang w:val="lv-LV"/>
        </w:rPr>
        <w:t xml:space="preserve">Latvijas atvērto tehnoloģiju asociācija (turpmāk – </w:t>
      </w:r>
      <w:r w:rsidRPr="00855036">
        <w:rPr>
          <w:lang w:val="lv-LV"/>
        </w:rPr>
        <w:t>LATA</w:t>
      </w:r>
      <w:r w:rsidRPr="00855036" w:rsidR="004C1FC1">
        <w:rPr>
          <w:lang w:val="lv-LV"/>
        </w:rPr>
        <w:t>)</w:t>
      </w:r>
      <w:r w:rsidRPr="00855036">
        <w:rPr>
          <w:lang w:val="lv-LV"/>
        </w:rPr>
        <w:t xml:space="preserve"> aicina īstenot:</w:t>
      </w:r>
    </w:p>
    <w:p w:rsidR="0053576B" w:rsidRPr="00855036" w:rsidP="00934EB6" w14:paraId="758C90C6" w14:textId="5A186E98">
      <w:pPr>
        <w:rPr>
          <w:lang w:val="lv-LV"/>
        </w:rPr>
      </w:pPr>
      <w:r w:rsidRPr="00855036">
        <w:rPr>
          <w:lang w:val="lv-LV"/>
        </w:rPr>
        <w:t>1.1. v</w:t>
      </w:r>
      <w:r w:rsidRPr="00855036">
        <w:rPr>
          <w:lang w:val="lv-LV"/>
        </w:rPr>
        <w:t>alsts pārvaldes organizētas starptautiskas konferences par atvērtiem datiem, kurās piedalītos eksperti no valstīm, kur</w:t>
      </w:r>
      <w:r w:rsidRPr="00855036">
        <w:rPr>
          <w:lang w:val="lv-LV"/>
        </w:rPr>
        <w:t>ās</w:t>
      </w:r>
      <w:r w:rsidRPr="00855036">
        <w:rPr>
          <w:lang w:val="lv-LV"/>
        </w:rPr>
        <w:t xml:space="preserve"> publiskās pārvaldes dati ir atvērti un DESI </w:t>
      </w:r>
      <w:r w:rsidRPr="00855036">
        <w:rPr>
          <w:lang w:val="lv-LV"/>
        </w:rPr>
        <w:t xml:space="preserve">indeksa </w:t>
      </w:r>
      <w:r w:rsidRPr="00855036">
        <w:rPr>
          <w:lang w:val="lv-LV"/>
        </w:rPr>
        <w:t>rādītāji ir augsti;</w:t>
      </w:r>
    </w:p>
    <w:p w:rsidR="0053576B" w:rsidRPr="00855036" w:rsidP="00934EB6" w14:paraId="4FB6624F" w14:textId="6C812079">
      <w:pPr>
        <w:rPr>
          <w:lang w:val="lv-LV"/>
        </w:rPr>
      </w:pPr>
      <w:r w:rsidRPr="00855036">
        <w:rPr>
          <w:lang w:val="lv-LV"/>
        </w:rPr>
        <w:t>1.2. v</w:t>
      </w:r>
      <w:r w:rsidRPr="00855036">
        <w:rPr>
          <w:lang w:val="lv-LV"/>
        </w:rPr>
        <w:t>alsts pārva</w:t>
      </w:r>
      <w:r w:rsidRPr="00855036" w:rsidR="006C4663">
        <w:rPr>
          <w:lang w:val="lv-LV"/>
        </w:rPr>
        <w:t>ldes iestāžu budžeta mērķtiecīgu</w:t>
      </w:r>
      <w:r w:rsidRPr="00855036">
        <w:rPr>
          <w:lang w:val="lv-LV"/>
        </w:rPr>
        <w:t xml:space="preserve"> plānošanu, lai atvērtu un uzturētu konkrētas,</w:t>
      </w:r>
      <w:r w:rsidRPr="00855036">
        <w:rPr>
          <w:lang w:val="lv-LV"/>
        </w:rPr>
        <w:t xml:space="preserve"> </w:t>
      </w:r>
      <w:r w:rsidRPr="00855036">
        <w:rPr>
          <w:lang w:val="lv-LV"/>
        </w:rPr>
        <w:t>nozarei svarīgākās datu kopas, piemēram ģeotelpisko datu kopas;</w:t>
      </w:r>
    </w:p>
    <w:p w:rsidR="0053576B" w:rsidRPr="00855036" w:rsidP="00934EB6" w14:paraId="22E651F5" w14:textId="22303BE8">
      <w:pPr>
        <w:rPr>
          <w:lang w:val="lv-LV"/>
        </w:rPr>
      </w:pPr>
      <w:r w:rsidRPr="00855036">
        <w:rPr>
          <w:lang w:val="lv-LV"/>
        </w:rPr>
        <w:t>1.3. </w:t>
      </w:r>
      <w:r w:rsidRPr="00855036">
        <w:rPr>
          <w:lang w:val="lv-LV"/>
        </w:rPr>
        <w:t>“Informācijas sabiedrības attīstības pamatnostādnēs 2014.–2020.</w:t>
      </w:r>
      <w:r w:rsidRPr="00855036" w:rsidR="005A101D">
        <w:rPr>
          <w:lang w:val="lv-LV"/>
        </w:rPr>
        <w:t> </w:t>
      </w:r>
      <w:r w:rsidRPr="00855036">
        <w:rPr>
          <w:lang w:val="lv-LV"/>
        </w:rPr>
        <w:t>gadam” definēto principu ievērošanu;</w:t>
      </w:r>
    </w:p>
    <w:p w:rsidR="0053576B" w:rsidRPr="00855036" w:rsidP="00934EB6" w14:paraId="78E2F500" w14:textId="633BA841">
      <w:pPr>
        <w:rPr>
          <w:lang w:val="lv-LV"/>
        </w:rPr>
      </w:pPr>
      <w:r w:rsidRPr="00855036">
        <w:rPr>
          <w:lang w:val="lv-LV"/>
        </w:rPr>
        <w:t>2</w:t>
      </w:r>
      <w:r w:rsidRPr="00855036" w:rsidR="004C1FC1">
        <w:rPr>
          <w:lang w:val="lv-LV"/>
        </w:rPr>
        <w:t>. </w:t>
      </w:r>
      <w:r w:rsidRPr="00855036">
        <w:rPr>
          <w:lang w:val="lv-LV"/>
        </w:rPr>
        <w:t xml:space="preserve">E-komercijas attīstības veicināšanai, jo īpaši, </w:t>
      </w:r>
      <w:r w:rsidRPr="00855036" w:rsidR="004C1FC1">
        <w:rPr>
          <w:lang w:val="lv-LV"/>
        </w:rPr>
        <w:t>MVU</w:t>
      </w:r>
      <w:r w:rsidRPr="00855036" w:rsidR="005A101D">
        <w:rPr>
          <w:lang w:val="lv-LV"/>
        </w:rPr>
        <w:t xml:space="preserve"> </w:t>
      </w:r>
      <w:r w:rsidRPr="00855036">
        <w:rPr>
          <w:lang w:val="lv-LV"/>
        </w:rPr>
        <w:t>segmentā, būtu nepieciešams</w:t>
      </w:r>
      <w:r w:rsidRPr="00855036" w:rsidR="004C1FC1">
        <w:rPr>
          <w:lang w:val="lv-LV"/>
        </w:rPr>
        <w:t xml:space="preserve"> </w:t>
      </w:r>
      <w:r w:rsidRPr="00855036">
        <w:rPr>
          <w:lang w:val="lv-LV"/>
        </w:rPr>
        <w:t>IKT nozares, tajā skaitā LATA organizētās konferences un semināri ar mērķi veicināt MVU iesaistīšanos e-komercijas aktivitātēs saņem valsts atbalstu</w:t>
      </w:r>
      <w:r w:rsidRPr="00D01F47">
        <w:rPr>
          <w:lang w:val="lv-LV"/>
        </w:rPr>
        <w:t>.</w:t>
      </w:r>
    </w:p>
    <w:p w:rsidR="00934EB6" w:rsidP="00934EB6" w14:paraId="63592253" w14:textId="77777777">
      <w:pPr>
        <w:pStyle w:val="Heading2"/>
        <w:rPr>
          <w:lang w:val="lv-LV"/>
        </w:rPr>
      </w:pPr>
    </w:p>
    <w:p w:rsidR="00F92EE9" w:rsidRPr="00855036" w:rsidP="00934EB6" w14:paraId="1D29845F" w14:textId="254BDF29">
      <w:pPr>
        <w:pStyle w:val="Heading2"/>
        <w:rPr>
          <w:lang w:val="lv-LV"/>
        </w:rPr>
      </w:pPr>
      <w:bookmarkStart w:id="51" w:name="_Toc503516727"/>
      <w:bookmarkStart w:id="52" w:name="_Toc256000019"/>
      <w:bookmarkStart w:id="53" w:name="_Toc256000039"/>
      <w:r w:rsidRPr="00855036">
        <w:rPr>
          <w:lang w:val="lv-LV"/>
        </w:rPr>
        <w:t>P</w:t>
      </w:r>
      <w:r w:rsidRPr="00855036">
        <w:rPr>
          <w:lang w:val="lv-LV"/>
        </w:rPr>
        <w:t>riekšlikumi rīcībai DESI indeksa rādītāja “Digitālie publiskie pakalpojumi” uzlabošanai</w:t>
      </w:r>
      <w:bookmarkEnd w:id="53"/>
      <w:bookmarkEnd w:id="52"/>
      <w:bookmarkEnd w:id="51"/>
    </w:p>
    <w:p w:rsidR="003559A4" w:rsidRPr="00855036" w14:paraId="5CC7F8E4" w14:textId="77777777">
      <w:pPr>
        <w:tabs>
          <w:tab w:val="left" w:pos="9356"/>
        </w:tabs>
        <w:spacing w:after="0"/>
        <w:ind w:right="12"/>
        <w:rPr>
          <w:rFonts w:cs="Times New Roman"/>
          <w:b/>
          <w:szCs w:val="28"/>
          <w:lang w:val="lv-LV"/>
        </w:rPr>
      </w:pPr>
    </w:p>
    <w:p w:rsidR="00E67BC5" w:rsidRPr="007A315E" w:rsidP="007A315E" w14:paraId="7EA42E7F" w14:textId="42FC024E">
      <w:pPr>
        <w:rPr>
          <w:rFonts w:eastAsia="Times New Roman" w:cs="Times New Roman"/>
          <w:szCs w:val="28"/>
          <w:lang w:val="lv-LV"/>
        </w:rPr>
      </w:pPr>
      <w:r w:rsidRPr="007A315E">
        <w:rPr>
          <w:rFonts w:eastAsia="Times New Roman" w:cs="Times New Roman"/>
          <w:szCs w:val="28"/>
          <w:lang w:val="lv-LV"/>
        </w:rPr>
        <w:t>Latvija demonstrē visstraujāko attīstību digitālo pakalpojumu sniegšanā un izmantošanā. Vienlaikus, neapmierinošs bijis Latvijas sniegums DESI indeksa rādītāja komponentē “Atvērto datu izmantošana”.</w:t>
      </w:r>
      <w:r w:rsidRPr="007A315E" w:rsidR="00F75A15">
        <w:rPr>
          <w:rFonts w:eastAsia="Times New Roman" w:cs="Times New Roman"/>
          <w:szCs w:val="28"/>
          <w:lang w:val="lv-LV"/>
        </w:rPr>
        <w:t xml:space="preserve"> Ar </w:t>
      </w:r>
      <w:r w:rsidRPr="007A315E" w:rsidR="006533FD">
        <w:rPr>
          <w:rFonts w:eastAsia="Times New Roman" w:cs="Times New Roman"/>
          <w:szCs w:val="28"/>
          <w:lang w:val="lv-LV"/>
        </w:rPr>
        <w:t>mēra atvērto datu politik</w:t>
      </w:r>
      <w:r w:rsidRPr="007A315E" w:rsidR="00762A74">
        <w:rPr>
          <w:rFonts w:eastAsia="Times New Roman" w:cs="Times New Roman"/>
          <w:szCs w:val="28"/>
          <w:lang w:val="lv-LV"/>
        </w:rPr>
        <w:t>u</w:t>
      </w:r>
      <w:r w:rsidRPr="007A315E" w:rsidR="006533FD">
        <w:rPr>
          <w:rFonts w:eastAsia="Times New Roman" w:cs="Times New Roman"/>
          <w:szCs w:val="28"/>
          <w:lang w:val="lv-LV"/>
        </w:rPr>
        <w:t xml:space="preserve">, ieskaitot </w:t>
      </w:r>
      <w:r w:rsidRPr="007A315E" w:rsidR="00190540">
        <w:rPr>
          <w:rFonts w:eastAsia="Times New Roman" w:cs="Times New Roman"/>
          <w:szCs w:val="28"/>
          <w:lang w:val="lv-LV"/>
        </w:rPr>
        <w:t>Eiropas Parlamenta un Padomes 2003. gada 17. </w:t>
      </w:r>
      <w:r w:rsidRPr="007A315E" w:rsidR="0003771D">
        <w:rPr>
          <w:rFonts w:eastAsia="Times New Roman" w:cs="Times New Roman"/>
          <w:szCs w:val="28"/>
          <w:lang w:val="lv-LV"/>
        </w:rPr>
        <w:t>n</w:t>
      </w:r>
      <w:r w:rsidRPr="007A315E" w:rsidR="00190540">
        <w:rPr>
          <w:rFonts w:eastAsia="Times New Roman" w:cs="Times New Roman"/>
          <w:szCs w:val="28"/>
          <w:lang w:val="lv-LV"/>
        </w:rPr>
        <w:t xml:space="preserve">ovembra Direktīvas 2003/98/EK par valsts sektora informācijas atkalizmantošanu </w:t>
      </w:r>
      <w:r w:rsidRPr="007A315E" w:rsidR="006533FD">
        <w:rPr>
          <w:rFonts w:eastAsia="Times New Roman" w:cs="Times New Roman"/>
          <w:szCs w:val="28"/>
          <w:lang w:val="lv-LV"/>
        </w:rPr>
        <w:t>pārņem</w:t>
      </w:r>
      <w:r w:rsidRPr="007A315E" w:rsidR="00762A74">
        <w:rPr>
          <w:rFonts w:eastAsia="Times New Roman" w:cs="Times New Roman"/>
          <w:szCs w:val="28"/>
          <w:lang w:val="lv-LV"/>
        </w:rPr>
        <w:t>šanu un atvērto datu portāla izmantošanu.</w:t>
      </w:r>
    </w:p>
    <w:p w:rsidR="00F75A15" w:rsidRPr="00855036" w:rsidP="00335750" w14:paraId="554D8DEF" w14:textId="77777777">
      <w:pPr>
        <w:pStyle w:val="Parastais"/>
        <w:jc w:val="both"/>
      </w:pPr>
      <w:r w:rsidRPr="00855036">
        <w:t xml:space="preserve">Latvijas </w:t>
      </w:r>
      <w:r w:rsidRPr="00855036" w:rsidR="006533FD">
        <w:t xml:space="preserve">neapmierinošais </w:t>
      </w:r>
      <w:r w:rsidRPr="00855036">
        <w:t>sniegum</w:t>
      </w:r>
      <w:r w:rsidRPr="00855036" w:rsidR="006533FD">
        <w:t>s</w:t>
      </w:r>
      <w:r w:rsidRPr="00855036">
        <w:t xml:space="preserve"> DESI indeksa rādītāja komponentē “Atvērto datu izmantošana” (28.</w:t>
      </w:r>
      <w:r w:rsidRPr="00855036" w:rsidR="00871853">
        <w:t> </w:t>
      </w:r>
      <w:r w:rsidRPr="00855036">
        <w:t>vieta)</w:t>
      </w:r>
      <w:r w:rsidRPr="00855036" w:rsidR="006533FD">
        <w:t xml:space="preserve"> 2017.</w:t>
      </w:r>
      <w:r w:rsidRPr="00855036" w:rsidR="00871853">
        <w:t> </w:t>
      </w:r>
      <w:r w:rsidRPr="00855036" w:rsidR="006533FD">
        <w:t>gadā</w:t>
      </w:r>
      <w:r w:rsidRPr="00855036" w:rsidR="00B93E05">
        <w:t xml:space="preserve"> saistāms</w:t>
      </w:r>
      <w:r w:rsidRPr="00855036">
        <w:t xml:space="preserve"> ar </w:t>
      </w:r>
      <w:r w:rsidRPr="00855036" w:rsidR="006533FD">
        <w:t>apstākli, ka novērtējuma datu savākšanas brīd</w:t>
      </w:r>
      <w:r w:rsidRPr="00855036" w:rsidR="00871853">
        <w:t>ī</w:t>
      </w:r>
      <w:r w:rsidRPr="00855036" w:rsidR="006533FD">
        <w:t xml:space="preserve"> Latvijā vēl nebija uzsākta </w:t>
      </w:r>
      <w:r w:rsidRPr="00855036" w:rsidR="00871853">
        <w:t xml:space="preserve">Latvijas </w:t>
      </w:r>
      <w:r w:rsidRPr="00855036" w:rsidR="006533FD">
        <w:t xml:space="preserve">atvērto datu portāla ekspluatācija. </w:t>
      </w:r>
      <w:r w:rsidRPr="00855036" w:rsidR="00871853">
        <w:t>Latvijas atvērto datu p</w:t>
      </w:r>
      <w:r w:rsidRPr="00855036" w:rsidR="00762A74">
        <w:t>ortāla</w:t>
      </w:r>
      <w:r w:rsidRPr="00855036">
        <w:t xml:space="preserve"> darbības </w:t>
      </w:r>
      <w:r w:rsidRPr="00855036" w:rsidR="00762A74">
        <w:t>uzsākšana 2017.</w:t>
      </w:r>
      <w:r w:rsidRPr="00855036" w:rsidR="00871853">
        <w:t> </w:t>
      </w:r>
      <w:r w:rsidRPr="00855036" w:rsidR="00762A74">
        <w:t xml:space="preserve">gada jūnijā </w:t>
      </w:r>
      <w:r w:rsidRPr="00855036">
        <w:t>uzlabos</w:t>
      </w:r>
      <w:r w:rsidRPr="00855036" w:rsidR="00762A74">
        <w:t xml:space="preserve"> Latvijas situāciju, tomēr jāapzinās, ka situācijā, kad atvērto datu portāli </w:t>
      </w:r>
      <w:r w:rsidRPr="00855036" w:rsidR="00B93E05">
        <w:t>ir</w:t>
      </w:r>
      <w:r w:rsidRPr="00855036" w:rsidR="00762A74">
        <w:t xml:space="preserve"> izveidoti visās ES dalībvalstīs</w:t>
      </w:r>
      <w:r w:rsidRPr="00855036" w:rsidR="00E67BC5">
        <w:t xml:space="preserve">, </w:t>
      </w:r>
      <w:r w:rsidRPr="00855036" w:rsidR="00762A74">
        <w:t>uzlabojumu indikatorā</w:t>
      </w:r>
      <w:r w:rsidRPr="00855036" w:rsidR="00871853">
        <w:t xml:space="preserve"> “Atvērtie dati”</w:t>
      </w:r>
      <w:r w:rsidRPr="00855036" w:rsidR="00762A74">
        <w:t xml:space="preserve"> iespējams panākt </w:t>
      </w:r>
      <w:r w:rsidRPr="00855036" w:rsidR="007907D9">
        <w:t>tikai ar</w:t>
      </w:r>
      <w:r w:rsidRPr="00855036" w:rsidR="00762A74">
        <w:t xml:space="preserve"> plānveidīgu </w:t>
      </w:r>
      <w:r w:rsidRPr="00855036" w:rsidR="00E67BC5">
        <w:t xml:space="preserve">un aktīvu </w:t>
      </w:r>
      <w:r w:rsidRPr="00855036" w:rsidR="00762A74">
        <w:t xml:space="preserve">publiskās pārvaldes datu atvēršanu un publicēšanu </w:t>
      </w:r>
      <w:r w:rsidRPr="00855036" w:rsidR="00871853">
        <w:t xml:space="preserve">Latvijas </w:t>
      </w:r>
      <w:r w:rsidRPr="00855036" w:rsidR="00762A74">
        <w:t xml:space="preserve">atvērto datu portālā. </w:t>
      </w:r>
    </w:p>
    <w:p w:rsidR="00E67BC5" w:rsidRPr="00335750" w:rsidP="00335750" w14:paraId="7B98BF03" w14:textId="1B4AE9BC">
      <w:pPr>
        <w:pStyle w:val="Parastais"/>
        <w:jc w:val="both"/>
      </w:pPr>
      <w:r w:rsidRPr="00855036">
        <w:t>P</w:t>
      </w:r>
      <w:r w:rsidRPr="00855036" w:rsidR="00762A74">
        <w:t>ubliskās pārvaldes datu atvēršanas princips ir viens no Informācijas sabiedrības a</w:t>
      </w:r>
      <w:r w:rsidRPr="00855036" w:rsidR="00B93E05">
        <w:t>ttīstības pamatnostādnēs 2014.</w:t>
      </w:r>
      <w:r w:rsidRPr="00855036" w:rsidR="00762A74">
        <w:t>-2020.</w:t>
      </w:r>
      <w:r w:rsidRPr="00855036" w:rsidR="00871853">
        <w:t> </w:t>
      </w:r>
      <w:r w:rsidRPr="00855036" w:rsidR="00762A74">
        <w:t>gadam definētajiem principiem</w:t>
      </w:r>
      <w:r w:rsidRPr="00855036" w:rsidR="007907D9">
        <w:t xml:space="preserve">, lai ļautu </w:t>
      </w:r>
      <w:r w:rsidRPr="00335750" w:rsidR="007907D9">
        <w:t>uzņēmējiem izmantot publiskajā pārvaldē radītos informācijas resursus ar mērķi radīt jaunas inovatīvas uzņēmējdarbības idejas un pakalpojumus, kas spēj palielināt ienākumus un radīt darbavietas.</w:t>
      </w:r>
    </w:p>
    <w:p w:rsidR="00F75A15" w:rsidRPr="00335750" w:rsidP="00335750" w14:paraId="561DD61D" w14:textId="1EC5403F">
      <w:pPr>
        <w:pStyle w:val="Parastais"/>
        <w:jc w:val="both"/>
      </w:pPr>
      <w:r w:rsidRPr="00335750">
        <w:t>Lai</w:t>
      </w:r>
      <w:r w:rsidRPr="00335750" w:rsidR="00E67BC5">
        <w:t xml:space="preserve"> nodrošinātu indikatora </w:t>
      </w:r>
      <w:r w:rsidRPr="00335750" w:rsidR="004C1FC1">
        <w:t>“</w:t>
      </w:r>
      <w:r w:rsidRPr="00335750" w:rsidR="00E67BC5">
        <w:t>Atvērtie dati” uzlabošanu,</w:t>
      </w:r>
      <w:r w:rsidRPr="00335750" w:rsidR="00F1469A">
        <w:t xml:space="preserve"> </w:t>
      </w:r>
      <w:r w:rsidRPr="00335750" w:rsidR="00603096">
        <w:t>VARAM</w:t>
      </w:r>
      <w:r w:rsidRPr="00335750" w:rsidR="00F1469A">
        <w:t xml:space="preserve"> aicina </w:t>
      </w:r>
      <w:r w:rsidRPr="00335750" w:rsidR="00871853">
        <w:t>Ministru kabineta sēdes</w:t>
      </w:r>
      <w:r w:rsidRPr="00335750" w:rsidR="00F1469A">
        <w:t xml:space="preserve"> protokollēmumā iekļaut uzdevumu </w:t>
      </w:r>
      <w:r w:rsidRPr="00335750">
        <w:t>visām ministrijām līdz 201</w:t>
      </w:r>
      <w:r w:rsidR="00D01F47">
        <w:t>8</w:t>
      </w:r>
      <w:r w:rsidRPr="00335750">
        <w:t>. gada 2</w:t>
      </w:r>
      <w:r w:rsidR="00D01F47">
        <w:t>8. februā</w:t>
      </w:r>
      <w:r w:rsidRPr="00335750">
        <w:t>rim izstrādāt un Vides aizsardzības un reģionālās attīstības ministrijai iesniegt grafiku par ministriju un to padotības iestāžu atkalizmantošanai paredzētām brīvi izvēl</w:t>
      </w:r>
      <w:r w:rsidR="00BB1C90">
        <w:t xml:space="preserve">ētām datu kopām, kuras plānots </w:t>
      </w:r>
      <w:bookmarkStart w:id="54" w:name="_GoBack"/>
      <w:bookmarkEnd w:id="54"/>
      <w:r w:rsidRPr="00335750">
        <w:t>publicēt Latvijas atvērto datu portālā līdz 2018. gada 1. </w:t>
      </w:r>
      <w:r w:rsidR="00D01F47">
        <w:t>septembrim</w:t>
      </w:r>
      <w:r w:rsidRPr="00335750">
        <w:t>. Tās datu kopas, kuras plānots sagatavot un publicēt Latvijas atvērto datu portālā 2.2.1. SAM 2.2.1.1 pasākuma un 2.2.1.2. pasākuma “Kultūras mantojuma digitalizācija” projektos, grafikā neiekļaut.</w:t>
      </w:r>
    </w:p>
    <w:p w:rsidR="009F5FC0" w:rsidRPr="00855036" w:rsidP="00C55C90" w14:paraId="2DE4C01D" w14:textId="0598E88B">
      <w:pPr>
        <w:pStyle w:val="Parastais"/>
        <w:jc w:val="both"/>
      </w:pPr>
    </w:p>
    <w:p w:rsidR="009F5FC0" w:rsidRPr="00855036" w:rsidP="00D27D46" w14:paraId="3BAAF346" w14:textId="77777777">
      <w:pPr>
        <w:spacing w:after="0"/>
        <w:rPr>
          <w:rFonts w:cs="Times New Roman"/>
          <w:szCs w:val="28"/>
          <w:lang w:val="lv-LV"/>
        </w:rPr>
      </w:pPr>
    </w:p>
    <w:p w:rsidR="00D27D46" w:rsidRPr="00855036" w:rsidP="00D27D46" w14:paraId="28439CFF" w14:textId="77777777">
      <w:pPr>
        <w:spacing w:after="0"/>
        <w:rPr>
          <w:rFonts w:cs="Times New Roman"/>
          <w:szCs w:val="28"/>
          <w:lang w:val="lv-LV"/>
        </w:rPr>
      </w:pPr>
    </w:p>
    <w:p w:rsidR="00406931" w:rsidRPr="00855036" w:rsidP="00934EB6" w14:paraId="44EAB0F0" w14:textId="7EB502BA">
      <w:pPr>
        <w:spacing w:after="0"/>
        <w:ind w:firstLine="0"/>
        <w:rPr>
          <w:rFonts w:cs="Times New Roman"/>
          <w:szCs w:val="28"/>
          <w:lang w:val="lv-LV"/>
        </w:rPr>
      </w:pPr>
      <w:r w:rsidRPr="00855036">
        <w:rPr>
          <w:rFonts w:cs="Times New Roman"/>
          <w:szCs w:val="28"/>
          <w:lang w:val="lv-LV"/>
        </w:rPr>
        <w:t>Vides aizsard</w:t>
      </w:r>
      <w:r w:rsidRPr="00855036" w:rsidR="00D27D46">
        <w:rPr>
          <w:rFonts w:cs="Times New Roman"/>
          <w:szCs w:val="28"/>
          <w:lang w:val="lv-LV"/>
        </w:rPr>
        <w:t xml:space="preserve">zības un reģionālās attīstības </w:t>
      </w:r>
      <w:r w:rsidR="00934EB6">
        <w:rPr>
          <w:rFonts w:cs="Times New Roman"/>
          <w:szCs w:val="28"/>
          <w:lang w:val="lv-LV"/>
        </w:rPr>
        <w:t>ministrs</w:t>
      </w:r>
      <w:r w:rsidR="00934EB6">
        <w:rPr>
          <w:rFonts w:cs="Times New Roman"/>
          <w:szCs w:val="28"/>
          <w:lang w:val="lv-LV"/>
        </w:rPr>
        <w:tab/>
      </w:r>
      <w:r w:rsidR="00934EB6">
        <w:rPr>
          <w:rFonts w:cs="Times New Roman"/>
          <w:szCs w:val="28"/>
          <w:lang w:val="lv-LV"/>
        </w:rPr>
        <w:tab/>
      </w:r>
      <w:r w:rsidRPr="00855036">
        <w:rPr>
          <w:rFonts w:cs="Times New Roman"/>
          <w:szCs w:val="28"/>
          <w:lang w:val="lv-LV"/>
        </w:rPr>
        <w:t xml:space="preserve">Kaspars Gerhards </w:t>
      </w:r>
    </w:p>
    <w:p w:rsidR="00406931" w:rsidRPr="005B72AA" w:rsidP="00D27D46" w14:paraId="7A92B9E8" w14:textId="77777777">
      <w:pPr>
        <w:spacing w:after="0"/>
        <w:rPr>
          <w:rFonts w:cs="Times New Roman"/>
          <w:lang w:val="lv-LV"/>
        </w:rPr>
      </w:pPr>
    </w:p>
    <w:p w:rsidR="00406931" w:rsidRPr="005B72AA" w:rsidP="00D27D46" w14:paraId="69F2E780" w14:textId="77777777">
      <w:pPr>
        <w:spacing w:after="0"/>
        <w:rPr>
          <w:rFonts w:cs="Times New Roman"/>
          <w:lang w:val="lv-LV"/>
        </w:rPr>
      </w:pPr>
    </w:p>
    <w:p w:rsidR="002934A4" w:rsidP="00D27D46" w14:paraId="2B72E007" w14:textId="77777777">
      <w:pPr>
        <w:pStyle w:val="Parastais"/>
        <w:rPr>
          <w:sz w:val="24"/>
          <w:szCs w:val="24"/>
        </w:rPr>
      </w:pPr>
    </w:p>
    <w:p w:rsidR="002934A4" w:rsidP="00D27D46" w14:paraId="71093C0A" w14:textId="77777777">
      <w:pPr>
        <w:pStyle w:val="Parastais"/>
        <w:rPr>
          <w:sz w:val="24"/>
          <w:szCs w:val="24"/>
        </w:rPr>
      </w:pPr>
    </w:p>
    <w:p w:rsidR="002934A4" w:rsidP="00D27D46" w14:paraId="0A514120" w14:textId="77777777">
      <w:pPr>
        <w:pStyle w:val="Parastais"/>
        <w:rPr>
          <w:sz w:val="24"/>
          <w:szCs w:val="24"/>
        </w:rPr>
      </w:pPr>
    </w:p>
    <w:p w:rsidR="002934A4" w:rsidP="00D27D46" w14:paraId="6A3C14E8" w14:textId="77777777">
      <w:pPr>
        <w:pStyle w:val="Parastais"/>
        <w:rPr>
          <w:sz w:val="24"/>
          <w:szCs w:val="24"/>
        </w:rPr>
      </w:pPr>
    </w:p>
    <w:p w:rsidR="002934A4" w:rsidP="00D27D46" w14:paraId="1DFAEF89" w14:textId="77777777">
      <w:pPr>
        <w:pStyle w:val="Parastais"/>
        <w:rPr>
          <w:sz w:val="24"/>
          <w:szCs w:val="24"/>
        </w:rPr>
      </w:pPr>
    </w:p>
    <w:p w:rsidR="002934A4" w:rsidP="00D27D46" w14:paraId="3EC419C9" w14:textId="77777777">
      <w:pPr>
        <w:pStyle w:val="Parastais"/>
        <w:rPr>
          <w:sz w:val="24"/>
          <w:szCs w:val="24"/>
        </w:rPr>
      </w:pPr>
    </w:p>
    <w:p w:rsidR="002934A4" w:rsidP="00D27D46" w14:paraId="041E04A5" w14:textId="77777777">
      <w:pPr>
        <w:pStyle w:val="Parastais"/>
        <w:rPr>
          <w:sz w:val="24"/>
          <w:szCs w:val="24"/>
        </w:rPr>
      </w:pPr>
    </w:p>
    <w:p w:rsidR="002934A4" w:rsidP="00D27D46" w14:paraId="0EA4F281" w14:textId="77777777">
      <w:pPr>
        <w:pStyle w:val="Parastais"/>
        <w:rPr>
          <w:sz w:val="24"/>
          <w:szCs w:val="24"/>
        </w:rPr>
      </w:pPr>
    </w:p>
    <w:p w:rsidR="002934A4" w:rsidP="00D27D46" w14:paraId="68F7FA0E" w14:textId="77777777">
      <w:pPr>
        <w:pStyle w:val="Parastais"/>
        <w:rPr>
          <w:sz w:val="24"/>
          <w:szCs w:val="24"/>
        </w:rPr>
      </w:pPr>
    </w:p>
    <w:p w:rsidR="002934A4" w:rsidP="00D27D46" w14:paraId="0C40D7F6" w14:textId="77777777">
      <w:pPr>
        <w:pStyle w:val="Parastais"/>
        <w:rPr>
          <w:sz w:val="24"/>
          <w:szCs w:val="24"/>
        </w:rPr>
      </w:pPr>
    </w:p>
    <w:p w:rsidR="002934A4" w:rsidP="00D27D46" w14:paraId="2EA9A8EC" w14:textId="77777777">
      <w:pPr>
        <w:pStyle w:val="Parastais"/>
        <w:rPr>
          <w:sz w:val="24"/>
          <w:szCs w:val="24"/>
        </w:rPr>
      </w:pPr>
    </w:p>
    <w:p w:rsidR="00406931" w:rsidRPr="00855036" w:rsidP="00D27D46" w14:paraId="26A7FAD5" w14:textId="77777777">
      <w:pPr>
        <w:pStyle w:val="Parastais"/>
        <w:rPr>
          <w:sz w:val="24"/>
          <w:szCs w:val="24"/>
        </w:rPr>
      </w:pPr>
      <w:r w:rsidRPr="00855036">
        <w:rPr>
          <w:sz w:val="24"/>
          <w:szCs w:val="24"/>
        </w:rPr>
        <w:t>Zvaigzne 67026507</w:t>
      </w:r>
    </w:p>
    <w:p w:rsidR="00406931" w:rsidRPr="00855036" w:rsidP="00D27D46" w14:paraId="154E9559" w14:textId="77777777">
      <w:pPr>
        <w:pStyle w:val="Parastais"/>
        <w:rPr>
          <w:i/>
          <w:sz w:val="24"/>
          <w:szCs w:val="24"/>
        </w:rPr>
      </w:pPr>
      <w:r w:rsidRPr="00855036">
        <w:rPr>
          <w:sz w:val="24"/>
          <w:szCs w:val="24"/>
        </w:rPr>
        <w:t>Elita.Zvaigzne@varam.gov.lv</w:t>
      </w:r>
    </w:p>
    <w:p w:rsidR="00934EB6" w:rsidP="00D27D46" w14:paraId="02C43441" w14:textId="03D6E2B5">
      <w:pPr>
        <w:spacing w:after="0"/>
        <w:rPr>
          <w:rFonts w:cs="Times New Roman"/>
          <w:sz w:val="24"/>
          <w:szCs w:val="24"/>
          <w:lang w:val="lv-LV"/>
        </w:rPr>
      </w:pPr>
    </w:p>
    <w:p w:rsidR="00406931" w:rsidRPr="00934EB6" w:rsidP="00934EB6" w14:paraId="65C3E86F" w14:textId="27B8CA62">
      <w:pPr>
        <w:tabs>
          <w:tab w:val="left" w:pos="2105"/>
        </w:tabs>
        <w:rPr>
          <w:rFonts w:cs="Times New Roman"/>
          <w:sz w:val="24"/>
          <w:szCs w:val="24"/>
          <w:lang w:val="lv-LV"/>
        </w:rPr>
      </w:pPr>
      <w:r>
        <w:rPr>
          <w:rFonts w:cs="Times New Roman"/>
          <w:sz w:val="24"/>
          <w:szCs w:val="24"/>
          <w:lang w:val="lv-LV"/>
        </w:rPr>
        <w:tab/>
      </w:r>
    </w:p>
    <w:sectPr w:rsidSect="00855036">
      <w:headerReference w:type="default" r:id="rId13"/>
      <w:footerReference w:type="default" r:id="rId14"/>
      <w:pgSz w:w="12240" w:h="15840"/>
      <w:pgMar w:top="1418"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B1C90" w:rsidRPr="008064A8" w:rsidP="00934EB6" w14:paraId="6467E76E" w14:textId="5E40CCAD">
    <w:pPr>
      <w:pStyle w:val="Footer"/>
      <w:ind w:firstLine="0"/>
      <w:rPr>
        <w:rFonts w:cs="Times New Roman"/>
        <w:sz w:val="24"/>
        <w:szCs w:val="24"/>
      </w:rPr>
    </w:pPr>
    <w:r>
      <w:rPr>
        <w:rFonts w:cs="Times New Roman"/>
        <w:sz w:val="24"/>
        <w:szCs w:val="24"/>
      </w:rPr>
      <w:t>VARAMZin_12</w:t>
    </w:r>
    <w:r w:rsidRPr="008064A8">
      <w:rPr>
        <w:rFonts w:cs="Times New Roman"/>
        <w:sz w:val="24"/>
        <w:szCs w:val="24"/>
      </w:rPr>
      <w:t>0118_DESI</w:t>
    </w:r>
  </w:p>
  <w:p w:rsidR="00BB1C90" w:rsidP="00DA0C64" w14:paraId="01265E53" w14:textId="4F965F0B">
    <w:pPr>
      <w:pStyle w:val="Footer"/>
      <w:tabs>
        <w:tab w:val="left" w:pos="1695"/>
        <w:tab w:val="clear" w:pos="4320"/>
        <w:tab w:val="clear"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1C90" w:rsidP="00C54D2D" w14:paraId="086466CB" w14:textId="77777777">
      <w:pPr>
        <w:spacing w:after="0"/>
      </w:pPr>
      <w:r>
        <w:separator/>
      </w:r>
    </w:p>
  </w:footnote>
  <w:footnote w:type="continuationSeparator" w:id="1">
    <w:p w:rsidR="00BB1C90" w:rsidP="00C54D2D" w14:paraId="2EEF073A" w14:textId="77777777">
      <w:pPr>
        <w:spacing w:after="0"/>
      </w:pPr>
      <w:r>
        <w:continuationSeparator/>
      </w:r>
    </w:p>
  </w:footnote>
  <w:footnote w:type="continuationNotice" w:id="2">
    <w:p w:rsidR="00BB1C90" w14:paraId="2E4269BC" w14:textId="77777777">
      <w:pPr>
        <w:spacing w:after="0"/>
      </w:pPr>
    </w:p>
  </w:footnote>
  <w:footnote w:id="3">
    <w:p w:rsidR="00BB1C90" w:rsidRPr="00B10F7F" w:rsidP="00037970" w14:paraId="221D67A9" w14:textId="02B2B6E9">
      <w:pPr>
        <w:pStyle w:val="Default"/>
        <w:jc w:val="both"/>
        <w:rPr>
          <w:rFonts w:ascii="Times New Roman" w:hAnsi="Times New Roman" w:cs="Times New Roman"/>
          <w:sz w:val="20"/>
          <w:szCs w:val="20"/>
        </w:rPr>
      </w:pPr>
      <w:r w:rsidRPr="00B10F7F">
        <w:rPr>
          <w:rStyle w:val="FootnoteReference"/>
          <w:sz w:val="20"/>
          <w:szCs w:val="20"/>
        </w:rPr>
        <w:footnoteRef/>
      </w:r>
      <w:r>
        <w:rPr>
          <w:sz w:val="20"/>
          <w:szCs w:val="20"/>
        </w:rPr>
        <w:t> </w:t>
      </w:r>
      <w:r w:rsidRPr="00B10F7F">
        <w:rPr>
          <w:rFonts w:ascii="Times New Roman" w:hAnsi="Times New Roman" w:cs="Times New Roman"/>
          <w:sz w:val="20"/>
          <w:szCs w:val="20"/>
        </w:rPr>
        <w:t>Eiropas Digitālā progresa ziņojumā (EDPZ) atspoguļots dalībvalstu progress digitalizācijas jomā, Digitālās ekonomikas un DESI indeksa kvantitatīvos datus apvienojot ar kvalitatīvu informāciju par katras valsts politiku</w:t>
      </w:r>
    </w:p>
  </w:footnote>
  <w:footnote w:id="4">
    <w:p w:rsidR="00BB1C90" w:rsidP="00037970" w14:paraId="2CA0E567" w14:textId="1D1FAE56">
      <w:pPr>
        <w:pStyle w:val="FootnoteText"/>
        <w:ind w:left="0" w:firstLine="0"/>
      </w:pPr>
      <w:r>
        <w:rPr>
          <w:rStyle w:val="FootnoteReference"/>
        </w:rPr>
        <w:footnoteRef/>
      </w:r>
      <w:r>
        <w:t> Valsts atbalsta programmas 1. kārta īstenota Eiropas Savienības struktūrfondu un Kohēzijas fonda (turpmāk – ES fondi) 2007.–2013. gada plānošanas perioda darbības programmas “Infrastruktūra un pakalpojumi” 3.2.2.3.aktivitātes “Elektronisko sakaru pakalpojumu vienlīdzīgas pieejamības nodrošināšana visā valsts teritorijā (platjoslas tīkla attīstība)” projekta ietvaros</w:t>
      </w:r>
    </w:p>
  </w:footnote>
  <w:footnote w:id="5">
    <w:p w:rsidR="00BB1C90" w:rsidRPr="00821B3B" w:rsidP="00821B3B" w14:paraId="7B9BF5F9" w14:textId="636FDABB">
      <w:pPr>
        <w:pStyle w:val="Default"/>
        <w:rPr>
          <w:rFonts w:ascii="Times New Roman" w:hAnsi="Times New Roman" w:cs="Times New Roman"/>
          <w:sz w:val="20"/>
          <w:szCs w:val="20"/>
        </w:rPr>
      </w:pPr>
      <w:r w:rsidRPr="00821B3B">
        <w:rPr>
          <w:rStyle w:val="FootnoteReference"/>
          <w:rFonts w:ascii="Times New Roman" w:hAnsi="Times New Roman" w:cs="Times New Roman"/>
          <w:sz w:val="20"/>
          <w:szCs w:val="20"/>
        </w:rPr>
        <w:footnoteRef/>
      </w:r>
      <w:r>
        <w:rPr>
          <w:rFonts w:ascii="Times New Roman" w:hAnsi="Times New Roman" w:cs="Times New Roman"/>
          <w:sz w:val="20"/>
          <w:szCs w:val="20"/>
        </w:rPr>
        <w:t> </w:t>
      </w:r>
      <w:r w:rsidRPr="00821B3B">
        <w:rPr>
          <w:rFonts w:ascii="Times New Roman" w:hAnsi="Times New Roman" w:cs="Times New Roman"/>
          <w:bCs/>
          <w:sz w:val="20"/>
          <w:szCs w:val="20"/>
        </w:rPr>
        <w:t xml:space="preserve">Eiropas Digitālā progresa ziņojums (EDPZ) 2017. Valsts profils. Latvija. Pieejams, </w:t>
      </w:r>
      <w:r>
        <w:fldChar w:fldCharType="begin"/>
      </w:r>
      <w:r>
        <w:instrText xml:space="preserve"> HYPERLINK "http://ej.uz/7qp5" </w:instrText>
      </w:r>
      <w:r>
        <w:fldChar w:fldCharType="separate"/>
      </w:r>
      <w:r w:rsidRPr="00FD38B6">
        <w:rPr>
          <w:rStyle w:val="Hyperlink"/>
          <w:rFonts w:ascii="Times New Roman" w:hAnsi="Times New Roman" w:cs="Times New Roman"/>
          <w:sz w:val="20"/>
          <w:szCs w:val="20"/>
        </w:rPr>
        <w:t>http://ej.uz/7qp5</w:t>
      </w:r>
      <w:r>
        <w:fldChar w:fldCharType="end"/>
      </w:r>
      <w:r>
        <w:rPr>
          <w:rFonts w:ascii="Times New Roman" w:hAnsi="Times New Roman" w:cs="Times New Roman"/>
          <w:sz w:val="20"/>
          <w:szCs w:val="20"/>
        </w:rPr>
        <w:t xml:space="preserve"> </w:t>
      </w:r>
    </w:p>
  </w:footnote>
  <w:footnote w:id="6">
    <w:p w:rsidR="00BB1C90" w14:paraId="06699E08" w14:textId="610E9184">
      <w:pPr>
        <w:pStyle w:val="FootnoteText"/>
      </w:pPr>
      <w:r>
        <w:rPr>
          <w:rStyle w:val="FootnoteReference"/>
        </w:rPr>
        <w:footnoteRef/>
      </w:r>
      <w:r>
        <w:t xml:space="preserve"> </w:t>
      </w:r>
      <w:r>
        <w:fldChar w:fldCharType="begin"/>
      </w:r>
      <w:r>
        <w:instrText xml:space="preserve"> HYPERLINK "https://eportfelis.mk.gov.lv/eportfelis/DesktopModules/NOpenDocument.aspx?tabindex=2&amp;tabid=18&amp;BriefcaseID=33062&amp;mid=59&amp;ProjectID=24356" </w:instrText>
      </w:r>
      <w:r>
        <w:fldChar w:fldCharType="separate"/>
      </w:r>
      <w:r w:rsidRPr="00895116">
        <w:rPr>
          <w:rStyle w:val="Hyperlink"/>
        </w:rPr>
        <w:t>Izsludināts 2017.gada 8.jūnija Valsts sekretāru sanāksmes protokols Nr.22 17</w:t>
      </w:r>
      <w:r w:rsidRPr="00895116">
        <w:rPr>
          <w:rStyle w:val="Hyperlink"/>
          <w:rFonts w:eastAsia="Times New Roman"/>
          <w:szCs w:val="20"/>
        </w:rPr>
        <w:t>§ ”Viedās specializācijas monitorings”, 27</w:t>
      </w:r>
      <w:r w:rsidRPr="00895116">
        <w:rPr>
          <w:rStyle w:val="Hyperlink"/>
          <w:rFonts w:eastAsia="Times New Roman"/>
          <w:szCs w:val="24"/>
        </w:rPr>
        <w:t>, VSS-621.</w:t>
      </w:r>
      <w:r>
        <w:fldChar w:fldCharType="end"/>
      </w:r>
      <w:r>
        <w:rPr>
          <w:rFonts w:eastAsia="Times New Roman"/>
          <w:szCs w:val="24"/>
        </w:rPr>
        <w:t xml:space="preserve"> </w:t>
      </w:r>
    </w:p>
  </w:footnote>
  <w:footnote w:id="7">
    <w:p w:rsidR="00BB1C90" w:rsidRPr="004B0F67" w:rsidP="006E56E8" w14:paraId="61B23DDA" w14:textId="1E660AFD">
      <w:pPr>
        <w:pStyle w:val="FootnoteText"/>
        <w:rPr>
          <w:iCs/>
          <w:color w:val="414142"/>
        </w:rPr>
      </w:pPr>
      <w:r>
        <w:rPr>
          <w:rStyle w:val="FootnoteReference"/>
        </w:rPr>
        <w:footnoteRef/>
      </w:r>
      <w:r>
        <w:t xml:space="preserve"> </w:t>
      </w:r>
      <w:r w:rsidRPr="004B0F67">
        <w:t xml:space="preserve">STEAM - </w:t>
      </w:r>
      <w:r w:rsidRPr="004B0F67">
        <w:rPr>
          <w:color w:val="414142"/>
        </w:rPr>
        <w:t xml:space="preserve">zinātne, tehnoloģijas, inženierzinātnes un matemātika </w:t>
      </w:r>
      <w:r w:rsidRPr="004B0F67">
        <w:rPr>
          <w:i/>
          <w:iCs/>
          <w:color w:val="414142"/>
        </w:rPr>
        <w:t>(science, technology, engineering, and mathematics)</w:t>
      </w:r>
      <w:r w:rsidRPr="004B0F67">
        <w:t xml:space="preserve"> (sk. Izglītības attīstības pamatnostādnes 2014.-2020. gadam</w:t>
      </w:r>
      <w:r w:rsidRPr="004B0F67">
        <w:rPr>
          <w:iCs/>
          <w:color w:val="414142"/>
        </w:rPr>
        <w:t xml:space="preserve"> </w:t>
      </w:r>
      <w:r>
        <w:fldChar w:fldCharType="begin"/>
      </w:r>
      <w:r>
        <w:instrText xml:space="preserve"> HYPERLINK "https://likumi.lv/doc.php?id=266406" </w:instrText>
      </w:r>
      <w:r>
        <w:fldChar w:fldCharType="separate"/>
      </w:r>
      <w:r w:rsidRPr="004B0F67">
        <w:rPr>
          <w:rStyle w:val="Hyperlink"/>
          <w:iCs/>
          <w:sz w:val="22"/>
          <w:szCs w:val="22"/>
        </w:rPr>
        <w:t>https://likumi.lv/doc.php?id=266406</w:t>
      </w:r>
      <w:r>
        <w:fldChar w:fldCharType="end"/>
      </w:r>
      <w:r w:rsidRPr="004B0F67">
        <w:rPr>
          <w:iCs/>
          <w:color w:val="414142"/>
        </w:rPr>
        <w:t>)</w:t>
      </w:r>
    </w:p>
    <w:p w:rsidR="00BB1C90" w:rsidRPr="004B0F67" w:rsidP="006E56E8" w14:paraId="04AA8937" w14:textId="77777777">
      <w:pPr>
        <w:pStyle w:val="FootnoteText"/>
      </w:pPr>
    </w:p>
  </w:footnote>
  <w:footnote w:id="8">
    <w:p w:rsidR="00BB1C90" w:rsidP="006E56E8" w14:paraId="2C3E3DA0" w14:textId="5EE8FF06">
      <w:pPr>
        <w:pStyle w:val="FootnoteText"/>
      </w:pPr>
      <w:r w:rsidRPr="000E6DF5">
        <w:rPr>
          <w:rStyle w:val="FootnoteReference"/>
        </w:rPr>
        <w:footnoteRef/>
      </w:r>
      <w:r w:rsidRPr="000E6DF5">
        <w:t xml:space="preserve"> Eiropas Digitālā progresa 2017</w:t>
      </w:r>
      <w:r>
        <w:t xml:space="preserve">. gada ziņojuma (Valsts profils </w:t>
      </w:r>
      <w:r w:rsidRPr="000E6DF5">
        <w:t>Latvija</w:t>
      </w:r>
      <w:r>
        <w:t xml:space="preserve">) 5.sadaļa “Digitālie publiskie </w:t>
      </w:r>
      <w:r w:rsidRPr="000E6DF5">
        <w:t>pakalpojumi’’</w:t>
      </w:r>
      <w:r w:rsidRPr="000E6DF5">
        <w:rPr>
          <w:iCs/>
          <w:sz w:val="24"/>
          <w:szCs w:val="24"/>
        </w:rPr>
        <w:t>5a3. rādītājs</w:t>
      </w:r>
      <w:r w:rsidRPr="000E6DF5">
        <w:t xml:space="preserve"> (</w:t>
      </w:r>
      <w:r>
        <w:fldChar w:fldCharType="begin"/>
      </w:r>
      <w:r>
        <w:instrText xml:space="preserve"> HYPERLINK "https://ec.europa.eu/digital-single-market/desi" </w:instrText>
      </w:r>
      <w:r>
        <w:fldChar w:fldCharType="separate"/>
      </w:r>
      <w:r w:rsidRPr="000E6DF5">
        <w:rPr>
          <w:rStyle w:val="Hyperlink"/>
          <w:sz w:val="24"/>
          <w:szCs w:val="24"/>
        </w:rPr>
        <w:t>https://ec.europa.eu/digital-single-market/desi</w:t>
      </w:r>
      <w:r>
        <w:fldChar w:fldCharType="end"/>
      </w:r>
      <w:r w:rsidRPr="000E6DF5">
        <w:t>)</w:t>
      </w:r>
    </w:p>
    <w:p w:rsidR="00BB1C90" w:rsidP="006E56E8" w14:paraId="43B24A0D"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47924063"/>
      <w:docPartObj>
        <w:docPartGallery w:val="Page Numbers (Top of Page)"/>
        <w:docPartUnique/>
      </w:docPartObj>
    </w:sdtPr>
    <w:sdtEndPr>
      <w:rPr>
        <w:rFonts w:cs="Times New Roman"/>
        <w:noProof/>
      </w:rPr>
    </w:sdtEndPr>
    <w:sdtContent>
      <w:p w:rsidR="00BB1C90" w:rsidRPr="001D73EE" w14:paraId="26E9A71C" w14:textId="77777777">
        <w:pPr>
          <w:pStyle w:val="Header"/>
          <w:jc w:val="center"/>
          <w:rPr>
            <w:rFonts w:cs="Times New Roman"/>
          </w:rPr>
        </w:pPr>
        <w:r w:rsidRPr="001D73EE">
          <w:rPr>
            <w:rFonts w:cs="Times New Roman"/>
          </w:rPr>
          <w:fldChar w:fldCharType="begin"/>
        </w:r>
        <w:r w:rsidRPr="001D73EE">
          <w:rPr>
            <w:rFonts w:cs="Times New Roman"/>
          </w:rPr>
          <w:instrText xml:space="preserve"> PAGE   \* MERGEFORMAT </w:instrText>
        </w:r>
        <w:r w:rsidRPr="001D73EE">
          <w:rPr>
            <w:rFonts w:cs="Times New Roman"/>
          </w:rPr>
          <w:fldChar w:fldCharType="separate"/>
        </w:r>
        <w:r w:rsidR="005A4563">
          <w:rPr>
            <w:rFonts w:cs="Times New Roman"/>
            <w:noProof/>
          </w:rPr>
          <w:t>31</w:t>
        </w:r>
        <w:r w:rsidRPr="001D73EE">
          <w:rPr>
            <w:rFonts w:cs="Times New Roman"/>
            <w:noProof/>
          </w:rPr>
          <w:fldChar w:fldCharType="end"/>
        </w:r>
      </w:p>
    </w:sdtContent>
  </w:sdt>
  <w:p w:rsidR="00BB1C90" w14:paraId="6CBCAB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CC11A8"/>
    <w:multiLevelType w:val="multilevel"/>
    <w:tmpl w:val="A08EE3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052C073A"/>
    <w:multiLevelType w:val="hybridMultilevel"/>
    <w:tmpl w:val="FD7AC4D6"/>
    <w:lvl w:ilvl="0">
      <w:start w:val="5"/>
      <w:numFmt w:val="bullet"/>
      <w:lvlText w:val=""/>
      <w:lvlJc w:val="left"/>
      <w:pPr>
        <w:ind w:left="1080" w:hanging="360"/>
      </w:pPr>
      <w:rPr>
        <w:rFonts w:ascii="Symbol" w:eastAsia="Calibri"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1">
    <w:nsid w:val="05D159EB"/>
    <w:multiLevelType w:val="hybridMultilevel"/>
    <w:tmpl w:val="14C63EAC"/>
    <w:lvl w:ilvl="0">
      <w:start w:val="0"/>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D7C10CD"/>
    <w:multiLevelType w:val="hybridMultilevel"/>
    <w:tmpl w:val="42CCF7F4"/>
    <w:lvl w:ilvl="0">
      <w:start w:val="1"/>
      <w:numFmt w:val="bullet"/>
      <w:lvlText w:val="-"/>
      <w:lvlJc w:val="left"/>
      <w:pPr>
        <w:ind w:left="720" w:hanging="360"/>
      </w:pPr>
      <w:rPr>
        <w:rFonts w:ascii="Calibri" w:hAnsi="Calibri"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106477C8"/>
    <w:multiLevelType w:val="multilevel"/>
    <w:tmpl w:val="C368187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1">
    <w:nsid w:val="1D8655D1"/>
    <w:multiLevelType w:val="hybridMultilevel"/>
    <w:tmpl w:val="1B26E2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FCC1B45"/>
    <w:multiLevelType w:val="hybridMultilevel"/>
    <w:tmpl w:val="CBA4F25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15:restartNumberingAfterBreak="1">
    <w:nsid w:val="27436D78"/>
    <w:multiLevelType w:val="hybridMultilevel"/>
    <w:tmpl w:val="C67C17AE"/>
    <w:lvl w:ilvl="0">
      <w:start w:val="1"/>
      <w:numFmt w:val="bullet"/>
      <w:lvlText w:val="•"/>
      <w:lvlJc w:val="left"/>
      <w:pPr>
        <w:tabs>
          <w:tab w:val="num" w:pos="720"/>
        </w:tabs>
        <w:ind w:left="720" w:hanging="360"/>
      </w:pPr>
      <w:rPr>
        <w:rFonts w:ascii="Arial" w:hAnsi="Arial" w:hint="default"/>
      </w:rPr>
    </w:lvl>
    <w:lvl w:ilvl="1">
      <w:start w:val="95"/>
      <w:numFmt w:val="bullet"/>
      <w:lvlText w:val="•"/>
      <w:lvlJc w:val="left"/>
      <w:pPr>
        <w:tabs>
          <w:tab w:val="num" w:pos="1440"/>
        </w:tabs>
        <w:ind w:left="1440" w:hanging="360"/>
      </w:pPr>
      <w:rPr>
        <w:rFonts w:ascii="Arial" w:hAnsi="Arial" w:hint="default"/>
      </w:rPr>
    </w:lvl>
    <w:lvl w:ilvl="2">
      <w:start w:val="95"/>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15:restartNumberingAfterBreak="1">
    <w:nsid w:val="2A664E1A"/>
    <w:multiLevelType w:val="hybridMultilevel"/>
    <w:tmpl w:val="ECD2D0D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15:restartNumberingAfterBreak="1">
    <w:nsid w:val="33C55138"/>
    <w:multiLevelType w:val="multilevel"/>
    <w:tmpl w:val="84C4FCE4"/>
    <w:lvl w:ilvl="0">
      <w:start w:val="1"/>
      <w:numFmt w:val="decimal"/>
      <w:pStyle w:val="Heading1"/>
      <w:lvlText w:val="%1."/>
      <w:lvlJc w:val="left"/>
      <w:pPr>
        <w:ind w:left="720" w:hanging="360"/>
      </w:pPr>
      <w:rPr>
        <w:rFonts w:hint="default"/>
        <w:b/>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1">
    <w:nsid w:val="3FDF1443"/>
    <w:multiLevelType w:val="hybridMultilevel"/>
    <w:tmpl w:val="0DA6E312"/>
    <w:lvl w:ilvl="0">
      <w:start w:val="1"/>
      <w:numFmt w:val="bullet"/>
      <w:lvlText w:val="•"/>
      <w:lvlJc w:val="left"/>
      <w:pPr>
        <w:tabs>
          <w:tab w:val="num" w:pos="720"/>
        </w:tabs>
        <w:ind w:left="720" w:hanging="360"/>
      </w:pPr>
      <w:rPr>
        <w:rFonts w:ascii="Arial" w:hAnsi="Arial" w:hint="default"/>
      </w:rPr>
    </w:lvl>
    <w:lvl w:ilvl="1">
      <w:start w:val="95"/>
      <w:numFmt w:val="bullet"/>
      <w:lvlText w:val="•"/>
      <w:lvlJc w:val="left"/>
      <w:pPr>
        <w:tabs>
          <w:tab w:val="num" w:pos="1440"/>
        </w:tabs>
        <w:ind w:left="1440" w:hanging="360"/>
      </w:pPr>
      <w:rPr>
        <w:rFonts w:ascii="Arial" w:hAnsi="Arial" w:hint="default"/>
      </w:rPr>
    </w:lvl>
    <w:lvl w:ilvl="2">
      <w:start w:val="95"/>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1" w15:restartNumberingAfterBreak="1">
    <w:nsid w:val="46E45481"/>
    <w:multiLevelType w:val="hybridMultilevel"/>
    <w:tmpl w:val="56C071D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2" w15:restartNumberingAfterBreak="1">
    <w:nsid w:val="4B5660B0"/>
    <w:multiLevelType w:val="multilevel"/>
    <w:tmpl w:val="7A6630B0"/>
    <w:lvl w:ilvl="0">
      <w:start w:val="1"/>
      <w:numFmt w:val="bullet"/>
      <w:pStyle w:val="VP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1">
    <w:nsid w:val="4EA96F5A"/>
    <w:multiLevelType w:val="hybridMultilevel"/>
    <w:tmpl w:val="432E89CE"/>
    <w:lvl w:ilvl="0">
      <w:start w:val="1"/>
      <w:numFmt w:val="bullet"/>
      <w:lvlText w:val="-"/>
      <w:lvlJc w:val="left"/>
      <w:pPr>
        <w:ind w:left="720" w:hanging="360"/>
      </w:pPr>
      <w:rPr>
        <w:rFonts w:ascii="Calibri" w:hAnsi="Calibri"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1">
    <w:nsid w:val="4F1A6FDA"/>
    <w:multiLevelType w:val="hybridMultilevel"/>
    <w:tmpl w:val="9292755C"/>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5" w15:restartNumberingAfterBreak="1">
    <w:nsid w:val="50E94EFC"/>
    <w:multiLevelType w:val="hybridMultilevel"/>
    <w:tmpl w:val="B73A9E66"/>
    <w:lvl w:ilvl="0">
      <w:start w:val="1"/>
      <w:numFmt w:val="decimal"/>
      <w:lvlText w:val="%1."/>
      <w:lvlJc w:val="left"/>
      <w:pPr>
        <w:ind w:left="72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1545C22"/>
    <w:multiLevelType w:val="hybridMultilevel"/>
    <w:tmpl w:val="5A5275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1">
    <w:nsid w:val="542F4A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544F1DC0"/>
    <w:multiLevelType w:val="hybridMultilevel"/>
    <w:tmpl w:val="2182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1">
    <w:nsid w:val="55835BBD"/>
    <w:multiLevelType w:val="hybridMultilevel"/>
    <w:tmpl w:val="8774D5FE"/>
    <w:lvl w:ilvl="0">
      <w:start w:val="1"/>
      <w:numFmt w:val="decimal"/>
      <w:pStyle w:val="VPNumbere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1">
    <w:nsid w:val="564F5ED1"/>
    <w:multiLevelType w:val="hybridMultilevel"/>
    <w:tmpl w:val="636469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57383D41"/>
    <w:multiLevelType w:val="hybridMultilevel"/>
    <w:tmpl w:val="3574F266"/>
    <w:lvl w:ilvl="0">
      <w:start w:val="1"/>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575A5803"/>
    <w:multiLevelType w:val="hybridMultilevel"/>
    <w:tmpl w:val="F5C0798A"/>
    <w:lvl w:ilvl="0">
      <w:start w:val="0"/>
      <w:numFmt w:val="bullet"/>
      <w:lvlText w:val="-"/>
      <w:lvlJc w:val="left"/>
      <w:pPr>
        <w:ind w:left="720" w:hanging="360"/>
      </w:pPr>
      <w:rPr>
        <w:rFonts w:ascii="Calibri" w:hAnsi="Calibri" w:eastAsiaTheme="minorHAns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1">
    <w:nsid w:val="5AF106DC"/>
    <w:multiLevelType w:val="multilevel"/>
    <w:tmpl w:val="CDC4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1">
    <w:nsid w:val="5C822AE6"/>
    <w:multiLevelType w:val="hybridMultilevel"/>
    <w:tmpl w:val="FC32963E"/>
    <w:lvl w:ilvl="0">
      <w:start w:val="1"/>
      <w:numFmt w:val="bullet"/>
      <w:lvlText w:val="-"/>
      <w:lvlJc w:val="left"/>
      <w:pPr>
        <w:ind w:left="1800" w:hanging="360"/>
      </w:pPr>
      <w:rPr>
        <w:rFonts w:ascii="Calibri" w:hAnsi="Calibri"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15:restartNumberingAfterBreak="1">
    <w:nsid w:val="5E4B1B12"/>
    <w:multiLevelType w:val="hybridMultilevel"/>
    <w:tmpl w:val="570834B4"/>
    <w:lvl w:ilvl="0">
      <w:start w:val="1"/>
      <w:numFmt w:val="bullet"/>
      <w:lvlText w:val="•"/>
      <w:lvlJc w:val="left"/>
      <w:pPr>
        <w:tabs>
          <w:tab w:val="num" w:pos="720"/>
        </w:tabs>
        <w:ind w:left="720" w:hanging="360"/>
      </w:pPr>
      <w:rPr>
        <w:rFonts w:ascii="Arial" w:hAnsi="Arial" w:hint="default"/>
      </w:rPr>
    </w:lvl>
    <w:lvl w:ilvl="1">
      <w:start w:val="95"/>
      <w:numFmt w:val="bullet"/>
      <w:lvlText w:val="•"/>
      <w:lvlJc w:val="left"/>
      <w:pPr>
        <w:tabs>
          <w:tab w:val="num" w:pos="1440"/>
        </w:tabs>
        <w:ind w:left="1440" w:hanging="360"/>
      </w:pPr>
      <w:rPr>
        <w:rFonts w:ascii="Arial" w:hAnsi="Arial" w:hint="default"/>
      </w:rPr>
    </w:lvl>
    <w:lvl w:ilvl="2">
      <w:start w:val="95"/>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6" w15:restartNumberingAfterBreak="1">
    <w:nsid w:val="62175F52"/>
    <w:multiLevelType w:val="hybridMultilevel"/>
    <w:tmpl w:val="7E8E8AA4"/>
    <w:lvl w:ilvl="0">
      <w:start w:val="1"/>
      <w:numFmt w:val="decimal"/>
      <w:lvlText w:val="(%1)"/>
      <w:lvlJc w:val="left"/>
      <w:pPr>
        <w:ind w:left="643" w:hanging="360"/>
      </w:pPr>
    </w:lvl>
    <w:lvl w:ilvl="1">
      <w:start w:val="1"/>
      <w:numFmt w:val="decimal"/>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1">
    <w:nsid w:val="64FB442B"/>
    <w:multiLevelType w:val="hybridMultilevel"/>
    <w:tmpl w:val="EAFEA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1">
    <w:nsid w:val="6EA631D1"/>
    <w:multiLevelType w:val="hybridMultilevel"/>
    <w:tmpl w:val="AFF82DBC"/>
    <w:lvl w:ilvl="0">
      <w:start w:val="1"/>
      <w:numFmt w:val="bullet"/>
      <w:lvlText w:val="-"/>
      <w:lvlJc w:val="left"/>
      <w:pPr>
        <w:ind w:left="720" w:hanging="360"/>
      </w:pPr>
      <w:rPr>
        <w:rFonts w:ascii="Calibri" w:hAnsi="Calibri"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72480DE3"/>
    <w:multiLevelType w:val="hybridMultilevel"/>
    <w:tmpl w:val="E21E2516"/>
    <w:lvl w:ilvl="0">
      <w:start w:val="1"/>
      <w:numFmt w:val="decimal"/>
      <w:lvlText w:val="%1."/>
      <w:lvlJc w:val="left"/>
      <w:pPr>
        <w:ind w:left="2160" w:hanging="720"/>
      </w:pPr>
      <w:rPr>
        <w:rFonts w:hint="default"/>
        <w:b w:val="0"/>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15:restartNumberingAfterBreak="1">
    <w:nsid w:val="77AD7CD0"/>
    <w:multiLevelType w:val="hybridMultilevel"/>
    <w:tmpl w:val="0A7A61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1">
    <w:nsid w:val="7BA371D0"/>
    <w:multiLevelType w:val="hybridMultilevel"/>
    <w:tmpl w:val="224291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15:restartNumberingAfterBreak="1">
    <w:nsid w:val="7BAA07B5"/>
    <w:multiLevelType w:val="hybridMultilevel"/>
    <w:tmpl w:val="A66C116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23"/>
  </w:num>
  <w:num w:numId="2">
    <w:abstractNumId w:val="5"/>
  </w:num>
  <w:num w:numId="3">
    <w:abstractNumId w:val="2"/>
  </w:num>
  <w:num w:numId="4">
    <w:abstractNumId w:val="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20"/>
  </w:num>
  <w:num w:numId="11">
    <w:abstractNumId w:val="8"/>
  </w:num>
  <w:num w:numId="12">
    <w:abstractNumId w:val="1"/>
  </w:num>
  <w:num w:numId="13">
    <w:abstractNumId w:val="27"/>
  </w:num>
  <w:num w:numId="14">
    <w:abstractNumId w:val="31"/>
  </w:num>
  <w:num w:numId="15">
    <w:abstractNumId w:val="16"/>
  </w:num>
  <w:num w:numId="16">
    <w:abstractNumId w:val="7"/>
  </w:num>
  <w:num w:numId="17">
    <w:abstractNumId w:val="25"/>
  </w:num>
  <w:num w:numId="18">
    <w:abstractNumId w:val="3"/>
  </w:num>
  <w:num w:numId="19">
    <w:abstractNumId w:val="10"/>
  </w:num>
  <w:num w:numId="20">
    <w:abstractNumId w:val="28"/>
  </w:num>
  <w:num w:numId="21">
    <w:abstractNumId w:val="13"/>
  </w:num>
  <w:num w:numId="22">
    <w:abstractNumId w:val="24"/>
  </w:num>
  <w:num w:numId="23">
    <w:abstractNumId w:val="11"/>
  </w:num>
  <w:num w:numId="24">
    <w:abstractNumId w:val="14"/>
  </w:num>
  <w:num w:numId="25">
    <w:abstractNumId w:val="32"/>
  </w:num>
  <w:num w:numId="26">
    <w:abstractNumId w:val="30"/>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7"/>
  </w:num>
  <w:num w:numId="32">
    <w:abstractNumId w:val="15"/>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6A8"/>
    <w:rsid w:val="00015195"/>
    <w:rsid w:val="00016BD0"/>
    <w:rsid w:val="00016EBF"/>
    <w:rsid w:val="00020438"/>
    <w:rsid w:val="000312A8"/>
    <w:rsid w:val="00036923"/>
    <w:rsid w:val="000372A3"/>
    <w:rsid w:val="0003771D"/>
    <w:rsid w:val="00037970"/>
    <w:rsid w:val="000428E1"/>
    <w:rsid w:val="000445B0"/>
    <w:rsid w:val="00044A74"/>
    <w:rsid w:val="0006133F"/>
    <w:rsid w:val="000636F1"/>
    <w:rsid w:val="00066FD2"/>
    <w:rsid w:val="00076D8B"/>
    <w:rsid w:val="000974DD"/>
    <w:rsid w:val="000979D6"/>
    <w:rsid w:val="00097E3A"/>
    <w:rsid w:val="000A01A7"/>
    <w:rsid w:val="000A0E56"/>
    <w:rsid w:val="000B72DC"/>
    <w:rsid w:val="000D15B3"/>
    <w:rsid w:val="000D7253"/>
    <w:rsid w:val="000E2281"/>
    <w:rsid w:val="000E2F29"/>
    <w:rsid w:val="000E6DF5"/>
    <w:rsid w:val="000F32CE"/>
    <w:rsid w:val="00107522"/>
    <w:rsid w:val="00107F30"/>
    <w:rsid w:val="00112977"/>
    <w:rsid w:val="0012044A"/>
    <w:rsid w:val="001218E2"/>
    <w:rsid w:val="00124CB1"/>
    <w:rsid w:val="00137287"/>
    <w:rsid w:val="001400D6"/>
    <w:rsid w:val="00142DC2"/>
    <w:rsid w:val="00143A39"/>
    <w:rsid w:val="00166288"/>
    <w:rsid w:val="00172874"/>
    <w:rsid w:val="001736C1"/>
    <w:rsid w:val="00176DEC"/>
    <w:rsid w:val="00185377"/>
    <w:rsid w:val="00190540"/>
    <w:rsid w:val="0019375A"/>
    <w:rsid w:val="001A47A6"/>
    <w:rsid w:val="001A4FB3"/>
    <w:rsid w:val="001B52BA"/>
    <w:rsid w:val="001B7CEA"/>
    <w:rsid w:val="001C31D3"/>
    <w:rsid w:val="001D1733"/>
    <w:rsid w:val="001D66F1"/>
    <w:rsid w:val="001D73EE"/>
    <w:rsid w:val="001E55CA"/>
    <w:rsid w:val="001F0241"/>
    <w:rsid w:val="001F10FB"/>
    <w:rsid w:val="001F4F3D"/>
    <w:rsid w:val="00204037"/>
    <w:rsid w:val="00205401"/>
    <w:rsid w:val="00205873"/>
    <w:rsid w:val="0021159A"/>
    <w:rsid w:val="00217F7F"/>
    <w:rsid w:val="002229C4"/>
    <w:rsid w:val="00226B3B"/>
    <w:rsid w:val="00241B1D"/>
    <w:rsid w:val="00247240"/>
    <w:rsid w:val="00250717"/>
    <w:rsid w:val="002517FB"/>
    <w:rsid w:val="0025333B"/>
    <w:rsid w:val="002559B5"/>
    <w:rsid w:val="00267E0D"/>
    <w:rsid w:val="0027256E"/>
    <w:rsid w:val="00272E21"/>
    <w:rsid w:val="002934A4"/>
    <w:rsid w:val="0029497B"/>
    <w:rsid w:val="00294C47"/>
    <w:rsid w:val="00295493"/>
    <w:rsid w:val="002B3237"/>
    <w:rsid w:val="002B399E"/>
    <w:rsid w:val="002B4E79"/>
    <w:rsid w:val="002D264D"/>
    <w:rsid w:val="002D2C1B"/>
    <w:rsid w:val="002D36B1"/>
    <w:rsid w:val="002E3B28"/>
    <w:rsid w:val="002F1808"/>
    <w:rsid w:val="002F21B3"/>
    <w:rsid w:val="002F603F"/>
    <w:rsid w:val="003024DA"/>
    <w:rsid w:val="0030253E"/>
    <w:rsid w:val="00305132"/>
    <w:rsid w:val="003065E6"/>
    <w:rsid w:val="003116B5"/>
    <w:rsid w:val="00313FD2"/>
    <w:rsid w:val="0031415D"/>
    <w:rsid w:val="00324503"/>
    <w:rsid w:val="00333B96"/>
    <w:rsid w:val="00334FE9"/>
    <w:rsid w:val="00335750"/>
    <w:rsid w:val="003401CF"/>
    <w:rsid w:val="00341536"/>
    <w:rsid w:val="00346AE0"/>
    <w:rsid w:val="00353893"/>
    <w:rsid w:val="00354121"/>
    <w:rsid w:val="003559A4"/>
    <w:rsid w:val="0035692A"/>
    <w:rsid w:val="003572F2"/>
    <w:rsid w:val="00370B34"/>
    <w:rsid w:val="003720A5"/>
    <w:rsid w:val="003815F3"/>
    <w:rsid w:val="0039098F"/>
    <w:rsid w:val="003924CC"/>
    <w:rsid w:val="003949F1"/>
    <w:rsid w:val="003A0D64"/>
    <w:rsid w:val="003B1608"/>
    <w:rsid w:val="003B394B"/>
    <w:rsid w:val="003C04E2"/>
    <w:rsid w:val="003C6478"/>
    <w:rsid w:val="003D230E"/>
    <w:rsid w:val="003D277D"/>
    <w:rsid w:val="003D6068"/>
    <w:rsid w:val="003E0060"/>
    <w:rsid w:val="003F0E56"/>
    <w:rsid w:val="003F40C7"/>
    <w:rsid w:val="003F49D7"/>
    <w:rsid w:val="003F639C"/>
    <w:rsid w:val="003F6422"/>
    <w:rsid w:val="004003F2"/>
    <w:rsid w:val="00405333"/>
    <w:rsid w:val="00406931"/>
    <w:rsid w:val="004073CC"/>
    <w:rsid w:val="004114B6"/>
    <w:rsid w:val="00414638"/>
    <w:rsid w:val="00416849"/>
    <w:rsid w:val="00420948"/>
    <w:rsid w:val="00421FB4"/>
    <w:rsid w:val="00422589"/>
    <w:rsid w:val="004235B5"/>
    <w:rsid w:val="004267FF"/>
    <w:rsid w:val="00426B91"/>
    <w:rsid w:val="004279D5"/>
    <w:rsid w:val="0043635B"/>
    <w:rsid w:val="00436B73"/>
    <w:rsid w:val="00442ADC"/>
    <w:rsid w:val="00443D1F"/>
    <w:rsid w:val="0045349A"/>
    <w:rsid w:val="00454A17"/>
    <w:rsid w:val="0046082C"/>
    <w:rsid w:val="00462E7E"/>
    <w:rsid w:val="00462FD2"/>
    <w:rsid w:val="0046451C"/>
    <w:rsid w:val="0047144D"/>
    <w:rsid w:val="00480894"/>
    <w:rsid w:val="00484305"/>
    <w:rsid w:val="00485161"/>
    <w:rsid w:val="004863ED"/>
    <w:rsid w:val="00495C57"/>
    <w:rsid w:val="004B0290"/>
    <w:rsid w:val="004B0F67"/>
    <w:rsid w:val="004B4FBE"/>
    <w:rsid w:val="004C1BA8"/>
    <w:rsid w:val="004C1FC1"/>
    <w:rsid w:val="004D0719"/>
    <w:rsid w:val="004D52B2"/>
    <w:rsid w:val="004D6129"/>
    <w:rsid w:val="004E75B6"/>
    <w:rsid w:val="004F4843"/>
    <w:rsid w:val="00501BC1"/>
    <w:rsid w:val="0050702C"/>
    <w:rsid w:val="00507F0B"/>
    <w:rsid w:val="00507F85"/>
    <w:rsid w:val="0051473C"/>
    <w:rsid w:val="00514FB3"/>
    <w:rsid w:val="00515459"/>
    <w:rsid w:val="0052119A"/>
    <w:rsid w:val="0052194B"/>
    <w:rsid w:val="00524A2D"/>
    <w:rsid w:val="00533EAA"/>
    <w:rsid w:val="00534B4D"/>
    <w:rsid w:val="0053576B"/>
    <w:rsid w:val="00546382"/>
    <w:rsid w:val="0054753A"/>
    <w:rsid w:val="00547705"/>
    <w:rsid w:val="00551A63"/>
    <w:rsid w:val="00553CD4"/>
    <w:rsid w:val="00557CD2"/>
    <w:rsid w:val="005737A2"/>
    <w:rsid w:val="005753FC"/>
    <w:rsid w:val="00576F27"/>
    <w:rsid w:val="0059082E"/>
    <w:rsid w:val="00591178"/>
    <w:rsid w:val="00593F80"/>
    <w:rsid w:val="005972ED"/>
    <w:rsid w:val="005A101D"/>
    <w:rsid w:val="005A1899"/>
    <w:rsid w:val="005A4563"/>
    <w:rsid w:val="005A5AAC"/>
    <w:rsid w:val="005A724B"/>
    <w:rsid w:val="005B72AA"/>
    <w:rsid w:val="005C0449"/>
    <w:rsid w:val="005C57C7"/>
    <w:rsid w:val="005D491F"/>
    <w:rsid w:val="005D4A93"/>
    <w:rsid w:val="005D78CA"/>
    <w:rsid w:val="005E75FA"/>
    <w:rsid w:val="005F72D1"/>
    <w:rsid w:val="00601497"/>
    <w:rsid w:val="00603096"/>
    <w:rsid w:val="00610926"/>
    <w:rsid w:val="0061286A"/>
    <w:rsid w:val="00614442"/>
    <w:rsid w:val="00620DAD"/>
    <w:rsid w:val="006227AD"/>
    <w:rsid w:val="0062576D"/>
    <w:rsid w:val="006268CE"/>
    <w:rsid w:val="00632307"/>
    <w:rsid w:val="0063309C"/>
    <w:rsid w:val="00633FCB"/>
    <w:rsid w:val="006444EE"/>
    <w:rsid w:val="006445C7"/>
    <w:rsid w:val="006533FD"/>
    <w:rsid w:val="006631CB"/>
    <w:rsid w:val="006664D3"/>
    <w:rsid w:val="00672095"/>
    <w:rsid w:val="006811AB"/>
    <w:rsid w:val="00682436"/>
    <w:rsid w:val="0068721D"/>
    <w:rsid w:val="006916C3"/>
    <w:rsid w:val="00692C51"/>
    <w:rsid w:val="00693FAB"/>
    <w:rsid w:val="006976FA"/>
    <w:rsid w:val="006A1644"/>
    <w:rsid w:val="006A3C76"/>
    <w:rsid w:val="006A4CA3"/>
    <w:rsid w:val="006B1232"/>
    <w:rsid w:val="006B6DFB"/>
    <w:rsid w:val="006C0277"/>
    <w:rsid w:val="006C1B7F"/>
    <w:rsid w:val="006C4663"/>
    <w:rsid w:val="006D1FE9"/>
    <w:rsid w:val="006D2AD2"/>
    <w:rsid w:val="006E56E8"/>
    <w:rsid w:val="007201B2"/>
    <w:rsid w:val="007205FF"/>
    <w:rsid w:val="00723B66"/>
    <w:rsid w:val="00724685"/>
    <w:rsid w:val="00726530"/>
    <w:rsid w:val="00762A74"/>
    <w:rsid w:val="00766A01"/>
    <w:rsid w:val="007709F0"/>
    <w:rsid w:val="00774E6E"/>
    <w:rsid w:val="007806AE"/>
    <w:rsid w:val="00780D4E"/>
    <w:rsid w:val="0078214E"/>
    <w:rsid w:val="0078245D"/>
    <w:rsid w:val="0078355D"/>
    <w:rsid w:val="007907D9"/>
    <w:rsid w:val="007909C1"/>
    <w:rsid w:val="00791A43"/>
    <w:rsid w:val="00795F6C"/>
    <w:rsid w:val="00796D29"/>
    <w:rsid w:val="007A0404"/>
    <w:rsid w:val="007A315E"/>
    <w:rsid w:val="007A5339"/>
    <w:rsid w:val="007B25E2"/>
    <w:rsid w:val="007B59FE"/>
    <w:rsid w:val="007C126F"/>
    <w:rsid w:val="007C2EE1"/>
    <w:rsid w:val="007D0E28"/>
    <w:rsid w:val="007D7DF0"/>
    <w:rsid w:val="007E4C82"/>
    <w:rsid w:val="007E5D5F"/>
    <w:rsid w:val="007F3879"/>
    <w:rsid w:val="008064A8"/>
    <w:rsid w:val="008102F1"/>
    <w:rsid w:val="008109F7"/>
    <w:rsid w:val="0081184B"/>
    <w:rsid w:val="00814C3A"/>
    <w:rsid w:val="00821A16"/>
    <w:rsid w:val="00821B3B"/>
    <w:rsid w:val="00823DB6"/>
    <w:rsid w:val="0082493B"/>
    <w:rsid w:val="00826702"/>
    <w:rsid w:val="008270BF"/>
    <w:rsid w:val="00830CEA"/>
    <w:rsid w:val="0083401C"/>
    <w:rsid w:val="00836CC7"/>
    <w:rsid w:val="008429D0"/>
    <w:rsid w:val="00851B9A"/>
    <w:rsid w:val="00853B78"/>
    <w:rsid w:val="00855036"/>
    <w:rsid w:val="00860174"/>
    <w:rsid w:val="008611C5"/>
    <w:rsid w:val="00861387"/>
    <w:rsid w:val="00864148"/>
    <w:rsid w:val="008644F1"/>
    <w:rsid w:val="00871853"/>
    <w:rsid w:val="00876FAB"/>
    <w:rsid w:val="00884615"/>
    <w:rsid w:val="00886BF2"/>
    <w:rsid w:val="00891559"/>
    <w:rsid w:val="00893AFA"/>
    <w:rsid w:val="00895116"/>
    <w:rsid w:val="008951A3"/>
    <w:rsid w:val="008A0D2C"/>
    <w:rsid w:val="008A2DED"/>
    <w:rsid w:val="008A4C82"/>
    <w:rsid w:val="008B3547"/>
    <w:rsid w:val="008B7D47"/>
    <w:rsid w:val="008C069F"/>
    <w:rsid w:val="008C0A96"/>
    <w:rsid w:val="008D15A8"/>
    <w:rsid w:val="008E243A"/>
    <w:rsid w:val="008E48AB"/>
    <w:rsid w:val="008E5D16"/>
    <w:rsid w:val="008E5D8E"/>
    <w:rsid w:val="008E673B"/>
    <w:rsid w:val="008E69E9"/>
    <w:rsid w:val="008F346C"/>
    <w:rsid w:val="00910999"/>
    <w:rsid w:val="00911084"/>
    <w:rsid w:val="0091667D"/>
    <w:rsid w:val="00916FCB"/>
    <w:rsid w:val="0091728E"/>
    <w:rsid w:val="00920D7C"/>
    <w:rsid w:val="009250B6"/>
    <w:rsid w:val="00926C27"/>
    <w:rsid w:val="00926D90"/>
    <w:rsid w:val="00934EB6"/>
    <w:rsid w:val="009437AB"/>
    <w:rsid w:val="00955606"/>
    <w:rsid w:val="00961DCE"/>
    <w:rsid w:val="00962B7A"/>
    <w:rsid w:val="00962FCF"/>
    <w:rsid w:val="00963AEB"/>
    <w:rsid w:val="009642FB"/>
    <w:rsid w:val="0096567A"/>
    <w:rsid w:val="00967348"/>
    <w:rsid w:val="00967871"/>
    <w:rsid w:val="009712E6"/>
    <w:rsid w:val="00971539"/>
    <w:rsid w:val="00971A52"/>
    <w:rsid w:val="0097213E"/>
    <w:rsid w:val="00975ACE"/>
    <w:rsid w:val="0097727A"/>
    <w:rsid w:val="00977E33"/>
    <w:rsid w:val="009858BE"/>
    <w:rsid w:val="00990EC6"/>
    <w:rsid w:val="009A7667"/>
    <w:rsid w:val="009A7D6B"/>
    <w:rsid w:val="009B006B"/>
    <w:rsid w:val="009B3687"/>
    <w:rsid w:val="009B4E3D"/>
    <w:rsid w:val="009C00BD"/>
    <w:rsid w:val="009C6F26"/>
    <w:rsid w:val="009C7AFB"/>
    <w:rsid w:val="009D2D59"/>
    <w:rsid w:val="009D4458"/>
    <w:rsid w:val="009E7AC4"/>
    <w:rsid w:val="009F2E8E"/>
    <w:rsid w:val="009F5FC0"/>
    <w:rsid w:val="009F797A"/>
    <w:rsid w:val="00A03B7E"/>
    <w:rsid w:val="00A04C29"/>
    <w:rsid w:val="00A112FB"/>
    <w:rsid w:val="00A22AFD"/>
    <w:rsid w:val="00A33C21"/>
    <w:rsid w:val="00A35C9F"/>
    <w:rsid w:val="00A40ED7"/>
    <w:rsid w:val="00A54B92"/>
    <w:rsid w:val="00A56BBB"/>
    <w:rsid w:val="00A63719"/>
    <w:rsid w:val="00A71D83"/>
    <w:rsid w:val="00A77D8E"/>
    <w:rsid w:val="00A8676F"/>
    <w:rsid w:val="00A87246"/>
    <w:rsid w:val="00A91E8A"/>
    <w:rsid w:val="00A92A18"/>
    <w:rsid w:val="00A97318"/>
    <w:rsid w:val="00AA10E3"/>
    <w:rsid w:val="00AB0725"/>
    <w:rsid w:val="00AB1123"/>
    <w:rsid w:val="00AB3FEA"/>
    <w:rsid w:val="00AB49E4"/>
    <w:rsid w:val="00AC566C"/>
    <w:rsid w:val="00AF152A"/>
    <w:rsid w:val="00AF1714"/>
    <w:rsid w:val="00AF1C53"/>
    <w:rsid w:val="00AF5D05"/>
    <w:rsid w:val="00AF754F"/>
    <w:rsid w:val="00B04883"/>
    <w:rsid w:val="00B10F7F"/>
    <w:rsid w:val="00B111AB"/>
    <w:rsid w:val="00B115E5"/>
    <w:rsid w:val="00B127EB"/>
    <w:rsid w:val="00B1319A"/>
    <w:rsid w:val="00B14C4F"/>
    <w:rsid w:val="00B159B4"/>
    <w:rsid w:val="00B370DC"/>
    <w:rsid w:val="00B3798A"/>
    <w:rsid w:val="00B43405"/>
    <w:rsid w:val="00B43D44"/>
    <w:rsid w:val="00B46631"/>
    <w:rsid w:val="00B5108F"/>
    <w:rsid w:val="00B51C7E"/>
    <w:rsid w:val="00B54568"/>
    <w:rsid w:val="00B55FBA"/>
    <w:rsid w:val="00B65ED9"/>
    <w:rsid w:val="00B76939"/>
    <w:rsid w:val="00B8101D"/>
    <w:rsid w:val="00B815DC"/>
    <w:rsid w:val="00B82F63"/>
    <w:rsid w:val="00B87E11"/>
    <w:rsid w:val="00B916D4"/>
    <w:rsid w:val="00B93E05"/>
    <w:rsid w:val="00B9576F"/>
    <w:rsid w:val="00BA0D37"/>
    <w:rsid w:val="00BA0D82"/>
    <w:rsid w:val="00BA10BB"/>
    <w:rsid w:val="00BA1C95"/>
    <w:rsid w:val="00BA2DB4"/>
    <w:rsid w:val="00BB1C90"/>
    <w:rsid w:val="00BB3300"/>
    <w:rsid w:val="00BC7456"/>
    <w:rsid w:val="00BC76B8"/>
    <w:rsid w:val="00BC7E77"/>
    <w:rsid w:val="00BD1D97"/>
    <w:rsid w:val="00BD2F30"/>
    <w:rsid w:val="00BD6022"/>
    <w:rsid w:val="00BD6FF3"/>
    <w:rsid w:val="00BD7636"/>
    <w:rsid w:val="00BF0405"/>
    <w:rsid w:val="00C01511"/>
    <w:rsid w:val="00C034BE"/>
    <w:rsid w:val="00C10998"/>
    <w:rsid w:val="00C204B7"/>
    <w:rsid w:val="00C21AA3"/>
    <w:rsid w:val="00C242A6"/>
    <w:rsid w:val="00C4456E"/>
    <w:rsid w:val="00C54D2D"/>
    <w:rsid w:val="00C550C3"/>
    <w:rsid w:val="00C55C90"/>
    <w:rsid w:val="00C5701A"/>
    <w:rsid w:val="00C621FB"/>
    <w:rsid w:val="00C64931"/>
    <w:rsid w:val="00C6498C"/>
    <w:rsid w:val="00C67A37"/>
    <w:rsid w:val="00C74D0F"/>
    <w:rsid w:val="00C83599"/>
    <w:rsid w:val="00C85ACF"/>
    <w:rsid w:val="00C92BE2"/>
    <w:rsid w:val="00C94641"/>
    <w:rsid w:val="00CB0DD7"/>
    <w:rsid w:val="00CB3A58"/>
    <w:rsid w:val="00CB4AE8"/>
    <w:rsid w:val="00CB6572"/>
    <w:rsid w:val="00CC48F6"/>
    <w:rsid w:val="00CC60BD"/>
    <w:rsid w:val="00CD2200"/>
    <w:rsid w:val="00CE06A8"/>
    <w:rsid w:val="00CE16F6"/>
    <w:rsid w:val="00CF5C05"/>
    <w:rsid w:val="00D01E56"/>
    <w:rsid w:val="00D01F47"/>
    <w:rsid w:val="00D10167"/>
    <w:rsid w:val="00D1549E"/>
    <w:rsid w:val="00D159A7"/>
    <w:rsid w:val="00D159A8"/>
    <w:rsid w:val="00D17886"/>
    <w:rsid w:val="00D2728A"/>
    <w:rsid w:val="00D27D46"/>
    <w:rsid w:val="00D407FC"/>
    <w:rsid w:val="00D4152D"/>
    <w:rsid w:val="00D57C86"/>
    <w:rsid w:val="00D57D3B"/>
    <w:rsid w:val="00D63929"/>
    <w:rsid w:val="00D6612E"/>
    <w:rsid w:val="00D70F3B"/>
    <w:rsid w:val="00D73BD1"/>
    <w:rsid w:val="00D7401B"/>
    <w:rsid w:val="00D77BC3"/>
    <w:rsid w:val="00DA0C64"/>
    <w:rsid w:val="00DA7B52"/>
    <w:rsid w:val="00DB1411"/>
    <w:rsid w:val="00DB48D3"/>
    <w:rsid w:val="00DB5F43"/>
    <w:rsid w:val="00DB7E71"/>
    <w:rsid w:val="00DD02A5"/>
    <w:rsid w:val="00DD02E8"/>
    <w:rsid w:val="00DD05F1"/>
    <w:rsid w:val="00DE0AB6"/>
    <w:rsid w:val="00DF189B"/>
    <w:rsid w:val="00DF22E0"/>
    <w:rsid w:val="00DF5655"/>
    <w:rsid w:val="00E02E4C"/>
    <w:rsid w:val="00E100D9"/>
    <w:rsid w:val="00E1226E"/>
    <w:rsid w:val="00E21148"/>
    <w:rsid w:val="00E23A22"/>
    <w:rsid w:val="00E254CD"/>
    <w:rsid w:val="00E25E4E"/>
    <w:rsid w:val="00E3299B"/>
    <w:rsid w:val="00E361EC"/>
    <w:rsid w:val="00E53036"/>
    <w:rsid w:val="00E55C06"/>
    <w:rsid w:val="00E55FA7"/>
    <w:rsid w:val="00E6030C"/>
    <w:rsid w:val="00E60B8C"/>
    <w:rsid w:val="00E6387C"/>
    <w:rsid w:val="00E67BC5"/>
    <w:rsid w:val="00E70706"/>
    <w:rsid w:val="00E71F71"/>
    <w:rsid w:val="00E806BB"/>
    <w:rsid w:val="00E90834"/>
    <w:rsid w:val="00E9648B"/>
    <w:rsid w:val="00E97B5E"/>
    <w:rsid w:val="00EB1ABE"/>
    <w:rsid w:val="00EB52A3"/>
    <w:rsid w:val="00EC05ED"/>
    <w:rsid w:val="00EC3EE6"/>
    <w:rsid w:val="00EC441D"/>
    <w:rsid w:val="00EC5545"/>
    <w:rsid w:val="00EC59D5"/>
    <w:rsid w:val="00ED5215"/>
    <w:rsid w:val="00ED7662"/>
    <w:rsid w:val="00ED7969"/>
    <w:rsid w:val="00EE03BE"/>
    <w:rsid w:val="00EE0414"/>
    <w:rsid w:val="00EE2637"/>
    <w:rsid w:val="00EE5982"/>
    <w:rsid w:val="00F01486"/>
    <w:rsid w:val="00F072AE"/>
    <w:rsid w:val="00F1469A"/>
    <w:rsid w:val="00F17C81"/>
    <w:rsid w:val="00F25CEC"/>
    <w:rsid w:val="00F31826"/>
    <w:rsid w:val="00F42F50"/>
    <w:rsid w:val="00F45064"/>
    <w:rsid w:val="00F51A24"/>
    <w:rsid w:val="00F54FC0"/>
    <w:rsid w:val="00F57637"/>
    <w:rsid w:val="00F63C6D"/>
    <w:rsid w:val="00F6657C"/>
    <w:rsid w:val="00F733AD"/>
    <w:rsid w:val="00F738D8"/>
    <w:rsid w:val="00F75A15"/>
    <w:rsid w:val="00F90F57"/>
    <w:rsid w:val="00F91EA2"/>
    <w:rsid w:val="00F92EE9"/>
    <w:rsid w:val="00F94CC3"/>
    <w:rsid w:val="00F96A3C"/>
    <w:rsid w:val="00FB0FBB"/>
    <w:rsid w:val="00FB4C05"/>
    <w:rsid w:val="00FD38B6"/>
    <w:rsid w:val="00FD4C90"/>
    <w:rsid w:val="00FD7208"/>
    <w:rsid w:val="00FE1A51"/>
    <w:rsid w:val="00FF3E03"/>
    <w:rsid w:val="00FF6CC7"/>
    <w:rsid w:val="00FF79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0CDEECA-9ED8-4D73-AE1B-BCF4FD26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8F"/>
    <w:pPr>
      <w:spacing w:line="240" w:lineRule="auto"/>
      <w:ind w:firstLine="720"/>
      <w:jc w:val="both"/>
    </w:pPr>
    <w:rPr>
      <w:rFonts w:ascii="Times New Roman" w:hAnsi="Times New Roman"/>
      <w:sz w:val="28"/>
    </w:rPr>
  </w:style>
  <w:style w:type="paragraph" w:styleId="Heading1">
    <w:name w:val="heading 1"/>
    <w:basedOn w:val="Normal"/>
    <w:link w:val="Heading1Char"/>
    <w:uiPriority w:val="9"/>
    <w:qFormat/>
    <w:rsid w:val="00B54568"/>
    <w:pPr>
      <w:keepNext/>
      <w:numPr>
        <w:numId w:val="33"/>
      </w:numPr>
      <w:spacing w:before="100" w:beforeAutospacing="1" w:after="100" w:afterAutospacing="1"/>
      <w:outlineLvl w:val="0"/>
    </w:pPr>
    <w:rPr>
      <w:rFonts w:eastAsia="Times New Roman" w:cs="Times New Roman"/>
      <w:b/>
      <w:bCs/>
      <w:kern w:val="36"/>
      <w:szCs w:val="48"/>
    </w:rPr>
  </w:style>
  <w:style w:type="paragraph" w:styleId="Heading2">
    <w:name w:val="heading 2"/>
    <w:basedOn w:val="Normal"/>
    <w:next w:val="Normal"/>
    <w:link w:val="Heading2Char"/>
    <w:uiPriority w:val="9"/>
    <w:unhideWhenUsed/>
    <w:qFormat/>
    <w:rsid w:val="00934EB6"/>
    <w:pPr>
      <w:keepNext/>
      <w:keepLines/>
      <w:spacing w:before="40" w:after="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E06A8"/>
    <w:pPr>
      <w:spacing w:before="100" w:beforeAutospacing="1" w:after="100" w:afterAutospacing="1"/>
    </w:pPr>
    <w:rPr>
      <w:rFonts w:eastAsia="Times New Roman" w:cs="Times New Roman"/>
      <w:sz w:val="24"/>
      <w:szCs w:val="24"/>
    </w:rPr>
  </w:style>
  <w:style w:type="paragraph" w:customStyle="1" w:styleId="labojumupamats">
    <w:name w:val="labojumu_pamats"/>
    <w:basedOn w:val="Normal"/>
    <w:rsid w:val="00CE06A8"/>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CE06A8"/>
    <w:rPr>
      <w:color w:val="0000FF"/>
      <w:u w:val="single"/>
    </w:rPr>
  </w:style>
  <w:style w:type="character" w:customStyle="1" w:styleId="fontsize2">
    <w:name w:val="fontsize2"/>
    <w:basedOn w:val="DefaultParagraphFont"/>
    <w:rsid w:val="00CE06A8"/>
  </w:style>
  <w:style w:type="character" w:customStyle="1" w:styleId="Heading1Char">
    <w:name w:val="Heading 1 Char"/>
    <w:basedOn w:val="DefaultParagraphFont"/>
    <w:link w:val="Heading1"/>
    <w:uiPriority w:val="9"/>
    <w:rsid w:val="00B54568"/>
    <w:rPr>
      <w:rFonts w:ascii="Times New Roman" w:eastAsia="Times New Roman" w:hAnsi="Times New Roman" w:cs="Times New Roman"/>
      <w:b/>
      <w:bCs/>
      <w:kern w:val="36"/>
      <w:sz w:val="28"/>
      <w:szCs w:val="48"/>
    </w:rPr>
  </w:style>
  <w:style w:type="paragraph" w:styleId="NormalWeb">
    <w:name w:val="Normal (Web)"/>
    <w:basedOn w:val="Normal"/>
    <w:uiPriority w:val="99"/>
    <w:unhideWhenUsed/>
    <w:rsid w:val="00CE06A8"/>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CE06A8"/>
    <w:rPr>
      <w:b/>
      <w:bCs/>
    </w:rPr>
  </w:style>
  <w:style w:type="character" w:styleId="Emphasis">
    <w:name w:val="Emphasis"/>
    <w:basedOn w:val="DefaultParagraphFont"/>
    <w:uiPriority w:val="20"/>
    <w:qFormat/>
    <w:rsid w:val="00CE06A8"/>
    <w:rPr>
      <w:i/>
      <w:iCs/>
    </w:rPr>
  </w:style>
  <w:style w:type="character" w:styleId="CommentReference">
    <w:name w:val="annotation reference"/>
    <w:basedOn w:val="DefaultParagraphFont"/>
    <w:uiPriority w:val="99"/>
    <w:semiHidden/>
    <w:unhideWhenUsed/>
    <w:rsid w:val="00E9648B"/>
    <w:rPr>
      <w:sz w:val="16"/>
      <w:szCs w:val="16"/>
    </w:rPr>
  </w:style>
  <w:style w:type="paragraph" w:styleId="CommentText">
    <w:name w:val="annotation text"/>
    <w:basedOn w:val="Normal"/>
    <w:link w:val="CommentTextChar"/>
    <w:uiPriority w:val="99"/>
    <w:semiHidden/>
    <w:unhideWhenUsed/>
    <w:rsid w:val="00E9648B"/>
    <w:rPr>
      <w:sz w:val="20"/>
      <w:szCs w:val="20"/>
    </w:rPr>
  </w:style>
  <w:style w:type="character" w:customStyle="1" w:styleId="CommentTextChar">
    <w:name w:val="Comment Text Char"/>
    <w:basedOn w:val="DefaultParagraphFont"/>
    <w:link w:val="CommentText"/>
    <w:uiPriority w:val="99"/>
    <w:semiHidden/>
    <w:rsid w:val="00E9648B"/>
    <w:rPr>
      <w:sz w:val="20"/>
      <w:szCs w:val="20"/>
    </w:rPr>
  </w:style>
  <w:style w:type="paragraph" w:styleId="CommentSubject">
    <w:name w:val="annotation subject"/>
    <w:basedOn w:val="CommentText"/>
    <w:next w:val="CommentText"/>
    <w:link w:val="CommentSubjectChar"/>
    <w:uiPriority w:val="99"/>
    <w:semiHidden/>
    <w:unhideWhenUsed/>
    <w:rsid w:val="00E9648B"/>
    <w:rPr>
      <w:b/>
      <w:bCs/>
    </w:rPr>
  </w:style>
  <w:style w:type="character" w:customStyle="1" w:styleId="CommentSubjectChar">
    <w:name w:val="Comment Subject Char"/>
    <w:basedOn w:val="CommentTextChar"/>
    <w:link w:val="CommentSubject"/>
    <w:uiPriority w:val="99"/>
    <w:semiHidden/>
    <w:rsid w:val="00E9648B"/>
    <w:rPr>
      <w:b/>
      <w:bCs/>
      <w:sz w:val="20"/>
      <w:szCs w:val="20"/>
    </w:rPr>
  </w:style>
  <w:style w:type="paragraph" w:styleId="BalloonText">
    <w:name w:val="Balloon Text"/>
    <w:basedOn w:val="Normal"/>
    <w:link w:val="BalloonTextChar"/>
    <w:uiPriority w:val="99"/>
    <w:semiHidden/>
    <w:unhideWhenUsed/>
    <w:rsid w:val="00E964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8B"/>
    <w:rPr>
      <w:rFonts w:ascii="Segoe UI" w:hAnsi="Segoe UI" w:cs="Segoe UI"/>
      <w:sz w:val="18"/>
      <w:szCs w:val="18"/>
    </w:rPr>
  </w:style>
  <w:style w:type="paragraph" w:styleId="FootnoteText">
    <w:name w:val="footnote text"/>
    <w:aliases w:val="Boston 10,Font: Geneva 9,Footnote Text Blue,Footnote Text Char Char Char Char Char Char,Fotnotstext1,Fußnote,Fußnotentextf,Fuﬂnotentextf,Geneva 9,Schriftart: 10 pt,Schriftart: 8 pt,Schriftart: 9 pt,Tekst przypisu,WB-Fußnotentext,f,fn"/>
    <w:basedOn w:val="Normal"/>
    <w:link w:val="FootnoteTextChar"/>
    <w:autoRedefine/>
    <w:uiPriority w:val="99"/>
    <w:unhideWhenUsed/>
    <w:qFormat/>
    <w:rsid w:val="006E56E8"/>
    <w:pPr>
      <w:widowControl w:val="0"/>
      <w:tabs>
        <w:tab w:val="left" w:pos="142"/>
      </w:tabs>
      <w:spacing w:after="0"/>
      <w:ind w:left="284" w:hanging="284"/>
    </w:pPr>
    <w:rPr>
      <w:rFonts w:cs="Times New Roman"/>
      <w:sz w:val="20"/>
      <w:szCs w:val="16"/>
      <w:lang w:val="lv-LV" w:eastAsia="lv-LV" w:bidi="lv-LV"/>
    </w:rPr>
  </w:style>
  <w:style w:type="character" w:customStyle="1" w:styleId="FootnoteTextChar">
    <w:name w:val="Footnote Text Char"/>
    <w:aliases w:val="Boston 10 Char,Font: Geneva 9 Char,Footnote Text Blue Char,Footnote Text Char Char Char Char Char Char Char,Fußnote Char,Fußnotentextf Char,Fuﬂnotentextf Char,Geneva 9 Char,Schriftart: 9 pt Char,Tekst przypisu Char,f Char,fn Char"/>
    <w:basedOn w:val="DefaultParagraphFont"/>
    <w:link w:val="FootnoteText"/>
    <w:uiPriority w:val="99"/>
    <w:qFormat/>
    <w:rsid w:val="006E56E8"/>
    <w:rPr>
      <w:rFonts w:ascii="Times New Roman" w:hAnsi="Times New Roman" w:cs="Times New Roman"/>
      <w:sz w:val="20"/>
      <w:szCs w:val="16"/>
      <w:lang w:val="lv-LV" w:eastAsia="lv-LV" w:bidi="lv-LV"/>
    </w:rPr>
  </w:style>
  <w:style w:type="character" w:styleId="FootnoteReference">
    <w:name w:val="footnote reference"/>
    <w:aliases w:val="BVI fnr,Footnote Reference Number,Footnote Reference Superscript,Footnote Reference_LVL6,Footnote Reference_LVL61,Footnote Reference_LVL62,Footnote Reference_LVL63,Footnote Reference_LVL64,Footnote sign,Footnote symbol,SUPERS"/>
    <w:basedOn w:val="DefaultParagraphFont"/>
    <w:link w:val="FootnotesymbolCarZchn"/>
    <w:uiPriority w:val="99"/>
    <w:unhideWhenUsed/>
    <w:qFormat/>
    <w:rsid w:val="00C54D2D"/>
    <w:rPr>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qFormat/>
    <w:rsid w:val="00C54D2D"/>
    <w:pPr>
      <w:spacing w:line="240" w:lineRule="exact"/>
    </w:pPr>
    <w:rPr>
      <w:vertAlign w:val="superscript"/>
    </w:rPr>
  </w:style>
  <w:style w:type="table" w:styleId="TableGrid">
    <w:name w:val="Table Grid"/>
    <w:basedOn w:val="TableNormal"/>
    <w:uiPriority w:val="39"/>
    <w:rsid w:val="00BC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
    <w:basedOn w:val="Normal"/>
    <w:link w:val="ListParagraphChar"/>
    <w:uiPriority w:val="34"/>
    <w:qFormat/>
    <w:rsid w:val="005737A2"/>
    <w:pPr>
      <w:spacing w:after="0"/>
      <w:ind w:left="720"/>
      <w:contextualSpacing/>
    </w:pPr>
    <w:rPr>
      <w:lang w:val="lv-LV"/>
    </w:rPr>
  </w:style>
  <w:style w:type="paragraph" w:customStyle="1" w:styleId="VPBody">
    <w:name w:val="VP Body"/>
    <w:basedOn w:val="Normal"/>
    <w:link w:val="VPBodyChar"/>
    <w:rsid w:val="009B4E3D"/>
    <w:pPr>
      <w:spacing w:line="252" w:lineRule="auto"/>
    </w:pPr>
    <w:rPr>
      <w:rFonts w:cs="Times New Roman"/>
      <w:sz w:val="24"/>
      <w:szCs w:val="24"/>
      <w:lang w:val="lv-LV"/>
    </w:rPr>
  </w:style>
  <w:style w:type="character" w:customStyle="1" w:styleId="VPBodyChar">
    <w:name w:val="VP Body Char"/>
    <w:basedOn w:val="DefaultParagraphFont"/>
    <w:link w:val="VPBody"/>
    <w:locked/>
    <w:rsid w:val="009B4E3D"/>
    <w:rPr>
      <w:rFonts w:ascii="Times New Roman" w:hAnsi="Times New Roman" w:cs="Times New Roman"/>
      <w:sz w:val="24"/>
      <w:szCs w:val="24"/>
      <w:lang w:val="lv-LV"/>
    </w:rPr>
  </w:style>
  <w:style w:type="paragraph" w:customStyle="1" w:styleId="VPNumbered">
    <w:name w:val="VP Numbered"/>
    <w:basedOn w:val="Normal"/>
    <w:rsid w:val="009B4E3D"/>
    <w:pPr>
      <w:numPr>
        <w:numId w:val="7"/>
      </w:numPr>
      <w:spacing w:before="80" w:after="80"/>
      <w:ind w:left="0" w:firstLine="0"/>
    </w:pPr>
    <w:rPr>
      <w:rFonts w:cs="Times New Roman"/>
      <w:sz w:val="24"/>
      <w:szCs w:val="24"/>
      <w:lang w:val="lv-LV"/>
    </w:rPr>
  </w:style>
  <w:style w:type="paragraph" w:customStyle="1" w:styleId="VPBullet">
    <w:name w:val="VP Bullet"/>
    <w:basedOn w:val="Normal"/>
    <w:rsid w:val="009B4E3D"/>
    <w:pPr>
      <w:numPr>
        <w:numId w:val="8"/>
      </w:numPr>
      <w:spacing w:before="80" w:after="80"/>
      <w:ind w:left="0" w:firstLine="0"/>
    </w:pPr>
    <w:rPr>
      <w:rFonts w:cs="Times New Roman"/>
      <w:sz w:val="24"/>
      <w:szCs w:val="24"/>
      <w:lang w:val="lv-LV"/>
    </w:rPr>
  </w:style>
  <w:style w:type="paragraph" w:styleId="Header">
    <w:name w:val="header"/>
    <w:basedOn w:val="Normal"/>
    <w:link w:val="HeaderChar"/>
    <w:uiPriority w:val="99"/>
    <w:unhideWhenUsed/>
    <w:rsid w:val="00AF754F"/>
    <w:pPr>
      <w:tabs>
        <w:tab w:val="center" w:pos="4320"/>
        <w:tab w:val="right" w:pos="8640"/>
      </w:tabs>
      <w:spacing w:after="0"/>
    </w:pPr>
  </w:style>
  <w:style w:type="character" w:customStyle="1" w:styleId="HeaderChar">
    <w:name w:val="Header Char"/>
    <w:basedOn w:val="DefaultParagraphFont"/>
    <w:link w:val="Header"/>
    <w:uiPriority w:val="99"/>
    <w:rsid w:val="00AF754F"/>
  </w:style>
  <w:style w:type="paragraph" w:styleId="Footer">
    <w:name w:val="footer"/>
    <w:basedOn w:val="Normal"/>
    <w:link w:val="FooterChar"/>
    <w:uiPriority w:val="99"/>
    <w:unhideWhenUsed/>
    <w:rsid w:val="00AF754F"/>
    <w:pPr>
      <w:tabs>
        <w:tab w:val="center" w:pos="4320"/>
        <w:tab w:val="right" w:pos="8640"/>
      </w:tabs>
      <w:spacing w:after="0"/>
    </w:pPr>
  </w:style>
  <w:style w:type="character" w:customStyle="1" w:styleId="FooterChar">
    <w:name w:val="Footer Char"/>
    <w:basedOn w:val="DefaultParagraphFont"/>
    <w:link w:val="Footer"/>
    <w:uiPriority w:val="99"/>
    <w:rsid w:val="00AF754F"/>
  </w:style>
  <w:style w:type="paragraph" w:customStyle="1" w:styleId="Parastais">
    <w:name w:val="Parastais"/>
    <w:qFormat/>
    <w:rsid w:val="0012044A"/>
    <w:pPr>
      <w:spacing w:after="0" w:line="240" w:lineRule="auto"/>
    </w:pPr>
    <w:rPr>
      <w:rFonts w:ascii="Times New Roman" w:eastAsia="Times New Roman" w:hAnsi="Times New Roman" w:cs="Times New Roman"/>
      <w:sz w:val="28"/>
      <w:szCs w:val="28"/>
      <w:lang w:val="lv-LV" w:eastAsia="lv-LV"/>
    </w:rPr>
  </w:style>
  <w:style w:type="paragraph" w:styleId="Title">
    <w:name w:val="Title"/>
    <w:basedOn w:val="Normal"/>
    <w:link w:val="TitleChar"/>
    <w:qFormat/>
    <w:rsid w:val="00CB6572"/>
    <w:pPr>
      <w:spacing w:after="0"/>
      <w:jc w:val="center"/>
    </w:pPr>
    <w:rPr>
      <w:rFonts w:eastAsia="Times New Roman" w:cs="Times New Roman"/>
      <w:szCs w:val="20"/>
      <w:lang w:val="lv-LV"/>
    </w:rPr>
  </w:style>
  <w:style w:type="character" w:customStyle="1" w:styleId="TitleChar">
    <w:name w:val="Title Char"/>
    <w:basedOn w:val="DefaultParagraphFont"/>
    <w:link w:val="Title"/>
    <w:rsid w:val="00CB6572"/>
    <w:rPr>
      <w:rFonts w:ascii="Times New Roman" w:eastAsia="Times New Roman" w:hAnsi="Times New Roman" w:cs="Times New Roman"/>
      <w:sz w:val="28"/>
      <w:szCs w:val="20"/>
      <w:lang w:val="lv-LV"/>
    </w:rPr>
  </w:style>
  <w:style w:type="character" w:customStyle="1" w:styleId="normal1">
    <w:name w:val="normal1"/>
    <w:basedOn w:val="DefaultParagraphFont"/>
    <w:rsid w:val="0059082E"/>
    <w:rPr>
      <w:rFonts w:ascii="Verdana" w:hAnsi="Verdana" w:hint="default"/>
      <w:b w:val="0"/>
      <w:bCs w:val="0"/>
    </w:rPr>
  </w:style>
  <w:style w:type="paragraph" w:customStyle="1" w:styleId="Default">
    <w:name w:val="Default"/>
    <w:rsid w:val="00B55FBA"/>
    <w:pPr>
      <w:autoSpaceDE w:val="0"/>
      <w:autoSpaceDN w:val="0"/>
      <w:adjustRightInd w:val="0"/>
      <w:spacing w:after="0" w:line="240" w:lineRule="auto"/>
    </w:pPr>
    <w:rPr>
      <w:rFonts w:ascii="Arial" w:hAnsi="Arial" w:cs="Arial"/>
      <w:color w:val="000000"/>
      <w:sz w:val="24"/>
      <w:szCs w:val="24"/>
      <w:lang w:val="lv-LV"/>
    </w:rPr>
  </w:style>
  <w:style w:type="character" w:styleId="FollowedHyperlink">
    <w:name w:val="FollowedHyperlink"/>
    <w:basedOn w:val="DefaultParagraphFont"/>
    <w:uiPriority w:val="99"/>
    <w:semiHidden/>
    <w:unhideWhenUsed/>
    <w:rsid w:val="00821B3B"/>
    <w:rPr>
      <w:color w:val="954F72" w:themeColor="followedHyperlink"/>
      <w:u w:val="single"/>
    </w:rPr>
  </w:style>
  <w:style w:type="paragraph" w:styleId="Revision">
    <w:name w:val="Revision"/>
    <w:hidden/>
    <w:uiPriority w:val="99"/>
    <w:semiHidden/>
    <w:rsid w:val="00F54FC0"/>
    <w:pPr>
      <w:spacing w:after="0" w:line="240" w:lineRule="auto"/>
    </w:pPr>
  </w:style>
  <w:style w:type="character" w:customStyle="1" w:styleId="ListParagraphChar">
    <w:name w:val="List Paragraph Char"/>
    <w:aliases w:val="2 Char,H&amp;P List Paragraph Char"/>
    <w:link w:val="ListParagraph"/>
    <w:uiPriority w:val="34"/>
    <w:rsid w:val="006A3C76"/>
    <w:rPr>
      <w:rFonts w:ascii="Times New Roman" w:hAnsi="Times New Roman"/>
      <w:sz w:val="28"/>
      <w:lang w:val="lv-LV"/>
    </w:rPr>
  </w:style>
  <w:style w:type="character" w:customStyle="1" w:styleId="Heading2Char">
    <w:name w:val="Heading 2 Char"/>
    <w:basedOn w:val="DefaultParagraphFont"/>
    <w:link w:val="Heading2"/>
    <w:uiPriority w:val="9"/>
    <w:rsid w:val="00934EB6"/>
    <w:rPr>
      <w:rFonts w:ascii="Times New Roman" w:hAnsi="Times New Roman" w:eastAsiaTheme="majorEastAsia" w:cstheme="majorBidi"/>
      <w:b/>
      <w:sz w:val="28"/>
      <w:szCs w:val="26"/>
    </w:rPr>
  </w:style>
  <w:style w:type="paragraph" w:styleId="TOCHeading">
    <w:name w:val="TOC Heading"/>
    <w:basedOn w:val="Heading1"/>
    <w:next w:val="Normal"/>
    <w:uiPriority w:val="39"/>
    <w:unhideWhenUsed/>
    <w:qFormat/>
    <w:rsid w:val="007A315E"/>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7A315E"/>
    <w:pPr>
      <w:spacing w:after="100"/>
    </w:pPr>
  </w:style>
  <w:style w:type="paragraph" w:styleId="TOC2">
    <w:name w:val="toc 2"/>
    <w:basedOn w:val="Normal"/>
    <w:next w:val="Normal"/>
    <w:autoRedefine/>
    <w:uiPriority w:val="39"/>
    <w:unhideWhenUsed/>
    <w:rsid w:val="006631CB"/>
    <w:pPr>
      <w:tabs>
        <w:tab w:val="left" w:pos="1276"/>
        <w:tab w:val="right" w:leader="dot" w:pos="9395"/>
      </w:tabs>
      <w:spacing w:after="100"/>
      <w:ind w:left="709"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png" /><Relationship Id="rId9" Type="http://schemas.openxmlformats.org/officeDocument/2006/relationships/image" Target="media/image4.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6A98E-307C-4E35-ACDA-0D8E50B1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9602</Words>
  <Characters>54734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Informatīvais ziņojums „Par veicamajiem pasākumiem Digitālās ekonomikas un sabiedrības indikatora DESI Latvijas rādītāju uzlabošanai”</vt:lpstr>
    </vt:vector>
  </TitlesOfParts>
  <Company/>
  <LinksUpToDate>false</LinksUpToDate>
  <CharactersWithSpaces>64208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veicamajiem pasākumiem Digitālās ekonomikas un sabiedrības indikatora DESI Latvijas rādītāju uzlabošanai”</dc:title>
  <dc:subject>Informatīvais ziņojums</dc:subject>
  <dc:creator>Elita Zvaigzne</dc:creator>
  <cp:keywords>DESI</cp:keywords>
  <dc:description>Elita Zvaigzne
tālr. 67026507
elita.zvaigzne@varam.gov.lv</dc:description>
  <cp:lastModifiedBy>Marta Ošleja</cp:lastModifiedBy>
  <cp:revision>4</cp:revision>
  <cp:lastPrinted>2017-11-10T14:44:00Z</cp:lastPrinted>
  <dcterms:created xsi:type="dcterms:W3CDTF">2018-01-16T09:28:00Z</dcterms:created>
  <dcterms:modified xsi:type="dcterms:W3CDTF">2018-01-24T07:47:00Z</dcterms:modified>
</cp:coreProperties>
</file>