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6491C" w:rsidRPr="003357E9" w:rsidP="00F67EAA" w14:paraId="49646B85" w14:textId="4C1D675E">
      <w:pPr>
        <w:pStyle w:val="Title"/>
        <w:pBdr>
          <w:bottom w:val="none" w:sz="0" w:space="0" w:color="auto"/>
        </w:pBdr>
        <w:spacing w:after="0"/>
        <w:jc w:val="right"/>
        <w:rPr>
          <w:rFonts w:ascii="Times New Roman" w:eastAsia="Times New Roman" w:hAnsi="Times New Roman" w:cs="Times New Roman"/>
          <w:color w:val="auto"/>
          <w:spacing w:val="0"/>
          <w:kern w:val="0"/>
          <w:sz w:val="20"/>
          <w:szCs w:val="20"/>
        </w:rPr>
      </w:pPr>
      <w:bookmarkStart w:id="0" w:name="_Toc337815795"/>
      <w:bookmarkStart w:id="1" w:name="_Toc337816050"/>
      <w:bookmarkStart w:id="2" w:name="_Toc337816870"/>
      <w:bookmarkStart w:id="3" w:name="_Toc337817826"/>
      <w:bookmarkStart w:id="4" w:name="_Toc490660992"/>
      <w:bookmarkEnd w:id="0"/>
      <w:bookmarkEnd w:id="1"/>
      <w:bookmarkEnd w:id="2"/>
      <w:bookmarkEnd w:id="3"/>
      <w:r>
        <w:rPr>
          <w:rFonts w:ascii="Times New Roman" w:eastAsia="Times New Roman" w:hAnsi="Times New Roman" w:cs="Times New Roman"/>
          <w:color w:val="auto"/>
          <w:spacing w:val="0"/>
          <w:kern w:val="0"/>
          <w:sz w:val="20"/>
          <w:szCs w:val="20"/>
        </w:rPr>
        <w:t>1.p</w:t>
      </w:r>
      <w:r w:rsidRPr="003357E9" w:rsidR="00F67EAA">
        <w:rPr>
          <w:rFonts w:ascii="Times New Roman" w:eastAsia="Times New Roman" w:hAnsi="Times New Roman" w:cs="Times New Roman"/>
          <w:color w:val="auto"/>
          <w:spacing w:val="0"/>
          <w:kern w:val="0"/>
          <w:sz w:val="20"/>
          <w:szCs w:val="20"/>
        </w:rPr>
        <w:t>ielikums</w:t>
      </w:r>
    </w:p>
    <w:p w:rsidR="003357E9" w:rsidRPr="003357E9" w:rsidP="00F67EAA" w14:paraId="4C562453" w14:textId="77777777">
      <w:pPr>
        <w:jc w:val="right"/>
        <w:rPr>
          <w:sz w:val="20"/>
          <w:szCs w:val="20"/>
        </w:rPr>
      </w:pPr>
      <w:r w:rsidRPr="003357E9">
        <w:rPr>
          <w:sz w:val="20"/>
          <w:szCs w:val="20"/>
        </w:rPr>
        <w:t>i</w:t>
      </w:r>
      <w:r w:rsidRPr="003357E9" w:rsidR="00F67EAA">
        <w:rPr>
          <w:sz w:val="20"/>
          <w:szCs w:val="20"/>
        </w:rPr>
        <w:t xml:space="preserve">nformatīvajam ziņojumam </w:t>
      </w:r>
    </w:p>
    <w:p w:rsidR="00F67EAA" w:rsidRPr="003357E9" w:rsidP="006F0CD6" w14:paraId="6E959C85" w14:textId="40760883">
      <w:pPr>
        <w:jc w:val="right"/>
        <w:rPr>
          <w:sz w:val="20"/>
          <w:szCs w:val="20"/>
        </w:rPr>
      </w:pPr>
      <w:r>
        <w:rPr>
          <w:sz w:val="20"/>
          <w:szCs w:val="20"/>
        </w:rPr>
        <w:t>“</w:t>
      </w:r>
      <w:r>
        <w:rPr>
          <w:sz w:val="20"/>
          <w:szCs w:val="20"/>
        </w:rPr>
        <w:t>M</w:t>
      </w:r>
      <w:r w:rsidRPr="003357E9" w:rsidR="003357E9">
        <w:rPr>
          <w:sz w:val="20"/>
          <w:szCs w:val="20"/>
        </w:rPr>
        <w:t>ākoņdatošanas</w:t>
      </w:r>
      <w:r w:rsidRPr="003357E9" w:rsidR="003357E9">
        <w:rPr>
          <w:sz w:val="20"/>
          <w:szCs w:val="20"/>
        </w:rPr>
        <w:t xml:space="preserve"> pakalpojumu izmantošan</w:t>
      </w:r>
      <w:r>
        <w:rPr>
          <w:sz w:val="20"/>
          <w:szCs w:val="20"/>
        </w:rPr>
        <w:t>a</w:t>
      </w:r>
      <w:r w:rsidRPr="003357E9" w:rsidR="003357E9">
        <w:rPr>
          <w:sz w:val="20"/>
          <w:szCs w:val="20"/>
        </w:rPr>
        <w:t xml:space="preserve"> valsts pārvaldē”</w:t>
      </w:r>
    </w:p>
    <w:p w:rsidR="0036491C" w:rsidP="00F67EAA" w14:paraId="2C7DACA0" w14:textId="77777777">
      <w:pPr>
        <w:pStyle w:val="Title"/>
        <w:pBdr>
          <w:bottom w:val="none" w:sz="0" w:space="0" w:color="auto"/>
        </w:pBdr>
        <w:jc w:val="right"/>
        <w:rPr>
          <w:rFonts w:ascii="Times New Roman" w:hAnsi="Times New Roman" w:cs="Times New Roman"/>
          <w:b/>
          <w:color w:val="auto"/>
          <w:sz w:val="28"/>
          <w:szCs w:val="28"/>
        </w:rPr>
      </w:pPr>
    </w:p>
    <w:p w:rsidR="006018B6" w:rsidRPr="006018B6" w:rsidP="00B369CF" w14:paraId="736D8E0D" w14:textId="627A7179">
      <w:pPr>
        <w:pStyle w:val="Heading2"/>
        <w:pBdr>
          <w:top w:val="nil"/>
          <w:left w:val="nil"/>
          <w:bottom w:val="nil"/>
          <w:right w:val="nil"/>
          <w:between w:val="nil"/>
        </w:pBdr>
        <w:spacing w:before="0" w:after="160" w:line="276" w:lineRule="auto"/>
        <w:ind w:left="0"/>
        <w:contextualSpacing/>
        <w:jc w:val="center"/>
        <w:rPr>
          <w:sz w:val="24"/>
          <w:szCs w:val="24"/>
        </w:rPr>
      </w:pPr>
      <w:bookmarkStart w:id="5" w:name="_Toc497995240"/>
      <w:bookmarkStart w:id="6" w:name="_Ref498001397"/>
      <w:bookmarkStart w:id="7" w:name="_Ref498001404"/>
      <w:bookmarkStart w:id="8" w:name="_Ref498008609"/>
      <w:bookmarkStart w:id="9" w:name="_Ref498008617"/>
      <w:bookmarkStart w:id="10" w:name="_Toc498016995"/>
      <w:bookmarkStart w:id="11" w:name="_Toc498346640"/>
      <w:bookmarkStart w:id="12" w:name="_Toc496001901"/>
      <w:bookmarkStart w:id="13" w:name="_Toc497818705"/>
      <w:bookmarkStart w:id="14" w:name="_Toc496001898"/>
      <w:bookmarkStart w:id="15" w:name="_Toc497818698"/>
      <w:r w:rsidRPr="006018B6">
        <w:rPr>
          <w:sz w:val="24"/>
          <w:szCs w:val="24"/>
        </w:rPr>
        <w:t xml:space="preserve">Vadlīnijas lēmumu pieņemšanai par </w:t>
      </w:r>
      <w:r w:rsidR="00F958E8">
        <w:rPr>
          <w:sz w:val="24"/>
          <w:szCs w:val="24"/>
        </w:rPr>
        <w:t>mākoņdatošanas</w:t>
      </w:r>
      <w:r w:rsidR="00F958E8">
        <w:rPr>
          <w:sz w:val="24"/>
          <w:szCs w:val="24"/>
        </w:rPr>
        <w:t xml:space="preserve"> pakalpojumu</w:t>
      </w:r>
      <w:r w:rsidRPr="006018B6">
        <w:rPr>
          <w:sz w:val="24"/>
          <w:szCs w:val="24"/>
        </w:rPr>
        <w:t xml:space="preserve"> izmantošanu</w:t>
      </w:r>
      <w:bookmarkEnd w:id="5"/>
      <w:bookmarkEnd w:id="6"/>
      <w:bookmarkEnd w:id="7"/>
      <w:bookmarkEnd w:id="8"/>
      <w:bookmarkEnd w:id="9"/>
      <w:bookmarkEnd w:id="10"/>
      <w:bookmarkEnd w:id="11"/>
    </w:p>
    <w:p w:rsidR="0086048E" w:rsidP="004946D9" w14:paraId="44541182" w14:textId="77777777">
      <w:pPr>
        <w:jc w:val="both"/>
      </w:pPr>
      <w:bookmarkEnd w:id="12"/>
      <w:bookmarkEnd w:id="13"/>
    </w:p>
    <w:p w:rsidR="0086048E" w:rsidP="004946D9" w14:paraId="07094710" w14:textId="59F45D96">
      <w:pPr>
        <w:jc w:val="both"/>
      </w:pPr>
      <w:r>
        <w:t>Lai nodrošinātu valsts pārvaldes institūciju rīcībā esošo resursu un kompetenču efektīvu izmantojumu, fokusējoties institūcijām deleģēto funkciju izpildi, plānojot j</w:t>
      </w:r>
      <w:r>
        <w:t>aunu</w:t>
      </w:r>
      <w:r>
        <w:t xml:space="preserve"> IKT risinājumu attīstību v</w:t>
      </w:r>
      <w:r>
        <w:t xml:space="preserve">ai </w:t>
      </w:r>
      <w:r>
        <w:t xml:space="preserve">būtiskas izmaiņas </w:t>
      </w:r>
      <w:r>
        <w:t xml:space="preserve">esošajos IKT risinājumos, </w:t>
      </w:r>
      <w:r>
        <w:t xml:space="preserve">ir jāizvērtē iespējas izmantot pēc iespējas augstākas pievienotās vērtības IKT pakalpojumus un tajā skaitā </w:t>
      </w:r>
      <w:r>
        <w:t>mākoņdatošanas</w:t>
      </w:r>
      <w:r>
        <w:t xml:space="preserve"> pakalpojumus (turpmāk – MDP). </w:t>
      </w:r>
      <w:r>
        <w:t>IKT pakalpojumu saņēmējam ir jāvadās pēc principa “MDP</w:t>
      </w:r>
      <w:r w:rsidR="00D478AB">
        <w:t xml:space="preserve"> </w:t>
      </w:r>
      <w:r>
        <w:t>kā pirmā izvēle”, primāri</w:t>
      </w:r>
      <w:r w:rsidR="00B84BDA">
        <w:t xml:space="preserve"> izskatot iespējas izmantot MDP</w:t>
      </w:r>
      <w:r>
        <w:t xml:space="preserve"> kā IKT resursu nodrošinājumu.</w:t>
      </w:r>
    </w:p>
    <w:p w:rsidR="00D262CB" w:rsidP="004946D9" w14:paraId="6D30F28F" w14:textId="77777777">
      <w:pPr>
        <w:jc w:val="both"/>
      </w:pPr>
    </w:p>
    <w:p w:rsidR="009112DB" w:rsidP="004946D9" w14:paraId="1EDB2591" w14:textId="77777777">
      <w:pPr>
        <w:jc w:val="both"/>
      </w:pPr>
      <w:r>
        <w:t>Vadlīnijas nav piemērojamas lēmumu pieņemšanai par tādu datu apstrādi, kas klasificēti kā valsts noslēpums un “dienesta vajadzībām”. Vadlīnijas savu datu apstrādes risinājumu attīstības lēmumu pieņemšanai var nepiemērot arī iestādes, kuru funkciju izpilde pamatā ir saistīta ar valsts noslēpumu saturošas vai “dienesta vajadzībām” klasi</w:t>
      </w:r>
      <w:r>
        <w:t xml:space="preserve">ficētas informācijas apstrādi. </w:t>
      </w:r>
    </w:p>
    <w:p w:rsidR="00D262CB" w:rsidP="004946D9" w14:paraId="09D653A9" w14:textId="583CF2DB">
      <w:pPr>
        <w:jc w:val="both"/>
      </w:pPr>
      <w:r>
        <w:t xml:space="preserve"> </w:t>
      </w:r>
    </w:p>
    <w:p w:rsidR="0086048E" w:rsidP="004946D9" w14:paraId="09F7DA67" w14:textId="4973C714">
      <w:pPr>
        <w:pStyle w:val="Heading3"/>
        <w:numPr>
          <w:ilvl w:val="2"/>
          <w:numId w:val="0"/>
        </w:numPr>
        <w:pBdr>
          <w:top w:val="nil"/>
          <w:left w:val="nil"/>
          <w:bottom w:val="nil"/>
          <w:right w:val="nil"/>
          <w:between w:val="nil"/>
        </w:pBdr>
        <w:spacing w:before="200" w:line="276" w:lineRule="auto"/>
        <w:ind w:left="720" w:hanging="720"/>
        <w:jc w:val="both"/>
      </w:pPr>
      <w:r>
        <w:t xml:space="preserve">1. </w:t>
      </w:r>
      <w:bookmarkStart w:id="16" w:name="_Toc498419995"/>
      <w:r>
        <w:t>Mākoņdatošana</w:t>
      </w:r>
      <w:r>
        <w:t xml:space="preserve"> kā pirmā izvēle</w:t>
      </w:r>
      <w:bookmarkEnd w:id="16"/>
    </w:p>
    <w:p w:rsidR="0086048E" w:rsidP="00A57470" w14:paraId="04824DA1" w14:textId="45A17D03">
      <w:pPr>
        <w:pStyle w:val="ListParagraph"/>
        <w:numPr>
          <w:ilvl w:val="1"/>
          <w:numId w:val="49"/>
        </w:numPr>
        <w:pBdr>
          <w:top w:val="nil"/>
          <w:left w:val="nil"/>
          <w:bottom w:val="nil"/>
          <w:right w:val="nil"/>
          <w:between w:val="nil"/>
        </w:pBdr>
        <w:spacing w:line="276" w:lineRule="auto"/>
        <w:jc w:val="both"/>
      </w:pPr>
      <w:r>
        <w:t>Solis: Informācijas resursu klasifikācija</w:t>
      </w:r>
      <w:r w:rsidRPr="00A57470">
        <w:t xml:space="preserve"> </w:t>
      </w:r>
      <w:r>
        <w:t>(Attēlā N</w:t>
      </w:r>
      <w:r w:rsidRPr="003161D2">
        <w:t>r.</w:t>
      </w:r>
      <w:r w:rsidR="004946D9">
        <w:t>1</w:t>
      </w:r>
      <w:r w:rsidRPr="003161D2">
        <w:t xml:space="preserve"> ir </w:t>
      </w:r>
      <w:r w:rsidR="004946D9">
        <w:t>atspoguļots</w:t>
      </w:r>
      <w:r w:rsidRPr="003161D2">
        <w:t xml:space="preserve"> informācijas klasifikācijas sagataves piemērs)</w:t>
      </w:r>
      <w:r w:rsidR="00A57470">
        <w:t>.</w:t>
      </w:r>
    </w:p>
    <w:p w:rsidR="0086048E" w:rsidP="00E53CD6" w14:paraId="15E8D369" w14:textId="655487A7">
      <w:pPr>
        <w:pStyle w:val="ListParagraph"/>
        <w:contextualSpacing w:val="0"/>
        <w:jc w:val="both"/>
      </w:pPr>
      <w:r>
        <w:t xml:space="preserve">IKT pakalpojumu saņēmējs nosaka attiecīgo informācijas resursu klasifikāciju no konfidencialitātes un integritātes </w:t>
      </w:r>
      <w:r w:rsidR="004946D9">
        <w:t>skatpunkta</w:t>
      </w:r>
      <w:r>
        <w:t>.</w:t>
      </w:r>
    </w:p>
    <w:p w:rsidR="0086048E" w:rsidP="00A57470" w14:paraId="20032648" w14:textId="06F5CE43">
      <w:pPr>
        <w:pStyle w:val="ListParagraph"/>
        <w:numPr>
          <w:ilvl w:val="2"/>
          <w:numId w:val="49"/>
        </w:numPr>
        <w:pBdr>
          <w:top w:val="nil"/>
          <w:left w:val="nil"/>
          <w:bottom w:val="nil"/>
          <w:right w:val="nil"/>
          <w:between w:val="nil"/>
        </w:pBdr>
        <w:spacing w:line="276" w:lineRule="auto"/>
        <w:jc w:val="both"/>
      </w:pPr>
      <w:r>
        <w:t xml:space="preserve">Atbilstoši informācijas resursu kopām no konfidencialitātes un integritātes </w:t>
      </w:r>
      <w:r w:rsidR="004946D9">
        <w:t>skatpunkta</w:t>
      </w:r>
      <w:r>
        <w:t>.</w:t>
      </w:r>
    </w:p>
    <w:p w:rsidR="001D7C3B" w:rsidP="001D7C3B" w14:paraId="598BFB3F" w14:textId="77777777">
      <w:pPr>
        <w:pStyle w:val="ListParagraph"/>
        <w:numPr>
          <w:ilvl w:val="2"/>
          <w:numId w:val="49"/>
        </w:numPr>
        <w:pBdr>
          <w:top w:val="nil"/>
          <w:left w:val="nil"/>
          <w:bottom w:val="nil"/>
          <w:right w:val="nil"/>
          <w:between w:val="nil"/>
        </w:pBdr>
        <w:spacing w:line="276" w:lineRule="auto"/>
        <w:jc w:val="both"/>
      </w:pPr>
      <w:r>
        <w:t>Atbilstoši informācijas resursu pieejamības un atjaunošanas prasībām.</w:t>
      </w:r>
      <w:r w:rsidRPr="001D7C3B">
        <w:t xml:space="preserve"> </w:t>
      </w:r>
    </w:p>
    <w:p w:rsidR="0086048E" w:rsidP="00721DF7" w14:paraId="431225DD" w14:textId="005AE8F9">
      <w:pPr>
        <w:pStyle w:val="ListParagraph"/>
        <w:numPr>
          <w:ilvl w:val="2"/>
          <w:numId w:val="49"/>
        </w:numPr>
        <w:pBdr>
          <w:top w:val="nil"/>
          <w:left w:val="nil"/>
          <w:bottom w:val="nil"/>
          <w:right w:val="nil"/>
          <w:between w:val="nil"/>
        </w:pBdr>
        <w:spacing w:line="276" w:lineRule="auto"/>
        <w:jc w:val="both"/>
      </w:pPr>
      <w:r w:rsidRPr="001D7C3B">
        <w:t>Atbilstoši spēkā esošajiem normatīvajiem aktiem (piemēram, 2015. gada 28. jūlija Ministru kabineta noteikumiem Nr. 442 “Kārtība, kādā tiek nodrošināta informācijas un komunikācijas tehnoloģiju sistēmu atbilstība minimālajām drošības prasībām”)</w:t>
      </w:r>
      <w:r w:rsidRPr="00D704EF">
        <w:rPr>
          <w:i/>
        </w:rPr>
        <w:t xml:space="preserve">  </w:t>
      </w:r>
    </w:p>
    <w:p w:rsidR="0086048E" w:rsidP="0086048E" w14:paraId="2A435F16" w14:textId="102CE785">
      <w:pPr>
        <w:pStyle w:val="ListParagraph"/>
        <w:keepNext/>
        <w:ind w:left="360" w:hanging="360"/>
        <w:contextualSpacing w:val="0"/>
        <w:jc w:val="center"/>
      </w:pPr>
      <w:r>
        <w:rPr>
          <w:noProof/>
        </w:rPr>
        <w:drawing>
          <wp:inline distT="0" distB="0" distL="0" distR="0">
            <wp:extent cx="5760085" cy="2146051"/>
            <wp:effectExtent l="0" t="0" r="0" b="6985"/>
            <wp:docPr id="2" name="Attēls 2" descr="cid:image002.png@01D3809B.0474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107667" name="Picture 1" descr="cid:image002.png@01D3809B.0474401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60085" cy="2146051"/>
                    </a:xfrm>
                    <a:prstGeom prst="rect">
                      <a:avLst/>
                    </a:prstGeom>
                    <a:noFill/>
                    <a:ln>
                      <a:noFill/>
                    </a:ln>
                  </pic:spPr>
                </pic:pic>
              </a:graphicData>
            </a:graphic>
          </wp:inline>
        </w:drawing>
      </w:r>
    </w:p>
    <w:p w:rsidR="0086048E" w:rsidP="0086048E" w14:paraId="75A393A0" w14:textId="160F5CF4">
      <w:pPr>
        <w:pStyle w:val="Caption"/>
        <w:spacing w:line="276" w:lineRule="auto"/>
        <w:jc w:val="center"/>
      </w:pPr>
      <w:r>
        <w:t>Attēls Nr.</w:t>
      </w:r>
      <w:r>
        <w:fldChar w:fldCharType="begin"/>
      </w:r>
      <w:r>
        <w:instrText xml:space="preserve"> SEQ Attēls_Nr. \* ARABIC \s 1 </w:instrText>
      </w:r>
      <w:r>
        <w:fldChar w:fldCharType="separate"/>
      </w:r>
      <w:r>
        <w:t>1</w:t>
      </w:r>
      <w:r>
        <w:rPr>
          <w:noProof/>
        </w:rPr>
        <w:fldChar w:fldCharType="end"/>
      </w:r>
      <w:r>
        <w:t xml:space="preserve"> </w:t>
      </w:r>
      <w:r w:rsidRPr="00FD5809">
        <w:t>Datu kopu sadalījums atkarībā no normatīvajos dokumentos definētajām prasībām par to konfidencialitāti un integritāti</w:t>
      </w:r>
    </w:p>
    <w:tbl>
      <w:tblPr>
        <w:tblStyle w:val="TableGrid"/>
        <w:tblW w:w="5293" w:type="pct"/>
        <w:jc w:val="center"/>
        <w:tblLook w:val="04A0"/>
      </w:tblPr>
      <w:tblGrid>
        <w:gridCol w:w="487"/>
        <w:gridCol w:w="1405"/>
        <w:gridCol w:w="1572"/>
        <w:gridCol w:w="906"/>
        <w:gridCol w:w="1028"/>
        <w:gridCol w:w="1117"/>
        <w:gridCol w:w="492"/>
        <w:gridCol w:w="491"/>
        <w:gridCol w:w="1216"/>
        <w:gridCol w:w="1117"/>
      </w:tblGrid>
      <w:tr w14:paraId="2827862B" w14:textId="77777777" w:rsidTr="00D704EF">
        <w:tblPrEx>
          <w:tblW w:w="5293" w:type="pct"/>
          <w:jc w:val="center"/>
          <w:tblLook w:val="04A0"/>
        </w:tblPrEx>
        <w:trPr>
          <w:trHeight w:val="654"/>
          <w:jc w:val="center"/>
        </w:trPr>
        <w:tc>
          <w:tcPr>
            <w:tcW w:w="962" w:type="pct"/>
            <w:gridSpan w:val="2"/>
          </w:tcPr>
          <w:p w:rsidR="0086048E" w:rsidRPr="005C38FB" w:rsidP="002B4C0D" w14:paraId="7C7B263F" w14:textId="64760D01">
            <w:pPr>
              <w:spacing w:line="276" w:lineRule="auto"/>
              <w:rPr>
                <w:b/>
                <w:sz w:val="20"/>
                <w:szCs w:val="20"/>
              </w:rPr>
            </w:pPr>
            <w:r>
              <w:br w:type="page"/>
            </w:r>
            <w:r w:rsidRPr="005C38FB">
              <w:rPr>
                <w:b/>
                <w:sz w:val="20"/>
                <w:szCs w:val="20"/>
              </w:rPr>
              <w:t>Informācijas klasifikācija</w:t>
            </w:r>
          </w:p>
        </w:tc>
        <w:tc>
          <w:tcPr>
            <w:tcW w:w="800" w:type="pct"/>
            <w:tcBorders>
              <w:bottom w:val="single" w:sz="4" w:space="0" w:color="auto"/>
            </w:tcBorders>
          </w:tcPr>
          <w:p w:rsidR="0086048E" w:rsidRPr="005C38FB" w:rsidP="002B4C0D" w14:paraId="1B772C0F" w14:textId="77777777">
            <w:pPr>
              <w:spacing w:line="276" w:lineRule="auto"/>
              <w:rPr>
                <w:b/>
                <w:sz w:val="20"/>
                <w:szCs w:val="20"/>
              </w:rPr>
            </w:pPr>
            <w:r w:rsidRPr="005C38FB">
              <w:rPr>
                <w:b/>
                <w:sz w:val="20"/>
                <w:szCs w:val="20"/>
              </w:rPr>
              <w:t>Vispārpieejama informācija (atvērtie dati)</w:t>
            </w:r>
          </w:p>
        </w:tc>
        <w:tc>
          <w:tcPr>
            <w:tcW w:w="461" w:type="pct"/>
            <w:tcBorders>
              <w:bottom w:val="single" w:sz="4" w:space="0" w:color="auto"/>
            </w:tcBorders>
          </w:tcPr>
          <w:p w:rsidR="0086048E" w:rsidRPr="005C38FB" w:rsidP="002B4C0D" w14:paraId="45E207F3" w14:textId="77777777">
            <w:pPr>
              <w:spacing w:line="276" w:lineRule="auto"/>
              <w:rPr>
                <w:b/>
                <w:sz w:val="20"/>
                <w:szCs w:val="20"/>
              </w:rPr>
            </w:pPr>
            <w:r w:rsidRPr="005C38FB">
              <w:rPr>
                <w:b/>
                <w:sz w:val="20"/>
                <w:szCs w:val="20"/>
              </w:rPr>
              <w:t>Fizisko personu dati</w:t>
            </w:r>
          </w:p>
        </w:tc>
        <w:tc>
          <w:tcPr>
            <w:tcW w:w="523" w:type="pct"/>
            <w:tcBorders>
              <w:bottom w:val="single" w:sz="4" w:space="0" w:color="auto"/>
            </w:tcBorders>
          </w:tcPr>
          <w:p w:rsidR="0086048E" w:rsidRPr="005C38FB" w:rsidP="002B4C0D" w14:paraId="0B57E094" w14:textId="77777777">
            <w:pPr>
              <w:spacing w:line="276" w:lineRule="auto"/>
              <w:rPr>
                <w:b/>
                <w:sz w:val="20"/>
                <w:szCs w:val="20"/>
              </w:rPr>
            </w:pPr>
            <w:r w:rsidRPr="005C38FB">
              <w:rPr>
                <w:b/>
                <w:sz w:val="20"/>
                <w:szCs w:val="20"/>
              </w:rPr>
              <w:t>Iekšējai lietošanai</w:t>
            </w:r>
          </w:p>
        </w:tc>
        <w:tc>
          <w:tcPr>
            <w:tcW w:w="568" w:type="pct"/>
            <w:tcBorders>
              <w:bottom w:val="single" w:sz="4" w:space="0" w:color="auto"/>
            </w:tcBorders>
          </w:tcPr>
          <w:p w:rsidR="0086048E" w:rsidRPr="005C38FB" w:rsidP="002B4C0D" w14:paraId="454F4570" w14:textId="77777777">
            <w:pPr>
              <w:spacing w:line="276" w:lineRule="auto"/>
              <w:rPr>
                <w:b/>
                <w:sz w:val="20"/>
                <w:szCs w:val="20"/>
              </w:rPr>
            </w:pPr>
            <w:r w:rsidRPr="005C38FB">
              <w:rPr>
                <w:b/>
                <w:sz w:val="20"/>
                <w:szCs w:val="20"/>
              </w:rPr>
              <w:t>Komerc</w:t>
            </w:r>
          </w:p>
          <w:p w:rsidR="0086048E" w:rsidRPr="005C38FB" w:rsidP="002B4C0D" w14:paraId="0D27B1F5" w14:textId="77777777">
            <w:pPr>
              <w:spacing w:line="276" w:lineRule="auto"/>
              <w:rPr>
                <w:b/>
                <w:sz w:val="20"/>
                <w:szCs w:val="20"/>
              </w:rPr>
            </w:pPr>
            <w:r w:rsidRPr="005C38FB">
              <w:rPr>
                <w:b/>
                <w:sz w:val="20"/>
                <w:szCs w:val="20"/>
              </w:rPr>
              <w:t>noslēpums</w:t>
            </w:r>
          </w:p>
        </w:tc>
        <w:tc>
          <w:tcPr>
            <w:tcW w:w="500" w:type="pct"/>
            <w:gridSpan w:val="2"/>
            <w:tcBorders>
              <w:bottom w:val="single" w:sz="4" w:space="0" w:color="auto"/>
            </w:tcBorders>
          </w:tcPr>
          <w:p w:rsidR="0086048E" w:rsidRPr="005C38FB" w:rsidP="002B4C0D" w14:paraId="46E2B66E" w14:textId="77777777">
            <w:pPr>
              <w:spacing w:line="276" w:lineRule="auto"/>
              <w:rPr>
                <w:b/>
                <w:sz w:val="20"/>
                <w:szCs w:val="20"/>
              </w:rPr>
            </w:pPr>
            <w:r w:rsidRPr="005C38FB">
              <w:rPr>
                <w:b/>
                <w:sz w:val="20"/>
                <w:szCs w:val="20"/>
              </w:rPr>
              <w:t>Speciālie gadījumi</w:t>
            </w:r>
          </w:p>
        </w:tc>
        <w:tc>
          <w:tcPr>
            <w:tcW w:w="618" w:type="pct"/>
            <w:tcBorders>
              <w:bottom w:val="single" w:sz="4" w:space="0" w:color="auto"/>
            </w:tcBorders>
          </w:tcPr>
          <w:p w:rsidR="0086048E" w:rsidRPr="005C38FB" w:rsidP="002B4C0D" w14:paraId="027D7D2C" w14:textId="77777777">
            <w:pPr>
              <w:spacing w:line="276" w:lineRule="auto"/>
              <w:rPr>
                <w:b/>
                <w:sz w:val="20"/>
                <w:szCs w:val="20"/>
              </w:rPr>
            </w:pPr>
            <w:r w:rsidRPr="005C38FB">
              <w:rPr>
                <w:b/>
                <w:sz w:val="20"/>
                <w:szCs w:val="20"/>
              </w:rPr>
              <w:t>Dienesta vajadzībām</w:t>
            </w:r>
          </w:p>
        </w:tc>
        <w:tc>
          <w:tcPr>
            <w:tcW w:w="568" w:type="pct"/>
            <w:tcBorders>
              <w:bottom w:val="single" w:sz="4" w:space="0" w:color="auto"/>
            </w:tcBorders>
          </w:tcPr>
          <w:p w:rsidR="0086048E" w:rsidRPr="005C38FB" w:rsidP="002B4C0D" w14:paraId="2337A0FB" w14:textId="77777777">
            <w:pPr>
              <w:spacing w:line="276" w:lineRule="auto"/>
              <w:rPr>
                <w:b/>
                <w:sz w:val="20"/>
                <w:szCs w:val="20"/>
              </w:rPr>
            </w:pPr>
            <w:r w:rsidRPr="005C38FB">
              <w:rPr>
                <w:b/>
                <w:sz w:val="20"/>
                <w:szCs w:val="20"/>
              </w:rPr>
              <w:t>Valsts noslēpums</w:t>
            </w:r>
          </w:p>
        </w:tc>
      </w:tr>
      <w:tr w14:paraId="5FCAE99E" w14:textId="77777777" w:rsidTr="00D704EF">
        <w:tblPrEx>
          <w:tblW w:w="5293" w:type="pct"/>
          <w:jc w:val="center"/>
          <w:tblLook w:val="04A0"/>
        </w:tblPrEx>
        <w:trPr>
          <w:trHeight w:val="439"/>
          <w:jc w:val="center"/>
        </w:trPr>
        <w:tc>
          <w:tcPr>
            <w:tcW w:w="248" w:type="pct"/>
            <w:vMerge w:val="restart"/>
            <w:textDirection w:val="btLr"/>
          </w:tcPr>
          <w:p w:rsidR="0086048E" w:rsidRPr="005C38FB" w:rsidP="002B4C0D" w14:paraId="0F52E6F5" w14:textId="77777777">
            <w:pPr>
              <w:spacing w:line="276" w:lineRule="auto"/>
              <w:ind w:left="113" w:right="113"/>
              <w:jc w:val="center"/>
              <w:rPr>
                <w:b/>
                <w:sz w:val="20"/>
                <w:szCs w:val="20"/>
              </w:rPr>
            </w:pPr>
            <w:r w:rsidRPr="005C38FB">
              <w:rPr>
                <w:b/>
                <w:sz w:val="20"/>
                <w:szCs w:val="20"/>
              </w:rPr>
              <w:t>Pieejamība</w:t>
            </w:r>
          </w:p>
        </w:tc>
        <w:tc>
          <w:tcPr>
            <w:tcW w:w="715" w:type="pct"/>
            <w:tcBorders>
              <w:right w:val="single" w:sz="4" w:space="0" w:color="auto"/>
            </w:tcBorders>
          </w:tcPr>
          <w:p w:rsidR="0086048E" w:rsidRPr="005C38FB" w:rsidP="002B4C0D" w14:paraId="7A72F57B" w14:textId="77777777">
            <w:pPr>
              <w:spacing w:line="276" w:lineRule="auto"/>
              <w:rPr>
                <w:b/>
                <w:sz w:val="20"/>
                <w:szCs w:val="20"/>
              </w:rPr>
            </w:pPr>
            <w:r w:rsidRPr="005C38FB">
              <w:rPr>
                <w:b/>
                <w:sz w:val="20"/>
                <w:szCs w:val="20"/>
              </w:rPr>
              <w:t>Pastāvīgi (24x7x365)</w:t>
            </w:r>
          </w:p>
        </w:tc>
        <w:tc>
          <w:tcPr>
            <w:tcW w:w="2351" w:type="pct"/>
            <w:gridSpan w:val="4"/>
            <w:vMerge w:val="restart"/>
            <w:tcBorders>
              <w:top w:val="single" w:sz="4" w:space="0" w:color="auto"/>
              <w:left w:val="single" w:sz="4" w:space="0" w:color="auto"/>
              <w:right w:val="nil"/>
            </w:tcBorders>
            <w:shd w:val="clear" w:color="auto" w:fill="95B3D7" w:themeFill="accent1" w:themeFillTint="99"/>
          </w:tcPr>
          <w:p w:rsidR="0086048E" w:rsidRPr="00981E69" w:rsidP="002B4C0D" w14:paraId="27405D88" w14:textId="77777777">
            <w:pPr>
              <w:spacing w:line="276" w:lineRule="auto"/>
              <w:jc w:val="center"/>
              <w:rPr>
                <w:sz w:val="20"/>
                <w:szCs w:val="20"/>
              </w:rPr>
            </w:pPr>
          </w:p>
          <w:p w:rsidR="0086048E" w:rsidRPr="00981E69" w:rsidP="002B4C0D" w14:paraId="6B50E8F8" w14:textId="77777777">
            <w:pPr>
              <w:spacing w:line="276" w:lineRule="auto"/>
              <w:jc w:val="center"/>
              <w:rPr>
                <w:sz w:val="20"/>
                <w:szCs w:val="20"/>
              </w:rPr>
            </w:pPr>
          </w:p>
          <w:p w:rsidR="0086048E" w:rsidRPr="00981E69" w:rsidP="002B4C0D" w14:paraId="1A0665A3" w14:textId="77777777">
            <w:pPr>
              <w:spacing w:line="276" w:lineRule="auto"/>
              <w:jc w:val="center"/>
              <w:rPr>
                <w:sz w:val="20"/>
                <w:szCs w:val="20"/>
              </w:rPr>
            </w:pPr>
          </w:p>
          <w:p w:rsidR="0086048E" w:rsidRPr="005C38FB" w:rsidP="002B4C0D" w14:paraId="0275D54B" w14:textId="77777777">
            <w:pPr>
              <w:spacing w:line="276" w:lineRule="auto"/>
              <w:jc w:val="center"/>
              <w:rPr>
                <w:sz w:val="40"/>
                <w:szCs w:val="20"/>
              </w:rPr>
            </w:pPr>
            <w:r w:rsidRPr="005C38FB">
              <w:rPr>
                <w:sz w:val="40"/>
                <w:szCs w:val="20"/>
              </w:rPr>
              <w:t>MDP ietvars</w:t>
            </w:r>
          </w:p>
          <w:p w:rsidR="0086048E" w:rsidRPr="00981E69" w:rsidP="002B4C0D" w14:paraId="7D843EC3" w14:textId="77777777">
            <w:pPr>
              <w:spacing w:line="276" w:lineRule="auto"/>
              <w:rPr>
                <w:sz w:val="20"/>
                <w:szCs w:val="20"/>
              </w:rPr>
            </w:pPr>
          </w:p>
          <w:p w:rsidR="0086048E" w:rsidRPr="00981E69" w:rsidP="002B4C0D" w14:paraId="5568B89A" w14:textId="77777777">
            <w:pPr>
              <w:spacing w:line="276" w:lineRule="auto"/>
              <w:rPr>
                <w:sz w:val="20"/>
                <w:szCs w:val="20"/>
              </w:rPr>
            </w:pPr>
          </w:p>
          <w:p w:rsidR="0086048E" w:rsidRPr="00981E69" w:rsidP="002B4C0D" w14:paraId="2D7EBCCB" w14:textId="77777777">
            <w:pPr>
              <w:spacing w:line="276" w:lineRule="auto"/>
              <w:rPr>
                <w:sz w:val="20"/>
                <w:szCs w:val="20"/>
              </w:rPr>
            </w:pPr>
          </w:p>
          <w:p w:rsidR="0086048E" w:rsidRPr="00981E69" w:rsidP="002B4C0D" w14:paraId="721D9135" w14:textId="77777777">
            <w:pPr>
              <w:spacing w:line="276" w:lineRule="auto"/>
              <w:rPr>
                <w:sz w:val="20"/>
                <w:szCs w:val="20"/>
              </w:rPr>
            </w:pPr>
          </w:p>
          <w:p w:rsidR="0086048E" w:rsidRPr="008D3EE3" w:rsidP="002B4C0D" w14:paraId="735899CF" w14:textId="77777777">
            <w:pPr>
              <w:spacing w:line="276" w:lineRule="auto"/>
              <w:rPr>
                <w:sz w:val="20"/>
                <w:szCs w:val="20"/>
              </w:rPr>
            </w:pPr>
          </w:p>
          <w:p w:rsidR="0086048E" w:rsidRPr="008D3EE3" w:rsidP="002B4C0D" w14:paraId="29118845" w14:textId="77777777">
            <w:pPr>
              <w:spacing w:line="276" w:lineRule="auto"/>
              <w:rPr>
                <w:sz w:val="20"/>
                <w:szCs w:val="20"/>
              </w:rPr>
            </w:pPr>
          </w:p>
          <w:p w:rsidR="0086048E" w:rsidRPr="008D3EE3" w:rsidP="002B4C0D" w14:paraId="20A59277" w14:textId="77777777">
            <w:pPr>
              <w:spacing w:line="276" w:lineRule="auto"/>
              <w:rPr>
                <w:sz w:val="20"/>
                <w:szCs w:val="20"/>
              </w:rPr>
            </w:pPr>
          </w:p>
          <w:p w:rsidR="0086048E" w:rsidRPr="008D3EE3" w:rsidP="002B4C0D" w14:paraId="0AF09914" w14:textId="77777777">
            <w:pPr>
              <w:spacing w:line="276" w:lineRule="auto"/>
              <w:rPr>
                <w:sz w:val="20"/>
                <w:szCs w:val="20"/>
              </w:rPr>
            </w:pPr>
          </w:p>
        </w:tc>
        <w:tc>
          <w:tcPr>
            <w:tcW w:w="250" w:type="pct"/>
            <w:tcBorders>
              <w:top w:val="single" w:sz="4" w:space="0" w:color="auto"/>
              <w:left w:val="nil"/>
              <w:bottom w:val="nil"/>
              <w:right w:val="single" w:sz="4" w:space="0" w:color="auto"/>
            </w:tcBorders>
            <w:shd w:val="clear" w:color="auto" w:fill="95B3D7" w:themeFill="accent1" w:themeFillTint="99"/>
          </w:tcPr>
          <w:p w:rsidR="0086048E" w:rsidRPr="008D3EE3" w:rsidP="002B4C0D" w14:paraId="4B2D506F" w14:textId="77777777">
            <w:pPr>
              <w:spacing w:line="276" w:lineRule="auto"/>
              <w:rPr>
                <w:sz w:val="20"/>
                <w:szCs w:val="20"/>
              </w:rPr>
            </w:pPr>
          </w:p>
        </w:tc>
        <w:tc>
          <w:tcPr>
            <w:tcW w:w="250" w:type="pct"/>
            <w:tcBorders>
              <w:top w:val="single" w:sz="4" w:space="0" w:color="auto"/>
              <w:left w:val="single" w:sz="4" w:space="0" w:color="auto"/>
              <w:bottom w:val="nil"/>
              <w:right w:val="nil"/>
            </w:tcBorders>
            <w:shd w:val="clear" w:color="auto" w:fill="D99694" w:themeFill="accent2" w:themeFillTint="99"/>
          </w:tcPr>
          <w:p w:rsidR="0086048E" w:rsidRPr="008D3EE3" w:rsidP="002B4C0D" w14:paraId="247386B2" w14:textId="77777777">
            <w:pPr>
              <w:spacing w:line="276" w:lineRule="auto"/>
              <w:rPr>
                <w:sz w:val="20"/>
                <w:szCs w:val="20"/>
              </w:rPr>
            </w:pPr>
          </w:p>
        </w:tc>
        <w:tc>
          <w:tcPr>
            <w:tcW w:w="618" w:type="pct"/>
            <w:tcBorders>
              <w:top w:val="single" w:sz="4" w:space="0" w:color="auto"/>
              <w:left w:val="nil"/>
              <w:bottom w:val="nil"/>
              <w:right w:val="nil"/>
            </w:tcBorders>
            <w:shd w:val="clear" w:color="auto" w:fill="D99694" w:themeFill="accent2" w:themeFillTint="99"/>
          </w:tcPr>
          <w:p w:rsidR="0086048E" w:rsidRPr="008D3EE3" w:rsidP="002B4C0D" w14:paraId="7F03225E" w14:textId="77777777">
            <w:pPr>
              <w:spacing w:line="276" w:lineRule="auto"/>
              <w:rPr>
                <w:sz w:val="20"/>
                <w:szCs w:val="20"/>
              </w:rPr>
            </w:pPr>
          </w:p>
        </w:tc>
        <w:tc>
          <w:tcPr>
            <w:tcW w:w="568" w:type="pct"/>
            <w:tcBorders>
              <w:top w:val="single" w:sz="4" w:space="0" w:color="auto"/>
              <w:left w:val="nil"/>
              <w:bottom w:val="nil"/>
              <w:right w:val="single" w:sz="4" w:space="0" w:color="auto"/>
            </w:tcBorders>
            <w:shd w:val="clear" w:color="auto" w:fill="D99694" w:themeFill="accent2" w:themeFillTint="99"/>
          </w:tcPr>
          <w:p w:rsidR="0086048E" w:rsidRPr="008D3EE3" w:rsidP="002B4C0D" w14:paraId="364A69D5" w14:textId="77777777">
            <w:pPr>
              <w:spacing w:line="276" w:lineRule="auto"/>
              <w:rPr>
                <w:sz w:val="20"/>
                <w:szCs w:val="20"/>
              </w:rPr>
            </w:pPr>
          </w:p>
        </w:tc>
      </w:tr>
      <w:tr w14:paraId="54D82342" w14:textId="77777777" w:rsidTr="00D704EF">
        <w:tblPrEx>
          <w:tblW w:w="5293" w:type="pct"/>
          <w:jc w:val="center"/>
          <w:tblLook w:val="04A0"/>
        </w:tblPrEx>
        <w:trPr>
          <w:trHeight w:val="238"/>
          <w:jc w:val="center"/>
        </w:trPr>
        <w:tc>
          <w:tcPr>
            <w:tcW w:w="248" w:type="pct"/>
            <w:vMerge/>
          </w:tcPr>
          <w:p w:rsidR="0086048E" w:rsidRPr="005C38FB" w:rsidP="002B4C0D" w14:paraId="0671390E" w14:textId="77777777">
            <w:pPr>
              <w:spacing w:line="276" w:lineRule="auto"/>
              <w:jc w:val="center"/>
              <w:rPr>
                <w:b/>
                <w:sz w:val="20"/>
                <w:szCs w:val="20"/>
              </w:rPr>
            </w:pPr>
          </w:p>
        </w:tc>
        <w:tc>
          <w:tcPr>
            <w:tcW w:w="715" w:type="pct"/>
            <w:tcBorders>
              <w:right w:val="single" w:sz="4" w:space="0" w:color="auto"/>
            </w:tcBorders>
          </w:tcPr>
          <w:p w:rsidR="0086048E" w:rsidRPr="005C38FB" w:rsidP="002B4C0D" w14:paraId="40A67BB8" w14:textId="77777777">
            <w:pPr>
              <w:spacing w:line="276" w:lineRule="auto"/>
              <w:rPr>
                <w:b/>
                <w:sz w:val="20"/>
                <w:szCs w:val="20"/>
              </w:rPr>
            </w:pPr>
            <w:r w:rsidRPr="005C38FB">
              <w:rPr>
                <w:b/>
                <w:sz w:val="20"/>
                <w:szCs w:val="20"/>
              </w:rPr>
              <w:t>Darba laikā</w:t>
            </w:r>
          </w:p>
        </w:tc>
        <w:tc>
          <w:tcPr>
            <w:tcW w:w="2351" w:type="pct"/>
            <w:gridSpan w:val="4"/>
            <w:vMerge/>
            <w:tcBorders>
              <w:left w:val="single" w:sz="4" w:space="0" w:color="auto"/>
              <w:right w:val="nil"/>
            </w:tcBorders>
            <w:shd w:val="clear" w:color="auto" w:fill="95B3D7" w:themeFill="accent1" w:themeFillTint="99"/>
          </w:tcPr>
          <w:p w:rsidR="0086048E" w:rsidRPr="008D3EE3" w:rsidP="002B4C0D" w14:paraId="4DE50D12" w14:textId="77777777">
            <w:pPr>
              <w:spacing w:line="276" w:lineRule="auto"/>
              <w:rPr>
                <w:sz w:val="20"/>
                <w:szCs w:val="20"/>
              </w:rPr>
            </w:pPr>
          </w:p>
        </w:tc>
        <w:tc>
          <w:tcPr>
            <w:tcW w:w="250" w:type="pct"/>
            <w:tcBorders>
              <w:top w:val="nil"/>
              <w:left w:val="nil"/>
              <w:bottom w:val="nil"/>
              <w:right w:val="single" w:sz="4" w:space="0" w:color="auto"/>
            </w:tcBorders>
            <w:shd w:val="clear" w:color="auto" w:fill="95B3D7" w:themeFill="accent1" w:themeFillTint="99"/>
          </w:tcPr>
          <w:p w:rsidR="0086048E" w:rsidRPr="008D3EE3" w:rsidP="002B4C0D" w14:paraId="67335376" w14:textId="77777777">
            <w:pPr>
              <w:spacing w:line="276" w:lineRule="auto"/>
              <w:rPr>
                <w:sz w:val="20"/>
                <w:szCs w:val="20"/>
              </w:rPr>
            </w:pPr>
          </w:p>
        </w:tc>
        <w:tc>
          <w:tcPr>
            <w:tcW w:w="250" w:type="pct"/>
            <w:tcBorders>
              <w:top w:val="nil"/>
              <w:left w:val="single" w:sz="4" w:space="0" w:color="auto"/>
              <w:bottom w:val="nil"/>
              <w:right w:val="nil"/>
            </w:tcBorders>
            <w:shd w:val="clear" w:color="auto" w:fill="D99694" w:themeFill="accent2" w:themeFillTint="99"/>
          </w:tcPr>
          <w:p w:rsidR="0086048E" w:rsidRPr="008D3EE3" w:rsidP="002B4C0D" w14:paraId="3715D399" w14:textId="77777777">
            <w:pPr>
              <w:spacing w:line="276" w:lineRule="auto"/>
              <w:rPr>
                <w:sz w:val="20"/>
                <w:szCs w:val="20"/>
              </w:rPr>
            </w:pPr>
          </w:p>
        </w:tc>
        <w:tc>
          <w:tcPr>
            <w:tcW w:w="618" w:type="pct"/>
            <w:tcBorders>
              <w:top w:val="nil"/>
              <w:left w:val="nil"/>
              <w:bottom w:val="nil"/>
              <w:right w:val="nil"/>
            </w:tcBorders>
            <w:shd w:val="clear" w:color="auto" w:fill="D99694" w:themeFill="accent2" w:themeFillTint="99"/>
          </w:tcPr>
          <w:p w:rsidR="0086048E" w:rsidRPr="008D3EE3" w:rsidP="002B4C0D" w14:paraId="5B63667A" w14:textId="77777777">
            <w:pPr>
              <w:spacing w:line="276" w:lineRule="auto"/>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8D3EE3" w:rsidP="002B4C0D" w14:paraId="0F5F449E" w14:textId="77777777">
            <w:pPr>
              <w:spacing w:line="276" w:lineRule="auto"/>
              <w:rPr>
                <w:sz w:val="20"/>
                <w:szCs w:val="20"/>
              </w:rPr>
            </w:pPr>
          </w:p>
        </w:tc>
      </w:tr>
      <w:tr w14:paraId="3C99E4FD" w14:textId="77777777" w:rsidTr="00D704EF">
        <w:tblPrEx>
          <w:tblW w:w="5293" w:type="pct"/>
          <w:jc w:val="center"/>
          <w:tblLook w:val="04A0"/>
        </w:tblPrEx>
        <w:trPr>
          <w:trHeight w:val="453"/>
          <w:jc w:val="center"/>
        </w:trPr>
        <w:tc>
          <w:tcPr>
            <w:tcW w:w="248" w:type="pct"/>
            <w:vMerge/>
          </w:tcPr>
          <w:p w:rsidR="0086048E" w:rsidRPr="005C38FB" w:rsidP="002B4C0D" w14:paraId="02CD8E38" w14:textId="77777777">
            <w:pPr>
              <w:spacing w:line="276" w:lineRule="auto"/>
              <w:jc w:val="center"/>
              <w:rPr>
                <w:b/>
                <w:sz w:val="20"/>
                <w:szCs w:val="20"/>
              </w:rPr>
            </w:pPr>
          </w:p>
        </w:tc>
        <w:tc>
          <w:tcPr>
            <w:tcW w:w="715" w:type="pct"/>
            <w:tcBorders>
              <w:right w:val="single" w:sz="4" w:space="0" w:color="auto"/>
            </w:tcBorders>
          </w:tcPr>
          <w:p w:rsidR="0086048E" w:rsidRPr="005C38FB" w:rsidP="002B4C0D" w14:paraId="22D5BBC2" w14:textId="77777777">
            <w:pPr>
              <w:spacing w:line="276" w:lineRule="auto"/>
              <w:rPr>
                <w:b/>
                <w:sz w:val="20"/>
                <w:szCs w:val="20"/>
              </w:rPr>
            </w:pPr>
            <w:r w:rsidRPr="005C38FB">
              <w:rPr>
                <w:b/>
                <w:sz w:val="20"/>
                <w:szCs w:val="20"/>
              </w:rPr>
              <w:t>Kritiska pie nosacījumiem</w:t>
            </w:r>
          </w:p>
        </w:tc>
        <w:tc>
          <w:tcPr>
            <w:tcW w:w="2351" w:type="pct"/>
            <w:gridSpan w:val="4"/>
            <w:vMerge/>
            <w:tcBorders>
              <w:left w:val="single" w:sz="4" w:space="0" w:color="auto"/>
              <w:right w:val="nil"/>
            </w:tcBorders>
            <w:shd w:val="clear" w:color="auto" w:fill="95B3D7" w:themeFill="accent1" w:themeFillTint="99"/>
          </w:tcPr>
          <w:p w:rsidR="0086048E" w:rsidRPr="008D3EE3" w:rsidP="002B4C0D" w14:paraId="7C90CAE8" w14:textId="77777777">
            <w:pPr>
              <w:spacing w:line="276" w:lineRule="auto"/>
              <w:rPr>
                <w:sz w:val="20"/>
                <w:szCs w:val="20"/>
              </w:rPr>
            </w:pPr>
          </w:p>
        </w:tc>
        <w:tc>
          <w:tcPr>
            <w:tcW w:w="250" w:type="pct"/>
            <w:tcBorders>
              <w:top w:val="nil"/>
              <w:left w:val="nil"/>
              <w:bottom w:val="nil"/>
              <w:right w:val="single" w:sz="4" w:space="0" w:color="auto"/>
            </w:tcBorders>
            <w:shd w:val="clear" w:color="auto" w:fill="95B3D7" w:themeFill="accent1" w:themeFillTint="99"/>
          </w:tcPr>
          <w:p w:rsidR="0086048E" w:rsidRPr="008D3EE3" w:rsidP="002B4C0D" w14:paraId="59C5176C" w14:textId="77777777">
            <w:pPr>
              <w:spacing w:line="276" w:lineRule="auto"/>
              <w:rPr>
                <w:sz w:val="20"/>
                <w:szCs w:val="20"/>
              </w:rPr>
            </w:pPr>
          </w:p>
        </w:tc>
        <w:tc>
          <w:tcPr>
            <w:tcW w:w="250" w:type="pct"/>
            <w:tcBorders>
              <w:top w:val="nil"/>
              <w:left w:val="single" w:sz="4" w:space="0" w:color="auto"/>
              <w:bottom w:val="single" w:sz="4" w:space="0" w:color="auto"/>
              <w:right w:val="nil"/>
            </w:tcBorders>
            <w:shd w:val="clear" w:color="auto" w:fill="D99694" w:themeFill="accent2" w:themeFillTint="99"/>
          </w:tcPr>
          <w:p w:rsidR="0086048E" w:rsidRPr="008D3EE3" w:rsidP="002B4C0D" w14:paraId="79206EDC" w14:textId="77777777">
            <w:pPr>
              <w:spacing w:line="276" w:lineRule="auto"/>
              <w:rPr>
                <w:sz w:val="20"/>
                <w:szCs w:val="20"/>
              </w:rPr>
            </w:pPr>
          </w:p>
        </w:tc>
        <w:tc>
          <w:tcPr>
            <w:tcW w:w="618" w:type="pct"/>
            <w:tcBorders>
              <w:top w:val="nil"/>
              <w:left w:val="nil"/>
              <w:bottom w:val="nil"/>
              <w:right w:val="nil"/>
            </w:tcBorders>
            <w:shd w:val="clear" w:color="auto" w:fill="D99694" w:themeFill="accent2" w:themeFillTint="99"/>
          </w:tcPr>
          <w:p w:rsidR="0086048E" w:rsidRPr="008D3EE3" w:rsidP="002B4C0D" w14:paraId="6C49EBF3" w14:textId="77777777">
            <w:pPr>
              <w:spacing w:line="276" w:lineRule="auto"/>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8D3EE3" w:rsidP="002B4C0D" w14:paraId="6AEDB732" w14:textId="77777777">
            <w:pPr>
              <w:spacing w:line="276" w:lineRule="auto"/>
              <w:rPr>
                <w:sz w:val="20"/>
                <w:szCs w:val="20"/>
              </w:rPr>
            </w:pPr>
          </w:p>
        </w:tc>
      </w:tr>
      <w:tr w14:paraId="5B3457EC" w14:textId="77777777" w:rsidTr="00D704EF">
        <w:tblPrEx>
          <w:tblW w:w="5293" w:type="pct"/>
          <w:jc w:val="center"/>
          <w:tblLook w:val="04A0"/>
        </w:tblPrEx>
        <w:trPr>
          <w:trHeight w:val="226"/>
          <w:jc w:val="center"/>
        </w:trPr>
        <w:tc>
          <w:tcPr>
            <w:tcW w:w="248" w:type="pct"/>
            <w:vMerge/>
          </w:tcPr>
          <w:p w:rsidR="0086048E" w:rsidRPr="005C38FB" w:rsidP="002B4C0D" w14:paraId="76F28012" w14:textId="77777777">
            <w:pPr>
              <w:spacing w:line="276" w:lineRule="auto"/>
              <w:jc w:val="center"/>
              <w:rPr>
                <w:b/>
                <w:sz w:val="20"/>
                <w:szCs w:val="20"/>
              </w:rPr>
            </w:pPr>
          </w:p>
        </w:tc>
        <w:tc>
          <w:tcPr>
            <w:tcW w:w="715" w:type="pct"/>
            <w:tcBorders>
              <w:right w:val="single" w:sz="4" w:space="0" w:color="auto"/>
            </w:tcBorders>
          </w:tcPr>
          <w:p w:rsidR="0086048E" w:rsidRPr="005C38FB" w:rsidP="002B4C0D" w14:paraId="50281B4A" w14:textId="77777777">
            <w:pPr>
              <w:spacing w:line="276" w:lineRule="auto"/>
              <w:rPr>
                <w:b/>
                <w:sz w:val="20"/>
                <w:szCs w:val="20"/>
              </w:rPr>
            </w:pPr>
            <w:r w:rsidRPr="005C38FB">
              <w:rPr>
                <w:b/>
                <w:sz w:val="20"/>
                <w:szCs w:val="20"/>
              </w:rPr>
              <w:t>Nekritiska</w:t>
            </w:r>
          </w:p>
        </w:tc>
        <w:tc>
          <w:tcPr>
            <w:tcW w:w="2351" w:type="pct"/>
            <w:gridSpan w:val="4"/>
            <w:vMerge/>
            <w:tcBorders>
              <w:left w:val="single" w:sz="4" w:space="0" w:color="auto"/>
              <w:right w:val="nil"/>
            </w:tcBorders>
            <w:shd w:val="clear" w:color="auto" w:fill="95B3D7" w:themeFill="accent1" w:themeFillTint="99"/>
          </w:tcPr>
          <w:p w:rsidR="0086048E" w:rsidRPr="00981E69" w:rsidP="002B4C0D" w14:paraId="2DABBD53" w14:textId="77777777">
            <w:pPr>
              <w:spacing w:line="276" w:lineRule="auto"/>
              <w:rPr>
                <w:sz w:val="20"/>
                <w:szCs w:val="20"/>
              </w:rPr>
            </w:pPr>
          </w:p>
        </w:tc>
        <w:tc>
          <w:tcPr>
            <w:tcW w:w="500" w:type="pct"/>
            <w:gridSpan w:val="2"/>
            <w:tcBorders>
              <w:top w:val="nil"/>
              <w:left w:val="nil"/>
              <w:bottom w:val="nil"/>
              <w:right w:val="single" w:sz="4" w:space="0" w:color="auto"/>
            </w:tcBorders>
            <w:shd w:val="clear" w:color="auto" w:fill="95B3D7" w:themeFill="accent1" w:themeFillTint="99"/>
          </w:tcPr>
          <w:p w:rsidR="0086048E" w:rsidRPr="00981E69" w:rsidP="002B4C0D" w14:paraId="308AF205" w14:textId="77777777">
            <w:pPr>
              <w:spacing w:line="276" w:lineRule="auto"/>
              <w:rPr>
                <w:sz w:val="20"/>
                <w:szCs w:val="20"/>
              </w:rPr>
            </w:pPr>
          </w:p>
        </w:tc>
        <w:tc>
          <w:tcPr>
            <w:tcW w:w="618" w:type="pct"/>
            <w:tcBorders>
              <w:top w:val="nil"/>
              <w:left w:val="single" w:sz="4" w:space="0" w:color="auto"/>
              <w:bottom w:val="nil"/>
              <w:right w:val="nil"/>
            </w:tcBorders>
            <w:shd w:val="clear" w:color="auto" w:fill="D99694" w:themeFill="accent2" w:themeFillTint="99"/>
          </w:tcPr>
          <w:p w:rsidR="0086048E" w:rsidRPr="00981E69" w:rsidP="002B4C0D" w14:paraId="5D736DA0" w14:textId="77777777">
            <w:pPr>
              <w:spacing w:line="276" w:lineRule="auto"/>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981E69" w:rsidP="002B4C0D" w14:paraId="30417BBA" w14:textId="77777777">
            <w:pPr>
              <w:spacing w:line="276" w:lineRule="auto"/>
              <w:rPr>
                <w:sz w:val="20"/>
                <w:szCs w:val="20"/>
              </w:rPr>
            </w:pPr>
          </w:p>
        </w:tc>
      </w:tr>
      <w:tr w14:paraId="7A00B82F" w14:textId="77777777" w:rsidTr="00D704EF">
        <w:tblPrEx>
          <w:tblW w:w="5293" w:type="pct"/>
          <w:jc w:val="center"/>
          <w:tblLook w:val="04A0"/>
        </w:tblPrEx>
        <w:trPr>
          <w:trHeight w:val="226"/>
          <w:jc w:val="center"/>
        </w:trPr>
        <w:tc>
          <w:tcPr>
            <w:tcW w:w="248" w:type="pct"/>
            <w:vMerge/>
          </w:tcPr>
          <w:p w:rsidR="0086048E" w:rsidRPr="005C38FB" w:rsidP="002B4C0D" w14:paraId="021DF246" w14:textId="77777777">
            <w:pPr>
              <w:spacing w:line="276" w:lineRule="auto"/>
              <w:jc w:val="center"/>
              <w:rPr>
                <w:b/>
                <w:sz w:val="20"/>
                <w:szCs w:val="20"/>
              </w:rPr>
            </w:pPr>
          </w:p>
        </w:tc>
        <w:tc>
          <w:tcPr>
            <w:tcW w:w="715" w:type="pct"/>
            <w:tcBorders>
              <w:right w:val="single" w:sz="4" w:space="0" w:color="auto"/>
            </w:tcBorders>
          </w:tcPr>
          <w:p w:rsidR="0086048E" w:rsidRPr="005C38FB" w:rsidP="002B4C0D" w14:paraId="51E40C5E" w14:textId="77777777">
            <w:pPr>
              <w:spacing w:line="276" w:lineRule="auto"/>
              <w:rPr>
                <w:b/>
                <w:sz w:val="20"/>
                <w:szCs w:val="20"/>
              </w:rPr>
            </w:pPr>
            <w:r w:rsidRPr="005C38FB">
              <w:rPr>
                <w:b/>
                <w:sz w:val="20"/>
                <w:szCs w:val="20"/>
              </w:rPr>
              <w:t>Vēlama</w:t>
            </w:r>
          </w:p>
        </w:tc>
        <w:tc>
          <w:tcPr>
            <w:tcW w:w="2351" w:type="pct"/>
            <w:gridSpan w:val="4"/>
            <w:vMerge/>
            <w:tcBorders>
              <w:left w:val="single" w:sz="4" w:space="0" w:color="auto"/>
              <w:right w:val="nil"/>
            </w:tcBorders>
            <w:shd w:val="clear" w:color="auto" w:fill="95B3D7" w:themeFill="accent1" w:themeFillTint="99"/>
          </w:tcPr>
          <w:p w:rsidR="0086048E" w:rsidRPr="00981E69" w:rsidP="002B4C0D" w14:paraId="34BB610C" w14:textId="77777777">
            <w:pPr>
              <w:spacing w:line="276" w:lineRule="auto"/>
              <w:rPr>
                <w:sz w:val="20"/>
                <w:szCs w:val="20"/>
              </w:rPr>
            </w:pPr>
          </w:p>
        </w:tc>
        <w:tc>
          <w:tcPr>
            <w:tcW w:w="500" w:type="pct"/>
            <w:gridSpan w:val="2"/>
            <w:tcBorders>
              <w:top w:val="nil"/>
              <w:left w:val="nil"/>
              <w:bottom w:val="nil"/>
              <w:right w:val="single" w:sz="4" w:space="0" w:color="auto"/>
            </w:tcBorders>
            <w:shd w:val="clear" w:color="auto" w:fill="95B3D7" w:themeFill="accent1" w:themeFillTint="99"/>
          </w:tcPr>
          <w:p w:rsidR="0086048E" w:rsidRPr="00981E69" w:rsidP="002B4C0D" w14:paraId="1386CD3F" w14:textId="77777777">
            <w:pPr>
              <w:spacing w:line="276" w:lineRule="auto"/>
              <w:rPr>
                <w:sz w:val="20"/>
                <w:szCs w:val="20"/>
              </w:rPr>
            </w:pPr>
          </w:p>
        </w:tc>
        <w:tc>
          <w:tcPr>
            <w:tcW w:w="618" w:type="pct"/>
            <w:tcBorders>
              <w:top w:val="nil"/>
              <w:left w:val="single" w:sz="4" w:space="0" w:color="auto"/>
              <w:bottom w:val="nil"/>
              <w:right w:val="nil"/>
            </w:tcBorders>
            <w:shd w:val="clear" w:color="auto" w:fill="D99694" w:themeFill="accent2" w:themeFillTint="99"/>
          </w:tcPr>
          <w:p w:rsidR="0086048E" w:rsidRPr="00981E69" w:rsidP="002B4C0D" w14:paraId="357CB318" w14:textId="77777777">
            <w:pPr>
              <w:spacing w:line="276" w:lineRule="auto"/>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981E69" w:rsidP="002B4C0D" w14:paraId="0BEF64F5" w14:textId="77777777">
            <w:pPr>
              <w:spacing w:line="276" w:lineRule="auto"/>
              <w:rPr>
                <w:sz w:val="20"/>
                <w:szCs w:val="20"/>
              </w:rPr>
            </w:pPr>
          </w:p>
        </w:tc>
      </w:tr>
      <w:tr w14:paraId="35608734" w14:textId="77777777" w:rsidTr="00D704EF">
        <w:tblPrEx>
          <w:tblW w:w="5293" w:type="pct"/>
          <w:jc w:val="center"/>
          <w:tblLook w:val="04A0"/>
        </w:tblPrEx>
        <w:trPr>
          <w:trHeight w:val="452"/>
          <w:jc w:val="center"/>
        </w:trPr>
        <w:tc>
          <w:tcPr>
            <w:tcW w:w="248" w:type="pct"/>
            <w:vMerge w:val="restart"/>
            <w:textDirection w:val="btLr"/>
          </w:tcPr>
          <w:p w:rsidR="0086048E" w:rsidRPr="005C38FB" w:rsidP="002B4C0D" w14:paraId="08A6D139" w14:textId="77777777">
            <w:pPr>
              <w:spacing w:line="276" w:lineRule="auto"/>
              <w:ind w:left="113" w:right="113"/>
              <w:jc w:val="center"/>
              <w:rPr>
                <w:b/>
                <w:sz w:val="20"/>
                <w:szCs w:val="20"/>
              </w:rPr>
            </w:pPr>
            <w:r w:rsidRPr="005C38FB">
              <w:rPr>
                <w:b/>
                <w:sz w:val="20"/>
                <w:szCs w:val="20"/>
              </w:rPr>
              <w:t>Atjaunošana</w:t>
            </w:r>
          </w:p>
        </w:tc>
        <w:tc>
          <w:tcPr>
            <w:tcW w:w="715" w:type="pct"/>
            <w:tcBorders>
              <w:right w:val="single" w:sz="4" w:space="0" w:color="auto"/>
            </w:tcBorders>
          </w:tcPr>
          <w:p w:rsidR="0086048E" w:rsidRPr="005C38FB" w:rsidP="002B4C0D" w14:paraId="02B52BC9" w14:textId="77777777">
            <w:pPr>
              <w:spacing w:line="276" w:lineRule="auto"/>
              <w:rPr>
                <w:b/>
                <w:sz w:val="20"/>
                <w:szCs w:val="20"/>
              </w:rPr>
            </w:pPr>
            <w:r w:rsidRPr="005C38FB">
              <w:rPr>
                <w:b/>
                <w:sz w:val="20"/>
                <w:szCs w:val="20"/>
              </w:rPr>
              <w:t>Kritiska</w:t>
            </w:r>
          </w:p>
        </w:tc>
        <w:tc>
          <w:tcPr>
            <w:tcW w:w="2351" w:type="pct"/>
            <w:gridSpan w:val="4"/>
            <w:vMerge/>
            <w:tcBorders>
              <w:left w:val="single" w:sz="4" w:space="0" w:color="auto"/>
              <w:right w:val="nil"/>
            </w:tcBorders>
            <w:shd w:val="clear" w:color="auto" w:fill="95B3D7" w:themeFill="accent1" w:themeFillTint="99"/>
          </w:tcPr>
          <w:p w:rsidR="0086048E" w:rsidRPr="00981E69" w:rsidP="002B4C0D" w14:paraId="7B5D7AB5" w14:textId="77777777">
            <w:pPr>
              <w:spacing w:line="276" w:lineRule="auto"/>
              <w:rPr>
                <w:sz w:val="20"/>
                <w:szCs w:val="20"/>
              </w:rPr>
            </w:pPr>
          </w:p>
        </w:tc>
        <w:tc>
          <w:tcPr>
            <w:tcW w:w="500" w:type="pct"/>
            <w:gridSpan w:val="2"/>
            <w:tcBorders>
              <w:top w:val="nil"/>
              <w:left w:val="nil"/>
              <w:bottom w:val="nil"/>
              <w:right w:val="single" w:sz="4" w:space="0" w:color="auto"/>
            </w:tcBorders>
            <w:shd w:val="clear" w:color="auto" w:fill="95B3D7" w:themeFill="accent1" w:themeFillTint="99"/>
          </w:tcPr>
          <w:p w:rsidR="0086048E" w:rsidRPr="00981E69" w:rsidP="002B4C0D" w14:paraId="4C3976E7" w14:textId="77777777">
            <w:pPr>
              <w:spacing w:line="276" w:lineRule="auto"/>
              <w:jc w:val="center"/>
              <w:rPr>
                <w:sz w:val="20"/>
                <w:szCs w:val="20"/>
              </w:rPr>
            </w:pPr>
          </w:p>
        </w:tc>
        <w:tc>
          <w:tcPr>
            <w:tcW w:w="618" w:type="pct"/>
            <w:tcBorders>
              <w:top w:val="nil"/>
              <w:left w:val="single" w:sz="4" w:space="0" w:color="auto"/>
              <w:bottom w:val="nil"/>
              <w:right w:val="nil"/>
            </w:tcBorders>
            <w:shd w:val="clear" w:color="auto" w:fill="D99694" w:themeFill="accent2" w:themeFillTint="99"/>
          </w:tcPr>
          <w:p w:rsidR="0086048E" w:rsidRPr="00981E69" w:rsidP="002B4C0D" w14:paraId="53936424" w14:textId="77777777">
            <w:pPr>
              <w:spacing w:line="276" w:lineRule="auto"/>
              <w:jc w:val="center"/>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981E69" w:rsidP="002B4C0D" w14:paraId="5875AC51" w14:textId="77777777">
            <w:pPr>
              <w:spacing w:line="276" w:lineRule="auto"/>
              <w:jc w:val="center"/>
              <w:rPr>
                <w:sz w:val="20"/>
                <w:szCs w:val="20"/>
              </w:rPr>
            </w:pPr>
          </w:p>
        </w:tc>
      </w:tr>
      <w:tr w14:paraId="0FA9CE25" w14:textId="77777777" w:rsidTr="00D704EF">
        <w:tblPrEx>
          <w:tblW w:w="5293" w:type="pct"/>
          <w:jc w:val="center"/>
          <w:tblLook w:val="04A0"/>
        </w:tblPrEx>
        <w:trPr>
          <w:trHeight w:val="445"/>
          <w:jc w:val="center"/>
        </w:trPr>
        <w:tc>
          <w:tcPr>
            <w:tcW w:w="248" w:type="pct"/>
            <w:vMerge/>
          </w:tcPr>
          <w:p w:rsidR="0086048E" w:rsidRPr="005C38FB" w:rsidP="002B4C0D" w14:paraId="532F9F52" w14:textId="77777777">
            <w:pPr>
              <w:spacing w:line="276" w:lineRule="auto"/>
              <w:rPr>
                <w:b/>
                <w:sz w:val="20"/>
                <w:szCs w:val="20"/>
              </w:rPr>
            </w:pPr>
          </w:p>
        </w:tc>
        <w:tc>
          <w:tcPr>
            <w:tcW w:w="715" w:type="pct"/>
            <w:tcBorders>
              <w:right w:val="single" w:sz="4" w:space="0" w:color="auto"/>
            </w:tcBorders>
          </w:tcPr>
          <w:p w:rsidR="0086048E" w:rsidRPr="005C38FB" w:rsidP="002B4C0D" w14:paraId="64FFE6ED" w14:textId="77777777">
            <w:pPr>
              <w:spacing w:line="276" w:lineRule="auto"/>
              <w:rPr>
                <w:b/>
                <w:sz w:val="20"/>
                <w:szCs w:val="20"/>
              </w:rPr>
            </w:pPr>
            <w:r w:rsidRPr="005C38FB">
              <w:rPr>
                <w:b/>
                <w:sz w:val="20"/>
                <w:szCs w:val="20"/>
              </w:rPr>
              <w:t>Nekritiska</w:t>
            </w:r>
          </w:p>
        </w:tc>
        <w:tc>
          <w:tcPr>
            <w:tcW w:w="2351" w:type="pct"/>
            <w:gridSpan w:val="4"/>
            <w:vMerge/>
            <w:tcBorders>
              <w:left w:val="single" w:sz="4" w:space="0" w:color="auto"/>
              <w:right w:val="nil"/>
            </w:tcBorders>
            <w:shd w:val="clear" w:color="auto" w:fill="95B3D7" w:themeFill="accent1" w:themeFillTint="99"/>
          </w:tcPr>
          <w:p w:rsidR="0086048E" w:rsidRPr="00981E69" w:rsidP="002B4C0D" w14:paraId="484AFFA5" w14:textId="77777777">
            <w:pPr>
              <w:spacing w:line="276" w:lineRule="auto"/>
              <w:rPr>
                <w:sz w:val="20"/>
                <w:szCs w:val="20"/>
              </w:rPr>
            </w:pPr>
          </w:p>
        </w:tc>
        <w:tc>
          <w:tcPr>
            <w:tcW w:w="500" w:type="pct"/>
            <w:gridSpan w:val="2"/>
            <w:tcBorders>
              <w:top w:val="nil"/>
              <w:left w:val="nil"/>
              <w:bottom w:val="nil"/>
              <w:right w:val="single" w:sz="4" w:space="0" w:color="auto"/>
            </w:tcBorders>
            <w:shd w:val="clear" w:color="auto" w:fill="95B3D7" w:themeFill="accent1" w:themeFillTint="99"/>
          </w:tcPr>
          <w:p w:rsidR="0086048E" w:rsidRPr="00981E69" w:rsidP="002B4C0D" w14:paraId="003E25DA" w14:textId="77777777">
            <w:pPr>
              <w:spacing w:line="276" w:lineRule="auto"/>
              <w:rPr>
                <w:sz w:val="20"/>
                <w:szCs w:val="20"/>
              </w:rPr>
            </w:pPr>
          </w:p>
        </w:tc>
        <w:tc>
          <w:tcPr>
            <w:tcW w:w="618" w:type="pct"/>
            <w:tcBorders>
              <w:top w:val="nil"/>
              <w:left w:val="single" w:sz="4" w:space="0" w:color="auto"/>
              <w:bottom w:val="nil"/>
              <w:right w:val="nil"/>
            </w:tcBorders>
            <w:shd w:val="clear" w:color="auto" w:fill="D99694" w:themeFill="accent2" w:themeFillTint="99"/>
          </w:tcPr>
          <w:p w:rsidR="0086048E" w:rsidRPr="00981E69" w:rsidP="002B4C0D" w14:paraId="6B3EC58E" w14:textId="77777777">
            <w:pPr>
              <w:spacing w:line="276" w:lineRule="auto"/>
              <w:rPr>
                <w:sz w:val="20"/>
                <w:szCs w:val="20"/>
              </w:rPr>
            </w:pPr>
          </w:p>
        </w:tc>
        <w:tc>
          <w:tcPr>
            <w:tcW w:w="568" w:type="pct"/>
            <w:tcBorders>
              <w:top w:val="nil"/>
              <w:left w:val="nil"/>
              <w:bottom w:val="nil"/>
              <w:right w:val="single" w:sz="4" w:space="0" w:color="auto"/>
            </w:tcBorders>
            <w:shd w:val="clear" w:color="auto" w:fill="D99694" w:themeFill="accent2" w:themeFillTint="99"/>
          </w:tcPr>
          <w:p w:rsidR="0086048E" w:rsidRPr="00981E69" w:rsidP="002B4C0D" w14:paraId="622DBC9D" w14:textId="77777777">
            <w:pPr>
              <w:spacing w:line="276" w:lineRule="auto"/>
              <w:rPr>
                <w:sz w:val="20"/>
                <w:szCs w:val="20"/>
              </w:rPr>
            </w:pPr>
          </w:p>
        </w:tc>
      </w:tr>
      <w:tr w14:paraId="6F410BDB" w14:textId="77777777" w:rsidTr="00D704EF">
        <w:tblPrEx>
          <w:tblW w:w="5293" w:type="pct"/>
          <w:jc w:val="center"/>
          <w:tblLook w:val="04A0"/>
        </w:tblPrEx>
        <w:trPr>
          <w:trHeight w:val="477"/>
          <w:jc w:val="center"/>
        </w:trPr>
        <w:tc>
          <w:tcPr>
            <w:tcW w:w="248" w:type="pct"/>
            <w:vMerge/>
          </w:tcPr>
          <w:p w:rsidR="0086048E" w:rsidRPr="005C38FB" w:rsidP="002B4C0D" w14:paraId="005625A1" w14:textId="77777777">
            <w:pPr>
              <w:spacing w:line="276" w:lineRule="auto"/>
              <w:rPr>
                <w:b/>
                <w:sz w:val="20"/>
                <w:szCs w:val="20"/>
              </w:rPr>
            </w:pPr>
          </w:p>
        </w:tc>
        <w:tc>
          <w:tcPr>
            <w:tcW w:w="715" w:type="pct"/>
            <w:tcBorders>
              <w:right w:val="single" w:sz="4" w:space="0" w:color="auto"/>
            </w:tcBorders>
          </w:tcPr>
          <w:p w:rsidR="0086048E" w:rsidRPr="005C38FB" w:rsidP="002B4C0D" w14:paraId="03EE5035" w14:textId="77777777">
            <w:pPr>
              <w:spacing w:line="276" w:lineRule="auto"/>
              <w:rPr>
                <w:b/>
                <w:sz w:val="20"/>
                <w:szCs w:val="20"/>
              </w:rPr>
            </w:pPr>
            <w:r w:rsidRPr="005C38FB">
              <w:rPr>
                <w:b/>
                <w:sz w:val="20"/>
                <w:szCs w:val="20"/>
              </w:rPr>
              <w:t>Vēlama</w:t>
            </w:r>
          </w:p>
        </w:tc>
        <w:tc>
          <w:tcPr>
            <w:tcW w:w="2351" w:type="pct"/>
            <w:gridSpan w:val="4"/>
            <w:vMerge/>
            <w:tcBorders>
              <w:left w:val="single" w:sz="4" w:space="0" w:color="auto"/>
              <w:bottom w:val="single" w:sz="4" w:space="0" w:color="auto"/>
              <w:right w:val="nil"/>
            </w:tcBorders>
            <w:shd w:val="clear" w:color="auto" w:fill="95B3D7" w:themeFill="accent1" w:themeFillTint="99"/>
          </w:tcPr>
          <w:p w:rsidR="0086048E" w:rsidRPr="008D3EE3" w:rsidP="002B4C0D" w14:paraId="6887B601" w14:textId="77777777">
            <w:pPr>
              <w:spacing w:line="276" w:lineRule="auto"/>
              <w:rPr>
                <w:sz w:val="20"/>
                <w:szCs w:val="20"/>
              </w:rPr>
            </w:pPr>
          </w:p>
        </w:tc>
        <w:tc>
          <w:tcPr>
            <w:tcW w:w="500" w:type="pct"/>
            <w:gridSpan w:val="2"/>
            <w:tcBorders>
              <w:top w:val="nil"/>
              <w:left w:val="nil"/>
              <w:bottom w:val="single" w:sz="4" w:space="0" w:color="auto"/>
              <w:right w:val="single" w:sz="4" w:space="0" w:color="auto"/>
            </w:tcBorders>
            <w:shd w:val="clear" w:color="auto" w:fill="95B3D7" w:themeFill="accent1" w:themeFillTint="99"/>
          </w:tcPr>
          <w:p w:rsidR="0086048E" w:rsidRPr="008D3EE3" w:rsidP="002B4C0D" w14:paraId="395E27C8" w14:textId="77777777">
            <w:pPr>
              <w:spacing w:line="276" w:lineRule="auto"/>
              <w:rPr>
                <w:sz w:val="20"/>
                <w:szCs w:val="20"/>
              </w:rPr>
            </w:pPr>
          </w:p>
        </w:tc>
        <w:tc>
          <w:tcPr>
            <w:tcW w:w="618" w:type="pct"/>
            <w:tcBorders>
              <w:top w:val="nil"/>
              <w:left w:val="single" w:sz="4" w:space="0" w:color="auto"/>
              <w:bottom w:val="single" w:sz="4" w:space="0" w:color="auto"/>
              <w:right w:val="nil"/>
            </w:tcBorders>
            <w:shd w:val="clear" w:color="auto" w:fill="D99694" w:themeFill="accent2" w:themeFillTint="99"/>
          </w:tcPr>
          <w:p w:rsidR="0086048E" w:rsidRPr="008D3EE3" w:rsidP="002B4C0D" w14:paraId="6C28E810" w14:textId="77777777">
            <w:pPr>
              <w:spacing w:line="276" w:lineRule="auto"/>
              <w:rPr>
                <w:sz w:val="20"/>
                <w:szCs w:val="20"/>
              </w:rPr>
            </w:pPr>
          </w:p>
        </w:tc>
        <w:tc>
          <w:tcPr>
            <w:tcW w:w="568" w:type="pct"/>
            <w:tcBorders>
              <w:top w:val="nil"/>
              <w:left w:val="nil"/>
              <w:bottom w:val="single" w:sz="4" w:space="0" w:color="auto"/>
              <w:right w:val="single" w:sz="4" w:space="0" w:color="auto"/>
            </w:tcBorders>
            <w:shd w:val="clear" w:color="auto" w:fill="D99694" w:themeFill="accent2" w:themeFillTint="99"/>
          </w:tcPr>
          <w:p w:rsidR="0086048E" w:rsidRPr="008D3EE3" w:rsidP="002B4C0D" w14:paraId="785BA7CB" w14:textId="77777777">
            <w:pPr>
              <w:keepNext/>
              <w:spacing w:line="276" w:lineRule="auto"/>
              <w:rPr>
                <w:sz w:val="20"/>
                <w:szCs w:val="20"/>
              </w:rPr>
            </w:pPr>
          </w:p>
        </w:tc>
      </w:tr>
    </w:tbl>
    <w:p w:rsidR="0086048E" w:rsidP="0086048E" w14:paraId="2D70CD2A" w14:textId="721C06EB">
      <w:pPr>
        <w:pStyle w:val="Caption"/>
        <w:spacing w:line="276" w:lineRule="auto"/>
        <w:jc w:val="center"/>
      </w:pPr>
      <w:r>
        <w:t>Attēls Nr.</w:t>
      </w:r>
      <w:r>
        <w:fldChar w:fldCharType="begin"/>
      </w:r>
      <w:r>
        <w:instrText xml:space="preserve"> SEQ Attēls_Nr. \* ARABIC \s 1 </w:instrText>
      </w:r>
      <w:r>
        <w:fldChar w:fldCharType="separate"/>
      </w:r>
      <w:r>
        <w:t>2</w:t>
      </w:r>
      <w:r>
        <w:rPr>
          <w:noProof/>
        </w:rPr>
        <w:fldChar w:fldCharType="end"/>
      </w:r>
      <w:r>
        <w:t xml:space="preserve"> </w:t>
      </w:r>
      <w:r w:rsidRPr="00B5437C">
        <w:t>Informācijas klasifikācijas veidnes piemērs</w:t>
      </w:r>
    </w:p>
    <w:p w:rsidR="0086048E" w:rsidP="00A57470" w14:paraId="612A0791" w14:textId="0E773861">
      <w:pPr>
        <w:pStyle w:val="ListParagraph"/>
        <w:numPr>
          <w:ilvl w:val="1"/>
          <w:numId w:val="49"/>
        </w:numPr>
        <w:pBdr>
          <w:top w:val="nil"/>
          <w:left w:val="nil"/>
          <w:bottom w:val="nil"/>
          <w:right w:val="nil"/>
          <w:between w:val="nil"/>
        </w:pBdr>
        <w:spacing w:line="276" w:lineRule="auto"/>
        <w:jc w:val="both"/>
      </w:pPr>
      <w:r>
        <w:t xml:space="preserve">Solis: MDP izvēle no </w:t>
      </w:r>
      <w:r w:rsidRPr="00BE2981">
        <w:t>in</w:t>
      </w:r>
      <w:r>
        <w:t xml:space="preserve">formācijas resursu </w:t>
      </w:r>
      <w:r w:rsidRPr="00BE2981">
        <w:t xml:space="preserve">konfidencialitātes un integritātes </w:t>
      </w:r>
      <w:r w:rsidR="00B84BDA">
        <w:t>skatupunkta:</w:t>
      </w:r>
    </w:p>
    <w:p w:rsidR="00A57470" w:rsidRPr="00A57470" w:rsidP="00A57470" w14:paraId="2DBB6D50" w14:textId="77777777">
      <w:pPr>
        <w:pStyle w:val="ListParagraph"/>
        <w:numPr>
          <w:ilvl w:val="0"/>
          <w:numId w:val="39"/>
        </w:numPr>
        <w:pBdr>
          <w:top w:val="nil"/>
          <w:left w:val="nil"/>
          <w:bottom w:val="nil"/>
          <w:right w:val="nil"/>
          <w:between w:val="nil"/>
        </w:pBdr>
        <w:spacing w:line="276" w:lineRule="auto"/>
        <w:contextualSpacing w:val="0"/>
        <w:jc w:val="both"/>
        <w:rPr>
          <w:vanish/>
        </w:rPr>
      </w:pPr>
    </w:p>
    <w:p w:rsidR="00A57470" w:rsidRPr="00A57470" w:rsidP="00A57470" w14:paraId="3E2D5BFF" w14:textId="77777777">
      <w:pPr>
        <w:pStyle w:val="ListParagraph"/>
        <w:numPr>
          <w:ilvl w:val="1"/>
          <w:numId w:val="39"/>
        </w:numPr>
        <w:pBdr>
          <w:top w:val="nil"/>
          <w:left w:val="nil"/>
          <w:bottom w:val="nil"/>
          <w:right w:val="nil"/>
          <w:between w:val="nil"/>
        </w:pBdr>
        <w:spacing w:line="276" w:lineRule="auto"/>
        <w:contextualSpacing w:val="0"/>
        <w:jc w:val="both"/>
        <w:rPr>
          <w:vanish/>
        </w:rPr>
      </w:pPr>
    </w:p>
    <w:p w:rsidR="0086048E" w:rsidP="00A57470" w14:paraId="24712164" w14:textId="06030B72">
      <w:pPr>
        <w:pStyle w:val="ListParagraph"/>
        <w:numPr>
          <w:ilvl w:val="2"/>
          <w:numId w:val="49"/>
        </w:numPr>
        <w:pBdr>
          <w:top w:val="nil"/>
          <w:left w:val="nil"/>
          <w:bottom w:val="nil"/>
          <w:right w:val="nil"/>
          <w:between w:val="nil"/>
        </w:pBdr>
        <w:spacing w:line="276" w:lineRule="auto"/>
        <w:jc w:val="both"/>
      </w:pPr>
      <w:r w:rsidRPr="00472BCE">
        <w:t>IKT pakalpojumu</w:t>
      </w:r>
      <w:r>
        <w:t xml:space="preserve"> saņēmējs kā primāro izskata MDP izmantošanas iespēju</w:t>
      </w:r>
      <w:r w:rsidR="00690E39">
        <w:t xml:space="preserve">. </w:t>
      </w:r>
    </w:p>
    <w:p w:rsidR="0086048E" w:rsidP="00A57470" w14:paraId="231AB965" w14:textId="0731A1E2">
      <w:pPr>
        <w:pStyle w:val="ListParagraph"/>
        <w:numPr>
          <w:ilvl w:val="2"/>
          <w:numId w:val="49"/>
        </w:numPr>
        <w:pBdr>
          <w:top w:val="nil"/>
          <w:left w:val="nil"/>
          <w:bottom w:val="nil"/>
          <w:right w:val="nil"/>
          <w:between w:val="nil"/>
        </w:pBdr>
        <w:spacing w:line="276" w:lineRule="auto"/>
        <w:jc w:val="both"/>
      </w:pPr>
      <w:r>
        <w:t>Publisko (Komerciālo) MDP sniedzēja</w:t>
      </w:r>
      <w:r w:rsidR="00C12513">
        <w:t xml:space="preserve"> vai valsts </w:t>
      </w:r>
      <w:r w:rsidR="00C12513">
        <w:t>Kopmākoņa</w:t>
      </w:r>
      <w:r w:rsidR="00C12513">
        <w:t xml:space="preserve"> MDP sniedzēja</w:t>
      </w:r>
      <w:r>
        <w:t xml:space="preserve"> izvēle, ja saskaņā ar informācijas resursu klasifikāciju informācija ir:</w:t>
      </w:r>
    </w:p>
    <w:p w:rsidR="0086048E" w:rsidP="000830E6" w14:paraId="534716C8" w14:textId="265DC094">
      <w:pPr>
        <w:pStyle w:val="ListParagraph"/>
        <w:numPr>
          <w:ilvl w:val="0"/>
          <w:numId w:val="47"/>
        </w:numPr>
        <w:tabs>
          <w:tab w:val="left" w:pos="1701"/>
        </w:tabs>
        <w:jc w:val="both"/>
      </w:pPr>
      <w:r>
        <w:t>v</w:t>
      </w:r>
      <w:r>
        <w:t>ispārpieejama informācija / Atvērtie dati</w:t>
      </w:r>
      <w:r>
        <w:t>;</w:t>
      </w:r>
    </w:p>
    <w:p w:rsidR="0086048E" w:rsidP="000830E6" w14:paraId="6941CE3F" w14:textId="5E75B8FD">
      <w:pPr>
        <w:pStyle w:val="ListParagraph"/>
        <w:numPr>
          <w:ilvl w:val="0"/>
          <w:numId w:val="47"/>
        </w:numPr>
        <w:tabs>
          <w:tab w:val="left" w:pos="1701"/>
        </w:tabs>
        <w:jc w:val="both"/>
      </w:pPr>
      <w:r>
        <w:t>fizisko personu dati</w:t>
      </w:r>
      <w:r w:rsidR="00C12513">
        <w:t>;</w:t>
      </w:r>
    </w:p>
    <w:p w:rsidR="0086048E" w:rsidP="000830E6" w14:paraId="1C922DB1" w14:textId="52FE040D">
      <w:pPr>
        <w:pStyle w:val="ListParagraph"/>
        <w:numPr>
          <w:ilvl w:val="0"/>
          <w:numId w:val="47"/>
        </w:numPr>
        <w:tabs>
          <w:tab w:val="left" w:pos="1701"/>
        </w:tabs>
        <w:jc w:val="both"/>
      </w:pPr>
      <w:r>
        <w:t>a</w:t>
      </w:r>
      <w:r>
        <w:t>tsevišķos gadījumos arī Komercnoslēpums un iestāžu iekšējai lietošanai paredzēti dati</w:t>
      </w:r>
      <w:r w:rsidR="004946D9">
        <w:t xml:space="preserve"> (</w:t>
      </w:r>
      <w:r w:rsidR="00C33916">
        <w:t>sk.</w:t>
      </w:r>
      <w:r w:rsidR="004946D9">
        <w:t>Informācijas</w:t>
      </w:r>
      <w:r w:rsidR="004946D9">
        <w:t xml:space="preserve"> atklātības likum</w:t>
      </w:r>
      <w:r w:rsidR="00C33916">
        <w:t>u</w:t>
      </w:r>
      <w:r>
        <w:t>), ar nosacījumu, ka MDP sniedzējs nodrošina atbilstošu informācijas aizsardzību.</w:t>
      </w:r>
    </w:p>
    <w:p w:rsidR="0086048E" w:rsidP="00690E39" w14:paraId="39152000" w14:textId="4AB69A7F">
      <w:pPr>
        <w:pStyle w:val="ListParagraph"/>
        <w:numPr>
          <w:ilvl w:val="2"/>
          <w:numId w:val="49"/>
        </w:numPr>
        <w:pBdr>
          <w:top w:val="nil"/>
          <w:left w:val="nil"/>
          <w:bottom w:val="nil"/>
          <w:right w:val="nil"/>
          <w:between w:val="nil"/>
        </w:pBdr>
        <w:spacing w:line="276" w:lineRule="auto"/>
        <w:jc w:val="both"/>
      </w:pPr>
      <w:r>
        <w:t>Tikai v</w:t>
      </w:r>
      <w:r>
        <w:t xml:space="preserve">alsts </w:t>
      </w:r>
      <w:r>
        <w:t>Kopmākoņa</w:t>
      </w:r>
      <w:r>
        <w:t xml:space="preserve"> MDP sniedzēja</w:t>
      </w:r>
      <w:r w:rsidR="00720CEB">
        <w:t xml:space="preserve"> vai nodalītas infrastruktūras LVDC ietvaros</w:t>
      </w:r>
      <w:r>
        <w:t xml:space="preserve"> izvēle, ja informācijas resursu klasifikācija nepieļauj datu izvietošanu Publiskā MDP sniedzēja vidē.</w:t>
      </w:r>
    </w:p>
    <w:p w:rsidR="004946D9" w:rsidP="004946D9" w14:paraId="67469D52" w14:textId="77777777">
      <w:pPr>
        <w:pStyle w:val="ListParagraph"/>
        <w:pBdr>
          <w:top w:val="nil"/>
          <w:left w:val="nil"/>
          <w:bottom w:val="nil"/>
          <w:right w:val="nil"/>
          <w:between w:val="nil"/>
        </w:pBdr>
        <w:spacing w:line="276" w:lineRule="auto"/>
        <w:ind w:left="792"/>
        <w:contextualSpacing w:val="0"/>
        <w:jc w:val="both"/>
      </w:pPr>
    </w:p>
    <w:p w:rsidR="0086048E" w:rsidP="00A57470" w14:paraId="7A79624F" w14:textId="2D32C289">
      <w:pPr>
        <w:pStyle w:val="ListParagraph"/>
        <w:numPr>
          <w:ilvl w:val="1"/>
          <w:numId w:val="49"/>
        </w:numPr>
        <w:pBdr>
          <w:top w:val="nil"/>
          <w:left w:val="nil"/>
          <w:bottom w:val="nil"/>
          <w:right w:val="nil"/>
          <w:between w:val="nil"/>
        </w:pBdr>
        <w:spacing w:line="276" w:lineRule="auto"/>
        <w:jc w:val="both"/>
      </w:pPr>
      <w:r>
        <w:t xml:space="preserve">Solis: MDP izvēle no </w:t>
      </w:r>
      <w:r w:rsidRPr="00BE2981">
        <w:t xml:space="preserve">informācijas resursu pieejamības un atjaunošanas </w:t>
      </w:r>
      <w:r w:rsidR="00B84BDA">
        <w:t>skatupunkta:</w:t>
      </w:r>
    </w:p>
    <w:p w:rsidR="0086048E" w:rsidP="00A57470" w14:paraId="1DBD6763" w14:textId="01541629">
      <w:pPr>
        <w:pStyle w:val="ListParagraph"/>
        <w:numPr>
          <w:ilvl w:val="2"/>
          <w:numId w:val="49"/>
        </w:numPr>
        <w:pBdr>
          <w:top w:val="nil"/>
          <w:left w:val="nil"/>
          <w:bottom w:val="nil"/>
          <w:right w:val="nil"/>
          <w:between w:val="nil"/>
        </w:pBdr>
        <w:spacing w:line="276" w:lineRule="auto"/>
        <w:jc w:val="both"/>
      </w:pPr>
      <w:r>
        <w:t xml:space="preserve">Izvēloties MDP, IKT pakalpojumu saņēmējs nosaka attiecīgo informācijas resursu klasifikāciju no pieejamības un atjaunošanas </w:t>
      </w:r>
      <w:r w:rsidR="002B4C0D">
        <w:t>skatpunkta</w:t>
      </w:r>
      <w:r>
        <w:t>. Šajā kontekstā būtiskākie faktori ir:</w:t>
      </w:r>
    </w:p>
    <w:p w:rsidR="0086048E" w:rsidP="000830E6" w14:paraId="06341005" w14:textId="621ADDCE">
      <w:pPr>
        <w:pStyle w:val="ListParagraph"/>
        <w:numPr>
          <w:ilvl w:val="0"/>
          <w:numId w:val="47"/>
        </w:numPr>
        <w:tabs>
          <w:tab w:val="left" w:pos="1701"/>
        </w:tabs>
        <w:jc w:val="both"/>
      </w:pPr>
      <w:r>
        <w:t>pakalpojuma iesaiste citu pakal</w:t>
      </w:r>
      <w:r w:rsidR="00C33916">
        <w:t xml:space="preserve">pojumu sniegšanā un ātrdarbības un </w:t>
      </w:r>
      <w:r>
        <w:t>pieejamības prasības šiem pakalpojumiem (vai pakalpojumam ir jāatrodas vienotā un</w:t>
      </w:r>
      <w:r w:rsidR="00B84BDA">
        <w:t xml:space="preserve"> </w:t>
      </w:r>
      <w:r>
        <w:t>aizsargātā tīkla segmentā ar citiem pakalpojumiem)?</w:t>
      </w:r>
    </w:p>
    <w:p w:rsidR="0086048E" w:rsidP="000830E6" w14:paraId="16573522" w14:textId="3B11280C">
      <w:pPr>
        <w:pStyle w:val="ListParagraph"/>
        <w:numPr>
          <w:ilvl w:val="0"/>
          <w:numId w:val="47"/>
        </w:numPr>
        <w:tabs>
          <w:tab w:val="left" w:pos="1701"/>
        </w:tabs>
        <w:jc w:val="both"/>
      </w:pPr>
      <w:r>
        <w:t xml:space="preserve">pakalpojuma pieejamības nodrošināšana </w:t>
      </w:r>
      <w:r>
        <w:t>(</w:t>
      </w:r>
      <w:r>
        <w:t>vai pakalpojumam ir būtiski nodrošināt papildus aizsardzības jautājumus).</w:t>
      </w:r>
    </w:p>
    <w:p w:rsidR="0086048E" w:rsidP="000830E6" w14:paraId="2A9E1E5D" w14:textId="00641CAF">
      <w:pPr>
        <w:pStyle w:val="ListParagraph"/>
        <w:numPr>
          <w:ilvl w:val="0"/>
          <w:numId w:val="47"/>
        </w:numPr>
        <w:tabs>
          <w:tab w:val="left" w:pos="1701"/>
        </w:tabs>
        <w:jc w:val="both"/>
      </w:pPr>
      <w:r>
        <w:t>a</w:t>
      </w:r>
      <w:r>
        <w:t>rgumentācija tiek dokumentēta.</w:t>
      </w:r>
    </w:p>
    <w:p w:rsidR="0086048E" w:rsidP="00A57470" w14:paraId="0EFF946E" w14:textId="57CBD8EE">
      <w:pPr>
        <w:pStyle w:val="ListParagraph"/>
        <w:numPr>
          <w:ilvl w:val="2"/>
          <w:numId w:val="49"/>
        </w:numPr>
        <w:pBdr>
          <w:top w:val="nil"/>
          <w:left w:val="nil"/>
          <w:bottom w:val="nil"/>
          <w:right w:val="nil"/>
          <w:between w:val="nil"/>
        </w:pBdr>
        <w:spacing w:line="276" w:lineRule="auto"/>
        <w:jc w:val="both"/>
      </w:pPr>
      <w:r>
        <w:t xml:space="preserve">Ja informācijas resursu klasifikācija nepieļauj MDP izmantošanu, IKT pakalpojumu saņēmējs izvērtē LVDC izmantošanas </w:t>
      </w:r>
      <w:r w:rsidR="00720CEB">
        <w:t xml:space="preserve">(t.sk. LVDC nodalītās – īpaši aizsargājamo datu apstrādes infrastruktūras) </w:t>
      </w:r>
      <w:r>
        <w:t>iespējas.</w:t>
      </w:r>
    </w:p>
    <w:p w:rsidR="00B84BDA" w:rsidP="00B84BDA" w14:paraId="762D5AE0" w14:textId="77777777">
      <w:pPr>
        <w:pStyle w:val="ListParagraph"/>
        <w:pBdr>
          <w:top w:val="nil"/>
          <w:left w:val="nil"/>
          <w:bottom w:val="nil"/>
          <w:right w:val="nil"/>
          <w:between w:val="nil"/>
        </w:pBdr>
        <w:spacing w:line="276" w:lineRule="auto"/>
        <w:ind w:left="792"/>
        <w:contextualSpacing w:val="0"/>
        <w:jc w:val="both"/>
      </w:pPr>
    </w:p>
    <w:p w:rsidR="0086048E" w:rsidP="00A57470" w14:paraId="7DEDEDBD" w14:textId="77777777">
      <w:pPr>
        <w:pStyle w:val="ListParagraph"/>
        <w:numPr>
          <w:ilvl w:val="1"/>
          <w:numId w:val="49"/>
        </w:numPr>
        <w:pBdr>
          <w:top w:val="nil"/>
          <w:left w:val="nil"/>
          <w:bottom w:val="nil"/>
          <w:right w:val="nil"/>
          <w:between w:val="nil"/>
        </w:pBdr>
        <w:spacing w:line="276" w:lineRule="auto"/>
        <w:jc w:val="both"/>
      </w:pPr>
      <w:r>
        <w:t xml:space="preserve">Solis: </w:t>
      </w:r>
      <w:r>
        <w:t>SaaS</w:t>
      </w:r>
      <w:r>
        <w:t xml:space="preserve"> izmantošanas iespēju izvērtēšana:</w:t>
      </w:r>
    </w:p>
    <w:p w:rsidR="0086048E" w:rsidP="00A57470" w14:paraId="2BC66B31" w14:textId="1BE80C4F">
      <w:pPr>
        <w:pStyle w:val="ListParagraph"/>
        <w:numPr>
          <w:ilvl w:val="2"/>
          <w:numId w:val="49"/>
        </w:numPr>
        <w:pBdr>
          <w:top w:val="nil"/>
          <w:left w:val="nil"/>
          <w:bottom w:val="nil"/>
          <w:right w:val="nil"/>
          <w:between w:val="nil"/>
        </w:pBdr>
        <w:spacing w:line="276" w:lineRule="auto"/>
        <w:jc w:val="both"/>
      </w:pPr>
      <w:r>
        <w:t>k</w:t>
      </w:r>
      <w:r>
        <w:t>ad ir pieņemts lēmums par MDP izmantošanu (pakalpojums tiek uzturēts</w:t>
      </w:r>
      <w:r>
        <w:t xml:space="preserve">  </w:t>
      </w:r>
      <w:r>
        <w:t xml:space="preserve">Publiskā vai valsts kontrolētā </w:t>
      </w:r>
      <w:r>
        <w:t>kopmākonī</w:t>
      </w:r>
      <w:r>
        <w:t>), MDP saņēmējs primāri izvērtē, vai paredzamais pakalpojums nav jau pieejams</w:t>
      </w:r>
      <w:r w:rsidRPr="001F1EC4">
        <w:t xml:space="preserve"> </w:t>
      </w:r>
      <w:r>
        <w:t xml:space="preserve">MDP brokera pakalpojumu klāstā kā esošs </w:t>
      </w:r>
      <w:r>
        <w:t>SaaS</w:t>
      </w:r>
      <w:r>
        <w:t xml:space="preserve"> piedāvājums;</w:t>
      </w:r>
    </w:p>
    <w:p w:rsidR="0086048E" w:rsidP="00A57470" w14:paraId="760AF045" w14:textId="090696F2">
      <w:pPr>
        <w:pStyle w:val="ListParagraph"/>
        <w:numPr>
          <w:ilvl w:val="2"/>
          <w:numId w:val="49"/>
        </w:numPr>
        <w:pBdr>
          <w:top w:val="nil"/>
          <w:left w:val="nil"/>
          <w:bottom w:val="nil"/>
          <w:right w:val="nil"/>
          <w:between w:val="nil"/>
        </w:pBdr>
        <w:spacing w:line="276" w:lineRule="auto"/>
        <w:jc w:val="both"/>
      </w:pPr>
      <w:r>
        <w:t>p</w:t>
      </w:r>
      <w:r>
        <w:t>ārbaudīt</w:t>
      </w:r>
      <w:r w:rsidR="00B84BDA">
        <w:t>,</w:t>
      </w:r>
      <w:r>
        <w:t xml:space="preserve"> vai šāds paka</w:t>
      </w:r>
      <w:r>
        <w:t>lpojums ir pieejams brīvā tirgū;</w:t>
      </w:r>
    </w:p>
    <w:p w:rsidR="0086048E" w:rsidP="00E0704B" w14:paraId="37570106" w14:textId="19DBBEB3">
      <w:pPr>
        <w:pStyle w:val="ListParagraph"/>
        <w:numPr>
          <w:ilvl w:val="2"/>
          <w:numId w:val="49"/>
        </w:numPr>
        <w:pBdr>
          <w:top w:val="nil"/>
          <w:left w:val="nil"/>
          <w:bottom w:val="nil"/>
          <w:right w:val="nil"/>
          <w:between w:val="nil"/>
        </w:pBdr>
        <w:spacing w:line="276" w:lineRule="auto"/>
        <w:jc w:val="both"/>
      </w:pPr>
      <w:r>
        <w:t>j</w:t>
      </w:r>
      <w:r w:rsidR="00B84BDA">
        <w:t xml:space="preserve">a pakalpojums vai </w:t>
      </w:r>
      <w:r>
        <w:t xml:space="preserve">tehniskais risinājums tiek </w:t>
      </w:r>
      <w:r w:rsidR="00B84BDA">
        <w:t>veidots</w:t>
      </w:r>
      <w:r>
        <w:t xml:space="preserve"> no jauna, koordinējot ar MDP brokeri, MDP saņēmējs izvērtē, vai nav lietderīgi to veidot kā vispārpieejamu </w:t>
      </w:r>
      <w:r>
        <w:t>SaaS</w:t>
      </w:r>
      <w:r>
        <w:t xml:space="preserve"> pakalpojumu (piemēram, konsultējoties ar VARAM par BAE)</w:t>
      </w:r>
      <w:r w:rsidR="00690E39">
        <w:t xml:space="preserve">. </w:t>
      </w:r>
    </w:p>
    <w:p w:rsidR="00B84BDA" w:rsidP="00B84BDA" w14:paraId="7648882E" w14:textId="77777777">
      <w:pPr>
        <w:pStyle w:val="ListParagraph"/>
        <w:pBdr>
          <w:top w:val="nil"/>
          <w:left w:val="nil"/>
          <w:bottom w:val="nil"/>
          <w:right w:val="nil"/>
          <w:between w:val="nil"/>
        </w:pBdr>
        <w:spacing w:line="276" w:lineRule="auto"/>
        <w:ind w:left="792"/>
        <w:contextualSpacing w:val="0"/>
        <w:jc w:val="both"/>
      </w:pPr>
    </w:p>
    <w:p w:rsidR="0086048E" w:rsidP="00690E39" w14:paraId="66B044F6" w14:textId="2656BC2D">
      <w:pPr>
        <w:pStyle w:val="ListParagraph"/>
        <w:numPr>
          <w:ilvl w:val="1"/>
          <w:numId w:val="49"/>
        </w:numPr>
        <w:pBdr>
          <w:top w:val="nil"/>
          <w:left w:val="nil"/>
          <w:bottom w:val="nil"/>
          <w:right w:val="nil"/>
          <w:between w:val="nil"/>
        </w:pBdr>
        <w:spacing w:line="276" w:lineRule="auto"/>
        <w:jc w:val="both"/>
      </w:pPr>
      <w:r>
        <w:t xml:space="preserve">Solis: </w:t>
      </w:r>
      <w:r>
        <w:t>PaaS</w:t>
      </w:r>
      <w:r>
        <w:t xml:space="preserve"> izmantošanas iespēju izvērtēšana</w:t>
      </w:r>
      <w:r w:rsidR="00690E39">
        <w:t xml:space="preserve"> - </w:t>
      </w:r>
      <w:r w:rsidR="005F455B">
        <w:t>j</w:t>
      </w:r>
      <w:r>
        <w:t>a netie</w:t>
      </w:r>
      <w:r w:rsidR="00B84BDA">
        <w:t xml:space="preserve">k izmantots </w:t>
      </w:r>
      <w:r w:rsidR="00B84BDA">
        <w:t>SaaS</w:t>
      </w:r>
      <w:r w:rsidR="00B84BDA">
        <w:t xml:space="preserve"> un tiek veidots jauns pakalpojums vai </w:t>
      </w:r>
      <w:r>
        <w:t xml:space="preserve">tehniskais risinājums, MDP saņēmējs izvērtē, kādus </w:t>
      </w:r>
      <w:r>
        <w:t>PaaS</w:t>
      </w:r>
      <w:r>
        <w:t xml:space="preserve"> elementus tas va</w:t>
      </w:r>
      <w:r w:rsidR="00B84BDA">
        <w:t xml:space="preserve">r efektīvi izmantot veidojamajā vai </w:t>
      </w:r>
      <w:r>
        <w:t>modificējamajā risinājumā</w:t>
      </w:r>
      <w:r w:rsidR="00690E39">
        <w:t>.</w:t>
      </w:r>
    </w:p>
    <w:p w:rsidR="00B84BDA" w:rsidP="00B84BDA" w14:paraId="4896BF03" w14:textId="77777777">
      <w:pPr>
        <w:pStyle w:val="ListParagraph"/>
        <w:pBdr>
          <w:top w:val="nil"/>
          <w:left w:val="nil"/>
          <w:bottom w:val="nil"/>
          <w:right w:val="nil"/>
          <w:between w:val="nil"/>
        </w:pBdr>
        <w:spacing w:line="276" w:lineRule="auto"/>
        <w:ind w:left="792"/>
        <w:contextualSpacing w:val="0"/>
        <w:jc w:val="both"/>
      </w:pPr>
    </w:p>
    <w:p w:rsidR="0086048E" w:rsidP="00690E39" w14:paraId="6F53DDE3" w14:textId="3BF0E8A4">
      <w:pPr>
        <w:pStyle w:val="ListParagraph"/>
        <w:numPr>
          <w:ilvl w:val="1"/>
          <w:numId w:val="49"/>
        </w:numPr>
        <w:pBdr>
          <w:top w:val="nil"/>
          <w:left w:val="nil"/>
          <w:bottom w:val="nil"/>
          <w:right w:val="nil"/>
          <w:between w:val="nil"/>
        </w:pBdr>
        <w:spacing w:line="276" w:lineRule="auto"/>
        <w:jc w:val="both"/>
      </w:pPr>
      <w:r>
        <w:t xml:space="preserve">Solis: </w:t>
      </w:r>
      <w:r>
        <w:t>IaaS</w:t>
      </w:r>
      <w:r>
        <w:t xml:space="preserve"> izmantošanas iespēju izvērtēšana</w:t>
      </w:r>
      <w:r w:rsidR="00690E39">
        <w:t xml:space="preserve"> - </w:t>
      </w:r>
      <w:r w:rsidR="005F455B">
        <w:t>g</w:t>
      </w:r>
      <w:r>
        <w:t xml:space="preserve">adījumā, ja netiek izmantots </w:t>
      </w:r>
      <w:r>
        <w:t>SaaS</w:t>
      </w:r>
      <w:r>
        <w:t xml:space="preserve"> un pakalpojums nav pilnībā balstāms uz pieejamajiem </w:t>
      </w:r>
      <w:r>
        <w:t>PaaS</w:t>
      </w:r>
      <w:r>
        <w:t xml:space="preserve"> (ir nepieciešama tieši pieejama infrastruktūras komponente), MDP saņēmējs izvērtē, vai var izmantot MDP </w:t>
      </w:r>
      <w:r>
        <w:t>IaaS</w:t>
      </w:r>
      <w:r>
        <w:t xml:space="preserve"> pakalpojumus</w:t>
      </w:r>
      <w:r w:rsidR="00690E39">
        <w:t>.</w:t>
      </w:r>
    </w:p>
    <w:p w:rsidR="00B84BDA" w:rsidP="00B84BDA" w14:paraId="5A2ABEB0" w14:textId="77777777">
      <w:pPr>
        <w:pStyle w:val="ListParagraph"/>
        <w:pBdr>
          <w:top w:val="nil"/>
          <w:left w:val="nil"/>
          <w:bottom w:val="nil"/>
          <w:right w:val="nil"/>
          <w:between w:val="nil"/>
        </w:pBdr>
        <w:spacing w:line="276" w:lineRule="auto"/>
        <w:ind w:left="792"/>
        <w:contextualSpacing w:val="0"/>
        <w:jc w:val="both"/>
      </w:pPr>
    </w:p>
    <w:p w:rsidR="0086048E" w:rsidP="00E53CD6" w14:paraId="2CA9214D" w14:textId="3A812C96">
      <w:pPr>
        <w:pStyle w:val="ListParagraph"/>
        <w:numPr>
          <w:ilvl w:val="1"/>
          <w:numId w:val="49"/>
        </w:numPr>
        <w:pBdr>
          <w:top w:val="nil"/>
          <w:left w:val="nil"/>
          <w:bottom w:val="nil"/>
          <w:right w:val="nil"/>
          <w:between w:val="nil"/>
        </w:pBdr>
        <w:spacing w:line="276" w:lineRule="auto"/>
        <w:jc w:val="both"/>
      </w:pPr>
      <w:r>
        <w:t>Solis: Arhitektūras specifiskās prasības</w:t>
      </w:r>
      <w:r w:rsidR="005F455B">
        <w:t>:</w:t>
      </w:r>
    </w:p>
    <w:p w:rsidR="0086048E" w:rsidP="001A2394" w14:paraId="6F6F42FD" w14:textId="4A871268">
      <w:pPr>
        <w:pBdr>
          <w:top w:val="nil"/>
          <w:left w:val="nil"/>
          <w:bottom w:val="nil"/>
          <w:right w:val="nil"/>
          <w:between w:val="nil"/>
        </w:pBdr>
        <w:spacing w:line="276" w:lineRule="auto"/>
        <w:ind w:left="360"/>
        <w:jc w:val="both"/>
      </w:pPr>
      <w:r>
        <w:t>D</w:t>
      </w:r>
      <w:r>
        <w:t xml:space="preserve">atu tīklu pieslēguma jaudas un prasības </w:t>
      </w:r>
      <w:r>
        <w:t>(</w:t>
      </w:r>
      <w:r>
        <w:t xml:space="preserve">piemēram, ir būtiska atšķirība </w:t>
      </w:r>
      <w:r>
        <w:t>Client-Server</w:t>
      </w:r>
      <w:r>
        <w:t xml:space="preserve"> datu bāzes līmeņa pieslēgumam un </w:t>
      </w:r>
      <w:r>
        <w:t>web</w:t>
      </w:r>
      <w:r>
        <w:t xml:space="preserve"> aplikācijai, tāpat būtiski</w:t>
      </w:r>
      <w:r w:rsidR="000A24C6">
        <w:t>,</w:t>
      </w:r>
      <w:r>
        <w:t xml:space="preserve"> kur atrodas pakalpojuma primārie lietotāji un cik garantēts ir viņu pieslēguma ātrums (atkarībā arī no ielādējamo datu apjoma darba sesijas laikā un resursa klasifikācijas no pieejamības/atjaunošanas viedokļa)</w:t>
      </w:r>
      <w:r w:rsidR="00B84BDA">
        <w:t>.</w:t>
      </w:r>
    </w:p>
    <w:p w:rsidR="00B84BDA" w:rsidP="00B84BDA" w14:paraId="34E255A8" w14:textId="77777777">
      <w:pPr>
        <w:pBdr>
          <w:top w:val="nil"/>
          <w:left w:val="nil"/>
          <w:bottom w:val="nil"/>
          <w:right w:val="nil"/>
          <w:between w:val="nil"/>
        </w:pBdr>
        <w:spacing w:line="276" w:lineRule="auto"/>
        <w:ind w:left="720"/>
        <w:contextualSpacing/>
        <w:jc w:val="both"/>
      </w:pPr>
    </w:p>
    <w:p w:rsidR="0086048E" w:rsidP="00E53CD6" w14:paraId="1A69D0B5" w14:textId="4FCDF014">
      <w:pPr>
        <w:pStyle w:val="ListParagraph"/>
        <w:numPr>
          <w:ilvl w:val="1"/>
          <w:numId w:val="49"/>
        </w:numPr>
        <w:pBdr>
          <w:top w:val="nil"/>
          <w:left w:val="nil"/>
          <w:bottom w:val="nil"/>
          <w:right w:val="nil"/>
          <w:between w:val="nil"/>
        </w:pBdr>
        <w:spacing w:line="276" w:lineRule="auto"/>
        <w:jc w:val="both"/>
      </w:pPr>
      <w:r>
        <w:t xml:space="preserve">Solis: Citi </w:t>
      </w:r>
      <w:r w:rsidR="000A24C6">
        <w:t>būtiski faktori, izvēloties MDP:</w:t>
      </w:r>
    </w:p>
    <w:p w:rsidR="0086048E" w:rsidP="00E53CD6" w14:paraId="68787FB3" w14:textId="57AF8E00">
      <w:pPr>
        <w:pStyle w:val="ListParagraph"/>
        <w:numPr>
          <w:ilvl w:val="2"/>
          <w:numId w:val="49"/>
        </w:numPr>
        <w:pBdr>
          <w:top w:val="nil"/>
          <w:left w:val="nil"/>
          <w:bottom w:val="nil"/>
          <w:right w:val="nil"/>
          <w:between w:val="nil"/>
        </w:pBdr>
        <w:spacing w:line="276" w:lineRule="auto"/>
        <w:jc w:val="both"/>
      </w:pPr>
      <w:r>
        <w:t>d</w:t>
      </w:r>
      <w:r>
        <w:t>atu atgūšana iespējas (formāts) pēc pakalpojuma saņemšanas beigām;</w:t>
      </w:r>
    </w:p>
    <w:p w:rsidR="0086048E" w:rsidP="00E53CD6" w14:paraId="71C7EEF5" w14:textId="04E7722A">
      <w:pPr>
        <w:pStyle w:val="ListParagraph"/>
        <w:numPr>
          <w:ilvl w:val="2"/>
          <w:numId w:val="49"/>
        </w:numPr>
        <w:pBdr>
          <w:top w:val="nil"/>
          <w:left w:val="nil"/>
          <w:bottom w:val="nil"/>
          <w:right w:val="nil"/>
          <w:between w:val="nil"/>
        </w:pBdr>
        <w:spacing w:line="276" w:lineRule="auto"/>
        <w:jc w:val="both"/>
      </w:pPr>
      <w:r>
        <w:t>d</w:t>
      </w:r>
      <w:r>
        <w:t>atu apstrādes/platformu un programmatūras savietojamības prasības ilgtermiņā (iespēja pārcelties atpakaļ no mākoņa uz lokāli darbināmām tehnoloģijām vai privātu mākoni un šādas pārcelšanās izmaksas un priekšnosacījumi)</w:t>
      </w:r>
      <w:r>
        <w:t>;</w:t>
      </w:r>
    </w:p>
    <w:p w:rsidR="0086048E" w:rsidP="00CE2D33" w14:paraId="1E2733A7" w14:textId="4988605B">
      <w:pPr>
        <w:pStyle w:val="ListParagraph"/>
        <w:numPr>
          <w:ilvl w:val="2"/>
          <w:numId w:val="49"/>
        </w:numPr>
        <w:pBdr>
          <w:top w:val="nil"/>
          <w:left w:val="nil"/>
          <w:bottom w:val="nil"/>
          <w:right w:val="nil"/>
          <w:between w:val="nil"/>
        </w:pBdr>
        <w:spacing w:line="276" w:lineRule="auto"/>
        <w:jc w:val="both"/>
      </w:pPr>
      <w:r>
        <w:t>t</w:t>
      </w:r>
      <w:r>
        <w:t>ehnoloģiskā atkarība - cik lielā mērā piegādātājs ierobežo citu pakalpojumu saņemšanu</w:t>
      </w:r>
      <w:r w:rsidR="00CE2D33">
        <w:t xml:space="preserve">. Tehnoloģisko atkarību var būtiski ierobežot, ja pakalpojumu sniedzējs nodrošina </w:t>
      </w:r>
      <w:r w:rsidRPr="00CE2D33" w:rsidR="00CE2D33">
        <w:t>atvērto standartu izmantošan</w:t>
      </w:r>
      <w:r w:rsidR="00CE2D33">
        <w:t>u</w:t>
      </w:r>
      <w:r w:rsidRPr="00CE2D33" w:rsidR="00CE2D33">
        <w:t xml:space="preserve"> </w:t>
      </w:r>
      <w:r w:rsidRPr="00CE2D33" w:rsidR="00CE2D33">
        <w:t>mākoņdatošanas</w:t>
      </w:r>
      <w:r w:rsidRPr="00CE2D33" w:rsidR="00CE2D33">
        <w:t xml:space="preserve"> pakalpojumu </w:t>
      </w:r>
      <w:r w:rsidRPr="00CE2D33" w:rsidR="00CE2D33">
        <w:t>pārvaldības un integrācijas saskarnēm</w:t>
      </w:r>
      <w:r w:rsidR="00CE2D33">
        <w:t xml:space="preserve">. Atvērto standartu izmantošana ir uzskatāma par būtisku priekšrocību; </w:t>
      </w:r>
    </w:p>
    <w:p w:rsidR="0086048E" w:rsidP="00E53CD6" w14:paraId="60F550E1" w14:textId="0C0CEA4C">
      <w:pPr>
        <w:pStyle w:val="ListParagraph"/>
        <w:numPr>
          <w:ilvl w:val="2"/>
          <w:numId w:val="49"/>
        </w:numPr>
        <w:pBdr>
          <w:top w:val="nil"/>
          <w:left w:val="nil"/>
          <w:bottom w:val="nil"/>
          <w:right w:val="nil"/>
          <w:between w:val="nil"/>
        </w:pBdr>
        <w:spacing w:line="276" w:lineRule="auto"/>
        <w:jc w:val="both"/>
      </w:pPr>
      <w:r>
        <w:t>a</w:t>
      </w:r>
      <w:r>
        <w:t>tbalsta mehānismu nodrošināšanas modelis</w:t>
      </w:r>
      <w:r>
        <w:t>;</w:t>
      </w:r>
    </w:p>
    <w:p w:rsidR="0086048E" w:rsidP="00E53CD6" w14:paraId="3E2C9EF5" w14:textId="4822836D">
      <w:pPr>
        <w:pStyle w:val="ListParagraph"/>
        <w:numPr>
          <w:ilvl w:val="2"/>
          <w:numId w:val="49"/>
        </w:numPr>
        <w:pBdr>
          <w:top w:val="nil"/>
          <w:left w:val="nil"/>
          <w:bottom w:val="nil"/>
          <w:right w:val="nil"/>
          <w:between w:val="nil"/>
        </w:pBdr>
        <w:spacing w:line="276" w:lineRule="auto"/>
        <w:jc w:val="both"/>
      </w:pPr>
      <w:r>
        <w:t>p</w:t>
      </w:r>
      <w:r>
        <w:t>akalpojuma uzraudzība pēc tā iedarbināšanas un adekvātu uzraudzības mehānismu izvēle</w:t>
      </w:r>
      <w:r w:rsidR="00B84BDA">
        <w:t>.</w:t>
      </w:r>
    </w:p>
    <w:p w:rsidR="008A08C6" w:rsidRPr="000A36FD" w:rsidP="00E53CD6" w14:paraId="5506F868" w14:textId="23218B38">
      <w:pPr>
        <w:pStyle w:val="ListParagraph"/>
        <w:numPr>
          <w:ilvl w:val="2"/>
          <w:numId w:val="49"/>
        </w:numPr>
        <w:pBdr>
          <w:top w:val="nil"/>
          <w:left w:val="nil"/>
          <w:bottom w:val="nil"/>
          <w:right w:val="nil"/>
          <w:between w:val="nil"/>
        </w:pBdr>
        <w:spacing w:line="276" w:lineRule="auto"/>
        <w:jc w:val="both"/>
      </w:pPr>
      <w:r w:rsidRPr="000A36FD">
        <w:t>- IKT</w:t>
      </w:r>
      <w:r w:rsidRPr="000A36FD" w:rsidR="004D6F33">
        <w:t xml:space="preserve"> drošības/kiberdrošības aspekti: </w:t>
      </w:r>
      <w:r w:rsidRPr="000A36FD">
        <w:t>MDP un pakalpojuma sniedzēja atbilstība izvirzītajām drošības prasībām (piemēram, 2015. gada 28. jūlija Ministru kabineta noteikumiem Nr. 442 “Kārtība, kādā tiek nodrošināta informācijas un komunikācijas tehnoloģiju sistēmu atbilstība minimālajām drošības prasībām” vai pakalpojuma sniedzējam izvirzītajām kvalifikācijas prasībām). Vairāk par IKT drošības apsvērumiem skatīt Ziņojuma 6.5. punktu “Informācijas drošības apsvērumi”.</w:t>
      </w:r>
    </w:p>
    <w:p w:rsidR="00B84BDA" w:rsidRPr="000A36FD" w:rsidP="00B84BDA" w14:paraId="25585332" w14:textId="77777777">
      <w:pPr>
        <w:pStyle w:val="ListParagraph"/>
        <w:pBdr>
          <w:top w:val="nil"/>
          <w:left w:val="nil"/>
          <w:bottom w:val="nil"/>
          <w:right w:val="nil"/>
          <w:between w:val="nil"/>
        </w:pBdr>
        <w:spacing w:line="276" w:lineRule="auto"/>
        <w:jc w:val="both"/>
      </w:pPr>
    </w:p>
    <w:p w:rsidR="0086048E" w:rsidRPr="000A36FD" w:rsidP="00E53CD6" w14:paraId="50DAE0F7" w14:textId="77777777">
      <w:pPr>
        <w:pStyle w:val="ListParagraph"/>
        <w:numPr>
          <w:ilvl w:val="1"/>
          <w:numId w:val="49"/>
        </w:numPr>
        <w:pBdr>
          <w:top w:val="nil"/>
          <w:left w:val="nil"/>
          <w:bottom w:val="nil"/>
          <w:right w:val="nil"/>
          <w:between w:val="nil"/>
        </w:pBdr>
        <w:spacing w:line="276" w:lineRule="auto"/>
        <w:jc w:val="both"/>
      </w:pPr>
      <w:r w:rsidRPr="000A36FD">
        <w:t>Solis: Pakalpojuma izmaksu, cenas un ieguvumu analīze.</w:t>
      </w:r>
    </w:p>
    <w:p w:rsidR="0086048E" w:rsidP="00E53CD6" w14:paraId="77F533E7" w14:textId="3D447D26">
      <w:pPr>
        <w:pBdr>
          <w:top w:val="nil"/>
          <w:left w:val="nil"/>
          <w:bottom w:val="nil"/>
          <w:right w:val="nil"/>
          <w:between w:val="nil"/>
        </w:pBdr>
        <w:spacing w:line="276" w:lineRule="auto"/>
        <w:ind w:left="360"/>
        <w:jc w:val="both"/>
      </w:pPr>
      <w:r>
        <w:t>I</w:t>
      </w:r>
      <w:r w:rsidRPr="7E36B5F6">
        <w:t>zvēloties MDP</w:t>
      </w:r>
      <w:r w:rsidRPr="3D7A6D44">
        <w:t>,</w:t>
      </w:r>
      <w:r w:rsidRPr="7E36B5F6">
        <w:t xml:space="preserve"> būtiski ir salīdzināt dažādu pakalpojumu sniedzēju piedāvāto</w:t>
      </w:r>
      <w:r w:rsidRPr="3D7A6D44">
        <w:t xml:space="preserve"> </w:t>
      </w:r>
      <w:r w:rsidRPr="7E36B5F6">
        <w:t xml:space="preserve">risinājumu cenas savā starpā vai pret </w:t>
      </w:r>
      <w:r>
        <w:t>līdzvērtīgu</w:t>
      </w:r>
      <w:r w:rsidRPr="7E36B5F6">
        <w:t xml:space="preserve"> LVDC pakalpojumu</w:t>
      </w:r>
      <w:r w:rsidRPr="3D7A6D44">
        <w:t xml:space="preserve"> </w:t>
      </w:r>
      <w:r w:rsidRPr="7E36B5F6">
        <w:t>pēc vienādiem parametriem un kvalitātes.</w:t>
      </w:r>
    </w:p>
    <w:p w:rsidR="0086048E" w:rsidP="00E53CD6" w14:paraId="14D50C66" w14:textId="73806FCF">
      <w:pPr>
        <w:pStyle w:val="ListParagraph"/>
        <w:numPr>
          <w:ilvl w:val="2"/>
          <w:numId w:val="49"/>
        </w:numPr>
        <w:pBdr>
          <w:top w:val="nil"/>
          <w:left w:val="nil"/>
          <w:bottom w:val="nil"/>
          <w:right w:val="nil"/>
          <w:between w:val="nil"/>
        </w:pBdr>
        <w:spacing w:line="276" w:lineRule="auto"/>
        <w:jc w:val="both"/>
      </w:pPr>
      <w:r>
        <w:t>M</w:t>
      </w:r>
      <w:r>
        <w:t>DP</w:t>
      </w:r>
      <w:r w:rsidRPr="72E24CAB">
        <w:t xml:space="preserve"> </w:t>
      </w:r>
      <w:r>
        <w:t>parametru cenas tiek noteiktas par:</w:t>
      </w:r>
    </w:p>
    <w:p w:rsidR="0086048E" w:rsidP="000830E6" w14:paraId="4C4952B0" w14:textId="77777777">
      <w:pPr>
        <w:pStyle w:val="ListParagraph"/>
        <w:numPr>
          <w:ilvl w:val="0"/>
          <w:numId w:val="47"/>
        </w:numPr>
        <w:tabs>
          <w:tab w:val="left" w:pos="1701"/>
        </w:tabs>
        <w:jc w:val="both"/>
      </w:pPr>
      <w:r>
        <w:t>Lietotāju skaitu</w:t>
      </w:r>
      <w:r w:rsidRPr="72E24CAB">
        <w:t>;</w:t>
      </w:r>
    </w:p>
    <w:p w:rsidR="0086048E" w:rsidP="000830E6" w14:paraId="33F5F52B" w14:textId="77777777">
      <w:pPr>
        <w:pStyle w:val="ListParagraph"/>
        <w:numPr>
          <w:ilvl w:val="0"/>
          <w:numId w:val="47"/>
        </w:numPr>
        <w:tabs>
          <w:tab w:val="left" w:pos="1701"/>
        </w:tabs>
        <w:jc w:val="both"/>
      </w:pPr>
      <w:r>
        <w:t>Instanču skaitu (stundā</w:t>
      </w:r>
      <w:r w:rsidRPr="72E24CAB">
        <w:t>);</w:t>
      </w:r>
    </w:p>
    <w:p w:rsidR="0086048E" w:rsidP="000830E6" w14:paraId="7DCB342E" w14:textId="77777777">
      <w:pPr>
        <w:pStyle w:val="ListParagraph"/>
        <w:numPr>
          <w:ilvl w:val="0"/>
          <w:numId w:val="47"/>
        </w:numPr>
        <w:tabs>
          <w:tab w:val="left" w:pos="1701"/>
        </w:tabs>
        <w:jc w:val="both"/>
      </w:pPr>
      <w:r>
        <w:t>Transakciju skaitu</w:t>
      </w:r>
      <w:r w:rsidRPr="72E24CAB">
        <w:t>;</w:t>
      </w:r>
    </w:p>
    <w:p w:rsidR="0086048E" w:rsidP="000830E6" w14:paraId="779DC670" w14:textId="01D8D3EB">
      <w:pPr>
        <w:pStyle w:val="ListParagraph"/>
        <w:numPr>
          <w:ilvl w:val="0"/>
          <w:numId w:val="47"/>
        </w:numPr>
        <w:tabs>
          <w:tab w:val="left" w:pos="1701"/>
        </w:tabs>
        <w:jc w:val="both"/>
      </w:pPr>
      <w:r>
        <w:t>Virtuālo procesoru skaitu,</w:t>
      </w:r>
      <w:r>
        <w:t xml:space="preserve"> procesora</w:t>
      </w:r>
      <w:r w:rsidRPr="72E24CAB">
        <w:t xml:space="preserve"> </w:t>
      </w:r>
      <w:r>
        <w:t>takts frekvenci</w:t>
      </w:r>
      <w:r w:rsidRPr="72E24CAB">
        <w:t>;</w:t>
      </w:r>
    </w:p>
    <w:p w:rsidR="0086048E" w:rsidP="000830E6" w14:paraId="7AD2AF18" w14:textId="77777777">
      <w:pPr>
        <w:pStyle w:val="ListParagraph"/>
        <w:numPr>
          <w:ilvl w:val="0"/>
          <w:numId w:val="47"/>
        </w:numPr>
        <w:tabs>
          <w:tab w:val="left" w:pos="1701"/>
        </w:tabs>
        <w:jc w:val="both"/>
      </w:pPr>
      <w:r>
        <w:t>Operatīvās atmiņas apjomu</w:t>
      </w:r>
      <w:r w:rsidRPr="72E24CAB">
        <w:t>;</w:t>
      </w:r>
    </w:p>
    <w:p w:rsidR="0086048E" w:rsidP="000830E6" w14:paraId="7F942805" w14:textId="77777777">
      <w:pPr>
        <w:pStyle w:val="ListParagraph"/>
        <w:numPr>
          <w:ilvl w:val="0"/>
          <w:numId w:val="47"/>
        </w:numPr>
        <w:tabs>
          <w:tab w:val="left" w:pos="1701"/>
        </w:tabs>
        <w:jc w:val="both"/>
      </w:pPr>
      <w:r>
        <w:t>Datu glabātuves apjomu (atkarībā no disku tipa – SATA, SAS, SSD</w:t>
      </w:r>
      <w:r w:rsidRPr="72E24CAB">
        <w:t>);</w:t>
      </w:r>
    </w:p>
    <w:p w:rsidR="0086048E" w:rsidP="000830E6" w14:paraId="71D05534" w14:textId="77777777">
      <w:pPr>
        <w:pStyle w:val="ListParagraph"/>
        <w:numPr>
          <w:ilvl w:val="0"/>
          <w:numId w:val="47"/>
        </w:numPr>
        <w:tabs>
          <w:tab w:val="left" w:pos="1701"/>
        </w:tabs>
        <w:jc w:val="both"/>
      </w:pPr>
      <w:r>
        <w:t>Datu rezerves kopiju apjoms;</w:t>
      </w:r>
    </w:p>
    <w:p w:rsidR="0086048E" w:rsidP="000830E6" w14:paraId="6061A2CD" w14:textId="77777777">
      <w:pPr>
        <w:pStyle w:val="ListParagraph"/>
        <w:numPr>
          <w:ilvl w:val="0"/>
          <w:numId w:val="47"/>
        </w:numPr>
        <w:tabs>
          <w:tab w:val="left" w:pos="1701"/>
        </w:tabs>
        <w:jc w:val="both"/>
      </w:pPr>
      <w:r>
        <w:t>Datu tīkla pieslēguma ātrumu</w:t>
      </w:r>
      <w:r w:rsidRPr="72E24CAB">
        <w:t>;</w:t>
      </w:r>
    </w:p>
    <w:p w:rsidR="0086048E" w:rsidP="000830E6" w14:paraId="1CAF7681" w14:textId="77777777">
      <w:pPr>
        <w:pStyle w:val="ListParagraph"/>
        <w:numPr>
          <w:ilvl w:val="0"/>
          <w:numId w:val="47"/>
        </w:numPr>
        <w:tabs>
          <w:tab w:val="left" w:pos="1701"/>
        </w:tabs>
        <w:jc w:val="both"/>
      </w:pPr>
      <w:r w:rsidRPr="4498B835">
        <w:t>u.c. papildus parametriem.</w:t>
      </w:r>
    </w:p>
    <w:p w:rsidR="0086048E" w:rsidP="00E53CD6" w14:paraId="1261F926" w14:textId="19E1A96A">
      <w:pPr>
        <w:pStyle w:val="ListParagraph"/>
        <w:numPr>
          <w:ilvl w:val="2"/>
          <w:numId w:val="49"/>
        </w:numPr>
        <w:pBdr>
          <w:top w:val="nil"/>
          <w:left w:val="nil"/>
          <w:bottom w:val="nil"/>
          <w:right w:val="nil"/>
          <w:between w:val="nil"/>
        </w:pBdr>
        <w:spacing w:line="276" w:lineRule="auto"/>
        <w:jc w:val="both"/>
      </w:pPr>
      <w:r w:rsidRPr="71FC117C">
        <w:t>MDP cenas atkarībā no kvalitātes tiek noteiktas pēc kritērijiem:</w:t>
      </w:r>
    </w:p>
    <w:p w:rsidR="0086048E" w:rsidP="000830E6" w14:paraId="539FE8D1" w14:textId="77777777">
      <w:pPr>
        <w:pStyle w:val="ListParagraph"/>
        <w:numPr>
          <w:ilvl w:val="0"/>
          <w:numId w:val="47"/>
        </w:numPr>
        <w:tabs>
          <w:tab w:val="left" w:pos="1701"/>
        </w:tabs>
        <w:jc w:val="both"/>
      </w:pPr>
      <w:r w:rsidRPr="5653BD43">
        <w:t>Pakalpojuma pieejamība (kā % no kopējā risinājuma pieejamības laika);</w:t>
      </w:r>
    </w:p>
    <w:p w:rsidR="0086048E" w:rsidP="000830E6" w14:paraId="38B374BD" w14:textId="77777777">
      <w:pPr>
        <w:pStyle w:val="ListParagraph"/>
        <w:numPr>
          <w:ilvl w:val="0"/>
          <w:numId w:val="47"/>
        </w:numPr>
        <w:tabs>
          <w:tab w:val="left" w:pos="1701"/>
        </w:tabs>
        <w:jc w:val="both"/>
      </w:pPr>
      <w:r w:rsidRPr="5653BD43">
        <w:t xml:space="preserve">Pakalpojuma pieejamības laiks (darba laikā, 7x24, </w:t>
      </w:r>
      <w:r w:rsidRPr="5653BD43">
        <w:t>utml</w:t>
      </w:r>
      <w:r w:rsidRPr="5653BD43">
        <w:t>);</w:t>
      </w:r>
    </w:p>
    <w:p w:rsidR="0086048E" w:rsidP="000830E6" w14:paraId="57925631" w14:textId="09B281E7">
      <w:pPr>
        <w:pStyle w:val="ListParagraph"/>
        <w:numPr>
          <w:ilvl w:val="0"/>
          <w:numId w:val="47"/>
        </w:numPr>
        <w:tabs>
          <w:tab w:val="left" w:pos="1701"/>
        </w:tabs>
        <w:jc w:val="both"/>
      </w:pPr>
      <w:r w:rsidRPr="0F0686AD">
        <w:t>Pakalpojuma atbalsta pieejamības laiks</w:t>
      </w:r>
      <w:r w:rsidR="000264FE">
        <w:t xml:space="preserve">, </w:t>
      </w:r>
      <w:r w:rsidRPr="0F0686AD">
        <w:t>līmeņi (</w:t>
      </w:r>
      <w:r w:rsidRPr="243B06D6">
        <w:t xml:space="preserve">darba laikā, 7x24, </w:t>
      </w:r>
      <w:r w:rsidRPr="243B06D6">
        <w:t>utml</w:t>
      </w:r>
      <w:r w:rsidRPr="0F0686AD">
        <w:t>);</w:t>
      </w:r>
    </w:p>
    <w:p w:rsidR="0086048E" w:rsidP="000830E6" w14:paraId="24018658" w14:textId="77777777">
      <w:pPr>
        <w:pStyle w:val="ListParagraph"/>
        <w:numPr>
          <w:ilvl w:val="0"/>
          <w:numId w:val="47"/>
        </w:numPr>
        <w:tabs>
          <w:tab w:val="left" w:pos="1701"/>
        </w:tabs>
        <w:jc w:val="both"/>
      </w:pPr>
      <w:r w:rsidRPr="243B06D6">
        <w:t>Maksimālais incidentu novēršanas laiks;</w:t>
      </w:r>
    </w:p>
    <w:p w:rsidR="00F9542C" w:rsidP="00F9542C" w14:paraId="19922C42" w14:textId="77777777">
      <w:pPr>
        <w:pStyle w:val="ListParagraph"/>
        <w:numPr>
          <w:ilvl w:val="0"/>
          <w:numId w:val="47"/>
        </w:numPr>
        <w:tabs>
          <w:tab w:val="left" w:pos="1701"/>
        </w:tabs>
        <w:jc w:val="both"/>
      </w:pPr>
      <w:r w:rsidRPr="6F7E2939">
        <w:t xml:space="preserve">Pakalpojuma </w:t>
      </w:r>
      <w:r w:rsidRPr="6F7E2939">
        <w:t>bojājumnoturība</w:t>
      </w:r>
      <w:r w:rsidRPr="6F7E2939">
        <w:t xml:space="preserve"> (rezervēts pakalpojums, ģeogrāfiski iznests pakalpojums);</w:t>
      </w:r>
    </w:p>
    <w:p w:rsidR="0086048E" w:rsidP="00F9542C" w14:paraId="2F149D83" w14:textId="17B8A177">
      <w:pPr>
        <w:pStyle w:val="ListParagraph"/>
        <w:numPr>
          <w:ilvl w:val="0"/>
          <w:numId w:val="47"/>
        </w:numPr>
        <w:tabs>
          <w:tab w:val="left" w:pos="1701"/>
        </w:tabs>
        <w:jc w:val="both"/>
      </w:pPr>
      <w:r w:rsidRPr="387318CB">
        <w:t>Pakalpojuma pieļaujamais nepieejamības laiks un datu zudums (</w:t>
      </w:r>
      <w:r w:rsidRPr="00F9542C">
        <w:rPr>
          <w:i/>
          <w:iCs/>
          <w:color w:val="414142"/>
          <w:sz w:val="19"/>
          <w:szCs w:val="19"/>
        </w:rPr>
        <w:t>Recovery</w:t>
      </w:r>
      <w:r w:rsidRPr="00F9542C">
        <w:rPr>
          <w:i/>
          <w:iCs/>
          <w:color w:val="414142"/>
          <w:sz w:val="19"/>
          <w:szCs w:val="19"/>
        </w:rPr>
        <w:t xml:space="preserve"> </w:t>
      </w:r>
      <w:r w:rsidRPr="00F9542C">
        <w:rPr>
          <w:i/>
          <w:iCs/>
          <w:color w:val="414142"/>
          <w:sz w:val="19"/>
          <w:szCs w:val="19"/>
        </w:rPr>
        <w:t>Time</w:t>
      </w:r>
      <w:r w:rsidRPr="00F9542C">
        <w:rPr>
          <w:i/>
          <w:iCs/>
          <w:color w:val="414142"/>
          <w:sz w:val="19"/>
          <w:szCs w:val="19"/>
        </w:rPr>
        <w:t xml:space="preserve"> </w:t>
      </w:r>
      <w:r w:rsidRPr="00F9542C">
        <w:rPr>
          <w:i/>
          <w:iCs/>
          <w:color w:val="414142"/>
          <w:sz w:val="19"/>
          <w:szCs w:val="19"/>
        </w:rPr>
        <w:t>Objective</w:t>
      </w:r>
      <w:r w:rsidRPr="00F9542C">
        <w:rPr>
          <w:i/>
          <w:iCs/>
          <w:color w:val="414142"/>
          <w:sz w:val="19"/>
          <w:szCs w:val="19"/>
        </w:rPr>
        <w:t xml:space="preserve">, </w:t>
      </w:r>
      <w:r w:rsidRPr="00F9542C">
        <w:rPr>
          <w:i/>
          <w:iCs/>
          <w:color w:val="414142"/>
          <w:sz w:val="19"/>
          <w:szCs w:val="19"/>
        </w:rPr>
        <w:t>Recovery</w:t>
      </w:r>
      <w:r w:rsidRPr="00F9542C">
        <w:rPr>
          <w:i/>
          <w:iCs/>
          <w:color w:val="414142"/>
          <w:sz w:val="19"/>
          <w:szCs w:val="19"/>
        </w:rPr>
        <w:t xml:space="preserve"> </w:t>
      </w:r>
      <w:r w:rsidRPr="00F9542C">
        <w:rPr>
          <w:i/>
          <w:iCs/>
          <w:color w:val="414142"/>
          <w:sz w:val="19"/>
          <w:szCs w:val="19"/>
        </w:rPr>
        <w:t>Point</w:t>
      </w:r>
      <w:r w:rsidRPr="00F9542C">
        <w:rPr>
          <w:i/>
          <w:iCs/>
          <w:color w:val="414142"/>
          <w:sz w:val="19"/>
          <w:szCs w:val="19"/>
        </w:rPr>
        <w:t xml:space="preserve"> </w:t>
      </w:r>
      <w:r w:rsidRPr="00F9542C">
        <w:rPr>
          <w:i/>
          <w:iCs/>
          <w:color w:val="414142"/>
          <w:sz w:val="19"/>
          <w:szCs w:val="19"/>
        </w:rPr>
        <w:t>Objective</w:t>
      </w:r>
      <w:r w:rsidRPr="387318CB">
        <w:t>);</w:t>
      </w:r>
    </w:p>
    <w:p w:rsidR="0086048E" w:rsidP="00F9542C" w14:paraId="44EB773E" w14:textId="77777777">
      <w:pPr>
        <w:pStyle w:val="ListParagraph"/>
        <w:numPr>
          <w:ilvl w:val="0"/>
          <w:numId w:val="47"/>
        </w:numPr>
        <w:tabs>
          <w:tab w:val="left" w:pos="1701"/>
        </w:tabs>
        <w:jc w:val="both"/>
      </w:pPr>
      <w:r w:rsidRPr="4D9294DF">
        <w:t>Tīkla latentums;</w:t>
      </w:r>
    </w:p>
    <w:p w:rsidR="0086048E" w:rsidP="00F9542C" w14:paraId="184A5866" w14:textId="77777777">
      <w:pPr>
        <w:pStyle w:val="ListParagraph"/>
        <w:numPr>
          <w:ilvl w:val="0"/>
          <w:numId w:val="47"/>
        </w:numPr>
        <w:tabs>
          <w:tab w:val="left" w:pos="1701"/>
        </w:tabs>
        <w:jc w:val="both"/>
      </w:pPr>
      <w:r w:rsidRPr="4D9294DF">
        <w:t>u.c. kvalitātes kritēriji.</w:t>
      </w:r>
    </w:p>
    <w:p w:rsidR="0086048E" w:rsidP="00E53CD6" w14:paraId="772DF07B" w14:textId="051EBD09">
      <w:pPr>
        <w:pStyle w:val="ListParagraph"/>
        <w:numPr>
          <w:ilvl w:val="2"/>
          <w:numId w:val="49"/>
        </w:numPr>
        <w:pBdr>
          <w:top w:val="nil"/>
          <w:left w:val="nil"/>
          <w:bottom w:val="nil"/>
          <w:right w:val="nil"/>
          <w:between w:val="nil"/>
        </w:pBdr>
        <w:spacing w:line="276" w:lineRule="auto"/>
        <w:jc w:val="both"/>
      </w:pPr>
      <w:r w:rsidRPr="6E9F2DED">
        <w:t>MDP pakalpojuma norēķinu modelis</w:t>
      </w:r>
      <w:r w:rsidR="000264FE">
        <w:t xml:space="preserve">, </w:t>
      </w:r>
      <w:r w:rsidRPr="6E9F2DED">
        <w:t>norēķinu periods</w:t>
      </w:r>
    </w:p>
    <w:p w:rsidR="0086048E" w:rsidP="00F9542C" w14:paraId="386F9E10" w14:textId="77777777">
      <w:pPr>
        <w:pStyle w:val="ListParagraph"/>
        <w:numPr>
          <w:ilvl w:val="0"/>
          <w:numId w:val="47"/>
        </w:numPr>
        <w:tabs>
          <w:tab w:val="left" w:pos="1701"/>
        </w:tabs>
        <w:jc w:val="both"/>
      </w:pPr>
      <w:r w:rsidRPr="6831A73E">
        <w:t>Fiksēta maksa par noteiktu pakalpojuma apjomu;</w:t>
      </w:r>
    </w:p>
    <w:p w:rsidR="0086048E" w:rsidP="00F9542C" w14:paraId="2D0F9D90" w14:textId="77777777">
      <w:pPr>
        <w:pStyle w:val="ListParagraph"/>
        <w:numPr>
          <w:ilvl w:val="0"/>
          <w:numId w:val="47"/>
        </w:numPr>
        <w:tabs>
          <w:tab w:val="left" w:pos="1701"/>
        </w:tabs>
        <w:jc w:val="both"/>
      </w:pPr>
      <w:r w:rsidRPr="1BC481AD">
        <w:t>Mainīga maksa atkarībā no izmantoto resursu apjoma;</w:t>
      </w:r>
    </w:p>
    <w:p w:rsidR="0086048E" w:rsidP="00F9542C" w14:paraId="4B1C574F" w14:textId="68140B74">
      <w:pPr>
        <w:pStyle w:val="ListParagraph"/>
        <w:numPr>
          <w:ilvl w:val="0"/>
          <w:numId w:val="47"/>
        </w:numPr>
        <w:tabs>
          <w:tab w:val="left" w:pos="1701"/>
        </w:tabs>
        <w:jc w:val="both"/>
      </w:pPr>
      <w:r w:rsidRPr="36D5B7FD">
        <w:t>Maksa mēnesī</w:t>
      </w:r>
      <w:r w:rsidR="000264FE">
        <w:t xml:space="preserve">, </w:t>
      </w:r>
      <w:r w:rsidRPr="36D5B7FD">
        <w:t>ceturksnī</w:t>
      </w:r>
      <w:r w:rsidR="000264FE">
        <w:t xml:space="preserve">, </w:t>
      </w:r>
      <w:r w:rsidR="00F9542C">
        <w:t>gadā.</w:t>
      </w:r>
    </w:p>
    <w:p w:rsidR="00E53CD6" w:rsidP="00DD5AA0" w14:paraId="7FDD4E1D" w14:textId="77777777">
      <w:pPr>
        <w:pBdr>
          <w:top w:val="nil"/>
          <w:left w:val="nil"/>
          <w:bottom w:val="nil"/>
          <w:right w:val="nil"/>
          <w:between w:val="nil"/>
        </w:pBdr>
        <w:spacing w:line="276" w:lineRule="auto"/>
        <w:jc w:val="both"/>
      </w:pPr>
    </w:p>
    <w:p w:rsidR="0086048E" w:rsidP="00DD5AA0" w14:paraId="194E3BCE" w14:textId="30B93C93">
      <w:pPr>
        <w:pBdr>
          <w:top w:val="nil"/>
          <w:left w:val="nil"/>
          <w:bottom w:val="nil"/>
          <w:right w:val="nil"/>
          <w:between w:val="nil"/>
        </w:pBdr>
        <w:spacing w:line="276" w:lineRule="auto"/>
        <w:jc w:val="both"/>
      </w:pPr>
      <w:r>
        <w:t>I</w:t>
      </w:r>
      <w:r>
        <w:t xml:space="preserve">zvērtējot MDP izvēli, ir būtiski izvērtēt MDP kopējo ekonomisko vērtību (parasti 5 gadu periodā) un salīdzināt to ar alternatīviem risinājumiem (LVDC infrastruktūra / LVDC MDP / Komerciālie MDP / Publiskie MDP), ņemot vērā ieviešanas, migrācijas, darbināšanas izmaksas, ietaupījumus naudas izteiksmē, netiešos ieguvumus, riskus. MDP izmaksu un ieguvumu analīzes piemērs ir </w:t>
      </w:r>
      <w:r w:rsidR="001A2394">
        <w:t>atspoguļots</w:t>
      </w:r>
      <w:r>
        <w:t xml:space="preserve"> šī pielikuma </w:t>
      </w:r>
      <w:r w:rsidR="000264FE">
        <w:t xml:space="preserve">2.punktā. </w:t>
      </w:r>
    </w:p>
    <w:p w:rsidR="0086048E" w:rsidP="0086048E" w14:paraId="1A45E130" w14:textId="395578CF">
      <w:pPr>
        <w:pStyle w:val="Heading3"/>
        <w:numPr>
          <w:ilvl w:val="2"/>
          <w:numId w:val="0"/>
        </w:numPr>
        <w:pBdr>
          <w:top w:val="nil"/>
          <w:left w:val="nil"/>
          <w:bottom w:val="nil"/>
          <w:right w:val="nil"/>
          <w:between w:val="nil"/>
        </w:pBdr>
        <w:spacing w:before="200" w:line="276" w:lineRule="auto"/>
        <w:ind w:left="720" w:hanging="720"/>
      </w:pPr>
      <w:bookmarkStart w:id="17" w:name="_Toc496001906"/>
      <w:bookmarkStart w:id="18" w:name="_Toc497818710"/>
      <w:bookmarkStart w:id="19" w:name="_Toc497995254"/>
      <w:bookmarkStart w:id="20" w:name="_Toc498017009"/>
      <w:bookmarkStart w:id="21" w:name="_Ref498344685"/>
      <w:bookmarkStart w:id="22" w:name="_Toc498419996"/>
      <w:r>
        <w:t xml:space="preserve">2. </w:t>
      </w:r>
      <w:r>
        <w:t>Izmaksu un ieguvumu analīze (piemērs)</w:t>
      </w:r>
      <w:bookmarkEnd w:id="17"/>
      <w:bookmarkEnd w:id="18"/>
      <w:bookmarkEnd w:id="19"/>
      <w:bookmarkEnd w:id="20"/>
      <w:bookmarkEnd w:id="21"/>
      <w:bookmarkEnd w:id="22"/>
      <w:r w:rsidRPr="096147F3">
        <w:t xml:space="preserve"> </w:t>
      </w:r>
    </w:p>
    <w:p w:rsidR="0086048E" w:rsidP="0086048E" w14:paraId="05DCBAB8" w14:textId="628F0F59">
      <w:r>
        <w:t xml:space="preserve">Izvērtējot </w:t>
      </w:r>
      <w:r w:rsidR="00B84BDA">
        <w:t>MDP</w:t>
      </w:r>
      <w:r w:rsidR="00B84BDA">
        <w:t xml:space="preserve"> </w:t>
      </w:r>
      <w:r>
        <w:t xml:space="preserve"> </w:t>
      </w:r>
      <w:r>
        <w:t>kopējo ekonomisko vērtību</w:t>
      </w:r>
      <w:r w:rsidR="00B84BDA">
        <w:t>,</w:t>
      </w:r>
      <w:r>
        <w:t xml:space="preserve"> literatūrā tiek analizētas šādas dimensijas:</w:t>
      </w:r>
    </w:p>
    <w:p w:rsidR="00F9542C" w:rsidRPr="00F9542C" w:rsidP="00F9542C" w14:paraId="59FEB1ED" w14:textId="77777777">
      <w:pPr>
        <w:pStyle w:val="ListParagraph"/>
        <w:numPr>
          <w:ilvl w:val="0"/>
          <w:numId w:val="48"/>
        </w:numPr>
        <w:pBdr>
          <w:top w:val="nil"/>
          <w:left w:val="nil"/>
          <w:bottom w:val="nil"/>
          <w:right w:val="nil"/>
          <w:between w:val="nil"/>
        </w:pBdr>
        <w:spacing w:line="276" w:lineRule="auto"/>
        <w:jc w:val="both"/>
        <w:rPr>
          <w:vanish/>
        </w:rPr>
      </w:pPr>
    </w:p>
    <w:p w:rsidR="00F9542C" w:rsidRPr="00F9542C" w:rsidP="00F9542C" w14:paraId="6C8C6FF5" w14:textId="77777777">
      <w:pPr>
        <w:pStyle w:val="ListParagraph"/>
        <w:numPr>
          <w:ilvl w:val="0"/>
          <w:numId w:val="48"/>
        </w:numPr>
        <w:pBdr>
          <w:top w:val="nil"/>
          <w:left w:val="nil"/>
          <w:bottom w:val="nil"/>
          <w:right w:val="nil"/>
          <w:between w:val="nil"/>
        </w:pBdr>
        <w:spacing w:line="276" w:lineRule="auto"/>
        <w:jc w:val="both"/>
        <w:rPr>
          <w:vanish/>
        </w:rPr>
      </w:pPr>
    </w:p>
    <w:p w:rsidR="0086048E" w:rsidP="00F9542C" w14:paraId="7FF3D4DF" w14:textId="1AFCBA86">
      <w:pPr>
        <w:pStyle w:val="ListParagraph"/>
        <w:numPr>
          <w:ilvl w:val="0"/>
          <w:numId w:val="47"/>
        </w:numPr>
        <w:tabs>
          <w:tab w:val="left" w:pos="1701"/>
        </w:tabs>
        <w:jc w:val="both"/>
      </w:pPr>
      <w:r>
        <w:t>Izmaksas (ieviešanas/migrācijas/darbināšanas)</w:t>
      </w:r>
      <w:r w:rsidR="00B84BDA">
        <w:t>;</w:t>
      </w:r>
    </w:p>
    <w:p w:rsidR="0086048E" w:rsidP="00F9542C" w14:paraId="483A5969" w14:textId="0D3E458F">
      <w:pPr>
        <w:pStyle w:val="ListParagraph"/>
        <w:numPr>
          <w:ilvl w:val="0"/>
          <w:numId w:val="47"/>
        </w:numPr>
        <w:tabs>
          <w:tab w:val="left" w:pos="1701"/>
        </w:tabs>
        <w:jc w:val="both"/>
      </w:pPr>
      <w:r>
        <w:t>Ieguvumi (ietaupījumi naudas izteiksmē)</w:t>
      </w:r>
      <w:r w:rsidR="00B84BDA">
        <w:t>;</w:t>
      </w:r>
    </w:p>
    <w:p w:rsidR="0086048E" w:rsidP="00F9542C" w14:paraId="0184E84A" w14:textId="28FF2E75">
      <w:pPr>
        <w:pStyle w:val="ListParagraph"/>
        <w:numPr>
          <w:ilvl w:val="0"/>
          <w:numId w:val="47"/>
        </w:numPr>
        <w:tabs>
          <w:tab w:val="left" w:pos="1701"/>
        </w:tabs>
        <w:jc w:val="both"/>
      </w:pPr>
      <w:r>
        <w:t>Netaustāmie ieguvumi (elastība/mērogojamība/adaptācijas/pielāgošanas iespējas)</w:t>
      </w:r>
      <w:r w:rsidR="00B84BDA">
        <w:t>;</w:t>
      </w:r>
    </w:p>
    <w:p w:rsidR="0086048E" w:rsidP="00F9542C" w14:paraId="62D01BDF" w14:textId="60A5F81F">
      <w:pPr>
        <w:pStyle w:val="ListParagraph"/>
        <w:numPr>
          <w:ilvl w:val="0"/>
          <w:numId w:val="47"/>
        </w:numPr>
        <w:tabs>
          <w:tab w:val="left" w:pos="1701"/>
        </w:tabs>
        <w:jc w:val="both"/>
      </w:pPr>
      <w:r>
        <w:t>Riski (tehnoloģiskie/normatīvie)</w:t>
      </w:r>
      <w:r w:rsidR="00B84BDA">
        <w:t>.</w:t>
      </w:r>
    </w:p>
    <w:p w:rsidR="0086048E" w:rsidP="0086048E" w14:paraId="64CA34AB" w14:textId="77777777">
      <w:pPr>
        <w:ind w:left="1440"/>
      </w:pPr>
    </w:p>
    <w:p w:rsidR="00E53CD6" w:rsidRPr="00E53CD6" w:rsidP="00E53CD6" w14:paraId="09CB084B" w14:textId="77777777">
      <w:pPr>
        <w:pStyle w:val="ListParagraph"/>
        <w:numPr>
          <w:ilvl w:val="0"/>
          <w:numId w:val="49"/>
        </w:numPr>
        <w:pBdr>
          <w:top w:val="nil"/>
          <w:left w:val="nil"/>
          <w:bottom w:val="nil"/>
          <w:right w:val="nil"/>
          <w:between w:val="nil"/>
        </w:pBdr>
        <w:spacing w:line="276" w:lineRule="auto"/>
        <w:jc w:val="both"/>
        <w:rPr>
          <w:vanish/>
        </w:rPr>
      </w:pPr>
    </w:p>
    <w:p w:rsidR="0086048E" w:rsidP="00E53CD6" w14:paraId="3C5376B0" w14:textId="096F3182">
      <w:pPr>
        <w:pStyle w:val="ListParagraph"/>
        <w:numPr>
          <w:ilvl w:val="1"/>
          <w:numId w:val="49"/>
        </w:numPr>
        <w:pBdr>
          <w:top w:val="nil"/>
          <w:left w:val="nil"/>
          <w:bottom w:val="nil"/>
          <w:right w:val="nil"/>
          <w:between w:val="nil"/>
        </w:pBdr>
        <w:spacing w:line="276" w:lineRule="auto"/>
        <w:jc w:val="both"/>
      </w:pPr>
      <w:r>
        <w:t>Pieņēmumi:</w:t>
      </w:r>
    </w:p>
    <w:p w:rsidR="0086048E" w:rsidP="00C72B45" w14:paraId="68FD0D5C" w14:textId="5A2CB140">
      <w:pPr>
        <w:pStyle w:val="ListParagraph"/>
        <w:numPr>
          <w:ilvl w:val="2"/>
          <w:numId w:val="49"/>
        </w:numPr>
        <w:pBdr>
          <w:top w:val="nil"/>
          <w:left w:val="nil"/>
          <w:bottom w:val="nil"/>
          <w:right w:val="nil"/>
          <w:between w:val="nil"/>
        </w:pBdr>
        <w:spacing w:line="276" w:lineRule="auto"/>
        <w:jc w:val="both"/>
      </w:pPr>
      <w:r>
        <w:t>Aprēķini tiek veikti 5 gadu periodā</w:t>
      </w:r>
      <w:r w:rsidR="00B84BDA">
        <w:t>.</w:t>
      </w:r>
    </w:p>
    <w:p w:rsidR="0086048E" w:rsidP="00C72B45" w14:paraId="4EF670F1" w14:textId="22C9BE22">
      <w:pPr>
        <w:pStyle w:val="ListParagraph"/>
        <w:numPr>
          <w:ilvl w:val="2"/>
          <w:numId w:val="49"/>
        </w:numPr>
        <w:pBdr>
          <w:top w:val="nil"/>
          <w:left w:val="nil"/>
          <w:bottom w:val="nil"/>
          <w:right w:val="nil"/>
          <w:between w:val="nil"/>
        </w:pBdr>
        <w:spacing w:line="276" w:lineRule="auto"/>
        <w:jc w:val="both"/>
      </w:pPr>
      <w:r>
        <w:t xml:space="preserve">Tiek pieņemts, ka gadījumā, ja tiek izvēlēta ne </w:t>
      </w:r>
      <w:r>
        <w:t>mākoņdatošanas</w:t>
      </w:r>
      <w:r>
        <w:t xml:space="preserve"> alternatīva, pēc 5 gadiem ir jāveic investīcijas IKT infrastruktūrā</w:t>
      </w:r>
      <w:r w:rsidR="00B84BDA">
        <w:t>,</w:t>
      </w:r>
      <w:r>
        <w:t xml:space="preserve"> to nomainot par 70%</w:t>
      </w:r>
      <w:r w:rsidR="00B84BDA">
        <w:t>;</w:t>
      </w:r>
    </w:p>
    <w:p w:rsidR="00C72B45" w:rsidP="00C72B45" w14:paraId="1D1D9CAB" w14:textId="77777777">
      <w:pPr>
        <w:pStyle w:val="ListParagraph"/>
        <w:numPr>
          <w:ilvl w:val="2"/>
          <w:numId w:val="49"/>
        </w:numPr>
        <w:pBdr>
          <w:top w:val="nil"/>
          <w:left w:val="nil"/>
          <w:bottom w:val="nil"/>
          <w:right w:val="nil"/>
          <w:between w:val="nil"/>
        </w:pBdr>
        <w:spacing w:line="276" w:lineRule="auto"/>
        <w:jc w:val="both"/>
      </w:pPr>
      <w:r>
        <w:t xml:space="preserve">Aktuālās IKT uzturēšanas izmaksas Latvijas valsts sektorā - 41 miljons </w:t>
      </w:r>
      <w:r w:rsidRPr="00C72B45" w:rsidR="00B84BDA">
        <w:rPr>
          <w:i/>
        </w:rPr>
        <w:t>euro</w:t>
      </w:r>
      <w:r w:rsidRPr="00C72B45">
        <w:t xml:space="preserve"> </w:t>
      </w:r>
      <w:r>
        <w:t>gadā</w:t>
      </w:r>
      <w:r>
        <w:footnoteReference w:id="2"/>
      </w:r>
      <w:r w:rsidR="005D1112">
        <w:t>.</w:t>
      </w:r>
    </w:p>
    <w:p w:rsidR="00C72B45" w:rsidP="00C72B45" w14:paraId="4880E8E1" w14:textId="77777777">
      <w:pPr>
        <w:pStyle w:val="ListParagraph"/>
        <w:numPr>
          <w:ilvl w:val="2"/>
          <w:numId w:val="49"/>
        </w:numPr>
        <w:pBdr>
          <w:top w:val="nil"/>
          <w:left w:val="nil"/>
          <w:bottom w:val="nil"/>
          <w:right w:val="nil"/>
          <w:between w:val="nil"/>
        </w:pBdr>
        <w:spacing w:line="276" w:lineRule="auto"/>
        <w:jc w:val="both"/>
      </w:pPr>
      <w:r>
        <w:t xml:space="preserve">Plānotie ieguldījumi IKT sistēmās no ERAF 90 miljoni </w:t>
      </w:r>
      <w:r w:rsidRPr="00C72B45" w:rsidR="00B84BDA">
        <w:rPr>
          <w:i/>
        </w:rPr>
        <w:t>euro</w:t>
      </w:r>
      <w:r>
        <w:t xml:space="preserve"> līdz 2022</w:t>
      </w:r>
      <w:r>
        <w:rPr>
          <w:vertAlign w:val="superscript"/>
        </w:rPr>
        <w:footnoteReference w:id="3"/>
      </w:r>
      <w:r w:rsidR="005D1112">
        <w:t>.</w:t>
      </w:r>
    </w:p>
    <w:p w:rsidR="0086048E" w:rsidP="00C72B45" w14:paraId="1690D8E0" w14:textId="1472D3F6">
      <w:pPr>
        <w:pStyle w:val="ListParagraph"/>
        <w:numPr>
          <w:ilvl w:val="2"/>
          <w:numId w:val="49"/>
        </w:numPr>
        <w:pBdr>
          <w:top w:val="nil"/>
          <w:left w:val="nil"/>
          <w:bottom w:val="nil"/>
          <w:right w:val="nil"/>
          <w:between w:val="nil"/>
        </w:pBdr>
        <w:spacing w:line="276" w:lineRule="auto"/>
        <w:jc w:val="both"/>
      </w:pPr>
      <w:r>
        <w:t xml:space="preserve">Uzturēšanas izmaksas gadā informācijas sistēmai pēc tās nodošanas ekspluatācijā </w:t>
      </w:r>
      <w:r w:rsidR="005D1112">
        <w:t xml:space="preserve">- </w:t>
      </w:r>
      <w:r>
        <w:t>20% no ieviešanas projekta apjoma, kas radīsies sekojošā dinamikā</w:t>
      </w:r>
      <w:r w:rsidR="005D1112">
        <w:t xml:space="preserve">: </w:t>
      </w:r>
      <w:r>
        <w:t xml:space="preserve">1. gads – bez izmaiņām, 2. gads </w:t>
      </w:r>
      <w:r w:rsidR="005D1112">
        <w:t xml:space="preserve">- </w:t>
      </w:r>
      <w:r>
        <w:t xml:space="preserve">10% no 90 miljonu </w:t>
      </w:r>
      <w:r w:rsidRPr="00C72B45" w:rsidR="00B84BDA">
        <w:rPr>
          <w:i/>
        </w:rPr>
        <w:t>euro</w:t>
      </w:r>
      <w:r>
        <w:t xml:space="preserve"> ieguldījumiem nodoti ekspluatācijā – uzturēšana papildus 1,8 miljoni </w:t>
      </w:r>
      <w:r w:rsidRPr="00C72B45" w:rsidR="00B84BDA">
        <w:rPr>
          <w:i/>
        </w:rPr>
        <w:t>euro</w:t>
      </w:r>
      <w:r>
        <w:t xml:space="preserve">; 3. gads </w:t>
      </w:r>
      <w:r w:rsidR="005D1112">
        <w:t xml:space="preserve">- </w:t>
      </w:r>
      <w:r>
        <w:t xml:space="preserve">20% no 90 miljonu </w:t>
      </w:r>
      <w:r w:rsidRPr="00C72B45" w:rsidR="00B84BDA">
        <w:rPr>
          <w:i/>
        </w:rPr>
        <w:t>euro</w:t>
      </w:r>
      <w:r w:rsidRPr="00C72B45" w:rsidR="00B84BDA">
        <w:rPr>
          <w:i/>
        </w:rPr>
        <w:t xml:space="preserve"> </w:t>
      </w:r>
      <w:r>
        <w:t xml:space="preserve">ieguldījumiem nodoti ekspluatācijā uzturēšana papildus 3,6 miljoni </w:t>
      </w:r>
      <w:r w:rsidRPr="00C72B45" w:rsidR="00B84BDA">
        <w:rPr>
          <w:i/>
        </w:rPr>
        <w:t>euro</w:t>
      </w:r>
      <w:r w:rsidRPr="00C72B45" w:rsidR="0015039F">
        <w:rPr>
          <w:i/>
        </w:rPr>
        <w:t xml:space="preserve">; </w:t>
      </w:r>
      <w:r>
        <w:t xml:space="preserve">4. gads </w:t>
      </w:r>
      <w:r w:rsidR="0015039F">
        <w:t xml:space="preserve">- </w:t>
      </w:r>
      <w:r>
        <w:t xml:space="preserve">50% no 90 miljonu </w:t>
      </w:r>
      <w:r w:rsidRPr="00C72B45" w:rsidR="00B84BDA">
        <w:rPr>
          <w:i/>
        </w:rPr>
        <w:t>euro</w:t>
      </w:r>
      <w:r>
        <w:t xml:space="preserve"> ieguldījumiem nodoti ekspluatācijā </w:t>
      </w:r>
      <w:r w:rsidR="0015039F">
        <w:t xml:space="preserve">- </w:t>
      </w:r>
      <w:r>
        <w:t xml:space="preserve">uzturēšana papildus 9 miljoni </w:t>
      </w:r>
      <w:r w:rsidRPr="00C72B45" w:rsidR="00B84BDA">
        <w:rPr>
          <w:i/>
        </w:rPr>
        <w:t>euro</w:t>
      </w:r>
      <w:r>
        <w:t xml:space="preserve">; 5. </w:t>
      </w:r>
      <w:r w:rsidR="0015039F">
        <w:t>g</w:t>
      </w:r>
      <w:r>
        <w:t>ads</w:t>
      </w:r>
      <w:r w:rsidR="0015039F">
        <w:t xml:space="preserve"> -</w:t>
      </w:r>
      <w:r>
        <w:t xml:space="preserve"> 100% no 90 miljonu </w:t>
      </w:r>
      <w:r w:rsidRPr="00C72B45" w:rsidR="00B84BDA">
        <w:rPr>
          <w:i/>
        </w:rPr>
        <w:t>euro</w:t>
      </w:r>
      <w:r>
        <w:t xml:space="preserve"> ieguldījumiem nodoti ekspluatācijā </w:t>
      </w:r>
      <w:r w:rsidR="0015039F">
        <w:t xml:space="preserve">- </w:t>
      </w:r>
      <w:r>
        <w:t xml:space="preserve">uzturēšana papildus 18 miljoni </w:t>
      </w:r>
      <w:r w:rsidRPr="00C72B45" w:rsidR="00B84BDA">
        <w:rPr>
          <w:i/>
        </w:rPr>
        <w:t>euro</w:t>
      </w:r>
      <w:r w:rsidRPr="00C72B45" w:rsidR="00D56981">
        <w:rPr>
          <w:i/>
        </w:rPr>
        <w:t>.</w:t>
      </w:r>
    </w:p>
    <w:p w:rsidR="0086048E" w:rsidP="00A21B07" w14:paraId="4DDCC83D" w14:textId="212447C3">
      <w:pPr>
        <w:jc w:val="right"/>
      </w:pPr>
      <w:r>
        <w:t>1.tabula</w:t>
      </w:r>
    </w:p>
    <w:tbl>
      <w:tblPr>
        <w:tblW w:w="81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1723"/>
        <w:gridCol w:w="3245"/>
        <w:gridCol w:w="3191"/>
      </w:tblGrid>
      <w:tr w14:paraId="694612C2" w14:textId="77777777" w:rsidTr="00690E39">
        <w:tblPrEx>
          <w:tblW w:w="81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Ex>
        <w:trPr>
          <w:trHeight w:val="683"/>
        </w:trPr>
        <w:tc>
          <w:tcPr>
            <w:tcW w:w="1723"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rsidR="0086048E" w:rsidP="002B4C0D" w14:paraId="29FAB536" w14:textId="77777777">
            <w:r>
              <w:t>Gads</w:t>
            </w:r>
          </w:p>
        </w:tc>
        <w:tc>
          <w:tcPr>
            <w:tcW w:w="324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P="002B4C0D" w14:paraId="1206A56C" w14:textId="77777777">
            <w:r>
              <w:t>Ekspluatācijā nodotās sistēmas (procentuāli)</w:t>
            </w:r>
          </w:p>
        </w:tc>
        <w:tc>
          <w:tcPr>
            <w:tcW w:w="3191"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P="002B4C0D" w14:paraId="2404DAAE" w14:textId="77777777">
            <w:r>
              <w:t>Papildus uzturēšanas izmaksas (kumulatīvi) miljoni EUR</w:t>
            </w:r>
          </w:p>
        </w:tc>
      </w:tr>
      <w:tr w14:paraId="2A27EACC" w14:textId="77777777" w:rsidTr="00690E39">
        <w:tblPrEx>
          <w:tblW w:w="8159" w:type="dxa"/>
          <w:tblInd w:w="100" w:type="dxa"/>
          <w:tblLayout w:type="fixed"/>
          <w:tblCellMar>
            <w:top w:w="100" w:type="dxa"/>
            <w:left w:w="100" w:type="dxa"/>
            <w:bottom w:w="100" w:type="dxa"/>
            <w:right w:w="100" w:type="dxa"/>
          </w:tblCellMar>
          <w:tblLook w:val="0600"/>
        </w:tblPrEx>
        <w:trPr>
          <w:trHeight w:val="426"/>
        </w:trPr>
        <w:tc>
          <w:tcPr>
            <w:tcW w:w="1723"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404A9C9B" w14:textId="77777777">
            <w:r>
              <w:t>1.   gads</w:t>
            </w:r>
          </w:p>
        </w:tc>
        <w:tc>
          <w:tcPr>
            <w:tcW w:w="324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966B104" w14:textId="77777777">
            <w:r>
              <w:t>0</w:t>
            </w:r>
          </w:p>
        </w:tc>
        <w:tc>
          <w:tcPr>
            <w:tcW w:w="319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43A19D9A" w14:textId="77777777">
            <w:r>
              <w:t>0</w:t>
            </w:r>
          </w:p>
        </w:tc>
      </w:tr>
      <w:tr w14:paraId="10590CC2" w14:textId="77777777" w:rsidTr="00690E39">
        <w:tblPrEx>
          <w:tblW w:w="8159" w:type="dxa"/>
          <w:tblInd w:w="100" w:type="dxa"/>
          <w:tblLayout w:type="fixed"/>
          <w:tblCellMar>
            <w:top w:w="100" w:type="dxa"/>
            <w:left w:w="100" w:type="dxa"/>
            <w:bottom w:w="100" w:type="dxa"/>
            <w:right w:w="100" w:type="dxa"/>
          </w:tblCellMar>
          <w:tblLook w:val="0600"/>
        </w:tblPrEx>
        <w:trPr>
          <w:trHeight w:val="426"/>
        </w:trPr>
        <w:tc>
          <w:tcPr>
            <w:tcW w:w="1723"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58676362" w14:textId="77777777">
            <w:r>
              <w:t>2.   gads</w:t>
            </w:r>
          </w:p>
        </w:tc>
        <w:tc>
          <w:tcPr>
            <w:tcW w:w="324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115C8730" w14:textId="77777777">
            <w:r>
              <w:t>10</w:t>
            </w:r>
          </w:p>
        </w:tc>
        <w:tc>
          <w:tcPr>
            <w:tcW w:w="319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25BAF516" w14:textId="77777777">
            <w:r>
              <w:t>1,8</w:t>
            </w:r>
          </w:p>
        </w:tc>
      </w:tr>
      <w:tr w14:paraId="1237F12F" w14:textId="77777777" w:rsidTr="00690E39">
        <w:tblPrEx>
          <w:tblW w:w="8159" w:type="dxa"/>
          <w:tblInd w:w="100" w:type="dxa"/>
          <w:tblLayout w:type="fixed"/>
          <w:tblCellMar>
            <w:top w:w="100" w:type="dxa"/>
            <w:left w:w="100" w:type="dxa"/>
            <w:bottom w:w="100" w:type="dxa"/>
            <w:right w:w="100" w:type="dxa"/>
          </w:tblCellMar>
          <w:tblLook w:val="0600"/>
        </w:tblPrEx>
        <w:trPr>
          <w:trHeight w:val="426"/>
        </w:trPr>
        <w:tc>
          <w:tcPr>
            <w:tcW w:w="1723"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434B380E" w14:textId="77777777">
            <w:r>
              <w:t>3.   gads</w:t>
            </w:r>
          </w:p>
        </w:tc>
        <w:tc>
          <w:tcPr>
            <w:tcW w:w="324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7B2592A" w14:textId="77777777">
            <w:r>
              <w:t>20</w:t>
            </w:r>
          </w:p>
        </w:tc>
        <w:tc>
          <w:tcPr>
            <w:tcW w:w="319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50135F32" w14:textId="77777777">
            <w:r>
              <w:t>3,6</w:t>
            </w:r>
          </w:p>
        </w:tc>
      </w:tr>
      <w:tr w14:paraId="1BA486BD" w14:textId="77777777" w:rsidTr="00690E39">
        <w:tblPrEx>
          <w:tblW w:w="8159" w:type="dxa"/>
          <w:tblInd w:w="100" w:type="dxa"/>
          <w:tblLayout w:type="fixed"/>
          <w:tblCellMar>
            <w:top w:w="100" w:type="dxa"/>
            <w:left w:w="100" w:type="dxa"/>
            <w:bottom w:w="100" w:type="dxa"/>
            <w:right w:w="100" w:type="dxa"/>
          </w:tblCellMar>
          <w:tblLook w:val="0600"/>
        </w:tblPrEx>
        <w:trPr>
          <w:trHeight w:val="426"/>
        </w:trPr>
        <w:tc>
          <w:tcPr>
            <w:tcW w:w="1723"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072C60C2" w14:textId="77777777">
            <w:r>
              <w:t>4.   gads</w:t>
            </w:r>
          </w:p>
        </w:tc>
        <w:tc>
          <w:tcPr>
            <w:tcW w:w="324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4C88AD4B" w14:textId="77777777">
            <w:r>
              <w:t>50</w:t>
            </w:r>
          </w:p>
        </w:tc>
        <w:tc>
          <w:tcPr>
            <w:tcW w:w="319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26D06A4" w14:textId="77777777">
            <w:r>
              <w:t>9</w:t>
            </w:r>
          </w:p>
        </w:tc>
      </w:tr>
      <w:tr w14:paraId="71B70C35" w14:textId="77777777" w:rsidTr="00690E39">
        <w:tblPrEx>
          <w:tblW w:w="8159" w:type="dxa"/>
          <w:tblInd w:w="100" w:type="dxa"/>
          <w:tblLayout w:type="fixed"/>
          <w:tblCellMar>
            <w:top w:w="100" w:type="dxa"/>
            <w:left w:w="100" w:type="dxa"/>
            <w:bottom w:w="100" w:type="dxa"/>
            <w:right w:w="100" w:type="dxa"/>
          </w:tblCellMar>
          <w:tblLook w:val="0600"/>
        </w:tblPrEx>
        <w:trPr>
          <w:trHeight w:val="426"/>
        </w:trPr>
        <w:tc>
          <w:tcPr>
            <w:tcW w:w="1723"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11D1CD3D" w14:textId="77777777">
            <w:r>
              <w:t>5.   gads</w:t>
            </w:r>
          </w:p>
        </w:tc>
        <w:tc>
          <w:tcPr>
            <w:tcW w:w="324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8BB6910" w14:textId="77777777">
            <w:r>
              <w:t>100</w:t>
            </w:r>
          </w:p>
        </w:tc>
        <w:tc>
          <w:tcPr>
            <w:tcW w:w="319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8BA64BB" w14:textId="77777777">
            <w:r>
              <w:t>18</w:t>
            </w:r>
          </w:p>
        </w:tc>
      </w:tr>
    </w:tbl>
    <w:p w:rsidR="0086048E" w:rsidP="0086048E" w14:paraId="165C48E3" w14:textId="77777777">
      <w:r>
        <w:t xml:space="preserve"> </w:t>
      </w:r>
    </w:p>
    <w:p w:rsidR="00C72B45" w:rsidRPr="00C72B45" w:rsidP="00C72B45" w14:paraId="0F4C1BBF" w14:textId="77777777">
      <w:pPr>
        <w:pStyle w:val="ListParagraph"/>
        <w:numPr>
          <w:ilvl w:val="2"/>
          <w:numId w:val="49"/>
        </w:numPr>
        <w:pBdr>
          <w:top w:val="nil"/>
          <w:left w:val="nil"/>
          <w:bottom w:val="nil"/>
          <w:right w:val="nil"/>
          <w:between w:val="nil"/>
        </w:pBdr>
        <w:spacing w:line="276" w:lineRule="auto"/>
        <w:jc w:val="both"/>
      </w:pPr>
      <w:r>
        <w:t>Ietaupījumu apjoms</w:t>
      </w:r>
      <w:r w:rsidR="008238C5">
        <w:t>,</w:t>
      </w:r>
      <w:r>
        <w:t xml:space="preserve"> izmantojot </w:t>
      </w:r>
      <w:r w:rsidR="008238C5">
        <w:t>MDP</w:t>
      </w:r>
      <w:r>
        <w:t xml:space="preserve"> (20-50% saskaņā ar dažādiem pētījumiem), šajos aprēķinos pieņemts vidējais – 35%</w:t>
      </w:r>
      <w:r>
        <w:rPr>
          <w:vertAlign w:val="superscript"/>
        </w:rPr>
        <w:footnoteReference w:id="4"/>
      </w:r>
      <w:r w:rsidRPr="00C72B45" w:rsidR="00D56981">
        <w:rPr>
          <w:vertAlign w:val="superscript"/>
        </w:rPr>
        <w:t>.</w:t>
      </w:r>
    </w:p>
    <w:p w:rsidR="0086048E" w:rsidP="00C72B45" w14:paraId="56064326" w14:textId="055ECE62">
      <w:pPr>
        <w:pStyle w:val="ListParagraph"/>
        <w:numPr>
          <w:ilvl w:val="2"/>
          <w:numId w:val="49"/>
        </w:numPr>
        <w:pBdr>
          <w:top w:val="nil"/>
          <w:left w:val="nil"/>
          <w:bottom w:val="nil"/>
          <w:right w:val="nil"/>
          <w:between w:val="nil"/>
        </w:pBdr>
        <w:spacing w:line="276" w:lineRule="auto"/>
        <w:jc w:val="both"/>
      </w:pPr>
      <w:r>
        <w:t xml:space="preserve">Migrācija uz </w:t>
      </w:r>
      <w:r>
        <w:t>mākoņdatošanas</w:t>
      </w:r>
      <w:r>
        <w:t xml:space="preserve"> platformām notiek </w:t>
      </w:r>
      <w:r w:rsidR="00C72B45">
        <w:t>ar šādu dinamiku</w:t>
      </w:r>
      <w:r>
        <w:t xml:space="preserve">: 1. </w:t>
      </w:r>
      <w:r w:rsidR="008238C5">
        <w:t>g</w:t>
      </w:r>
      <w:r>
        <w:t>adā</w:t>
      </w:r>
      <w:r w:rsidR="008238C5">
        <w:t xml:space="preserve"> </w:t>
      </w:r>
      <w:r w:rsidR="00A21B07">
        <w:t>–</w:t>
      </w:r>
      <w:r w:rsidR="008238C5">
        <w:t xml:space="preserve"> </w:t>
      </w:r>
      <w:r>
        <w:t>10%</w:t>
      </w:r>
      <w:r>
        <w:t xml:space="preserve"> ;</w:t>
      </w:r>
      <w:r>
        <w:t xml:space="preserve"> 2. </w:t>
      </w:r>
      <w:r w:rsidR="00A21B07">
        <w:t>G</w:t>
      </w:r>
      <w:r>
        <w:t xml:space="preserve">adā </w:t>
      </w:r>
      <w:r w:rsidR="00A21B07">
        <w:t>–</w:t>
      </w:r>
      <w:r w:rsidR="008238C5">
        <w:t xml:space="preserve"> </w:t>
      </w:r>
      <w:r>
        <w:t xml:space="preserve">30%; 3. </w:t>
      </w:r>
      <w:r w:rsidR="00A21B07">
        <w:t>G</w:t>
      </w:r>
      <w:r>
        <w:t xml:space="preserve">adā </w:t>
      </w:r>
      <w:r w:rsidR="00A21B07">
        <w:t>–</w:t>
      </w:r>
      <w:r w:rsidR="008238C5">
        <w:t xml:space="preserve"> </w:t>
      </w:r>
      <w:r>
        <w:t xml:space="preserve">40%; 4. </w:t>
      </w:r>
      <w:r w:rsidR="00A21B07">
        <w:t>G</w:t>
      </w:r>
      <w:r>
        <w:t xml:space="preserve">adā </w:t>
      </w:r>
      <w:r w:rsidR="00A21B07">
        <w:t>–</w:t>
      </w:r>
      <w:r w:rsidR="008238C5">
        <w:t xml:space="preserve"> </w:t>
      </w:r>
      <w:r>
        <w:t>50%</w:t>
      </w:r>
      <w:r>
        <w:t xml:space="preserve"> ;</w:t>
      </w:r>
      <w:r>
        <w:t xml:space="preserve"> 5. </w:t>
      </w:r>
      <w:r w:rsidR="008238C5">
        <w:t>g</w:t>
      </w:r>
      <w:r>
        <w:t>adā</w:t>
      </w:r>
      <w:r w:rsidR="008238C5">
        <w:t xml:space="preserve"> </w:t>
      </w:r>
      <w:r w:rsidR="00A21B07">
        <w:t>–</w:t>
      </w:r>
      <w:r>
        <w:t xml:space="preserve"> 60% . Ietaupījum</w:t>
      </w:r>
      <w:r w:rsidR="008238C5">
        <w:t xml:space="preserve">u var </w:t>
      </w:r>
      <w:r>
        <w:t>sākt uzskaitīt nākamajā gadā pēc ieviešanas</w:t>
      </w:r>
      <w:r w:rsidR="008238C5">
        <w:t>.</w:t>
      </w:r>
    </w:p>
    <w:p w:rsidR="0086048E" w:rsidP="00A21B07" w14:paraId="494ADE73" w14:textId="693DA3A4">
      <w:pPr>
        <w:jc w:val="right"/>
      </w:pPr>
      <w:r>
        <w:t>2.tabula</w:t>
      </w:r>
    </w:p>
    <w:tbl>
      <w:tblPr>
        <w:tblW w:w="709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1498"/>
        <w:gridCol w:w="2821"/>
        <w:gridCol w:w="2774"/>
      </w:tblGrid>
      <w:tr w14:paraId="43989DBE" w14:textId="77777777" w:rsidTr="00690E39">
        <w:tblPrEx>
          <w:tblW w:w="709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Ex>
        <w:trPr>
          <w:trHeight w:val="595"/>
        </w:trPr>
        <w:tc>
          <w:tcPr>
            <w:tcW w:w="1498"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rsidR="0086048E" w:rsidP="002B4C0D" w14:paraId="5844ACDB" w14:textId="77777777">
            <w:r>
              <w:t>Gads</w:t>
            </w:r>
          </w:p>
        </w:tc>
        <w:tc>
          <w:tcPr>
            <w:tcW w:w="2821"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P="002B4C0D" w14:paraId="5DA8278C" w14:textId="77777777">
            <w:r>
              <w:t xml:space="preserve">Uz </w:t>
            </w:r>
            <w:r>
              <w:t>mākoņdatošanas</w:t>
            </w:r>
            <w:r>
              <w:t xml:space="preserve"> platformām migrētās IS (procentuāli)</w:t>
            </w:r>
          </w:p>
        </w:tc>
        <w:tc>
          <w:tcPr>
            <w:tcW w:w="2774"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RPr="00DA3A19" w:rsidP="00DA3A19" w14:paraId="17020578" w14:textId="521119F9">
            <w:pPr>
              <w:rPr>
                <w:i/>
              </w:rPr>
            </w:pPr>
            <w:r>
              <w:t>Ietaupītā</w:t>
            </w:r>
            <w:r w:rsidR="00DA3A19">
              <w:t xml:space="preserve">s izmaksas (kumulatīvi) miljoni, </w:t>
            </w:r>
            <w:r w:rsidR="00DA3A19">
              <w:rPr>
                <w:i/>
              </w:rPr>
              <w:t>euro</w:t>
            </w:r>
          </w:p>
        </w:tc>
      </w:tr>
      <w:tr w14:paraId="27694184" w14:textId="77777777" w:rsidTr="00690E39">
        <w:tblPrEx>
          <w:tblW w:w="7093" w:type="dxa"/>
          <w:tblInd w:w="100" w:type="dxa"/>
          <w:tblLayout w:type="fixed"/>
          <w:tblCellMar>
            <w:top w:w="100" w:type="dxa"/>
            <w:left w:w="100" w:type="dxa"/>
            <w:bottom w:w="100" w:type="dxa"/>
            <w:right w:w="100" w:type="dxa"/>
          </w:tblCellMar>
          <w:tblLook w:val="0600"/>
        </w:tblPrEx>
        <w:trPr>
          <w:trHeight w:val="372"/>
        </w:trPr>
        <w:tc>
          <w:tcPr>
            <w:tcW w:w="1498"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50E850FF" w14:textId="77777777">
            <w:r>
              <w:t>1.      gads</w:t>
            </w:r>
          </w:p>
        </w:tc>
        <w:tc>
          <w:tcPr>
            <w:tcW w:w="282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B7831B5" w14:textId="77777777">
            <w:r>
              <w:t>10</w:t>
            </w:r>
          </w:p>
        </w:tc>
        <w:tc>
          <w:tcPr>
            <w:tcW w:w="2774"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4D17DC3F" w14:textId="77777777">
            <w:r>
              <w:t>0</w:t>
            </w:r>
          </w:p>
        </w:tc>
      </w:tr>
      <w:tr w14:paraId="00F7F7B0" w14:textId="77777777" w:rsidTr="00690E39">
        <w:tblPrEx>
          <w:tblW w:w="7093" w:type="dxa"/>
          <w:tblInd w:w="100" w:type="dxa"/>
          <w:tblLayout w:type="fixed"/>
          <w:tblCellMar>
            <w:top w:w="100" w:type="dxa"/>
            <w:left w:w="100" w:type="dxa"/>
            <w:bottom w:w="100" w:type="dxa"/>
            <w:right w:w="100" w:type="dxa"/>
          </w:tblCellMar>
          <w:tblLook w:val="0600"/>
        </w:tblPrEx>
        <w:trPr>
          <w:trHeight w:val="372"/>
        </w:trPr>
        <w:tc>
          <w:tcPr>
            <w:tcW w:w="1498"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0C033C9F" w14:textId="77777777">
            <w:r>
              <w:t>2.      gads</w:t>
            </w:r>
          </w:p>
        </w:tc>
        <w:tc>
          <w:tcPr>
            <w:tcW w:w="282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339672A" w14:textId="77777777">
            <w:r>
              <w:t>30</w:t>
            </w:r>
          </w:p>
        </w:tc>
        <w:tc>
          <w:tcPr>
            <w:tcW w:w="2774"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C37BA6E" w14:textId="77777777">
            <w:r>
              <w:t>1,435</w:t>
            </w:r>
          </w:p>
        </w:tc>
      </w:tr>
      <w:tr w14:paraId="43527EB4" w14:textId="77777777" w:rsidTr="00690E39">
        <w:tblPrEx>
          <w:tblW w:w="7093" w:type="dxa"/>
          <w:tblInd w:w="100" w:type="dxa"/>
          <w:tblLayout w:type="fixed"/>
          <w:tblCellMar>
            <w:top w:w="100" w:type="dxa"/>
            <w:left w:w="100" w:type="dxa"/>
            <w:bottom w:w="100" w:type="dxa"/>
            <w:right w:w="100" w:type="dxa"/>
          </w:tblCellMar>
          <w:tblLook w:val="0600"/>
        </w:tblPrEx>
        <w:trPr>
          <w:trHeight w:val="372"/>
        </w:trPr>
        <w:tc>
          <w:tcPr>
            <w:tcW w:w="1498"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43E5D9CD" w14:textId="77777777">
            <w:r>
              <w:t>3.      gads</w:t>
            </w:r>
          </w:p>
        </w:tc>
        <w:tc>
          <w:tcPr>
            <w:tcW w:w="282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63E17685" w14:textId="77777777">
            <w:r>
              <w:t>40</w:t>
            </w:r>
          </w:p>
        </w:tc>
        <w:tc>
          <w:tcPr>
            <w:tcW w:w="2774"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5B8CCAF2" w14:textId="77777777">
            <w:r>
              <w:t>4,3</w:t>
            </w:r>
          </w:p>
        </w:tc>
      </w:tr>
      <w:tr w14:paraId="5BE97B19" w14:textId="77777777" w:rsidTr="00690E39">
        <w:tblPrEx>
          <w:tblW w:w="7093" w:type="dxa"/>
          <w:tblInd w:w="100" w:type="dxa"/>
          <w:tblLayout w:type="fixed"/>
          <w:tblCellMar>
            <w:top w:w="100" w:type="dxa"/>
            <w:left w:w="100" w:type="dxa"/>
            <w:bottom w:w="100" w:type="dxa"/>
            <w:right w:w="100" w:type="dxa"/>
          </w:tblCellMar>
          <w:tblLook w:val="0600"/>
        </w:tblPrEx>
        <w:trPr>
          <w:trHeight w:val="372"/>
        </w:trPr>
        <w:tc>
          <w:tcPr>
            <w:tcW w:w="1498"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4ED3A298" w14:textId="77777777">
            <w:r>
              <w:t>4.      gads</w:t>
            </w:r>
          </w:p>
        </w:tc>
        <w:tc>
          <w:tcPr>
            <w:tcW w:w="282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28118DF1" w14:textId="77777777">
            <w:r>
              <w:t>50</w:t>
            </w:r>
          </w:p>
        </w:tc>
        <w:tc>
          <w:tcPr>
            <w:tcW w:w="2774"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447F1F88" w14:textId="77777777">
            <w:r>
              <w:t>5,74</w:t>
            </w:r>
          </w:p>
        </w:tc>
      </w:tr>
      <w:tr w14:paraId="54BC63A2" w14:textId="77777777" w:rsidTr="00690E39">
        <w:tblPrEx>
          <w:tblW w:w="7093" w:type="dxa"/>
          <w:tblInd w:w="100" w:type="dxa"/>
          <w:tblLayout w:type="fixed"/>
          <w:tblCellMar>
            <w:top w:w="100" w:type="dxa"/>
            <w:left w:w="100" w:type="dxa"/>
            <w:bottom w:w="100" w:type="dxa"/>
            <w:right w:w="100" w:type="dxa"/>
          </w:tblCellMar>
          <w:tblLook w:val="0600"/>
        </w:tblPrEx>
        <w:trPr>
          <w:trHeight w:val="372"/>
        </w:trPr>
        <w:tc>
          <w:tcPr>
            <w:tcW w:w="1498"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27244DFE" w14:textId="77777777">
            <w:r>
              <w:t>5.      gads</w:t>
            </w:r>
          </w:p>
        </w:tc>
        <w:tc>
          <w:tcPr>
            <w:tcW w:w="2821"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6D0CFEF" w14:textId="77777777">
            <w:r>
              <w:t>60</w:t>
            </w:r>
          </w:p>
        </w:tc>
        <w:tc>
          <w:tcPr>
            <w:tcW w:w="2774"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3C5C252" w14:textId="77777777">
            <w:r>
              <w:t>7,175</w:t>
            </w:r>
          </w:p>
        </w:tc>
      </w:tr>
    </w:tbl>
    <w:p w:rsidR="00A21B07" w:rsidP="0086048E" w14:paraId="7837B304" w14:textId="77777777"/>
    <w:p w:rsidR="0086048E" w:rsidP="00C72B45" w14:paraId="5A471F42" w14:textId="02591AEC">
      <w:pPr>
        <w:pStyle w:val="ListParagraph"/>
        <w:numPr>
          <w:ilvl w:val="2"/>
          <w:numId w:val="49"/>
        </w:numPr>
        <w:pBdr>
          <w:top w:val="nil"/>
          <w:left w:val="nil"/>
          <w:bottom w:val="nil"/>
          <w:right w:val="nil"/>
          <w:between w:val="nil"/>
        </w:pBdr>
        <w:spacing w:line="276" w:lineRule="auto"/>
        <w:jc w:val="both"/>
      </w:pPr>
      <w:r>
        <w:t xml:space="preserve">Izmaksas pārejai uz </w:t>
      </w:r>
      <w:r>
        <w:t>mākoņdatošanas</w:t>
      </w:r>
      <w:r>
        <w:t xml:space="preserve"> platformām vidēji 210 000 </w:t>
      </w:r>
      <w:r w:rsidRPr="00C72B45" w:rsidR="00C72B45">
        <w:rPr>
          <w:i/>
        </w:rPr>
        <w:t>euro</w:t>
      </w:r>
      <w:r>
        <w:t>, lai sasniegtu 1 miljonu ietaupījumu</w:t>
      </w:r>
      <w:r>
        <w:rPr>
          <w:vertAlign w:val="superscript"/>
        </w:rPr>
        <w:footnoteReference w:id="5"/>
      </w:r>
      <w:r w:rsidR="00D56981">
        <w:t>.</w:t>
      </w:r>
    </w:p>
    <w:p w:rsidR="0086048E" w:rsidP="00C72B45" w14:paraId="758705E8" w14:textId="3968F454">
      <w:pPr>
        <w:pStyle w:val="ListParagraph"/>
        <w:numPr>
          <w:ilvl w:val="2"/>
          <w:numId w:val="49"/>
        </w:numPr>
        <w:pBdr>
          <w:top w:val="nil"/>
          <w:left w:val="nil"/>
          <w:bottom w:val="nil"/>
          <w:right w:val="nil"/>
          <w:between w:val="nil"/>
        </w:pBdr>
        <w:spacing w:line="276" w:lineRule="auto"/>
        <w:jc w:val="both"/>
      </w:pPr>
      <w:r>
        <w:t>Tiek pieņemts, ka par ERAF līdzekļiem izstrādātās</w:t>
      </w:r>
      <w:r w:rsidR="00D56981">
        <w:t xml:space="preserve"> vai </w:t>
      </w:r>
      <w:r>
        <w:t xml:space="preserve">uzlabotās IS tiek izstrādātas tā, ka nepieciešamības gadījumā tās var tikt izvietotas uz </w:t>
      </w:r>
      <w:r>
        <w:t>mākoņdatošanas</w:t>
      </w:r>
      <w:r>
        <w:t xml:space="preserve"> platformām un migrācija nepieciešama tām IS, kuras neietilpst šajā grupā</w:t>
      </w:r>
      <w:r w:rsidR="00A21B07">
        <w:t>.</w:t>
      </w:r>
    </w:p>
    <w:p w:rsidR="00A21B07" w:rsidP="00D56981" w14:paraId="7CBBB99E" w14:textId="77777777">
      <w:pPr>
        <w:jc w:val="both"/>
      </w:pPr>
    </w:p>
    <w:p w:rsidR="001D0D99" w:rsidP="00D56981" w14:paraId="5132EAE5" w14:textId="77777777">
      <w:pPr>
        <w:jc w:val="both"/>
      </w:pPr>
    </w:p>
    <w:p w:rsidR="001D0D99" w:rsidP="00D56981" w14:paraId="296A29F6" w14:textId="77777777">
      <w:pPr>
        <w:jc w:val="both"/>
      </w:pPr>
    </w:p>
    <w:p w:rsidR="001D0D99" w:rsidP="00A21B07" w14:paraId="5521DAA3" w14:textId="77777777">
      <w:pPr>
        <w:jc w:val="right"/>
      </w:pPr>
    </w:p>
    <w:p w:rsidR="00A21B07" w:rsidP="00A21B07" w14:paraId="0BDB92F2" w14:textId="01A11660">
      <w:pPr>
        <w:jc w:val="right"/>
      </w:pPr>
      <w:r>
        <w:t>3.tabula</w:t>
      </w:r>
    </w:p>
    <w:p w:rsidR="001D0D99" w:rsidP="00A21B07" w14:paraId="7D5ECC19" w14:textId="77777777">
      <w:pPr>
        <w:jc w:val="right"/>
      </w:pPr>
    </w:p>
    <w:tbl>
      <w:tblPr>
        <w:tblW w:w="751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
      <w:tblGrid>
        <w:gridCol w:w="1920"/>
        <w:gridCol w:w="2758"/>
        <w:gridCol w:w="2835"/>
      </w:tblGrid>
      <w:tr w14:paraId="1EC61934" w14:textId="77777777" w:rsidTr="00690E39">
        <w:tblPrEx>
          <w:tblW w:w="751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tblPrEx>
        <w:trPr>
          <w:trHeight w:val="800"/>
        </w:trPr>
        <w:tc>
          <w:tcPr>
            <w:tcW w:w="1920" w:type="dxa"/>
            <w:tcBorders>
              <w:top w:val="single" w:sz="6" w:space="0" w:color="999999"/>
              <w:left w:val="single" w:sz="6" w:space="0" w:color="999999"/>
              <w:bottom w:val="single" w:sz="12" w:space="0" w:color="666666"/>
              <w:right w:val="single" w:sz="6" w:space="0" w:color="999999"/>
            </w:tcBorders>
            <w:tcMar>
              <w:top w:w="100" w:type="dxa"/>
              <w:left w:w="100" w:type="dxa"/>
              <w:bottom w:w="100" w:type="dxa"/>
              <w:right w:w="100" w:type="dxa"/>
            </w:tcMar>
          </w:tcPr>
          <w:p w:rsidR="0086048E" w:rsidP="002B4C0D" w14:paraId="57FA9ACD" w14:textId="77777777">
            <w:r>
              <w:t>Gads</w:t>
            </w:r>
          </w:p>
        </w:tc>
        <w:tc>
          <w:tcPr>
            <w:tcW w:w="2758"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P="002B4C0D" w14:paraId="44119EB0" w14:textId="77777777">
            <w:r>
              <w:t xml:space="preserve">Uz </w:t>
            </w:r>
            <w:r>
              <w:t>mākoņdatošanas</w:t>
            </w:r>
            <w:r>
              <w:t xml:space="preserve"> platformām migrētās IS (procentuāli)</w:t>
            </w:r>
          </w:p>
        </w:tc>
        <w:tc>
          <w:tcPr>
            <w:tcW w:w="2835" w:type="dxa"/>
            <w:tcBorders>
              <w:top w:val="single" w:sz="6" w:space="0" w:color="999999"/>
              <w:left w:val="nil"/>
              <w:bottom w:val="single" w:sz="12" w:space="0" w:color="666666"/>
              <w:right w:val="single" w:sz="6" w:space="0" w:color="999999"/>
            </w:tcBorders>
            <w:tcMar>
              <w:top w:w="100" w:type="dxa"/>
              <w:left w:w="100" w:type="dxa"/>
              <w:bottom w:w="100" w:type="dxa"/>
              <w:right w:w="100" w:type="dxa"/>
            </w:tcMar>
          </w:tcPr>
          <w:p w:rsidR="0086048E" w:rsidP="002B4C0D" w14:paraId="73019535" w14:textId="77777777">
            <w:r>
              <w:t>Migrācijas izmaksas (kumulatīvi) miljoni EUR</w:t>
            </w:r>
          </w:p>
        </w:tc>
      </w:tr>
      <w:tr w14:paraId="4A6E7AA1" w14:textId="77777777" w:rsidTr="00690E39">
        <w:tblPrEx>
          <w:tblW w:w="7513" w:type="dxa"/>
          <w:tblInd w:w="100" w:type="dxa"/>
          <w:tblLayout w:type="fixed"/>
          <w:tblCellMar>
            <w:top w:w="100" w:type="dxa"/>
            <w:left w:w="100" w:type="dxa"/>
            <w:bottom w:w="100" w:type="dxa"/>
            <w:right w:w="100" w:type="dxa"/>
          </w:tblCellMar>
          <w:tblLook w:val="0600"/>
        </w:tblPrEx>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30C1989D" w14:textId="77777777">
            <w:r>
              <w:t>1.      gads</w:t>
            </w:r>
          </w:p>
        </w:tc>
        <w:tc>
          <w:tcPr>
            <w:tcW w:w="2758"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E0885C5" w14:textId="77777777">
            <w:r>
              <w:t>10</w:t>
            </w:r>
          </w:p>
        </w:tc>
        <w:tc>
          <w:tcPr>
            <w:tcW w:w="283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8009C06" w14:textId="77777777">
            <w:r>
              <w:t>0,3</w:t>
            </w:r>
          </w:p>
        </w:tc>
      </w:tr>
      <w:tr w14:paraId="602D2F36" w14:textId="77777777" w:rsidTr="00690E39">
        <w:tblPrEx>
          <w:tblW w:w="7513" w:type="dxa"/>
          <w:tblInd w:w="100" w:type="dxa"/>
          <w:tblLayout w:type="fixed"/>
          <w:tblCellMar>
            <w:top w:w="100" w:type="dxa"/>
            <w:left w:w="100" w:type="dxa"/>
            <w:bottom w:w="100" w:type="dxa"/>
            <w:right w:w="100" w:type="dxa"/>
          </w:tblCellMar>
          <w:tblLook w:val="0600"/>
        </w:tblPrEx>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0B63546C" w14:textId="77777777">
            <w:r>
              <w:t>2.      gads</w:t>
            </w:r>
          </w:p>
        </w:tc>
        <w:tc>
          <w:tcPr>
            <w:tcW w:w="2758"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CAA7638" w14:textId="77777777">
            <w:r>
              <w:t>30</w:t>
            </w:r>
          </w:p>
        </w:tc>
        <w:tc>
          <w:tcPr>
            <w:tcW w:w="283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2862B05" w14:textId="77777777">
            <w:r>
              <w:t>0,9</w:t>
            </w:r>
          </w:p>
        </w:tc>
      </w:tr>
      <w:tr w14:paraId="3CE1275D" w14:textId="77777777" w:rsidTr="00690E39">
        <w:tblPrEx>
          <w:tblW w:w="7513" w:type="dxa"/>
          <w:tblInd w:w="100" w:type="dxa"/>
          <w:tblLayout w:type="fixed"/>
          <w:tblCellMar>
            <w:top w:w="100" w:type="dxa"/>
            <w:left w:w="100" w:type="dxa"/>
            <w:bottom w:w="100" w:type="dxa"/>
            <w:right w:w="100" w:type="dxa"/>
          </w:tblCellMar>
          <w:tblLook w:val="0600"/>
        </w:tblPrEx>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40792700" w14:textId="77777777">
            <w:r>
              <w:t>3.      gads</w:t>
            </w:r>
          </w:p>
        </w:tc>
        <w:tc>
          <w:tcPr>
            <w:tcW w:w="2758"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2D9F290" w14:textId="77777777">
            <w:r>
              <w:t>40</w:t>
            </w:r>
          </w:p>
        </w:tc>
        <w:tc>
          <w:tcPr>
            <w:tcW w:w="283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E3B1D54" w14:textId="77777777">
            <w:r>
              <w:t>1,2</w:t>
            </w:r>
          </w:p>
        </w:tc>
      </w:tr>
      <w:tr w14:paraId="137C39CE" w14:textId="77777777" w:rsidTr="00690E39">
        <w:tblPrEx>
          <w:tblW w:w="7513" w:type="dxa"/>
          <w:tblInd w:w="100" w:type="dxa"/>
          <w:tblLayout w:type="fixed"/>
          <w:tblCellMar>
            <w:top w:w="100" w:type="dxa"/>
            <w:left w:w="100" w:type="dxa"/>
            <w:bottom w:w="100" w:type="dxa"/>
            <w:right w:w="100" w:type="dxa"/>
          </w:tblCellMar>
          <w:tblLook w:val="0600"/>
        </w:tblPrEx>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24AFF154" w14:textId="77777777">
            <w:r>
              <w:t>4.      gads</w:t>
            </w:r>
          </w:p>
        </w:tc>
        <w:tc>
          <w:tcPr>
            <w:tcW w:w="2758"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0CC9F57E" w14:textId="77777777">
            <w:r>
              <w:t>50</w:t>
            </w:r>
          </w:p>
        </w:tc>
        <w:tc>
          <w:tcPr>
            <w:tcW w:w="283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3ADB8B4F" w14:textId="77777777">
            <w:r>
              <w:t>1,5</w:t>
            </w:r>
          </w:p>
        </w:tc>
      </w:tr>
      <w:tr w14:paraId="322AE5FE" w14:textId="77777777" w:rsidTr="00690E39">
        <w:tblPrEx>
          <w:tblW w:w="7513" w:type="dxa"/>
          <w:tblInd w:w="100" w:type="dxa"/>
          <w:tblLayout w:type="fixed"/>
          <w:tblCellMar>
            <w:top w:w="100" w:type="dxa"/>
            <w:left w:w="100" w:type="dxa"/>
            <w:bottom w:w="100" w:type="dxa"/>
            <w:right w:w="100" w:type="dxa"/>
          </w:tblCellMar>
          <w:tblLook w:val="0600"/>
        </w:tblPrEx>
        <w:trPr>
          <w:trHeight w:val="500"/>
        </w:trPr>
        <w:tc>
          <w:tcPr>
            <w:tcW w:w="1920" w:type="dxa"/>
            <w:tcBorders>
              <w:top w:val="nil"/>
              <w:left w:val="single" w:sz="6" w:space="0" w:color="999999"/>
              <w:bottom w:val="single" w:sz="6" w:space="0" w:color="999999"/>
              <w:right w:val="single" w:sz="6" w:space="0" w:color="999999"/>
            </w:tcBorders>
            <w:tcMar>
              <w:top w:w="100" w:type="dxa"/>
              <w:left w:w="100" w:type="dxa"/>
              <w:bottom w:w="100" w:type="dxa"/>
              <w:right w:w="100" w:type="dxa"/>
            </w:tcMar>
          </w:tcPr>
          <w:p w:rsidR="0086048E" w:rsidP="002B4C0D" w14:paraId="1FC26117" w14:textId="77777777">
            <w:r>
              <w:t>5.      gads</w:t>
            </w:r>
          </w:p>
        </w:tc>
        <w:tc>
          <w:tcPr>
            <w:tcW w:w="2758"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7F136D3E" w14:textId="77777777">
            <w:r>
              <w:t>60</w:t>
            </w:r>
          </w:p>
        </w:tc>
        <w:tc>
          <w:tcPr>
            <w:tcW w:w="2835" w:type="dxa"/>
            <w:tcBorders>
              <w:top w:val="nil"/>
              <w:left w:val="nil"/>
              <w:bottom w:val="single" w:sz="6" w:space="0" w:color="999999"/>
              <w:right w:val="single" w:sz="6" w:space="0" w:color="999999"/>
            </w:tcBorders>
            <w:tcMar>
              <w:top w:w="100" w:type="dxa"/>
              <w:left w:w="100" w:type="dxa"/>
              <w:bottom w:w="100" w:type="dxa"/>
              <w:right w:w="100" w:type="dxa"/>
            </w:tcMar>
          </w:tcPr>
          <w:p w:rsidR="0086048E" w:rsidP="002B4C0D" w14:paraId="2752E514" w14:textId="77777777">
            <w:r>
              <w:t>1,8</w:t>
            </w:r>
          </w:p>
        </w:tc>
      </w:tr>
    </w:tbl>
    <w:p w:rsidR="00A21B07" w:rsidP="0086048E" w14:paraId="093E6A13" w14:textId="77777777">
      <w:r>
        <w:t xml:space="preserve"> </w:t>
      </w:r>
    </w:p>
    <w:p w:rsidR="0086048E" w:rsidP="00C72B45" w14:paraId="32C5FDD1" w14:textId="57BF4743">
      <w:pPr>
        <w:pStyle w:val="ListParagraph"/>
        <w:numPr>
          <w:ilvl w:val="2"/>
          <w:numId w:val="49"/>
        </w:numPr>
        <w:pBdr>
          <w:top w:val="nil"/>
          <w:left w:val="nil"/>
          <w:bottom w:val="nil"/>
          <w:right w:val="nil"/>
          <w:between w:val="nil"/>
        </w:pBdr>
        <w:spacing w:line="276" w:lineRule="auto"/>
        <w:jc w:val="both"/>
      </w:pPr>
      <w:r>
        <w:t>Aprēķinos netiek iekļauta inflācijas ietekme</w:t>
      </w:r>
      <w:r w:rsidR="004B3C79">
        <w:t>.</w:t>
      </w:r>
    </w:p>
    <w:p w:rsidR="00C72B45" w:rsidP="00C72B45" w14:paraId="4D801066" w14:textId="77777777">
      <w:pPr>
        <w:pBdr>
          <w:top w:val="nil"/>
          <w:left w:val="nil"/>
          <w:bottom w:val="nil"/>
          <w:right w:val="nil"/>
          <w:between w:val="nil"/>
        </w:pBdr>
        <w:spacing w:line="276" w:lineRule="auto"/>
        <w:jc w:val="both"/>
      </w:pPr>
    </w:p>
    <w:p w:rsidR="00C72B45" w:rsidP="00C72B45" w14:paraId="6283A419" w14:textId="77777777">
      <w:pPr>
        <w:pStyle w:val="ListParagraph"/>
        <w:numPr>
          <w:ilvl w:val="1"/>
          <w:numId w:val="49"/>
        </w:numPr>
        <w:pBdr>
          <w:top w:val="nil"/>
          <w:left w:val="nil"/>
          <w:bottom w:val="nil"/>
          <w:right w:val="nil"/>
          <w:between w:val="nil"/>
        </w:pBdr>
        <w:spacing w:line="276" w:lineRule="auto"/>
        <w:jc w:val="both"/>
      </w:pPr>
      <w:r>
        <w:t>Aprēķini.</w:t>
      </w:r>
    </w:p>
    <w:p w:rsidR="0086048E" w:rsidP="00C72B45" w14:paraId="70A70BC5" w14:textId="6F3B474B">
      <w:pPr>
        <w:pBdr>
          <w:top w:val="nil"/>
          <w:left w:val="nil"/>
          <w:bottom w:val="nil"/>
          <w:right w:val="nil"/>
          <w:between w:val="nil"/>
        </w:pBdr>
        <w:spacing w:line="276" w:lineRule="auto"/>
        <w:ind w:left="360"/>
        <w:jc w:val="both"/>
      </w:pPr>
      <w:r>
        <w:t xml:space="preserve">Kopējie aprēķini, neiekļaujot izmaksas, kas pēc 5 gadu perioda būs </w:t>
      </w:r>
      <w:r w:rsidR="004B3C79">
        <w:t>nepieciešamas</w:t>
      </w:r>
      <w:r>
        <w:t xml:space="preserve"> kā investīcijas IKT infrastruktūrā variantā bez </w:t>
      </w:r>
      <w:r>
        <w:t>mākoņdatošanas</w:t>
      </w:r>
      <w:r>
        <w:t xml:space="preserve"> platformu izmantošanas.</w:t>
      </w:r>
    </w:p>
    <w:p w:rsidR="00A21B07" w:rsidP="004B3C79" w14:paraId="2D4A9434" w14:textId="41795A9A">
      <w:pPr>
        <w:jc w:val="right"/>
      </w:pPr>
      <w:r>
        <w:t>4.tabula</w:t>
      </w:r>
    </w:p>
    <w:tbl>
      <w:tblPr>
        <w:tblW w:w="936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4395"/>
        <w:gridCol w:w="25"/>
        <w:gridCol w:w="988"/>
        <w:gridCol w:w="988"/>
        <w:gridCol w:w="988"/>
        <w:gridCol w:w="988"/>
        <w:gridCol w:w="988"/>
      </w:tblGrid>
      <w:tr w14:paraId="4E80D486" w14:textId="77777777" w:rsidTr="00690E39">
        <w:tblPrEx>
          <w:tblW w:w="936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Ex>
        <w:trPr>
          <w:trHeight w:val="500"/>
        </w:trPr>
        <w:tc>
          <w:tcPr>
            <w:tcW w:w="4420" w:type="dxa"/>
            <w:gridSpan w:val="2"/>
            <w:tcBorders>
              <w:top w:val="single" w:sz="6" w:space="0" w:color="000000"/>
              <w:left w:val="single" w:sz="6" w:space="0" w:color="000000"/>
              <w:bottom w:val="single" w:sz="6" w:space="0" w:color="000000"/>
              <w:right w:val="nil"/>
            </w:tcBorders>
            <w:shd w:val="clear" w:color="auto" w:fill="000000"/>
            <w:tcMar>
              <w:top w:w="100" w:type="dxa"/>
              <w:left w:w="100" w:type="dxa"/>
              <w:bottom w:w="100" w:type="dxa"/>
              <w:right w:w="100" w:type="dxa"/>
            </w:tcMar>
            <w:vAlign w:val="bottom"/>
          </w:tcPr>
          <w:p w:rsidR="0086048E" w:rsidRPr="00DF50F1" w:rsidP="002B4C0D" w14:paraId="537B8465" w14:textId="77777777">
            <w:pPr>
              <w:rPr>
                <w:color w:val="FFFFFF" w:themeColor="background1"/>
              </w:rPr>
            </w:pPr>
            <w:r w:rsidRPr="00DF50F1">
              <w:rPr>
                <w:color w:val="FFFFFF" w:themeColor="background1"/>
              </w:rPr>
              <w:t>Izmaksu/Ieguvumu pozīcijas</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rsidR="0086048E" w:rsidRPr="00DF50F1" w:rsidP="004B3C79" w14:paraId="4492EC09" w14:textId="54B09FEF">
            <w:pPr>
              <w:rPr>
                <w:color w:val="FFFFFF" w:themeColor="background1"/>
              </w:rPr>
            </w:pPr>
            <w:r w:rsidRPr="00DF50F1">
              <w:rPr>
                <w:color w:val="FFFFFF" w:themeColor="background1"/>
              </w:rPr>
              <w:t>1.gads</w:t>
            </w:r>
            <w:r w:rsidRPr="00DF50F1">
              <w:rPr>
                <w:color w:val="FFFFFF" w:themeColor="background1"/>
              </w:rPr>
              <w:t xml:space="preserve"> (milj. </w:t>
            </w:r>
            <w:r w:rsidR="004B3C79">
              <w:rPr>
                <w:i/>
                <w:color w:val="FFFFFF" w:themeColor="background1"/>
              </w:rPr>
              <w:t>euro</w:t>
            </w:r>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rsidR="0086048E" w:rsidRPr="00DF50F1" w:rsidP="002B4C0D" w14:paraId="5375EAD6" w14:textId="5F00C42D">
            <w:pPr>
              <w:rPr>
                <w:color w:val="FFFFFF" w:themeColor="background1"/>
              </w:rPr>
            </w:pPr>
            <w:r w:rsidRPr="00DF50F1">
              <w:rPr>
                <w:color w:val="FFFFFF" w:themeColor="background1"/>
              </w:rPr>
              <w:t>2.gads</w:t>
            </w:r>
            <w:r w:rsidRPr="00DF50F1">
              <w:rPr>
                <w:color w:val="FFFFFF" w:themeColor="background1"/>
              </w:rPr>
              <w:t xml:space="preserve"> (milj. </w:t>
            </w:r>
            <w:r w:rsidR="004B3C79">
              <w:rPr>
                <w:i/>
                <w:color w:val="FFFFFF" w:themeColor="background1"/>
              </w:rPr>
              <w:t>euro</w:t>
            </w:r>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rsidR="0086048E" w:rsidRPr="00DF50F1" w:rsidP="002B4C0D" w14:paraId="6DBEFE36" w14:textId="421DDECF">
            <w:pPr>
              <w:rPr>
                <w:color w:val="FFFFFF" w:themeColor="background1"/>
              </w:rPr>
            </w:pPr>
            <w:r w:rsidRPr="00DF50F1">
              <w:rPr>
                <w:color w:val="FFFFFF" w:themeColor="background1"/>
              </w:rPr>
              <w:t>3.gads</w:t>
            </w:r>
            <w:r w:rsidRPr="00DF50F1">
              <w:rPr>
                <w:color w:val="FFFFFF" w:themeColor="background1"/>
              </w:rPr>
              <w:t xml:space="preserve"> (milj. </w:t>
            </w:r>
            <w:r w:rsidR="004B3C79">
              <w:rPr>
                <w:i/>
                <w:color w:val="FFFFFF" w:themeColor="background1"/>
              </w:rPr>
              <w:t>euro</w:t>
            </w:r>
            <w:r w:rsidRPr="00DF50F1">
              <w:rPr>
                <w:color w:val="FFFFFF" w:themeColor="background1"/>
              </w:rPr>
              <w:t>)</w:t>
            </w:r>
          </w:p>
        </w:tc>
        <w:tc>
          <w:tcPr>
            <w:tcW w:w="988" w:type="dxa"/>
            <w:tcBorders>
              <w:top w:val="single" w:sz="6" w:space="0" w:color="000000"/>
              <w:left w:val="nil"/>
              <w:bottom w:val="single" w:sz="6" w:space="0" w:color="000000"/>
              <w:right w:val="nil"/>
            </w:tcBorders>
            <w:shd w:val="clear" w:color="auto" w:fill="000000"/>
            <w:tcMar>
              <w:top w:w="100" w:type="dxa"/>
              <w:left w:w="100" w:type="dxa"/>
              <w:bottom w:w="100" w:type="dxa"/>
              <w:right w:w="100" w:type="dxa"/>
            </w:tcMar>
            <w:vAlign w:val="bottom"/>
          </w:tcPr>
          <w:p w:rsidR="0086048E" w:rsidRPr="00DF50F1" w:rsidP="002B4C0D" w14:paraId="532B6217" w14:textId="15ED3CBF">
            <w:pPr>
              <w:rPr>
                <w:color w:val="FFFFFF" w:themeColor="background1"/>
              </w:rPr>
            </w:pPr>
            <w:r w:rsidRPr="00DF50F1">
              <w:rPr>
                <w:color w:val="FFFFFF" w:themeColor="background1"/>
              </w:rPr>
              <w:t>4.gads</w:t>
            </w:r>
            <w:r w:rsidRPr="00DF50F1">
              <w:rPr>
                <w:color w:val="FFFFFF" w:themeColor="background1"/>
              </w:rPr>
              <w:t xml:space="preserve"> (milj. </w:t>
            </w:r>
            <w:r w:rsidR="004B3C79">
              <w:rPr>
                <w:i/>
                <w:color w:val="FFFFFF" w:themeColor="background1"/>
              </w:rPr>
              <w:t>euro</w:t>
            </w:r>
            <w:r w:rsidRPr="00DF50F1">
              <w:rPr>
                <w:color w:val="FFFFFF" w:themeColor="background1"/>
              </w:rPr>
              <w:t>)</w:t>
            </w:r>
          </w:p>
        </w:tc>
        <w:tc>
          <w:tcPr>
            <w:tcW w:w="988" w:type="dxa"/>
            <w:tcBorders>
              <w:top w:val="single" w:sz="6" w:space="0" w:color="000000"/>
              <w:left w:val="nil"/>
              <w:bottom w:val="single" w:sz="6" w:space="0" w:color="000000"/>
              <w:right w:val="single" w:sz="6" w:space="0" w:color="000000"/>
            </w:tcBorders>
            <w:shd w:val="clear" w:color="auto" w:fill="000000"/>
            <w:tcMar>
              <w:top w:w="100" w:type="dxa"/>
              <w:left w:w="100" w:type="dxa"/>
              <w:bottom w:w="100" w:type="dxa"/>
              <w:right w:w="100" w:type="dxa"/>
            </w:tcMar>
            <w:vAlign w:val="bottom"/>
          </w:tcPr>
          <w:p w:rsidR="0086048E" w:rsidRPr="00DF50F1" w:rsidP="002B4C0D" w14:paraId="425EEB97" w14:textId="3E0C1D84">
            <w:pPr>
              <w:rPr>
                <w:color w:val="FFFFFF" w:themeColor="background1"/>
              </w:rPr>
            </w:pPr>
            <w:r w:rsidRPr="00DF50F1">
              <w:rPr>
                <w:color w:val="FFFFFF" w:themeColor="background1"/>
              </w:rPr>
              <w:t>5.gads</w:t>
            </w:r>
            <w:r w:rsidRPr="00DF50F1">
              <w:rPr>
                <w:color w:val="FFFFFF" w:themeColor="background1"/>
              </w:rPr>
              <w:t xml:space="preserve"> (milj. </w:t>
            </w:r>
            <w:r w:rsidR="004B3C79">
              <w:rPr>
                <w:i/>
                <w:color w:val="FFFFFF" w:themeColor="background1"/>
              </w:rPr>
              <w:t>euro</w:t>
            </w:r>
            <w:r w:rsidRPr="00DF50F1">
              <w:rPr>
                <w:color w:val="FFFFFF" w:themeColor="background1"/>
              </w:rPr>
              <w:t>)</w:t>
            </w:r>
          </w:p>
        </w:tc>
      </w:tr>
      <w:tr w14:paraId="0A032F19"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rsidR="0086048E" w:rsidP="002B4C0D" w14:paraId="3F65FC42" w14:textId="77777777">
            <w:r>
              <w:t>Aktuālas uzturēšanas izmaksas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468B592D" w14:textId="77777777">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6AE8EE15" w14:textId="77777777">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05029A90" w14:textId="77777777">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4FF02E66" w14:textId="77777777">
            <w:r>
              <w:t>41</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rsidR="0086048E" w:rsidP="002B4C0D" w14:paraId="4C30DFB6" w14:textId="77777777">
            <w:r>
              <w:t>41</w:t>
            </w:r>
          </w:p>
        </w:tc>
      </w:tr>
      <w:tr w14:paraId="5B67140B"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395" w:type="dxa"/>
            <w:tcBorders>
              <w:top w:val="nil"/>
              <w:left w:val="single" w:sz="6" w:space="0" w:color="000000"/>
              <w:bottom w:val="single" w:sz="6" w:space="0" w:color="000000"/>
              <w:right w:val="nil"/>
            </w:tcBorders>
            <w:tcMar>
              <w:top w:w="100" w:type="dxa"/>
              <w:left w:w="100" w:type="dxa"/>
              <w:bottom w:w="100" w:type="dxa"/>
              <w:right w:w="100" w:type="dxa"/>
            </w:tcMar>
            <w:vAlign w:val="bottom"/>
          </w:tcPr>
          <w:p w:rsidR="0086048E" w:rsidP="002B4C0D" w14:paraId="37328DBA" w14:textId="20F76CF1">
            <w:r>
              <w:t>Uzturēšanas izmaksas p</w:t>
            </w:r>
            <w:r w:rsidR="004B3C79">
              <w:t xml:space="preserve">ar ERAF līdzekļiem izveidotajām vai </w:t>
            </w:r>
            <w:r>
              <w:t>uzlabotajām IS</w:t>
            </w:r>
          </w:p>
        </w:tc>
        <w:tc>
          <w:tcPr>
            <w:tcW w:w="1013" w:type="dxa"/>
            <w:gridSpan w:val="2"/>
            <w:tcBorders>
              <w:top w:val="nil"/>
              <w:left w:val="nil"/>
              <w:bottom w:val="single" w:sz="6" w:space="0" w:color="000000"/>
              <w:right w:val="nil"/>
            </w:tcBorders>
            <w:tcMar>
              <w:top w:w="100" w:type="dxa"/>
              <w:left w:w="100" w:type="dxa"/>
              <w:bottom w:w="100" w:type="dxa"/>
              <w:right w:w="100" w:type="dxa"/>
            </w:tcMar>
            <w:vAlign w:val="bottom"/>
          </w:tcPr>
          <w:p w:rsidR="0086048E" w:rsidP="002B4C0D" w14:paraId="2973E287" w14:textId="77777777">
            <w:r>
              <w:t>0</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5DC6133B" w14:textId="77777777">
            <w:r>
              <w:t>1.8</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12DCB57F" w14:textId="77777777">
            <w:r>
              <w:t>3.6</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382B94AA" w14:textId="77777777">
            <w:r>
              <w:t>9</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rsidR="0086048E" w:rsidP="002B4C0D" w14:paraId="7AF31B31" w14:textId="77777777">
            <w:r>
              <w:t>18</w:t>
            </w:r>
          </w:p>
        </w:tc>
      </w:tr>
      <w:tr w14:paraId="21548667"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rsidR="0086048E" w:rsidP="004B3C79" w14:paraId="1C78E3E8" w14:textId="0D2E0E57">
            <w:r>
              <w:t>Kopējās uzturēšanas izmaksas</w:t>
            </w:r>
            <w:r w:rsidR="004B3C79">
              <w:t xml:space="preserve">, neizmantojot </w:t>
            </w:r>
            <w:r>
              <w:t>mākoņ</w:t>
            </w:r>
            <w:r w:rsidR="004B3C79">
              <w:t>datošanas</w:t>
            </w:r>
            <w:r w:rsidR="004B3C79">
              <w:t xml:space="preserve"> platformu </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64CC0310" w14:textId="77777777">
            <w:r>
              <w:t>41</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019E571B" w14:textId="77777777">
            <w:r>
              <w:t>42.8</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32805591" w14:textId="77777777">
            <w:r>
              <w:t>44.6</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005F5C58" w14:textId="77777777">
            <w:r>
              <w:t>50</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rsidR="0086048E" w:rsidP="002B4C0D" w14:paraId="65665194" w14:textId="77777777">
            <w:r>
              <w:t>59</w:t>
            </w:r>
          </w:p>
        </w:tc>
      </w:tr>
      <w:tr w14:paraId="3B6A3DF0"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tcMar>
              <w:top w:w="100" w:type="dxa"/>
              <w:left w:w="100" w:type="dxa"/>
              <w:bottom w:w="100" w:type="dxa"/>
              <w:right w:w="100" w:type="dxa"/>
            </w:tcMar>
            <w:vAlign w:val="bottom"/>
          </w:tcPr>
          <w:p w:rsidR="0086048E" w:rsidP="002B4C0D" w14:paraId="42B4EF9D" w14:textId="77777777"/>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32593DD7" w14:textId="77777777"/>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24A638D9" w14:textId="77777777"/>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17DFAB36" w14:textId="77777777"/>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7AB7E9F1" w14:textId="77777777"/>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rsidR="0086048E" w:rsidP="002B4C0D" w14:paraId="7C96ACA5" w14:textId="77777777"/>
        </w:tc>
      </w:tr>
      <w:tr w14:paraId="0690B857"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rsidR="0086048E" w:rsidP="002B4C0D" w14:paraId="75D6EDBC" w14:textId="77777777">
            <w:r>
              <w:t>Migrācijas izmaksas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516B456C" w14:textId="77777777">
            <w:r>
              <w:t>0.3</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1B533174" w14:textId="77777777">
            <w:r>
              <w:t>0.9</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619CF439" w14:textId="77777777">
            <w:r>
              <w:t>1.2</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5D521AAD" w14:textId="77777777">
            <w:r>
              <w:t>1.5</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rsidR="0086048E" w:rsidP="002B4C0D" w14:paraId="31D6553C" w14:textId="77777777">
            <w:r>
              <w:t>1.8</w:t>
            </w:r>
          </w:p>
        </w:tc>
      </w:tr>
      <w:tr w14:paraId="53ABC374"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tcMar>
              <w:top w:w="100" w:type="dxa"/>
              <w:left w:w="100" w:type="dxa"/>
              <w:bottom w:w="100" w:type="dxa"/>
              <w:right w:w="100" w:type="dxa"/>
            </w:tcMar>
            <w:vAlign w:val="bottom"/>
          </w:tcPr>
          <w:p w:rsidR="0086048E" w:rsidP="004B3C79" w14:paraId="78FC9767" w14:textId="2D71E8FA">
            <w:r>
              <w:t>Ietaupītās uzturēšanas izmaksas</w:t>
            </w:r>
            <w:r w:rsidR="004B3C79">
              <w:t>, izmantojot</w:t>
            </w:r>
            <w:r>
              <w:t xml:space="preserve"> </w:t>
            </w:r>
            <w:r>
              <w:t>mākoņpakalpojumu</w:t>
            </w:r>
            <w:r>
              <w:t xml:space="preserve"> platformu </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0D49344C" w14:textId="77777777">
            <w:r>
              <w:t>0</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4C67EE0C" w14:textId="77777777">
            <w:r>
              <w:t>1.435</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4A24232B" w14:textId="77777777">
            <w:r>
              <w:t>4.3</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6765F62B" w14:textId="77777777">
            <w:r>
              <w:t>5.74</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rsidR="0086048E" w:rsidP="002B4C0D" w14:paraId="4DA1CFBF" w14:textId="77777777">
            <w:r>
              <w:t>7.175</w:t>
            </w:r>
          </w:p>
        </w:tc>
      </w:tr>
      <w:tr w14:paraId="0713C1E7"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shd w:val="clear" w:color="auto" w:fill="D9D9D9"/>
            <w:tcMar>
              <w:top w:w="100" w:type="dxa"/>
              <w:left w:w="100" w:type="dxa"/>
              <w:bottom w:w="100" w:type="dxa"/>
              <w:right w:w="100" w:type="dxa"/>
            </w:tcMar>
            <w:vAlign w:val="bottom"/>
          </w:tcPr>
          <w:p w:rsidR="0086048E" w:rsidP="002B4C0D" w14:paraId="7F7616A6" w14:textId="06038E79">
            <w:r>
              <w:t>Uzturēšanas izmaksas</w:t>
            </w:r>
            <w:r w:rsidR="004F4A1E">
              <w:t>,</w:t>
            </w:r>
            <w:r>
              <w:t xml:space="preserve"> izmantojot </w:t>
            </w:r>
            <w:r>
              <w:t>mākoņdatošanas</w:t>
            </w:r>
            <w:r>
              <w:t xml:space="preserve"> platformas</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704FD284" w14:textId="77777777">
            <w:r>
              <w:t>41.3</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414C07AA" w14:textId="77777777">
            <w:r>
              <w:t>42.265</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1CCEEC63" w14:textId="77777777">
            <w:r>
              <w:t>41.5</w:t>
            </w:r>
          </w:p>
        </w:tc>
        <w:tc>
          <w:tcPr>
            <w:tcW w:w="988" w:type="dxa"/>
            <w:tcBorders>
              <w:top w:val="nil"/>
              <w:left w:val="nil"/>
              <w:bottom w:val="single" w:sz="6" w:space="0" w:color="000000"/>
              <w:right w:val="nil"/>
            </w:tcBorders>
            <w:shd w:val="clear" w:color="auto" w:fill="D9D9D9"/>
            <w:tcMar>
              <w:top w:w="100" w:type="dxa"/>
              <w:left w:w="100" w:type="dxa"/>
              <w:bottom w:w="100" w:type="dxa"/>
              <w:right w:w="100" w:type="dxa"/>
            </w:tcMar>
            <w:vAlign w:val="bottom"/>
          </w:tcPr>
          <w:p w:rsidR="0086048E" w:rsidP="002B4C0D" w14:paraId="494F4D75" w14:textId="77777777">
            <w:r>
              <w:t>45.76</w:t>
            </w:r>
          </w:p>
        </w:tc>
        <w:tc>
          <w:tcPr>
            <w:tcW w:w="988" w:type="dxa"/>
            <w:tcBorders>
              <w:top w:val="nil"/>
              <w:left w:val="nil"/>
              <w:bottom w:val="single" w:sz="6" w:space="0" w:color="000000"/>
              <w:right w:val="single" w:sz="6" w:space="0" w:color="000000"/>
            </w:tcBorders>
            <w:shd w:val="clear" w:color="auto" w:fill="D9D9D9"/>
            <w:tcMar>
              <w:top w:w="100" w:type="dxa"/>
              <w:left w:w="100" w:type="dxa"/>
              <w:bottom w:w="100" w:type="dxa"/>
              <w:right w:w="100" w:type="dxa"/>
            </w:tcMar>
            <w:vAlign w:val="bottom"/>
          </w:tcPr>
          <w:p w:rsidR="0086048E" w:rsidP="002B4C0D" w14:paraId="025B63E4" w14:textId="77777777">
            <w:r>
              <w:t>53.625</w:t>
            </w:r>
          </w:p>
        </w:tc>
      </w:tr>
      <w:tr w14:paraId="4BF5AA5C" w14:textId="77777777" w:rsidTr="00690E39">
        <w:tblPrEx>
          <w:tblW w:w="9360" w:type="dxa"/>
          <w:tblInd w:w="100" w:type="dxa"/>
          <w:tblLayout w:type="fixed"/>
          <w:tblCellMar>
            <w:top w:w="100" w:type="dxa"/>
            <w:left w:w="100" w:type="dxa"/>
            <w:bottom w:w="100" w:type="dxa"/>
            <w:right w:w="100" w:type="dxa"/>
          </w:tblCellMar>
          <w:tblLook w:val="0600"/>
        </w:tblPrEx>
        <w:trPr>
          <w:trHeight w:val="500"/>
        </w:trPr>
        <w:tc>
          <w:tcPr>
            <w:tcW w:w="4420" w:type="dxa"/>
            <w:gridSpan w:val="2"/>
            <w:tcBorders>
              <w:top w:val="nil"/>
              <w:left w:val="single" w:sz="6" w:space="0" w:color="000000"/>
              <w:bottom w:val="single" w:sz="6" w:space="0" w:color="000000"/>
              <w:right w:val="nil"/>
            </w:tcBorders>
            <w:tcMar>
              <w:top w:w="100" w:type="dxa"/>
              <w:left w:w="100" w:type="dxa"/>
              <w:bottom w:w="100" w:type="dxa"/>
              <w:right w:w="100" w:type="dxa"/>
            </w:tcMar>
            <w:vAlign w:val="bottom"/>
          </w:tcPr>
          <w:p w:rsidR="0086048E" w:rsidP="002B4C0D" w14:paraId="1C026482" w14:textId="77777777">
            <w:r>
              <w:t>Kopējais ietaupījums</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22D6926E" w14:textId="77777777">
            <w:r>
              <w:t>-0.3</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1CBC4DEF" w14:textId="77777777">
            <w:r>
              <w:t>0.535</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7F067BFC" w14:textId="77777777">
            <w:r>
              <w:t>3.1</w:t>
            </w:r>
          </w:p>
        </w:tc>
        <w:tc>
          <w:tcPr>
            <w:tcW w:w="988" w:type="dxa"/>
            <w:tcBorders>
              <w:top w:val="nil"/>
              <w:left w:val="nil"/>
              <w:bottom w:val="single" w:sz="6" w:space="0" w:color="000000"/>
              <w:right w:val="nil"/>
            </w:tcBorders>
            <w:tcMar>
              <w:top w:w="100" w:type="dxa"/>
              <w:left w:w="100" w:type="dxa"/>
              <w:bottom w:w="100" w:type="dxa"/>
              <w:right w:w="100" w:type="dxa"/>
            </w:tcMar>
            <w:vAlign w:val="bottom"/>
          </w:tcPr>
          <w:p w:rsidR="0086048E" w:rsidP="002B4C0D" w14:paraId="36CF76E9" w14:textId="77777777">
            <w:r>
              <w:t>4.24</w:t>
            </w:r>
          </w:p>
        </w:tc>
        <w:tc>
          <w:tcPr>
            <w:tcW w:w="988" w:type="dxa"/>
            <w:tcBorders>
              <w:top w:val="nil"/>
              <w:left w:val="nil"/>
              <w:bottom w:val="single" w:sz="6" w:space="0" w:color="000000"/>
              <w:right w:val="single" w:sz="6" w:space="0" w:color="000000"/>
            </w:tcBorders>
            <w:tcMar>
              <w:top w:w="100" w:type="dxa"/>
              <w:left w:w="100" w:type="dxa"/>
              <w:bottom w:w="100" w:type="dxa"/>
              <w:right w:w="100" w:type="dxa"/>
            </w:tcMar>
            <w:vAlign w:val="bottom"/>
          </w:tcPr>
          <w:p w:rsidR="0086048E" w:rsidP="002B4C0D" w14:paraId="50118A5B" w14:textId="77777777">
            <w:r>
              <w:t>5.375</w:t>
            </w:r>
          </w:p>
        </w:tc>
      </w:tr>
    </w:tbl>
    <w:p w:rsidR="0086048E" w:rsidP="0086048E" w14:paraId="2A957B71" w14:textId="77777777">
      <w:r>
        <w:t xml:space="preserve"> </w:t>
      </w:r>
    </w:p>
    <w:p w:rsidR="0086048E" w:rsidP="00C72B45" w14:paraId="43AD66BB" w14:textId="4856DA2F">
      <w:pPr>
        <w:pStyle w:val="ListParagraph"/>
        <w:numPr>
          <w:ilvl w:val="1"/>
          <w:numId w:val="49"/>
        </w:numPr>
        <w:pBdr>
          <w:top w:val="nil"/>
          <w:left w:val="nil"/>
          <w:bottom w:val="nil"/>
          <w:right w:val="nil"/>
          <w:between w:val="nil"/>
        </w:pBdr>
        <w:spacing w:line="276" w:lineRule="auto"/>
        <w:jc w:val="both"/>
      </w:pPr>
      <w:r>
        <w:t>Netaustāmie ieguvumi</w:t>
      </w:r>
      <w:r w:rsidR="004337DD">
        <w:t>:</w:t>
      </w:r>
    </w:p>
    <w:p w:rsidR="0086048E" w:rsidRPr="00C72B45" w:rsidP="00C72B45" w14:paraId="6E4AF51D" w14:textId="26C73620">
      <w:pPr>
        <w:pStyle w:val="ListParagraph"/>
        <w:numPr>
          <w:ilvl w:val="2"/>
          <w:numId w:val="49"/>
        </w:numPr>
        <w:pBdr>
          <w:top w:val="nil"/>
          <w:left w:val="nil"/>
          <w:bottom w:val="nil"/>
          <w:right w:val="nil"/>
          <w:between w:val="nil"/>
        </w:pBdr>
        <w:spacing w:line="276" w:lineRule="auto"/>
        <w:jc w:val="both"/>
      </w:pPr>
      <w:r w:rsidRPr="00C72B45">
        <w:t xml:space="preserve">Samazināta </w:t>
      </w:r>
      <w:r w:rsidR="00C72B45">
        <w:t xml:space="preserve">kapitālieguldījumu </w:t>
      </w:r>
      <w:r w:rsidRPr="00C72B45">
        <w:t>nepieciešamība, finansējumu nodrošinot kā operatīvās izmaksas</w:t>
      </w:r>
      <w:r w:rsidRPr="00C72B45" w:rsidR="006B15C8">
        <w:t>.</w:t>
      </w:r>
    </w:p>
    <w:p w:rsidR="0086048E" w:rsidP="00C72B45" w14:paraId="4CAA49ED" w14:textId="46FD2BBE">
      <w:pPr>
        <w:pStyle w:val="ListParagraph"/>
        <w:numPr>
          <w:ilvl w:val="2"/>
          <w:numId w:val="49"/>
        </w:numPr>
        <w:pBdr>
          <w:top w:val="nil"/>
          <w:left w:val="nil"/>
          <w:bottom w:val="nil"/>
          <w:right w:val="nil"/>
          <w:between w:val="nil"/>
        </w:pBdr>
        <w:spacing w:line="276" w:lineRule="auto"/>
        <w:jc w:val="both"/>
      </w:pPr>
      <w:r>
        <w:t>Palielinātas mērogošanas un adaptēšanas iespējas</w:t>
      </w:r>
      <w:r w:rsidR="004337DD">
        <w:t>.</w:t>
      </w:r>
    </w:p>
    <w:p w:rsidR="0086048E" w:rsidP="00C72B45" w14:paraId="3BE2F49F" w14:textId="62C2969D">
      <w:pPr>
        <w:pStyle w:val="ListParagraph"/>
        <w:numPr>
          <w:ilvl w:val="2"/>
          <w:numId w:val="49"/>
        </w:numPr>
        <w:pBdr>
          <w:top w:val="nil"/>
          <w:left w:val="nil"/>
          <w:bottom w:val="nil"/>
          <w:right w:val="nil"/>
          <w:between w:val="nil"/>
        </w:pBdr>
        <w:spacing w:line="276" w:lineRule="auto"/>
        <w:jc w:val="both"/>
      </w:pPr>
      <w:r>
        <w:t>Samazināts laiks, kas nepieciešams, lai uzsāktu</w:t>
      </w:r>
      <w:r w:rsidR="004337DD">
        <w:t xml:space="preserve"> sistēmu darbināšanu.</w:t>
      </w:r>
    </w:p>
    <w:p w:rsidR="0086048E" w:rsidP="00C72B45" w14:paraId="0CCF4458" w14:textId="5E18EA30">
      <w:pPr>
        <w:pStyle w:val="ListParagraph"/>
        <w:numPr>
          <w:ilvl w:val="2"/>
          <w:numId w:val="49"/>
        </w:numPr>
        <w:pBdr>
          <w:top w:val="nil"/>
          <w:left w:val="nil"/>
          <w:bottom w:val="nil"/>
          <w:right w:val="nil"/>
          <w:between w:val="nil"/>
        </w:pBdr>
        <w:spacing w:line="276" w:lineRule="auto"/>
        <w:jc w:val="both"/>
      </w:pPr>
      <w:r>
        <w:t>Samazināts pārvaldībai nepieciešamais laiks</w:t>
      </w:r>
      <w:r w:rsidR="004337DD">
        <w:t>.</w:t>
      </w:r>
    </w:p>
    <w:p w:rsidR="0086048E" w:rsidP="00C72B45" w14:paraId="067D8983" w14:textId="7CDD1584">
      <w:pPr>
        <w:pStyle w:val="ListParagraph"/>
        <w:numPr>
          <w:ilvl w:val="2"/>
          <w:numId w:val="49"/>
        </w:numPr>
        <w:pBdr>
          <w:top w:val="nil"/>
          <w:left w:val="nil"/>
          <w:bottom w:val="nil"/>
          <w:right w:val="nil"/>
          <w:between w:val="nil"/>
        </w:pBdr>
        <w:spacing w:line="276" w:lineRule="auto"/>
        <w:jc w:val="both"/>
      </w:pPr>
      <w:r>
        <w:t>Palielinātas iespējas pirkt dažādus lietojumus kā pakalpojumu, samazinot izmaksas</w:t>
      </w:r>
      <w:r w:rsidR="004337DD">
        <w:t>.</w:t>
      </w:r>
    </w:p>
    <w:p w:rsidR="0086048E" w:rsidP="0086048E" w14:paraId="4024AFB8" w14:textId="77777777">
      <w:pPr>
        <w:ind w:left="720"/>
      </w:pPr>
    </w:p>
    <w:p w:rsidR="0086048E" w:rsidP="0086048E" w14:paraId="5A75FB1C" w14:textId="240C0DED">
      <w:pPr>
        <w:pStyle w:val="Heading3"/>
        <w:numPr>
          <w:ilvl w:val="2"/>
          <w:numId w:val="0"/>
        </w:numPr>
        <w:pBdr>
          <w:top w:val="nil"/>
          <w:left w:val="nil"/>
          <w:bottom w:val="nil"/>
          <w:right w:val="nil"/>
          <w:between w:val="nil"/>
        </w:pBdr>
        <w:spacing w:before="200" w:line="276" w:lineRule="auto"/>
        <w:ind w:left="720" w:hanging="720"/>
      </w:pPr>
      <w:bookmarkStart w:id="23" w:name="_Toc498419997"/>
      <w:r>
        <w:t xml:space="preserve">3. </w:t>
      </w:r>
      <w:r>
        <w:t>Mākoņdatošanas</w:t>
      </w:r>
      <w:r>
        <w:t xml:space="preserve"> pakalpojumu līgumu pārvaldības process</w:t>
      </w:r>
      <w:bookmarkEnd w:id="23"/>
    </w:p>
    <w:p w:rsidR="0086048E" w:rsidP="0086048E" w14:paraId="7B2F5622" w14:textId="488F603D">
      <w:r>
        <w:t xml:space="preserve">Izvēloties </w:t>
      </w:r>
      <w:r>
        <w:t>un</w:t>
      </w:r>
      <w:r>
        <w:t xml:space="preserve"> slēdzot pakalpojumu līgumus ar MDP sniedzējiem, procesu var iedalīt šādās fāzēs:</w:t>
      </w:r>
    </w:p>
    <w:p w:rsidR="00A57470" w:rsidRPr="00A57470" w:rsidP="00A57470" w14:paraId="1C43BF66" w14:textId="77777777">
      <w:pPr>
        <w:pStyle w:val="ListParagraph"/>
        <w:numPr>
          <w:ilvl w:val="0"/>
          <w:numId w:val="49"/>
        </w:numPr>
        <w:pBdr>
          <w:top w:val="nil"/>
          <w:left w:val="nil"/>
          <w:bottom w:val="nil"/>
          <w:right w:val="nil"/>
          <w:between w:val="nil"/>
        </w:pBdr>
        <w:spacing w:line="276" w:lineRule="auto"/>
        <w:jc w:val="both"/>
        <w:rPr>
          <w:vanish/>
        </w:rPr>
      </w:pPr>
    </w:p>
    <w:p w:rsidR="0086048E" w:rsidP="00A57470" w14:paraId="620844F2" w14:textId="46B4AC53">
      <w:pPr>
        <w:pStyle w:val="ListParagraph"/>
        <w:numPr>
          <w:ilvl w:val="1"/>
          <w:numId w:val="49"/>
        </w:numPr>
        <w:pBdr>
          <w:top w:val="nil"/>
          <w:left w:val="nil"/>
          <w:bottom w:val="nil"/>
          <w:right w:val="nil"/>
          <w:between w:val="nil"/>
        </w:pBdr>
        <w:spacing w:line="276" w:lineRule="auto"/>
        <w:jc w:val="both"/>
      </w:pPr>
      <w:r>
        <w:t>Fāze</w:t>
      </w:r>
      <w:r w:rsidR="004337DD">
        <w:t>: MDP prasības, līguma slēgšana.</w:t>
      </w:r>
    </w:p>
    <w:p w:rsidR="0086048E" w:rsidP="00A57470" w14:paraId="7249D5A6" w14:textId="77777777">
      <w:pPr>
        <w:pStyle w:val="ListParagraph"/>
        <w:numPr>
          <w:ilvl w:val="2"/>
          <w:numId w:val="49"/>
        </w:numPr>
        <w:pBdr>
          <w:top w:val="nil"/>
          <w:left w:val="nil"/>
          <w:bottom w:val="nil"/>
          <w:right w:val="nil"/>
          <w:between w:val="nil"/>
        </w:pBdr>
        <w:spacing w:line="276" w:lineRule="auto"/>
        <w:jc w:val="both"/>
      </w:pPr>
      <w:r>
        <w:t>Funkcionālās un SLA prasības MDP pakalpojumam.</w:t>
      </w:r>
    </w:p>
    <w:p w:rsidR="0086048E" w:rsidP="00A57470" w14:paraId="15962410" w14:textId="77777777">
      <w:pPr>
        <w:pStyle w:val="ListParagraph"/>
        <w:numPr>
          <w:ilvl w:val="2"/>
          <w:numId w:val="49"/>
        </w:numPr>
        <w:pBdr>
          <w:top w:val="nil"/>
          <w:left w:val="nil"/>
          <w:bottom w:val="nil"/>
          <w:right w:val="nil"/>
          <w:between w:val="nil"/>
        </w:pBdr>
        <w:spacing w:line="276" w:lineRule="auto"/>
        <w:jc w:val="both"/>
      </w:pPr>
      <w:r>
        <w:t>Drošības un personas datu aizsardzības prasības MDP.</w:t>
      </w:r>
    </w:p>
    <w:p w:rsidR="0086048E" w:rsidP="00A57470" w14:paraId="3BF23CE0" w14:textId="12677AD9">
      <w:pPr>
        <w:pStyle w:val="ListParagraph"/>
        <w:numPr>
          <w:ilvl w:val="2"/>
          <w:numId w:val="49"/>
        </w:numPr>
        <w:pBdr>
          <w:top w:val="nil"/>
          <w:left w:val="nil"/>
          <w:bottom w:val="nil"/>
          <w:right w:val="nil"/>
          <w:between w:val="nil"/>
        </w:pBdr>
        <w:spacing w:line="276" w:lineRule="auto"/>
        <w:jc w:val="both"/>
      </w:pPr>
      <w:r>
        <w:t>Pakalpojumu</w:t>
      </w:r>
      <w:r w:rsidR="004337DD">
        <w:t xml:space="preserve"> novērtējums un salīdzinājums </w:t>
      </w:r>
      <w:r w:rsidR="004337DD">
        <w:t>(</w:t>
      </w:r>
      <w:r w:rsidR="004337DD">
        <w:t>k</w:t>
      </w:r>
      <w:r>
        <w:t>ā noteikt, kuri pakalpojumi ir savstarpēji salīdzināmi? Kādas ir salīdzināšanas metrikas?). Kategorijas salīdzināšanai:</w:t>
      </w:r>
    </w:p>
    <w:p w:rsidR="0086048E" w:rsidP="00A57470" w14:paraId="571626A7" w14:textId="77777777">
      <w:pPr>
        <w:pStyle w:val="ListParagraph"/>
        <w:numPr>
          <w:ilvl w:val="0"/>
          <w:numId w:val="47"/>
        </w:numPr>
        <w:tabs>
          <w:tab w:val="left" w:pos="1701"/>
        </w:tabs>
        <w:jc w:val="both"/>
      </w:pPr>
      <w:r>
        <w:t>pakalpojuma pieejamība, nepārtrauktība un darbības atjaunošanas spējas bojājumu gadījumos;</w:t>
      </w:r>
    </w:p>
    <w:p w:rsidR="0086048E" w:rsidP="00A57470" w14:paraId="07D5C73D" w14:textId="77777777">
      <w:pPr>
        <w:pStyle w:val="ListParagraph"/>
        <w:numPr>
          <w:ilvl w:val="0"/>
          <w:numId w:val="47"/>
        </w:numPr>
        <w:tabs>
          <w:tab w:val="left" w:pos="1701"/>
        </w:tabs>
        <w:jc w:val="both"/>
      </w:pPr>
      <w:r>
        <w:t>konfidencialitāte un datu integritāte datu pārraidē;</w:t>
      </w:r>
    </w:p>
    <w:p w:rsidR="0086048E" w:rsidP="00A57470" w14:paraId="2F491839" w14:textId="77777777">
      <w:pPr>
        <w:pStyle w:val="ListParagraph"/>
        <w:numPr>
          <w:ilvl w:val="0"/>
          <w:numId w:val="47"/>
        </w:numPr>
        <w:tabs>
          <w:tab w:val="left" w:pos="1701"/>
        </w:tabs>
        <w:jc w:val="both"/>
      </w:pPr>
      <w:r>
        <w:t>konfidencialitāte un datu integritāte datu glabāšanā;</w:t>
      </w:r>
    </w:p>
    <w:p w:rsidR="0086048E" w:rsidP="00A57470" w14:paraId="22330ADD" w14:textId="77777777">
      <w:pPr>
        <w:pStyle w:val="ListParagraph"/>
        <w:numPr>
          <w:ilvl w:val="0"/>
          <w:numId w:val="47"/>
        </w:numPr>
        <w:tabs>
          <w:tab w:val="left" w:pos="1701"/>
        </w:tabs>
        <w:jc w:val="both"/>
      </w:pPr>
      <w:r>
        <w:t>datu uzglabāšanas faktiskā vieta;</w:t>
      </w:r>
    </w:p>
    <w:p w:rsidR="0086048E" w:rsidP="00A57470" w14:paraId="1B34970E" w14:textId="3F44D3CF">
      <w:pPr>
        <w:pStyle w:val="ListParagraph"/>
        <w:numPr>
          <w:ilvl w:val="0"/>
          <w:numId w:val="47"/>
        </w:numPr>
        <w:tabs>
          <w:tab w:val="left" w:pos="1701"/>
        </w:tabs>
        <w:jc w:val="both"/>
      </w:pPr>
      <w:r w:rsidRPr="00045C10">
        <w:t>VDAR</w:t>
      </w:r>
      <w:r>
        <w:t xml:space="preserve"> līmeņa prasības;</w:t>
      </w:r>
    </w:p>
    <w:p w:rsidR="0086048E" w:rsidP="00A57470" w14:paraId="4B93B499" w14:textId="77777777">
      <w:pPr>
        <w:pStyle w:val="ListParagraph"/>
        <w:numPr>
          <w:ilvl w:val="0"/>
          <w:numId w:val="47"/>
        </w:numPr>
        <w:tabs>
          <w:tab w:val="left" w:pos="1701"/>
        </w:tabs>
        <w:jc w:val="both"/>
      </w:pPr>
      <w:r>
        <w:t>auditācijas pierakstu un pārskatu veidošanas iespējas ikdienā un drošības incidentu gadījumos;</w:t>
      </w:r>
    </w:p>
    <w:p w:rsidR="0086048E" w:rsidP="00A57470" w14:paraId="7C843A7A" w14:textId="4F96D38B">
      <w:pPr>
        <w:pStyle w:val="ListParagraph"/>
        <w:numPr>
          <w:ilvl w:val="2"/>
          <w:numId w:val="49"/>
        </w:numPr>
        <w:pBdr>
          <w:top w:val="nil"/>
          <w:left w:val="nil"/>
          <w:bottom w:val="nil"/>
          <w:right w:val="nil"/>
          <w:between w:val="nil"/>
        </w:pBdr>
        <w:spacing w:line="276" w:lineRule="auto"/>
        <w:jc w:val="both"/>
      </w:pPr>
      <w:r>
        <w:t xml:space="preserve">Vienošanās ar konkrētu pakalpojumu sniedzēju </w:t>
      </w:r>
      <w:r w:rsidR="00E26F27">
        <w:t>vai</w:t>
      </w:r>
      <w:r>
        <w:t xml:space="preserve"> vairākiem pakalpojumu sniedzējiem.</w:t>
      </w:r>
    </w:p>
    <w:p w:rsidR="0086048E" w:rsidP="00A57470" w14:paraId="77C465E9" w14:textId="69443346">
      <w:pPr>
        <w:pStyle w:val="ListParagraph"/>
        <w:numPr>
          <w:ilvl w:val="2"/>
          <w:numId w:val="49"/>
        </w:numPr>
        <w:pBdr>
          <w:top w:val="nil"/>
          <w:left w:val="nil"/>
          <w:bottom w:val="nil"/>
          <w:right w:val="nil"/>
          <w:between w:val="nil"/>
        </w:pBdr>
        <w:spacing w:line="276" w:lineRule="auto"/>
        <w:jc w:val="both"/>
      </w:pPr>
      <w:r>
        <w:t>Nepārprotama</w:t>
      </w:r>
      <w:r>
        <w:t xml:space="preserve"> PSL sastādīšana.</w:t>
      </w:r>
    </w:p>
    <w:p w:rsidR="0086048E" w:rsidP="00A57470" w14:paraId="448684C5" w14:textId="6847AF86">
      <w:pPr>
        <w:pStyle w:val="ListParagraph"/>
        <w:numPr>
          <w:ilvl w:val="2"/>
          <w:numId w:val="49"/>
        </w:numPr>
        <w:pBdr>
          <w:top w:val="nil"/>
          <w:left w:val="nil"/>
          <w:bottom w:val="nil"/>
          <w:right w:val="nil"/>
          <w:between w:val="nil"/>
        </w:pBdr>
        <w:spacing w:line="276" w:lineRule="auto"/>
        <w:jc w:val="both"/>
      </w:pPr>
      <w:r>
        <w:t>Savietojamības nodrošināšana starp pakalpojuma sniedzēja un saņēmēja sistēmām</w:t>
      </w:r>
      <w:r w:rsidR="00E26F27">
        <w:t xml:space="preserve"> vai </w:t>
      </w:r>
      <w:r>
        <w:t>lietotnēm.</w:t>
      </w:r>
    </w:p>
    <w:p w:rsidR="0086048E" w:rsidP="00A57470" w14:paraId="77A04D68" w14:textId="77777777">
      <w:pPr>
        <w:pStyle w:val="ListParagraph"/>
        <w:numPr>
          <w:ilvl w:val="2"/>
          <w:numId w:val="49"/>
        </w:numPr>
        <w:pBdr>
          <w:top w:val="nil"/>
          <w:left w:val="nil"/>
          <w:bottom w:val="nil"/>
          <w:right w:val="nil"/>
          <w:between w:val="nil"/>
        </w:pBdr>
        <w:spacing w:line="276" w:lineRule="auto"/>
        <w:jc w:val="both"/>
      </w:pPr>
      <w:r>
        <w:t>Datu pārnešanas iespēju vienošanās (piemēram: virtuālo mašīnu eksports vai XML datu izlāde ar noteiktu formātu).</w:t>
      </w:r>
    </w:p>
    <w:p w:rsidR="0086048E" w:rsidP="00A57470" w14:paraId="5BC698CC" w14:textId="77777777">
      <w:pPr>
        <w:pStyle w:val="ListParagraph"/>
        <w:numPr>
          <w:ilvl w:val="2"/>
          <w:numId w:val="49"/>
        </w:numPr>
        <w:pBdr>
          <w:top w:val="nil"/>
          <w:left w:val="nil"/>
          <w:bottom w:val="nil"/>
          <w:right w:val="nil"/>
          <w:between w:val="nil"/>
        </w:pBdr>
        <w:spacing w:line="276" w:lineRule="auto"/>
        <w:jc w:val="both"/>
      </w:pPr>
      <w:r>
        <w:t>Integrācijas iespējas ar vēsturiskām sistēmām (ja nepieciešamas).</w:t>
      </w:r>
    </w:p>
    <w:p w:rsidR="0086048E" w:rsidP="00A57470" w14:paraId="6CE0BA6D" w14:textId="77777777">
      <w:pPr>
        <w:pStyle w:val="ListParagraph"/>
        <w:numPr>
          <w:ilvl w:val="2"/>
          <w:numId w:val="49"/>
        </w:numPr>
        <w:pBdr>
          <w:top w:val="nil"/>
          <w:left w:val="nil"/>
          <w:bottom w:val="nil"/>
          <w:right w:val="nil"/>
          <w:between w:val="nil"/>
        </w:pBdr>
        <w:spacing w:line="276" w:lineRule="auto"/>
        <w:jc w:val="both"/>
      </w:pPr>
      <w:r>
        <w:t>Datu vienlaicīga uzturēšana pie vairākiem pakalpojumu sniedzējiem un automātiska replikācija (mērķis: atjaunošanās spēja).</w:t>
      </w:r>
    </w:p>
    <w:p w:rsidR="0086048E" w:rsidP="0086048E" w14:paraId="045CCC28" w14:textId="77777777">
      <w:pPr>
        <w:pStyle w:val="ListParagraph"/>
      </w:pPr>
    </w:p>
    <w:p w:rsidR="0086048E" w:rsidP="00A57470" w14:paraId="7710C503" w14:textId="77777777">
      <w:pPr>
        <w:pStyle w:val="ListParagraph"/>
        <w:numPr>
          <w:ilvl w:val="1"/>
          <w:numId w:val="49"/>
        </w:numPr>
        <w:pBdr>
          <w:top w:val="nil"/>
          <w:left w:val="nil"/>
          <w:bottom w:val="nil"/>
          <w:right w:val="nil"/>
          <w:between w:val="nil"/>
        </w:pBdr>
        <w:spacing w:line="276" w:lineRule="auto"/>
        <w:jc w:val="both"/>
      </w:pPr>
      <w:r>
        <w:t>Fāze - pakalpojuma darbināšana.</w:t>
      </w:r>
    </w:p>
    <w:p w:rsidR="0086048E" w:rsidP="00A57470" w14:paraId="596303EB" w14:textId="413CE6E4">
      <w:pPr>
        <w:pStyle w:val="ListParagraph"/>
        <w:numPr>
          <w:ilvl w:val="2"/>
          <w:numId w:val="49"/>
        </w:numPr>
        <w:pBdr>
          <w:top w:val="nil"/>
          <w:left w:val="nil"/>
          <w:bottom w:val="nil"/>
          <w:right w:val="nil"/>
          <w:between w:val="nil"/>
        </w:pBdr>
        <w:spacing w:line="276" w:lineRule="auto"/>
        <w:jc w:val="both"/>
      </w:pPr>
      <w:r>
        <w:t>Pak</w:t>
      </w:r>
      <w:r w:rsidR="00E26F27">
        <w:t>alpojuma faktiskā izvietošana (</w:t>
      </w:r>
      <w:r>
        <w:t>IaaS</w:t>
      </w:r>
      <w:r>
        <w:t xml:space="preserve"> un </w:t>
      </w:r>
      <w:r>
        <w:t>PaaS</w:t>
      </w:r>
      <w:r>
        <w:t xml:space="preserve"> gadījumiem).</w:t>
      </w:r>
    </w:p>
    <w:p w:rsidR="0086048E" w:rsidP="00A57470" w14:paraId="469A23B7" w14:textId="77777777">
      <w:pPr>
        <w:pStyle w:val="ListParagraph"/>
        <w:numPr>
          <w:ilvl w:val="2"/>
          <w:numId w:val="49"/>
        </w:numPr>
        <w:pBdr>
          <w:top w:val="nil"/>
          <w:left w:val="nil"/>
          <w:bottom w:val="nil"/>
          <w:right w:val="nil"/>
          <w:between w:val="nil"/>
        </w:pBdr>
        <w:spacing w:line="276" w:lineRule="auto"/>
        <w:jc w:val="both"/>
      </w:pPr>
      <w:r>
        <w:t>Neatkarīga pakalpojuma kvalitātes uzraudzība noteiktiem parametriem.</w:t>
      </w:r>
    </w:p>
    <w:p w:rsidR="0086048E" w:rsidP="00A57470" w14:paraId="2258F90D" w14:textId="20DF4281">
      <w:pPr>
        <w:pStyle w:val="ListParagraph"/>
        <w:numPr>
          <w:ilvl w:val="2"/>
          <w:numId w:val="49"/>
        </w:numPr>
        <w:pBdr>
          <w:top w:val="nil"/>
          <w:left w:val="nil"/>
          <w:bottom w:val="nil"/>
          <w:right w:val="nil"/>
          <w:between w:val="nil"/>
        </w:pBdr>
        <w:spacing w:line="276" w:lineRule="auto"/>
        <w:jc w:val="both"/>
      </w:pPr>
      <w:r>
        <w:t xml:space="preserve">Mehānismi </w:t>
      </w:r>
      <w:r w:rsidR="00E26F27">
        <w:t xml:space="preserve">pakalpojuma kvalitātes pārskatu un </w:t>
      </w:r>
      <w:r>
        <w:t>atskaišu pieejamības nodrošināšanai</w:t>
      </w:r>
      <w:r w:rsidR="00E26F27">
        <w:t xml:space="preserve"> un </w:t>
      </w:r>
      <w:r>
        <w:t>izsūtīšanai.</w:t>
      </w:r>
    </w:p>
    <w:p w:rsidR="0086048E" w:rsidP="00A57470" w14:paraId="4A572BD5" w14:textId="77777777">
      <w:pPr>
        <w:pStyle w:val="ListParagraph"/>
        <w:numPr>
          <w:ilvl w:val="2"/>
          <w:numId w:val="49"/>
        </w:numPr>
        <w:pBdr>
          <w:top w:val="nil"/>
          <w:left w:val="nil"/>
          <w:bottom w:val="nil"/>
          <w:right w:val="nil"/>
          <w:between w:val="nil"/>
        </w:pBdr>
        <w:spacing w:line="276" w:lineRule="auto"/>
        <w:jc w:val="both"/>
      </w:pPr>
      <w:r>
        <w:t>Mehānismi pakalpojumu atteices vai kvalitātes zudumu apziņošanai.</w:t>
      </w:r>
    </w:p>
    <w:p w:rsidR="0086048E" w:rsidP="00A57470" w14:paraId="0D39687E" w14:textId="3007003E">
      <w:pPr>
        <w:pStyle w:val="ListParagraph"/>
        <w:numPr>
          <w:ilvl w:val="2"/>
          <w:numId w:val="49"/>
        </w:numPr>
        <w:pBdr>
          <w:top w:val="nil"/>
          <w:left w:val="nil"/>
          <w:bottom w:val="nil"/>
          <w:right w:val="nil"/>
          <w:between w:val="nil"/>
        </w:pBdr>
        <w:spacing w:line="276" w:lineRule="auto"/>
        <w:jc w:val="both"/>
      </w:pPr>
      <w:r>
        <w:t>Mehānismi</w:t>
      </w:r>
      <w:r w:rsidR="00E26F27">
        <w:t>,</w:t>
      </w:r>
      <w:r>
        <w:t xml:space="preserve"> kā reaģēt uz pakalpojumu atteici vai kvalitātes zudumiem.</w:t>
      </w:r>
    </w:p>
    <w:p w:rsidR="0086048E" w:rsidP="00A57470" w14:paraId="6E6A62A4" w14:textId="17A118E7">
      <w:pPr>
        <w:pStyle w:val="ListParagraph"/>
        <w:numPr>
          <w:ilvl w:val="2"/>
          <w:numId w:val="49"/>
        </w:numPr>
        <w:pBdr>
          <w:top w:val="nil"/>
          <w:left w:val="nil"/>
          <w:bottom w:val="nil"/>
          <w:right w:val="nil"/>
          <w:between w:val="nil"/>
        </w:pBdr>
        <w:spacing w:line="276" w:lineRule="auto"/>
        <w:jc w:val="both"/>
      </w:pPr>
      <w:r>
        <w:t>Atruna par to</w:t>
      </w:r>
      <w:r w:rsidR="00E26F27">
        <w:t>,</w:t>
      </w:r>
      <w:r>
        <w:t xml:space="preserve"> kā risināt strīdus situācijas.</w:t>
      </w:r>
    </w:p>
    <w:p w:rsidR="0086048E" w:rsidP="00A57470" w14:paraId="0257289D" w14:textId="77777777">
      <w:pPr>
        <w:pStyle w:val="ListParagraph"/>
        <w:numPr>
          <w:ilvl w:val="2"/>
          <w:numId w:val="49"/>
        </w:numPr>
        <w:pBdr>
          <w:top w:val="nil"/>
          <w:left w:val="nil"/>
          <w:bottom w:val="nil"/>
          <w:right w:val="nil"/>
          <w:between w:val="nil"/>
        </w:pBdr>
        <w:spacing w:line="276" w:lineRule="auto"/>
        <w:jc w:val="both"/>
      </w:pPr>
      <w:r>
        <w:t>Lietotāju administrēšana, identitātes nodrošināšana un autorizācijas mehānismi.</w:t>
      </w:r>
    </w:p>
    <w:p w:rsidR="0086048E" w:rsidP="0086048E" w14:paraId="64BDCC66" w14:textId="77777777">
      <w:pPr>
        <w:ind w:left="720"/>
      </w:pPr>
    </w:p>
    <w:p w:rsidR="0086048E" w:rsidP="00A57470" w14:paraId="60575C31" w14:textId="77777777">
      <w:pPr>
        <w:pStyle w:val="ListParagraph"/>
        <w:numPr>
          <w:ilvl w:val="1"/>
          <w:numId w:val="49"/>
        </w:numPr>
        <w:pBdr>
          <w:top w:val="nil"/>
          <w:left w:val="nil"/>
          <w:bottom w:val="nil"/>
          <w:right w:val="nil"/>
          <w:between w:val="nil"/>
        </w:pBdr>
        <w:spacing w:line="276" w:lineRule="auto"/>
        <w:jc w:val="both"/>
      </w:pPr>
      <w:r>
        <w:t>Fāze - pakalpojuma sniegšanas izbeigšana.</w:t>
      </w:r>
    </w:p>
    <w:p w:rsidR="0086048E" w:rsidP="00A57470" w14:paraId="1278AD4E" w14:textId="77777777">
      <w:pPr>
        <w:pStyle w:val="ListParagraph"/>
        <w:numPr>
          <w:ilvl w:val="2"/>
          <w:numId w:val="49"/>
        </w:numPr>
        <w:pBdr>
          <w:top w:val="nil"/>
          <w:left w:val="nil"/>
          <w:bottom w:val="nil"/>
          <w:right w:val="nil"/>
          <w:between w:val="nil"/>
        </w:pBdr>
        <w:spacing w:line="276" w:lineRule="auto"/>
        <w:jc w:val="both"/>
      </w:pPr>
      <w:r>
        <w:t xml:space="preserve">Kā uzsākt pakalpojuma pārtraukšanu (piemēram, datu izgūšana, pārslēgšanās starp sistēmām, paralēla lietošana). Kā nodrošināt pilnvērtīgu datu apjomu atgūšanu un nodrošināt </w:t>
      </w:r>
      <w:r>
        <w:t>orģinālo</w:t>
      </w:r>
      <w:r>
        <w:t xml:space="preserve"> datu izdzēšanu (piemēram, personas datu izdzēšanu)?</w:t>
      </w:r>
    </w:p>
    <w:p w:rsidR="0086048E" w:rsidP="00A57470" w14:paraId="3A9D3339" w14:textId="77777777">
      <w:pPr>
        <w:pStyle w:val="ListParagraph"/>
        <w:numPr>
          <w:ilvl w:val="2"/>
          <w:numId w:val="49"/>
        </w:numPr>
        <w:pBdr>
          <w:top w:val="nil"/>
          <w:left w:val="nil"/>
          <w:bottom w:val="nil"/>
          <w:right w:val="nil"/>
          <w:between w:val="nil"/>
        </w:pBdr>
        <w:spacing w:line="276" w:lineRule="auto"/>
        <w:jc w:val="both"/>
      </w:pPr>
      <w:r>
        <w:t>Kā izvērtēt pakalpojuma sniegšanas kvalitāti un veikt retrospektīvu izvērtējumu?</w:t>
      </w:r>
    </w:p>
    <w:p w:rsidR="0086048E" w:rsidP="00A57470" w14:paraId="3BC2D9CA" w14:textId="77777777">
      <w:pPr>
        <w:pStyle w:val="ListParagraph"/>
        <w:numPr>
          <w:ilvl w:val="2"/>
          <w:numId w:val="49"/>
        </w:numPr>
        <w:pBdr>
          <w:top w:val="nil"/>
          <w:left w:val="nil"/>
          <w:bottom w:val="nil"/>
          <w:right w:val="nil"/>
          <w:between w:val="nil"/>
        </w:pBdr>
        <w:spacing w:line="276" w:lineRule="auto"/>
        <w:jc w:val="both"/>
      </w:pPr>
      <w:r>
        <w:t>Līguma faktiskā izbeigšana.</w:t>
      </w:r>
    </w:p>
    <w:p w:rsidR="0086048E" w:rsidP="0086048E" w14:paraId="3D29EA2F" w14:textId="7D7EF477">
      <w:pPr>
        <w:rPr>
          <w:rFonts w:ascii="Georgia" w:eastAsia="Georgia" w:hAnsi="Georgia" w:cs="Georgia"/>
          <w:sz w:val="36"/>
          <w:szCs w:val="36"/>
        </w:rPr>
      </w:pPr>
    </w:p>
    <w:p w:rsidR="001A2394" w:rsidP="0086048E" w14:paraId="591679C1" w14:textId="77777777">
      <w:pPr>
        <w:rPr>
          <w:rFonts w:ascii="Georgia" w:eastAsia="Georgia" w:hAnsi="Georgia" w:cs="Georgia"/>
          <w:sz w:val="36"/>
          <w:szCs w:val="36"/>
        </w:rPr>
      </w:pPr>
    </w:p>
    <w:p w:rsidR="00EA201D" w:rsidP="00AD4DFA" w14:paraId="67F19BA6" w14:textId="77777777">
      <w:pPr>
        <w:jc w:val="both"/>
      </w:pPr>
      <w:bookmarkEnd w:id="4"/>
      <w:bookmarkEnd w:id="14"/>
      <w:bookmarkEnd w:id="15"/>
    </w:p>
    <w:p w:rsidR="009974EF" w:rsidP="00AD4DFA" w14:paraId="6848156C" w14:textId="77777777">
      <w:pPr>
        <w:jc w:val="both"/>
      </w:pPr>
      <w:r>
        <w:t>V</w:t>
      </w:r>
      <w:r w:rsidRPr="005829DA" w:rsidR="005D46EB">
        <w:t xml:space="preserve">ides aizsardzības un </w:t>
      </w:r>
    </w:p>
    <w:p w:rsidR="00F15A4F" w:rsidRPr="005829DA" w:rsidP="00AD4DFA" w14:paraId="16002314" w14:textId="0B49FBB1">
      <w:pPr>
        <w:jc w:val="both"/>
      </w:pPr>
      <w:r w:rsidRPr="005829DA">
        <w:t>reģionālās attīstības ministrs</w:t>
      </w:r>
      <w:r w:rsidRPr="005829DA">
        <w:tab/>
      </w:r>
      <w:r w:rsidRPr="005829DA">
        <w:tab/>
      </w:r>
      <w:r w:rsidRPr="005829DA">
        <w:tab/>
      </w:r>
      <w:r w:rsidRPr="005829DA">
        <w:tab/>
      </w:r>
      <w:r w:rsidRPr="005829DA" w:rsidR="00EF3C1B">
        <w:t xml:space="preserve">           </w:t>
      </w:r>
      <w:r w:rsidRPr="005829DA" w:rsidR="005D2DD7">
        <w:t xml:space="preserve"> </w:t>
      </w:r>
      <w:r w:rsidR="009974EF">
        <w:t xml:space="preserve">                                    </w:t>
      </w:r>
      <w:r w:rsidRPr="005829DA" w:rsidR="00FC3C3D">
        <w:t>K.Gerhards</w:t>
      </w:r>
    </w:p>
    <w:p w:rsidR="00AD4DFA" w:rsidRPr="005829DA" w:rsidP="00AD4DFA" w14:paraId="56E79C29" w14:textId="500FBF08">
      <w:pPr>
        <w:jc w:val="both"/>
      </w:pP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r w:rsidRPr="005829DA">
        <w:rPr>
          <w:rFonts w:ascii="Tahoma" w:hAnsi="Tahoma" w:cs="Tahoma"/>
        </w:rPr>
        <w:tab/>
      </w:r>
    </w:p>
    <w:p w:rsidR="00F67EAA" w:rsidP="00945AD4" w14:paraId="66530BB1" w14:textId="77777777">
      <w:pPr>
        <w:tabs>
          <w:tab w:val="left" w:pos="7380"/>
        </w:tabs>
        <w:ind w:right="-283"/>
        <w:jc w:val="both"/>
        <w:rPr>
          <w:sz w:val="16"/>
          <w:szCs w:val="16"/>
        </w:rPr>
      </w:pPr>
    </w:p>
    <w:p w:rsidR="001A2394" w:rsidP="00945AD4" w14:paraId="6F41FA48" w14:textId="77777777">
      <w:pPr>
        <w:tabs>
          <w:tab w:val="left" w:pos="7380"/>
        </w:tabs>
        <w:ind w:right="-283"/>
        <w:jc w:val="both"/>
        <w:rPr>
          <w:sz w:val="16"/>
          <w:szCs w:val="16"/>
        </w:rPr>
      </w:pPr>
    </w:p>
    <w:p w:rsidR="009F4CBF" w:rsidP="00945AD4" w14:paraId="48BA0299" w14:textId="77777777">
      <w:pPr>
        <w:tabs>
          <w:tab w:val="left" w:pos="7380"/>
        </w:tabs>
        <w:ind w:right="-283"/>
        <w:jc w:val="both"/>
        <w:rPr>
          <w:sz w:val="16"/>
          <w:szCs w:val="16"/>
        </w:rPr>
      </w:pPr>
    </w:p>
    <w:p w:rsidR="00B930AB" w:rsidP="00945AD4" w14:paraId="0B69F716" w14:textId="77777777">
      <w:pPr>
        <w:tabs>
          <w:tab w:val="left" w:pos="7380"/>
        </w:tabs>
        <w:ind w:right="-283"/>
        <w:jc w:val="both"/>
        <w:rPr>
          <w:sz w:val="16"/>
          <w:szCs w:val="16"/>
        </w:rPr>
      </w:pPr>
    </w:p>
    <w:p w:rsidR="00B930AB" w:rsidP="00945AD4" w14:paraId="7B38ACAE" w14:textId="77777777">
      <w:pPr>
        <w:tabs>
          <w:tab w:val="left" w:pos="7380"/>
        </w:tabs>
        <w:ind w:right="-283"/>
        <w:jc w:val="both"/>
        <w:rPr>
          <w:sz w:val="16"/>
          <w:szCs w:val="16"/>
        </w:rPr>
      </w:pPr>
    </w:p>
    <w:p w:rsidR="00B930AB" w:rsidP="00945AD4" w14:paraId="48457710" w14:textId="77777777">
      <w:pPr>
        <w:tabs>
          <w:tab w:val="left" w:pos="7380"/>
        </w:tabs>
        <w:ind w:right="-283"/>
        <w:jc w:val="both"/>
        <w:rPr>
          <w:sz w:val="16"/>
          <w:szCs w:val="16"/>
        </w:rPr>
      </w:pPr>
    </w:p>
    <w:p w:rsidR="00B930AB" w:rsidP="00945AD4" w14:paraId="2BF5715D" w14:textId="77777777">
      <w:pPr>
        <w:tabs>
          <w:tab w:val="left" w:pos="7380"/>
        </w:tabs>
        <w:ind w:right="-283"/>
        <w:jc w:val="both"/>
        <w:rPr>
          <w:sz w:val="16"/>
          <w:szCs w:val="16"/>
        </w:rPr>
      </w:pPr>
    </w:p>
    <w:p w:rsidR="00B930AB" w:rsidP="00945AD4" w14:paraId="020ABA61" w14:textId="77777777">
      <w:pPr>
        <w:tabs>
          <w:tab w:val="left" w:pos="7380"/>
        </w:tabs>
        <w:ind w:right="-283"/>
        <w:jc w:val="both"/>
        <w:rPr>
          <w:sz w:val="16"/>
          <w:szCs w:val="16"/>
        </w:rPr>
      </w:pPr>
    </w:p>
    <w:p w:rsidR="00B930AB" w:rsidP="00945AD4" w14:paraId="709CDA8D" w14:textId="77777777">
      <w:pPr>
        <w:tabs>
          <w:tab w:val="left" w:pos="7380"/>
        </w:tabs>
        <w:ind w:right="-283"/>
        <w:jc w:val="both"/>
        <w:rPr>
          <w:sz w:val="16"/>
          <w:szCs w:val="16"/>
        </w:rPr>
      </w:pPr>
    </w:p>
    <w:p w:rsidR="009F4CBF" w:rsidP="00945AD4" w14:paraId="230280C0" w14:textId="77777777">
      <w:pPr>
        <w:tabs>
          <w:tab w:val="left" w:pos="7380"/>
        </w:tabs>
        <w:ind w:right="-283"/>
        <w:jc w:val="both"/>
        <w:rPr>
          <w:sz w:val="16"/>
          <w:szCs w:val="16"/>
        </w:rPr>
      </w:pPr>
    </w:p>
    <w:p w:rsidR="001A2394" w:rsidP="00945AD4" w14:paraId="1A5C4072" w14:textId="77777777">
      <w:pPr>
        <w:tabs>
          <w:tab w:val="left" w:pos="7380"/>
        </w:tabs>
        <w:ind w:right="-283"/>
        <w:jc w:val="both"/>
        <w:rPr>
          <w:sz w:val="16"/>
          <w:szCs w:val="16"/>
        </w:rPr>
      </w:pPr>
    </w:p>
    <w:p w:rsidR="00945AD4" w:rsidRPr="00F86CDC" w:rsidP="00945AD4" w14:paraId="077FA085" w14:textId="6B8FEC52">
      <w:pPr>
        <w:tabs>
          <w:tab w:val="left" w:pos="7380"/>
        </w:tabs>
        <w:ind w:right="-283"/>
        <w:jc w:val="both"/>
        <w:rPr>
          <w:sz w:val="16"/>
          <w:szCs w:val="16"/>
        </w:rPr>
      </w:pPr>
      <w:r>
        <w:rPr>
          <w:sz w:val="16"/>
          <w:szCs w:val="16"/>
        </w:rPr>
        <w:t>30</w:t>
      </w:r>
      <w:r w:rsidR="008A4E5A">
        <w:rPr>
          <w:sz w:val="16"/>
          <w:szCs w:val="16"/>
        </w:rPr>
        <w:t>.01.2018.</w:t>
      </w:r>
      <w:r w:rsidR="00EF5280">
        <w:rPr>
          <w:sz w:val="16"/>
          <w:szCs w:val="16"/>
        </w:rPr>
        <w:t xml:space="preserve"> </w:t>
      </w:r>
      <w:r w:rsidR="00AC5611">
        <w:rPr>
          <w:sz w:val="16"/>
          <w:szCs w:val="16"/>
        </w:rPr>
        <w:t>1</w:t>
      </w:r>
      <w:r>
        <w:rPr>
          <w:sz w:val="16"/>
          <w:szCs w:val="16"/>
        </w:rPr>
        <w:t>0</w:t>
      </w:r>
      <w:r w:rsidRPr="00F86CDC" w:rsidR="0058449F">
        <w:rPr>
          <w:sz w:val="16"/>
          <w:szCs w:val="16"/>
        </w:rPr>
        <w:t>:</w:t>
      </w:r>
      <w:r w:rsidR="00AC5611">
        <w:rPr>
          <w:sz w:val="16"/>
          <w:szCs w:val="16"/>
        </w:rPr>
        <w:t>0</w:t>
      </w:r>
      <w:r w:rsidRPr="00F86CDC" w:rsidR="0058449F">
        <w:rPr>
          <w:sz w:val="16"/>
          <w:szCs w:val="16"/>
        </w:rPr>
        <w:t>0</w:t>
      </w:r>
    </w:p>
    <w:p w:rsidR="00945AD4" w:rsidRPr="00F86CDC" w:rsidP="00945AD4" w14:paraId="463DC9BC" w14:textId="5B245B53">
      <w:pPr>
        <w:tabs>
          <w:tab w:val="left" w:pos="7380"/>
        </w:tabs>
        <w:ind w:right="-283"/>
        <w:jc w:val="both"/>
        <w:rPr>
          <w:sz w:val="16"/>
          <w:szCs w:val="16"/>
        </w:rPr>
      </w:pPr>
      <w:r>
        <w:rPr>
          <w:sz w:val="16"/>
          <w:szCs w:val="16"/>
        </w:rPr>
        <w:t>1904</w:t>
      </w:r>
    </w:p>
    <w:p w:rsidR="007A14A0" w:rsidP="00945AD4" w14:paraId="34FB3FCE" w14:textId="77777777">
      <w:pPr>
        <w:tabs>
          <w:tab w:val="left" w:pos="7380"/>
        </w:tabs>
        <w:ind w:right="-283"/>
        <w:jc w:val="both"/>
        <w:rPr>
          <w:color w:val="FF0000"/>
          <w:sz w:val="16"/>
          <w:szCs w:val="16"/>
        </w:rPr>
      </w:pPr>
      <w:bookmarkStart w:id="24" w:name="_GoBack"/>
      <w:bookmarkEnd w:id="24"/>
    </w:p>
    <w:p w:rsidR="007A14A0" w:rsidP="007A14A0" w14:paraId="0ED27104" w14:textId="77777777">
      <w:pPr>
        <w:tabs>
          <w:tab w:val="left" w:pos="7380"/>
        </w:tabs>
        <w:ind w:right="-283"/>
        <w:jc w:val="both"/>
        <w:rPr>
          <w:rStyle w:val="Hyperlink"/>
          <w:color w:val="auto"/>
          <w:sz w:val="16"/>
          <w:szCs w:val="16"/>
        </w:rPr>
      </w:pPr>
      <w:r>
        <w:rPr>
          <w:rStyle w:val="Hyperlink"/>
          <w:color w:val="auto"/>
          <w:sz w:val="16"/>
          <w:szCs w:val="16"/>
        </w:rPr>
        <w:t>Lauris Linabergs, 67026404</w:t>
      </w:r>
    </w:p>
    <w:p w:rsidR="007A14A0" w:rsidRPr="005829DA" w:rsidP="007A14A0" w14:paraId="3A4655A9" w14:textId="77777777">
      <w:pPr>
        <w:tabs>
          <w:tab w:val="left" w:pos="7380"/>
        </w:tabs>
        <w:ind w:right="-283"/>
        <w:jc w:val="both"/>
      </w:pPr>
      <w:r>
        <w:rPr>
          <w:rStyle w:val="Hyperlink"/>
          <w:color w:val="auto"/>
          <w:sz w:val="16"/>
          <w:szCs w:val="16"/>
        </w:rPr>
        <w:t>lauris.linabergs@varam.gov.lv</w:t>
      </w:r>
    </w:p>
    <w:p w:rsidR="007A14A0" w:rsidP="00945AD4" w14:paraId="25CB99A7" w14:textId="77777777">
      <w:pPr>
        <w:tabs>
          <w:tab w:val="left" w:pos="7380"/>
        </w:tabs>
        <w:ind w:right="-283"/>
        <w:jc w:val="both"/>
        <w:rPr>
          <w:color w:val="FF0000"/>
          <w:sz w:val="16"/>
          <w:szCs w:val="16"/>
        </w:rPr>
      </w:pPr>
    </w:p>
    <w:p w:rsidR="0006552D" w:rsidP="00282830" w14:paraId="770143A2" w14:textId="412E4FFC">
      <w:pPr>
        <w:tabs>
          <w:tab w:val="left" w:pos="7380"/>
        </w:tabs>
        <w:ind w:right="-283"/>
        <w:jc w:val="both"/>
        <w:rPr>
          <w:sz w:val="16"/>
          <w:szCs w:val="16"/>
        </w:rPr>
      </w:pPr>
      <w:r w:rsidRPr="005829DA">
        <w:rPr>
          <w:sz w:val="16"/>
          <w:szCs w:val="16"/>
        </w:rPr>
        <w:t>Vineta Brūvere</w:t>
      </w:r>
      <w:r>
        <w:rPr>
          <w:sz w:val="16"/>
          <w:szCs w:val="16"/>
        </w:rPr>
        <w:t xml:space="preserve">, </w:t>
      </w:r>
      <w:r w:rsidR="00C16DD5">
        <w:rPr>
          <w:sz w:val="16"/>
          <w:szCs w:val="16"/>
        </w:rPr>
        <w:t>67026</w:t>
      </w:r>
      <w:r w:rsidRPr="005829DA">
        <w:rPr>
          <w:sz w:val="16"/>
          <w:szCs w:val="16"/>
        </w:rPr>
        <w:t>575</w:t>
      </w:r>
    </w:p>
    <w:p w:rsidR="001A2394" w:rsidP="00282830" w14:paraId="60210ECF" w14:textId="56CF35CE">
      <w:pPr>
        <w:tabs>
          <w:tab w:val="left" w:pos="7380"/>
        </w:tabs>
        <w:ind w:right="-283"/>
        <w:jc w:val="both"/>
        <w:rPr>
          <w:rStyle w:val="Hyperlink"/>
          <w:color w:val="auto"/>
          <w:sz w:val="16"/>
          <w:szCs w:val="16"/>
        </w:rPr>
      </w:pPr>
      <w:r>
        <w:fldChar w:fldCharType="begin"/>
      </w:r>
      <w:r>
        <w:instrText xml:space="preserve"> HYPERLINK "mailto:vineta.bruvere@varam.gov.lv" </w:instrText>
      </w:r>
      <w:r>
        <w:fldChar w:fldCharType="separate"/>
      </w:r>
      <w:r w:rsidRPr="005829DA" w:rsidR="006A417D">
        <w:rPr>
          <w:rStyle w:val="Hyperlink"/>
          <w:color w:val="auto"/>
          <w:sz w:val="16"/>
          <w:szCs w:val="16"/>
        </w:rPr>
        <w:t>vineta.bruvere@varam.gov.lv</w:t>
      </w:r>
      <w:r>
        <w:fldChar w:fldCharType="end"/>
      </w:r>
    </w:p>
    <w:p w:rsidR="00C16DD5" w:rsidP="00282830" w14:paraId="4D6CACB1" w14:textId="77777777">
      <w:pPr>
        <w:tabs>
          <w:tab w:val="left" w:pos="7380"/>
        </w:tabs>
        <w:ind w:right="-283"/>
        <w:jc w:val="both"/>
        <w:rPr>
          <w:rStyle w:val="Hyperlink"/>
          <w:color w:val="auto"/>
          <w:sz w:val="16"/>
          <w:szCs w:val="16"/>
        </w:rPr>
      </w:pPr>
    </w:p>
    <w:sectPr w:rsidSect="00F5014A">
      <w:headerReference w:type="default" r:id="rId8"/>
      <w:footerReference w:type="default" r:id="rId9"/>
      <w:footerReference w:type="first" r:id="rId10"/>
      <w:pgSz w:w="11906" w:h="16838"/>
      <w:pgMar w:top="1134" w:right="113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C0D" w:rsidP="00394398" w14:paraId="67794EC8" w14:textId="77777777">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2B4C0D" w:rsidP="0036491C" w14:paraId="0C62180C" w14:textId="77777777">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2B4C0D" w:rsidP="0036491C" w14:paraId="2A413AAF" w14:textId="77777777">
    <w:pPr>
      <w:pStyle w:val="Title"/>
      <w:pBdr>
        <w:bottom w:val="none" w:sz="0" w:space="0" w:color="auto"/>
      </w:pBdr>
      <w:jc w:val="both"/>
      <w:rPr>
        <w:rFonts w:ascii="Times New Roman" w:eastAsia="Times New Roman" w:hAnsi="Times New Roman" w:cs="Times New Roman"/>
        <w:color w:val="auto"/>
        <w:spacing w:val="0"/>
        <w:kern w:val="0"/>
        <w:sz w:val="20"/>
        <w:szCs w:val="20"/>
      </w:rPr>
    </w:pPr>
  </w:p>
  <w:p w:rsidR="002B4C0D" w:rsidRPr="005977EF" w:rsidP="0036491C" w14:paraId="49186C8C" w14:textId="6AC8633A">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w:t>
    </w:r>
    <w:r w:rsidR="00BC026C">
      <w:rPr>
        <w:rFonts w:ascii="Times New Roman" w:eastAsia="Times New Roman" w:hAnsi="Times New Roman" w:cs="Times New Roman"/>
        <w:color w:val="auto"/>
        <w:spacing w:val="0"/>
        <w:kern w:val="0"/>
        <w:sz w:val="20"/>
        <w:szCs w:val="20"/>
      </w:rPr>
      <w:t>1</w:t>
    </w:r>
    <w:r w:rsidR="00EF5280">
      <w:rPr>
        <w:rFonts w:ascii="Times New Roman" w:eastAsia="Times New Roman" w:hAnsi="Times New Roman" w:cs="Times New Roman"/>
        <w:color w:val="auto"/>
        <w:spacing w:val="0"/>
        <w:kern w:val="0"/>
        <w:sz w:val="20"/>
        <w:szCs w:val="20"/>
      </w:rPr>
      <w:t>_</w:t>
    </w:r>
    <w:r w:rsidR="00B930AB">
      <w:rPr>
        <w:rFonts w:ascii="Times New Roman" w:eastAsia="Times New Roman" w:hAnsi="Times New Roman" w:cs="Times New Roman"/>
        <w:color w:val="auto"/>
        <w:spacing w:val="0"/>
        <w:kern w:val="0"/>
        <w:sz w:val="20"/>
        <w:szCs w:val="20"/>
      </w:rPr>
      <w:t>30</w:t>
    </w:r>
    <w:r w:rsidR="008A4E5A">
      <w:rPr>
        <w:rFonts w:ascii="Times New Roman" w:eastAsia="Times New Roman" w:hAnsi="Times New Roman" w:cs="Times New Roman"/>
        <w:color w:val="auto"/>
        <w:spacing w:val="0"/>
        <w:kern w:val="0"/>
        <w:sz w:val="20"/>
        <w:szCs w:val="20"/>
      </w:rPr>
      <w:t>0118</w:t>
    </w:r>
    <w:r>
      <w:rPr>
        <w:rFonts w:ascii="Times New Roman" w:eastAsia="Times New Roman" w:hAnsi="Times New Roman" w:cs="Times New Roman"/>
        <w:color w:val="auto"/>
        <w:spacing w:val="0"/>
        <w:kern w:val="0"/>
        <w:sz w:val="20"/>
        <w:szCs w:val="20"/>
      </w:rPr>
      <w:t>_mākoņdatošana</w:t>
    </w:r>
  </w:p>
  <w:p w:rsidR="002B4C0D" w:rsidRPr="005977EF" w:rsidP="0036491C" w14:paraId="2E65426C" w14:textId="77EFE45B">
    <w:pPr>
      <w:pStyle w:val="Title"/>
      <w:pBdr>
        <w:bottom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4E5A" w:rsidRPr="005977EF" w:rsidP="008A4E5A" w14:paraId="02B86230" w14:textId="6F8CA138">
    <w:pPr>
      <w:pStyle w:val="Title"/>
      <w:pBdr>
        <w:bottom w:val="none" w:sz="0" w:space="0" w:color="auto"/>
      </w:pBdr>
      <w:jc w:val="both"/>
    </w:pPr>
    <w:r>
      <w:rPr>
        <w:rFonts w:ascii="Times New Roman" w:eastAsia="Times New Roman" w:hAnsi="Times New Roman" w:cs="Times New Roman"/>
        <w:color w:val="auto"/>
        <w:spacing w:val="0"/>
        <w:kern w:val="0"/>
        <w:sz w:val="20"/>
        <w:szCs w:val="20"/>
      </w:rPr>
      <w:t>VARAMZinp1_30</w:t>
    </w:r>
    <w:r>
      <w:rPr>
        <w:rFonts w:ascii="Times New Roman" w:eastAsia="Times New Roman" w:hAnsi="Times New Roman" w:cs="Times New Roman"/>
        <w:color w:val="auto"/>
        <w:spacing w:val="0"/>
        <w:kern w:val="0"/>
        <w:sz w:val="20"/>
        <w:szCs w:val="20"/>
      </w:rPr>
      <w:t>0118_mākoņdatošana</w:t>
    </w:r>
  </w:p>
  <w:p w:rsidR="002B4C0D" w:rsidRPr="00FB062C" w:rsidP="00DB26CB" w14:paraId="2FF92F6A" w14:textId="77777777">
    <w:pPr>
      <w:pStyle w:val="Footer"/>
      <w:jc w:val="both"/>
      <w:rPr>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14BF" w:rsidP="004D78CB" w14:paraId="14CD5AA5" w14:textId="77777777">
      <w:r>
        <w:separator/>
      </w:r>
    </w:p>
  </w:footnote>
  <w:footnote w:type="continuationSeparator" w:id="1">
    <w:p w:rsidR="00BE14BF" w:rsidP="004D78CB" w14:paraId="1EB624D8" w14:textId="77777777">
      <w:r>
        <w:continuationSeparator/>
      </w:r>
    </w:p>
  </w:footnote>
  <w:footnote w:id="2">
    <w:p w:rsidR="002B4C0D" w:rsidP="0086048E" w14:paraId="7446E4EF" w14:textId="77777777">
      <w:pPr>
        <w:rPr>
          <w:sz w:val="20"/>
          <w:szCs w:val="20"/>
        </w:rPr>
      </w:pPr>
      <w:r>
        <w:rPr>
          <w:vertAlign w:val="superscript"/>
        </w:rPr>
        <w:footnoteRef/>
      </w:r>
      <w:r>
        <w:rPr>
          <w:sz w:val="20"/>
          <w:szCs w:val="20"/>
        </w:rPr>
        <w:t xml:space="preserve"> </w:t>
      </w:r>
      <w:r>
        <w:fldChar w:fldCharType="begin"/>
      </w:r>
      <w:r>
        <w:instrText xml:space="preserve"> HYPERLINK "http://www.lrvk.gov.lv/uploads/2017/07/valsts-paarvaldes-riiciiba-ar-uzkraato-informaaciju_05072017.pdf" </w:instrText>
      </w:r>
      <w:r>
        <w:fldChar w:fldCharType="separate"/>
      </w:r>
      <w:r>
        <w:rPr>
          <w:rFonts w:ascii="Calibri" w:eastAsia="Calibri" w:hAnsi="Calibri" w:cs="Calibri"/>
          <w:color w:val="1155CC"/>
          <w:sz w:val="20"/>
          <w:szCs w:val="20"/>
          <w:u w:val="single"/>
        </w:rPr>
        <w:t>http://www.lrvk.gov.lv/uploads/2017/07/valsts-paarvaldes-riiciiba-ar-uzkraato-informaaciju_05072017.pdf</w:t>
      </w:r>
      <w:r>
        <w:fldChar w:fldCharType="end"/>
      </w:r>
      <w:r>
        <w:rPr>
          <w:rFonts w:ascii="Calibri" w:eastAsia="Calibri" w:hAnsi="Calibri" w:cs="Calibri"/>
          <w:sz w:val="20"/>
          <w:szCs w:val="20"/>
        </w:rPr>
        <w:t xml:space="preserve"> </w:t>
      </w:r>
    </w:p>
  </w:footnote>
  <w:footnote w:id="3">
    <w:p w:rsidR="002B4C0D" w:rsidP="0086048E" w14:paraId="5EC9A40D" w14:textId="77777777">
      <w:pPr>
        <w:rPr>
          <w:sz w:val="20"/>
          <w:szCs w:val="20"/>
        </w:rPr>
      </w:pPr>
      <w:r>
        <w:rPr>
          <w:vertAlign w:val="superscript"/>
        </w:rPr>
        <w:footnoteRef/>
      </w:r>
      <w:r>
        <w:rPr>
          <w:sz w:val="20"/>
          <w:szCs w:val="20"/>
        </w:rPr>
        <w:t xml:space="preserve"> </w:t>
      </w:r>
      <w:r>
        <w:fldChar w:fldCharType="begin"/>
      </w:r>
      <w:r>
        <w:instrText xml:space="preserve"> HYPERLINK "http://www.lrvk.gov.lv/uploads/2017/07/valsts-paarvaldes-riiciiba-ar-uzkraato-informaaciju_05072017.pdf" </w:instrText>
      </w:r>
      <w:r>
        <w:fldChar w:fldCharType="separate"/>
      </w:r>
      <w:r>
        <w:rPr>
          <w:rFonts w:ascii="Calibri" w:eastAsia="Calibri" w:hAnsi="Calibri" w:cs="Calibri"/>
          <w:color w:val="1155CC"/>
          <w:sz w:val="20"/>
          <w:szCs w:val="20"/>
          <w:u w:val="single"/>
        </w:rPr>
        <w:t>http://www.lrvk.gov.lv/uploads/2017/07/valsts-paarvaldes-riiciiba-ar-uzkraato-informaaciju_05072017.pdf</w:t>
      </w:r>
      <w:r>
        <w:fldChar w:fldCharType="end"/>
      </w:r>
      <w:r>
        <w:rPr>
          <w:rFonts w:ascii="Calibri" w:eastAsia="Calibri" w:hAnsi="Calibri" w:cs="Calibri"/>
          <w:sz w:val="20"/>
          <w:szCs w:val="20"/>
        </w:rPr>
        <w:t xml:space="preserve"> </w:t>
      </w:r>
    </w:p>
  </w:footnote>
  <w:footnote w:id="4">
    <w:p w:rsidR="002B4C0D" w:rsidP="0086048E" w14:paraId="78A7710B" w14:textId="77777777">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Measuring</w:t>
      </w:r>
      <w:r>
        <w:rPr>
          <w:rFonts w:ascii="Calibri" w:eastAsia="Calibri" w:hAnsi="Calibri" w:cs="Calibri"/>
          <w:sz w:val="20"/>
          <w:szCs w:val="20"/>
        </w:rPr>
        <w:t xml:space="preserve"> </w:t>
      </w:r>
      <w:r>
        <w:rPr>
          <w:rFonts w:ascii="Calibri" w:eastAsia="Calibri" w:hAnsi="Calibri" w:cs="Calibri"/>
          <w:sz w:val="20"/>
          <w:szCs w:val="20"/>
        </w:rPr>
        <w:t>the</w:t>
      </w:r>
      <w:r>
        <w:rPr>
          <w:rFonts w:ascii="Calibri" w:eastAsia="Calibri" w:hAnsi="Calibri" w:cs="Calibri"/>
          <w:sz w:val="20"/>
          <w:szCs w:val="20"/>
        </w:rPr>
        <w:t xml:space="preserve"> </w:t>
      </w:r>
      <w:r>
        <w:rPr>
          <w:rFonts w:ascii="Calibri" w:eastAsia="Calibri" w:hAnsi="Calibri" w:cs="Calibri"/>
          <w:sz w:val="20"/>
          <w:szCs w:val="20"/>
        </w:rPr>
        <w:t>economic</w:t>
      </w:r>
      <w:r>
        <w:rPr>
          <w:rFonts w:ascii="Calibri" w:eastAsia="Calibri" w:hAnsi="Calibri" w:cs="Calibri"/>
          <w:sz w:val="20"/>
          <w:szCs w:val="20"/>
        </w:rPr>
        <w:t xml:space="preserve"> </w:t>
      </w:r>
      <w:r>
        <w:rPr>
          <w:rFonts w:ascii="Calibri" w:eastAsia="Calibri" w:hAnsi="Calibri" w:cs="Calibri"/>
          <w:sz w:val="20"/>
          <w:szCs w:val="20"/>
        </w:rPr>
        <w:t>impact</w:t>
      </w:r>
      <w:r>
        <w:rPr>
          <w:rFonts w:ascii="Calibri" w:eastAsia="Calibri" w:hAnsi="Calibri" w:cs="Calibri"/>
          <w:sz w:val="20"/>
          <w:szCs w:val="20"/>
        </w:rPr>
        <w:t xml:space="preserve"> </w:t>
      </w:r>
      <w:r>
        <w:rPr>
          <w:rFonts w:ascii="Calibri" w:eastAsia="Calibri" w:hAnsi="Calibri" w:cs="Calibri"/>
          <w:sz w:val="20"/>
          <w:szCs w:val="20"/>
        </w:rPr>
        <w:t>of</w:t>
      </w:r>
      <w:r>
        <w:rPr>
          <w:rFonts w:ascii="Calibri" w:eastAsia="Calibri" w:hAnsi="Calibri" w:cs="Calibri"/>
          <w:sz w:val="20"/>
          <w:szCs w:val="20"/>
        </w:rPr>
        <w:t xml:space="preserve"> </w:t>
      </w:r>
      <w:r>
        <w:rPr>
          <w:rFonts w:ascii="Calibri" w:eastAsia="Calibri" w:hAnsi="Calibri" w:cs="Calibri"/>
          <w:sz w:val="20"/>
          <w:szCs w:val="20"/>
        </w:rPr>
        <w:t>cloud</w:t>
      </w:r>
      <w:r>
        <w:rPr>
          <w:rFonts w:ascii="Calibri" w:eastAsia="Calibri" w:hAnsi="Calibri" w:cs="Calibri"/>
          <w:sz w:val="20"/>
          <w:szCs w:val="20"/>
        </w:rPr>
        <w:t xml:space="preserve"> </w:t>
      </w:r>
      <w:r>
        <w:rPr>
          <w:rFonts w:ascii="Calibri" w:eastAsia="Calibri" w:hAnsi="Calibri" w:cs="Calibri"/>
          <w:sz w:val="20"/>
          <w:szCs w:val="20"/>
        </w:rPr>
        <w:t>computing</w:t>
      </w:r>
      <w:r>
        <w:rPr>
          <w:rFonts w:ascii="Calibri" w:eastAsia="Calibri" w:hAnsi="Calibri" w:cs="Calibri"/>
          <w:sz w:val="20"/>
          <w:szCs w:val="20"/>
        </w:rPr>
        <w:t xml:space="preserve"> </w:t>
      </w:r>
      <w:r>
        <w:rPr>
          <w:rFonts w:ascii="Calibri" w:eastAsia="Calibri" w:hAnsi="Calibri" w:cs="Calibri"/>
          <w:sz w:val="20"/>
          <w:szCs w:val="20"/>
        </w:rPr>
        <w:t>in</w:t>
      </w:r>
      <w:r>
        <w:rPr>
          <w:rFonts w:ascii="Calibri" w:eastAsia="Calibri" w:hAnsi="Calibri" w:cs="Calibri"/>
          <w:sz w:val="20"/>
          <w:szCs w:val="20"/>
        </w:rPr>
        <w:t xml:space="preserve"> </w:t>
      </w:r>
      <w:r>
        <w:rPr>
          <w:rFonts w:ascii="Calibri" w:eastAsia="Calibri" w:hAnsi="Calibri" w:cs="Calibri"/>
          <w:sz w:val="20"/>
          <w:szCs w:val="20"/>
        </w:rPr>
        <w:t>Europe</w:t>
      </w:r>
      <w:r>
        <w:rPr>
          <w:rFonts w:ascii="Calibri" w:eastAsia="Calibri" w:hAnsi="Calibri" w:cs="Calibri"/>
          <w:sz w:val="20"/>
          <w:szCs w:val="20"/>
        </w:rPr>
        <w:t>, 2016 ISBN: 978-92-79-63570-0</w:t>
      </w:r>
    </w:p>
  </w:footnote>
  <w:footnote w:id="5">
    <w:p w:rsidR="002B4C0D" w:rsidP="0086048E" w14:paraId="4AA8A988" w14:textId="77777777">
      <w:pPr>
        <w:rPr>
          <w:rFonts w:ascii="Calibri" w:eastAsia="Calibri" w:hAnsi="Calibri" w:cs="Calibri"/>
          <w:sz w:val="20"/>
          <w:szCs w:val="20"/>
        </w:rPr>
      </w:pPr>
      <w:r>
        <w:rPr>
          <w:vertAlign w:val="superscript"/>
        </w:rPr>
        <w:footnoteRef/>
      </w:r>
      <w:r>
        <w:rPr>
          <w:sz w:val="20"/>
          <w:szCs w:val="20"/>
        </w:rPr>
        <w:t xml:space="preserve"> </w:t>
      </w:r>
      <w:r>
        <w:rPr>
          <w:sz w:val="20"/>
          <w:szCs w:val="20"/>
        </w:rPr>
        <w:t>Forrester</w:t>
      </w:r>
      <w:r>
        <w:rPr>
          <w:sz w:val="20"/>
          <w:szCs w:val="20"/>
        </w:rPr>
        <w:t xml:space="preserve"> </w:t>
      </w:r>
      <w:r>
        <w:rPr>
          <w:rFonts w:ascii="Calibri" w:eastAsia="Calibri" w:hAnsi="Calibri" w:cs="Calibri"/>
          <w:sz w:val="20"/>
          <w:szCs w:val="20"/>
        </w:rPr>
        <w:t>The</w:t>
      </w:r>
      <w:r>
        <w:rPr>
          <w:rFonts w:ascii="Calibri" w:eastAsia="Calibri" w:hAnsi="Calibri" w:cs="Calibri"/>
          <w:sz w:val="20"/>
          <w:szCs w:val="20"/>
        </w:rPr>
        <w:t xml:space="preserve"> </w:t>
      </w:r>
      <w:r>
        <w:rPr>
          <w:rFonts w:ascii="Calibri" w:eastAsia="Calibri" w:hAnsi="Calibri" w:cs="Calibri"/>
          <w:sz w:val="20"/>
          <w:szCs w:val="20"/>
        </w:rPr>
        <w:t>Total</w:t>
      </w:r>
      <w:r>
        <w:rPr>
          <w:rFonts w:ascii="Calibri" w:eastAsia="Calibri" w:hAnsi="Calibri" w:cs="Calibri"/>
          <w:sz w:val="20"/>
          <w:szCs w:val="20"/>
        </w:rPr>
        <w:t xml:space="preserve"> </w:t>
      </w:r>
      <w:r>
        <w:rPr>
          <w:rFonts w:ascii="Calibri" w:eastAsia="Calibri" w:hAnsi="Calibri" w:cs="Calibri"/>
          <w:sz w:val="20"/>
          <w:szCs w:val="20"/>
        </w:rPr>
        <w:t>Economic</w:t>
      </w:r>
      <w:r>
        <w:rPr>
          <w:rFonts w:ascii="Calibri" w:eastAsia="Calibri" w:hAnsi="Calibri" w:cs="Calibri"/>
          <w:sz w:val="20"/>
          <w:szCs w:val="20"/>
        </w:rPr>
        <w:t xml:space="preserve"> </w:t>
      </w:r>
      <w:r>
        <w:rPr>
          <w:rFonts w:ascii="Calibri" w:eastAsia="Calibri" w:hAnsi="Calibri" w:cs="Calibri"/>
          <w:sz w:val="20"/>
          <w:szCs w:val="20"/>
        </w:rPr>
        <w:t>Impact</w:t>
      </w:r>
      <w:r>
        <w:rPr>
          <w:rFonts w:ascii="Calibri" w:eastAsia="Calibri" w:hAnsi="Calibri" w:cs="Calibri"/>
          <w:sz w:val="20"/>
          <w:szCs w:val="20"/>
        </w:rPr>
        <w:t xml:space="preserve">™ </w:t>
      </w:r>
      <w:r>
        <w:rPr>
          <w:rFonts w:ascii="Calibri" w:eastAsia="Calibri" w:hAnsi="Calibri" w:cs="Calibri"/>
          <w:sz w:val="20"/>
          <w:szCs w:val="20"/>
        </w:rPr>
        <w:t>Of</w:t>
      </w:r>
      <w:r>
        <w:rPr>
          <w:rFonts w:ascii="Calibri" w:eastAsia="Calibri" w:hAnsi="Calibri" w:cs="Calibri"/>
          <w:sz w:val="20"/>
          <w:szCs w:val="20"/>
        </w:rPr>
        <w:t xml:space="preserve"> Microsoft </w:t>
      </w:r>
      <w:r>
        <w:rPr>
          <w:rFonts w:ascii="Calibri" w:eastAsia="Calibri" w:hAnsi="Calibri" w:cs="Calibri"/>
          <w:sz w:val="20"/>
          <w:szCs w:val="20"/>
        </w:rPr>
        <w:t>Azure</w:t>
      </w:r>
      <w:r>
        <w:rPr>
          <w:rFonts w:ascii="Calibri" w:eastAsia="Calibri" w:hAnsi="Calibri" w:cs="Calibri"/>
          <w:sz w:val="20"/>
          <w:szCs w:val="20"/>
        </w:rPr>
        <w:t xml:space="preserve"> </w:t>
      </w:r>
      <w:r>
        <w:rPr>
          <w:rFonts w:ascii="Calibri" w:eastAsia="Calibri" w:hAnsi="Calibri" w:cs="Calibri"/>
          <w:sz w:val="20"/>
          <w:szCs w:val="20"/>
        </w:rPr>
        <w:t>Platform-As-A</w:t>
      </w:r>
      <w:r>
        <w:rPr>
          <w:rFonts w:ascii="Calibri" w:eastAsia="Calibri" w:hAnsi="Calibri" w:cs="Calibri"/>
          <w:sz w:val="20"/>
          <w:szCs w:val="20"/>
        </w:rPr>
        <w:t>-</w:t>
      </w:r>
      <w:r>
        <w:rPr>
          <w:rFonts w:ascii="Calibri" w:eastAsia="Calibri" w:hAnsi="Calibri" w:cs="Calibri"/>
          <w:sz w:val="20"/>
          <w:szCs w:val="20"/>
        </w:rPr>
        <w:t>Service</w:t>
      </w:r>
      <w:r>
        <w:rPr>
          <w:rFonts w:ascii="Calibri" w:eastAsia="Calibri" w:hAnsi="Calibri" w:cs="Calibri"/>
          <w:sz w:val="20"/>
          <w:szCs w:val="20"/>
        </w:rPr>
        <w:t xml:space="preserve"> A </w:t>
      </w:r>
      <w:r>
        <w:rPr>
          <w:rFonts w:ascii="Calibri" w:eastAsia="Calibri" w:hAnsi="Calibri" w:cs="Calibri"/>
          <w:sz w:val="20"/>
          <w:szCs w:val="20"/>
        </w:rPr>
        <w:t>Forrester</w:t>
      </w:r>
      <w:r>
        <w:rPr>
          <w:rFonts w:ascii="Calibri" w:eastAsia="Calibri" w:hAnsi="Calibri" w:cs="Calibri"/>
          <w:sz w:val="20"/>
          <w:szCs w:val="20"/>
        </w:rPr>
        <w:t xml:space="preserve"> </w:t>
      </w:r>
      <w:r>
        <w:rPr>
          <w:rFonts w:ascii="Calibri" w:eastAsia="Calibri" w:hAnsi="Calibri" w:cs="Calibri"/>
          <w:sz w:val="20"/>
          <w:szCs w:val="20"/>
        </w:rPr>
        <w:t>Total</w:t>
      </w:r>
      <w:r>
        <w:rPr>
          <w:rFonts w:ascii="Calibri" w:eastAsia="Calibri" w:hAnsi="Calibri" w:cs="Calibri"/>
          <w:sz w:val="20"/>
          <w:szCs w:val="20"/>
        </w:rPr>
        <w:t xml:space="preserve"> </w:t>
      </w:r>
      <w:r>
        <w:rPr>
          <w:rFonts w:ascii="Calibri" w:eastAsia="Calibri" w:hAnsi="Calibri" w:cs="Calibri"/>
          <w:sz w:val="20"/>
          <w:szCs w:val="20"/>
        </w:rPr>
        <w:t>Economic</w:t>
      </w:r>
    </w:p>
    <w:p w:rsidR="002B4C0D" w:rsidP="0086048E" w14:paraId="437CAE08" w14:textId="77777777">
      <w:pPr>
        <w:rPr>
          <w:rFonts w:ascii="Calibri" w:eastAsia="Calibri" w:hAnsi="Calibri" w:cs="Calibri"/>
          <w:sz w:val="20"/>
          <w:szCs w:val="20"/>
        </w:rPr>
      </w:pPr>
      <w:r>
        <w:rPr>
          <w:rFonts w:ascii="Calibri" w:eastAsia="Calibri" w:hAnsi="Calibri" w:cs="Calibri"/>
          <w:sz w:val="20"/>
          <w:szCs w:val="20"/>
        </w:rPr>
        <w:t>Impact</w:t>
      </w:r>
      <w:r>
        <w:rPr>
          <w:rFonts w:ascii="Calibri" w:eastAsia="Calibri" w:hAnsi="Calibri" w:cs="Calibri"/>
          <w:sz w:val="20"/>
          <w:szCs w:val="20"/>
        </w:rPr>
        <w:t xml:space="preserve">™ </w:t>
      </w:r>
      <w:r>
        <w:rPr>
          <w:rFonts w:ascii="Calibri" w:eastAsia="Calibri" w:hAnsi="Calibri" w:cs="Calibri"/>
          <w:sz w:val="20"/>
          <w:szCs w:val="20"/>
        </w:rPr>
        <w:t>Study</w:t>
      </w:r>
      <w:r>
        <w:rPr>
          <w:rFonts w:ascii="Calibri" w:eastAsia="Calibri" w:hAnsi="Calibri" w:cs="Calibri"/>
          <w:sz w:val="20"/>
          <w:szCs w:val="20"/>
        </w:rPr>
        <w:t xml:space="preserve">, 2016 </w:t>
      </w:r>
      <w:r>
        <w:fldChar w:fldCharType="begin"/>
      </w:r>
      <w:r>
        <w:instrText xml:space="preserve"> HYPERLINK "https://azure.microsoft.com/mediahandler/files/resourcefiles/0c9d178c-b7e7-4b78-bb46-c7bee92677a8/WhitePaper_The_Total_Economic_Impact_Of_Microsoft_Azure_PaaS_Forrester.pdf" </w:instrText>
      </w:r>
      <w:r>
        <w:fldChar w:fldCharType="separate"/>
      </w:r>
      <w:r>
        <w:rPr>
          <w:rFonts w:ascii="Calibri" w:eastAsia="Calibri" w:hAnsi="Calibri" w:cs="Calibri"/>
          <w:color w:val="1155CC"/>
          <w:sz w:val="20"/>
          <w:szCs w:val="20"/>
          <w:u w:val="single"/>
        </w:rPr>
        <w:t>https://azure.microsoft.com/mediahandler/files/resourcefiles/0c9d178c-b7e7-4b78-bb46-c7bee92677a8/WhitePaper_The_Total_Economic_Impact_Of_Microsoft_Azure_PaaS_Forrester.pdf</w:t>
      </w:r>
      <w:r>
        <w:fldChar w:fldCharType="end"/>
      </w:r>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5778476"/>
      <w:docPartObj>
        <w:docPartGallery w:val="Page Numbers (Top of Page)"/>
        <w:docPartUnique/>
      </w:docPartObj>
    </w:sdtPr>
    <w:sdtEndPr>
      <w:rPr>
        <w:noProof/>
      </w:rPr>
    </w:sdtEndPr>
    <w:sdtContent>
      <w:p w:rsidR="002B4C0D" w14:paraId="495DE1DD" w14:textId="77777777">
        <w:pPr>
          <w:pStyle w:val="Header"/>
          <w:jc w:val="center"/>
        </w:pPr>
        <w:r>
          <w:fldChar w:fldCharType="begin"/>
        </w:r>
        <w:r>
          <w:instrText xml:space="preserve"> PAGE   \* MERGEFORMAT </w:instrText>
        </w:r>
        <w:r>
          <w:fldChar w:fldCharType="separate"/>
        </w:r>
        <w:r w:rsidR="001F45E0">
          <w:rPr>
            <w:noProof/>
          </w:rPr>
          <w:t>9</w:t>
        </w:r>
        <w:r>
          <w:rPr>
            <w:noProof/>
          </w:rPr>
          <w:fldChar w:fldCharType="end"/>
        </w:r>
      </w:p>
    </w:sdtContent>
  </w:sdt>
  <w:p w:rsidR="002B4C0D" w14:paraId="31AEB0C8" w14:textId="77777777">
    <w:pPr>
      <w:pStyle w:val="Header"/>
    </w:pPr>
  </w:p>
  <w:p w:rsidR="002B4C0D" w14:paraId="15C0A5CD"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89"/>
    <w:multiLevelType w:val="singleLevel"/>
    <w:tmpl w:val="F30A7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1">
    <w:nsid w:val="0078205D"/>
    <w:multiLevelType w:val="hybridMultilevel"/>
    <w:tmpl w:val="155E0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0875F3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0E91747"/>
    <w:multiLevelType w:val="hybridMultilevel"/>
    <w:tmpl w:val="A6CC782A"/>
    <w:lvl w:ilvl="0">
      <w:start w:val="4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01293399"/>
    <w:multiLevelType w:val="hybridMultilevel"/>
    <w:tmpl w:val="89A4E8A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15:restartNumberingAfterBreak="1">
    <w:nsid w:val="046849A6"/>
    <w:multiLevelType w:val="hybridMultilevel"/>
    <w:tmpl w:val="DC6819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5D0323F"/>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07EC0984"/>
    <w:multiLevelType w:val="multilevel"/>
    <w:tmpl w:val="880229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1">
    <w:nsid w:val="090D5D3A"/>
    <w:multiLevelType w:val="multilevel"/>
    <w:tmpl w:val="91FC1A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1">
    <w:nsid w:val="09BF0916"/>
    <w:multiLevelType w:val="hybridMultilevel"/>
    <w:tmpl w:val="C3902792"/>
    <w:lvl w:ilvl="0">
      <w:start w:val="2017"/>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1">
    <w:nsid w:val="0CB8312F"/>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1F50BE2"/>
    <w:multiLevelType w:val="hybridMultilevel"/>
    <w:tmpl w:val="F0DCEAE8"/>
    <w:lvl w:ilvl="0">
      <w:start w:val="1"/>
      <w:numFmt w:val="decimal"/>
      <w:lvlText w:val="(%1)"/>
      <w:lvlJc w:val="left"/>
      <w:pPr>
        <w:ind w:left="360" w:hanging="360"/>
      </w:pPr>
      <w:rPr>
        <w:rFonts w:ascii="Times New Roman" w:hAnsi="Times New Roman" w:cs="Times New Roman" w:hint="default"/>
        <w:b w:val="0"/>
        <w:i w:val="0"/>
        <w:strike w:val="0"/>
        <w:sz w:val="24"/>
        <w:szCs w:val="24"/>
      </w:rPr>
    </w:lvl>
    <w:lvl w:ilvl="1">
      <w:start w:val="1"/>
      <w:numFmt w:val="lowerLetter"/>
      <w:lvlText w:val="%2."/>
      <w:lvlJc w:val="left"/>
      <w:pPr>
        <w:ind w:left="1440" w:hanging="360"/>
      </w:pPr>
    </w:lvl>
    <w:lvl w:ilvl="2">
      <w:start w:val="1"/>
      <w:numFmt w:val="decimal"/>
      <w:lvlText w:val="%3)"/>
      <w:lvlJc w:val="left"/>
      <w:pPr>
        <w:ind w:left="3474" w:hanging="1494"/>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50C2F32"/>
    <w:multiLevelType w:val="multilevel"/>
    <w:tmpl w:val="87E4C3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1">
    <w:nsid w:val="18FD5854"/>
    <w:multiLevelType w:val="hybridMultilevel"/>
    <w:tmpl w:val="81004608"/>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5" w15:restartNumberingAfterBreak="1">
    <w:nsid w:val="27506C05"/>
    <w:multiLevelType w:val="hybridMultilevel"/>
    <w:tmpl w:val="AC98C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80B7261"/>
    <w:multiLevelType w:val="multilevel"/>
    <w:tmpl w:val="84B6C7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1">
    <w:nsid w:val="287B3F2D"/>
    <w:multiLevelType w:val="hybridMultilevel"/>
    <w:tmpl w:val="E1FE75E6"/>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8" w15:restartNumberingAfterBreak="1">
    <w:nsid w:val="2B017FF0"/>
    <w:multiLevelType w:val="hybridMultilevel"/>
    <w:tmpl w:val="865022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BD41FF7"/>
    <w:multiLevelType w:val="multilevel"/>
    <w:tmpl w:val="ED72D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1">
    <w:nsid w:val="2C9A5550"/>
    <w:multiLevelType w:val="hybridMultilevel"/>
    <w:tmpl w:val="E46807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1">
    <w:nsid w:val="2E536DD7"/>
    <w:multiLevelType w:val="multilevel"/>
    <w:tmpl w:val="90F470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2F551F0C"/>
    <w:multiLevelType w:val="hybridMultilevel"/>
    <w:tmpl w:val="A0C67312"/>
    <w:lvl w:ilvl="0">
      <w:start w:val="4"/>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3" w15:restartNumberingAfterBreak="1">
    <w:nsid w:val="32BC25E9"/>
    <w:multiLevelType w:val="hybridMultilevel"/>
    <w:tmpl w:val="E848D3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39B46634"/>
    <w:multiLevelType w:val="hybridMultilevel"/>
    <w:tmpl w:val="5C7099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3A145F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3EB13D14"/>
    <w:multiLevelType w:val="hybridMultilevel"/>
    <w:tmpl w:val="AEEAB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1">
    <w:nsid w:val="40276B75"/>
    <w:multiLevelType w:val="hybridMultilevel"/>
    <w:tmpl w:val="567AE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1">
    <w:nsid w:val="45AC0E2C"/>
    <w:multiLevelType w:val="hybridMultilevel"/>
    <w:tmpl w:val="B26E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483C627B"/>
    <w:multiLevelType w:val="hybridMultilevel"/>
    <w:tmpl w:val="994ECD34"/>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30" w15:restartNumberingAfterBreak="1">
    <w:nsid w:val="4A9905DA"/>
    <w:multiLevelType w:val="multilevel"/>
    <w:tmpl w:val="40BCBC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1">
    <w:nsid w:val="5817221E"/>
    <w:multiLevelType w:val="hybridMultilevel"/>
    <w:tmpl w:val="27CAB882"/>
    <w:lvl w:ilvl="0">
      <w:start w:val="1"/>
      <w:numFmt w:val="bullet"/>
      <w:lvlText w:val=""/>
      <w:lvlJc w:val="left"/>
      <w:pPr>
        <w:ind w:left="1575" w:hanging="360"/>
      </w:pPr>
      <w:rPr>
        <w:rFonts w:ascii="Symbol" w:hAnsi="Symbol" w:hint="default"/>
      </w:rPr>
    </w:lvl>
    <w:lvl w:ilvl="1" w:tentative="1">
      <w:start w:val="1"/>
      <w:numFmt w:val="bullet"/>
      <w:lvlText w:val="o"/>
      <w:lvlJc w:val="left"/>
      <w:pPr>
        <w:ind w:left="2295" w:hanging="360"/>
      </w:pPr>
      <w:rPr>
        <w:rFonts w:ascii="Courier New" w:hAnsi="Courier New" w:cs="Courier New" w:hint="default"/>
      </w:rPr>
    </w:lvl>
    <w:lvl w:ilvl="2" w:tentative="1">
      <w:start w:val="1"/>
      <w:numFmt w:val="bullet"/>
      <w:lvlText w:val=""/>
      <w:lvlJc w:val="left"/>
      <w:pPr>
        <w:ind w:left="3015" w:hanging="360"/>
      </w:pPr>
      <w:rPr>
        <w:rFonts w:ascii="Wingdings" w:hAnsi="Wingdings" w:hint="default"/>
      </w:rPr>
    </w:lvl>
    <w:lvl w:ilvl="3" w:tentative="1">
      <w:start w:val="1"/>
      <w:numFmt w:val="bullet"/>
      <w:lvlText w:val=""/>
      <w:lvlJc w:val="left"/>
      <w:pPr>
        <w:ind w:left="3735" w:hanging="360"/>
      </w:pPr>
      <w:rPr>
        <w:rFonts w:ascii="Symbol" w:hAnsi="Symbol" w:hint="default"/>
      </w:rPr>
    </w:lvl>
    <w:lvl w:ilvl="4" w:tentative="1">
      <w:start w:val="1"/>
      <w:numFmt w:val="bullet"/>
      <w:lvlText w:val="o"/>
      <w:lvlJc w:val="left"/>
      <w:pPr>
        <w:ind w:left="4455" w:hanging="360"/>
      </w:pPr>
      <w:rPr>
        <w:rFonts w:ascii="Courier New" w:hAnsi="Courier New" w:cs="Courier New" w:hint="default"/>
      </w:rPr>
    </w:lvl>
    <w:lvl w:ilvl="5" w:tentative="1">
      <w:start w:val="1"/>
      <w:numFmt w:val="bullet"/>
      <w:lvlText w:val=""/>
      <w:lvlJc w:val="left"/>
      <w:pPr>
        <w:ind w:left="5175" w:hanging="360"/>
      </w:pPr>
      <w:rPr>
        <w:rFonts w:ascii="Wingdings" w:hAnsi="Wingdings" w:hint="default"/>
      </w:rPr>
    </w:lvl>
    <w:lvl w:ilvl="6" w:tentative="1">
      <w:start w:val="1"/>
      <w:numFmt w:val="bullet"/>
      <w:lvlText w:val=""/>
      <w:lvlJc w:val="left"/>
      <w:pPr>
        <w:ind w:left="5895" w:hanging="360"/>
      </w:pPr>
      <w:rPr>
        <w:rFonts w:ascii="Symbol" w:hAnsi="Symbol" w:hint="default"/>
      </w:rPr>
    </w:lvl>
    <w:lvl w:ilvl="7" w:tentative="1">
      <w:start w:val="1"/>
      <w:numFmt w:val="bullet"/>
      <w:lvlText w:val="o"/>
      <w:lvlJc w:val="left"/>
      <w:pPr>
        <w:ind w:left="6615" w:hanging="360"/>
      </w:pPr>
      <w:rPr>
        <w:rFonts w:ascii="Courier New" w:hAnsi="Courier New" w:cs="Courier New" w:hint="default"/>
      </w:rPr>
    </w:lvl>
    <w:lvl w:ilvl="8" w:tentative="1">
      <w:start w:val="1"/>
      <w:numFmt w:val="bullet"/>
      <w:lvlText w:val=""/>
      <w:lvlJc w:val="left"/>
      <w:pPr>
        <w:ind w:left="7335" w:hanging="360"/>
      </w:pPr>
      <w:rPr>
        <w:rFonts w:ascii="Wingdings" w:hAnsi="Wingdings" w:hint="default"/>
      </w:rPr>
    </w:lvl>
  </w:abstractNum>
  <w:abstractNum w:abstractNumId="32" w15:restartNumberingAfterBreak="1">
    <w:nsid w:val="5E6E7025"/>
    <w:multiLevelType w:val="multilevel"/>
    <w:tmpl w:val="369ED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1">
    <w:nsid w:val="5F1D1962"/>
    <w:multiLevelType w:val="hybridMultilevel"/>
    <w:tmpl w:val="5FB63EEC"/>
    <w:lvl w:ilvl="0">
      <w:start w:val="1"/>
      <w:numFmt w:val="decimal"/>
      <w:lvlText w:val="%1)"/>
      <w:lvlJc w:val="left"/>
      <w:pPr>
        <w:ind w:left="644" w:hanging="360"/>
      </w:pPr>
      <w:rPr>
        <w:rFonts w:hint="default"/>
        <w:b w:val="0"/>
        <w:i w:val="0"/>
        <w:strike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608D4CA8"/>
    <w:multiLevelType w:val="hybridMultilevel"/>
    <w:tmpl w:val="00F2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1">
    <w:nsid w:val="60E756E4"/>
    <w:multiLevelType w:val="hybridMultilevel"/>
    <w:tmpl w:val="AFF4A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1">
    <w:nsid w:val="616F3766"/>
    <w:multiLevelType w:val="multilevel"/>
    <w:tmpl w:val="01BCF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1">
    <w:nsid w:val="68A01D1E"/>
    <w:multiLevelType w:val="hybridMultilevel"/>
    <w:tmpl w:val="B37E64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1">
    <w:nsid w:val="6BD7735B"/>
    <w:multiLevelType w:val="hybridMultilevel"/>
    <w:tmpl w:val="7AE2B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1">
    <w:nsid w:val="6E253F50"/>
    <w:multiLevelType w:val="hybridMultilevel"/>
    <w:tmpl w:val="5E4C0ECA"/>
    <w:lvl w:ilvl="0">
      <w:start w:val="3"/>
      <w:numFmt w:val="bullet"/>
      <w:lvlText w:val="-"/>
      <w:lvlJc w:val="left"/>
      <w:pPr>
        <w:ind w:left="785" w:hanging="360"/>
      </w:pPr>
      <w:rPr>
        <w:rFonts w:ascii="Times New Roman" w:eastAsia="Times New Roman" w:hAnsi="Times New Roman" w:cs="Times New Roman" w:hint="default"/>
        <w:color w:val="auto"/>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40" w15:restartNumberingAfterBreak="1">
    <w:nsid w:val="6F5A2BA0"/>
    <w:multiLevelType w:val="hybridMultilevel"/>
    <w:tmpl w:val="3C24AD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70385E02"/>
    <w:multiLevelType w:val="multilevel"/>
    <w:tmpl w:val="40BCBC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1">
    <w:nsid w:val="75010569"/>
    <w:multiLevelType w:val="hybridMultilevel"/>
    <w:tmpl w:val="6CBE4F6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1">
    <w:nsid w:val="75B03D4B"/>
    <w:multiLevelType w:val="hybridMultilevel"/>
    <w:tmpl w:val="E77E4E80"/>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4" w15:restartNumberingAfterBreak="1">
    <w:nsid w:val="769871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7E1524C"/>
    <w:multiLevelType w:val="hybridMultilevel"/>
    <w:tmpl w:val="57E8B170"/>
    <w:lvl w:ilvl="0">
      <w:start w:val="1"/>
      <w:numFmt w:val="decimal"/>
      <w:lvlText w:val="%1."/>
      <w:lvlJc w:val="left"/>
      <w:pPr>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79A6249D"/>
    <w:multiLevelType w:val="hybridMultilevel"/>
    <w:tmpl w:val="BC221CCA"/>
    <w:lvl w:ilvl="0">
      <w:start w:val="1"/>
      <w:numFmt w:val="bullet"/>
      <w:pStyle w:val="Tablelist"/>
      <w:lvlText w:val=""/>
      <w:lvlJc w:val="left"/>
      <w:pPr>
        <w:tabs>
          <w:tab w:val="num" w:pos="397"/>
        </w:tabs>
        <w:ind w:left="397" w:hanging="28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1">
    <w:nsid w:val="7F066955"/>
    <w:multiLevelType w:val="hybridMultilevel"/>
    <w:tmpl w:val="3BD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1">
    <w:nsid w:val="7F095F53"/>
    <w:multiLevelType w:val="hybridMultilevel"/>
    <w:tmpl w:val="18A0FD20"/>
    <w:lvl w:ilvl="0">
      <w:start w:val="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6"/>
  </w:num>
  <w:num w:numId="2">
    <w:abstractNumId w:val="0"/>
  </w:num>
  <w:num w:numId="3">
    <w:abstractNumId w:val="21"/>
  </w:num>
  <w:num w:numId="4">
    <w:abstractNumId w:val="24"/>
  </w:num>
  <w:num w:numId="5">
    <w:abstractNumId w:val="18"/>
  </w:num>
  <w:num w:numId="6">
    <w:abstractNumId w:val="5"/>
  </w:num>
  <w:num w:numId="7">
    <w:abstractNumId w:val="42"/>
  </w:num>
  <w:num w:numId="8">
    <w:abstractNumId w:val="28"/>
  </w:num>
  <w:num w:numId="9">
    <w:abstractNumId w:val="47"/>
  </w:num>
  <w:num w:numId="10">
    <w:abstractNumId w:val="34"/>
  </w:num>
  <w:num w:numId="11">
    <w:abstractNumId w:val="27"/>
  </w:num>
  <w:num w:numId="12">
    <w:abstractNumId w:val="38"/>
  </w:num>
  <w:num w:numId="13">
    <w:abstractNumId w:val="35"/>
  </w:num>
  <w:num w:numId="14">
    <w:abstractNumId w:val="17"/>
  </w:num>
  <w:num w:numId="15">
    <w:abstractNumId w:val="45"/>
  </w:num>
  <w:num w:numId="16">
    <w:abstractNumId w:val="23"/>
  </w:num>
  <w:num w:numId="17">
    <w:abstractNumId w:val="29"/>
  </w:num>
  <w:num w:numId="18">
    <w:abstractNumId w:val="39"/>
  </w:num>
  <w:num w:numId="19">
    <w:abstractNumId w:val="48"/>
  </w:num>
  <w:num w:numId="20">
    <w:abstractNumId w:val="14"/>
  </w:num>
  <w:num w:numId="21">
    <w:abstractNumId w:val="20"/>
  </w:num>
  <w:num w:numId="22">
    <w:abstractNumId w:val="1"/>
  </w:num>
  <w:num w:numId="23">
    <w:abstractNumId w:val="11"/>
  </w:num>
  <w:num w:numId="24">
    <w:abstractNumId w:val="15"/>
  </w:num>
  <w:num w:numId="25">
    <w:abstractNumId w:val="31"/>
  </w:num>
  <w:num w:numId="26">
    <w:abstractNumId w:val="22"/>
  </w:num>
  <w:num w:numId="27">
    <w:abstractNumId w:val="3"/>
  </w:num>
  <w:num w:numId="28">
    <w:abstractNumId w:val="12"/>
  </w:num>
  <w:num w:numId="29">
    <w:abstractNumId w:val="33"/>
  </w:num>
  <w:num w:numId="30">
    <w:abstractNumId w:val="37"/>
  </w:num>
  <w:num w:numId="31">
    <w:abstractNumId w:val="6"/>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2"/>
  </w:num>
  <w:num w:numId="35">
    <w:abstractNumId w:val="10"/>
  </w:num>
  <w:num w:numId="36">
    <w:abstractNumId w:val="26"/>
  </w:num>
  <w:num w:numId="37">
    <w:abstractNumId w:val="8"/>
  </w:num>
  <w:num w:numId="38">
    <w:abstractNumId w:val="19"/>
  </w:num>
  <w:num w:numId="39">
    <w:abstractNumId w:val="25"/>
  </w:num>
  <w:num w:numId="40">
    <w:abstractNumId w:val="30"/>
  </w:num>
  <w:num w:numId="41">
    <w:abstractNumId w:val="41"/>
  </w:num>
  <w:num w:numId="42">
    <w:abstractNumId w:val="7"/>
  </w:num>
  <w:num w:numId="43">
    <w:abstractNumId w:val="16"/>
  </w:num>
  <w:num w:numId="44">
    <w:abstractNumId w:val="13"/>
  </w:num>
  <w:num w:numId="45">
    <w:abstractNumId w:val="9"/>
  </w:num>
  <w:num w:numId="46">
    <w:abstractNumId w:val="4"/>
  </w:num>
  <w:num w:numId="47">
    <w:abstractNumId w:val="43"/>
  </w:num>
  <w:num w:numId="48">
    <w:abstractNumId w:val="2"/>
  </w:num>
  <w:num w:numId="49">
    <w:abstractNumId w:val="44"/>
  </w:num>
  <w:num w:numId="5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CB"/>
    <w:rsid w:val="000006DC"/>
    <w:rsid w:val="00002134"/>
    <w:rsid w:val="00004C4C"/>
    <w:rsid w:val="00007B4B"/>
    <w:rsid w:val="00011A06"/>
    <w:rsid w:val="00011B48"/>
    <w:rsid w:val="00013169"/>
    <w:rsid w:val="00013466"/>
    <w:rsid w:val="00014204"/>
    <w:rsid w:val="00015F7E"/>
    <w:rsid w:val="00016321"/>
    <w:rsid w:val="000207A7"/>
    <w:rsid w:val="00021D09"/>
    <w:rsid w:val="00024448"/>
    <w:rsid w:val="00024C46"/>
    <w:rsid w:val="000256EA"/>
    <w:rsid w:val="00025CDC"/>
    <w:rsid w:val="000264FE"/>
    <w:rsid w:val="00026F24"/>
    <w:rsid w:val="00026FD3"/>
    <w:rsid w:val="0003160D"/>
    <w:rsid w:val="00032878"/>
    <w:rsid w:val="00034E1D"/>
    <w:rsid w:val="0003601C"/>
    <w:rsid w:val="00041515"/>
    <w:rsid w:val="00044F70"/>
    <w:rsid w:val="00045C10"/>
    <w:rsid w:val="00050B24"/>
    <w:rsid w:val="000520E6"/>
    <w:rsid w:val="000521CA"/>
    <w:rsid w:val="00052424"/>
    <w:rsid w:val="00053729"/>
    <w:rsid w:val="000544FE"/>
    <w:rsid w:val="00054975"/>
    <w:rsid w:val="00057F98"/>
    <w:rsid w:val="00060379"/>
    <w:rsid w:val="00060A20"/>
    <w:rsid w:val="00061869"/>
    <w:rsid w:val="00061BB6"/>
    <w:rsid w:val="00063B62"/>
    <w:rsid w:val="00064379"/>
    <w:rsid w:val="00064CFA"/>
    <w:rsid w:val="000653C6"/>
    <w:rsid w:val="0006552D"/>
    <w:rsid w:val="00067B70"/>
    <w:rsid w:val="000816A9"/>
    <w:rsid w:val="0008177D"/>
    <w:rsid w:val="00082069"/>
    <w:rsid w:val="000830E6"/>
    <w:rsid w:val="00085862"/>
    <w:rsid w:val="00085A04"/>
    <w:rsid w:val="000862A3"/>
    <w:rsid w:val="0008644A"/>
    <w:rsid w:val="0008669E"/>
    <w:rsid w:val="000900BE"/>
    <w:rsid w:val="000908A1"/>
    <w:rsid w:val="00092769"/>
    <w:rsid w:val="00095455"/>
    <w:rsid w:val="0009631F"/>
    <w:rsid w:val="00096DE4"/>
    <w:rsid w:val="00097307"/>
    <w:rsid w:val="00097861"/>
    <w:rsid w:val="000A01D2"/>
    <w:rsid w:val="000A07D0"/>
    <w:rsid w:val="000A18E8"/>
    <w:rsid w:val="000A24C6"/>
    <w:rsid w:val="000A36FD"/>
    <w:rsid w:val="000A3EB8"/>
    <w:rsid w:val="000A4C15"/>
    <w:rsid w:val="000A4CA3"/>
    <w:rsid w:val="000A4E56"/>
    <w:rsid w:val="000A602C"/>
    <w:rsid w:val="000A6A5D"/>
    <w:rsid w:val="000B2774"/>
    <w:rsid w:val="000B4DAF"/>
    <w:rsid w:val="000B5AE5"/>
    <w:rsid w:val="000B7E10"/>
    <w:rsid w:val="000C0A7E"/>
    <w:rsid w:val="000C2088"/>
    <w:rsid w:val="000C3BAC"/>
    <w:rsid w:val="000C47D7"/>
    <w:rsid w:val="000C6236"/>
    <w:rsid w:val="000C6878"/>
    <w:rsid w:val="000C7D86"/>
    <w:rsid w:val="000D0546"/>
    <w:rsid w:val="000D1931"/>
    <w:rsid w:val="000D1BDC"/>
    <w:rsid w:val="000D1E39"/>
    <w:rsid w:val="000D24DB"/>
    <w:rsid w:val="000D489A"/>
    <w:rsid w:val="000D48B7"/>
    <w:rsid w:val="000D53E3"/>
    <w:rsid w:val="000D633F"/>
    <w:rsid w:val="000D6D40"/>
    <w:rsid w:val="000D6DA2"/>
    <w:rsid w:val="000D78C0"/>
    <w:rsid w:val="000D797E"/>
    <w:rsid w:val="000D79B2"/>
    <w:rsid w:val="000E1104"/>
    <w:rsid w:val="000E26FC"/>
    <w:rsid w:val="000E30BD"/>
    <w:rsid w:val="000E31AC"/>
    <w:rsid w:val="000E5DAA"/>
    <w:rsid w:val="000E7754"/>
    <w:rsid w:val="000F00F4"/>
    <w:rsid w:val="000F0163"/>
    <w:rsid w:val="000F16C7"/>
    <w:rsid w:val="000F215C"/>
    <w:rsid w:val="000F2474"/>
    <w:rsid w:val="000F2695"/>
    <w:rsid w:val="000F3C8A"/>
    <w:rsid w:val="000F3E02"/>
    <w:rsid w:val="000F5AB3"/>
    <w:rsid w:val="000F5E2C"/>
    <w:rsid w:val="000F5ECA"/>
    <w:rsid w:val="000F7D4D"/>
    <w:rsid w:val="00100CB9"/>
    <w:rsid w:val="00103E14"/>
    <w:rsid w:val="001049A1"/>
    <w:rsid w:val="00104B9E"/>
    <w:rsid w:val="001057B0"/>
    <w:rsid w:val="00107E04"/>
    <w:rsid w:val="00110C20"/>
    <w:rsid w:val="00112C2F"/>
    <w:rsid w:val="00112C7D"/>
    <w:rsid w:val="0011340C"/>
    <w:rsid w:val="001141A8"/>
    <w:rsid w:val="0011745F"/>
    <w:rsid w:val="00117B9B"/>
    <w:rsid w:val="00120307"/>
    <w:rsid w:val="00123BF1"/>
    <w:rsid w:val="00123C56"/>
    <w:rsid w:val="00123FDA"/>
    <w:rsid w:val="00123FDE"/>
    <w:rsid w:val="001242CA"/>
    <w:rsid w:val="00125669"/>
    <w:rsid w:val="00126929"/>
    <w:rsid w:val="00126AB8"/>
    <w:rsid w:val="00126F46"/>
    <w:rsid w:val="00127F12"/>
    <w:rsid w:val="00130069"/>
    <w:rsid w:val="0013303F"/>
    <w:rsid w:val="00135A06"/>
    <w:rsid w:val="001405F6"/>
    <w:rsid w:val="001409B3"/>
    <w:rsid w:val="00141D48"/>
    <w:rsid w:val="0014307D"/>
    <w:rsid w:val="00143C6F"/>
    <w:rsid w:val="00143CD9"/>
    <w:rsid w:val="0015039F"/>
    <w:rsid w:val="00151362"/>
    <w:rsid w:val="001524FE"/>
    <w:rsid w:val="0015259E"/>
    <w:rsid w:val="00155651"/>
    <w:rsid w:val="00155866"/>
    <w:rsid w:val="00160FE5"/>
    <w:rsid w:val="001623E3"/>
    <w:rsid w:val="0016275B"/>
    <w:rsid w:val="00162D95"/>
    <w:rsid w:val="00164416"/>
    <w:rsid w:val="00164D95"/>
    <w:rsid w:val="00164DDA"/>
    <w:rsid w:val="00166B80"/>
    <w:rsid w:val="0016758C"/>
    <w:rsid w:val="001725DF"/>
    <w:rsid w:val="00173C17"/>
    <w:rsid w:val="001758B1"/>
    <w:rsid w:val="00176364"/>
    <w:rsid w:val="00176613"/>
    <w:rsid w:val="00184065"/>
    <w:rsid w:val="00184244"/>
    <w:rsid w:val="0018680C"/>
    <w:rsid w:val="00186E0A"/>
    <w:rsid w:val="001873F7"/>
    <w:rsid w:val="001874C5"/>
    <w:rsid w:val="00190B0D"/>
    <w:rsid w:val="0019188A"/>
    <w:rsid w:val="00191BE5"/>
    <w:rsid w:val="00192A16"/>
    <w:rsid w:val="0019444B"/>
    <w:rsid w:val="001A09EB"/>
    <w:rsid w:val="001A2094"/>
    <w:rsid w:val="001A2394"/>
    <w:rsid w:val="001A2525"/>
    <w:rsid w:val="001A2684"/>
    <w:rsid w:val="001A53EB"/>
    <w:rsid w:val="001A60C0"/>
    <w:rsid w:val="001A6E18"/>
    <w:rsid w:val="001B1A72"/>
    <w:rsid w:val="001B238A"/>
    <w:rsid w:val="001B27A4"/>
    <w:rsid w:val="001B3E66"/>
    <w:rsid w:val="001B776B"/>
    <w:rsid w:val="001C1733"/>
    <w:rsid w:val="001C2F73"/>
    <w:rsid w:val="001C54A7"/>
    <w:rsid w:val="001C58BA"/>
    <w:rsid w:val="001C5CFE"/>
    <w:rsid w:val="001C66DB"/>
    <w:rsid w:val="001C68E7"/>
    <w:rsid w:val="001C78A7"/>
    <w:rsid w:val="001D0D99"/>
    <w:rsid w:val="001D19E7"/>
    <w:rsid w:val="001D39B7"/>
    <w:rsid w:val="001D44B3"/>
    <w:rsid w:val="001D51D9"/>
    <w:rsid w:val="001D569C"/>
    <w:rsid w:val="001D6821"/>
    <w:rsid w:val="001D6C4A"/>
    <w:rsid w:val="001D7C3B"/>
    <w:rsid w:val="001D7C78"/>
    <w:rsid w:val="001D7D14"/>
    <w:rsid w:val="001E39CA"/>
    <w:rsid w:val="001E4650"/>
    <w:rsid w:val="001E5EE6"/>
    <w:rsid w:val="001E6B5A"/>
    <w:rsid w:val="001E7E4C"/>
    <w:rsid w:val="001F0626"/>
    <w:rsid w:val="001F1EC4"/>
    <w:rsid w:val="001F30DD"/>
    <w:rsid w:val="001F3464"/>
    <w:rsid w:val="001F3CE1"/>
    <w:rsid w:val="001F45E0"/>
    <w:rsid w:val="001F6013"/>
    <w:rsid w:val="001F6218"/>
    <w:rsid w:val="001F7DC4"/>
    <w:rsid w:val="0020135A"/>
    <w:rsid w:val="00202C5B"/>
    <w:rsid w:val="0020404C"/>
    <w:rsid w:val="00204C0B"/>
    <w:rsid w:val="0020512B"/>
    <w:rsid w:val="00205FE3"/>
    <w:rsid w:val="00206AE7"/>
    <w:rsid w:val="00206B7B"/>
    <w:rsid w:val="00206C7C"/>
    <w:rsid w:val="002072B8"/>
    <w:rsid w:val="00207883"/>
    <w:rsid w:val="00210EA8"/>
    <w:rsid w:val="00211153"/>
    <w:rsid w:val="00211F39"/>
    <w:rsid w:val="00213647"/>
    <w:rsid w:val="002143CF"/>
    <w:rsid w:val="00214B29"/>
    <w:rsid w:val="002159D9"/>
    <w:rsid w:val="00216ADC"/>
    <w:rsid w:val="0022087E"/>
    <w:rsid w:val="00222056"/>
    <w:rsid w:val="00224FC9"/>
    <w:rsid w:val="002269B9"/>
    <w:rsid w:val="002305A1"/>
    <w:rsid w:val="002310CB"/>
    <w:rsid w:val="00232B28"/>
    <w:rsid w:val="00233B3E"/>
    <w:rsid w:val="00235400"/>
    <w:rsid w:val="00235DDD"/>
    <w:rsid w:val="00236709"/>
    <w:rsid w:val="00236DA2"/>
    <w:rsid w:val="00237EAC"/>
    <w:rsid w:val="0024102A"/>
    <w:rsid w:val="00244FB6"/>
    <w:rsid w:val="002458CF"/>
    <w:rsid w:val="00247305"/>
    <w:rsid w:val="00247FE9"/>
    <w:rsid w:val="002513F2"/>
    <w:rsid w:val="00251470"/>
    <w:rsid w:val="002515F6"/>
    <w:rsid w:val="00253835"/>
    <w:rsid w:val="002560A8"/>
    <w:rsid w:val="00257BCB"/>
    <w:rsid w:val="00257BF9"/>
    <w:rsid w:val="00260241"/>
    <w:rsid w:val="0026078D"/>
    <w:rsid w:val="00262D6E"/>
    <w:rsid w:val="00263F94"/>
    <w:rsid w:val="00264D5B"/>
    <w:rsid w:val="00264D9F"/>
    <w:rsid w:val="00265FE4"/>
    <w:rsid w:val="0027066D"/>
    <w:rsid w:val="0027139A"/>
    <w:rsid w:val="002717E4"/>
    <w:rsid w:val="00271C94"/>
    <w:rsid w:val="00271FF1"/>
    <w:rsid w:val="0027312A"/>
    <w:rsid w:val="002747C5"/>
    <w:rsid w:val="00275CF4"/>
    <w:rsid w:val="00276A9B"/>
    <w:rsid w:val="002801DD"/>
    <w:rsid w:val="002813DD"/>
    <w:rsid w:val="00282830"/>
    <w:rsid w:val="00283586"/>
    <w:rsid w:val="0028519D"/>
    <w:rsid w:val="002859AC"/>
    <w:rsid w:val="00285A96"/>
    <w:rsid w:val="00285D95"/>
    <w:rsid w:val="00286133"/>
    <w:rsid w:val="00290108"/>
    <w:rsid w:val="002901C3"/>
    <w:rsid w:val="00290DBC"/>
    <w:rsid w:val="00293B76"/>
    <w:rsid w:val="00295CEB"/>
    <w:rsid w:val="002968DD"/>
    <w:rsid w:val="002A0852"/>
    <w:rsid w:val="002A3CAA"/>
    <w:rsid w:val="002A3D5C"/>
    <w:rsid w:val="002A47FE"/>
    <w:rsid w:val="002A4EEA"/>
    <w:rsid w:val="002A5276"/>
    <w:rsid w:val="002A6F3B"/>
    <w:rsid w:val="002A7B6B"/>
    <w:rsid w:val="002A7C86"/>
    <w:rsid w:val="002B4881"/>
    <w:rsid w:val="002B4C0D"/>
    <w:rsid w:val="002B52F2"/>
    <w:rsid w:val="002B5AAA"/>
    <w:rsid w:val="002B5C92"/>
    <w:rsid w:val="002B7922"/>
    <w:rsid w:val="002B7F71"/>
    <w:rsid w:val="002C1D51"/>
    <w:rsid w:val="002C4044"/>
    <w:rsid w:val="002C570D"/>
    <w:rsid w:val="002C7624"/>
    <w:rsid w:val="002D0062"/>
    <w:rsid w:val="002D35C2"/>
    <w:rsid w:val="002D362B"/>
    <w:rsid w:val="002D6C36"/>
    <w:rsid w:val="002E0191"/>
    <w:rsid w:val="002E053D"/>
    <w:rsid w:val="002E0DEE"/>
    <w:rsid w:val="002E1CE9"/>
    <w:rsid w:val="002E233A"/>
    <w:rsid w:val="002E2B70"/>
    <w:rsid w:val="002E2E72"/>
    <w:rsid w:val="002E4DD7"/>
    <w:rsid w:val="002E5258"/>
    <w:rsid w:val="002E599A"/>
    <w:rsid w:val="002F1162"/>
    <w:rsid w:val="002F279B"/>
    <w:rsid w:val="002F4086"/>
    <w:rsid w:val="002F4387"/>
    <w:rsid w:val="002F60D5"/>
    <w:rsid w:val="002F76E3"/>
    <w:rsid w:val="00301B39"/>
    <w:rsid w:val="00303FD9"/>
    <w:rsid w:val="00304490"/>
    <w:rsid w:val="00304CF2"/>
    <w:rsid w:val="00305CC6"/>
    <w:rsid w:val="00305D4F"/>
    <w:rsid w:val="00306896"/>
    <w:rsid w:val="00311195"/>
    <w:rsid w:val="00311579"/>
    <w:rsid w:val="0031359A"/>
    <w:rsid w:val="003150C6"/>
    <w:rsid w:val="003161D2"/>
    <w:rsid w:val="003174A5"/>
    <w:rsid w:val="00320064"/>
    <w:rsid w:val="00321431"/>
    <w:rsid w:val="00324FC1"/>
    <w:rsid w:val="003259DD"/>
    <w:rsid w:val="00331E21"/>
    <w:rsid w:val="00332DDB"/>
    <w:rsid w:val="00333AE6"/>
    <w:rsid w:val="003357E9"/>
    <w:rsid w:val="0033711C"/>
    <w:rsid w:val="00337E1F"/>
    <w:rsid w:val="00340ED7"/>
    <w:rsid w:val="00340F60"/>
    <w:rsid w:val="0034113E"/>
    <w:rsid w:val="003439C1"/>
    <w:rsid w:val="003464AA"/>
    <w:rsid w:val="00346CE6"/>
    <w:rsid w:val="003475AB"/>
    <w:rsid w:val="0035029F"/>
    <w:rsid w:val="00351154"/>
    <w:rsid w:val="003511C3"/>
    <w:rsid w:val="00351B65"/>
    <w:rsid w:val="00353202"/>
    <w:rsid w:val="003539AA"/>
    <w:rsid w:val="00354255"/>
    <w:rsid w:val="00354713"/>
    <w:rsid w:val="00356259"/>
    <w:rsid w:val="003575BA"/>
    <w:rsid w:val="00357602"/>
    <w:rsid w:val="0035786A"/>
    <w:rsid w:val="00360ECA"/>
    <w:rsid w:val="00361439"/>
    <w:rsid w:val="003614B8"/>
    <w:rsid w:val="00361C1B"/>
    <w:rsid w:val="00363D36"/>
    <w:rsid w:val="003642BE"/>
    <w:rsid w:val="0036491C"/>
    <w:rsid w:val="003655F7"/>
    <w:rsid w:val="00365FE9"/>
    <w:rsid w:val="0036636E"/>
    <w:rsid w:val="003670C6"/>
    <w:rsid w:val="003712DF"/>
    <w:rsid w:val="003716A4"/>
    <w:rsid w:val="003746A0"/>
    <w:rsid w:val="0037498D"/>
    <w:rsid w:val="00375249"/>
    <w:rsid w:val="00375971"/>
    <w:rsid w:val="003762DD"/>
    <w:rsid w:val="00380249"/>
    <w:rsid w:val="00381537"/>
    <w:rsid w:val="00383A10"/>
    <w:rsid w:val="00384B71"/>
    <w:rsid w:val="003853A6"/>
    <w:rsid w:val="0039010B"/>
    <w:rsid w:val="00392861"/>
    <w:rsid w:val="003934D1"/>
    <w:rsid w:val="00394398"/>
    <w:rsid w:val="00395633"/>
    <w:rsid w:val="00397341"/>
    <w:rsid w:val="003A1C68"/>
    <w:rsid w:val="003A2652"/>
    <w:rsid w:val="003A2715"/>
    <w:rsid w:val="003A3442"/>
    <w:rsid w:val="003A3513"/>
    <w:rsid w:val="003A37AB"/>
    <w:rsid w:val="003A4A82"/>
    <w:rsid w:val="003A65B8"/>
    <w:rsid w:val="003A6F6C"/>
    <w:rsid w:val="003A6FA9"/>
    <w:rsid w:val="003A7C2E"/>
    <w:rsid w:val="003A7D63"/>
    <w:rsid w:val="003B0DAB"/>
    <w:rsid w:val="003B3CB6"/>
    <w:rsid w:val="003B5DA6"/>
    <w:rsid w:val="003B734E"/>
    <w:rsid w:val="003C090E"/>
    <w:rsid w:val="003C0C22"/>
    <w:rsid w:val="003C1240"/>
    <w:rsid w:val="003C16F2"/>
    <w:rsid w:val="003C2602"/>
    <w:rsid w:val="003C2682"/>
    <w:rsid w:val="003C2EB4"/>
    <w:rsid w:val="003C660F"/>
    <w:rsid w:val="003D0DF9"/>
    <w:rsid w:val="003D1903"/>
    <w:rsid w:val="003D1EB2"/>
    <w:rsid w:val="003D25DB"/>
    <w:rsid w:val="003D420C"/>
    <w:rsid w:val="003D4F4D"/>
    <w:rsid w:val="003D5515"/>
    <w:rsid w:val="003D6192"/>
    <w:rsid w:val="003D66EC"/>
    <w:rsid w:val="003D6875"/>
    <w:rsid w:val="003D7E54"/>
    <w:rsid w:val="003E1B90"/>
    <w:rsid w:val="003E277C"/>
    <w:rsid w:val="003E3D65"/>
    <w:rsid w:val="003E43DF"/>
    <w:rsid w:val="003E4BC4"/>
    <w:rsid w:val="003E5C2E"/>
    <w:rsid w:val="003E6388"/>
    <w:rsid w:val="003F0229"/>
    <w:rsid w:val="003F1547"/>
    <w:rsid w:val="003F5205"/>
    <w:rsid w:val="003F528F"/>
    <w:rsid w:val="003F5C06"/>
    <w:rsid w:val="003F7B1C"/>
    <w:rsid w:val="004010E7"/>
    <w:rsid w:val="00401E29"/>
    <w:rsid w:val="00403145"/>
    <w:rsid w:val="00404FFA"/>
    <w:rsid w:val="004071D4"/>
    <w:rsid w:val="00407AC0"/>
    <w:rsid w:val="00410629"/>
    <w:rsid w:val="004142D2"/>
    <w:rsid w:val="00414A44"/>
    <w:rsid w:val="00414B57"/>
    <w:rsid w:val="00415DD7"/>
    <w:rsid w:val="00416A1F"/>
    <w:rsid w:val="0041798A"/>
    <w:rsid w:val="00423763"/>
    <w:rsid w:val="00424D3D"/>
    <w:rsid w:val="004250F9"/>
    <w:rsid w:val="00425396"/>
    <w:rsid w:val="004268C9"/>
    <w:rsid w:val="00427328"/>
    <w:rsid w:val="00430B04"/>
    <w:rsid w:val="00431D8E"/>
    <w:rsid w:val="00431FA4"/>
    <w:rsid w:val="004337DD"/>
    <w:rsid w:val="004342E7"/>
    <w:rsid w:val="00434998"/>
    <w:rsid w:val="004354DB"/>
    <w:rsid w:val="00436996"/>
    <w:rsid w:val="004373C0"/>
    <w:rsid w:val="0043773C"/>
    <w:rsid w:val="00440337"/>
    <w:rsid w:val="00440ED1"/>
    <w:rsid w:val="00442A5D"/>
    <w:rsid w:val="00442AAD"/>
    <w:rsid w:val="00443DCE"/>
    <w:rsid w:val="00444329"/>
    <w:rsid w:val="00445369"/>
    <w:rsid w:val="00445D76"/>
    <w:rsid w:val="00446232"/>
    <w:rsid w:val="00450B11"/>
    <w:rsid w:val="00451162"/>
    <w:rsid w:val="00452CD7"/>
    <w:rsid w:val="0045495C"/>
    <w:rsid w:val="00454B37"/>
    <w:rsid w:val="0046023D"/>
    <w:rsid w:val="004615DE"/>
    <w:rsid w:val="00461BD5"/>
    <w:rsid w:val="004624B1"/>
    <w:rsid w:val="00462967"/>
    <w:rsid w:val="0046317B"/>
    <w:rsid w:val="004631C5"/>
    <w:rsid w:val="00463FC8"/>
    <w:rsid w:val="00464ECA"/>
    <w:rsid w:val="00465064"/>
    <w:rsid w:val="0046655D"/>
    <w:rsid w:val="00467B3D"/>
    <w:rsid w:val="00470435"/>
    <w:rsid w:val="00470BEB"/>
    <w:rsid w:val="004727BB"/>
    <w:rsid w:val="00472BCE"/>
    <w:rsid w:val="00475BD2"/>
    <w:rsid w:val="00477A4E"/>
    <w:rsid w:val="00480F2A"/>
    <w:rsid w:val="0048132C"/>
    <w:rsid w:val="004818B1"/>
    <w:rsid w:val="004831F7"/>
    <w:rsid w:val="00484058"/>
    <w:rsid w:val="004865F2"/>
    <w:rsid w:val="004875CA"/>
    <w:rsid w:val="0049040B"/>
    <w:rsid w:val="0049080D"/>
    <w:rsid w:val="00492B51"/>
    <w:rsid w:val="00493445"/>
    <w:rsid w:val="004940BA"/>
    <w:rsid w:val="004946D9"/>
    <w:rsid w:val="004964E6"/>
    <w:rsid w:val="00497BE9"/>
    <w:rsid w:val="004A0246"/>
    <w:rsid w:val="004A075E"/>
    <w:rsid w:val="004A3548"/>
    <w:rsid w:val="004A5045"/>
    <w:rsid w:val="004A63AD"/>
    <w:rsid w:val="004A6C9F"/>
    <w:rsid w:val="004A771B"/>
    <w:rsid w:val="004B0E29"/>
    <w:rsid w:val="004B2417"/>
    <w:rsid w:val="004B26A6"/>
    <w:rsid w:val="004B3674"/>
    <w:rsid w:val="004B3851"/>
    <w:rsid w:val="004B3C79"/>
    <w:rsid w:val="004B4981"/>
    <w:rsid w:val="004B5D83"/>
    <w:rsid w:val="004C0302"/>
    <w:rsid w:val="004C15FD"/>
    <w:rsid w:val="004C3B72"/>
    <w:rsid w:val="004C4F36"/>
    <w:rsid w:val="004C5009"/>
    <w:rsid w:val="004C5475"/>
    <w:rsid w:val="004C6C05"/>
    <w:rsid w:val="004C7138"/>
    <w:rsid w:val="004D6F33"/>
    <w:rsid w:val="004D70A1"/>
    <w:rsid w:val="004D7290"/>
    <w:rsid w:val="004D78CB"/>
    <w:rsid w:val="004E216F"/>
    <w:rsid w:val="004F0912"/>
    <w:rsid w:val="004F0CA0"/>
    <w:rsid w:val="004F10BA"/>
    <w:rsid w:val="004F2358"/>
    <w:rsid w:val="004F3928"/>
    <w:rsid w:val="004F4A1E"/>
    <w:rsid w:val="005012BB"/>
    <w:rsid w:val="00501AF6"/>
    <w:rsid w:val="00502DE0"/>
    <w:rsid w:val="00503012"/>
    <w:rsid w:val="00503A67"/>
    <w:rsid w:val="0050482E"/>
    <w:rsid w:val="00505A3A"/>
    <w:rsid w:val="0050702D"/>
    <w:rsid w:val="0051096D"/>
    <w:rsid w:val="0051278A"/>
    <w:rsid w:val="00512A0A"/>
    <w:rsid w:val="0051303C"/>
    <w:rsid w:val="005139D9"/>
    <w:rsid w:val="00520EF6"/>
    <w:rsid w:val="00520EFC"/>
    <w:rsid w:val="00522D3F"/>
    <w:rsid w:val="00522F0B"/>
    <w:rsid w:val="00523B58"/>
    <w:rsid w:val="00524B85"/>
    <w:rsid w:val="00524CB9"/>
    <w:rsid w:val="0052583C"/>
    <w:rsid w:val="005268A0"/>
    <w:rsid w:val="005269C6"/>
    <w:rsid w:val="005304A3"/>
    <w:rsid w:val="00531ACF"/>
    <w:rsid w:val="005320B6"/>
    <w:rsid w:val="0053238A"/>
    <w:rsid w:val="00533CBC"/>
    <w:rsid w:val="00534100"/>
    <w:rsid w:val="00540F56"/>
    <w:rsid w:val="00541250"/>
    <w:rsid w:val="0054152F"/>
    <w:rsid w:val="00542519"/>
    <w:rsid w:val="00543DDC"/>
    <w:rsid w:val="00544679"/>
    <w:rsid w:val="0054497E"/>
    <w:rsid w:val="00545B66"/>
    <w:rsid w:val="00546913"/>
    <w:rsid w:val="00550461"/>
    <w:rsid w:val="00550677"/>
    <w:rsid w:val="00552559"/>
    <w:rsid w:val="0055288D"/>
    <w:rsid w:val="005529C1"/>
    <w:rsid w:val="00552D20"/>
    <w:rsid w:val="0055325A"/>
    <w:rsid w:val="00553FED"/>
    <w:rsid w:val="00554707"/>
    <w:rsid w:val="005556C3"/>
    <w:rsid w:val="00555756"/>
    <w:rsid w:val="00560A7B"/>
    <w:rsid w:val="00561F13"/>
    <w:rsid w:val="005628B9"/>
    <w:rsid w:val="00563F25"/>
    <w:rsid w:val="00564BAD"/>
    <w:rsid w:val="005660B9"/>
    <w:rsid w:val="00566D5E"/>
    <w:rsid w:val="00567702"/>
    <w:rsid w:val="0056777A"/>
    <w:rsid w:val="0057165A"/>
    <w:rsid w:val="00572268"/>
    <w:rsid w:val="00572BAC"/>
    <w:rsid w:val="00573186"/>
    <w:rsid w:val="0057396E"/>
    <w:rsid w:val="00574993"/>
    <w:rsid w:val="00574C3A"/>
    <w:rsid w:val="005772B0"/>
    <w:rsid w:val="005829DA"/>
    <w:rsid w:val="0058449F"/>
    <w:rsid w:val="00584564"/>
    <w:rsid w:val="00584856"/>
    <w:rsid w:val="00586BA8"/>
    <w:rsid w:val="00590571"/>
    <w:rsid w:val="00590997"/>
    <w:rsid w:val="005910B5"/>
    <w:rsid w:val="00591AF2"/>
    <w:rsid w:val="00592774"/>
    <w:rsid w:val="00592C76"/>
    <w:rsid w:val="005933CA"/>
    <w:rsid w:val="00593840"/>
    <w:rsid w:val="00593C97"/>
    <w:rsid w:val="0059534F"/>
    <w:rsid w:val="00595E39"/>
    <w:rsid w:val="005964CB"/>
    <w:rsid w:val="0059693D"/>
    <w:rsid w:val="00597374"/>
    <w:rsid w:val="005977EF"/>
    <w:rsid w:val="005A0670"/>
    <w:rsid w:val="005A0871"/>
    <w:rsid w:val="005A0978"/>
    <w:rsid w:val="005A192D"/>
    <w:rsid w:val="005A3025"/>
    <w:rsid w:val="005A32C4"/>
    <w:rsid w:val="005A3620"/>
    <w:rsid w:val="005A5204"/>
    <w:rsid w:val="005A67FA"/>
    <w:rsid w:val="005A6898"/>
    <w:rsid w:val="005A7802"/>
    <w:rsid w:val="005A7EFB"/>
    <w:rsid w:val="005B0B2F"/>
    <w:rsid w:val="005B1519"/>
    <w:rsid w:val="005B19E4"/>
    <w:rsid w:val="005B1E52"/>
    <w:rsid w:val="005B42C0"/>
    <w:rsid w:val="005B48CB"/>
    <w:rsid w:val="005B52FF"/>
    <w:rsid w:val="005B61E2"/>
    <w:rsid w:val="005C2372"/>
    <w:rsid w:val="005C2B65"/>
    <w:rsid w:val="005C3231"/>
    <w:rsid w:val="005C3704"/>
    <w:rsid w:val="005C38FB"/>
    <w:rsid w:val="005C42CE"/>
    <w:rsid w:val="005C4EA7"/>
    <w:rsid w:val="005C6C5B"/>
    <w:rsid w:val="005C7EEE"/>
    <w:rsid w:val="005D00DA"/>
    <w:rsid w:val="005D1112"/>
    <w:rsid w:val="005D1114"/>
    <w:rsid w:val="005D1E60"/>
    <w:rsid w:val="005D23AC"/>
    <w:rsid w:val="005D2C23"/>
    <w:rsid w:val="005D2DD7"/>
    <w:rsid w:val="005D410F"/>
    <w:rsid w:val="005D46EB"/>
    <w:rsid w:val="005D5FAE"/>
    <w:rsid w:val="005E03ED"/>
    <w:rsid w:val="005E0FAC"/>
    <w:rsid w:val="005E15F2"/>
    <w:rsid w:val="005E224F"/>
    <w:rsid w:val="005E38C0"/>
    <w:rsid w:val="005E3B10"/>
    <w:rsid w:val="005E5280"/>
    <w:rsid w:val="005E69A1"/>
    <w:rsid w:val="005F192D"/>
    <w:rsid w:val="005F1ED8"/>
    <w:rsid w:val="005F25ED"/>
    <w:rsid w:val="005F29EB"/>
    <w:rsid w:val="005F455B"/>
    <w:rsid w:val="005F4A66"/>
    <w:rsid w:val="005F53D5"/>
    <w:rsid w:val="005F5C1C"/>
    <w:rsid w:val="005F6232"/>
    <w:rsid w:val="005F6F97"/>
    <w:rsid w:val="005F749B"/>
    <w:rsid w:val="00600372"/>
    <w:rsid w:val="006018B6"/>
    <w:rsid w:val="006020EC"/>
    <w:rsid w:val="00603192"/>
    <w:rsid w:val="0060357F"/>
    <w:rsid w:val="006036FD"/>
    <w:rsid w:val="00603F6B"/>
    <w:rsid w:val="00604046"/>
    <w:rsid w:val="00604D1B"/>
    <w:rsid w:val="00604D7C"/>
    <w:rsid w:val="006079B5"/>
    <w:rsid w:val="006109C2"/>
    <w:rsid w:val="00611860"/>
    <w:rsid w:val="0061307C"/>
    <w:rsid w:val="006130CF"/>
    <w:rsid w:val="00614AC3"/>
    <w:rsid w:val="00616D97"/>
    <w:rsid w:val="0061724C"/>
    <w:rsid w:val="006172B5"/>
    <w:rsid w:val="006173C1"/>
    <w:rsid w:val="00620304"/>
    <w:rsid w:val="006206B9"/>
    <w:rsid w:val="00624180"/>
    <w:rsid w:val="006246AA"/>
    <w:rsid w:val="00624BC7"/>
    <w:rsid w:val="006310FF"/>
    <w:rsid w:val="00632FC1"/>
    <w:rsid w:val="00633336"/>
    <w:rsid w:val="00633652"/>
    <w:rsid w:val="006345D7"/>
    <w:rsid w:val="00635BF6"/>
    <w:rsid w:val="00636591"/>
    <w:rsid w:val="00641662"/>
    <w:rsid w:val="00641F33"/>
    <w:rsid w:val="006420FB"/>
    <w:rsid w:val="00642DA9"/>
    <w:rsid w:val="00643B0A"/>
    <w:rsid w:val="00645B55"/>
    <w:rsid w:val="00647BED"/>
    <w:rsid w:val="006506D0"/>
    <w:rsid w:val="006518F1"/>
    <w:rsid w:val="006528F5"/>
    <w:rsid w:val="0065371B"/>
    <w:rsid w:val="00653BBB"/>
    <w:rsid w:val="00654DAA"/>
    <w:rsid w:val="00654F56"/>
    <w:rsid w:val="00655124"/>
    <w:rsid w:val="00656D4A"/>
    <w:rsid w:val="00656D9D"/>
    <w:rsid w:val="0066270C"/>
    <w:rsid w:val="00662B62"/>
    <w:rsid w:val="00663012"/>
    <w:rsid w:val="00664724"/>
    <w:rsid w:val="00664A1B"/>
    <w:rsid w:val="006678E3"/>
    <w:rsid w:val="006709EE"/>
    <w:rsid w:val="00672C8B"/>
    <w:rsid w:val="00673FB3"/>
    <w:rsid w:val="00674817"/>
    <w:rsid w:val="00675661"/>
    <w:rsid w:val="00683692"/>
    <w:rsid w:val="00683CF5"/>
    <w:rsid w:val="006852EF"/>
    <w:rsid w:val="0068745E"/>
    <w:rsid w:val="006908AB"/>
    <w:rsid w:val="00690E39"/>
    <w:rsid w:val="00690F29"/>
    <w:rsid w:val="006928BD"/>
    <w:rsid w:val="006948C6"/>
    <w:rsid w:val="00696278"/>
    <w:rsid w:val="006966D1"/>
    <w:rsid w:val="006967F3"/>
    <w:rsid w:val="006A1042"/>
    <w:rsid w:val="006A222C"/>
    <w:rsid w:val="006A417D"/>
    <w:rsid w:val="006A457E"/>
    <w:rsid w:val="006A4995"/>
    <w:rsid w:val="006A5DE4"/>
    <w:rsid w:val="006A5F27"/>
    <w:rsid w:val="006A6F4E"/>
    <w:rsid w:val="006A71CB"/>
    <w:rsid w:val="006B15C8"/>
    <w:rsid w:val="006B242E"/>
    <w:rsid w:val="006B256F"/>
    <w:rsid w:val="006B2A27"/>
    <w:rsid w:val="006B2D03"/>
    <w:rsid w:val="006B3C40"/>
    <w:rsid w:val="006B3CCC"/>
    <w:rsid w:val="006B3DA3"/>
    <w:rsid w:val="006B5021"/>
    <w:rsid w:val="006B5A41"/>
    <w:rsid w:val="006B5A8A"/>
    <w:rsid w:val="006B5C8A"/>
    <w:rsid w:val="006B5D21"/>
    <w:rsid w:val="006C00B6"/>
    <w:rsid w:val="006C06BB"/>
    <w:rsid w:val="006C1449"/>
    <w:rsid w:val="006C1D49"/>
    <w:rsid w:val="006C1F39"/>
    <w:rsid w:val="006C305E"/>
    <w:rsid w:val="006C4E76"/>
    <w:rsid w:val="006D1588"/>
    <w:rsid w:val="006D212B"/>
    <w:rsid w:val="006D3BDB"/>
    <w:rsid w:val="006D4698"/>
    <w:rsid w:val="006D4C8A"/>
    <w:rsid w:val="006D6BAC"/>
    <w:rsid w:val="006D7170"/>
    <w:rsid w:val="006D7AFB"/>
    <w:rsid w:val="006E1148"/>
    <w:rsid w:val="006E1919"/>
    <w:rsid w:val="006E1EA6"/>
    <w:rsid w:val="006E21FB"/>
    <w:rsid w:val="006E5428"/>
    <w:rsid w:val="006E54DD"/>
    <w:rsid w:val="006E5B80"/>
    <w:rsid w:val="006E6EFB"/>
    <w:rsid w:val="006F0C33"/>
    <w:rsid w:val="006F0CD6"/>
    <w:rsid w:val="006F1C0A"/>
    <w:rsid w:val="006F209B"/>
    <w:rsid w:val="006F2E96"/>
    <w:rsid w:val="006F30AA"/>
    <w:rsid w:val="006F34A9"/>
    <w:rsid w:val="006F3B4C"/>
    <w:rsid w:val="006F5F4D"/>
    <w:rsid w:val="006F69E1"/>
    <w:rsid w:val="006F7155"/>
    <w:rsid w:val="006F7355"/>
    <w:rsid w:val="006F789A"/>
    <w:rsid w:val="006F7FAD"/>
    <w:rsid w:val="00700636"/>
    <w:rsid w:val="00702CB5"/>
    <w:rsid w:val="007047AC"/>
    <w:rsid w:val="00704B6B"/>
    <w:rsid w:val="007067A4"/>
    <w:rsid w:val="00711347"/>
    <w:rsid w:val="00711769"/>
    <w:rsid w:val="00711A68"/>
    <w:rsid w:val="007124C3"/>
    <w:rsid w:val="00712ABF"/>
    <w:rsid w:val="00713910"/>
    <w:rsid w:val="00713AB6"/>
    <w:rsid w:val="007161E4"/>
    <w:rsid w:val="00716A80"/>
    <w:rsid w:val="00720CEB"/>
    <w:rsid w:val="00720ED6"/>
    <w:rsid w:val="007211E8"/>
    <w:rsid w:val="00721DF7"/>
    <w:rsid w:val="00722955"/>
    <w:rsid w:val="00723650"/>
    <w:rsid w:val="00724B78"/>
    <w:rsid w:val="00725F33"/>
    <w:rsid w:val="0073330F"/>
    <w:rsid w:val="007339E1"/>
    <w:rsid w:val="007342A0"/>
    <w:rsid w:val="00735A7B"/>
    <w:rsid w:val="00737B7F"/>
    <w:rsid w:val="00740400"/>
    <w:rsid w:val="0074232B"/>
    <w:rsid w:val="00743461"/>
    <w:rsid w:val="00744F80"/>
    <w:rsid w:val="00745ADD"/>
    <w:rsid w:val="00746079"/>
    <w:rsid w:val="00746413"/>
    <w:rsid w:val="0074660E"/>
    <w:rsid w:val="00746EFC"/>
    <w:rsid w:val="00750AF9"/>
    <w:rsid w:val="00753B28"/>
    <w:rsid w:val="00753BBE"/>
    <w:rsid w:val="00754384"/>
    <w:rsid w:val="00760506"/>
    <w:rsid w:val="0076077E"/>
    <w:rsid w:val="00761000"/>
    <w:rsid w:val="00762B10"/>
    <w:rsid w:val="007636B1"/>
    <w:rsid w:val="00766588"/>
    <w:rsid w:val="00771547"/>
    <w:rsid w:val="00771F86"/>
    <w:rsid w:val="00772AE0"/>
    <w:rsid w:val="00775C3F"/>
    <w:rsid w:val="007776DD"/>
    <w:rsid w:val="00777A8C"/>
    <w:rsid w:val="007809C1"/>
    <w:rsid w:val="007821AD"/>
    <w:rsid w:val="00785A30"/>
    <w:rsid w:val="00791C9A"/>
    <w:rsid w:val="00792335"/>
    <w:rsid w:val="00792658"/>
    <w:rsid w:val="00792FE5"/>
    <w:rsid w:val="00793AA2"/>
    <w:rsid w:val="007964C7"/>
    <w:rsid w:val="007A14A0"/>
    <w:rsid w:val="007A46CF"/>
    <w:rsid w:val="007A6222"/>
    <w:rsid w:val="007B1520"/>
    <w:rsid w:val="007B2E9A"/>
    <w:rsid w:val="007B47FC"/>
    <w:rsid w:val="007B4E82"/>
    <w:rsid w:val="007B5E59"/>
    <w:rsid w:val="007B7577"/>
    <w:rsid w:val="007C01D6"/>
    <w:rsid w:val="007C16ED"/>
    <w:rsid w:val="007C4B21"/>
    <w:rsid w:val="007C5123"/>
    <w:rsid w:val="007C7EBA"/>
    <w:rsid w:val="007D153D"/>
    <w:rsid w:val="007D2266"/>
    <w:rsid w:val="007D38E9"/>
    <w:rsid w:val="007D59DB"/>
    <w:rsid w:val="007E06A9"/>
    <w:rsid w:val="007E10BD"/>
    <w:rsid w:val="007E19A7"/>
    <w:rsid w:val="007E2214"/>
    <w:rsid w:val="007E2E34"/>
    <w:rsid w:val="007E31AD"/>
    <w:rsid w:val="007E3EA5"/>
    <w:rsid w:val="007E481B"/>
    <w:rsid w:val="007E4E7A"/>
    <w:rsid w:val="007E6E57"/>
    <w:rsid w:val="007F0694"/>
    <w:rsid w:val="007F0C90"/>
    <w:rsid w:val="007F0F52"/>
    <w:rsid w:val="007F1292"/>
    <w:rsid w:val="007F3E9E"/>
    <w:rsid w:val="007F6266"/>
    <w:rsid w:val="007F691B"/>
    <w:rsid w:val="007F6936"/>
    <w:rsid w:val="007F7D85"/>
    <w:rsid w:val="0080489F"/>
    <w:rsid w:val="008059B6"/>
    <w:rsid w:val="00806423"/>
    <w:rsid w:val="00806B47"/>
    <w:rsid w:val="00810B66"/>
    <w:rsid w:val="00811171"/>
    <w:rsid w:val="00812DF6"/>
    <w:rsid w:val="008131B8"/>
    <w:rsid w:val="00814AFF"/>
    <w:rsid w:val="00816956"/>
    <w:rsid w:val="008207A8"/>
    <w:rsid w:val="00822791"/>
    <w:rsid w:val="00822AB4"/>
    <w:rsid w:val="008238C5"/>
    <w:rsid w:val="00824CCA"/>
    <w:rsid w:val="008252F9"/>
    <w:rsid w:val="00825596"/>
    <w:rsid w:val="00826099"/>
    <w:rsid w:val="00826FAE"/>
    <w:rsid w:val="00833635"/>
    <w:rsid w:val="008348E9"/>
    <w:rsid w:val="00835AEE"/>
    <w:rsid w:val="00836267"/>
    <w:rsid w:val="00836869"/>
    <w:rsid w:val="00836CFC"/>
    <w:rsid w:val="00842D49"/>
    <w:rsid w:val="008434EA"/>
    <w:rsid w:val="008440B5"/>
    <w:rsid w:val="0084422F"/>
    <w:rsid w:val="00844D7B"/>
    <w:rsid w:val="00845931"/>
    <w:rsid w:val="00845A90"/>
    <w:rsid w:val="008464B0"/>
    <w:rsid w:val="008464C6"/>
    <w:rsid w:val="008510D0"/>
    <w:rsid w:val="00851131"/>
    <w:rsid w:val="008540D0"/>
    <w:rsid w:val="00854BB9"/>
    <w:rsid w:val="0085536F"/>
    <w:rsid w:val="00855AC5"/>
    <w:rsid w:val="008562AD"/>
    <w:rsid w:val="0086048E"/>
    <w:rsid w:val="0086072A"/>
    <w:rsid w:val="008620AB"/>
    <w:rsid w:val="00862F30"/>
    <w:rsid w:val="00864DB2"/>
    <w:rsid w:val="00864EDE"/>
    <w:rsid w:val="00866811"/>
    <w:rsid w:val="00866CE2"/>
    <w:rsid w:val="008704D5"/>
    <w:rsid w:val="00871101"/>
    <w:rsid w:val="008713E8"/>
    <w:rsid w:val="00872791"/>
    <w:rsid w:val="008735BF"/>
    <w:rsid w:val="008742D2"/>
    <w:rsid w:val="008756D5"/>
    <w:rsid w:val="00875B93"/>
    <w:rsid w:val="0087692D"/>
    <w:rsid w:val="00883643"/>
    <w:rsid w:val="00883996"/>
    <w:rsid w:val="00883FC4"/>
    <w:rsid w:val="00884B52"/>
    <w:rsid w:val="008851A5"/>
    <w:rsid w:val="008856F4"/>
    <w:rsid w:val="00885B36"/>
    <w:rsid w:val="0088692A"/>
    <w:rsid w:val="00887DEB"/>
    <w:rsid w:val="00891288"/>
    <w:rsid w:val="008915B6"/>
    <w:rsid w:val="00891FA6"/>
    <w:rsid w:val="00892095"/>
    <w:rsid w:val="00893596"/>
    <w:rsid w:val="00897258"/>
    <w:rsid w:val="00897B4D"/>
    <w:rsid w:val="00897C8F"/>
    <w:rsid w:val="008A02E4"/>
    <w:rsid w:val="008A08C6"/>
    <w:rsid w:val="008A18BE"/>
    <w:rsid w:val="008A462C"/>
    <w:rsid w:val="008A4E5A"/>
    <w:rsid w:val="008A5969"/>
    <w:rsid w:val="008A62D5"/>
    <w:rsid w:val="008B1831"/>
    <w:rsid w:val="008B1C4A"/>
    <w:rsid w:val="008B288F"/>
    <w:rsid w:val="008B28ED"/>
    <w:rsid w:val="008B29E0"/>
    <w:rsid w:val="008B4F89"/>
    <w:rsid w:val="008B5E04"/>
    <w:rsid w:val="008B7458"/>
    <w:rsid w:val="008C03EF"/>
    <w:rsid w:val="008C0B7A"/>
    <w:rsid w:val="008C180C"/>
    <w:rsid w:val="008C1F63"/>
    <w:rsid w:val="008C21B7"/>
    <w:rsid w:val="008C23AF"/>
    <w:rsid w:val="008C5987"/>
    <w:rsid w:val="008C6A64"/>
    <w:rsid w:val="008C6B29"/>
    <w:rsid w:val="008C6EBD"/>
    <w:rsid w:val="008D2427"/>
    <w:rsid w:val="008D2D6C"/>
    <w:rsid w:val="008D3EE3"/>
    <w:rsid w:val="008D5F1F"/>
    <w:rsid w:val="008D60B5"/>
    <w:rsid w:val="008D7181"/>
    <w:rsid w:val="008D72DA"/>
    <w:rsid w:val="008E11F8"/>
    <w:rsid w:val="008E2349"/>
    <w:rsid w:val="008E235E"/>
    <w:rsid w:val="008E371D"/>
    <w:rsid w:val="008E3F33"/>
    <w:rsid w:val="008F0653"/>
    <w:rsid w:val="008F20C9"/>
    <w:rsid w:val="008F25D7"/>
    <w:rsid w:val="008F3BEE"/>
    <w:rsid w:val="008F57A0"/>
    <w:rsid w:val="008F7A08"/>
    <w:rsid w:val="008F7C6D"/>
    <w:rsid w:val="008F7CB0"/>
    <w:rsid w:val="00905B04"/>
    <w:rsid w:val="00905CC2"/>
    <w:rsid w:val="00907BBF"/>
    <w:rsid w:val="00907D65"/>
    <w:rsid w:val="0091000A"/>
    <w:rsid w:val="00910569"/>
    <w:rsid w:val="00910975"/>
    <w:rsid w:val="009112DB"/>
    <w:rsid w:val="00912B66"/>
    <w:rsid w:val="009131B3"/>
    <w:rsid w:val="00913D8B"/>
    <w:rsid w:val="00915244"/>
    <w:rsid w:val="0091537D"/>
    <w:rsid w:val="00916AE1"/>
    <w:rsid w:val="00920749"/>
    <w:rsid w:val="009219C6"/>
    <w:rsid w:val="00921AFC"/>
    <w:rsid w:val="00921BE5"/>
    <w:rsid w:val="009232FC"/>
    <w:rsid w:val="00923DBE"/>
    <w:rsid w:val="00923DC4"/>
    <w:rsid w:val="00923E65"/>
    <w:rsid w:val="009245AD"/>
    <w:rsid w:val="009246E9"/>
    <w:rsid w:val="00924B17"/>
    <w:rsid w:val="0092623D"/>
    <w:rsid w:val="009311B9"/>
    <w:rsid w:val="009320E0"/>
    <w:rsid w:val="009366F2"/>
    <w:rsid w:val="00936F2E"/>
    <w:rsid w:val="0093711A"/>
    <w:rsid w:val="009371A1"/>
    <w:rsid w:val="00937740"/>
    <w:rsid w:val="0094038C"/>
    <w:rsid w:val="00940758"/>
    <w:rsid w:val="009439B0"/>
    <w:rsid w:val="00944D22"/>
    <w:rsid w:val="00945817"/>
    <w:rsid w:val="00945AD4"/>
    <w:rsid w:val="009474CE"/>
    <w:rsid w:val="009474E0"/>
    <w:rsid w:val="0095014B"/>
    <w:rsid w:val="00950752"/>
    <w:rsid w:val="00950756"/>
    <w:rsid w:val="00950B2C"/>
    <w:rsid w:val="0095144B"/>
    <w:rsid w:val="00951492"/>
    <w:rsid w:val="00952C18"/>
    <w:rsid w:val="00952C37"/>
    <w:rsid w:val="009552DF"/>
    <w:rsid w:val="009556B9"/>
    <w:rsid w:val="00955BB4"/>
    <w:rsid w:val="009565A1"/>
    <w:rsid w:val="009568B1"/>
    <w:rsid w:val="0095784B"/>
    <w:rsid w:val="00960B4D"/>
    <w:rsid w:val="00962398"/>
    <w:rsid w:val="00962968"/>
    <w:rsid w:val="00963592"/>
    <w:rsid w:val="00964518"/>
    <w:rsid w:val="0096611A"/>
    <w:rsid w:val="00966233"/>
    <w:rsid w:val="00967089"/>
    <w:rsid w:val="00967F38"/>
    <w:rsid w:val="00971087"/>
    <w:rsid w:val="00975892"/>
    <w:rsid w:val="00976C50"/>
    <w:rsid w:val="00981E69"/>
    <w:rsid w:val="00981EEF"/>
    <w:rsid w:val="00982E51"/>
    <w:rsid w:val="00983064"/>
    <w:rsid w:val="00986805"/>
    <w:rsid w:val="00986DE1"/>
    <w:rsid w:val="0098700C"/>
    <w:rsid w:val="00987531"/>
    <w:rsid w:val="009903CA"/>
    <w:rsid w:val="00994BC5"/>
    <w:rsid w:val="00996FE1"/>
    <w:rsid w:val="009974EF"/>
    <w:rsid w:val="00997C83"/>
    <w:rsid w:val="00997D9D"/>
    <w:rsid w:val="00997DCC"/>
    <w:rsid w:val="009A05AB"/>
    <w:rsid w:val="009A2297"/>
    <w:rsid w:val="009A24C5"/>
    <w:rsid w:val="009A3843"/>
    <w:rsid w:val="009A595A"/>
    <w:rsid w:val="009A70C1"/>
    <w:rsid w:val="009B1DBD"/>
    <w:rsid w:val="009B41B5"/>
    <w:rsid w:val="009B43EF"/>
    <w:rsid w:val="009B5D87"/>
    <w:rsid w:val="009B7361"/>
    <w:rsid w:val="009B75BC"/>
    <w:rsid w:val="009C01CC"/>
    <w:rsid w:val="009C0552"/>
    <w:rsid w:val="009C137B"/>
    <w:rsid w:val="009C1821"/>
    <w:rsid w:val="009C387E"/>
    <w:rsid w:val="009C4F5C"/>
    <w:rsid w:val="009C6760"/>
    <w:rsid w:val="009C723D"/>
    <w:rsid w:val="009D3129"/>
    <w:rsid w:val="009D399C"/>
    <w:rsid w:val="009D3A8F"/>
    <w:rsid w:val="009D4357"/>
    <w:rsid w:val="009D46C3"/>
    <w:rsid w:val="009D4D48"/>
    <w:rsid w:val="009D50ED"/>
    <w:rsid w:val="009D56E8"/>
    <w:rsid w:val="009E012D"/>
    <w:rsid w:val="009E1CB9"/>
    <w:rsid w:val="009E1DAF"/>
    <w:rsid w:val="009E30C7"/>
    <w:rsid w:val="009E59B1"/>
    <w:rsid w:val="009E7F3E"/>
    <w:rsid w:val="009F110B"/>
    <w:rsid w:val="009F11F6"/>
    <w:rsid w:val="009F2E84"/>
    <w:rsid w:val="009F3799"/>
    <w:rsid w:val="009F407D"/>
    <w:rsid w:val="009F4195"/>
    <w:rsid w:val="009F4CBF"/>
    <w:rsid w:val="009F51D6"/>
    <w:rsid w:val="009F5DA8"/>
    <w:rsid w:val="009F6676"/>
    <w:rsid w:val="00A00BE3"/>
    <w:rsid w:val="00A038A2"/>
    <w:rsid w:val="00A04178"/>
    <w:rsid w:val="00A051EF"/>
    <w:rsid w:val="00A075BE"/>
    <w:rsid w:val="00A07E71"/>
    <w:rsid w:val="00A119B5"/>
    <w:rsid w:val="00A137E5"/>
    <w:rsid w:val="00A13DA5"/>
    <w:rsid w:val="00A14305"/>
    <w:rsid w:val="00A15B7E"/>
    <w:rsid w:val="00A2144C"/>
    <w:rsid w:val="00A21B07"/>
    <w:rsid w:val="00A22E65"/>
    <w:rsid w:val="00A23478"/>
    <w:rsid w:val="00A26526"/>
    <w:rsid w:val="00A268E6"/>
    <w:rsid w:val="00A30684"/>
    <w:rsid w:val="00A319AE"/>
    <w:rsid w:val="00A337A3"/>
    <w:rsid w:val="00A338DE"/>
    <w:rsid w:val="00A34D57"/>
    <w:rsid w:val="00A35D7B"/>
    <w:rsid w:val="00A368ED"/>
    <w:rsid w:val="00A37699"/>
    <w:rsid w:val="00A3792D"/>
    <w:rsid w:val="00A37CD2"/>
    <w:rsid w:val="00A40CD4"/>
    <w:rsid w:val="00A43093"/>
    <w:rsid w:val="00A45AEC"/>
    <w:rsid w:val="00A45E16"/>
    <w:rsid w:val="00A45EBF"/>
    <w:rsid w:val="00A45F9D"/>
    <w:rsid w:val="00A47D92"/>
    <w:rsid w:val="00A50813"/>
    <w:rsid w:val="00A51078"/>
    <w:rsid w:val="00A5233D"/>
    <w:rsid w:val="00A5261E"/>
    <w:rsid w:val="00A537C3"/>
    <w:rsid w:val="00A539AB"/>
    <w:rsid w:val="00A54354"/>
    <w:rsid w:val="00A56DFF"/>
    <w:rsid w:val="00A57470"/>
    <w:rsid w:val="00A605EC"/>
    <w:rsid w:val="00A613DA"/>
    <w:rsid w:val="00A6290B"/>
    <w:rsid w:val="00A632CB"/>
    <w:rsid w:val="00A645FC"/>
    <w:rsid w:val="00A64AE7"/>
    <w:rsid w:val="00A65682"/>
    <w:rsid w:val="00A6568E"/>
    <w:rsid w:val="00A657F4"/>
    <w:rsid w:val="00A658CF"/>
    <w:rsid w:val="00A66B56"/>
    <w:rsid w:val="00A7008D"/>
    <w:rsid w:val="00A70EAF"/>
    <w:rsid w:val="00A73EB0"/>
    <w:rsid w:val="00A7444C"/>
    <w:rsid w:val="00A75FA1"/>
    <w:rsid w:val="00A77833"/>
    <w:rsid w:val="00A800F5"/>
    <w:rsid w:val="00A80C16"/>
    <w:rsid w:val="00A80D62"/>
    <w:rsid w:val="00A83E38"/>
    <w:rsid w:val="00A848BC"/>
    <w:rsid w:val="00A87E7A"/>
    <w:rsid w:val="00A9290F"/>
    <w:rsid w:val="00A93F3B"/>
    <w:rsid w:val="00AA0881"/>
    <w:rsid w:val="00AA0C10"/>
    <w:rsid w:val="00AA11FE"/>
    <w:rsid w:val="00AA12E0"/>
    <w:rsid w:val="00AA1C7F"/>
    <w:rsid w:val="00AA378B"/>
    <w:rsid w:val="00AA3F00"/>
    <w:rsid w:val="00AA5C94"/>
    <w:rsid w:val="00AA5F31"/>
    <w:rsid w:val="00AA6EA7"/>
    <w:rsid w:val="00AA6FE5"/>
    <w:rsid w:val="00AA704E"/>
    <w:rsid w:val="00AA7298"/>
    <w:rsid w:val="00AA75C7"/>
    <w:rsid w:val="00AB1813"/>
    <w:rsid w:val="00AB37AB"/>
    <w:rsid w:val="00AB525D"/>
    <w:rsid w:val="00AB57B4"/>
    <w:rsid w:val="00AB5B36"/>
    <w:rsid w:val="00AB6501"/>
    <w:rsid w:val="00AB7750"/>
    <w:rsid w:val="00AC047F"/>
    <w:rsid w:val="00AC0501"/>
    <w:rsid w:val="00AC50E1"/>
    <w:rsid w:val="00AC5300"/>
    <w:rsid w:val="00AC5611"/>
    <w:rsid w:val="00AC6E30"/>
    <w:rsid w:val="00AC78B2"/>
    <w:rsid w:val="00AC7E0A"/>
    <w:rsid w:val="00AD3F9A"/>
    <w:rsid w:val="00AD423D"/>
    <w:rsid w:val="00AD4DFA"/>
    <w:rsid w:val="00AD5210"/>
    <w:rsid w:val="00AD6356"/>
    <w:rsid w:val="00AD7B46"/>
    <w:rsid w:val="00AD7DE5"/>
    <w:rsid w:val="00AE149E"/>
    <w:rsid w:val="00AE1A6B"/>
    <w:rsid w:val="00AE38C4"/>
    <w:rsid w:val="00AE3CD9"/>
    <w:rsid w:val="00AE4A78"/>
    <w:rsid w:val="00AE55AA"/>
    <w:rsid w:val="00AE5F68"/>
    <w:rsid w:val="00AF018E"/>
    <w:rsid w:val="00AF13B2"/>
    <w:rsid w:val="00AF2D55"/>
    <w:rsid w:val="00AF3C15"/>
    <w:rsid w:val="00AF75BF"/>
    <w:rsid w:val="00AF76D6"/>
    <w:rsid w:val="00B00C2B"/>
    <w:rsid w:val="00B011E9"/>
    <w:rsid w:val="00B0379D"/>
    <w:rsid w:val="00B04649"/>
    <w:rsid w:val="00B04658"/>
    <w:rsid w:val="00B051ED"/>
    <w:rsid w:val="00B05879"/>
    <w:rsid w:val="00B063D5"/>
    <w:rsid w:val="00B06E0E"/>
    <w:rsid w:val="00B1070A"/>
    <w:rsid w:val="00B10A29"/>
    <w:rsid w:val="00B10C18"/>
    <w:rsid w:val="00B126B2"/>
    <w:rsid w:val="00B1340B"/>
    <w:rsid w:val="00B141C3"/>
    <w:rsid w:val="00B152B2"/>
    <w:rsid w:val="00B17813"/>
    <w:rsid w:val="00B24082"/>
    <w:rsid w:val="00B32C83"/>
    <w:rsid w:val="00B33BE9"/>
    <w:rsid w:val="00B369CF"/>
    <w:rsid w:val="00B36BCE"/>
    <w:rsid w:val="00B372B6"/>
    <w:rsid w:val="00B40180"/>
    <w:rsid w:val="00B409F1"/>
    <w:rsid w:val="00B416FD"/>
    <w:rsid w:val="00B41E8A"/>
    <w:rsid w:val="00B44CBB"/>
    <w:rsid w:val="00B513A3"/>
    <w:rsid w:val="00B5271E"/>
    <w:rsid w:val="00B52893"/>
    <w:rsid w:val="00B5437C"/>
    <w:rsid w:val="00B54739"/>
    <w:rsid w:val="00B54FA4"/>
    <w:rsid w:val="00B55450"/>
    <w:rsid w:val="00B56C32"/>
    <w:rsid w:val="00B62B39"/>
    <w:rsid w:val="00B62E21"/>
    <w:rsid w:val="00B64994"/>
    <w:rsid w:val="00B66373"/>
    <w:rsid w:val="00B66C35"/>
    <w:rsid w:val="00B6753B"/>
    <w:rsid w:val="00B67E2A"/>
    <w:rsid w:val="00B7096D"/>
    <w:rsid w:val="00B712EE"/>
    <w:rsid w:val="00B738CF"/>
    <w:rsid w:val="00B7551D"/>
    <w:rsid w:val="00B755C6"/>
    <w:rsid w:val="00B755D1"/>
    <w:rsid w:val="00B77C13"/>
    <w:rsid w:val="00B77CEB"/>
    <w:rsid w:val="00B802CE"/>
    <w:rsid w:val="00B811BE"/>
    <w:rsid w:val="00B8220E"/>
    <w:rsid w:val="00B8228A"/>
    <w:rsid w:val="00B82B97"/>
    <w:rsid w:val="00B8488B"/>
    <w:rsid w:val="00B84BDA"/>
    <w:rsid w:val="00B86B61"/>
    <w:rsid w:val="00B87585"/>
    <w:rsid w:val="00B87FA1"/>
    <w:rsid w:val="00B90B7C"/>
    <w:rsid w:val="00B90C6D"/>
    <w:rsid w:val="00B930AB"/>
    <w:rsid w:val="00B94865"/>
    <w:rsid w:val="00B957A2"/>
    <w:rsid w:val="00B96DC1"/>
    <w:rsid w:val="00BA0791"/>
    <w:rsid w:val="00BA12C8"/>
    <w:rsid w:val="00BA12D1"/>
    <w:rsid w:val="00BA147C"/>
    <w:rsid w:val="00BA2B63"/>
    <w:rsid w:val="00BA7E2E"/>
    <w:rsid w:val="00BB0DA4"/>
    <w:rsid w:val="00BB1F74"/>
    <w:rsid w:val="00BB22E0"/>
    <w:rsid w:val="00BB274D"/>
    <w:rsid w:val="00BB387A"/>
    <w:rsid w:val="00BB4486"/>
    <w:rsid w:val="00BB5341"/>
    <w:rsid w:val="00BC026C"/>
    <w:rsid w:val="00BC19D3"/>
    <w:rsid w:val="00BC22A9"/>
    <w:rsid w:val="00BC38AA"/>
    <w:rsid w:val="00BC4B57"/>
    <w:rsid w:val="00BC5FEB"/>
    <w:rsid w:val="00BC60D4"/>
    <w:rsid w:val="00BC6F9C"/>
    <w:rsid w:val="00BC72E3"/>
    <w:rsid w:val="00BD2734"/>
    <w:rsid w:val="00BD2891"/>
    <w:rsid w:val="00BD3C7D"/>
    <w:rsid w:val="00BD3C8F"/>
    <w:rsid w:val="00BD3FF2"/>
    <w:rsid w:val="00BD46CC"/>
    <w:rsid w:val="00BD5302"/>
    <w:rsid w:val="00BD55FC"/>
    <w:rsid w:val="00BD6984"/>
    <w:rsid w:val="00BD6D06"/>
    <w:rsid w:val="00BE0663"/>
    <w:rsid w:val="00BE14BF"/>
    <w:rsid w:val="00BE233D"/>
    <w:rsid w:val="00BE2981"/>
    <w:rsid w:val="00BE31DF"/>
    <w:rsid w:val="00BE38FC"/>
    <w:rsid w:val="00BE5060"/>
    <w:rsid w:val="00BE506A"/>
    <w:rsid w:val="00BF09C8"/>
    <w:rsid w:val="00BF246F"/>
    <w:rsid w:val="00BF4A5A"/>
    <w:rsid w:val="00BF5C89"/>
    <w:rsid w:val="00BF67B3"/>
    <w:rsid w:val="00BF6884"/>
    <w:rsid w:val="00BF7783"/>
    <w:rsid w:val="00C01C52"/>
    <w:rsid w:val="00C026AA"/>
    <w:rsid w:val="00C02E44"/>
    <w:rsid w:val="00C02E9E"/>
    <w:rsid w:val="00C03497"/>
    <w:rsid w:val="00C04D7B"/>
    <w:rsid w:val="00C071BE"/>
    <w:rsid w:val="00C07485"/>
    <w:rsid w:val="00C101F7"/>
    <w:rsid w:val="00C12513"/>
    <w:rsid w:val="00C12A8E"/>
    <w:rsid w:val="00C13750"/>
    <w:rsid w:val="00C14ACD"/>
    <w:rsid w:val="00C14D8D"/>
    <w:rsid w:val="00C16DD5"/>
    <w:rsid w:val="00C20D76"/>
    <w:rsid w:val="00C212F2"/>
    <w:rsid w:val="00C225B5"/>
    <w:rsid w:val="00C23979"/>
    <w:rsid w:val="00C24E58"/>
    <w:rsid w:val="00C27F70"/>
    <w:rsid w:val="00C30AF7"/>
    <w:rsid w:val="00C31492"/>
    <w:rsid w:val="00C314EE"/>
    <w:rsid w:val="00C33916"/>
    <w:rsid w:val="00C33D15"/>
    <w:rsid w:val="00C34333"/>
    <w:rsid w:val="00C3617B"/>
    <w:rsid w:val="00C37615"/>
    <w:rsid w:val="00C445DE"/>
    <w:rsid w:val="00C45120"/>
    <w:rsid w:val="00C46474"/>
    <w:rsid w:val="00C465A4"/>
    <w:rsid w:val="00C467DE"/>
    <w:rsid w:val="00C46CD3"/>
    <w:rsid w:val="00C50603"/>
    <w:rsid w:val="00C51B22"/>
    <w:rsid w:val="00C520C9"/>
    <w:rsid w:val="00C54857"/>
    <w:rsid w:val="00C55925"/>
    <w:rsid w:val="00C57A54"/>
    <w:rsid w:val="00C60728"/>
    <w:rsid w:val="00C60D34"/>
    <w:rsid w:val="00C646BA"/>
    <w:rsid w:val="00C64E08"/>
    <w:rsid w:val="00C65075"/>
    <w:rsid w:val="00C65094"/>
    <w:rsid w:val="00C711FB"/>
    <w:rsid w:val="00C717A7"/>
    <w:rsid w:val="00C72B45"/>
    <w:rsid w:val="00C74933"/>
    <w:rsid w:val="00C77CFB"/>
    <w:rsid w:val="00C8115C"/>
    <w:rsid w:val="00C8140D"/>
    <w:rsid w:val="00C81F6C"/>
    <w:rsid w:val="00C83EBA"/>
    <w:rsid w:val="00C853BF"/>
    <w:rsid w:val="00C87307"/>
    <w:rsid w:val="00C9042C"/>
    <w:rsid w:val="00C90AF0"/>
    <w:rsid w:val="00C92402"/>
    <w:rsid w:val="00C92D26"/>
    <w:rsid w:val="00C94944"/>
    <w:rsid w:val="00C967A9"/>
    <w:rsid w:val="00C97356"/>
    <w:rsid w:val="00C9766B"/>
    <w:rsid w:val="00C976E9"/>
    <w:rsid w:val="00C97FB9"/>
    <w:rsid w:val="00CA0CC7"/>
    <w:rsid w:val="00CA25E6"/>
    <w:rsid w:val="00CA3256"/>
    <w:rsid w:val="00CA5087"/>
    <w:rsid w:val="00CA58AA"/>
    <w:rsid w:val="00CA6220"/>
    <w:rsid w:val="00CA6A11"/>
    <w:rsid w:val="00CB05B8"/>
    <w:rsid w:val="00CB0E80"/>
    <w:rsid w:val="00CB19F6"/>
    <w:rsid w:val="00CB1E85"/>
    <w:rsid w:val="00CB1EE1"/>
    <w:rsid w:val="00CB40E2"/>
    <w:rsid w:val="00CB4DB9"/>
    <w:rsid w:val="00CB5D0A"/>
    <w:rsid w:val="00CB602A"/>
    <w:rsid w:val="00CC7B59"/>
    <w:rsid w:val="00CD155D"/>
    <w:rsid w:val="00CD3118"/>
    <w:rsid w:val="00CD4780"/>
    <w:rsid w:val="00CD5D55"/>
    <w:rsid w:val="00CD68E1"/>
    <w:rsid w:val="00CD6A28"/>
    <w:rsid w:val="00CD7D77"/>
    <w:rsid w:val="00CE1726"/>
    <w:rsid w:val="00CE275A"/>
    <w:rsid w:val="00CE2D33"/>
    <w:rsid w:val="00CE32D1"/>
    <w:rsid w:val="00CE3F5E"/>
    <w:rsid w:val="00CF2C10"/>
    <w:rsid w:val="00CF39C0"/>
    <w:rsid w:val="00CF6FF4"/>
    <w:rsid w:val="00CF7F85"/>
    <w:rsid w:val="00D007D7"/>
    <w:rsid w:val="00D00E76"/>
    <w:rsid w:val="00D0366E"/>
    <w:rsid w:val="00D07386"/>
    <w:rsid w:val="00D077C0"/>
    <w:rsid w:val="00D10899"/>
    <w:rsid w:val="00D117B7"/>
    <w:rsid w:val="00D11C8E"/>
    <w:rsid w:val="00D12E20"/>
    <w:rsid w:val="00D14212"/>
    <w:rsid w:val="00D1571D"/>
    <w:rsid w:val="00D17113"/>
    <w:rsid w:val="00D174F2"/>
    <w:rsid w:val="00D17957"/>
    <w:rsid w:val="00D20265"/>
    <w:rsid w:val="00D22D2A"/>
    <w:rsid w:val="00D23BF0"/>
    <w:rsid w:val="00D24A38"/>
    <w:rsid w:val="00D257B7"/>
    <w:rsid w:val="00D262CB"/>
    <w:rsid w:val="00D26CD5"/>
    <w:rsid w:val="00D27F85"/>
    <w:rsid w:val="00D301A7"/>
    <w:rsid w:val="00D301D3"/>
    <w:rsid w:val="00D31FDB"/>
    <w:rsid w:val="00D34030"/>
    <w:rsid w:val="00D3426C"/>
    <w:rsid w:val="00D360E2"/>
    <w:rsid w:val="00D361EF"/>
    <w:rsid w:val="00D36611"/>
    <w:rsid w:val="00D36823"/>
    <w:rsid w:val="00D41C45"/>
    <w:rsid w:val="00D41CAA"/>
    <w:rsid w:val="00D44276"/>
    <w:rsid w:val="00D46B45"/>
    <w:rsid w:val="00D478AB"/>
    <w:rsid w:val="00D52179"/>
    <w:rsid w:val="00D526ED"/>
    <w:rsid w:val="00D5351B"/>
    <w:rsid w:val="00D5376D"/>
    <w:rsid w:val="00D5551C"/>
    <w:rsid w:val="00D56981"/>
    <w:rsid w:val="00D60088"/>
    <w:rsid w:val="00D6099A"/>
    <w:rsid w:val="00D60B7D"/>
    <w:rsid w:val="00D6177A"/>
    <w:rsid w:val="00D62AB7"/>
    <w:rsid w:val="00D630AD"/>
    <w:rsid w:val="00D64BF4"/>
    <w:rsid w:val="00D65C4F"/>
    <w:rsid w:val="00D66A24"/>
    <w:rsid w:val="00D67ADB"/>
    <w:rsid w:val="00D704EF"/>
    <w:rsid w:val="00D73843"/>
    <w:rsid w:val="00D778CA"/>
    <w:rsid w:val="00D829F9"/>
    <w:rsid w:val="00D8342B"/>
    <w:rsid w:val="00D84E9D"/>
    <w:rsid w:val="00D8633E"/>
    <w:rsid w:val="00D87A0F"/>
    <w:rsid w:val="00D91927"/>
    <w:rsid w:val="00D93161"/>
    <w:rsid w:val="00D95BE4"/>
    <w:rsid w:val="00D96B52"/>
    <w:rsid w:val="00D96D8F"/>
    <w:rsid w:val="00DA2447"/>
    <w:rsid w:val="00DA2AD7"/>
    <w:rsid w:val="00DA3A19"/>
    <w:rsid w:val="00DA4D8B"/>
    <w:rsid w:val="00DA5466"/>
    <w:rsid w:val="00DA633F"/>
    <w:rsid w:val="00DB1C50"/>
    <w:rsid w:val="00DB26CB"/>
    <w:rsid w:val="00DB523B"/>
    <w:rsid w:val="00DC086F"/>
    <w:rsid w:val="00DC1D4D"/>
    <w:rsid w:val="00DC222F"/>
    <w:rsid w:val="00DC4438"/>
    <w:rsid w:val="00DC4466"/>
    <w:rsid w:val="00DC454D"/>
    <w:rsid w:val="00DC54F8"/>
    <w:rsid w:val="00DC6963"/>
    <w:rsid w:val="00DC74FE"/>
    <w:rsid w:val="00DD172F"/>
    <w:rsid w:val="00DD1A2C"/>
    <w:rsid w:val="00DD236B"/>
    <w:rsid w:val="00DD377B"/>
    <w:rsid w:val="00DD4ADE"/>
    <w:rsid w:val="00DD5637"/>
    <w:rsid w:val="00DD5AA0"/>
    <w:rsid w:val="00DD60D4"/>
    <w:rsid w:val="00DD655E"/>
    <w:rsid w:val="00DD6AA2"/>
    <w:rsid w:val="00DD744E"/>
    <w:rsid w:val="00DE03D3"/>
    <w:rsid w:val="00DE0B5C"/>
    <w:rsid w:val="00DE2A44"/>
    <w:rsid w:val="00DE6FBB"/>
    <w:rsid w:val="00DE75AC"/>
    <w:rsid w:val="00DF0D7D"/>
    <w:rsid w:val="00DF16F8"/>
    <w:rsid w:val="00DF23CC"/>
    <w:rsid w:val="00DF2C7D"/>
    <w:rsid w:val="00DF2F08"/>
    <w:rsid w:val="00DF405A"/>
    <w:rsid w:val="00DF50F1"/>
    <w:rsid w:val="00DF5652"/>
    <w:rsid w:val="00E00DA9"/>
    <w:rsid w:val="00E02C29"/>
    <w:rsid w:val="00E03628"/>
    <w:rsid w:val="00E044D0"/>
    <w:rsid w:val="00E05A9E"/>
    <w:rsid w:val="00E0704B"/>
    <w:rsid w:val="00E07DEE"/>
    <w:rsid w:val="00E107D0"/>
    <w:rsid w:val="00E13976"/>
    <w:rsid w:val="00E1645F"/>
    <w:rsid w:val="00E16F80"/>
    <w:rsid w:val="00E21232"/>
    <w:rsid w:val="00E2165F"/>
    <w:rsid w:val="00E21936"/>
    <w:rsid w:val="00E22F3F"/>
    <w:rsid w:val="00E23784"/>
    <w:rsid w:val="00E24108"/>
    <w:rsid w:val="00E26C70"/>
    <w:rsid w:val="00E26F27"/>
    <w:rsid w:val="00E32B72"/>
    <w:rsid w:val="00E32F4E"/>
    <w:rsid w:val="00E3379D"/>
    <w:rsid w:val="00E33A66"/>
    <w:rsid w:val="00E33A6C"/>
    <w:rsid w:val="00E34CCE"/>
    <w:rsid w:val="00E36FEF"/>
    <w:rsid w:val="00E37554"/>
    <w:rsid w:val="00E40E28"/>
    <w:rsid w:val="00E436EE"/>
    <w:rsid w:val="00E43B6C"/>
    <w:rsid w:val="00E477B7"/>
    <w:rsid w:val="00E47CFD"/>
    <w:rsid w:val="00E50348"/>
    <w:rsid w:val="00E52AC0"/>
    <w:rsid w:val="00E53CD6"/>
    <w:rsid w:val="00E56263"/>
    <w:rsid w:val="00E60021"/>
    <w:rsid w:val="00E60B72"/>
    <w:rsid w:val="00E60C2C"/>
    <w:rsid w:val="00E66A8F"/>
    <w:rsid w:val="00E67294"/>
    <w:rsid w:val="00E674BA"/>
    <w:rsid w:val="00E703D7"/>
    <w:rsid w:val="00E7240C"/>
    <w:rsid w:val="00E72BCE"/>
    <w:rsid w:val="00E75748"/>
    <w:rsid w:val="00E8085F"/>
    <w:rsid w:val="00E814E9"/>
    <w:rsid w:val="00E855CB"/>
    <w:rsid w:val="00E87BE4"/>
    <w:rsid w:val="00E901B6"/>
    <w:rsid w:val="00E92B27"/>
    <w:rsid w:val="00E941BA"/>
    <w:rsid w:val="00E9628D"/>
    <w:rsid w:val="00E96618"/>
    <w:rsid w:val="00E96A49"/>
    <w:rsid w:val="00E97363"/>
    <w:rsid w:val="00E97AC6"/>
    <w:rsid w:val="00EA201D"/>
    <w:rsid w:val="00EA3616"/>
    <w:rsid w:val="00EA4558"/>
    <w:rsid w:val="00EA4C24"/>
    <w:rsid w:val="00EB04CE"/>
    <w:rsid w:val="00EB0F23"/>
    <w:rsid w:val="00EB123F"/>
    <w:rsid w:val="00EB1B45"/>
    <w:rsid w:val="00EB4DB9"/>
    <w:rsid w:val="00EB4F20"/>
    <w:rsid w:val="00EB5323"/>
    <w:rsid w:val="00EB5BF9"/>
    <w:rsid w:val="00EB5F79"/>
    <w:rsid w:val="00EB61E2"/>
    <w:rsid w:val="00EB6C95"/>
    <w:rsid w:val="00EB7119"/>
    <w:rsid w:val="00EB7B4B"/>
    <w:rsid w:val="00EC06B4"/>
    <w:rsid w:val="00EC0DDE"/>
    <w:rsid w:val="00EC152D"/>
    <w:rsid w:val="00EC268A"/>
    <w:rsid w:val="00EC41C3"/>
    <w:rsid w:val="00EC57BF"/>
    <w:rsid w:val="00EC670D"/>
    <w:rsid w:val="00ED0614"/>
    <w:rsid w:val="00ED151A"/>
    <w:rsid w:val="00ED349D"/>
    <w:rsid w:val="00ED36A8"/>
    <w:rsid w:val="00ED39DB"/>
    <w:rsid w:val="00ED43D3"/>
    <w:rsid w:val="00ED548B"/>
    <w:rsid w:val="00ED6694"/>
    <w:rsid w:val="00EE1756"/>
    <w:rsid w:val="00EE2D89"/>
    <w:rsid w:val="00EE2FA9"/>
    <w:rsid w:val="00EE3FFE"/>
    <w:rsid w:val="00EE6293"/>
    <w:rsid w:val="00EE6A58"/>
    <w:rsid w:val="00EE7521"/>
    <w:rsid w:val="00EF292E"/>
    <w:rsid w:val="00EF342A"/>
    <w:rsid w:val="00EF3C1B"/>
    <w:rsid w:val="00EF4A7A"/>
    <w:rsid w:val="00EF5280"/>
    <w:rsid w:val="00EF5665"/>
    <w:rsid w:val="00EF57A7"/>
    <w:rsid w:val="00EF7A65"/>
    <w:rsid w:val="00F049B6"/>
    <w:rsid w:val="00F04CA6"/>
    <w:rsid w:val="00F04FD8"/>
    <w:rsid w:val="00F05BEB"/>
    <w:rsid w:val="00F06C22"/>
    <w:rsid w:val="00F0766A"/>
    <w:rsid w:val="00F101DB"/>
    <w:rsid w:val="00F12528"/>
    <w:rsid w:val="00F126B1"/>
    <w:rsid w:val="00F14E2C"/>
    <w:rsid w:val="00F15A4F"/>
    <w:rsid w:val="00F17050"/>
    <w:rsid w:val="00F231DB"/>
    <w:rsid w:val="00F24F97"/>
    <w:rsid w:val="00F253B8"/>
    <w:rsid w:val="00F261B9"/>
    <w:rsid w:val="00F26FC5"/>
    <w:rsid w:val="00F30172"/>
    <w:rsid w:val="00F3051C"/>
    <w:rsid w:val="00F3104C"/>
    <w:rsid w:val="00F312A8"/>
    <w:rsid w:val="00F324FB"/>
    <w:rsid w:val="00F3278E"/>
    <w:rsid w:val="00F32FB5"/>
    <w:rsid w:val="00F335EC"/>
    <w:rsid w:val="00F36302"/>
    <w:rsid w:val="00F37367"/>
    <w:rsid w:val="00F40083"/>
    <w:rsid w:val="00F40599"/>
    <w:rsid w:val="00F40A47"/>
    <w:rsid w:val="00F412F2"/>
    <w:rsid w:val="00F41C7F"/>
    <w:rsid w:val="00F447BC"/>
    <w:rsid w:val="00F456A5"/>
    <w:rsid w:val="00F464ED"/>
    <w:rsid w:val="00F47763"/>
    <w:rsid w:val="00F47E25"/>
    <w:rsid w:val="00F47F4F"/>
    <w:rsid w:val="00F5014A"/>
    <w:rsid w:val="00F512AB"/>
    <w:rsid w:val="00F518FD"/>
    <w:rsid w:val="00F52642"/>
    <w:rsid w:val="00F52B84"/>
    <w:rsid w:val="00F52D77"/>
    <w:rsid w:val="00F531BD"/>
    <w:rsid w:val="00F5551C"/>
    <w:rsid w:val="00F600DC"/>
    <w:rsid w:val="00F607F0"/>
    <w:rsid w:val="00F617E6"/>
    <w:rsid w:val="00F61ECD"/>
    <w:rsid w:val="00F637FA"/>
    <w:rsid w:val="00F63FE4"/>
    <w:rsid w:val="00F64772"/>
    <w:rsid w:val="00F6507D"/>
    <w:rsid w:val="00F65272"/>
    <w:rsid w:val="00F67EAA"/>
    <w:rsid w:val="00F720A3"/>
    <w:rsid w:val="00F72EB0"/>
    <w:rsid w:val="00F73903"/>
    <w:rsid w:val="00F73A77"/>
    <w:rsid w:val="00F74351"/>
    <w:rsid w:val="00F75B64"/>
    <w:rsid w:val="00F77E85"/>
    <w:rsid w:val="00F80F27"/>
    <w:rsid w:val="00F81343"/>
    <w:rsid w:val="00F86101"/>
    <w:rsid w:val="00F86CDC"/>
    <w:rsid w:val="00F87810"/>
    <w:rsid w:val="00F90FF4"/>
    <w:rsid w:val="00F91256"/>
    <w:rsid w:val="00F92932"/>
    <w:rsid w:val="00F93942"/>
    <w:rsid w:val="00F94154"/>
    <w:rsid w:val="00F9542C"/>
    <w:rsid w:val="00F958E8"/>
    <w:rsid w:val="00F9642F"/>
    <w:rsid w:val="00F96AED"/>
    <w:rsid w:val="00F96C6F"/>
    <w:rsid w:val="00F9786F"/>
    <w:rsid w:val="00F97FEF"/>
    <w:rsid w:val="00FA1B66"/>
    <w:rsid w:val="00FA29E2"/>
    <w:rsid w:val="00FA3A29"/>
    <w:rsid w:val="00FA4E96"/>
    <w:rsid w:val="00FA5A64"/>
    <w:rsid w:val="00FB062C"/>
    <w:rsid w:val="00FB1341"/>
    <w:rsid w:val="00FB173E"/>
    <w:rsid w:val="00FB175D"/>
    <w:rsid w:val="00FB2E94"/>
    <w:rsid w:val="00FB4318"/>
    <w:rsid w:val="00FB4FA2"/>
    <w:rsid w:val="00FB5EF5"/>
    <w:rsid w:val="00FB5F05"/>
    <w:rsid w:val="00FB66EA"/>
    <w:rsid w:val="00FB6757"/>
    <w:rsid w:val="00FB6913"/>
    <w:rsid w:val="00FC12C1"/>
    <w:rsid w:val="00FC16B6"/>
    <w:rsid w:val="00FC2A17"/>
    <w:rsid w:val="00FC368A"/>
    <w:rsid w:val="00FC3C3D"/>
    <w:rsid w:val="00FC47F6"/>
    <w:rsid w:val="00FC559D"/>
    <w:rsid w:val="00FC73CF"/>
    <w:rsid w:val="00FC7BBE"/>
    <w:rsid w:val="00FC7FC0"/>
    <w:rsid w:val="00FD0C3D"/>
    <w:rsid w:val="00FD1D0A"/>
    <w:rsid w:val="00FD3DD8"/>
    <w:rsid w:val="00FD442F"/>
    <w:rsid w:val="00FD45DB"/>
    <w:rsid w:val="00FD522C"/>
    <w:rsid w:val="00FD5809"/>
    <w:rsid w:val="00FD5E45"/>
    <w:rsid w:val="00FD673F"/>
    <w:rsid w:val="00FE0E17"/>
    <w:rsid w:val="00FE2181"/>
    <w:rsid w:val="00FE3F19"/>
    <w:rsid w:val="00FF0351"/>
    <w:rsid w:val="00FF1C31"/>
    <w:rsid w:val="00FF28E8"/>
    <w:rsid w:val="00FF31B1"/>
    <w:rsid w:val="00FF517E"/>
    <w:rsid w:val="00FF5A27"/>
    <w:rsid w:val="00FF6C96"/>
    <w:rsid w:val="00FF7872"/>
    <w:rsid w:val="00FF79FF"/>
    <w:rsid w:val="00FF7A8D"/>
    <w:rsid w:val="096147F3"/>
    <w:rsid w:val="0F0686AD"/>
    <w:rsid w:val="1BC481AD"/>
    <w:rsid w:val="243B06D6"/>
    <w:rsid w:val="36D5B7FD"/>
    <w:rsid w:val="387318CB"/>
    <w:rsid w:val="3D7A6D44"/>
    <w:rsid w:val="4498B835"/>
    <w:rsid w:val="4D9294DF"/>
    <w:rsid w:val="5653BD43"/>
    <w:rsid w:val="6831A73E"/>
    <w:rsid w:val="6E9F2DED"/>
    <w:rsid w:val="6F7E2939"/>
    <w:rsid w:val="71FC117C"/>
    <w:rsid w:val="72E24CAB"/>
    <w:rsid w:val="7E36B5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15E8C0B-F021-4D6F-B068-12962871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D78CB"/>
    <w:pPr>
      <w:keepNext/>
      <w:spacing w:before="360" w:after="120"/>
      <w:ind w:left="720"/>
      <w:jc w:val="both"/>
      <w:outlineLvl w:val="0"/>
    </w:pPr>
    <w:rPr>
      <w:b/>
      <w:color w:val="000000"/>
      <w:sz w:val="32"/>
      <w:szCs w:val="32"/>
      <w:lang w:eastAsia="en-US"/>
    </w:rPr>
  </w:style>
  <w:style w:type="paragraph" w:styleId="Heading2">
    <w:name w:val="heading 2"/>
    <w:basedOn w:val="Normal"/>
    <w:next w:val="Normal"/>
    <w:link w:val="Heading2Char"/>
    <w:unhideWhenUsed/>
    <w:qFormat/>
    <w:rsid w:val="004D78CB"/>
    <w:pPr>
      <w:keepNext/>
      <w:keepLines/>
      <w:spacing w:before="360" w:after="120"/>
      <w:ind w:left="782"/>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D78CB"/>
    <w:pPr>
      <w:keepNext/>
      <w:keepLines/>
      <w:spacing w:before="240" w:after="120"/>
      <w:ind w:left="1225"/>
      <w:outlineLvl w:val="2"/>
    </w:pPr>
    <w:rPr>
      <w:b/>
      <w:bCs/>
    </w:rPr>
  </w:style>
  <w:style w:type="paragraph" w:styleId="Heading4">
    <w:name w:val="heading 4"/>
    <w:basedOn w:val="Normal"/>
    <w:next w:val="Normal"/>
    <w:link w:val="Heading4Char"/>
    <w:uiPriority w:val="9"/>
    <w:unhideWhenUsed/>
    <w:qFormat/>
    <w:rsid w:val="00FA1B66"/>
    <w:pPr>
      <w:keepNext/>
      <w:keepLines/>
      <w:numPr>
        <w:ilvl w:val="3"/>
        <w:numId w:val="3"/>
      </w:numPr>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8CB"/>
    <w:rPr>
      <w:rFonts w:ascii="Times New Roman" w:eastAsia="Times New Roman" w:hAnsi="Times New Roman" w:cs="Times New Roman"/>
      <w:b/>
      <w:color w:val="000000"/>
      <w:sz w:val="32"/>
      <w:szCs w:val="32"/>
    </w:rPr>
  </w:style>
  <w:style w:type="character" w:customStyle="1" w:styleId="Heading2Char">
    <w:name w:val="Heading 2 Char"/>
    <w:basedOn w:val="DefaultParagraphFont"/>
    <w:link w:val="Heading2"/>
    <w:rsid w:val="004D78CB"/>
    <w:rPr>
      <w:rFonts w:ascii="Times New Roman" w:hAnsi="Times New Roman" w:eastAsiaTheme="majorEastAsia" w:cs="Times New Roman"/>
      <w:b/>
      <w:bCs/>
      <w:sz w:val="28"/>
      <w:szCs w:val="28"/>
      <w:lang w:eastAsia="lv-LV"/>
    </w:rPr>
  </w:style>
  <w:style w:type="character" w:customStyle="1" w:styleId="Heading3Char">
    <w:name w:val="Heading 3 Char"/>
    <w:basedOn w:val="DefaultParagraphFont"/>
    <w:link w:val="Heading3"/>
    <w:uiPriority w:val="9"/>
    <w:rsid w:val="004D78CB"/>
    <w:rPr>
      <w:rFonts w:ascii="Times New Roman" w:eastAsia="Times New Roman" w:hAnsi="Times New Roman" w:cs="Times New Roman"/>
      <w:b/>
      <w:bCs/>
      <w:sz w:val="24"/>
      <w:szCs w:val="24"/>
      <w:lang w:eastAsia="lv-LV"/>
    </w:rPr>
  </w:style>
  <w:style w:type="character" w:customStyle="1" w:styleId="Heading4Char">
    <w:name w:val="Heading 4 Char"/>
    <w:basedOn w:val="DefaultParagraphFont"/>
    <w:link w:val="Heading4"/>
    <w:uiPriority w:val="9"/>
    <w:rsid w:val="00FA1B66"/>
    <w:rPr>
      <w:rFonts w:ascii="Times New Roman" w:hAnsi="Times New Roman" w:eastAsiaTheme="majorEastAsia" w:cs="Times New Roman"/>
      <w:b/>
      <w:bCs/>
      <w:iCs/>
      <w:sz w:val="24"/>
      <w:szCs w:val="24"/>
      <w:lang w:eastAsia="lv-LV"/>
    </w:rPr>
  </w:style>
  <w:style w:type="character" w:customStyle="1" w:styleId="spelle">
    <w:name w:val="spelle"/>
    <w:basedOn w:val="DefaultParagraphFont"/>
    <w:rsid w:val="004D78CB"/>
    <w:rPr>
      <w:rFonts w:cs="Times New Roman"/>
    </w:rPr>
  </w:style>
  <w:style w:type="paragraph" w:styleId="ListParagraph">
    <w:name w:val="List Paragraph"/>
    <w:aliases w:val="2"/>
    <w:basedOn w:val="Normal"/>
    <w:link w:val="ListParagraphChar"/>
    <w:uiPriority w:val="34"/>
    <w:qFormat/>
    <w:rsid w:val="004D78CB"/>
    <w:pPr>
      <w:ind w:left="720"/>
      <w:contextualSpacing/>
    </w:pPr>
  </w:style>
  <w:style w:type="paragraph" w:styleId="BodyText">
    <w:name w:val="Body Text"/>
    <w:basedOn w:val="Normal"/>
    <w:link w:val="BodyTextChar"/>
    <w:uiPriority w:val="99"/>
    <w:rsid w:val="004D78CB"/>
    <w:pPr>
      <w:jc w:val="both"/>
    </w:pPr>
    <w:rPr>
      <w:sz w:val="28"/>
      <w:szCs w:val="28"/>
    </w:rPr>
  </w:style>
  <w:style w:type="character" w:customStyle="1" w:styleId="BodyTextChar">
    <w:name w:val="Body Text Char"/>
    <w:basedOn w:val="DefaultParagraphFont"/>
    <w:link w:val="BodyText"/>
    <w:uiPriority w:val="99"/>
    <w:rsid w:val="004D78CB"/>
    <w:rPr>
      <w:rFonts w:ascii="Times New Roman" w:eastAsia="Times New Roman" w:hAnsi="Times New Roman" w:cs="Times New Roman"/>
      <w:sz w:val="28"/>
      <w:szCs w:val="28"/>
      <w:lang w:eastAsia="lv-LV"/>
    </w:rPr>
  </w:style>
  <w:style w:type="paragraph" w:styleId="BalloonText">
    <w:name w:val="Balloon Text"/>
    <w:basedOn w:val="Normal"/>
    <w:link w:val="BalloonTextChar"/>
    <w:uiPriority w:val="99"/>
    <w:semiHidden/>
    <w:unhideWhenUsed/>
    <w:rsid w:val="004D78CB"/>
    <w:rPr>
      <w:rFonts w:ascii="Tahoma" w:hAnsi="Tahoma" w:cs="Tahoma"/>
      <w:sz w:val="16"/>
      <w:szCs w:val="16"/>
    </w:rPr>
  </w:style>
  <w:style w:type="character" w:customStyle="1" w:styleId="BalloonTextChar">
    <w:name w:val="Balloon Text Char"/>
    <w:basedOn w:val="DefaultParagraphFont"/>
    <w:link w:val="BalloonText"/>
    <w:uiPriority w:val="99"/>
    <w:semiHidden/>
    <w:rsid w:val="004D78CB"/>
    <w:rPr>
      <w:rFonts w:ascii="Tahoma" w:eastAsia="Times New Roman" w:hAnsi="Tahoma" w:cs="Tahoma"/>
      <w:sz w:val="16"/>
      <w:szCs w:val="16"/>
      <w:lang w:eastAsia="lv-LV"/>
    </w:rPr>
  </w:style>
  <w:style w:type="table" w:styleId="TableGrid">
    <w:name w:val="Table Grid"/>
    <w:basedOn w:val="TableNormal"/>
    <w:uiPriority w:val="39"/>
    <w:rsid w:val="004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78CB"/>
    <w:rPr>
      <w:color w:val="0000FF" w:themeColor="hyperlink"/>
      <w:u w:val="single"/>
    </w:rPr>
  </w:style>
  <w:style w:type="character" w:styleId="CommentReference">
    <w:name w:val="annotation reference"/>
    <w:basedOn w:val="DefaultParagraphFont"/>
    <w:uiPriority w:val="99"/>
    <w:unhideWhenUsed/>
    <w:rsid w:val="004D78CB"/>
    <w:rPr>
      <w:sz w:val="16"/>
      <w:szCs w:val="16"/>
    </w:rPr>
  </w:style>
  <w:style w:type="paragraph" w:styleId="CommentText">
    <w:name w:val="annotation text"/>
    <w:basedOn w:val="Normal"/>
    <w:link w:val="CommentTextChar"/>
    <w:uiPriority w:val="99"/>
    <w:unhideWhenUsed/>
    <w:rsid w:val="004D78C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D78CB"/>
    <w:rPr>
      <w:sz w:val="20"/>
      <w:szCs w:val="20"/>
    </w:rPr>
  </w:style>
  <w:style w:type="paragraph" w:customStyle="1" w:styleId="Tablelist">
    <w:name w:val="Table list"/>
    <w:basedOn w:val="Normal"/>
    <w:rsid w:val="004D78CB"/>
    <w:pPr>
      <w:numPr>
        <w:numId w:val="1"/>
      </w:numPr>
    </w:pPr>
    <w:rPr>
      <w:szCs w:val="20"/>
      <w:lang w:eastAsia="en-US"/>
    </w:rPr>
  </w:style>
  <w:style w:type="character" w:styleId="Strong">
    <w:name w:val="Strong"/>
    <w:uiPriority w:val="22"/>
    <w:qFormat/>
    <w:rsid w:val="004D78CB"/>
    <w:rPr>
      <w:b/>
      <w:bCs/>
    </w:rPr>
  </w:style>
  <w:style w:type="character" w:customStyle="1" w:styleId="iubsearch-id">
    <w:name w:val="iubsearch-id"/>
    <w:basedOn w:val="DefaultParagraphFont"/>
    <w:rsid w:val="004D78CB"/>
  </w:style>
  <w:style w:type="paragraph" w:customStyle="1" w:styleId="naisc">
    <w:name w:val="naisc"/>
    <w:basedOn w:val="Normal"/>
    <w:rsid w:val="004D78CB"/>
    <w:pPr>
      <w:spacing w:before="75" w:after="75"/>
      <w:jc w:val="center"/>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4D78CB"/>
    <w:rPr>
      <w:rFonts w:asciiTheme="minorHAnsi" w:eastAsiaTheme="minorEastAsia" w:hAnsiTheme="minorHAnsi" w:cstheme="minorBidi"/>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link w:val="FootnoteText"/>
    <w:uiPriority w:val="99"/>
    <w:rsid w:val="004D78CB"/>
    <w:rPr>
      <w:rFonts w:eastAsiaTheme="minorEastAsia"/>
      <w:sz w:val="20"/>
      <w:szCs w:val="20"/>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4D78CB"/>
    <w:rPr>
      <w:vertAlign w:val="superscript"/>
    </w:rPr>
  </w:style>
  <w:style w:type="character" w:customStyle="1" w:styleId="apple-style-span">
    <w:name w:val="apple-style-span"/>
    <w:rsid w:val="004D78CB"/>
  </w:style>
  <w:style w:type="paragraph" w:styleId="PlainText">
    <w:name w:val="Plain Text"/>
    <w:basedOn w:val="Normal"/>
    <w:link w:val="PlainTextChar"/>
    <w:uiPriority w:val="99"/>
    <w:unhideWhenUsed/>
    <w:rsid w:val="004D78C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78CB"/>
    <w:rPr>
      <w:rFonts w:ascii="Consolas" w:eastAsia="Calibri" w:hAnsi="Consolas" w:cs="Times New Roman"/>
      <w:sz w:val="21"/>
      <w:szCs w:val="21"/>
    </w:rPr>
  </w:style>
  <w:style w:type="paragraph" w:customStyle="1" w:styleId="Default">
    <w:name w:val="Default"/>
    <w:rsid w:val="004D78CB"/>
    <w:pPr>
      <w:autoSpaceDE w:val="0"/>
      <w:autoSpaceDN w:val="0"/>
      <w:adjustRightInd w:val="0"/>
      <w:spacing w:after="0" w:line="240" w:lineRule="auto"/>
    </w:pPr>
    <w:rPr>
      <w:rFonts w:ascii="Arial" w:hAnsi="Arial" w:eastAsiaTheme="minorEastAsia" w:cs="Arial"/>
      <w:color w:val="000000"/>
      <w:sz w:val="24"/>
      <w:szCs w:val="24"/>
      <w:lang w:eastAsia="lv-LV"/>
    </w:rPr>
  </w:style>
  <w:style w:type="paragraph" w:styleId="TOCHeading">
    <w:name w:val="TOC Heading"/>
    <w:basedOn w:val="Heading1"/>
    <w:next w:val="Normal"/>
    <w:uiPriority w:val="39"/>
    <w:unhideWhenUsed/>
    <w:qFormat/>
    <w:rsid w:val="004D78CB"/>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qFormat/>
    <w:rsid w:val="004D78CB"/>
    <w:pPr>
      <w:spacing w:after="100"/>
    </w:pPr>
  </w:style>
  <w:style w:type="paragraph" w:styleId="Header">
    <w:name w:val="header"/>
    <w:basedOn w:val="Normal"/>
    <w:link w:val="HeaderChar"/>
    <w:uiPriority w:val="99"/>
    <w:unhideWhenUsed/>
    <w:rsid w:val="004D78CB"/>
    <w:pPr>
      <w:tabs>
        <w:tab w:val="center" w:pos="4153"/>
        <w:tab w:val="right" w:pos="8306"/>
      </w:tabs>
    </w:pPr>
  </w:style>
  <w:style w:type="character" w:customStyle="1" w:styleId="HeaderChar">
    <w:name w:val="Header Char"/>
    <w:basedOn w:val="DefaultParagraphFont"/>
    <w:link w:val="Header"/>
    <w:uiPriority w:val="99"/>
    <w:rsid w:val="004D78C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D78CB"/>
    <w:pPr>
      <w:tabs>
        <w:tab w:val="center" w:pos="4153"/>
        <w:tab w:val="right" w:pos="8306"/>
      </w:tabs>
    </w:pPr>
  </w:style>
  <w:style w:type="character" w:customStyle="1" w:styleId="FooterChar">
    <w:name w:val="Footer Char"/>
    <w:basedOn w:val="DefaultParagraphFont"/>
    <w:link w:val="Footer"/>
    <w:uiPriority w:val="99"/>
    <w:rsid w:val="004D78CB"/>
    <w:rPr>
      <w:rFonts w:ascii="Times New Roman" w:eastAsia="Times New Roman" w:hAnsi="Times New Roman" w:cs="Times New Roman"/>
      <w:sz w:val="24"/>
      <w:szCs w:val="24"/>
      <w:lang w:eastAsia="lv-LV"/>
    </w:rPr>
  </w:style>
  <w:style w:type="paragraph" w:styleId="Title">
    <w:name w:val="Title"/>
    <w:basedOn w:val="Normal"/>
    <w:next w:val="Normal"/>
    <w:link w:val="TitleChar"/>
    <w:uiPriority w:val="10"/>
    <w:qFormat/>
    <w:rsid w:val="004D78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78CB"/>
    <w:rPr>
      <w:rFonts w:asciiTheme="majorHAnsi" w:eastAsiaTheme="majorEastAsia" w:hAnsiTheme="majorHAnsi" w:cstheme="majorBidi"/>
      <w:color w:val="17365D" w:themeColor="text2" w:themeShade="BF"/>
      <w:spacing w:val="5"/>
      <w:kern w:val="28"/>
      <w:sz w:val="52"/>
      <w:szCs w:val="52"/>
      <w:lang w:eastAsia="lv-LV"/>
    </w:rPr>
  </w:style>
  <w:style w:type="paragraph" w:styleId="TOC2">
    <w:name w:val="toc 2"/>
    <w:basedOn w:val="Normal"/>
    <w:next w:val="Normal"/>
    <w:autoRedefine/>
    <w:uiPriority w:val="39"/>
    <w:unhideWhenUsed/>
    <w:qFormat/>
    <w:rsid w:val="004D78CB"/>
    <w:pPr>
      <w:spacing w:after="100"/>
      <w:ind w:left="240"/>
    </w:pPr>
  </w:style>
  <w:style w:type="paragraph" w:styleId="CommentSubject">
    <w:name w:val="annotation subject"/>
    <w:basedOn w:val="CommentText"/>
    <w:next w:val="CommentText"/>
    <w:link w:val="CommentSubjectChar"/>
    <w:uiPriority w:val="99"/>
    <w:semiHidden/>
    <w:unhideWhenUsed/>
    <w:rsid w:val="004D78C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D78CB"/>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4D78CB"/>
    <w:rPr>
      <w:color w:val="800080"/>
      <w:u w:val="single"/>
    </w:rPr>
  </w:style>
  <w:style w:type="paragraph" w:customStyle="1" w:styleId="font5">
    <w:name w:val="font5"/>
    <w:basedOn w:val="Normal"/>
    <w:rsid w:val="004D78CB"/>
    <w:pPr>
      <w:spacing w:before="100" w:beforeAutospacing="1" w:after="100" w:afterAutospacing="1"/>
    </w:pPr>
    <w:rPr>
      <w:color w:val="000000"/>
      <w:sz w:val="20"/>
      <w:szCs w:val="20"/>
    </w:rPr>
  </w:style>
  <w:style w:type="paragraph" w:customStyle="1" w:styleId="xl94">
    <w:name w:val="xl94"/>
    <w:basedOn w:val="Normal"/>
    <w:rsid w:val="004D78CB"/>
    <w:pPr>
      <w:spacing w:before="100" w:beforeAutospacing="1" w:after="100" w:afterAutospacing="1"/>
    </w:pPr>
  </w:style>
  <w:style w:type="paragraph" w:customStyle="1" w:styleId="xl95">
    <w:name w:val="xl95"/>
    <w:basedOn w:val="Normal"/>
    <w:rsid w:val="004D78CB"/>
    <w:pPr>
      <w:shd w:val="clear" w:color="000000" w:fill="FFFFFF"/>
      <w:spacing w:before="100" w:beforeAutospacing="1" w:after="100" w:afterAutospacing="1"/>
      <w:jc w:val="center"/>
      <w:textAlignment w:val="center"/>
    </w:pPr>
    <w:rPr>
      <w:sz w:val="20"/>
      <w:szCs w:val="20"/>
    </w:rPr>
  </w:style>
  <w:style w:type="paragraph" w:customStyle="1" w:styleId="xl96">
    <w:name w:val="xl96"/>
    <w:basedOn w:val="Normal"/>
    <w:rsid w:val="004D78CB"/>
    <w:pP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4D78CB"/>
    <w:pPr>
      <w:spacing w:before="100" w:beforeAutospacing="1" w:after="100" w:afterAutospacing="1"/>
    </w:pPr>
  </w:style>
  <w:style w:type="paragraph" w:customStyle="1" w:styleId="xl98">
    <w:name w:val="xl98"/>
    <w:basedOn w:val="Normal"/>
    <w:rsid w:val="004D78CB"/>
    <w:pPr>
      <w:spacing w:before="100" w:beforeAutospacing="1" w:after="100" w:afterAutospacing="1"/>
    </w:pPr>
  </w:style>
  <w:style w:type="paragraph" w:customStyle="1" w:styleId="xl99">
    <w:name w:val="xl99"/>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3">
    <w:name w:val="xl103"/>
    <w:basedOn w:val="Normal"/>
    <w:rsid w:val="004D78CB"/>
    <w:pPr>
      <w:spacing w:before="100" w:beforeAutospacing="1" w:after="100" w:afterAutospacing="1"/>
      <w:jc w:val="center"/>
    </w:pPr>
  </w:style>
  <w:style w:type="paragraph" w:customStyle="1" w:styleId="xl104">
    <w:name w:val="xl10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5">
    <w:name w:val="xl105"/>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7">
    <w:name w:val="xl10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rPr>
  </w:style>
  <w:style w:type="paragraph" w:customStyle="1" w:styleId="xl110">
    <w:name w:val="xl110"/>
    <w:basedOn w:val="Normal"/>
    <w:rsid w:val="004D78C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style>
  <w:style w:type="paragraph" w:customStyle="1" w:styleId="xl111">
    <w:name w:val="xl11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Normal"/>
    <w:rsid w:val="004D78CB"/>
    <w:pPr>
      <w:spacing w:before="100" w:beforeAutospacing="1" w:after="100" w:afterAutospacing="1"/>
    </w:pPr>
    <w:rPr>
      <w:rFonts w:ascii="Arial Narrow" w:hAnsi="Arial Narrow"/>
      <w:b/>
      <w:bCs/>
    </w:rPr>
  </w:style>
  <w:style w:type="paragraph" w:customStyle="1" w:styleId="xl114">
    <w:name w:val="xl114"/>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6">
    <w:name w:val="xl11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rsid w:val="004D78CB"/>
    <w:pPr>
      <w:spacing w:before="100" w:beforeAutospacing="1" w:after="100" w:afterAutospacing="1"/>
      <w:jc w:val="center"/>
      <w:textAlignment w:val="center"/>
    </w:pPr>
    <w:rPr>
      <w:b/>
      <w:bCs/>
      <w:sz w:val="28"/>
      <w:szCs w:val="28"/>
    </w:rPr>
  </w:style>
  <w:style w:type="paragraph" w:customStyle="1" w:styleId="xl118">
    <w:name w:val="xl118"/>
    <w:basedOn w:val="Normal"/>
    <w:rsid w:val="004D78CB"/>
    <w:pPr>
      <w:spacing w:before="100" w:beforeAutospacing="1" w:after="100" w:afterAutospacing="1"/>
      <w:textAlignment w:val="center"/>
    </w:pPr>
  </w:style>
  <w:style w:type="paragraph" w:customStyle="1" w:styleId="xl119">
    <w:name w:val="xl11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0">
    <w:name w:val="xl12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3">
    <w:name w:val="xl12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4">
    <w:name w:val="xl12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5">
    <w:name w:val="xl12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7">
    <w:name w:val="xl12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29">
    <w:name w:val="xl12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0">
    <w:name w:val="xl13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1">
    <w:name w:val="xl13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2">
    <w:name w:val="xl13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3">
    <w:name w:val="xl13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4">
    <w:name w:val="xl13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5">
    <w:name w:val="xl13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7">
    <w:name w:val="xl13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8">
    <w:name w:val="xl13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9">
    <w:name w:val="xl13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0">
    <w:name w:val="xl140"/>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1">
    <w:name w:val="xl141"/>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2">
    <w:name w:val="xl142"/>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3">
    <w:name w:val="xl143"/>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44">
    <w:name w:val="xl144"/>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5">
    <w:name w:val="xl145"/>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48">
    <w:name w:val="xl14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9">
    <w:name w:val="xl14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0">
    <w:name w:val="xl15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000000"/>
    </w:rPr>
  </w:style>
  <w:style w:type="paragraph" w:customStyle="1" w:styleId="xl151">
    <w:name w:val="xl15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2">
    <w:name w:val="xl15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3">
    <w:name w:val="xl153"/>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54">
    <w:name w:val="xl15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55">
    <w:name w:val="xl155"/>
    <w:basedOn w:val="Normal"/>
    <w:rsid w:val="004D78CB"/>
    <w:pPr>
      <w:spacing w:before="100" w:beforeAutospacing="1" w:after="100" w:afterAutospacing="1"/>
      <w:jc w:val="center"/>
      <w:textAlignment w:val="center"/>
    </w:pPr>
  </w:style>
  <w:style w:type="paragraph" w:customStyle="1" w:styleId="xl156">
    <w:name w:val="xl156"/>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Normal"/>
    <w:rsid w:val="004D78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60">
    <w:name w:val="xl16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1">
    <w:name w:val="xl161"/>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62">
    <w:name w:val="xl162"/>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3">
    <w:name w:val="xl163"/>
    <w:basedOn w:val="Normal"/>
    <w:rsid w:val="004D78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64">
    <w:name w:val="xl164"/>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5">
    <w:name w:val="xl165"/>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6">
    <w:name w:val="xl166"/>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right"/>
      <w:textAlignment w:val="center"/>
    </w:pPr>
    <w:rPr>
      <w:b/>
      <w:bCs/>
      <w:color w:val="000000"/>
    </w:rPr>
  </w:style>
  <w:style w:type="paragraph" w:customStyle="1" w:styleId="xl167">
    <w:name w:val="xl167"/>
    <w:basedOn w:val="Normal"/>
    <w:rsid w:val="004D78C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textAlignment w:val="center"/>
    </w:pPr>
    <w:rPr>
      <w:b/>
      <w:bCs/>
      <w:color w:val="000000"/>
    </w:rPr>
  </w:style>
  <w:style w:type="paragraph" w:customStyle="1" w:styleId="xl168">
    <w:name w:val="xl168"/>
    <w:basedOn w:val="Normal"/>
    <w:rsid w:val="004D78CB"/>
    <w:pPr>
      <w:pBdr>
        <w:top w:val="single" w:sz="8" w:space="0" w:color="auto"/>
        <w:left w:val="single" w:sz="4" w:space="0" w:color="auto"/>
        <w:bottom w:val="single" w:sz="8" w:space="0" w:color="auto"/>
      </w:pBdr>
      <w:shd w:val="clear" w:color="000000" w:fill="D8D8D8"/>
      <w:spacing w:before="100" w:beforeAutospacing="1" w:after="100" w:afterAutospacing="1"/>
      <w:jc w:val="center"/>
      <w:textAlignment w:val="center"/>
    </w:pPr>
    <w:rPr>
      <w:b/>
      <w:bCs/>
    </w:rPr>
  </w:style>
  <w:style w:type="paragraph" w:customStyle="1" w:styleId="xl169">
    <w:name w:val="xl169"/>
    <w:basedOn w:val="Normal"/>
    <w:rsid w:val="004D78CB"/>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170">
    <w:name w:val="xl170"/>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1">
    <w:name w:val="xl171"/>
    <w:basedOn w:val="Normal"/>
    <w:rsid w:val="004D78C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2">
    <w:name w:val="xl172"/>
    <w:basedOn w:val="Normal"/>
    <w:rsid w:val="004D78C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color w:val="000000"/>
    </w:rPr>
  </w:style>
  <w:style w:type="paragraph" w:customStyle="1" w:styleId="xl173">
    <w:name w:val="xl173"/>
    <w:basedOn w:val="Normal"/>
    <w:rsid w:val="004D78C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74">
    <w:name w:val="xl174"/>
    <w:basedOn w:val="Normal"/>
    <w:rsid w:val="004D78CB"/>
    <w:pPr>
      <w:spacing w:before="100" w:beforeAutospacing="1" w:after="100" w:afterAutospacing="1"/>
      <w:jc w:val="center"/>
      <w:textAlignment w:val="center"/>
    </w:pPr>
  </w:style>
  <w:style w:type="paragraph" w:styleId="NormalWeb">
    <w:name w:val="Normal (Web)"/>
    <w:aliases w:val="Normal (Web) Char Char Char Char,Normal (Web) Char Char Char Char Char"/>
    <w:basedOn w:val="Normal"/>
    <w:uiPriority w:val="99"/>
    <w:rsid w:val="004D78CB"/>
    <w:pPr>
      <w:spacing w:before="100" w:beforeAutospacing="1" w:after="100" w:afterAutospacing="1"/>
    </w:pPr>
  </w:style>
  <w:style w:type="paragraph" w:styleId="NoSpacing">
    <w:name w:val="No Spacing"/>
    <w:uiPriority w:val="1"/>
    <w:qFormat/>
    <w:rsid w:val="004D78CB"/>
    <w:pPr>
      <w:spacing w:after="0" w:line="240" w:lineRule="auto"/>
    </w:pPr>
  </w:style>
  <w:style w:type="character" w:styleId="Emphasis">
    <w:name w:val="Emphasis"/>
    <w:basedOn w:val="DefaultParagraphFont"/>
    <w:uiPriority w:val="20"/>
    <w:qFormat/>
    <w:rsid w:val="004D78CB"/>
    <w:rPr>
      <w:i/>
      <w:iCs/>
    </w:rPr>
  </w:style>
  <w:style w:type="paragraph" w:customStyle="1" w:styleId="Tablebody">
    <w:name w:val="Table body"/>
    <w:basedOn w:val="Normal"/>
    <w:link w:val="TablebodyChar"/>
    <w:uiPriority w:val="99"/>
    <w:qFormat/>
    <w:rsid w:val="004D78CB"/>
    <w:pPr>
      <w:spacing w:before="40" w:after="40"/>
    </w:pPr>
    <w:rPr>
      <w:rFonts w:ascii="Arial" w:hAnsi="Arial"/>
      <w:sz w:val="20"/>
      <w:szCs w:val="22"/>
      <w:lang w:eastAsia="en-US"/>
    </w:rPr>
  </w:style>
  <w:style w:type="character" w:customStyle="1" w:styleId="TablebodyChar">
    <w:name w:val="Table body Char"/>
    <w:link w:val="Tablebody"/>
    <w:uiPriority w:val="99"/>
    <w:locked/>
    <w:rsid w:val="004D78CB"/>
    <w:rPr>
      <w:rFonts w:ascii="Arial" w:eastAsia="Times New Roman" w:hAnsi="Arial" w:cs="Times New Roman"/>
      <w:sz w:val="20"/>
    </w:rPr>
  </w:style>
  <w:style w:type="paragraph" w:styleId="ListBullet">
    <w:name w:val="List Bullet"/>
    <w:basedOn w:val="Normal"/>
    <w:uiPriority w:val="99"/>
    <w:unhideWhenUsed/>
    <w:rsid w:val="004D78CB"/>
    <w:pPr>
      <w:numPr>
        <w:numId w:val="2"/>
      </w:numPr>
      <w:spacing w:after="200" w:line="276" w:lineRule="auto"/>
      <w:contextualSpacing/>
    </w:pPr>
    <w:rPr>
      <w:rFonts w:ascii="Calibri" w:eastAsia="Calibri" w:hAnsi="Calibri"/>
      <w:sz w:val="22"/>
      <w:szCs w:val="22"/>
      <w:lang w:eastAsia="en-US"/>
    </w:rPr>
  </w:style>
  <w:style w:type="paragraph" w:styleId="BodyText2">
    <w:name w:val="Body Text 2"/>
    <w:basedOn w:val="Normal"/>
    <w:link w:val="BodyText2Char"/>
    <w:uiPriority w:val="99"/>
    <w:semiHidden/>
    <w:unhideWhenUsed/>
    <w:rsid w:val="004D78CB"/>
    <w:pPr>
      <w:spacing w:after="120" w:line="480" w:lineRule="auto"/>
    </w:pPr>
  </w:style>
  <w:style w:type="character" w:customStyle="1" w:styleId="BodyText2Char">
    <w:name w:val="Body Text 2 Char"/>
    <w:basedOn w:val="DefaultParagraphFont"/>
    <w:link w:val="BodyText2"/>
    <w:uiPriority w:val="99"/>
    <w:semiHidden/>
    <w:rsid w:val="004D78CB"/>
    <w:rPr>
      <w:rFonts w:ascii="Times New Roman" w:eastAsia="Times New Roman" w:hAnsi="Times New Roman" w:cs="Times New Roman"/>
      <w:sz w:val="24"/>
      <w:szCs w:val="24"/>
      <w:lang w:eastAsia="lv-LV"/>
    </w:rPr>
  </w:style>
  <w:style w:type="paragraph" w:customStyle="1" w:styleId="BodyText1">
    <w:name w:val="Body Text1"/>
    <w:basedOn w:val="Normal"/>
    <w:link w:val="BodytextChar0"/>
    <w:autoRedefine/>
    <w:rsid w:val="004D78CB"/>
    <w:pPr>
      <w:widowControl w:val="0"/>
      <w:spacing w:line="300" w:lineRule="auto"/>
      <w:ind w:firstLine="540"/>
      <w:jc w:val="both"/>
    </w:pPr>
    <w:rPr>
      <w:spacing w:val="-4"/>
      <w:lang w:eastAsia="en-US"/>
    </w:rPr>
  </w:style>
  <w:style w:type="character" w:customStyle="1" w:styleId="BodytextChar0">
    <w:name w:val="Body text Char"/>
    <w:link w:val="BodyText1"/>
    <w:rsid w:val="004D78CB"/>
    <w:rPr>
      <w:rFonts w:ascii="Times New Roman" w:eastAsia="Times New Roman" w:hAnsi="Times New Roman" w:cs="Times New Roman"/>
      <w:spacing w:val="-4"/>
      <w:sz w:val="24"/>
      <w:szCs w:val="24"/>
    </w:rPr>
  </w:style>
  <w:style w:type="paragraph" w:styleId="Revision">
    <w:name w:val="Revision"/>
    <w:hidden/>
    <w:uiPriority w:val="99"/>
    <w:semiHidden/>
    <w:rsid w:val="004D78CB"/>
    <w:pPr>
      <w:spacing w:after="0" w:line="240" w:lineRule="auto"/>
    </w:pPr>
    <w:rPr>
      <w:rFonts w:ascii="Times New Roman" w:eastAsia="Times New Roman" w:hAnsi="Times New Roman" w:cs="Times New Roman"/>
      <w:sz w:val="24"/>
      <w:szCs w:val="24"/>
      <w:lang w:eastAsia="lv-LV"/>
    </w:rPr>
  </w:style>
  <w:style w:type="paragraph" w:customStyle="1" w:styleId="CharChar15">
    <w:name w:val="Char Char15"/>
    <w:basedOn w:val="Normal"/>
    <w:rsid w:val="004D78CB"/>
    <w:pPr>
      <w:spacing w:after="160" w:line="240" w:lineRule="exact"/>
    </w:pPr>
    <w:rPr>
      <w:rFonts w:ascii="Tahoma" w:hAnsi="Tahoma"/>
      <w:sz w:val="20"/>
      <w:szCs w:val="20"/>
      <w:lang w:val="en-US" w:eastAsia="en-US"/>
    </w:rPr>
  </w:style>
  <w:style w:type="paragraph" w:styleId="DocumentMap">
    <w:name w:val="Document Map"/>
    <w:basedOn w:val="Normal"/>
    <w:link w:val="DocumentMapChar"/>
    <w:uiPriority w:val="99"/>
    <w:semiHidden/>
    <w:unhideWhenUsed/>
    <w:rsid w:val="004D78CB"/>
    <w:rPr>
      <w:rFonts w:ascii="Tahoma" w:hAnsi="Tahoma" w:cs="Tahoma"/>
      <w:sz w:val="16"/>
      <w:szCs w:val="16"/>
    </w:rPr>
  </w:style>
  <w:style w:type="character" w:customStyle="1" w:styleId="DocumentMapChar">
    <w:name w:val="Document Map Char"/>
    <w:basedOn w:val="DefaultParagraphFont"/>
    <w:link w:val="DocumentMap"/>
    <w:uiPriority w:val="99"/>
    <w:semiHidden/>
    <w:rsid w:val="004D78CB"/>
    <w:rPr>
      <w:rFonts w:ascii="Tahoma" w:eastAsia="Times New Roman" w:hAnsi="Tahoma" w:cs="Tahoma"/>
      <w:sz w:val="16"/>
      <w:szCs w:val="16"/>
      <w:lang w:eastAsia="lv-LV"/>
    </w:rPr>
  </w:style>
  <w:style w:type="paragraph" w:styleId="TableofFigures">
    <w:name w:val="table of figures"/>
    <w:basedOn w:val="Normal"/>
    <w:next w:val="Normal"/>
    <w:uiPriority w:val="99"/>
    <w:unhideWhenUsed/>
    <w:rsid w:val="004D78CB"/>
  </w:style>
  <w:style w:type="paragraph" w:styleId="Caption">
    <w:name w:val="caption"/>
    <w:basedOn w:val="Normal"/>
    <w:next w:val="Normal"/>
    <w:uiPriority w:val="35"/>
    <w:unhideWhenUsed/>
    <w:qFormat/>
    <w:rsid w:val="004D78CB"/>
    <w:pPr>
      <w:spacing w:after="200"/>
    </w:pPr>
    <w:rPr>
      <w:b/>
      <w:bCs/>
      <w:color w:val="4F81BD" w:themeColor="accent1"/>
      <w:sz w:val="18"/>
      <w:szCs w:val="18"/>
    </w:rPr>
  </w:style>
  <w:style w:type="paragraph" w:styleId="TOC3">
    <w:name w:val="toc 3"/>
    <w:basedOn w:val="Normal"/>
    <w:next w:val="Normal"/>
    <w:autoRedefine/>
    <w:uiPriority w:val="39"/>
    <w:unhideWhenUsed/>
    <w:qFormat/>
    <w:rsid w:val="004D78CB"/>
    <w:pPr>
      <w:spacing w:after="100"/>
      <w:ind w:left="480"/>
    </w:pPr>
  </w:style>
  <w:style w:type="paragraph" w:styleId="TOC4">
    <w:name w:val="toc 4"/>
    <w:basedOn w:val="Normal"/>
    <w:next w:val="Normal"/>
    <w:autoRedefine/>
    <w:uiPriority w:val="39"/>
    <w:unhideWhenUsed/>
    <w:rsid w:val="00C646BA"/>
    <w:pPr>
      <w:spacing w:after="100"/>
      <w:ind w:left="720"/>
    </w:pPr>
  </w:style>
  <w:style w:type="character" w:customStyle="1" w:styleId="flexinput2">
    <w:name w:val="flexinput2"/>
    <w:basedOn w:val="DefaultParagraphFont"/>
    <w:rsid w:val="009371A1"/>
  </w:style>
  <w:style w:type="paragraph" w:customStyle="1" w:styleId="naisf">
    <w:name w:val="naisf"/>
    <w:basedOn w:val="Normal"/>
    <w:rsid w:val="009371A1"/>
    <w:pPr>
      <w:spacing w:before="75" w:after="75"/>
      <w:ind w:firstLine="375"/>
      <w:jc w:val="both"/>
    </w:pPr>
  </w:style>
  <w:style w:type="character" w:customStyle="1" w:styleId="ListParagraphChar">
    <w:name w:val="List Paragraph Char"/>
    <w:aliases w:val="2 Char"/>
    <w:basedOn w:val="DefaultParagraphFont"/>
    <w:link w:val="ListParagraph"/>
    <w:uiPriority w:val="34"/>
    <w:locked/>
    <w:rsid w:val="00F06C22"/>
    <w:rPr>
      <w:rFonts w:ascii="Times New Roman" w:eastAsia="Times New Roman" w:hAnsi="Times New Roman" w:cs="Times New Roman"/>
      <w:sz w:val="24"/>
      <w:szCs w:val="24"/>
      <w:lang w:eastAsia="lv-LV"/>
    </w:rPr>
  </w:style>
  <w:style w:type="paragraph" w:customStyle="1" w:styleId="liknoteik">
    <w:name w:val="lik_noteik"/>
    <w:basedOn w:val="Normal"/>
    <w:rsid w:val="00D301A7"/>
    <w:pPr>
      <w:spacing w:before="100" w:beforeAutospacing="1" w:after="100" w:afterAutospacing="1"/>
    </w:pPr>
  </w:style>
  <w:style w:type="paragraph" w:customStyle="1" w:styleId="likdat">
    <w:name w:val="lik_dat"/>
    <w:basedOn w:val="Normal"/>
    <w:rsid w:val="00D301A7"/>
    <w:pPr>
      <w:spacing w:before="100" w:beforeAutospacing="1" w:after="100" w:afterAutospacing="1"/>
    </w:pPr>
  </w:style>
  <w:style w:type="paragraph" w:customStyle="1" w:styleId="ISBodyText">
    <w:name w:val="IS Body Text"/>
    <w:basedOn w:val="Normal"/>
    <w:link w:val="ISBodyTextChar"/>
    <w:uiPriority w:val="99"/>
    <w:qFormat/>
    <w:rsid w:val="00720ED6"/>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character" w:customStyle="1" w:styleId="ISBodyTextChar">
    <w:name w:val="IS Body Text Char"/>
    <w:basedOn w:val="DefaultParagraphFont"/>
    <w:link w:val="ISBodyText"/>
    <w:uiPriority w:val="99"/>
    <w:rsid w:val="00720ED6"/>
    <w:rPr>
      <w:rFonts w:ascii="Segoe UI" w:eastAsia="MS Mincho" w:hAnsi="Segoe UI" w:cs="Segoe UI"/>
      <w:bCs/>
    </w:rPr>
  </w:style>
  <w:style w:type="paragraph" w:customStyle="1" w:styleId="VPTitle">
    <w:name w:val="VP Title"/>
    <w:basedOn w:val="Title"/>
    <w:qFormat/>
    <w:rsid w:val="003A3513"/>
    <w:pPr>
      <w:pBdr>
        <w:bottom w:val="none" w:sz="0" w:space="0" w:color="auto"/>
      </w:pBdr>
      <w:spacing w:before="80" w:after="0" w:line="360" w:lineRule="auto"/>
      <w:jc w:val="center"/>
    </w:pPr>
    <w:rPr>
      <w:rFonts w:ascii="Times New Roman" w:hAnsi="Times New Roman"/>
      <w:b/>
      <w:color w:val="auto"/>
      <w:spacing w:val="-10"/>
      <w:sz w:val="48"/>
      <w:szCs w:val="56"/>
      <w:lang w:eastAsia="en-US"/>
    </w:rPr>
  </w:style>
  <w:style w:type="paragraph" w:customStyle="1" w:styleId="VPBody">
    <w:name w:val="VP Body"/>
    <w:basedOn w:val="Normal"/>
    <w:link w:val="VPBodyChar"/>
    <w:qFormat/>
    <w:rsid w:val="003174A5"/>
    <w:pPr>
      <w:tabs>
        <w:tab w:val="left" w:pos="0"/>
      </w:tabs>
      <w:spacing w:before="80" w:after="80"/>
      <w:jc w:val="both"/>
    </w:pPr>
    <w:rPr>
      <w:rFonts w:eastAsiaTheme="minorHAnsi"/>
      <w:bCs/>
      <w:szCs w:val="22"/>
      <w:lang w:eastAsia="en-US"/>
    </w:rPr>
  </w:style>
  <w:style w:type="character" w:customStyle="1" w:styleId="VPBodyChar">
    <w:name w:val="VP Body Char"/>
    <w:basedOn w:val="DefaultParagraphFont"/>
    <w:link w:val="VPBody"/>
    <w:locked/>
    <w:rsid w:val="003174A5"/>
    <w:rPr>
      <w:rFonts w:ascii="Times New Roman" w:hAnsi="Times New Roman" w:cs="Times New Roman"/>
      <w:bCs/>
      <w:sz w:val="24"/>
    </w:rPr>
  </w:style>
  <w:style w:type="paragraph" w:customStyle="1" w:styleId="CharCharCharChar">
    <w:name w:val="Char Char Char Char"/>
    <w:aliases w:val="Char2"/>
    <w:basedOn w:val="Normal"/>
    <w:next w:val="Normal"/>
    <w:link w:val="FootnoteReference"/>
    <w:uiPriority w:val="99"/>
    <w:rsid w:val="00C026AA"/>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5F749B"/>
    <w:rPr>
      <w:sz w:val="20"/>
      <w:szCs w:val="20"/>
    </w:rPr>
  </w:style>
  <w:style w:type="character" w:customStyle="1" w:styleId="EndnoteTextChar">
    <w:name w:val="Endnote Text Char"/>
    <w:basedOn w:val="DefaultParagraphFont"/>
    <w:link w:val="EndnoteText"/>
    <w:uiPriority w:val="99"/>
    <w:semiHidden/>
    <w:rsid w:val="005F749B"/>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5F7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2.png@01D3809B.04744010"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AA511-EC2F-4434-B1AB-4396F4A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9437</Words>
  <Characters>5380</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Vides aizsardzības un reģionālās attīstības ministrija</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Vineta Brūvere</dc:creator>
  <cp:keywords>67026575, vineta.bruvere@varam.gov.lv</cp:keywords>
  <cp:lastModifiedBy>Vineta Brūvere</cp:lastModifiedBy>
  <cp:revision>13</cp:revision>
  <cp:lastPrinted>2017-08-23T09:56:00Z</cp:lastPrinted>
  <dcterms:created xsi:type="dcterms:W3CDTF">2017-12-29T10:38:00Z</dcterms:created>
  <dcterms:modified xsi:type="dcterms:W3CDTF">2018-01-30T09:33:00Z</dcterms:modified>
</cp:coreProperties>
</file>