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536" w:rsidRDefault="00F477F4" w:rsidP="003B5D3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  <w:lang w:eastAsia="en-US"/>
        </w:rPr>
        <w:t xml:space="preserve">Ministru kabineta noteikumu projekts </w:t>
      </w:r>
      <w:r w:rsidR="00F65035">
        <w:rPr>
          <w:b/>
          <w:bCs/>
          <w:sz w:val="28"/>
          <w:szCs w:val="28"/>
          <w:lang w:eastAsia="en-US"/>
        </w:rPr>
        <w:t>"</w:t>
      </w:r>
      <w:r w:rsidR="003B5D3D" w:rsidRPr="003B5D3D">
        <w:rPr>
          <w:b/>
          <w:bCs/>
          <w:sz w:val="28"/>
          <w:szCs w:val="28"/>
          <w:lang w:eastAsia="en-US"/>
        </w:rPr>
        <w:t>Gr</w:t>
      </w:r>
      <w:r w:rsidR="00F80E5C">
        <w:rPr>
          <w:b/>
          <w:bCs/>
          <w:sz w:val="28"/>
          <w:szCs w:val="28"/>
          <w:lang w:eastAsia="en-US"/>
        </w:rPr>
        <w:t>ozījums</w:t>
      </w:r>
      <w:r w:rsidR="003B5D3D">
        <w:rPr>
          <w:b/>
          <w:bCs/>
          <w:sz w:val="28"/>
          <w:szCs w:val="28"/>
          <w:lang w:eastAsia="en-US"/>
        </w:rPr>
        <w:t xml:space="preserve"> Ministru kabineta 2013. gada 21. maija noteikumos Nr. </w:t>
      </w:r>
      <w:r w:rsidR="003B5D3D" w:rsidRPr="003B5D3D">
        <w:rPr>
          <w:b/>
          <w:bCs/>
          <w:sz w:val="28"/>
          <w:szCs w:val="28"/>
          <w:lang w:eastAsia="en-US"/>
        </w:rPr>
        <w:t xml:space="preserve">255 </w:t>
      </w:r>
      <w:r w:rsidR="00F65035">
        <w:rPr>
          <w:b/>
          <w:bCs/>
          <w:sz w:val="28"/>
          <w:szCs w:val="28"/>
          <w:lang w:eastAsia="en-US"/>
        </w:rPr>
        <w:t>"</w:t>
      </w:r>
      <w:r w:rsidR="003B5D3D" w:rsidRPr="003B5D3D">
        <w:rPr>
          <w:b/>
          <w:bCs/>
          <w:sz w:val="28"/>
          <w:szCs w:val="28"/>
          <w:lang w:eastAsia="en-US"/>
        </w:rPr>
        <w:t>Kārtība, kādā reģistrējamas, novērtējamas, izmantojamas un izpērkamas diplomātiskās dāvanas un dāvanas, kas pieņemtas, pildot valsts amatpersonas pienākumus, un kas ir publiskas personas institūcijas īpašums</w:t>
      </w:r>
      <w:r w:rsidR="00F65035">
        <w:rPr>
          <w:b/>
          <w:bCs/>
          <w:sz w:val="28"/>
          <w:szCs w:val="28"/>
          <w:lang w:eastAsia="en-US"/>
        </w:rPr>
        <w:t>""</w:t>
      </w:r>
      <w:r w:rsidR="00850536" w:rsidRPr="006553E9">
        <w:rPr>
          <w:b/>
          <w:sz w:val="28"/>
          <w:szCs w:val="28"/>
        </w:rPr>
        <w:t xml:space="preserve"> (anotācija)</w:t>
      </w:r>
    </w:p>
    <w:p w:rsidR="00EB4F8E" w:rsidRPr="00EB4F8E" w:rsidRDefault="00EB4F8E" w:rsidP="003B5D3D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6466"/>
      </w:tblGrid>
      <w:tr w:rsidR="00EB4F8E" w:rsidRPr="00EB4F8E" w:rsidTr="006B44E3">
        <w:tc>
          <w:tcPr>
            <w:tcW w:w="5000" w:type="pct"/>
            <w:gridSpan w:val="2"/>
            <w:shd w:val="clear" w:color="auto" w:fill="auto"/>
          </w:tcPr>
          <w:p w:rsidR="00EB4F8E" w:rsidRPr="00EB4F8E" w:rsidRDefault="00EB4F8E" w:rsidP="006B44E3">
            <w:pPr>
              <w:jc w:val="center"/>
              <w:rPr>
                <w:b/>
              </w:rPr>
            </w:pPr>
            <w:r w:rsidRPr="00EB4F8E">
              <w:rPr>
                <w:b/>
                <w:bCs/>
                <w:iCs/>
                <w:lang w:val="sv-SE"/>
              </w:rPr>
              <w:t>Tiesību akta projekta anotācijas kopsavilkums</w:t>
            </w:r>
          </w:p>
        </w:tc>
      </w:tr>
      <w:tr w:rsidR="00EB4F8E" w:rsidRPr="00EB4F8E" w:rsidTr="00EB4F8E">
        <w:trPr>
          <w:trHeight w:val="425"/>
        </w:trPr>
        <w:tc>
          <w:tcPr>
            <w:tcW w:w="1432" w:type="pct"/>
            <w:shd w:val="clear" w:color="auto" w:fill="auto"/>
          </w:tcPr>
          <w:p w:rsidR="00EB4F8E" w:rsidRPr="00EB4F8E" w:rsidRDefault="00EB4F8E" w:rsidP="006B44E3">
            <w:r w:rsidRPr="00EB4F8E">
              <w:rPr>
                <w:iCs/>
                <w:lang w:val="sv-SE"/>
              </w:rPr>
              <w:t>Mērķis, risinājums un projekta spēkā stāšanās laiks (500 zīmes bez atstarpēm)</w:t>
            </w:r>
          </w:p>
        </w:tc>
        <w:tc>
          <w:tcPr>
            <w:tcW w:w="3568" w:type="pct"/>
            <w:shd w:val="clear" w:color="auto" w:fill="auto"/>
          </w:tcPr>
          <w:p w:rsidR="00EB4F8E" w:rsidRPr="00EB4F8E" w:rsidRDefault="00EB4F8E" w:rsidP="006B44E3">
            <w:pPr>
              <w:contextualSpacing/>
              <w:jc w:val="both"/>
            </w:pPr>
            <w:r w:rsidRPr="00EB4F8E">
              <w:t>Nav attiecināms.</w:t>
            </w:r>
          </w:p>
        </w:tc>
      </w:tr>
    </w:tbl>
    <w:p w:rsidR="00692077" w:rsidRPr="00EB4F8E" w:rsidRDefault="00692077" w:rsidP="00C64D8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075"/>
        <w:gridCol w:w="6466"/>
      </w:tblGrid>
      <w:tr w:rsidR="00EB4F8E" w:rsidRPr="00EB4F8E" w:rsidTr="00991998">
        <w:tc>
          <w:tcPr>
            <w:tcW w:w="5000" w:type="pct"/>
            <w:gridSpan w:val="3"/>
            <w:shd w:val="clear" w:color="auto" w:fill="auto"/>
          </w:tcPr>
          <w:p w:rsidR="00194614" w:rsidRPr="00EB4F8E" w:rsidRDefault="00C01716" w:rsidP="00E1369C">
            <w:pPr>
              <w:jc w:val="center"/>
              <w:rPr>
                <w:b/>
              </w:rPr>
            </w:pPr>
            <w:r w:rsidRPr="00EB4F8E">
              <w:rPr>
                <w:b/>
              </w:rPr>
              <w:t>I</w:t>
            </w:r>
            <w:r w:rsidR="00286804" w:rsidRPr="00EB4F8E">
              <w:rPr>
                <w:b/>
              </w:rPr>
              <w:t>.</w:t>
            </w:r>
            <w:r w:rsidRPr="00EB4F8E">
              <w:rPr>
                <w:b/>
              </w:rPr>
              <w:t xml:space="preserve">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EB4F8E">
                <w:rPr>
                  <w:b/>
                </w:rPr>
                <w:t>akta</w:t>
              </w:r>
            </w:smartTag>
            <w:r w:rsidRPr="00EB4F8E">
              <w:rPr>
                <w:b/>
              </w:rPr>
              <w:t xml:space="preserve"> projekta izstrādes nepieciešamība</w:t>
            </w:r>
          </w:p>
        </w:tc>
      </w:tr>
      <w:tr w:rsidR="00545B14" w:rsidRPr="00286804" w:rsidTr="00A00272">
        <w:trPr>
          <w:trHeight w:val="425"/>
        </w:trPr>
        <w:tc>
          <w:tcPr>
            <w:tcW w:w="287" w:type="pct"/>
            <w:shd w:val="clear" w:color="auto" w:fill="auto"/>
          </w:tcPr>
          <w:p w:rsidR="00B76D85" w:rsidRPr="00286804" w:rsidRDefault="00B76D85" w:rsidP="00CE7888">
            <w:r w:rsidRPr="00286804">
              <w:t>1.</w:t>
            </w:r>
          </w:p>
        </w:tc>
        <w:tc>
          <w:tcPr>
            <w:tcW w:w="1145" w:type="pct"/>
            <w:shd w:val="clear" w:color="auto" w:fill="auto"/>
          </w:tcPr>
          <w:p w:rsidR="00B76D85" w:rsidRPr="00286804" w:rsidRDefault="00B76D85" w:rsidP="00CE7888">
            <w:r w:rsidRPr="00286804">
              <w:t>Pamatojums</w:t>
            </w:r>
          </w:p>
        </w:tc>
        <w:tc>
          <w:tcPr>
            <w:tcW w:w="3568" w:type="pct"/>
            <w:shd w:val="clear" w:color="auto" w:fill="auto"/>
          </w:tcPr>
          <w:p w:rsidR="004B4F9D" w:rsidRPr="00286804" w:rsidRDefault="00E24B0C" w:rsidP="00F80E5C">
            <w:pPr>
              <w:contextualSpacing/>
              <w:jc w:val="both"/>
            </w:pPr>
            <w:r w:rsidRPr="00286804">
              <w:t xml:space="preserve">Valsts kanceleja pēc Saeimas Administrācijas iniciatīvas ir sagatavojusi Ministru kabineta noteikumu projektu </w:t>
            </w:r>
            <w:r w:rsidR="00F65035" w:rsidRPr="00286804">
              <w:t>"</w:t>
            </w:r>
            <w:r w:rsidRPr="00286804">
              <w:t>Grozījum</w:t>
            </w:r>
            <w:r w:rsidR="00F80E5C" w:rsidRPr="00286804">
              <w:t>s</w:t>
            </w:r>
            <w:r w:rsidRPr="00286804">
              <w:t xml:space="preserve"> Ministru kabineta 2013. gada 21. maija noteikumos Nr. 255 </w:t>
            </w:r>
            <w:r w:rsidR="00F65035" w:rsidRPr="00286804">
              <w:t>"</w:t>
            </w:r>
            <w:r w:rsidR="00F9749F" w:rsidRPr="00253F58">
              <w:t>Kārtība, kādā reģistrējamas, novērtējamas, izmantojamas un izpērkamas diplomātiskās dāvanas un dāvanas, kas pieņemtas, pildot valsts amatpersonas pienākumus, un kas ir publiska</w:t>
            </w:r>
            <w:r w:rsidR="00F9749F">
              <w:t>s personas institūcijas īpašums</w:t>
            </w:r>
            <w:r w:rsidR="00F65035" w:rsidRPr="00286804">
              <w:t>""</w:t>
            </w:r>
            <w:r w:rsidRPr="00286804">
              <w:t xml:space="preserve"> (turpmāk – noteikumu projekts)</w:t>
            </w:r>
          </w:p>
        </w:tc>
      </w:tr>
      <w:tr w:rsidR="00545B14" w:rsidRPr="00286804" w:rsidTr="00A00272">
        <w:tc>
          <w:tcPr>
            <w:tcW w:w="287" w:type="pct"/>
            <w:shd w:val="clear" w:color="auto" w:fill="auto"/>
          </w:tcPr>
          <w:p w:rsidR="00B76D85" w:rsidRPr="00286804" w:rsidRDefault="00B76D85" w:rsidP="00CE7888">
            <w:r w:rsidRPr="00286804">
              <w:t xml:space="preserve">2. </w:t>
            </w:r>
          </w:p>
        </w:tc>
        <w:tc>
          <w:tcPr>
            <w:tcW w:w="1145" w:type="pct"/>
            <w:shd w:val="clear" w:color="auto" w:fill="auto"/>
          </w:tcPr>
          <w:p w:rsidR="00B76D85" w:rsidRPr="00286804" w:rsidRDefault="00850536" w:rsidP="00286804">
            <w:r w:rsidRPr="00286804">
              <w:t>Pašreizējā situācija un problēmas, kuru risināšanai tiesību akta projekts izstrādāts, tiesiskā regulējuma mērķis un būtība</w:t>
            </w:r>
            <w:r w:rsidRPr="00286804" w:rsidDel="00850536">
              <w:rPr>
                <w:shd w:val="clear" w:color="auto" w:fill="FFFFFF"/>
              </w:rPr>
              <w:t xml:space="preserve"> </w:t>
            </w:r>
          </w:p>
        </w:tc>
        <w:tc>
          <w:tcPr>
            <w:tcW w:w="3568" w:type="pct"/>
            <w:shd w:val="clear" w:color="auto" w:fill="auto"/>
          </w:tcPr>
          <w:p w:rsidR="009575A1" w:rsidRPr="00286804" w:rsidRDefault="009575A1" w:rsidP="00A743CD">
            <w:pPr>
              <w:spacing w:after="120"/>
              <w:contextualSpacing/>
              <w:jc w:val="both"/>
            </w:pPr>
            <w:r w:rsidRPr="00286804">
              <w:t xml:space="preserve">Ministru kabineta 2013. gada 21. maija noteikumu Nr. 255 </w:t>
            </w:r>
            <w:r w:rsidR="00F65035" w:rsidRPr="00286804">
              <w:t>"</w:t>
            </w:r>
            <w:r w:rsidR="00F9749F" w:rsidRPr="00253F58">
              <w:t>Kārtība, kādā reģistrējamas, novērtējamas, izmantojamas un izpērkamas diplomātiskās dāvanas un dāvanas, kas pieņemtas, pildot valsts amatpersonas pienākumus, un kas ir publiska</w:t>
            </w:r>
            <w:r w:rsidR="00F9749F">
              <w:t>s personas institūcijas īpašums</w:t>
            </w:r>
            <w:r w:rsidR="00F65035" w:rsidRPr="00286804">
              <w:t>"</w:t>
            </w:r>
            <w:r w:rsidRPr="00286804">
              <w:t xml:space="preserve"> (turpmāk – noteikumi Nr.</w:t>
            </w:r>
            <w:r w:rsidR="00286804" w:rsidRPr="00286804">
              <w:t> </w:t>
            </w:r>
            <w:r w:rsidRPr="00286804">
              <w:t>255) 2. punkts nosaka nepieciešamību izveidot koleģiālu institūciju</w:t>
            </w:r>
            <w:r w:rsidR="00286804" w:rsidRPr="00286804">
              <w:t> </w:t>
            </w:r>
            <w:r w:rsidRPr="00286804">
              <w:t>– dāvanu novērtēšanas komisiju, kuras sastāvā darbojas attiecīgās institūcijas vai tās padotībā esošo iestāžu darbinieki (turpmāk – komisija).</w:t>
            </w:r>
          </w:p>
          <w:p w:rsidR="009B0E7C" w:rsidRPr="00286804" w:rsidRDefault="009575A1" w:rsidP="009575A1">
            <w:pPr>
              <w:spacing w:after="120"/>
              <w:contextualSpacing/>
              <w:jc w:val="both"/>
            </w:pPr>
            <w:r w:rsidRPr="00286804">
              <w:t>Noteikumu</w:t>
            </w:r>
            <w:r w:rsidR="00A743CD" w:rsidRPr="00286804">
              <w:t xml:space="preserve"> Nr. </w:t>
            </w:r>
            <w:r w:rsidRPr="00286804">
              <w:t>255</w:t>
            </w:r>
            <w:r w:rsidR="00A743CD" w:rsidRPr="00286804">
              <w:t xml:space="preserve"> 2.2.</w:t>
            </w:r>
            <w:r w:rsidR="00286804" w:rsidRPr="00286804">
              <w:t> apakš</w:t>
            </w:r>
            <w:r w:rsidR="00A743CD" w:rsidRPr="00286804">
              <w:t>punkts nosaka</w:t>
            </w:r>
            <w:r w:rsidRPr="00286804">
              <w:t>, ka saistībā ar Saeimas deputāta un Saeimas priekšsēdētāja laulātā pieņemtajām dāvanām komisijas sastāvā darbojas Saeimas Kancelejas vadītājs.</w:t>
            </w:r>
          </w:p>
          <w:p w:rsidR="009F5BB7" w:rsidRPr="00286804" w:rsidRDefault="009F5BB7" w:rsidP="009575A1">
            <w:pPr>
              <w:spacing w:after="120"/>
              <w:contextualSpacing/>
              <w:jc w:val="both"/>
            </w:pPr>
          </w:p>
          <w:p w:rsidR="009575A1" w:rsidRPr="00286804" w:rsidRDefault="009575A1" w:rsidP="00F80E5C">
            <w:pPr>
              <w:spacing w:after="120"/>
              <w:contextualSpacing/>
              <w:jc w:val="both"/>
            </w:pPr>
            <w:r w:rsidRPr="00286804">
              <w:t xml:space="preserve">Ievērojot veiktos grozījumus Saeimas kārtības rullī un likumā </w:t>
            </w:r>
            <w:r w:rsidR="00F65035" w:rsidRPr="00286804">
              <w:t>"</w:t>
            </w:r>
            <w:r w:rsidRPr="00286804">
              <w:t>Par interešu konflikta novēršanu valsts amatpersonu darb</w:t>
            </w:r>
            <w:r w:rsidR="009F5BB7" w:rsidRPr="00286804">
              <w:t>ībā</w:t>
            </w:r>
            <w:r w:rsidR="00F65035" w:rsidRPr="00286804">
              <w:t>"</w:t>
            </w:r>
            <w:r w:rsidR="009F5BB7" w:rsidRPr="00286804">
              <w:t xml:space="preserve"> 4. panta pirmās daļas 4. punktā</w:t>
            </w:r>
            <w:r w:rsidR="00F80E5C" w:rsidRPr="00286804">
              <w:t>,</w:t>
            </w:r>
            <w:r w:rsidR="009F5BB7" w:rsidRPr="00286804">
              <w:t xml:space="preserve"> nepieciešams veikt grozījumus arī noteikumu Nr. 255 2.2.</w:t>
            </w:r>
            <w:r w:rsidR="00286804" w:rsidRPr="00286804">
              <w:t> apakš</w:t>
            </w:r>
            <w:r w:rsidR="009F5BB7" w:rsidRPr="00286804">
              <w:t>punktā</w:t>
            </w:r>
            <w:r w:rsidR="00F80E5C" w:rsidRPr="00286804">
              <w:t>, nosakot, ka turpmāk saistībā ar Saeimas deputāta un Saeimas priekšsēdētāja laulātā pieņemtajām dāvanām komisijas sastāvā darbojas Saeimas Administrācijas ģenerālsekretārs, nevis Saeimas Kancelejas vadītājs</w:t>
            </w:r>
          </w:p>
        </w:tc>
      </w:tr>
      <w:tr w:rsidR="00B76D85" w:rsidRPr="00286804" w:rsidTr="00A00272">
        <w:tc>
          <w:tcPr>
            <w:tcW w:w="287" w:type="pct"/>
            <w:shd w:val="clear" w:color="auto" w:fill="auto"/>
          </w:tcPr>
          <w:p w:rsidR="00B76D85" w:rsidRPr="00286804" w:rsidRDefault="00B76D85" w:rsidP="00CE7888">
            <w:r w:rsidRPr="00286804">
              <w:t xml:space="preserve">3. </w:t>
            </w:r>
          </w:p>
        </w:tc>
        <w:tc>
          <w:tcPr>
            <w:tcW w:w="1145" w:type="pct"/>
            <w:shd w:val="clear" w:color="auto" w:fill="auto"/>
          </w:tcPr>
          <w:p w:rsidR="00B76D85" w:rsidRPr="00286804" w:rsidRDefault="00C23740" w:rsidP="00CE7888">
            <w:r w:rsidRPr="00286804">
              <w:rPr>
                <w:shd w:val="clear" w:color="auto" w:fill="FFFFFF"/>
              </w:rPr>
              <w:t>Projekta izstrādē iesaistītās institūcijas</w:t>
            </w:r>
            <w:r w:rsidR="00A00272" w:rsidRPr="00286804">
              <w:rPr>
                <w:shd w:val="clear" w:color="auto" w:fill="FFFFFF"/>
              </w:rPr>
              <w:t xml:space="preserve"> un publiskas personas kapitālsabiedrības</w:t>
            </w:r>
          </w:p>
        </w:tc>
        <w:tc>
          <w:tcPr>
            <w:tcW w:w="3568" w:type="pct"/>
            <w:shd w:val="clear" w:color="auto" w:fill="auto"/>
          </w:tcPr>
          <w:p w:rsidR="00B76D85" w:rsidRPr="00286804" w:rsidRDefault="009F5BB7" w:rsidP="009D6807">
            <w:pPr>
              <w:jc w:val="both"/>
            </w:pPr>
            <w:r w:rsidRPr="00286804">
              <w:t>Valsts kanceleja</w:t>
            </w:r>
          </w:p>
        </w:tc>
      </w:tr>
      <w:tr w:rsidR="00B76D85" w:rsidRPr="00286804" w:rsidTr="00A00272">
        <w:tc>
          <w:tcPr>
            <w:tcW w:w="287" w:type="pct"/>
            <w:shd w:val="clear" w:color="auto" w:fill="auto"/>
          </w:tcPr>
          <w:p w:rsidR="00B76D85" w:rsidRPr="00286804" w:rsidRDefault="00B76D85" w:rsidP="00CE7888">
            <w:r w:rsidRPr="00286804">
              <w:t>4.</w:t>
            </w:r>
          </w:p>
        </w:tc>
        <w:tc>
          <w:tcPr>
            <w:tcW w:w="1145" w:type="pct"/>
            <w:shd w:val="clear" w:color="auto" w:fill="auto"/>
          </w:tcPr>
          <w:p w:rsidR="00B76D85" w:rsidRPr="00286804" w:rsidRDefault="00C23740" w:rsidP="00CE7888">
            <w:pPr>
              <w:jc w:val="both"/>
            </w:pPr>
            <w:r w:rsidRPr="00286804">
              <w:rPr>
                <w:shd w:val="clear" w:color="auto" w:fill="FFFFFF"/>
              </w:rPr>
              <w:t>Cita informācija</w:t>
            </w:r>
          </w:p>
        </w:tc>
        <w:tc>
          <w:tcPr>
            <w:tcW w:w="3568" w:type="pct"/>
            <w:shd w:val="clear" w:color="auto" w:fill="auto"/>
          </w:tcPr>
          <w:p w:rsidR="009B0AAA" w:rsidRPr="00286804" w:rsidRDefault="005E2324" w:rsidP="00CE7888">
            <w:pPr>
              <w:jc w:val="both"/>
              <w:rPr>
                <w:bCs/>
              </w:rPr>
            </w:pPr>
            <w:r w:rsidRPr="00286804">
              <w:t>Nav</w:t>
            </w:r>
          </w:p>
        </w:tc>
      </w:tr>
    </w:tbl>
    <w:p w:rsidR="00C14839" w:rsidRPr="00286804" w:rsidRDefault="00C14839" w:rsidP="00CE7888">
      <w:pPr>
        <w:rPr>
          <w:rStyle w:val="spel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075"/>
        <w:gridCol w:w="6466"/>
      </w:tblGrid>
      <w:tr w:rsidR="004E3956" w:rsidRPr="00286804" w:rsidTr="0099614E">
        <w:tc>
          <w:tcPr>
            <w:tcW w:w="5000" w:type="pct"/>
            <w:gridSpan w:val="3"/>
            <w:shd w:val="clear" w:color="auto" w:fill="auto"/>
          </w:tcPr>
          <w:p w:rsidR="004E3956" w:rsidRPr="00286804" w:rsidRDefault="004E3956" w:rsidP="0099614E">
            <w:pPr>
              <w:jc w:val="center"/>
              <w:rPr>
                <w:b/>
              </w:rPr>
            </w:pPr>
            <w:r w:rsidRPr="00286804">
              <w:rPr>
                <w:b/>
              </w:rPr>
              <w:t>II</w:t>
            </w:r>
            <w:r w:rsidR="00286804" w:rsidRPr="00286804">
              <w:rPr>
                <w:b/>
              </w:rPr>
              <w:t>.</w:t>
            </w:r>
            <w:r w:rsidRPr="00286804">
              <w:rPr>
                <w:b/>
              </w:rPr>
              <w:t xml:space="preserve"> Tiesību akta projekta ietekme uz sabiedrību, tautsaimniecības attīstību un administratīvo slogu</w:t>
            </w:r>
          </w:p>
        </w:tc>
      </w:tr>
      <w:tr w:rsidR="004E3956" w:rsidRPr="00286804" w:rsidTr="0099614E">
        <w:trPr>
          <w:trHeight w:val="425"/>
        </w:trPr>
        <w:tc>
          <w:tcPr>
            <w:tcW w:w="287" w:type="pct"/>
            <w:shd w:val="clear" w:color="auto" w:fill="auto"/>
          </w:tcPr>
          <w:p w:rsidR="004E3956" w:rsidRPr="00286804" w:rsidRDefault="004E3956" w:rsidP="0099614E">
            <w:r w:rsidRPr="00286804">
              <w:lastRenderedPageBreak/>
              <w:t>1.</w:t>
            </w:r>
          </w:p>
        </w:tc>
        <w:tc>
          <w:tcPr>
            <w:tcW w:w="1145" w:type="pct"/>
            <w:shd w:val="clear" w:color="auto" w:fill="auto"/>
          </w:tcPr>
          <w:p w:rsidR="004E3956" w:rsidRPr="00286804" w:rsidRDefault="004E3956" w:rsidP="004E3956">
            <w:pPr>
              <w:ind w:left="-107"/>
            </w:pPr>
            <w:r w:rsidRPr="00286804">
              <w:t>Sabiedrības mērķgrupas, kuras tiesiskais regulējums ietekmē vai varētu ietekmēt</w:t>
            </w:r>
          </w:p>
        </w:tc>
        <w:tc>
          <w:tcPr>
            <w:tcW w:w="3568" w:type="pct"/>
            <w:shd w:val="clear" w:color="auto" w:fill="auto"/>
          </w:tcPr>
          <w:p w:rsidR="00A955B3" w:rsidRPr="00286804" w:rsidRDefault="005F1FAB" w:rsidP="008E35DD">
            <w:pPr>
              <w:contextualSpacing/>
              <w:jc w:val="both"/>
            </w:pPr>
            <w:r w:rsidRPr="00286804">
              <w:t>Projekts šo jomu neskar</w:t>
            </w:r>
          </w:p>
        </w:tc>
      </w:tr>
      <w:tr w:rsidR="004E3956" w:rsidRPr="00286804" w:rsidTr="0099614E">
        <w:tc>
          <w:tcPr>
            <w:tcW w:w="287" w:type="pct"/>
            <w:shd w:val="clear" w:color="auto" w:fill="auto"/>
          </w:tcPr>
          <w:p w:rsidR="004E3956" w:rsidRPr="00286804" w:rsidRDefault="004E3956" w:rsidP="0099614E">
            <w:r w:rsidRPr="00286804">
              <w:t xml:space="preserve">2. </w:t>
            </w:r>
          </w:p>
        </w:tc>
        <w:tc>
          <w:tcPr>
            <w:tcW w:w="1145" w:type="pct"/>
            <w:shd w:val="clear" w:color="auto" w:fill="auto"/>
          </w:tcPr>
          <w:p w:rsidR="004E3956" w:rsidRPr="00286804" w:rsidRDefault="004E3956" w:rsidP="00286804">
            <w:pPr>
              <w:ind w:left="-107" w:right="-108"/>
            </w:pPr>
            <w:r w:rsidRPr="00286804">
              <w:t>Tiesiskā regulējuma ietekme uz tautsaimniecību un administratīvo slogu</w:t>
            </w:r>
          </w:p>
        </w:tc>
        <w:tc>
          <w:tcPr>
            <w:tcW w:w="3568" w:type="pct"/>
            <w:shd w:val="clear" w:color="auto" w:fill="auto"/>
          </w:tcPr>
          <w:p w:rsidR="004E3956" w:rsidRPr="00286804" w:rsidRDefault="009F5BB7" w:rsidP="0037321E">
            <w:pPr>
              <w:spacing w:after="120"/>
              <w:contextualSpacing/>
              <w:jc w:val="both"/>
            </w:pPr>
            <w:r w:rsidRPr="00286804">
              <w:t>Projekts šo jomu neskar</w:t>
            </w:r>
          </w:p>
        </w:tc>
      </w:tr>
      <w:tr w:rsidR="004E3956" w:rsidRPr="00286804" w:rsidTr="0099614E">
        <w:tc>
          <w:tcPr>
            <w:tcW w:w="287" w:type="pct"/>
            <w:shd w:val="clear" w:color="auto" w:fill="auto"/>
          </w:tcPr>
          <w:p w:rsidR="004E3956" w:rsidRPr="00286804" w:rsidRDefault="004E3956" w:rsidP="0099614E">
            <w:r w:rsidRPr="00286804">
              <w:t xml:space="preserve">3. </w:t>
            </w:r>
          </w:p>
        </w:tc>
        <w:tc>
          <w:tcPr>
            <w:tcW w:w="1145" w:type="pct"/>
            <w:shd w:val="clear" w:color="auto" w:fill="auto"/>
          </w:tcPr>
          <w:p w:rsidR="004E3956" w:rsidRPr="00286804" w:rsidRDefault="004E3956" w:rsidP="004E3956">
            <w:pPr>
              <w:ind w:left="-107"/>
            </w:pPr>
            <w:r w:rsidRPr="00286804">
              <w:t>Administratīvo izmaksu monetārs novērtējums</w:t>
            </w:r>
          </w:p>
        </w:tc>
        <w:tc>
          <w:tcPr>
            <w:tcW w:w="3568" w:type="pct"/>
            <w:shd w:val="clear" w:color="auto" w:fill="auto"/>
          </w:tcPr>
          <w:p w:rsidR="004E3956" w:rsidRPr="00286804" w:rsidRDefault="009F5BB7" w:rsidP="00FE2A3B">
            <w:pPr>
              <w:jc w:val="both"/>
            </w:pPr>
            <w:r w:rsidRPr="00286804">
              <w:t>Noteikumu projekta tiesiskais regulējums nerada papildu administratīvās izmaksas saistībā ar diplomātisko dāvanu pārvietošan</w:t>
            </w:r>
            <w:r w:rsidR="00286804" w:rsidRPr="00286804">
              <w:t>u</w:t>
            </w:r>
            <w:r w:rsidRPr="00286804">
              <w:t xml:space="preserve"> vai uzglabāšan</w:t>
            </w:r>
            <w:r w:rsidR="00286804" w:rsidRPr="00286804">
              <w:t>u</w:t>
            </w:r>
          </w:p>
        </w:tc>
      </w:tr>
      <w:tr w:rsidR="004E3956" w:rsidRPr="00286804" w:rsidTr="0099614E">
        <w:tc>
          <w:tcPr>
            <w:tcW w:w="287" w:type="pct"/>
            <w:shd w:val="clear" w:color="auto" w:fill="auto"/>
          </w:tcPr>
          <w:p w:rsidR="004E3956" w:rsidRPr="00286804" w:rsidRDefault="004E3956" w:rsidP="0099614E">
            <w:r w:rsidRPr="00286804">
              <w:t>4.</w:t>
            </w:r>
          </w:p>
        </w:tc>
        <w:tc>
          <w:tcPr>
            <w:tcW w:w="1145" w:type="pct"/>
            <w:shd w:val="clear" w:color="auto" w:fill="auto"/>
          </w:tcPr>
          <w:p w:rsidR="004E3956" w:rsidRPr="00286804" w:rsidRDefault="004E3956" w:rsidP="004E3956">
            <w:pPr>
              <w:ind w:left="-107"/>
              <w:rPr>
                <w:shd w:val="clear" w:color="auto" w:fill="FFFFFF"/>
              </w:rPr>
            </w:pPr>
            <w:r w:rsidRPr="00286804">
              <w:rPr>
                <w:shd w:val="clear" w:color="auto" w:fill="FFFFFF"/>
              </w:rPr>
              <w:t>Atbilstības izmaksu monetārs novērtējums</w:t>
            </w:r>
          </w:p>
        </w:tc>
        <w:tc>
          <w:tcPr>
            <w:tcW w:w="3568" w:type="pct"/>
            <w:shd w:val="clear" w:color="auto" w:fill="auto"/>
          </w:tcPr>
          <w:p w:rsidR="004E3956" w:rsidRPr="00286804" w:rsidRDefault="005F1FAB" w:rsidP="005F1FAB">
            <w:pPr>
              <w:jc w:val="both"/>
            </w:pPr>
            <w:r w:rsidRPr="00286804">
              <w:t>Noteikumu projekta tiesiskais regulējums nerada papildu atbilstības izmaksas saistībā ar diplomātisko dāvanu pārvietošan</w:t>
            </w:r>
            <w:r w:rsidR="00286804" w:rsidRPr="00286804">
              <w:t>u</w:t>
            </w:r>
            <w:r w:rsidRPr="00286804">
              <w:t xml:space="preserve"> vai uzglabāšan</w:t>
            </w:r>
            <w:r w:rsidR="00286804" w:rsidRPr="00286804">
              <w:t>u</w:t>
            </w:r>
          </w:p>
        </w:tc>
      </w:tr>
      <w:tr w:rsidR="004E3956" w:rsidRPr="00286804" w:rsidTr="0099614E">
        <w:tc>
          <w:tcPr>
            <w:tcW w:w="287" w:type="pct"/>
            <w:shd w:val="clear" w:color="auto" w:fill="auto"/>
          </w:tcPr>
          <w:p w:rsidR="004E3956" w:rsidRPr="00286804" w:rsidRDefault="004E3956" w:rsidP="0099614E">
            <w:r w:rsidRPr="00286804">
              <w:t>5.</w:t>
            </w:r>
          </w:p>
        </w:tc>
        <w:tc>
          <w:tcPr>
            <w:tcW w:w="1145" w:type="pct"/>
            <w:shd w:val="clear" w:color="auto" w:fill="auto"/>
          </w:tcPr>
          <w:p w:rsidR="004E3956" w:rsidRPr="00286804" w:rsidRDefault="004E3956" w:rsidP="004E3956">
            <w:pPr>
              <w:ind w:left="-107"/>
            </w:pPr>
            <w:r w:rsidRPr="00286804">
              <w:rPr>
                <w:shd w:val="clear" w:color="auto" w:fill="FFFFFF"/>
              </w:rPr>
              <w:t>Cita informācija</w:t>
            </w:r>
          </w:p>
        </w:tc>
        <w:tc>
          <w:tcPr>
            <w:tcW w:w="3568" w:type="pct"/>
            <w:shd w:val="clear" w:color="auto" w:fill="auto"/>
          </w:tcPr>
          <w:p w:rsidR="004E3956" w:rsidRPr="00286804" w:rsidRDefault="004E3956" w:rsidP="0099614E">
            <w:pPr>
              <w:jc w:val="both"/>
              <w:rPr>
                <w:bCs/>
              </w:rPr>
            </w:pPr>
            <w:r w:rsidRPr="00286804">
              <w:t>Nav</w:t>
            </w:r>
          </w:p>
        </w:tc>
      </w:tr>
    </w:tbl>
    <w:p w:rsidR="00C14839" w:rsidRPr="00286804" w:rsidRDefault="00C14839" w:rsidP="00CE7888">
      <w:pPr>
        <w:rPr>
          <w:rStyle w:val="spelle"/>
        </w:rPr>
      </w:pPr>
    </w:p>
    <w:tbl>
      <w:tblPr>
        <w:tblW w:w="9072" w:type="dxa"/>
        <w:tblInd w:w="-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550106" w:rsidRPr="00286804" w:rsidTr="002868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06" w:rsidRPr="00286804" w:rsidRDefault="00550106" w:rsidP="005F34D8">
            <w:pPr>
              <w:ind w:left="720" w:right="1169"/>
              <w:jc w:val="center"/>
              <w:rPr>
                <w:b/>
                <w:bCs/>
                <w:color w:val="000000"/>
              </w:rPr>
            </w:pPr>
            <w:r w:rsidRPr="00286804">
              <w:rPr>
                <w:b/>
                <w:bCs/>
                <w:color w:val="000000"/>
              </w:rPr>
              <w:t>III</w:t>
            </w:r>
            <w:r w:rsidR="00286804" w:rsidRPr="00286804">
              <w:rPr>
                <w:b/>
                <w:bCs/>
                <w:color w:val="000000"/>
              </w:rPr>
              <w:t>.</w:t>
            </w:r>
            <w:r w:rsidRPr="00286804">
              <w:rPr>
                <w:b/>
                <w:bCs/>
                <w:color w:val="000000"/>
              </w:rPr>
              <w:t xml:space="preserve"> Tiesību akta projekta ietekme uz valsts budžetu un pašvaldību budžetiem</w:t>
            </w:r>
          </w:p>
        </w:tc>
      </w:tr>
      <w:tr w:rsidR="005A7259" w:rsidRPr="00286804" w:rsidTr="002868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59" w:rsidRPr="00286804" w:rsidRDefault="005A7259" w:rsidP="005F34D8">
            <w:pPr>
              <w:ind w:left="720" w:right="1169"/>
              <w:jc w:val="center"/>
              <w:rPr>
                <w:bCs/>
                <w:color w:val="000000"/>
              </w:rPr>
            </w:pPr>
            <w:r w:rsidRPr="00286804">
              <w:rPr>
                <w:bCs/>
                <w:color w:val="000000"/>
              </w:rPr>
              <w:t>Projekts šo jomu neskar</w:t>
            </w:r>
          </w:p>
        </w:tc>
      </w:tr>
    </w:tbl>
    <w:p w:rsidR="00550106" w:rsidRPr="00286804" w:rsidRDefault="00550106">
      <w:pPr>
        <w:rPr>
          <w:rStyle w:val="spelle"/>
        </w:rPr>
      </w:pPr>
    </w:p>
    <w:tbl>
      <w:tblPr>
        <w:tblW w:w="9072" w:type="dxa"/>
        <w:tblInd w:w="-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3D26E0" w:rsidRPr="00286804" w:rsidTr="002868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E0" w:rsidRPr="00286804" w:rsidRDefault="003D26E0" w:rsidP="00CB7834">
            <w:pPr>
              <w:jc w:val="center"/>
              <w:rPr>
                <w:b/>
                <w:bCs/>
                <w:color w:val="000000"/>
              </w:rPr>
            </w:pPr>
            <w:r w:rsidRPr="00286804">
              <w:rPr>
                <w:b/>
                <w:bCs/>
                <w:color w:val="000000"/>
              </w:rPr>
              <w:t>IV</w:t>
            </w:r>
            <w:r w:rsidR="00286804" w:rsidRPr="00286804">
              <w:rPr>
                <w:b/>
                <w:bCs/>
                <w:color w:val="000000"/>
              </w:rPr>
              <w:t>.</w:t>
            </w:r>
            <w:r w:rsidRPr="00286804">
              <w:rPr>
                <w:b/>
                <w:bCs/>
                <w:color w:val="000000"/>
              </w:rPr>
              <w:t xml:space="preserve"> Tiesību akta projekta ietekme uz spēkā esošo tiesību</w:t>
            </w:r>
            <w:r w:rsidR="00CB7834" w:rsidRPr="00286804">
              <w:rPr>
                <w:b/>
                <w:bCs/>
                <w:color w:val="000000"/>
              </w:rPr>
              <w:t xml:space="preserve"> </w:t>
            </w:r>
            <w:r w:rsidRPr="00286804">
              <w:rPr>
                <w:b/>
                <w:bCs/>
                <w:color w:val="000000"/>
              </w:rPr>
              <w:t>normu sistēmu</w:t>
            </w:r>
          </w:p>
        </w:tc>
      </w:tr>
      <w:tr w:rsidR="003D26E0" w:rsidRPr="00286804" w:rsidTr="002868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E0" w:rsidRPr="00286804" w:rsidRDefault="003D26E0" w:rsidP="00BF33D2">
            <w:pPr>
              <w:jc w:val="center"/>
            </w:pPr>
            <w:r w:rsidRPr="00286804">
              <w:t>Projekts šo jomu neskar</w:t>
            </w:r>
          </w:p>
        </w:tc>
      </w:tr>
    </w:tbl>
    <w:p w:rsidR="003D26E0" w:rsidRPr="00286804" w:rsidRDefault="003D26E0">
      <w:pPr>
        <w:rPr>
          <w:rStyle w:val="spelle"/>
        </w:rPr>
      </w:pPr>
    </w:p>
    <w:tbl>
      <w:tblPr>
        <w:tblW w:w="9072" w:type="dxa"/>
        <w:tblInd w:w="-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3D26E0" w:rsidRPr="00286804" w:rsidTr="002868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E0" w:rsidRPr="00286804" w:rsidRDefault="003D26E0" w:rsidP="00286804">
            <w:pPr>
              <w:ind w:right="1169"/>
              <w:jc w:val="center"/>
              <w:rPr>
                <w:b/>
                <w:bCs/>
                <w:color w:val="000000"/>
              </w:rPr>
            </w:pPr>
            <w:r w:rsidRPr="00286804">
              <w:rPr>
                <w:b/>
                <w:bCs/>
                <w:color w:val="000000"/>
              </w:rPr>
              <w:t>V</w:t>
            </w:r>
            <w:r w:rsidR="00286804" w:rsidRPr="00286804">
              <w:rPr>
                <w:b/>
                <w:bCs/>
                <w:color w:val="000000"/>
              </w:rPr>
              <w:t>.</w:t>
            </w:r>
            <w:r w:rsidRPr="00286804">
              <w:rPr>
                <w:b/>
                <w:bCs/>
                <w:color w:val="000000"/>
              </w:rPr>
              <w:t xml:space="preserve"> Tiesību akta projekta atbilstība Latvijas Republikas starptautiskajām saistībām</w:t>
            </w:r>
          </w:p>
        </w:tc>
      </w:tr>
      <w:tr w:rsidR="003D26E0" w:rsidRPr="00286804" w:rsidTr="002868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E0" w:rsidRPr="00286804" w:rsidRDefault="003D26E0" w:rsidP="00BF33D2">
            <w:pPr>
              <w:jc w:val="center"/>
            </w:pPr>
            <w:r w:rsidRPr="00286804">
              <w:t>Projekts šo jomu neskar</w:t>
            </w:r>
          </w:p>
        </w:tc>
      </w:tr>
    </w:tbl>
    <w:p w:rsidR="003D26E0" w:rsidRPr="00286804" w:rsidRDefault="003D26E0">
      <w:pPr>
        <w:rPr>
          <w:rStyle w:val="spel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992"/>
        <w:gridCol w:w="5673"/>
      </w:tblGrid>
      <w:tr w:rsidR="002415A1" w:rsidRPr="00286804" w:rsidTr="002415A1">
        <w:tc>
          <w:tcPr>
            <w:tcW w:w="5000" w:type="pct"/>
            <w:gridSpan w:val="3"/>
            <w:shd w:val="clear" w:color="auto" w:fill="auto"/>
          </w:tcPr>
          <w:p w:rsidR="002415A1" w:rsidRPr="00286804" w:rsidRDefault="002415A1" w:rsidP="00CE7888">
            <w:pPr>
              <w:jc w:val="center"/>
              <w:rPr>
                <w:b/>
              </w:rPr>
            </w:pPr>
            <w:r w:rsidRPr="00286804">
              <w:rPr>
                <w:b/>
              </w:rPr>
              <w:t>VI</w:t>
            </w:r>
            <w:r w:rsidR="00286804" w:rsidRPr="00286804">
              <w:rPr>
                <w:b/>
              </w:rPr>
              <w:t>.</w:t>
            </w:r>
            <w:r w:rsidRPr="00286804">
              <w:rPr>
                <w:b/>
              </w:rPr>
              <w:t xml:space="preserve"> Sabiedrības līdzdalība un komunikācijas aktivitātes</w:t>
            </w:r>
          </w:p>
        </w:tc>
      </w:tr>
      <w:tr w:rsidR="008A04D4" w:rsidRPr="00286804" w:rsidTr="002415A1">
        <w:trPr>
          <w:trHeight w:val="425"/>
        </w:trPr>
        <w:tc>
          <w:tcPr>
            <w:tcW w:w="213" w:type="pct"/>
            <w:shd w:val="clear" w:color="auto" w:fill="auto"/>
          </w:tcPr>
          <w:p w:rsidR="002415A1" w:rsidRPr="00286804" w:rsidRDefault="002415A1" w:rsidP="00CE7888">
            <w:pPr>
              <w:jc w:val="both"/>
            </w:pPr>
            <w:r w:rsidRPr="00286804">
              <w:t>1.</w:t>
            </w:r>
          </w:p>
        </w:tc>
        <w:tc>
          <w:tcPr>
            <w:tcW w:w="1654" w:type="pct"/>
            <w:shd w:val="clear" w:color="auto" w:fill="auto"/>
          </w:tcPr>
          <w:p w:rsidR="002415A1" w:rsidRPr="00286804" w:rsidRDefault="002415A1" w:rsidP="00286804">
            <w:r w:rsidRPr="00286804">
              <w:t>Plānotās sabiedrības līdzdalības un komunikācijas aktivitātes saistībā ar projektu</w:t>
            </w:r>
          </w:p>
        </w:tc>
        <w:tc>
          <w:tcPr>
            <w:tcW w:w="3133" w:type="pct"/>
            <w:shd w:val="clear" w:color="auto" w:fill="auto"/>
          </w:tcPr>
          <w:p w:rsidR="0004399B" w:rsidRPr="00286804" w:rsidRDefault="005F1FAB" w:rsidP="00970B40">
            <w:pPr>
              <w:autoSpaceDE w:val="0"/>
              <w:autoSpaceDN w:val="0"/>
              <w:adjustRightInd w:val="0"/>
              <w:jc w:val="both"/>
            </w:pPr>
            <w:r w:rsidRPr="00286804">
              <w:t>Projekts šo jomu neskar</w:t>
            </w:r>
          </w:p>
          <w:p w:rsidR="002415A1" w:rsidRPr="00286804" w:rsidRDefault="002415A1" w:rsidP="0004399B">
            <w:pPr>
              <w:autoSpaceDE w:val="0"/>
              <w:autoSpaceDN w:val="0"/>
              <w:adjustRightInd w:val="0"/>
              <w:jc w:val="both"/>
            </w:pPr>
          </w:p>
        </w:tc>
      </w:tr>
      <w:tr w:rsidR="008A04D4" w:rsidRPr="00286804" w:rsidTr="002415A1">
        <w:trPr>
          <w:trHeight w:val="425"/>
        </w:trPr>
        <w:tc>
          <w:tcPr>
            <w:tcW w:w="213" w:type="pct"/>
            <w:shd w:val="clear" w:color="auto" w:fill="auto"/>
          </w:tcPr>
          <w:p w:rsidR="002415A1" w:rsidRPr="00286804" w:rsidRDefault="002415A1" w:rsidP="00CE7888">
            <w:pPr>
              <w:jc w:val="both"/>
            </w:pPr>
            <w:r w:rsidRPr="00286804">
              <w:t>2.</w:t>
            </w:r>
          </w:p>
        </w:tc>
        <w:tc>
          <w:tcPr>
            <w:tcW w:w="1654" w:type="pct"/>
            <w:shd w:val="clear" w:color="auto" w:fill="auto"/>
          </w:tcPr>
          <w:p w:rsidR="002415A1" w:rsidRPr="00286804" w:rsidRDefault="002415A1" w:rsidP="00286804">
            <w:r w:rsidRPr="00286804">
              <w:t>Sabiedrības līdzdalība projekta izstrādē</w:t>
            </w:r>
          </w:p>
        </w:tc>
        <w:tc>
          <w:tcPr>
            <w:tcW w:w="3133" w:type="pct"/>
            <w:shd w:val="clear" w:color="auto" w:fill="auto"/>
          </w:tcPr>
          <w:p w:rsidR="002415A1" w:rsidRPr="00286804" w:rsidRDefault="00ED0E8F" w:rsidP="00CE7888">
            <w:pPr>
              <w:contextualSpacing/>
              <w:jc w:val="both"/>
              <w:rPr>
                <w:highlight w:val="yellow"/>
              </w:rPr>
            </w:pPr>
            <w:r w:rsidRPr="00286804">
              <w:t>P</w:t>
            </w:r>
            <w:r w:rsidR="00970B40" w:rsidRPr="00286804">
              <w:t>rojekts šo jomu neskar</w:t>
            </w:r>
          </w:p>
        </w:tc>
      </w:tr>
      <w:tr w:rsidR="008A04D4" w:rsidRPr="00286804" w:rsidTr="002415A1">
        <w:trPr>
          <w:trHeight w:val="425"/>
        </w:trPr>
        <w:tc>
          <w:tcPr>
            <w:tcW w:w="213" w:type="pct"/>
            <w:shd w:val="clear" w:color="auto" w:fill="auto"/>
          </w:tcPr>
          <w:p w:rsidR="002415A1" w:rsidRPr="00286804" w:rsidRDefault="002415A1" w:rsidP="00CE7888">
            <w:pPr>
              <w:jc w:val="both"/>
            </w:pPr>
            <w:r w:rsidRPr="00286804">
              <w:t>3.</w:t>
            </w:r>
          </w:p>
        </w:tc>
        <w:tc>
          <w:tcPr>
            <w:tcW w:w="1654" w:type="pct"/>
            <w:shd w:val="clear" w:color="auto" w:fill="auto"/>
          </w:tcPr>
          <w:p w:rsidR="002415A1" w:rsidRPr="00286804" w:rsidRDefault="002415A1" w:rsidP="00286804">
            <w:r w:rsidRPr="00286804">
              <w:t>Sabiedrības līdzdalības rezultāti</w:t>
            </w:r>
          </w:p>
        </w:tc>
        <w:tc>
          <w:tcPr>
            <w:tcW w:w="3133" w:type="pct"/>
            <w:shd w:val="clear" w:color="auto" w:fill="auto"/>
          </w:tcPr>
          <w:p w:rsidR="002415A1" w:rsidRPr="00286804" w:rsidRDefault="00ED0E8F" w:rsidP="00CE7888">
            <w:pPr>
              <w:contextualSpacing/>
              <w:jc w:val="both"/>
              <w:rPr>
                <w:highlight w:val="yellow"/>
              </w:rPr>
            </w:pPr>
            <w:r w:rsidRPr="00286804">
              <w:t>P</w:t>
            </w:r>
            <w:r w:rsidR="00970B40" w:rsidRPr="00286804">
              <w:t>rojekts šo jomu neskar</w:t>
            </w:r>
          </w:p>
        </w:tc>
      </w:tr>
      <w:tr w:rsidR="008A04D4" w:rsidRPr="00286804" w:rsidTr="002415A1">
        <w:trPr>
          <w:trHeight w:val="425"/>
        </w:trPr>
        <w:tc>
          <w:tcPr>
            <w:tcW w:w="213" w:type="pct"/>
            <w:shd w:val="clear" w:color="auto" w:fill="auto"/>
          </w:tcPr>
          <w:p w:rsidR="002415A1" w:rsidRPr="00286804" w:rsidRDefault="002415A1" w:rsidP="00CE7888">
            <w:pPr>
              <w:jc w:val="both"/>
            </w:pPr>
            <w:r w:rsidRPr="00286804">
              <w:t>4.</w:t>
            </w:r>
          </w:p>
        </w:tc>
        <w:tc>
          <w:tcPr>
            <w:tcW w:w="1654" w:type="pct"/>
            <w:shd w:val="clear" w:color="auto" w:fill="auto"/>
          </w:tcPr>
          <w:p w:rsidR="002415A1" w:rsidRPr="00286804" w:rsidRDefault="002415A1" w:rsidP="00286804">
            <w:r w:rsidRPr="00286804">
              <w:rPr>
                <w:shd w:val="clear" w:color="auto" w:fill="FFFFFF"/>
              </w:rPr>
              <w:t>Cita informācija</w:t>
            </w:r>
          </w:p>
        </w:tc>
        <w:tc>
          <w:tcPr>
            <w:tcW w:w="3133" w:type="pct"/>
            <w:shd w:val="clear" w:color="auto" w:fill="auto"/>
          </w:tcPr>
          <w:p w:rsidR="002415A1" w:rsidRPr="00286804" w:rsidRDefault="002415A1" w:rsidP="00CE7888">
            <w:pPr>
              <w:contextualSpacing/>
              <w:jc w:val="both"/>
              <w:rPr>
                <w:highlight w:val="yellow"/>
              </w:rPr>
            </w:pPr>
            <w:r w:rsidRPr="00286804">
              <w:t>Nav</w:t>
            </w:r>
          </w:p>
        </w:tc>
      </w:tr>
    </w:tbl>
    <w:p w:rsidR="0096459E" w:rsidRPr="00286804" w:rsidRDefault="0096459E" w:rsidP="00F33317">
      <w:pPr>
        <w:pStyle w:val="naisf"/>
        <w:spacing w:before="120" w:after="0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992"/>
        <w:gridCol w:w="5672"/>
      </w:tblGrid>
      <w:tr w:rsidR="002415A1" w:rsidRPr="00286804" w:rsidTr="00382790">
        <w:tc>
          <w:tcPr>
            <w:tcW w:w="5000" w:type="pct"/>
            <w:gridSpan w:val="3"/>
            <w:shd w:val="clear" w:color="auto" w:fill="auto"/>
          </w:tcPr>
          <w:p w:rsidR="002415A1" w:rsidRPr="00286804" w:rsidRDefault="002415A1" w:rsidP="00382790">
            <w:pPr>
              <w:jc w:val="center"/>
              <w:rPr>
                <w:b/>
              </w:rPr>
            </w:pPr>
            <w:r w:rsidRPr="00286804">
              <w:rPr>
                <w:b/>
              </w:rPr>
              <w:t>VII</w:t>
            </w:r>
            <w:r w:rsidR="00286804" w:rsidRPr="00286804">
              <w:rPr>
                <w:b/>
              </w:rPr>
              <w:t>.</w:t>
            </w:r>
            <w:r w:rsidRPr="00286804">
              <w:rPr>
                <w:b/>
              </w:rPr>
              <w:t xml:space="preserve"> Tiesību akta projekta izpildes nodrošināšana un tās ietekme uz institūcijām</w:t>
            </w:r>
          </w:p>
        </w:tc>
      </w:tr>
      <w:tr w:rsidR="002415A1" w:rsidRPr="00286804" w:rsidTr="00286804">
        <w:trPr>
          <w:trHeight w:val="425"/>
        </w:trPr>
        <w:tc>
          <w:tcPr>
            <w:tcW w:w="219" w:type="pct"/>
            <w:shd w:val="clear" w:color="auto" w:fill="auto"/>
          </w:tcPr>
          <w:p w:rsidR="002415A1" w:rsidRPr="00286804" w:rsidRDefault="002415A1" w:rsidP="00382790">
            <w:r w:rsidRPr="00286804">
              <w:t>1.</w:t>
            </w:r>
          </w:p>
        </w:tc>
        <w:tc>
          <w:tcPr>
            <w:tcW w:w="1651" w:type="pct"/>
            <w:shd w:val="clear" w:color="auto" w:fill="auto"/>
          </w:tcPr>
          <w:p w:rsidR="002415A1" w:rsidRPr="00286804" w:rsidRDefault="002415A1" w:rsidP="00382790">
            <w:r w:rsidRPr="00286804">
              <w:t>Projekta izpildē iesaistītās institūcijas</w:t>
            </w:r>
          </w:p>
        </w:tc>
        <w:tc>
          <w:tcPr>
            <w:tcW w:w="3130" w:type="pct"/>
            <w:shd w:val="clear" w:color="auto" w:fill="auto"/>
          </w:tcPr>
          <w:p w:rsidR="002415A1" w:rsidRPr="00286804" w:rsidRDefault="005F1FAB" w:rsidP="00C434E5">
            <w:pPr>
              <w:contextualSpacing/>
              <w:jc w:val="both"/>
            </w:pPr>
            <w:r w:rsidRPr="00286804">
              <w:t>Valsts kanceleja</w:t>
            </w:r>
          </w:p>
        </w:tc>
      </w:tr>
      <w:tr w:rsidR="00545B14" w:rsidRPr="00286804" w:rsidTr="00286804">
        <w:trPr>
          <w:trHeight w:val="425"/>
        </w:trPr>
        <w:tc>
          <w:tcPr>
            <w:tcW w:w="219" w:type="pct"/>
            <w:shd w:val="clear" w:color="auto" w:fill="auto"/>
          </w:tcPr>
          <w:p w:rsidR="002415A1" w:rsidRPr="00286804" w:rsidRDefault="002415A1" w:rsidP="00382790">
            <w:r w:rsidRPr="00286804">
              <w:t>2.</w:t>
            </w:r>
          </w:p>
        </w:tc>
        <w:tc>
          <w:tcPr>
            <w:tcW w:w="1651" w:type="pct"/>
            <w:shd w:val="clear" w:color="auto" w:fill="auto"/>
          </w:tcPr>
          <w:p w:rsidR="002415A1" w:rsidRPr="00286804" w:rsidRDefault="002415A1" w:rsidP="002415A1">
            <w:r w:rsidRPr="00286804">
              <w:t>Projekta izpildes ietekme uz pārvaldes funkcijām un institucionālo struktūru.</w:t>
            </w:r>
          </w:p>
          <w:p w:rsidR="002415A1" w:rsidRPr="00286804" w:rsidRDefault="002415A1" w:rsidP="002415A1">
            <w:r w:rsidRPr="00286804">
              <w:t xml:space="preserve">Jaunu institūciju izveide, esošo institūciju likvidācija vai reorganizācija, to </w:t>
            </w:r>
            <w:r w:rsidRPr="00286804">
              <w:lastRenderedPageBreak/>
              <w:t>ietekme uz institūcijas cilvēkresursiem</w:t>
            </w:r>
          </w:p>
        </w:tc>
        <w:tc>
          <w:tcPr>
            <w:tcW w:w="3130" w:type="pct"/>
            <w:shd w:val="clear" w:color="auto" w:fill="auto"/>
          </w:tcPr>
          <w:p w:rsidR="00FD3B7D" w:rsidRPr="00286804" w:rsidRDefault="005E6C75" w:rsidP="00B2447E">
            <w:pPr>
              <w:contextualSpacing/>
              <w:jc w:val="both"/>
              <w:rPr>
                <w:highlight w:val="yellow"/>
              </w:rPr>
            </w:pPr>
            <w:r w:rsidRPr="00286804">
              <w:lastRenderedPageBreak/>
              <w:t>Projekts šo jomu neskar</w:t>
            </w:r>
          </w:p>
        </w:tc>
      </w:tr>
      <w:tr w:rsidR="002415A1" w:rsidRPr="00286804" w:rsidTr="00286804">
        <w:trPr>
          <w:trHeight w:val="425"/>
        </w:trPr>
        <w:tc>
          <w:tcPr>
            <w:tcW w:w="219" w:type="pct"/>
            <w:shd w:val="clear" w:color="auto" w:fill="auto"/>
          </w:tcPr>
          <w:p w:rsidR="002415A1" w:rsidRPr="00286804" w:rsidRDefault="002415A1" w:rsidP="00382790">
            <w:r w:rsidRPr="00286804">
              <w:t>3.</w:t>
            </w:r>
          </w:p>
        </w:tc>
        <w:tc>
          <w:tcPr>
            <w:tcW w:w="1651" w:type="pct"/>
            <w:shd w:val="clear" w:color="auto" w:fill="auto"/>
          </w:tcPr>
          <w:p w:rsidR="002415A1" w:rsidRPr="00286804" w:rsidRDefault="002415A1" w:rsidP="00382790">
            <w:r w:rsidRPr="00286804">
              <w:rPr>
                <w:shd w:val="clear" w:color="auto" w:fill="FFFFFF"/>
              </w:rPr>
              <w:t>Cita informācija</w:t>
            </w:r>
          </w:p>
        </w:tc>
        <w:tc>
          <w:tcPr>
            <w:tcW w:w="3130" w:type="pct"/>
            <w:shd w:val="clear" w:color="auto" w:fill="auto"/>
          </w:tcPr>
          <w:p w:rsidR="002415A1" w:rsidRPr="00286804" w:rsidRDefault="005F1FAB" w:rsidP="00B65983">
            <w:pPr>
              <w:contextualSpacing/>
              <w:jc w:val="both"/>
              <w:rPr>
                <w:highlight w:val="yellow"/>
              </w:rPr>
            </w:pPr>
            <w:r w:rsidRPr="00286804">
              <w:t>Nav</w:t>
            </w:r>
          </w:p>
        </w:tc>
      </w:tr>
    </w:tbl>
    <w:p w:rsidR="00B9501C" w:rsidRPr="00F65035" w:rsidRDefault="00B9501C" w:rsidP="00C32EEB">
      <w:pPr>
        <w:rPr>
          <w:i/>
          <w:sz w:val="28"/>
          <w:szCs w:val="28"/>
        </w:rPr>
      </w:pPr>
    </w:p>
    <w:p w:rsidR="00A17B4D" w:rsidRPr="00F65035" w:rsidRDefault="00A17B4D" w:rsidP="00C32EEB">
      <w:pPr>
        <w:rPr>
          <w:sz w:val="28"/>
          <w:szCs w:val="28"/>
        </w:rPr>
      </w:pPr>
    </w:p>
    <w:p w:rsidR="005A7259" w:rsidRPr="00F65035" w:rsidRDefault="005A7259" w:rsidP="00C32EEB">
      <w:pPr>
        <w:rPr>
          <w:sz w:val="28"/>
          <w:szCs w:val="28"/>
        </w:rPr>
      </w:pPr>
    </w:p>
    <w:p w:rsidR="00F65035" w:rsidRPr="00F65035" w:rsidRDefault="00F65035" w:rsidP="00F6503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65035">
        <w:rPr>
          <w:sz w:val="28"/>
          <w:szCs w:val="28"/>
        </w:rPr>
        <w:t xml:space="preserve">Ministru prezidents, </w:t>
      </w:r>
    </w:p>
    <w:p w:rsidR="00F65035" w:rsidRPr="00F65035" w:rsidRDefault="00F65035" w:rsidP="00F6503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65035">
        <w:rPr>
          <w:sz w:val="28"/>
          <w:szCs w:val="28"/>
        </w:rPr>
        <w:t>veselības ministra</w:t>
      </w:r>
    </w:p>
    <w:p w:rsidR="00F65035" w:rsidRPr="00F65035" w:rsidRDefault="00F65035" w:rsidP="00F6503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65035">
        <w:rPr>
          <w:sz w:val="28"/>
          <w:szCs w:val="28"/>
        </w:rPr>
        <w:t>pienākumu izpildītājs</w:t>
      </w:r>
      <w:r w:rsidRPr="00F65035">
        <w:rPr>
          <w:sz w:val="28"/>
          <w:szCs w:val="28"/>
        </w:rPr>
        <w:tab/>
        <w:t xml:space="preserve">Māris Kučinskis </w:t>
      </w:r>
    </w:p>
    <w:p w:rsidR="000F79E0" w:rsidRPr="00F65035" w:rsidRDefault="000F79E0" w:rsidP="002651DE">
      <w:pPr>
        <w:jc w:val="both"/>
        <w:rPr>
          <w:rFonts w:cs="Calibri"/>
          <w:sz w:val="28"/>
          <w:szCs w:val="28"/>
        </w:rPr>
      </w:pPr>
    </w:p>
    <w:p w:rsidR="000F79E0" w:rsidRPr="00F65035" w:rsidRDefault="000F79E0" w:rsidP="002651DE">
      <w:pPr>
        <w:jc w:val="both"/>
        <w:rPr>
          <w:rFonts w:cs="Calibri"/>
          <w:sz w:val="28"/>
          <w:szCs w:val="28"/>
        </w:rPr>
      </w:pPr>
    </w:p>
    <w:p w:rsidR="005A7259" w:rsidRPr="00F65035" w:rsidRDefault="005A7259" w:rsidP="002651DE">
      <w:pPr>
        <w:jc w:val="both"/>
        <w:rPr>
          <w:rFonts w:cs="Calibri"/>
          <w:sz w:val="28"/>
          <w:szCs w:val="28"/>
        </w:rPr>
      </w:pPr>
    </w:p>
    <w:p w:rsidR="00F65035" w:rsidRPr="00F65035" w:rsidRDefault="00F175FF" w:rsidP="00F650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Iesniedzējs</w:t>
      </w:r>
      <w:r w:rsidR="00F65035" w:rsidRPr="00F65035">
        <w:rPr>
          <w:sz w:val="28"/>
          <w:szCs w:val="28"/>
        </w:rPr>
        <w:t>:</w:t>
      </w:r>
    </w:p>
    <w:p w:rsidR="00F65035" w:rsidRPr="00F65035" w:rsidRDefault="00F65035" w:rsidP="00F65035">
      <w:pPr>
        <w:ind w:firstLine="709"/>
        <w:rPr>
          <w:sz w:val="28"/>
          <w:szCs w:val="28"/>
        </w:rPr>
      </w:pPr>
      <w:r w:rsidRPr="00F65035">
        <w:rPr>
          <w:sz w:val="28"/>
          <w:szCs w:val="28"/>
        </w:rPr>
        <w:t>Valsts kancelejas direktors ___</w:t>
      </w:r>
      <w:r>
        <w:rPr>
          <w:sz w:val="28"/>
          <w:szCs w:val="28"/>
        </w:rPr>
        <w:t xml:space="preserve">______________ </w:t>
      </w:r>
      <w:r w:rsidRPr="00F65035">
        <w:rPr>
          <w:sz w:val="28"/>
          <w:szCs w:val="28"/>
        </w:rPr>
        <w:t>Jānis Citskovskis</w:t>
      </w:r>
    </w:p>
    <w:p w:rsidR="005A7259" w:rsidRDefault="005A7259" w:rsidP="004E63EA">
      <w:pPr>
        <w:rPr>
          <w:sz w:val="20"/>
          <w:szCs w:val="20"/>
        </w:rPr>
      </w:pPr>
    </w:p>
    <w:p w:rsidR="00882707" w:rsidRDefault="00882707" w:rsidP="004E63EA">
      <w:pPr>
        <w:rPr>
          <w:sz w:val="20"/>
          <w:szCs w:val="20"/>
        </w:rPr>
      </w:pPr>
    </w:p>
    <w:p w:rsidR="005A7259" w:rsidRDefault="005A7259" w:rsidP="004E63EA">
      <w:pPr>
        <w:rPr>
          <w:sz w:val="20"/>
          <w:szCs w:val="20"/>
        </w:rPr>
      </w:pPr>
    </w:p>
    <w:p w:rsidR="00A84C4F" w:rsidRDefault="00F9749F" w:rsidP="004E63EA">
      <w:pPr>
        <w:rPr>
          <w:sz w:val="20"/>
          <w:szCs w:val="20"/>
        </w:rPr>
      </w:pPr>
      <w:r>
        <w:rPr>
          <w:sz w:val="20"/>
          <w:szCs w:val="20"/>
        </w:rPr>
        <w:t>498</w:t>
      </w:r>
    </w:p>
    <w:p w:rsidR="00E24B0C" w:rsidRDefault="00E24B0C" w:rsidP="00E24B0C">
      <w:pPr>
        <w:rPr>
          <w:sz w:val="22"/>
        </w:rPr>
      </w:pPr>
      <w:r>
        <w:rPr>
          <w:sz w:val="22"/>
        </w:rPr>
        <w:t>Deičmane</w:t>
      </w:r>
      <w:r w:rsidRPr="00F73633">
        <w:rPr>
          <w:sz w:val="22"/>
        </w:rPr>
        <w:t xml:space="preserve"> 67082</w:t>
      </w:r>
      <w:r>
        <w:rPr>
          <w:sz w:val="22"/>
        </w:rPr>
        <w:t>828</w:t>
      </w:r>
    </w:p>
    <w:p w:rsidR="004E63EA" w:rsidRPr="004B1228" w:rsidRDefault="00E24B0C" w:rsidP="00E24B0C">
      <w:r>
        <w:rPr>
          <w:sz w:val="22"/>
        </w:rPr>
        <w:t>Justine</w:t>
      </w:r>
      <w:r w:rsidR="00F65035">
        <w:rPr>
          <w:sz w:val="22"/>
        </w:rPr>
        <w:t>.d</w:t>
      </w:r>
      <w:r>
        <w:rPr>
          <w:sz w:val="22"/>
        </w:rPr>
        <w:t>eicmane</w:t>
      </w:r>
      <w:r w:rsidRPr="00F73633">
        <w:rPr>
          <w:sz w:val="22"/>
        </w:rPr>
        <w:t>@mk</w:t>
      </w:r>
      <w:r w:rsidR="00F65035">
        <w:rPr>
          <w:sz w:val="22"/>
        </w:rPr>
        <w:t>.g</w:t>
      </w:r>
      <w:r w:rsidRPr="00F73633">
        <w:rPr>
          <w:sz w:val="22"/>
        </w:rPr>
        <w:t>ov.lv</w:t>
      </w:r>
    </w:p>
    <w:sectPr w:rsidR="004E63EA" w:rsidRPr="004B1228" w:rsidSect="00F65035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26B" w:rsidRDefault="00FC326B">
      <w:r>
        <w:separator/>
      </w:r>
    </w:p>
  </w:endnote>
  <w:endnote w:type="continuationSeparator" w:id="0">
    <w:p w:rsidR="00FC326B" w:rsidRDefault="00FC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HelveticaL-Book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035" w:rsidRPr="00F65035" w:rsidRDefault="00F65035" w:rsidP="00F65035">
    <w:pPr>
      <w:pStyle w:val="Footer"/>
      <w:rPr>
        <w:sz w:val="16"/>
        <w:szCs w:val="16"/>
      </w:rPr>
    </w:pPr>
    <w:r>
      <w:rPr>
        <w:sz w:val="16"/>
        <w:szCs w:val="16"/>
      </w:rPr>
      <w:t>MK255_groz_anotacija_08_02_2018  (5277)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CFA" w:rsidRPr="00F65035" w:rsidRDefault="00F65035" w:rsidP="00F65035">
    <w:pPr>
      <w:pStyle w:val="Footer"/>
      <w:rPr>
        <w:sz w:val="16"/>
        <w:szCs w:val="16"/>
      </w:rPr>
    </w:pPr>
    <w:r>
      <w:rPr>
        <w:sz w:val="16"/>
        <w:szCs w:val="16"/>
      </w:rPr>
      <w:t>MK255_groz_anotacija_08_02_2018  (5277)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26B" w:rsidRDefault="00FC326B">
      <w:r>
        <w:separator/>
      </w:r>
    </w:p>
  </w:footnote>
  <w:footnote w:type="continuationSeparator" w:id="0">
    <w:p w:rsidR="00FC326B" w:rsidRDefault="00FC3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CFA" w:rsidRDefault="003C0CFA" w:rsidP="00242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0CFA" w:rsidRDefault="003C0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CFA" w:rsidRDefault="003C0CFA" w:rsidP="00242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973">
      <w:rPr>
        <w:rStyle w:val="PageNumber"/>
        <w:noProof/>
      </w:rPr>
      <w:t>2</w:t>
    </w:r>
    <w:r>
      <w:rPr>
        <w:rStyle w:val="PageNumber"/>
      </w:rPr>
      <w:fldChar w:fldCharType="end"/>
    </w:r>
  </w:p>
  <w:p w:rsidR="003C0CFA" w:rsidRDefault="003C0C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D85"/>
    <w:rsid w:val="00003EB4"/>
    <w:rsid w:val="0000648C"/>
    <w:rsid w:val="00006792"/>
    <w:rsid w:val="000073FF"/>
    <w:rsid w:val="00010E55"/>
    <w:rsid w:val="000125B2"/>
    <w:rsid w:val="0001368E"/>
    <w:rsid w:val="00014889"/>
    <w:rsid w:val="000150A9"/>
    <w:rsid w:val="00016874"/>
    <w:rsid w:val="00017B40"/>
    <w:rsid w:val="00020072"/>
    <w:rsid w:val="0002026E"/>
    <w:rsid w:val="000222B6"/>
    <w:rsid w:val="0002377D"/>
    <w:rsid w:val="0002747F"/>
    <w:rsid w:val="00030C68"/>
    <w:rsid w:val="000325C1"/>
    <w:rsid w:val="00032F15"/>
    <w:rsid w:val="0003469B"/>
    <w:rsid w:val="000353CF"/>
    <w:rsid w:val="0004222F"/>
    <w:rsid w:val="00042675"/>
    <w:rsid w:val="00042AC3"/>
    <w:rsid w:val="00042E35"/>
    <w:rsid w:val="00043389"/>
    <w:rsid w:val="0004399B"/>
    <w:rsid w:val="00046F2C"/>
    <w:rsid w:val="00050255"/>
    <w:rsid w:val="0005215B"/>
    <w:rsid w:val="00052929"/>
    <w:rsid w:val="00053622"/>
    <w:rsid w:val="00053CCD"/>
    <w:rsid w:val="000544D2"/>
    <w:rsid w:val="00054D6D"/>
    <w:rsid w:val="00057193"/>
    <w:rsid w:val="0006002A"/>
    <w:rsid w:val="000602E4"/>
    <w:rsid w:val="000603B0"/>
    <w:rsid w:val="00060CD5"/>
    <w:rsid w:val="00062D3E"/>
    <w:rsid w:val="00064A71"/>
    <w:rsid w:val="00065FDF"/>
    <w:rsid w:val="0006764B"/>
    <w:rsid w:val="0007283E"/>
    <w:rsid w:val="00073AD6"/>
    <w:rsid w:val="00074238"/>
    <w:rsid w:val="00074584"/>
    <w:rsid w:val="00075B3E"/>
    <w:rsid w:val="00075B55"/>
    <w:rsid w:val="0008071A"/>
    <w:rsid w:val="00080BD4"/>
    <w:rsid w:val="00082AB7"/>
    <w:rsid w:val="000831D4"/>
    <w:rsid w:val="00083ED4"/>
    <w:rsid w:val="00084CB0"/>
    <w:rsid w:val="0009089C"/>
    <w:rsid w:val="000912ED"/>
    <w:rsid w:val="00095CC0"/>
    <w:rsid w:val="000A0A0E"/>
    <w:rsid w:val="000A1979"/>
    <w:rsid w:val="000A2A9E"/>
    <w:rsid w:val="000A3269"/>
    <w:rsid w:val="000A39A5"/>
    <w:rsid w:val="000A59E4"/>
    <w:rsid w:val="000A7778"/>
    <w:rsid w:val="000B2358"/>
    <w:rsid w:val="000B4D5A"/>
    <w:rsid w:val="000B6484"/>
    <w:rsid w:val="000B6EB2"/>
    <w:rsid w:val="000B7685"/>
    <w:rsid w:val="000C0542"/>
    <w:rsid w:val="000C09A0"/>
    <w:rsid w:val="000C16E0"/>
    <w:rsid w:val="000C2590"/>
    <w:rsid w:val="000C2A22"/>
    <w:rsid w:val="000C774E"/>
    <w:rsid w:val="000D3E2D"/>
    <w:rsid w:val="000D4834"/>
    <w:rsid w:val="000D5023"/>
    <w:rsid w:val="000D6365"/>
    <w:rsid w:val="000D6940"/>
    <w:rsid w:val="000D7B5D"/>
    <w:rsid w:val="000E3A0E"/>
    <w:rsid w:val="000E49DB"/>
    <w:rsid w:val="000E4F5C"/>
    <w:rsid w:val="000E6604"/>
    <w:rsid w:val="000E74EA"/>
    <w:rsid w:val="000F0C8B"/>
    <w:rsid w:val="000F1747"/>
    <w:rsid w:val="000F21BB"/>
    <w:rsid w:val="000F3E61"/>
    <w:rsid w:val="000F4225"/>
    <w:rsid w:val="000F4CFF"/>
    <w:rsid w:val="000F586F"/>
    <w:rsid w:val="000F697E"/>
    <w:rsid w:val="000F7309"/>
    <w:rsid w:val="000F783C"/>
    <w:rsid w:val="000F79E0"/>
    <w:rsid w:val="00101925"/>
    <w:rsid w:val="0010343F"/>
    <w:rsid w:val="00104711"/>
    <w:rsid w:val="001067B4"/>
    <w:rsid w:val="00110279"/>
    <w:rsid w:val="00112508"/>
    <w:rsid w:val="00113240"/>
    <w:rsid w:val="00113721"/>
    <w:rsid w:val="00114148"/>
    <w:rsid w:val="00114295"/>
    <w:rsid w:val="00115437"/>
    <w:rsid w:val="00115461"/>
    <w:rsid w:val="00117804"/>
    <w:rsid w:val="00117C01"/>
    <w:rsid w:val="0012102D"/>
    <w:rsid w:val="0012151E"/>
    <w:rsid w:val="001218E0"/>
    <w:rsid w:val="00124EF8"/>
    <w:rsid w:val="001254A5"/>
    <w:rsid w:val="00125EEB"/>
    <w:rsid w:val="00126CBC"/>
    <w:rsid w:val="00132072"/>
    <w:rsid w:val="00134002"/>
    <w:rsid w:val="00134816"/>
    <w:rsid w:val="00134FA4"/>
    <w:rsid w:val="00135972"/>
    <w:rsid w:val="00137887"/>
    <w:rsid w:val="001435C4"/>
    <w:rsid w:val="001468C9"/>
    <w:rsid w:val="001479FE"/>
    <w:rsid w:val="001507F8"/>
    <w:rsid w:val="00151DCA"/>
    <w:rsid w:val="0015229D"/>
    <w:rsid w:val="00152FD2"/>
    <w:rsid w:val="00153ACF"/>
    <w:rsid w:val="00153C9C"/>
    <w:rsid w:val="00154A82"/>
    <w:rsid w:val="00155266"/>
    <w:rsid w:val="001570C7"/>
    <w:rsid w:val="001603B3"/>
    <w:rsid w:val="0016052F"/>
    <w:rsid w:val="001618A4"/>
    <w:rsid w:val="00166DBD"/>
    <w:rsid w:val="00167309"/>
    <w:rsid w:val="001705F5"/>
    <w:rsid w:val="00170E63"/>
    <w:rsid w:val="00173929"/>
    <w:rsid w:val="001768AC"/>
    <w:rsid w:val="00176DC7"/>
    <w:rsid w:val="00176E1D"/>
    <w:rsid w:val="001772E7"/>
    <w:rsid w:val="00177BB4"/>
    <w:rsid w:val="00177BD8"/>
    <w:rsid w:val="001808B6"/>
    <w:rsid w:val="00180BCF"/>
    <w:rsid w:val="00182EB9"/>
    <w:rsid w:val="00190661"/>
    <w:rsid w:val="00191BB4"/>
    <w:rsid w:val="00192FBE"/>
    <w:rsid w:val="00194614"/>
    <w:rsid w:val="00195093"/>
    <w:rsid w:val="001966C4"/>
    <w:rsid w:val="00196727"/>
    <w:rsid w:val="001A12D5"/>
    <w:rsid w:val="001A1D5C"/>
    <w:rsid w:val="001A6C0D"/>
    <w:rsid w:val="001A7F14"/>
    <w:rsid w:val="001B0FF5"/>
    <w:rsid w:val="001B3F1B"/>
    <w:rsid w:val="001B5511"/>
    <w:rsid w:val="001B710B"/>
    <w:rsid w:val="001B7ECD"/>
    <w:rsid w:val="001C0C65"/>
    <w:rsid w:val="001C1A37"/>
    <w:rsid w:val="001C2018"/>
    <w:rsid w:val="001C2281"/>
    <w:rsid w:val="001C29FF"/>
    <w:rsid w:val="001C2E54"/>
    <w:rsid w:val="001C45D5"/>
    <w:rsid w:val="001C67A6"/>
    <w:rsid w:val="001D052B"/>
    <w:rsid w:val="001D24ED"/>
    <w:rsid w:val="001D3CB9"/>
    <w:rsid w:val="001D42A1"/>
    <w:rsid w:val="001D4879"/>
    <w:rsid w:val="001D60D8"/>
    <w:rsid w:val="001E3AF5"/>
    <w:rsid w:val="001E3C0D"/>
    <w:rsid w:val="001E418D"/>
    <w:rsid w:val="001E56F5"/>
    <w:rsid w:val="001E6230"/>
    <w:rsid w:val="001E6D04"/>
    <w:rsid w:val="001E7500"/>
    <w:rsid w:val="001E761B"/>
    <w:rsid w:val="001E7843"/>
    <w:rsid w:val="001F0CDA"/>
    <w:rsid w:val="001F0FDD"/>
    <w:rsid w:val="001F3B89"/>
    <w:rsid w:val="001F4B8C"/>
    <w:rsid w:val="001F60B9"/>
    <w:rsid w:val="001F7935"/>
    <w:rsid w:val="00201931"/>
    <w:rsid w:val="00202EC7"/>
    <w:rsid w:val="00203242"/>
    <w:rsid w:val="00204F65"/>
    <w:rsid w:val="00204F76"/>
    <w:rsid w:val="00205514"/>
    <w:rsid w:val="002056DD"/>
    <w:rsid w:val="00207331"/>
    <w:rsid w:val="002078E6"/>
    <w:rsid w:val="0021017A"/>
    <w:rsid w:val="00211755"/>
    <w:rsid w:val="00211CB7"/>
    <w:rsid w:val="002124C6"/>
    <w:rsid w:val="00213F3A"/>
    <w:rsid w:val="00215034"/>
    <w:rsid w:val="00216385"/>
    <w:rsid w:val="00217409"/>
    <w:rsid w:val="002175D9"/>
    <w:rsid w:val="00223065"/>
    <w:rsid w:val="002244FC"/>
    <w:rsid w:val="0022698A"/>
    <w:rsid w:val="00226A19"/>
    <w:rsid w:val="002303B0"/>
    <w:rsid w:val="00230994"/>
    <w:rsid w:val="00230A43"/>
    <w:rsid w:val="00232804"/>
    <w:rsid w:val="00232AB3"/>
    <w:rsid w:val="002376EE"/>
    <w:rsid w:val="00237FA0"/>
    <w:rsid w:val="0024025D"/>
    <w:rsid w:val="002415A1"/>
    <w:rsid w:val="00241A77"/>
    <w:rsid w:val="00241DF9"/>
    <w:rsid w:val="002423F7"/>
    <w:rsid w:val="00242D7D"/>
    <w:rsid w:val="002435A4"/>
    <w:rsid w:val="00243B65"/>
    <w:rsid w:val="00245594"/>
    <w:rsid w:val="00245947"/>
    <w:rsid w:val="00247768"/>
    <w:rsid w:val="00252213"/>
    <w:rsid w:val="002530DB"/>
    <w:rsid w:val="00253787"/>
    <w:rsid w:val="00253ACE"/>
    <w:rsid w:val="00253C81"/>
    <w:rsid w:val="002543FB"/>
    <w:rsid w:val="00254A67"/>
    <w:rsid w:val="00255907"/>
    <w:rsid w:val="00257695"/>
    <w:rsid w:val="00257713"/>
    <w:rsid w:val="00260E03"/>
    <w:rsid w:val="0026106C"/>
    <w:rsid w:val="0026473D"/>
    <w:rsid w:val="002651DE"/>
    <w:rsid w:val="00265819"/>
    <w:rsid w:val="00265954"/>
    <w:rsid w:val="00267B40"/>
    <w:rsid w:val="00270F4C"/>
    <w:rsid w:val="002718FB"/>
    <w:rsid w:val="00271BC8"/>
    <w:rsid w:val="00272A50"/>
    <w:rsid w:val="00273F37"/>
    <w:rsid w:val="00273F99"/>
    <w:rsid w:val="002742CA"/>
    <w:rsid w:val="002765B4"/>
    <w:rsid w:val="0027714D"/>
    <w:rsid w:val="00277DBE"/>
    <w:rsid w:val="00280279"/>
    <w:rsid w:val="00280EA6"/>
    <w:rsid w:val="00281432"/>
    <w:rsid w:val="00282879"/>
    <w:rsid w:val="00282D49"/>
    <w:rsid w:val="002838FF"/>
    <w:rsid w:val="00283E56"/>
    <w:rsid w:val="00286804"/>
    <w:rsid w:val="00286C5E"/>
    <w:rsid w:val="002871EE"/>
    <w:rsid w:val="00287C9B"/>
    <w:rsid w:val="00292C1C"/>
    <w:rsid w:val="00295480"/>
    <w:rsid w:val="002973EF"/>
    <w:rsid w:val="00297D33"/>
    <w:rsid w:val="002A1404"/>
    <w:rsid w:val="002A32AA"/>
    <w:rsid w:val="002A6423"/>
    <w:rsid w:val="002A668F"/>
    <w:rsid w:val="002A67AF"/>
    <w:rsid w:val="002A6D6B"/>
    <w:rsid w:val="002B0026"/>
    <w:rsid w:val="002B03C5"/>
    <w:rsid w:val="002B25AB"/>
    <w:rsid w:val="002B37B4"/>
    <w:rsid w:val="002B38EE"/>
    <w:rsid w:val="002B5342"/>
    <w:rsid w:val="002B6881"/>
    <w:rsid w:val="002B732D"/>
    <w:rsid w:val="002C0F25"/>
    <w:rsid w:val="002C1059"/>
    <w:rsid w:val="002C26D0"/>
    <w:rsid w:val="002C2D1A"/>
    <w:rsid w:val="002C2EBD"/>
    <w:rsid w:val="002C3280"/>
    <w:rsid w:val="002C6092"/>
    <w:rsid w:val="002D0565"/>
    <w:rsid w:val="002D05ED"/>
    <w:rsid w:val="002D2587"/>
    <w:rsid w:val="002D3A7D"/>
    <w:rsid w:val="002D44AF"/>
    <w:rsid w:val="002D4572"/>
    <w:rsid w:val="002D49B5"/>
    <w:rsid w:val="002D58DB"/>
    <w:rsid w:val="002D5AC1"/>
    <w:rsid w:val="002D6865"/>
    <w:rsid w:val="002E052C"/>
    <w:rsid w:val="002E060A"/>
    <w:rsid w:val="002E16D7"/>
    <w:rsid w:val="002E1721"/>
    <w:rsid w:val="002E224D"/>
    <w:rsid w:val="002E5ADA"/>
    <w:rsid w:val="002E5B2D"/>
    <w:rsid w:val="002E75D5"/>
    <w:rsid w:val="002F422A"/>
    <w:rsid w:val="002F42F9"/>
    <w:rsid w:val="002F5477"/>
    <w:rsid w:val="002F5920"/>
    <w:rsid w:val="002F6F06"/>
    <w:rsid w:val="00301502"/>
    <w:rsid w:val="00303364"/>
    <w:rsid w:val="00305371"/>
    <w:rsid w:val="00311AE8"/>
    <w:rsid w:val="003141F6"/>
    <w:rsid w:val="0031594E"/>
    <w:rsid w:val="00315AFF"/>
    <w:rsid w:val="00315C89"/>
    <w:rsid w:val="0031772B"/>
    <w:rsid w:val="003202DA"/>
    <w:rsid w:val="00320F5B"/>
    <w:rsid w:val="00321D9A"/>
    <w:rsid w:val="0032210B"/>
    <w:rsid w:val="0032280F"/>
    <w:rsid w:val="00323147"/>
    <w:rsid w:val="00323AD8"/>
    <w:rsid w:val="00324C12"/>
    <w:rsid w:val="00325830"/>
    <w:rsid w:val="00326DD2"/>
    <w:rsid w:val="0033060D"/>
    <w:rsid w:val="00330E6E"/>
    <w:rsid w:val="00330F3C"/>
    <w:rsid w:val="003314FD"/>
    <w:rsid w:val="00331ECB"/>
    <w:rsid w:val="0033525C"/>
    <w:rsid w:val="00335442"/>
    <w:rsid w:val="0033655D"/>
    <w:rsid w:val="00337A81"/>
    <w:rsid w:val="00341FD6"/>
    <w:rsid w:val="003427BF"/>
    <w:rsid w:val="0034484D"/>
    <w:rsid w:val="0034560E"/>
    <w:rsid w:val="00345EE5"/>
    <w:rsid w:val="00347286"/>
    <w:rsid w:val="003475BC"/>
    <w:rsid w:val="00347F88"/>
    <w:rsid w:val="00350651"/>
    <w:rsid w:val="00350BFA"/>
    <w:rsid w:val="0035222C"/>
    <w:rsid w:val="00354067"/>
    <w:rsid w:val="003556AE"/>
    <w:rsid w:val="00357EDE"/>
    <w:rsid w:val="003601CA"/>
    <w:rsid w:val="003605F8"/>
    <w:rsid w:val="0036070D"/>
    <w:rsid w:val="00360DBE"/>
    <w:rsid w:val="003637BB"/>
    <w:rsid w:val="00364797"/>
    <w:rsid w:val="00365975"/>
    <w:rsid w:val="003703C6"/>
    <w:rsid w:val="00371FA1"/>
    <w:rsid w:val="00372174"/>
    <w:rsid w:val="003729C5"/>
    <w:rsid w:val="00372F28"/>
    <w:rsid w:val="0037321E"/>
    <w:rsid w:val="00373F00"/>
    <w:rsid w:val="00374E19"/>
    <w:rsid w:val="00375A40"/>
    <w:rsid w:val="00380A74"/>
    <w:rsid w:val="0038258A"/>
    <w:rsid w:val="00382790"/>
    <w:rsid w:val="0038391E"/>
    <w:rsid w:val="003866D5"/>
    <w:rsid w:val="00390AE5"/>
    <w:rsid w:val="00391E0C"/>
    <w:rsid w:val="00392BA3"/>
    <w:rsid w:val="003961F5"/>
    <w:rsid w:val="00397DAA"/>
    <w:rsid w:val="003A1B6C"/>
    <w:rsid w:val="003A2984"/>
    <w:rsid w:val="003A2E41"/>
    <w:rsid w:val="003A364F"/>
    <w:rsid w:val="003A376F"/>
    <w:rsid w:val="003A57DA"/>
    <w:rsid w:val="003A5D5E"/>
    <w:rsid w:val="003A6E6B"/>
    <w:rsid w:val="003A7503"/>
    <w:rsid w:val="003A753C"/>
    <w:rsid w:val="003B0443"/>
    <w:rsid w:val="003B0911"/>
    <w:rsid w:val="003B0E71"/>
    <w:rsid w:val="003B0FA1"/>
    <w:rsid w:val="003B1D05"/>
    <w:rsid w:val="003B29EC"/>
    <w:rsid w:val="003B344E"/>
    <w:rsid w:val="003B3989"/>
    <w:rsid w:val="003B3A03"/>
    <w:rsid w:val="003B4994"/>
    <w:rsid w:val="003B4F38"/>
    <w:rsid w:val="003B5383"/>
    <w:rsid w:val="003B5D3D"/>
    <w:rsid w:val="003B629D"/>
    <w:rsid w:val="003B71F1"/>
    <w:rsid w:val="003C01B7"/>
    <w:rsid w:val="003C030E"/>
    <w:rsid w:val="003C0CFA"/>
    <w:rsid w:val="003C1339"/>
    <w:rsid w:val="003C32CF"/>
    <w:rsid w:val="003C5460"/>
    <w:rsid w:val="003C5C3E"/>
    <w:rsid w:val="003C64C4"/>
    <w:rsid w:val="003D142F"/>
    <w:rsid w:val="003D18C7"/>
    <w:rsid w:val="003D26E0"/>
    <w:rsid w:val="003D3488"/>
    <w:rsid w:val="003D38F5"/>
    <w:rsid w:val="003D3BE7"/>
    <w:rsid w:val="003D6563"/>
    <w:rsid w:val="003D7376"/>
    <w:rsid w:val="003D7BB4"/>
    <w:rsid w:val="003D7F3D"/>
    <w:rsid w:val="003E1FB6"/>
    <w:rsid w:val="003E21A9"/>
    <w:rsid w:val="003E5430"/>
    <w:rsid w:val="003E6DC7"/>
    <w:rsid w:val="003E7666"/>
    <w:rsid w:val="003F27FC"/>
    <w:rsid w:val="003F2FA3"/>
    <w:rsid w:val="003F4599"/>
    <w:rsid w:val="003F53C6"/>
    <w:rsid w:val="003F5712"/>
    <w:rsid w:val="003F6E85"/>
    <w:rsid w:val="003F71DA"/>
    <w:rsid w:val="0040096E"/>
    <w:rsid w:val="004028F2"/>
    <w:rsid w:val="00402C9B"/>
    <w:rsid w:val="00407E3D"/>
    <w:rsid w:val="00410449"/>
    <w:rsid w:val="00411FA0"/>
    <w:rsid w:val="00414479"/>
    <w:rsid w:val="00414723"/>
    <w:rsid w:val="004153EB"/>
    <w:rsid w:val="00416542"/>
    <w:rsid w:val="0041715A"/>
    <w:rsid w:val="0042058E"/>
    <w:rsid w:val="004205B3"/>
    <w:rsid w:val="00421529"/>
    <w:rsid w:val="004242D8"/>
    <w:rsid w:val="00425385"/>
    <w:rsid w:val="004256D4"/>
    <w:rsid w:val="00426A43"/>
    <w:rsid w:val="004339AF"/>
    <w:rsid w:val="004341C5"/>
    <w:rsid w:val="0043431B"/>
    <w:rsid w:val="00434ED9"/>
    <w:rsid w:val="004400A9"/>
    <w:rsid w:val="00442672"/>
    <w:rsid w:val="00444108"/>
    <w:rsid w:val="00445108"/>
    <w:rsid w:val="004457AE"/>
    <w:rsid w:val="004460E6"/>
    <w:rsid w:val="004469BA"/>
    <w:rsid w:val="00452FDB"/>
    <w:rsid w:val="0045368F"/>
    <w:rsid w:val="00453B7E"/>
    <w:rsid w:val="0045479A"/>
    <w:rsid w:val="00455236"/>
    <w:rsid w:val="004556F7"/>
    <w:rsid w:val="00455C6C"/>
    <w:rsid w:val="00455D92"/>
    <w:rsid w:val="004561BE"/>
    <w:rsid w:val="00461ADF"/>
    <w:rsid w:val="00464CD1"/>
    <w:rsid w:val="00465C24"/>
    <w:rsid w:val="00466142"/>
    <w:rsid w:val="00470DF1"/>
    <w:rsid w:val="00471AE0"/>
    <w:rsid w:val="00472B9F"/>
    <w:rsid w:val="00473E03"/>
    <w:rsid w:val="00473F65"/>
    <w:rsid w:val="00474701"/>
    <w:rsid w:val="00474B0F"/>
    <w:rsid w:val="00475FF1"/>
    <w:rsid w:val="00476309"/>
    <w:rsid w:val="00476961"/>
    <w:rsid w:val="00480FBE"/>
    <w:rsid w:val="004812F5"/>
    <w:rsid w:val="00482E6B"/>
    <w:rsid w:val="0049027D"/>
    <w:rsid w:val="00491D43"/>
    <w:rsid w:val="00492536"/>
    <w:rsid w:val="00492B65"/>
    <w:rsid w:val="00494366"/>
    <w:rsid w:val="00495E03"/>
    <w:rsid w:val="0049668D"/>
    <w:rsid w:val="00497B89"/>
    <w:rsid w:val="004A1C35"/>
    <w:rsid w:val="004A22B1"/>
    <w:rsid w:val="004A289F"/>
    <w:rsid w:val="004A2CB4"/>
    <w:rsid w:val="004A3A15"/>
    <w:rsid w:val="004A3B6D"/>
    <w:rsid w:val="004A4ADD"/>
    <w:rsid w:val="004A570E"/>
    <w:rsid w:val="004A70F2"/>
    <w:rsid w:val="004B1228"/>
    <w:rsid w:val="004B1393"/>
    <w:rsid w:val="004B4F9D"/>
    <w:rsid w:val="004B54F0"/>
    <w:rsid w:val="004B6748"/>
    <w:rsid w:val="004B79DA"/>
    <w:rsid w:val="004B7ED6"/>
    <w:rsid w:val="004B7EE2"/>
    <w:rsid w:val="004C0AB5"/>
    <w:rsid w:val="004C252A"/>
    <w:rsid w:val="004C2B25"/>
    <w:rsid w:val="004C2DDF"/>
    <w:rsid w:val="004C47A0"/>
    <w:rsid w:val="004C66A8"/>
    <w:rsid w:val="004D207D"/>
    <w:rsid w:val="004D4139"/>
    <w:rsid w:val="004D43B3"/>
    <w:rsid w:val="004D47E1"/>
    <w:rsid w:val="004D4CF7"/>
    <w:rsid w:val="004D608F"/>
    <w:rsid w:val="004D6856"/>
    <w:rsid w:val="004D7E80"/>
    <w:rsid w:val="004E3956"/>
    <w:rsid w:val="004E61E3"/>
    <w:rsid w:val="004E63EA"/>
    <w:rsid w:val="004E6C1A"/>
    <w:rsid w:val="004F0A26"/>
    <w:rsid w:val="004F0AD9"/>
    <w:rsid w:val="004F38C7"/>
    <w:rsid w:val="004F5CDE"/>
    <w:rsid w:val="004F67CF"/>
    <w:rsid w:val="005012BF"/>
    <w:rsid w:val="00502FEC"/>
    <w:rsid w:val="0051235A"/>
    <w:rsid w:val="00512BF4"/>
    <w:rsid w:val="0051400B"/>
    <w:rsid w:val="0052025D"/>
    <w:rsid w:val="00520473"/>
    <w:rsid w:val="005218BD"/>
    <w:rsid w:val="00521D5F"/>
    <w:rsid w:val="00523E3C"/>
    <w:rsid w:val="00524E49"/>
    <w:rsid w:val="00525635"/>
    <w:rsid w:val="00527BA4"/>
    <w:rsid w:val="005306E8"/>
    <w:rsid w:val="00531055"/>
    <w:rsid w:val="005328B4"/>
    <w:rsid w:val="00532958"/>
    <w:rsid w:val="00532BE4"/>
    <w:rsid w:val="00535496"/>
    <w:rsid w:val="00535B29"/>
    <w:rsid w:val="00535BA2"/>
    <w:rsid w:val="005370B6"/>
    <w:rsid w:val="00537975"/>
    <w:rsid w:val="005408E9"/>
    <w:rsid w:val="00541323"/>
    <w:rsid w:val="005421D8"/>
    <w:rsid w:val="00542C64"/>
    <w:rsid w:val="005438FE"/>
    <w:rsid w:val="00543BD0"/>
    <w:rsid w:val="0054490F"/>
    <w:rsid w:val="00545B14"/>
    <w:rsid w:val="00547CB8"/>
    <w:rsid w:val="00550106"/>
    <w:rsid w:val="005508A4"/>
    <w:rsid w:val="00557DDD"/>
    <w:rsid w:val="00557EC6"/>
    <w:rsid w:val="005600DE"/>
    <w:rsid w:val="0056099B"/>
    <w:rsid w:val="005618A5"/>
    <w:rsid w:val="00561E65"/>
    <w:rsid w:val="00562049"/>
    <w:rsid w:val="005636C5"/>
    <w:rsid w:val="00563AD8"/>
    <w:rsid w:val="0056410F"/>
    <w:rsid w:val="00564624"/>
    <w:rsid w:val="0056635B"/>
    <w:rsid w:val="005721C6"/>
    <w:rsid w:val="00572A49"/>
    <w:rsid w:val="0057718C"/>
    <w:rsid w:val="005805BC"/>
    <w:rsid w:val="005825B4"/>
    <w:rsid w:val="00582F68"/>
    <w:rsid w:val="00584AB1"/>
    <w:rsid w:val="005853DA"/>
    <w:rsid w:val="005872A1"/>
    <w:rsid w:val="00591A9E"/>
    <w:rsid w:val="00592D26"/>
    <w:rsid w:val="00593854"/>
    <w:rsid w:val="00593990"/>
    <w:rsid w:val="00594054"/>
    <w:rsid w:val="005979F4"/>
    <w:rsid w:val="005A015A"/>
    <w:rsid w:val="005A0786"/>
    <w:rsid w:val="005A07A7"/>
    <w:rsid w:val="005A0FB0"/>
    <w:rsid w:val="005A29F4"/>
    <w:rsid w:val="005A2C67"/>
    <w:rsid w:val="005A4FE3"/>
    <w:rsid w:val="005A6070"/>
    <w:rsid w:val="005A6104"/>
    <w:rsid w:val="005A695C"/>
    <w:rsid w:val="005A7259"/>
    <w:rsid w:val="005B08AB"/>
    <w:rsid w:val="005B1E31"/>
    <w:rsid w:val="005B2132"/>
    <w:rsid w:val="005B2244"/>
    <w:rsid w:val="005B2902"/>
    <w:rsid w:val="005B32C8"/>
    <w:rsid w:val="005B4535"/>
    <w:rsid w:val="005B4C36"/>
    <w:rsid w:val="005B6E52"/>
    <w:rsid w:val="005B71D6"/>
    <w:rsid w:val="005C0839"/>
    <w:rsid w:val="005C1546"/>
    <w:rsid w:val="005C26A2"/>
    <w:rsid w:val="005C4072"/>
    <w:rsid w:val="005C629C"/>
    <w:rsid w:val="005C6515"/>
    <w:rsid w:val="005C6D85"/>
    <w:rsid w:val="005C7EFA"/>
    <w:rsid w:val="005D0599"/>
    <w:rsid w:val="005D30A9"/>
    <w:rsid w:val="005D37D4"/>
    <w:rsid w:val="005D37D6"/>
    <w:rsid w:val="005D3C2F"/>
    <w:rsid w:val="005D52AA"/>
    <w:rsid w:val="005D5625"/>
    <w:rsid w:val="005D5E25"/>
    <w:rsid w:val="005D6AD7"/>
    <w:rsid w:val="005D6C1D"/>
    <w:rsid w:val="005D6F76"/>
    <w:rsid w:val="005E1214"/>
    <w:rsid w:val="005E2324"/>
    <w:rsid w:val="005E4DD6"/>
    <w:rsid w:val="005E6C75"/>
    <w:rsid w:val="005E6E1E"/>
    <w:rsid w:val="005E7EDC"/>
    <w:rsid w:val="005F1FAB"/>
    <w:rsid w:val="005F34D8"/>
    <w:rsid w:val="005F3565"/>
    <w:rsid w:val="005F413B"/>
    <w:rsid w:val="005F4E3F"/>
    <w:rsid w:val="005F6B99"/>
    <w:rsid w:val="006000F6"/>
    <w:rsid w:val="00600B5E"/>
    <w:rsid w:val="00602555"/>
    <w:rsid w:val="006036A3"/>
    <w:rsid w:val="00603DD1"/>
    <w:rsid w:val="00604B3C"/>
    <w:rsid w:val="00605315"/>
    <w:rsid w:val="00605F0C"/>
    <w:rsid w:val="00606397"/>
    <w:rsid w:val="006078C7"/>
    <w:rsid w:val="00607CC3"/>
    <w:rsid w:val="00613890"/>
    <w:rsid w:val="00613E5A"/>
    <w:rsid w:val="00613F7C"/>
    <w:rsid w:val="006147A1"/>
    <w:rsid w:val="00614F8A"/>
    <w:rsid w:val="00617B24"/>
    <w:rsid w:val="00617C0C"/>
    <w:rsid w:val="00621D04"/>
    <w:rsid w:val="00622564"/>
    <w:rsid w:val="00625493"/>
    <w:rsid w:val="00625A3F"/>
    <w:rsid w:val="00625F2B"/>
    <w:rsid w:val="00626BD4"/>
    <w:rsid w:val="00626E06"/>
    <w:rsid w:val="00626FFB"/>
    <w:rsid w:val="0062708D"/>
    <w:rsid w:val="00630B60"/>
    <w:rsid w:val="00632680"/>
    <w:rsid w:val="00635577"/>
    <w:rsid w:val="00636DEB"/>
    <w:rsid w:val="00637D94"/>
    <w:rsid w:val="006404B4"/>
    <w:rsid w:val="00641751"/>
    <w:rsid w:val="00642589"/>
    <w:rsid w:val="0064276A"/>
    <w:rsid w:val="00650B52"/>
    <w:rsid w:val="00650BBB"/>
    <w:rsid w:val="00653A56"/>
    <w:rsid w:val="00654882"/>
    <w:rsid w:val="00654D0D"/>
    <w:rsid w:val="006553E9"/>
    <w:rsid w:val="006563CC"/>
    <w:rsid w:val="00656485"/>
    <w:rsid w:val="00657DE2"/>
    <w:rsid w:val="00657F8B"/>
    <w:rsid w:val="00660645"/>
    <w:rsid w:val="006609C6"/>
    <w:rsid w:val="00660C98"/>
    <w:rsid w:val="00662028"/>
    <w:rsid w:val="006622EC"/>
    <w:rsid w:val="006623AF"/>
    <w:rsid w:val="006630E5"/>
    <w:rsid w:val="00664956"/>
    <w:rsid w:val="00665B3F"/>
    <w:rsid w:val="00667F19"/>
    <w:rsid w:val="00670311"/>
    <w:rsid w:val="00670EA8"/>
    <w:rsid w:val="00671E2E"/>
    <w:rsid w:val="00674467"/>
    <w:rsid w:val="00674979"/>
    <w:rsid w:val="00674F18"/>
    <w:rsid w:val="00675E94"/>
    <w:rsid w:val="006774F7"/>
    <w:rsid w:val="00680185"/>
    <w:rsid w:val="0068173B"/>
    <w:rsid w:val="00684DF7"/>
    <w:rsid w:val="0068651F"/>
    <w:rsid w:val="00686CC3"/>
    <w:rsid w:val="00690613"/>
    <w:rsid w:val="00690D3C"/>
    <w:rsid w:val="00692077"/>
    <w:rsid w:val="006925BB"/>
    <w:rsid w:val="006948DC"/>
    <w:rsid w:val="00695242"/>
    <w:rsid w:val="0069552B"/>
    <w:rsid w:val="006958B8"/>
    <w:rsid w:val="00697A45"/>
    <w:rsid w:val="00697DE9"/>
    <w:rsid w:val="006A0B1A"/>
    <w:rsid w:val="006A0E4C"/>
    <w:rsid w:val="006A1CAD"/>
    <w:rsid w:val="006A3AF3"/>
    <w:rsid w:val="006A3C41"/>
    <w:rsid w:val="006A3EDF"/>
    <w:rsid w:val="006A404D"/>
    <w:rsid w:val="006A46A9"/>
    <w:rsid w:val="006A63DC"/>
    <w:rsid w:val="006B073F"/>
    <w:rsid w:val="006B0CEE"/>
    <w:rsid w:val="006B227A"/>
    <w:rsid w:val="006B26CD"/>
    <w:rsid w:val="006B6713"/>
    <w:rsid w:val="006B7B34"/>
    <w:rsid w:val="006C0CCD"/>
    <w:rsid w:val="006C0EFC"/>
    <w:rsid w:val="006C18A3"/>
    <w:rsid w:val="006C1E3C"/>
    <w:rsid w:val="006C2651"/>
    <w:rsid w:val="006C266F"/>
    <w:rsid w:val="006C3AA3"/>
    <w:rsid w:val="006C40D2"/>
    <w:rsid w:val="006C53F2"/>
    <w:rsid w:val="006C7D7B"/>
    <w:rsid w:val="006D054B"/>
    <w:rsid w:val="006D0786"/>
    <w:rsid w:val="006D08B0"/>
    <w:rsid w:val="006D1B63"/>
    <w:rsid w:val="006D2CEF"/>
    <w:rsid w:val="006D3398"/>
    <w:rsid w:val="006D4831"/>
    <w:rsid w:val="006D604A"/>
    <w:rsid w:val="006D6394"/>
    <w:rsid w:val="006D69BA"/>
    <w:rsid w:val="006D781D"/>
    <w:rsid w:val="006E0375"/>
    <w:rsid w:val="006E1037"/>
    <w:rsid w:val="006E1607"/>
    <w:rsid w:val="006E160C"/>
    <w:rsid w:val="006E160E"/>
    <w:rsid w:val="006E2EEA"/>
    <w:rsid w:val="006E3523"/>
    <w:rsid w:val="006E47AD"/>
    <w:rsid w:val="006E7BC3"/>
    <w:rsid w:val="006F0944"/>
    <w:rsid w:val="006F247C"/>
    <w:rsid w:val="006F2AB9"/>
    <w:rsid w:val="006F4645"/>
    <w:rsid w:val="00700878"/>
    <w:rsid w:val="007019D3"/>
    <w:rsid w:val="0070223D"/>
    <w:rsid w:val="007031A0"/>
    <w:rsid w:val="007038CE"/>
    <w:rsid w:val="00704C57"/>
    <w:rsid w:val="00705167"/>
    <w:rsid w:val="00705DB8"/>
    <w:rsid w:val="007064FF"/>
    <w:rsid w:val="00706F49"/>
    <w:rsid w:val="0071068A"/>
    <w:rsid w:val="00710930"/>
    <w:rsid w:val="00710DDF"/>
    <w:rsid w:val="0071151B"/>
    <w:rsid w:val="007120B5"/>
    <w:rsid w:val="0071590F"/>
    <w:rsid w:val="00717C96"/>
    <w:rsid w:val="00720FC8"/>
    <w:rsid w:val="0072113C"/>
    <w:rsid w:val="0072119D"/>
    <w:rsid w:val="00721872"/>
    <w:rsid w:val="00722358"/>
    <w:rsid w:val="00722AE8"/>
    <w:rsid w:val="0072337E"/>
    <w:rsid w:val="0072380F"/>
    <w:rsid w:val="00723A05"/>
    <w:rsid w:val="007251DB"/>
    <w:rsid w:val="007301EE"/>
    <w:rsid w:val="00735116"/>
    <w:rsid w:val="00735F92"/>
    <w:rsid w:val="00735FE4"/>
    <w:rsid w:val="00736522"/>
    <w:rsid w:val="00740B65"/>
    <w:rsid w:val="00741CE9"/>
    <w:rsid w:val="00743EE1"/>
    <w:rsid w:val="00744F2B"/>
    <w:rsid w:val="007453CC"/>
    <w:rsid w:val="00750A30"/>
    <w:rsid w:val="007513BD"/>
    <w:rsid w:val="007514D0"/>
    <w:rsid w:val="0075223C"/>
    <w:rsid w:val="007533F6"/>
    <w:rsid w:val="00754014"/>
    <w:rsid w:val="0075430C"/>
    <w:rsid w:val="0075481F"/>
    <w:rsid w:val="00754B0B"/>
    <w:rsid w:val="00755F10"/>
    <w:rsid w:val="007562B7"/>
    <w:rsid w:val="007567B0"/>
    <w:rsid w:val="00757AD9"/>
    <w:rsid w:val="00757ED5"/>
    <w:rsid w:val="00760B05"/>
    <w:rsid w:val="00761811"/>
    <w:rsid w:val="00761FE9"/>
    <w:rsid w:val="00762343"/>
    <w:rsid w:val="00765FC6"/>
    <w:rsid w:val="00766789"/>
    <w:rsid w:val="0077194B"/>
    <w:rsid w:val="00771D46"/>
    <w:rsid w:val="0077450F"/>
    <w:rsid w:val="00774573"/>
    <w:rsid w:val="00775AA3"/>
    <w:rsid w:val="00775BB3"/>
    <w:rsid w:val="00776A87"/>
    <w:rsid w:val="0077799D"/>
    <w:rsid w:val="00780148"/>
    <w:rsid w:val="00783E0F"/>
    <w:rsid w:val="00785317"/>
    <w:rsid w:val="0078573B"/>
    <w:rsid w:val="00786AB1"/>
    <w:rsid w:val="00787299"/>
    <w:rsid w:val="00791382"/>
    <w:rsid w:val="0079154F"/>
    <w:rsid w:val="007932FD"/>
    <w:rsid w:val="007954BC"/>
    <w:rsid w:val="007957B9"/>
    <w:rsid w:val="00795CE0"/>
    <w:rsid w:val="007A103D"/>
    <w:rsid w:val="007A18DF"/>
    <w:rsid w:val="007A347E"/>
    <w:rsid w:val="007A3A5A"/>
    <w:rsid w:val="007A406F"/>
    <w:rsid w:val="007A49B9"/>
    <w:rsid w:val="007A5334"/>
    <w:rsid w:val="007A5732"/>
    <w:rsid w:val="007A5D25"/>
    <w:rsid w:val="007A5D3A"/>
    <w:rsid w:val="007A703F"/>
    <w:rsid w:val="007A729D"/>
    <w:rsid w:val="007B0CFD"/>
    <w:rsid w:val="007B1AC0"/>
    <w:rsid w:val="007B2CE9"/>
    <w:rsid w:val="007B59E4"/>
    <w:rsid w:val="007B5AD4"/>
    <w:rsid w:val="007B71B3"/>
    <w:rsid w:val="007B74DD"/>
    <w:rsid w:val="007B785F"/>
    <w:rsid w:val="007C0F0D"/>
    <w:rsid w:val="007C0FFF"/>
    <w:rsid w:val="007C1C0A"/>
    <w:rsid w:val="007C3563"/>
    <w:rsid w:val="007C4223"/>
    <w:rsid w:val="007C4D13"/>
    <w:rsid w:val="007C60F9"/>
    <w:rsid w:val="007C666E"/>
    <w:rsid w:val="007D1416"/>
    <w:rsid w:val="007D1503"/>
    <w:rsid w:val="007D2343"/>
    <w:rsid w:val="007D4804"/>
    <w:rsid w:val="007D4A9E"/>
    <w:rsid w:val="007D6C19"/>
    <w:rsid w:val="007D79BF"/>
    <w:rsid w:val="007E0DE3"/>
    <w:rsid w:val="007E0F66"/>
    <w:rsid w:val="007E1317"/>
    <w:rsid w:val="007E309F"/>
    <w:rsid w:val="007E4BFF"/>
    <w:rsid w:val="007E6F88"/>
    <w:rsid w:val="007E7037"/>
    <w:rsid w:val="007E7DF8"/>
    <w:rsid w:val="007F00CE"/>
    <w:rsid w:val="007F031C"/>
    <w:rsid w:val="007F4B2E"/>
    <w:rsid w:val="007F5580"/>
    <w:rsid w:val="007F6FFF"/>
    <w:rsid w:val="00801522"/>
    <w:rsid w:val="00802858"/>
    <w:rsid w:val="008028B0"/>
    <w:rsid w:val="00802F3C"/>
    <w:rsid w:val="0080379B"/>
    <w:rsid w:val="00803FEF"/>
    <w:rsid w:val="00804758"/>
    <w:rsid w:val="0080498B"/>
    <w:rsid w:val="00805623"/>
    <w:rsid w:val="00805BE8"/>
    <w:rsid w:val="008079EB"/>
    <w:rsid w:val="00814FA5"/>
    <w:rsid w:val="00815A72"/>
    <w:rsid w:val="008163B9"/>
    <w:rsid w:val="00817562"/>
    <w:rsid w:val="0082017B"/>
    <w:rsid w:val="00821029"/>
    <w:rsid w:val="00821AAF"/>
    <w:rsid w:val="0082266E"/>
    <w:rsid w:val="00824224"/>
    <w:rsid w:val="008249A7"/>
    <w:rsid w:val="00825888"/>
    <w:rsid w:val="008311A2"/>
    <w:rsid w:val="008313A8"/>
    <w:rsid w:val="00833C5A"/>
    <w:rsid w:val="00834CA5"/>
    <w:rsid w:val="0083622B"/>
    <w:rsid w:val="00836A89"/>
    <w:rsid w:val="00837EDD"/>
    <w:rsid w:val="008402BC"/>
    <w:rsid w:val="0084061F"/>
    <w:rsid w:val="00840F77"/>
    <w:rsid w:val="00841DAF"/>
    <w:rsid w:val="0084255D"/>
    <w:rsid w:val="008439AB"/>
    <w:rsid w:val="0084412E"/>
    <w:rsid w:val="00846496"/>
    <w:rsid w:val="00847217"/>
    <w:rsid w:val="008502E7"/>
    <w:rsid w:val="00850536"/>
    <w:rsid w:val="00852FAF"/>
    <w:rsid w:val="00853572"/>
    <w:rsid w:val="00855082"/>
    <w:rsid w:val="00855666"/>
    <w:rsid w:val="0085753A"/>
    <w:rsid w:val="00857809"/>
    <w:rsid w:val="008622DC"/>
    <w:rsid w:val="00862FED"/>
    <w:rsid w:val="00863106"/>
    <w:rsid w:val="00863561"/>
    <w:rsid w:val="00864540"/>
    <w:rsid w:val="0086590A"/>
    <w:rsid w:val="00867DE7"/>
    <w:rsid w:val="00870239"/>
    <w:rsid w:val="0087477F"/>
    <w:rsid w:val="00874E7B"/>
    <w:rsid w:val="00875193"/>
    <w:rsid w:val="00875BFC"/>
    <w:rsid w:val="00875D8D"/>
    <w:rsid w:val="00877D12"/>
    <w:rsid w:val="00880553"/>
    <w:rsid w:val="00880CC4"/>
    <w:rsid w:val="00881943"/>
    <w:rsid w:val="0088235E"/>
    <w:rsid w:val="00882707"/>
    <w:rsid w:val="00883038"/>
    <w:rsid w:val="00883596"/>
    <w:rsid w:val="00884912"/>
    <w:rsid w:val="008862C1"/>
    <w:rsid w:val="00886437"/>
    <w:rsid w:val="00886C0A"/>
    <w:rsid w:val="00892650"/>
    <w:rsid w:val="00895295"/>
    <w:rsid w:val="00895B62"/>
    <w:rsid w:val="008A04D4"/>
    <w:rsid w:val="008A0CBC"/>
    <w:rsid w:val="008A300D"/>
    <w:rsid w:val="008A4ADA"/>
    <w:rsid w:val="008A4FC4"/>
    <w:rsid w:val="008A5030"/>
    <w:rsid w:val="008A5D06"/>
    <w:rsid w:val="008A6906"/>
    <w:rsid w:val="008B0883"/>
    <w:rsid w:val="008B1D6F"/>
    <w:rsid w:val="008B253C"/>
    <w:rsid w:val="008B34D2"/>
    <w:rsid w:val="008B4A75"/>
    <w:rsid w:val="008B5DC8"/>
    <w:rsid w:val="008B7FFD"/>
    <w:rsid w:val="008C0A4F"/>
    <w:rsid w:val="008C19C6"/>
    <w:rsid w:val="008C5192"/>
    <w:rsid w:val="008C5358"/>
    <w:rsid w:val="008C578C"/>
    <w:rsid w:val="008C6323"/>
    <w:rsid w:val="008D0E05"/>
    <w:rsid w:val="008D282C"/>
    <w:rsid w:val="008D38D8"/>
    <w:rsid w:val="008D5BFC"/>
    <w:rsid w:val="008D7681"/>
    <w:rsid w:val="008E2281"/>
    <w:rsid w:val="008E2590"/>
    <w:rsid w:val="008E35DD"/>
    <w:rsid w:val="008E39F3"/>
    <w:rsid w:val="008E3DE4"/>
    <w:rsid w:val="008E57E1"/>
    <w:rsid w:val="008E5C8E"/>
    <w:rsid w:val="008F1757"/>
    <w:rsid w:val="008F1A0E"/>
    <w:rsid w:val="008F32A6"/>
    <w:rsid w:val="008F34E5"/>
    <w:rsid w:val="008F4D78"/>
    <w:rsid w:val="008F5FB5"/>
    <w:rsid w:val="009013D7"/>
    <w:rsid w:val="009028EB"/>
    <w:rsid w:val="00904AD6"/>
    <w:rsid w:val="00905659"/>
    <w:rsid w:val="009100CE"/>
    <w:rsid w:val="009110E1"/>
    <w:rsid w:val="0091264E"/>
    <w:rsid w:val="00915A1D"/>
    <w:rsid w:val="00920278"/>
    <w:rsid w:val="009208BA"/>
    <w:rsid w:val="009209A3"/>
    <w:rsid w:val="00920F9A"/>
    <w:rsid w:val="009220A6"/>
    <w:rsid w:val="00922328"/>
    <w:rsid w:val="00927921"/>
    <w:rsid w:val="00935D58"/>
    <w:rsid w:val="00936FF1"/>
    <w:rsid w:val="00937CBB"/>
    <w:rsid w:val="009405B0"/>
    <w:rsid w:val="00942163"/>
    <w:rsid w:val="0094221D"/>
    <w:rsid w:val="00944323"/>
    <w:rsid w:val="009446B1"/>
    <w:rsid w:val="00945314"/>
    <w:rsid w:val="009458C3"/>
    <w:rsid w:val="0095010C"/>
    <w:rsid w:val="009509A7"/>
    <w:rsid w:val="00950CCF"/>
    <w:rsid w:val="009529B4"/>
    <w:rsid w:val="00956A39"/>
    <w:rsid w:val="0095728B"/>
    <w:rsid w:val="009575A1"/>
    <w:rsid w:val="00960454"/>
    <w:rsid w:val="00962BF8"/>
    <w:rsid w:val="00963850"/>
    <w:rsid w:val="00964103"/>
    <w:rsid w:val="0096459E"/>
    <w:rsid w:val="00964D35"/>
    <w:rsid w:val="00965291"/>
    <w:rsid w:val="00965BBD"/>
    <w:rsid w:val="00966185"/>
    <w:rsid w:val="00966503"/>
    <w:rsid w:val="00970B40"/>
    <w:rsid w:val="009767CD"/>
    <w:rsid w:val="00976AB9"/>
    <w:rsid w:val="00976D8A"/>
    <w:rsid w:val="009771D7"/>
    <w:rsid w:val="00981214"/>
    <w:rsid w:val="009834F7"/>
    <w:rsid w:val="0098522C"/>
    <w:rsid w:val="00985B0D"/>
    <w:rsid w:val="009860E8"/>
    <w:rsid w:val="00987AF0"/>
    <w:rsid w:val="00990E1F"/>
    <w:rsid w:val="00991591"/>
    <w:rsid w:val="0099186B"/>
    <w:rsid w:val="00991998"/>
    <w:rsid w:val="00992A5C"/>
    <w:rsid w:val="0099370C"/>
    <w:rsid w:val="00993B55"/>
    <w:rsid w:val="0099548A"/>
    <w:rsid w:val="00995F40"/>
    <w:rsid w:val="0099614E"/>
    <w:rsid w:val="00996811"/>
    <w:rsid w:val="00996E7B"/>
    <w:rsid w:val="00997CD0"/>
    <w:rsid w:val="009A0C3C"/>
    <w:rsid w:val="009A0E30"/>
    <w:rsid w:val="009A305A"/>
    <w:rsid w:val="009A4DEB"/>
    <w:rsid w:val="009B01B8"/>
    <w:rsid w:val="009B01C4"/>
    <w:rsid w:val="009B0AAA"/>
    <w:rsid w:val="009B0E7C"/>
    <w:rsid w:val="009B1579"/>
    <w:rsid w:val="009B1FA8"/>
    <w:rsid w:val="009B2BF7"/>
    <w:rsid w:val="009B515D"/>
    <w:rsid w:val="009B7581"/>
    <w:rsid w:val="009C0F13"/>
    <w:rsid w:val="009C23B3"/>
    <w:rsid w:val="009C33EF"/>
    <w:rsid w:val="009C3B33"/>
    <w:rsid w:val="009C586A"/>
    <w:rsid w:val="009C5B5C"/>
    <w:rsid w:val="009C5FB3"/>
    <w:rsid w:val="009D3975"/>
    <w:rsid w:val="009D3A06"/>
    <w:rsid w:val="009D44C5"/>
    <w:rsid w:val="009D462E"/>
    <w:rsid w:val="009D57BD"/>
    <w:rsid w:val="009D6807"/>
    <w:rsid w:val="009D6FCF"/>
    <w:rsid w:val="009E011E"/>
    <w:rsid w:val="009E1DA5"/>
    <w:rsid w:val="009E2A09"/>
    <w:rsid w:val="009E2C2F"/>
    <w:rsid w:val="009E307A"/>
    <w:rsid w:val="009E3306"/>
    <w:rsid w:val="009E4988"/>
    <w:rsid w:val="009E539B"/>
    <w:rsid w:val="009E57B8"/>
    <w:rsid w:val="009E5E3E"/>
    <w:rsid w:val="009E60C3"/>
    <w:rsid w:val="009E648A"/>
    <w:rsid w:val="009E7E78"/>
    <w:rsid w:val="009F3FE9"/>
    <w:rsid w:val="009F5BB7"/>
    <w:rsid w:val="009F6166"/>
    <w:rsid w:val="00A00272"/>
    <w:rsid w:val="00A017AC"/>
    <w:rsid w:val="00A01E00"/>
    <w:rsid w:val="00A03B8D"/>
    <w:rsid w:val="00A0401F"/>
    <w:rsid w:val="00A04280"/>
    <w:rsid w:val="00A0748F"/>
    <w:rsid w:val="00A10D89"/>
    <w:rsid w:val="00A11335"/>
    <w:rsid w:val="00A127C8"/>
    <w:rsid w:val="00A137A0"/>
    <w:rsid w:val="00A1380D"/>
    <w:rsid w:val="00A1480B"/>
    <w:rsid w:val="00A14DC5"/>
    <w:rsid w:val="00A14DF0"/>
    <w:rsid w:val="00A14E8F"/>
    <w:rsid w:val="00A1703A"/>
    <w:rsid w:val="00A177DE"/>
    <w:rsid w:val="00A17B4D"/>
    <w:rsid w:val="00A17C3D"/>
    <w:rsid w:val="00A17E51"/>
    <w:rsid w:val="00A17F91"/>
    <w:rsid w:val="00A17FAB"/>
    <w:rsid w:val="00A200AC"/>
    <w:rsid w:val="00A20D69"/>
    <w:rsid w:val="00A21D97"/>
    <w:rsid w:val="00A22FE1"/>
    <w:rsid w:val="00A238D7"/>
    <w:rsid w:val="00A24C73"/>
    <w:rsid w:val="00A2500C"/>
    <w:rsid w:val="00A2573F"/>
    <w:rsid w:val="00A26011"/>
    <w:rsid w:val="00A310B0"/>
    <w:rsid w:val="00A32401"/>
    <w:rsid w:val="00A32D14"/>
    <w:rsid w:val="00A32FA3"/>
    <w:rsid w:val="00A34260"/>
    <w:rsid w:val="00A3488F"/>
    <w:rsid w:val="00A36979"/>
    <w:rsid w:val="00A4255D"/>
    <w:rsid w:val="00A43E34"/>
    <w:rsid w:val="00A52D05"/>
    <w:rsid w:val="00A53917"/>
    <w:rsid w:val="00A5667D"/>
    <w:rsid w:val="00A61A17"/>
    <w:rsid w:val="00A63250"/>
    <w:rsid w:val="00A6623A"/>
    <w:rsid w:val="00A66401"/>
    <w:rsid w:val="00A6750E"/>
    <w:rsid w:val="00A7126A"/>
    <w:rsid w:val="00A714A9"/>
    <w:rsid w:val="00A72315"/>
    <w:rsid w:val="00A73797"/>
    <w:rsid w:val="00A743CD"/>
    <w:rsid w:val="00A75C85"/>
    <w:rsid w:val="00A76DB9"/>
    <w:rsid w:val="00A77EB8"/>
    <w:rsid w:val="00A802C2"/>
    <w:rsid w:val="00A81499"/>
    <w:rsid w:val="00A84C4F"/>
    <w:rsid w:val="00A84E19"/>
    <w:rsid w:val="00A90273"/>
    <w:rsid w:val="00A91B39"/>
    <w:rsid w:val="00A929F2"/>
    <w:rsid w:val="00A94F1B"/>
    <w:rsid w:val="00A955B3"/>
    <w:rsid w:val="00A96CB9"/>
    <w:rsid w:val="00AA071A"/>
    <w:rsid w:val="00AA0A3F"/>
    <w:rsid w:val="00AA11B4"/>
    <w:rsid w:val="00AA12B4"/>
    <w:rsid w:val="00AA1520"/>
    <w:rsid w:val="00AA2266"/>
    <w:rsid w:val="00AA2F55"/>
    <w:rsid w:val="00AA33EB"/>
    <w:rsid w:val="00AA3C5B"/>
    <w:rsid w:val="00AA556B"/>
    <w:rsid w:val="00AA61D3"/>
    <w:rsid w:val="00AA706F"/>
    <w:rsid w:val="00AB0D63"/>
    <w:rsid w:val="00AB3574"/>
    <w:rsid w:val="00AB4139"/>
    <w:rsid w:val="00AB73D3"/>
    <w:rsid w:val="00AC1436"/>
    <w:rsid w:val="00AC1DCA"/>
    <w:rsid w:val="00AC25C6"/>
    <w:rsid w:val="00AC356D"/>
    <w:rsid w:val="00AC4D3B"/>
    <w:rsid w:val="00AC4EAA"/>
    <w:rsid w:val="00AC68A9"/>
    <w:rsid w:val="00AC6E54"/>
    <w:rsid w:val="00AC6EA5"/>
    <w:rsid w:val="00AC7797"/>
    <w:rsid w:val="00AC7B0F"/>
    <w:rsid w:val="00AD14B1"/>
    <w:rsid w:val="00AD4FCA"/>
    <w:rsid w:val="00AD6707"/>
    <w:rsid w:val="00AD7FB7"/>
    <w:rsid w:val="00AE1ABC"/>
    <w:rsid w:val="00AE363E"/>
    <w:rsid w:val="00AE778D"/>
    <w:rsid w:val="00AE7A46"/>
    <w:rsid w:val="00AF008D"/>
    <w:rsid w:val="00AF0727"/>
    <w:rsid w:val="00AF08BD"/>
    <w:rsid w:val="00AF126E"/>
    <w:rsid w:val="00AF3A33"/>
    <w:rsid w:val="00AF417C"/>
    <w:rsid w:val="00AF45AA"/>
    <w:rsid w:val="00AF4BD9"/>
    <w:rsid w:val="00AF6A4F"/>
    <w:rsid w:val="00B00187"/>
    <w:rsid w:val="00B069F1"/>
    <w:rsid w:val="00B07164"/>
    <w:rsid w:val="00B07EBC"/>
    <w:rsid w:val="00B104CC"/>
    <w:rsid w:val="00B11BD3"/>
    <w:rsid w:val="00B12BD2"/>
    <w:rsid w:val="00B14C92"/>
    <w:rsid w:val="00B160F3"/>
    <w:rsid w:val="00B21467"/>
    <w:rsid w:val="00B2192C"/>
    <w:rsid w:val="00B22023"/>
    <w:rsid w:val="00B22750"/>
    <w:rsid w:val="00B2447E"/>
    <w:rsid w:val="00B24554"/>
    <w:rsid w:val="00B261D2"/>
    <w:rsid w:val="00B2702F"/>
    <w:rsid w:val="00B27062"/>
    <w:rsid w:val="00B30FF8"/>
    <w:rsid w:val="00B3162F"/>
    <w:rsid w:val="00B318D2"/>
    <w:rsid w:val="00B31E20"/>
    <w:rsid w:val="00B32E18"/>
    <w:rsid w:val="00B339EB"/>
    <w:rsid w:val="00B352A9"/>
    <w:rsid w:val="00B3582D"/>
    <w:rsid w:val="00B37D7E"/>
    <w:rsid w:val="00B410FB"/>
    <w:rsid w:val="00B438AA"/>
    <w:rsid w:val="00B445F0"/>
    <w:rsid w:val="00B45135"/>
    <w:rsid w:val="00B45183"/>
    <w:rsid w:val="00B45E22"/>
    <w:rsid w:val="00B4721C"/>
    <w:rsid w:val="00B5025C"/>
    <w:rsid w:val="00B50E0A"/>
    <w:rsid w:val="00B54638"/>
    <w:rsid w:val="00B56D25"/>
    <w:rsid w:val="00B57033"/>
    <w:rsid w:val="00B5721C"/>
    <w:rsid w:val="00B60B48"/>
    <w:rsid w:val="00B61B83"/>
    <w:rsid w:val="00B61D11"/>
    <w:rsid w:val="00B62618"/>
    <w:rsid w:val="00B64861"/>
    <w:rsid w:val="00B64864"/>
    <w:rsid w:val="00B654C7"/>
    <w:rsid w:val="00B65983"/>
    <w:rsid w:val="00B6642B"/>
    <w:rsid w:val="00B66B1F"/>
    <w:rsid w:val="00B6724E"/>
    <w:rsid w:val="00B678C2"/>
    <w:rsid w:val="00B7170B"/>
    <w:rsid w:val="00B7220D"/>
    <w:rsid w:val="00B7633D"/>
    <w:rsid w:val="00B76D85"/>
    <w:rsid w:val="00B77AD7"/>
    <w:rsid w:val="00B77F70"/>
    <w:rsid w:val="00B8092F"/>
    <w:rsid w:val="00B8127B"/>
    <w:rsid w:val="00B824AE"/>
    <w:rsid w:val="00B83557"/>
    <w:rsid w:val="00B87E5C"/>
    <w:rsid w:val="00B92003"/>
    <w:rsid w:val="00B92979"/>
    <w:rsid w:val="00B9437A"/>
    <w:rsid w:val="00B9501C"/>
    <w:rsid w:val="00B95A47"/>
    <w:rsid w:val="00B97DF0"/>
    <w:rsid w:val="00BA1B1B"/>
    <w:rsid w:val="00BA1DED"/>
    <w:rsid w:val="00BA6B74"/>
    <w:rsid w:val="00BA7AA0"/>
    <w:rsid w:val="00BB1287"/>
    <w:rsid w:val="00BB2AF7"/>
    <w:rsid w:val="00BB3B4E"/>
    <w:rsid w:val="00BB421D"/>
    <w:rsid w:val="00BB44FC"/>
    <w:rsid w:val="00BB6416"/>
    <w:rsid w:val="00BC0BB0"/>
    <w:rsid w:val="00BC0BF7"/>
    <w:rsid w:val="00BC147F"/>
    <w:rsid w:val="00BC1A3A"/>
    <w:rsid w:val="00BC23C8"/>
    <w:rsid w:val="00BC3289"/>
    <w:rsid w:val="00BC4041"/>
    <w:rsid w:val="00BC5B80"/>
    <w:rsid w:val="00BD0353"/>
    <w:rsid w:val="00BD056C"/>
    <w:rsid w:val="00BD18CB"/>
    <w:rsid w:val="00BD247C"/>
    <w:rsid w:val="00BD2B95"/>
    <w:rsid w:val="00BD2D5F"/>
    <w:rsid w:val="00BD3259"/>
    <w:rsid w:val="00BD3656"/>
    <w:rsid w:val="00BD6401"/>
    <w:rsid w:val="00BD6866"/>
    <w:rsid w:val="00BD6D7A"/>
    <w:rsid w:val="00BD7976"/>
    <w:rsid w:val="00BD7A4D"/>
    <w:rsid w:val="00BE2114"/>
    <w:rsid w:val="00BE4D8B"/>
    <w:rsid w:val="00BE5B74"/>
    <w:rsid w:val="00BE673F"/>
    <w:rsid w:val="00BF0F69"/>
    <w:rsid w:val="00BF2DB8"/>
    <w:rsid w:val="00BF33D2"/>
    <w:rsid w:val="00BF4DD6"/>
    <w:rsid w:val="00BF6E44"/>
    <w:rsid w:val="00BF6FA4"/>
    <w:rsid w:val="00C01282"/>
    <w:rsid w:val="00C01566"/>
    <w:rsid w:val="00C01716"/>
    <w:rsid w:val="00C031BE"/>
    <w:rsid w:val="00C05BB9"/>
    <w:rsid w:val="00C07F92"/>
    <w:rsid w:val="00C1095A"/>
    <w:rsid w:val="00C130F7"/>
    <w:rsid w:val="00C133E8"/>
    <w:rsid w:val="00C14839"/>
    <w:rsid w:val="00C14840"/>
    <w:rsid w:val="00C149B5"/>
    <w:rsid w:val="00C165BE"/>
    <w:rsid w:val="00C1679F"/>
    <w:rsid w:val="00C16C96"/>
    <w:rsid w:val="00C17E93"/>
    <w:rsid w:val="00C21212"/>
    <w:rsid w:val="00C21F49"/>
    <w:rsid w:val="00C23740"/>
    <w:rsid w:val="00C2445E"/>
    <w:rsid w:val="00C2570C"/>
    <w:rsid w:val="00C259AB"/>
    <w:rsid w:val="00C25CA4"/>
    <w:rsid w:val="00C27DAA"/>
    <w:rsid w:val="00C31B90"/>
    <w:rsid w:val="00C32EEB"/>
    <w:rsid w:val="00C33FAD"/>
    <w:rsid w:val="00C35E5D"/>
    <w:rsid w:val="00C37B32"/>
    <w:rsid w:val="00C40930"/>
    <w:rsid w:val="00C41725"/>
    <w:rsid w:val="00C41E95"/>
    <w:rsid w:val="00C430F8"/>
    <w:rsid w:val="00C434E5"/>
    <w:rsid w:val="00C4433D"/>
    <w:rsid w:val="00C452BC"/>
    <w:rsid w:val="00C46577"/>
    <w:rsid w:val="00C471A6"/>
    <w:rsid w:val="00C500DA"/>
    <w:rsid w:val="00C50AE8"/>
    <w:rsid w:val="00C51021"/>
    <w:rsid w:val="00C51429"/>
    <w:rsid w:val="00C543D8"/>
    <w:rsid w:val="00C5485E"/>
    <w:rsid w:val="00C561E0"/>
    <w:rsid w:val="00C563BE"/>
    <w:rsid w:val="00C60FB8"/>
    <w:rsid w:val="00C64026"/>
    <w:rsid w:val="00C64AA5"/>
    <w:rsid w:val="00C64D87"/>
    <w:rsid w:val="00C67428"/>
    <w:rsid w:val="00C6798F"/>
    <w:rsid w:val="00C71D39"/>
    <w:rsid w:val="00C7223A"/>
    <w:rsid w:val="00C72899"/>
    <w:rsid w:val="00C72C83"/>
    <w:rsid w:val="00C823C5"/>
    <w:rsid w:val="00C8256F"/>
    <w:rsid w:val="00C853F8"/>
    <w:rsid w:val="00C8596B"/>
    <w:rsid w:val="00C86250"/>
    <w:rsid w:val="00C871F1"/>
    <w:rsid w:val="00C92565"/>
    <w:rsid w:val="00C928F2"/>
    <w:rsid w:val="00C9407B"/>
    <w:rsid w:val="00C94B37"/>
    <w:rsid w:val="00C97EAE"/>
    <w:rsid w:val="00CA1E74"/>
    <w:rsid w:val="00CA3597"/>
    <w:rsid w:val="00CA3C0C"/>
    <w:rsid w:val="00CA4B23"/>
    <w:rsid w:val="00CA524E"/>
    <w:rsid w:val="00CA5FB6"/>
    <w:rsid w:val="00CA66DD"/>
    <w:rsid w:val="00CA6AE2"/>
    <w:rsid w:val="00CA7FC1"/>
    <w:rsid w:val="00CB1AC2"/>
    <w:rsid w:val="00CB28F8"/>
    <w:rsid w:val="00CB2A9F"/>
    <w:rsid w:val="00CB576E"/>
    <w:rsid w:val="00CB7834"/>
    <w:rsid w:val="00CC0BC4"/>
    <w:rsid w:val="00CC19AA"/>
    <w:rsid w:val="00CC325B"/>
    <w:rsid w:val="00CC658C"/>
    <w:rsid w:val="00CC7573"/>
    <w:rsid w:val="00CC782C"/>
    <w:rsid w:val="00CD0CDA"/>
    <w:rsid w:val="00CD133B"/>
    <w:rsid w:val="00CD2855"/>
    <w:rsid w:val="00CD3F6C"/>
    <w:rsid w:val="00CD42E9"/>
    <w:rsid w:val="00CD49AD"/>
    <w:rsid w:val="00CD50DA"/>
    <w:rsid w:val="00CD5717"/>
    <w:rsid w:val="00CD736B"/>
    <w:rsid w:val="00CE29F1"/>
    <w:rsid w:val="00CE2B97"/>
    <w:rsid w:val="00CE3692"/>
    <w:rsid w:val="00CE5FDD"/>
    <w:rsid w:val="00CE7371"/>
    <w:rsid w:val="00CE7888"/>
    <w:rsid w:val="00CF10E8"/>
    <w:rsid w:val="00CF1C93"/>
    <w:rsid w:val="00CF3AD1"/>
    <w:rsid w:val="00CF53C7"/>
    <w:rsid w:val="00D0041B"/>
    <w:rsid w:val="00D027BC"/>
    <w:rsid w:val="00D047C9"/>
    <w:rsid w:val="00D05700"/>
    <w:rsid w:val="00D065E6"/>
    <w:rsid w:val="00D06F66"/>
    <w:rsid w:val="00D0766C"/>
    <w:rsid w:val="00D12FE2"/>
    <w:rsid w:val="00D13662"/>
    <w:rsid w:val="00D148E8"/>
    <w:rsid w:val="00D156A5"/>
    <w:rsid w:val="00D21683"/>
    <w:rsid w:val="00D23459"/>
    <w:rsid w:val="00D235AE"/>
    <w:rsid w:val="00D242D2"/>
    <w:rsid w:val="00D24455"/>
    <w:rsid w:val="00D24A3C"/>
    <w:rsid w:val="00D24CD1"/>
    <w:rsid w:val="00D2575F"/>
    <w:rsid w:val="00D26B82"/>
    <w:rsid w:val="00D30430"/>
    <w:rsid w:val="00D308AD"/>
    <w:rsid w:val="00D347CB"/>
    <w:rsid w:val="00D35819"/>
    <w:rsid w:val="00D359CE"/>
    <w:rsid w:val="00D35A9E"/>
    <w:rsid w:val="00D3766F"/>
    <w:rsid w:val="00D40B03"/>
    <w:rsid w:val="00D41277"/>
    <w:rsid w:val="00D42E18"/>
    <w:rsid w:val="00D451EE"/>
    <w:rsid w:val="00D4542D"/>
    <w:rsid w:val="00D4750F"/>
    <w:rsid w:val="00D50B39"/>
    <w:rsid w:val="00D51097"/>
    <w:rsid w:val="00D513D9"/>
    <w:rsid w:val="00D51FF9"/>
    <w:rsid w:val="00D525C3"/>
    <w:rsid w:val="00D55099"/>
    <w:rsid w:val="00D554B9"/>
    <w:rsid w:val="00D603AF"/>
    <w:rsid w:val="00D629F5"/>
    <w:rsid w:val="00D652F9"/>
    <w:rsid w:val="00D725D5"/>
    <w:rsid w:val="00D72F14"/>
    <w:rsid w:val="00D73450"/>
    <w:rsid w:val="00D744F1"/>
    <w:rsid w:val="00D750E6"/>
    <w:rsid w:val="00D75301"/>
    <w:rsid w:val="00D7619C"/>
    <w:rsid w:val="00D76B16"/>
    <w:rsid w:val="00D80588"/>
    <w:rsid w:val="00D81321"/>
    <w:rsid w:val="00D83690"/>
    <w:rsid w:val="00D85CFC"/>
    <w:rsid w:val="00D86894"/>
    <w:rsid w:val="00D86ADE"/>
    <w:rsid w:val="00D87307"/>
    <w:rsid w:val="00D87511"/>
    <w:rsid w:val="00D91740"/>
    <w:rsid w:val="00D92095"/>
    <w:rsid w:val="00D92770"/>
    <w:rsid w:val="00D9350D"/>
    <w:rsid w:val="00D946DB"/>
    <w:rsid w:val="00D96A96"/>
    <w:rsid w:val="00D97434"/>
    <w:rsid w:val="00DA1273"/>
    <w:rsid w:val="00DA1B24"/>
    <w:rsid w:val="00DA2447"/>
    <w:rsid w:val="00DA32A6"/>
    <w:rsid w:val="00DA33BD"/>
    <w:rsid w:val="00DA397F"/>
    <w:rsid w:val="00DA62E1"/>
    <w:rsid w:val="00DA6C65"/>
    <w:rsid w:val="00DB0432"/>
    <w:rsid w:val="00DB1F97"/>
    <w:rsid w:val="00DB337C"/>
    <w:rsid w:val="00DB3DFC"/>
    <w:rsid w:val="00DB4594"/>
    <w:rsid w:val="00DB7B55"/>
    <w:rsid w:val="00DC1D36"/>
    <w:rsid w:val="00DC2E85"/>
    <w:rsid w:val="00DC5331"/>
    <w:rsid w:val="00DC65EB"/>
    <w:rsid w:val="00DC748F"/>
    <w:rsid w:val="00DD02A6"/>
    <w:rsid w:val="00DD2341"/>
    <w:rsid w:val="00DD2986"/>
    <w:rsid w:val="00DD32EE"/>
    <w:rsid w:val="00DD4D2B"/>
    <w:rsid w:val="00DD51CF"/>
    <w:rsid w:val="00DD5241"/>
    <w:rsid w:val="00DD59C7"/>
    <w:rsid w:val="00DE0646"/>
    <w:rsid w:val="00DE20D9"/>
    <w:rsid w:val="00DE2DD6"/>
    <w:rsid w:val="00DE3BB7"/>
    <w:rsid w:val="00DE42E3"/>
    <w:rsid w:val="00DE59EB"/>
    <w:rsid w:val="00DE5CAD"/>
    <w:rsid w:val="00DF2CF2"/>
    <w:rsid w:val="00DF5A09"/>
    <w:rsid w:val="00DF7973"/>
    <w:rsid w:val="00DF7D78"/>
    <w:rsid w:val="00E000F7"/>
    <w:rsid w:val="00E00B86"/>
    <w:rsid w:val="00E021B2"/>
    <w:rsid w:val="00E03F31"/>
    <w:rsid w:val="00E05224"/>
    <w:rsid w:val="00E05B39"/>
    <w:rsid w:val="00E06B01"/>
    <w:rsid w:val="00E06B63"/>
    <w:rsid w:val="00E073A0"/>
    <w:rsid w:val="00E10062"/>
    <w:rsid w:val="00E10801"/>
    <w:rsid w:val="00E10F0B"/>
    <w:rsid w:val="00E10F44"/>
    <w:rsid w:val="00E11587"/>
    <w:rsid w:val="00E11AA4"/>
    <w:rsid w:val="00E12C50"/>
    <w:rsid w:val="00E12CAC"/>
    <w:rsid w:val="00E1369C"/>
    <w:rsid w:val="00E15C1A"/>
    <w:rsid w:val="00E15CFC"/>
    <w:rsid w:val="00E161AB"/>
    <w:rsid w:val="00E17438"/>
    <w:rsid w:val="00E1795B"/>
    <w:rsid w:val="00E17DD8"/>
    <w:rsid w:val="00E20320"/>
    <w:rsid w:val="00E2343A"/>
    <w:rsid w:val="00E24B0C"/>
    <w:rsid w:val="00E24D19"/>
    <w:rsid w:val="00E2549A"/>
    <w:rsid w:val="00E31762"/>
    <w:rsid w:val="00E32F03"/>
    <w:rsid w:val="00E3343F"/>
    <w:rsid w:val="00E34E97"/>
    <w:rsid w:val="00E35D58"/>
    <w:rsid w:val="00E40ECB"/>
    <w:rsid w:val="00E414DC"/>
    <w:rsid w:val="00E41956"/>
    <w:rsid w:val="00E43419"/>
    <w:rsid w:val="00E4415B"/>
    <w:rsid w:val="00E45140"/>
    <w:rsid w:val="00E456B1"/>
    <w:rsid w:val="00E4767C"/>
    <w:rsid w:val="00E47682"/>
    <w:rsid w:val="00E5210D"/>
    <w:rsid w:val="00E53136"/>
    <w:rsid w:val="00E54BBE"/>
    <w:rsid w:val="00E55DDD"/>
    <w:rsid w:val="00E562A2"/>
    <w:rsid w:val="00E56A3E"/>
    <w:rsid w:val="00E56F43"/>
    <w:rsid w:val="00E56FC5"/>
    <w:rsid w:val="00E605F2"/>
    <w:rsid w:val="00E609C7"/>
    <w:rsid w:val="00E61944"/>
    <w:rsid w:val="00E61FD1"/>
    <w:rsid w:val="00E63066"/>
    <w:rsid w:val="00E64218"/>
    <w:rsid w:val="00E716BA"/>
    <w:rsid w:val="00E73100"/>
    <w:rsid w:val="00E735A2"/>
    <w:rsid w:val="00E75FF2"/>
    <w:rsid w:val="00E760F8"/>
    <w:rsid w:val="00E77018"/>
    <w:rsid w:val="00E80C1B"/>
    <w:rsid w:val="00E82808"/>
    <w:rsid w:val="00E833EB"/>
    <w:rsid w:val="00E83C51"/>
    <w:rsid w:val="00E83E01"/>
    <w:rsid w:val="00E854E2"/>
    <w:rsid w:val="00E869AD"/>
    <w:rsid w:val="00E87F8B"/>
    <w:rsid w:val="00E90C3A"/>
    <w:rsid w:val="00E90E19"/>
    <w:rsid w:val="00E92233"/>
    <w:rsid w:val="00E92E4D"/>
    <w:rsid w:val="00E935C2"/>
    <w:rsid w:val="00E94E50"/>
    <w:rsid w:val="00E95D25"/>
    <w:rsid w:val="00E96441"/>
    <w:rsid w:val="00E976C1"/>
    <w:rsid w:val="00EA2DED"/>
    <w:rsid w:val="00EA3248"/>
    <w:rsid w:val="00EA3359"/>
    <w:rsid w:val="00EA3875"/>
    <w:rsid w:val="00EA4F3C"/>
    <w:rsid w:val="00EA55E5"/>
    <w:rsid w:val="00EA570A"/>
    <w:rsid w:val="00EA5B54"/>
    <w:rsid w:val="00EA7027"/>
    <w:rsid w:val="00EA77B2"/>
    <w:rsid w:val="00EA7AB4"/>
    <w:rsid w:val="00EB18E7"/>
    <w:rsid w:val="00EB4F8E"/>
    <w:rsid w:val="00EB5971"/>
    <w:rsid w:val="00EB5B6D"/>
    <w:rsid w:val="00EB66DC"/>
    <w:rsid w:val="00EB7507"/>
    <w:rsid w:val="00EC08D8"/>
    <w:rsid w:val="00EC294B"/>
    <w:rsid w:val="00EC2B3A"/>
    <w:rsid w:val="00EC2DBE"/>
    <w:rsid w:val="00EC2EDC"/>
    <w:rsid w:val="00EC48A4"/>
    <w:rsid w:val="00EC48D5"/>
    <w:rsid w:val="00EC60B3"/>
    <w:rsid w:val="00ED051B"/>
    <w:rsid w:val="00ED0E8F"/>
    <w:rsid w:val="00ED140A"/>
    <w:rsid w:val="00ED3AA9"/>
    <w:rsid w:val="00ED676E"/>
    <w:rsid w:val="00ED6BDA"/>
    <w:rsid w:val="00ED799F"/>
    <w:rsid w:val="00EE0E6B"/>
    <w:rsid w:val="00EE152F"/>
    <w:rsid w:val="00EE1711"/>
    <w:rsid w:val="00EE38EF"/>
    <w:rsid w:val="00EE5025"/>
    <w:rsid w:val="00EE64A9"/>
    <w:rsid w:val="00EE6D2F"/>
    <w:rsid w:val="00EF0EF4"/>
    <w:rsid w:val="00EF114B"/>
    <w:rsid w:val="00EF3F34"/>
    <w:rsid w:val="00EF4730"/>
    <w:rsid w:val="00EF4F24"/>
    <w:rsid w:val="00EF741F"/>
    <w:rsid w:val="00F01EFE"/>
    <w:rsid w:val="00F0292B"/>
    <w:rsid w:val="00F02B7F"/>
    <w:rsid w:val="00F037DF"/>
    <w:rsid w:val="00F03AE4"/>
    <w:rsid w:val="00F03D8D"/>
    <w:rsid w:val="00F0570F"/>
    <w:rsid w:val="00F06290"/>
    <w:rsid w:val="00F06734"/>
    <w:rsid w:val="00F06D17"/>
    <w:rsid w:val="00F07D2A"/>
    <w:rsid w:val="00F111EE"/>
    <w:rsid w:val="00F11859"/>
    <w:rsid w:val="00F11AC3"/>
    <w:rsid w:val="00F11E1A"/>
    <w:rsid w:val="00F148DE"/>
    <w:rsid w:val="00F15DEE"/>
    <w:rsid w:val="00F169FA"/>
    <w:rsid w:val="00F17219"/>
    <w:rsid w:val="00F175FF"/>
    <w:rsid w:val="00F20C58"/>
    <w:rsid w:val="00F21DC3"/>
    <w:rsid w:val="00F22F24"/>
    <w:rsid w:val="00F2384C"/>
    <w:rsid w:val="00F23FBD"/>
    <w:rsid w:val="00F24E17"/>
    <w:rsid w:val="00F24EFF"/>
    <w:rsid w:val="00F256DD"/>
    <w:rsid w:val="00F25840"/>
    <w:rsid w:val="00F27437"/>
    <w:rsid w:val="00F277C0"/>
    <w:rsid w:val="00F31A95"/>
    <w:rsid w:val="00F33317"/>
    <w:rsid w:val="00F33D79"/>
    <w:rsid w:val="00F3427D"/>
    <w:rsid w:val="00F346D9"/>
    <w:rsid w:val="00F36646"/>
    <w:rsid w:val="00F411AB"/>
    <w:rsid w:val="00F415C9"/>
    <w:rsid w:val="00F4177A"/>
    <w:rsid w:val="00F43BB5"/>
    <w:rsid w:val="00F44BE4"/>
    <w:rsid w:val="00F45E7E"/>
    <w:rsid w:val="00F477F4"/>
    <w:rsid w:val="00F5142E"/>
    <w:rsid w:val="00F51771"/>
    <w:rsid w:val="00F53F54"/>
    <w:rsid w:val="00F540A0"/>
    <w:rsid w:val="00F57B2B"/>
    <w:rsid w:val="00F57FEA"/>
    <w:rsid w:val="00F63040"/>
    <w:rsid w:val="00F65035"/>
    <w:rsid w:val="00F6515F"/>
    <w:rsid w:val="00F652B3"/>
    <w:rsid w:val="00F654A0"/>
    <w:rsid w:val="00F659F6"/>
    <w:rsid w:val="00F66993"/>
    <w:rsid w:val="00F66BD6"/>
    <w:rsid w:val="00F67CBC"/>
    <w:rsid w:val="00F727CC"/>
    <w:rsid w:val="00F73301"/>
    <w:rsid w:val="00F738CA"/>
    <w:rsid w:val="00F74711"/>
    <w:rsid w:val="00F75B35"/>
    <w:rsid w:val="00F76C7B"/>
    <w:rsid w:val="00F773B7"/>
    <w:rsid w:val="00F803B1"/>
    <w:rsid w:val="00F807DC"/>
    <w:rsid w:val="00F80A7B"/>
    <w:rsid w:val="00F80E5C"/>
    <w:rsid w:val="00F81A2F"/>
    <w:rsid w:val="00F85304"/>
    <w:rsid w:val="00F862D0"/>
    <w:rsid w:val="00F91892"/>
    <w:rsid w:val="00F940A5"/>
    <w:rsid w:val="00F960D6"/>
    <w:rsid w:val="00F9749F"/>
    <w:rsid w:val="00FA05B0"/>
    <w:rsid w:val="00FA2B64"/>
    <w:rsid w:val="00FA3974"/>
    <w:rsid w:val="00FA46DF"/>
    <w:rsid w:val="00FA55D2"/>
    <w:rsid w:val="00FA69F5"/>
    <w:rsid w:val="00FA6C82"/>
    <w:rsid w:val="00FA740C"/>
    <w:rsid w:val="00FB08D6"/>
    <w:rsid w:val="00FB1D3D"/>
    <w:rsid w:val="00FB25D0"/>
    <w:rsid w:val="00FB35D1"/>
    <w:rsid w:val="00FB3BC2"/>
    <w:rsid w:val="00FB6559"/>
    <w:rsid w:val="00FC326B"/>
    <w:rsid w:val="00FC51DB"/>
    <w:rsid w:val="00FC5A6C"/>
    <w:rsid w:val="00FC7334"/>
    <w:rsid w:val="00FC797D"/>
    <w:rsid w:val="00FD1069"/>
    <w:rsid w:val="00FD3B48"/>
    <w:rsid w:val="00FD3B7D"/>
    <w:rsid w:val="00FD4E8D"/>
    <w:rsid w:val="00FD7436"/>
    <w:rsid w:val="00FD7CC2"/>
    <w:rsid w:val="00FE0D44"/>
    <w:rsid w:val="00FE2331"/>
    <w:rsid w:val="00FE2A3B"/>
    <w:rsid w:val="00FE2A6E"/>
    <w:rsid w:val="00FE330A"/>
    <w:rsid w:val="00FE401B"/>
    <w:rsid w:val="00FE4EC3"/>
    <w:rsid w:val="00FE5521"/>
    <w:rsid w:val="00FE5D00"/>
    <w:rsid w:val="00FE5FC2"/>
    <w:rsid w:val="00FE6C5D"/>
    <w:rsid w:val="00FF0646"/>
    <w:rsid w:val="00FF0ECB"/>
    <w:rsid w:val="00FF20AC"/>
    <w:rsid w:val="00FF4E8B"/>
    <w:rsid w:val="00FF50CB"/>
    <w:rsid w:val="00FF5142"/>
    <w:rsid w:val="00FF656F"/>
    <w:rsid w:val="00FF6AD7"/>
    <w:rsid w:val="00FF723A"/>
    <w:rsid w:val="00FF748B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2B1297-2693-4162-98AF-EFA243A8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3956"/>
    <w:rPr>
      <w:sz w:val="24"/>
      <w:szCs w:val="24"/>
    </w:rPr>
  </w:style>
  <w:style w:type="paragraph" w:styleId="Heading1">
    <w:name w:val="heading 1"/>
    <w:basedOn w:val="Normal"/>
    <w:next w:val="Normal"/>
    <w:qFormat/>
    <w:rsid w:val="00D0766C"/>
    <w:pPr>
      <w:keepNext/>
      <w:outlineLvl w:val="0"/>
    </w:pPr>
    <w:rPr>
      <w:b/>
      <w:i/>
      <w:sz w:val="28"/>
      <w:szCs w:val="20"/>
    </w:rPr>
  </w:style>
  <w:style w:type="paragraph" w:styleId="Heading2">
    <w:name w:val="heading 2"/>
    <w:basedOn w:val="Normal"/>
    <w:next w:val="Normal"/>
    <w:qFormat/>
    <w:rsid w:val="00D0766C"/>
    <w:pPr>
      <w:keepNext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qFormat/>
    <w:rsid w:val="00D0766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D0766C"/>
    <w:pPr>
      <w:keepNext/>
      <w:spacing w:before="120" w:after="60"/>
      <w:outlineLvl w:val="3"/>
    </w:pPr>
    <w:rPr>
      <w:bCs/>
      <w:i/>
      <w:sz w:val="20"/>
      <w:szCs w:val="28"/>
    </w:rPr>
  </w:style>
  <w:style w:type="paragraph" w:styleId="Heading5">
    <w:name w:val="heading 5"/>
    <w:basedOn w:val="Normal"/>
    <w:next w:val="Normal"/>
    <w:autoRedefine/>
    <w:qFormat/>
    <w:rsid w:val="00F85304"/>
    <w:pPr>
      <w:keepNext/>
      <w:outlineLvl w:val="4"/>
    </w:pPr>
    <w:rPr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4"/>
    <w:rsid w:val="001C67A6"/>
    <w:rPr>
      <w:rFonts w:eastAsia="HelveticaL-Book"/>
      <w:b/>
      <w:i w:val="0"/>
      <w:iCs/>
      <w:sz w:val="24"/>
    </w:rPr>
  </w:style>
  <w:style w:type="paragraph" w:customStyle="1" w:styleId="Style6">
    <w:name w:val="Style6"/>
    <w:basedOn w:val="Heading4"/>
    <w:autoRedefine/>
    <w:rsid w:val="00014889"/>
    <w:rPr>
      <w:b/>
    </w:rPr>
  </w:style>
  <w:style w:type="paragraph" w:customStyle="1" w:styleId="Style7">
    <w:name w:val="Style7"/>
    <w:basedOn w:val="Heading4"/>
    <w:autoRedefine/>
    <w:rsid w:val="00014889"/>
    <w:rPr>
      <w:b/>
    </w:rPr>
  </w:style>
  <w:style w:type="paragraph" w:customStyle="1" w:styleId="Style8">
    <w:name w:val="Style8"/>
    <w:basedOn w:val="Heading3"/>
    <w:autoRedefine/>
    <w:rsid w:val="00014889"/>
    <w:rPr>
      <w:i w:val="0"/>
      <w:sz w:val="28"/>
    </w:rPr>
  </w:style>
  <w:style w:type="paragraph" w:customStyle="1" w:styleId="Virsraksts11">
    <w:name w:val="Virsraksts 11"/>
    <w:rsid w:val="00DC1D36"/>
    <w:rPr>
      <w:b/>
      <w:i/>
      <w:sz w:val="24"/>
      <w:szCs w:val="28"/>
    </w:rPr>
  </w:style>
  <w:style w:type="paragraph" w:customStyle="1" w:styleId="Virsraksts21">
    <w:name w:val="Virsraksts 21"/>
    <w:rsid w:val="00DC1D36"/>
    <w:rPr>
      <w:b/>
      <w:i/>
      <w:sz w:val="22"/>
      <w:szCs w:val="28"/>
    </w:rPr>
  </w:style>
  <w:style w:type="paragraph" w:customStyle="1" w:styleId="Virsraksts31">
    <w:name w:val="Virsraksts 31"/>
    <w:basedOn w:val="Heading4"/>
    <w:rsid w:val="00DC1D36"/>
    <w:rPr>
      <w:b/>
    </w:rPr>
  </w:style>
  <w:style w:type="paragraph" w:customStyle="1" w:styleId="Style1">
    <w:name w:val="Style1"/>
    <w:basedOn w:val="Heading2"/>
    <w:rsid w:val="005805BC"/>
    <w:pPr>
      <w:jc w:val="both"/>
    </w:pPr>
    <w:rPr>
      <w:bCs/>
      <w:i w:val="0"/>
      <w:iCs/>
    </w:rPr>
  </w:style>
  <w:style w:type="paragraph" w:customStyle="1" w:styleId="VirsrakstsU">
    <w:name w:val="Virsraksts U"/>
    <w:basedOn w:val="Heading2"/>
    <w:rsid w:val="005805BC"/>
    <w:rPr>
      <w:bCs/>
      <w:i w:val="0"/>
      <w:iCs/>
    </w:rPr>
  </w:style>
  <w:style w:type="table" w:styleId="TableGrid">
    <w:name w:val="Table Grid"/>
    <w:basedOn w:val="TableNormal"/>
    <w:rsid w:val="00B76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B76D85"/>
    <w:pPr>
      <w:spacing w:before="75" w:after="75"/>
    </w:pPr>
  </w:style>
  <w:style w:type="paragraph" w:styleId="Header">
    <w:name w:val="header"/>
    <w:basedOn w:val="Normal"/>
    <w:link w:val="HeaderChar"/>
    <w:rsid w:val="001946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94614"/>
  </w:style>
  <w:style w:type="paragraph" w:styleId="Footer">
    <w:name w:val="footer"/>
    <w:basedOn w:val="Normal"/>
    <w:link w:val="FooterChar"/>
    <w:uiPriority w:val="99"/>
    <w:rsid w:val="0019461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194614"/>
    <w:rPr>
      <w:sz w:val="24"/>
      <w:szCs w:val="24"/>
      <w:lang w:val="lv-LV" w:eastAsia="lv-LV" w:bidi="ar-SA"/>
    </w:rPr>
  </w:style>
  <w:style w:type="paragraph" w:customStyle="1" w:styleId="naisnod">
    <w:name w:val="naisnod"/>
    <w:basedOn w:val="Normal"/>
    <w:rsid w:val="00043389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Normal"/>
    <w:link w:val="naisfChar"/>
    <w:rsid w:val="003B629D"/>
    <w:pPr>
      <w:spacing w:before="75" w:after="75"/>
      <w:ind w:firstLine="375"/>
      <w:jc w:val="both"/>
    </w:pPr>
  </w:style>
  <w:style w:type="paragraph" w:styleId="Subtitle">
    <w:name w:val="Subtitle"/>
    <w:basedOn w:val="Normal"/>
    <w:qFormat/>
    <w:rsid w:val="003B629D"/>
    <w:pPr>
      <w:jc w:val="center"/>
    </w:pPr>
    <w:rPr>
      <w:b/>
      <w:szCs w:val="20"/>
    </w:rPr>
  </w:style>
  <w:style w:type="character" w:customStyle="1" w:styleId="HeaderChar">
    <w:name w:val="Header Char"/>
    <w:link w:val="Header"/>
    <w:semiHidden/>
    <w:locked/>
    <w:rsid w:val="00273F99"/>
    <w:rPr>
      <w:sz w:val="24"/>
      <w:szCs w:val="24"/>
      <w:lang w:val="lv-LV" w:eastAsia="lv-LV" w:bidi="ar-SA"/>
    </w:rPr>
  </w:style>
  <w:style w:type="paragraph" w:styleId="BalloonText">
    <w:name w:val="Balloon Text"/>
    <w:basedOn w:val="Normal"/>
    <w:semiHidden/>
    <w:rsid w:val="0025221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B4594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DB4594"/>
    <w:rPr>
      <w:lang w:val="lv-LV" w:eastAsia="lv-LV" w:bidi="ar-SA"/>
    </w:rPr>
  </w:style>
  <w:style w:type="paragraph" w:styleId="BodyText">
    <w:name w:val="Body Text"/>
    <w:basedOn w:val="Normal"/>
    <w:link w:val="BodyTextChar"/>
    <w:rsid w:val="007E7037"/>
    <w:pPr>
      <w:jc w:val="center"/>
    </w:pPr>
    <w:rPr>
      <w:sz w:val="28"/>
      <w:szCs w:val="28"/>
      <w:lang w:eastAsia="en-US"/>
    </w:rPr>
  </w:style>
  <w:style w:type="character" w:customStyle="1" w:styleId="BodyTextChar">
    <w:name w:val="Body Text Char"/>
    <w:link w:val="BodyText"/>
    <w:locked/>
    <w:rsid w:val="007E7037"/>
    <w:rPr>
      <w:sz w:val="28"/>
      <w:szCs w:val="28"/>
      <w:lang w:val="lv-LV" w:eastAsia="en-US" w:bidi="ar-SA"/>
    </w:rPr>
  </w:style>
  <w:style w:type="character" w:styleId="Hyperlink">
    <w:name w:val="Hyperlink"/>
    <w:rsid w:val="004E63EA"/>
    <w:rPr>
      <w:rFonts w:cs="Times New Roman"/>
      <w:color w:val="0000FF"/>
      <w:u w:val="single"/>
    </w:rPr>
  </w:style>
  <w:style w:type="paragraph" w:customStyle="1" w:styleId="1">
    <w:name w:val="1"/>
    <w:basedOn w:val="Normal"/>
    <w:rsid w:val="004E63E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noteText">
    <w:name w:val="footnote text"/>
    <w:basedOn w:val="Normal"/>
    <w:semiHidden/>
    <w:rsid w:val="007F00CE"/>
    <w:rPr>
      <w:sz w:val="20"/>
      <w:szCs w:val="20"/>
    </w:rPr>
  </w:style>
  <w:style w:type="character" w:styleId="FootnoteReference">
    <w:name w:val="footnote reference"/>
    <w:semiHidden/>
    <w:rsid w:val="007F00CE"/>
    <w:rPr>
      <w:vertAlign w:val="superscript"/>
    </w:rPr>
  </w:style>
  <w:style w:type="paragraph" w:customStyle="1" w:styleId="RakstzRakstzRakstzCharCharRakstzRakstzCharCharRakstzRakstz">
    <w:name w:val="Rakstz. Rakstz. Rakstz. Char Char Rakstz. Rakstz. Char Char Rakstz. Rakstz."/>
    <w:basedOn w:val="Normal"/>
    <w:rsid w:val="00CD133B"/>
    <w:pPr>
      <w:spacing w:before="40"/>
    </w:pPr>
    <w:rPr>
      <w:lang w:val="pl-PL" w:eastAsia="pl-PL"/>
    </w:rPr>
  </w:style>
  <w:style w:type="character" w:styleId="CommentReference">
    <w:name w:val="annotation reference"/>
    <w:semiHidden/>
    <w:rsid w:val="00606397"/>
    <w:rPr>
      <w:sz w:val="16"/>
      <w:szCs w:val="16"/>
    </w:rPr>
  </w:style>
  <w:style w:type="paragraph" w:customStyle="1" w:styleId="NoSpacing1">
    <w:name w:val="No Spacing1"/>
    <w:qFormat/>
    <w:rsid w:val="00C41725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2078E6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character" w:customStyle="1" w:styleId="naisfChar">
    <w:name w:val="naisf Char"/>
    <w:link w:val="naisf"/>
    <w:locked/>
    <w:rsid w:val="00A94F1B"/>
    <w:rPr>
      <w:sz w:val="24"/>
      <w:szCs w:val="24"/>
      <w:lang w:val="lv-LV" w:eastAsia="lv-LV" w:bidi="ar-SA"/>
    </w:rPr>
  </w:style>
  <w:style w:type="paragraph" w:styleId="CommentSubject">
    <w:name w:val="annotation subject"/>
    <w:basedOn w:val="CommentText"/>
    <w:next w:val="CommentText"/>
    <w:semiHidden/>
    <w:rsid w:val="00995F40"/>
    <w:rPr>
      <w:b/>
      <w:bCs/>
    </w:rPr>
  </w:style>
  <w:style w:type="character" w:customStyle="1" w:styleId="spelle">
    <w:name w:val="spelle"/>
    <w:basedOn w:val="DefaultParagraphFont"/>
    <w:rsid w:val="006553E9"/>
  </w:style>
  <w:style w:type="paragraph" w:customStyle="1" w:styleId="ListParagraph1">
    <w:name w:val="List Paragraph1"/>
    <w:basedOn w:val="Normal"/>
    <w:qFormat/>
    <w:rsid w:val="00B7170B"/>
    <w:pPr>
      <w:ind w:left="720"/>
    </w:pPr>
  </w:style>
  <w:style w:type="paragraph" w:customStyle="1" w:styleId="RakstzCharCharRakstzCharCharRakstz">
    <w:name w:val="Rakstz. Char Char Rakstz. Char Char Rakstz."/>
    <w:basedOn w:val="Normal"/>
    <w:rsid w:val="006D078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htmlmktable">
    <w:name w:val="tv_html mk_table"/>
    <w:basedOn w:val="Normal"/>
    <w:rsid w:val="00F66BD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apple-converted-space">
    <w:name w:val="apple-converted-space"/>
    <w:basedOn w:val="DefaultParagraphFont"/>
    <w:rsid w:val="00125EEB"/>
  </w:style>
  <w:style w:type="paragraph" w:customStyle="1" w:styleId="tv213tvp">
    <w:name w:val="tv213 tvp"/>
    <w:basedOn w:val="Normal"/>
    <w:rsid w:val="00A137A0"/>
    <w:pPr>
      <w:spacing w:before="100" w:beforeAutospacing="1" w:after="100" w:afterAutospacing="1"/>
    </w:pPr>
  </w:style>
  <w:style w:type="paragraph" w:customStyle="1" w:styleId="tv213limenis2">
    <w:name w:val="tv213 limenis2"/>
    <w:basedOn w:val="Normal"/>
    <w:rsid w:val="00A137A0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A137A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Normal"/>
    <w:rsid w:val="004242D8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C471A6"/>
    <w:pPr>
      <w:ind w:left="720"/>
    </w:pPr>
  </w:style>
  <w:style w:type="paragraph" w:customStyle="1" w:styleId="tv2131">
    <w:name w:val="tv2131"/>
    <w:basedOn w:val="Normal"/>
    <w:rsid w:val="00253C81"/>
    <w:pPr>
      <w:spacing w:line="360" w:lineRule="auto"/>
      <w:ind w:firstLine="230"/>
    </w:pPr>
    <w:rPr>
      <w:color w:val="414142"/>
      <w:sz w:val="15"/>
      <w:szCs w:val="15"/>
    </w:rPr>
  </w:style>
  <w:style w:type="character" w:customStyle="1" w:styleId="fontsize2">
    <w:name w:val="fontsize2"/>
    <w:basedOn w:val="DefaultParagraphFont"/>
    <w:rsid w:val="00F5142E"/>
  </w:style>
  <w:style w:type="paragraph" w:customStyle="1" w:styleId="tv213">
    <w:name w:val="tv213"/>
    <w:basedOn w:val="Normal"/>
    <w:rsid w:val="00C1679F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3F6E85"/>
    <w:rPr>
      <w:rFonts w:ascii="Calibri" w:hAnsi="Calibri"/>
      <w:sz w:val="22"/>
      <w:szCs w:val="22"/>
      <w:lang w:eastAsia="en-US"/>
    </w:rPr>
  </w:style>
  <w:style w:type="character" w:customStyle="1" w:styleId="PlainTextChar">
    <w:name w:val="Plain Text Char"/>
    <w:link w:val="PlainText"/>
    <w:uiPriority w:val="99"/>
    <w:rsid w:val="003F6E85"/>
    <w:rPr>
      <w:rFonts w:ascii="Calibri" w:hAnsi="Calibri"/>
      <w:sz w:val="22"/>
      <w:szCs w:val="22"/>
      <w:lang w:eastAsia="en-US"/>
    </w:rPr>
  </w:style>
  <w:style w:type="paragraph" w:customStyle="1" w:styleId="tvhtml">
    <w:name w:val="tv_html"/>
    <w:basedOn w:val="Normal"/>
    <w:rsid w:val="00A002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17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34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14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4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6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7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3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9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003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73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8130">
          <w:marLeft w:val="-69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555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1372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4915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8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9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9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3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4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183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07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6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0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24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410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42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846">
      <w:bodyDiv w:val="1"/>
      <w:marLeft w:val="35"/>
      <w:marRight w:val="35"/>
      <w:marTop w:val="69"/>
      <w:marBottom w:val="6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91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59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68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080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38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1332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8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62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0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5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24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8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61526-8BF3-4C64-9422-BEB02BE9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2740</Words>
  <Characters>1562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 gada 12. oktobra noteikumos Nr. 976 “Noteikumi par brīvprātīgu pievienošanos valsts sociālajai apdrošināšanai</vt:lpstr>
      <vt:lpstr>Grozījumi Ministru kabineta 2010.gada 5.oktobra noteikumos Nr.951 “Kārtība, kādā Valsts ieņēmumu dienests sniedz Valsts sociālās apdrošināšanas aģentūrai ziņas par valsts sociālās apdrošināšanas obligātajām iemaksām”</vt:lpstr>
    </vt:vector>
  </TitlesOfParts>
  <Company>Labklājības ministrija</Company>
  <LinksUpToDate>false</LinksUpToDate>
  <CharactersWithSpaces>4294</CharactersWithSpaces>
  <SharedDoc>false</SharedDoc>
  <HLinks>
    <vt:vector size="6" baseType="variant">
      <vt:variant>
        <vt:i4>7143517</vt:i4>
      </vt:variant>
      <vt:variant>
        <vt:i4>0</vt:i4>
      </vt:variant>
      <vt:variant>
        <vt:i4>0</vt:i4>
      </vt:variant>
      <vt:variant>
        <vt:i4>5</vt:i4>
      </vt:variant>
      <vt:variant>
        <vt:lpwstr>mailto:Sandra.Rucka@lm.gov.lv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 gada 12. oktobra noteikumos Nr. 976 “Noteikumi par brīvprātīgu pievienošanos valsts sociālajai apdrošināšanai</dc:title>
  <dc:subject>Anotācija</dc:subject>
  <dc:creator>Justīne Deičmane</dc:creator>
  <cp:keywords/>
  <dc:description>67021607, Sandra.Rucka@lm.gov.lv</dc:description>
  <cp:lastModifiedBy>Jekaterina Borovika</cp:lastModifiedBy>
  <cp:revision>2</cp:revision>
  <cp:lastPrinted>2017-12-12T10:07:00Z</cp:lastPrinted>
  <dcterms:created xsi:type="dcterms:W3CDTF">2018-02-13T08:53:00Z</dcterms:created>
  <dcterms:modified xsi:type="dcterms:W3CDTF">2018-02-13T08:53:00Z</dcterms:modified>
</cp:coreProperties>
</file>