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F2" w:rsidRPr="00F5458C" w:rsidRDefault="006457F2" w:rsidP="005825ED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:rsidR="006457F2" w:rsidRPr="008C4EDF" w:rsidRDefault="006457F2" w:rsidP="005825ED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6D475A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RDefault="006457F2" w:rsidP="005825ED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FA2CC5" w:rsidRPr="001A021D" w:rsidRDefault="00FA2CC5" w:rsidP="00FA2CC5">
      <w:pPr>
        <w:spacing w:before="480"/>
        <w:jc w:val="center"/>
        <w:rPr>
          <w:b/>
          <w:sz w:val="28"/>
          <w:szCs w:val="28"/>
        </w:rPr>
      </w:pPr>
      <w:bookmarkStart w:id="1" w:name="OLE_LINK2"/>
      <w:r w:rsidRPr="001A021D">
        <w:rPr>
          <w:b/>
          <w:sz w:val="28"/>
          <w:szCs w:val="28"/>
        </w:rPr>
        <w:t>Grozījumi Ministru kabineta 20</w:t>
      </w:r>
      <w:r w:rsidR="00CD0F88">
        <w:rPr>
          <w:b/>
          <w:sz w:val="28"/>
          <w:szCs w:val="28"/>
        </w:rPr>
        <w:t>13</w:t>
      </w:r>
      <w:r w:rsidRPr="001A021D">
        <w:rPr>
          <w:b/>
          <w:sz w:val="28"/>
          <w:szCs w:val="28"/>
        </w:rPr>
        <w:t xml:space="preserve">.gada </w:t>
      </w:r>
      <w:r w:rsidR="00CD0F88">
        <w:rPr>
          <w:b/>
          <w:sz w:val="28"/>
          <w:szCs w:val="28"/>
        </w:rPr>
        <w:t>5.novembra</w:t>
      </w:r>
      <w:r w:rsidRPr="001A021D">
        <w:rPr>
          <w:b/>
          <w:sz w:val="28"/>
          <w:szCs w:val="28"/>
        </w:rPr>
        <w:t xml:space="preserve"> noteikumos Nr.</w:t>
      </w:r>
      <w:r w:rsidR="00CD0F88">
        <w:rPr>
          <w:b/>
          <w:sz w:val="28"/>
          <w:szCs w:val="28"/>
        </w:rPr>
        <w:t>1268</w:t>
      </w:r>
      <w:r w:rsidRPr="001A021D">
        <w:rPr>
          <w:b/>
          <w:sz w:val="28"/>
          <w:szCs w:val="28"/>
        </w:rPr>
        <w:t xml:space="preserve"> „</w:t>
      </w:r>
      <w:r w:rsidR="00CD0F88" w:rsidRPr="00CD0F88">
        <w:rPr>
          <w:b/>
          <w:sz w:val="28"/>
          <w:szCs w:val="28"/>
        </w:rPr>
        <w:t>Ārstniecības riska fonda darbības noteikumi</w:t>
      </w:r>
      <w:r w:rsidRPr="001A021D">
        <w:rPr>
          <w:b/>
          <w:sz w:val="28"/>
          <w:szCs w:val="28"/>
        </w:rPr>
        <w:t>”</w:t>
      </w:r>
      <w:bookmarkEnd w:id="1"/>
    </w:p>
    <w:p w:rsidR="00FA2CC5" w:rsidRPr="008C03DA" w:rsidRDefault="00FA2CC5" w:rsidP="00FA2CC5">
      <w:pPr>
        <w:pStyle w:val="BodyText2"/>
        <w:spacing w:before="240" w:after="240"/>
        <w:jc w:val="right"/>
        <w:rPr>
          <w:szCs w:val="20"/>
        </w:rPr>
      </w:pPr>
    </w:p>
    <w:p w:rsidR="00FA2CC5" w:rsidRDefault="00FA2CC5" w:rsidP="00CD0F88">
      <w:pPr>
        <w:jc w:val="right"/>
        <w:rPr>
          <w:sz w:val="28"/>
          <w:szCs w:val="28"/>
        </w:rPr>
      </w:pPr>
      <w:r w:rsidRPr="008C03DA">
        <w:rPr>
          <w:sz w:val="28"/>
          <w:szCs w:val="28"/>
        </w:rPr>
        <w:t xml:space="preserve">Izdoti saskaņā ar </w:t>
      </w:r>
      <w:r w:rsidR="00CD0F88">
        <w:rPr>
          <w:sz w:val="28"/>
          <w:szCs w:val="28"/>
        </w:rPr>
        <w:t>Pacientu tiesību likuma</w:t>
      </w:r>
    </w:p>
    <w:p w:rsidR="00CD0F88" w:rsidRPr="008C03DA" w:rsidRDefault="00CD0F88" w:rsidP="00CD0F88">
      <w:pPr>
        <w:jc w:val="right"/>
        <w:rPr>
          <w:sz w:val="28"/>
          <w:szCs w:val="28"/>
        </w:rPr>
      </w:pPr>
      <w:r>
        <w:rPr>
          <w:sz w:val="28"/>
          <w:szCs w:val="28"/>
        </w:rPr>
        <w:t>16.panta trešo daļu un 17.panta pirmo un trešo daļu</w:t>
      </w:r>
    </w:p>
    <w:p w:rsidR="00FA2CC5" w:rsidRPr="008C03DA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:rsidR="00FA2CC5" w:rsidRPr="008C03DA" w:rsidRDefault="00341E8F" w:rsidP="00FA2CC5">
      <w:pPr>
        <w:ind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FA2CC5">
        <w:rPr>
          <w:sz w:val="28"/>
          <w:szCs w:val="28"/>
        </w:rPr>
        <w:t>Izdarīt Ministru kabineta 20</w:t>
      </w:r>
      <w:r w:rsidR="00CD0F88">
        <w:rPr>
          <w:sz w:val="28"/>
          <w:szCs w:val="28"/>
        </w:rPr>
        <w:t>13</w:t>
      </w:r>
      <w:r w:rsidR="00FA2CC5" w:rsidRPr="008C03DA">
        <w:rPr>
          <w:sz w:val="28"/>
          <w:szCs w:val="28"/>
        </w:rPr>
        <w:t xml:space="preserve">.gada </w:t>
      </w:r>
      <w:r w:rsidR="00CD0F88">
        <w:rPr>
          <w:sz w:val="28"/>
          <w:szCs w:val="28"/>
        </w:rPr>
        <w:t>5.novembra</w:t>
      </w:r>
      <w:r w:rsidR="00FA2CC5">
        <w:rPr>
          <w:sz w:val="28"/>
          <w:szCs w:val="28"/>
        </w:rPr>
        <w:t xml:space="preserve"> noteikumos Nr.</w:t>
      </w:r>
      <w:r w:rsidR="00CD0F88">
        <w:rPr>
          <w:sz w:val="28"/>
          <w:szCs w:val="28"/>
        </w:rPr>
        <w:t>1268</w:t>
      </w:r>
      <w:r w:rsidR="00FA2CC5" w:rsidRPr="008C03DA">
        <w:rPr>
          <w:sz w:val="28"/>
          <w:szCs w:val="28"/>
        </w:rPr>
        <w:t xml:space="preserve"> „</w:t>
      </w:r>
      <w:r w:rsidR="00CD0F88" w:rsidRPr="00CD0F88">
        <w:rPr>
          <w:sz w:val="28"/>
          <w:szCs w:val="28"/>
        </w:rPr>
        <w:t>Ārstniecības riska fonda darbības noteikumi</w:t>
      </w:r>
      <w:r w:rsidR="00FA2CC5" w:rsidRPr="008C03DA">
        <w:rPr>
          <w:sz w:val="28"/>
          <w:szCs w:val="28"/>
        </w:rPr>
        <w:t>” (Latvijas Vēstnesis,</w:t>
      </w:r>
      <w:r w:rsidR="00FA2CC5" w:rsidRPr="008C03DA">
        <w:rPr>
          <w:sz w:val="28"/>
        </w:rPr>
        <w:t xml:space="preserve"> 20</w:t>
      </w:r>
      <w:r w:rsidR="00CD0F88">
        <w:rPr>
          <w:sz w:val="28"/>
        </w:rPr>
        <w:t>13</w:t>
      </w:r>
      <w:r w:rsidR="00FA2CC5">
        <w:rPr>
          <w:sz w:val="28"/>
        </w:rPr>
        <w:t xml:space="preserve">, </w:t>
      </w:r>
      <w:r w:rsidR="00CD0F88">
        <w:rPr>
          <w:sz w:val="28"/>
        </w:rPr>
        <w:t>228</w:t>
      </w:r>
      <w:r w:rsidR="00FA2CC5" w:rsidRPr="008C03DA">
        <w:rPr>
          <w:sz w:val="28"/>
        </w:rPr>
        <w:t>.nr.; 20</w:t>
      </w:r>
      <w:r w:rsidR="00CD0F88">
        <w:rPr>
          <w:sz w:val="28"/>
        </w:rPr>
        <w:t>16</w:t>
      </w:r>
      <w:r w:rsidR="00FA2CC5">
        <w:rPr>
          <w:sz w:val="28"/>
        </w:rPr>
        <w:t xml:space="preserve">, </w:t>
      </w:r>
      <w:r w:rsidR="00CD0F88">
        <w:rPr>
          <w:sz w:val="28"/>
        </w:rPr>
        <w:t>14</w:t>
      </w:r>
      <w:r w:rsidR="00FA2CC5" w:rsidRPr="008C03DA">
        <w:rPr>
          <w:sz w:val="28"/>
        </w:rPr>
        <w:t>.nr.) šādus grozījumus:</w:t>
      </w:r>
    </w:p>
    <w:p w:rsidR="00FA2CC5" w:rsidRDefault="00FA2CC5" w:rsidP="00FA2CC5">
      <w:pPr>
        <w:ind w:left="720"/>
        <w:jc w:val="both"/>
        <w:rPr>
          <w:sz w:val="28"/>
        </w:rPr>
      </w:pPr>
    </w:p>
    <w:p w:rsidR="00FA2CC5" w:rsidRDefault="00FA2CC5" w:rsidP="00FA2CC5">
      <w:pPr>
        <w:ind w:left="720"/>
        <w:jc w:val="both"/>
        <w:rPr>
          <w:sz w:val="28"/>
        </w:rPr>
      </w:pPr>
    </w:p>
    <w:p w:rsidR="00582EA3" w:rsidRPr="00582EA3" w:rsidRDefault="00341E8F" w:rsidP="00582EA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1.</w:t>
      </w:r>
      <w:r w:rsidR="006A1ADB">
        <w:rPr>
          <w:sz w:val="28"/>
        </w:rPr>
        <w:t> </w:t>
      </w:r>
      <w:r w:rsidR="00582EA3" w:rsidRPr="00582EA3">
        <w:rPr>
          <w:sz w:val="28"/>
        </w:rPr>
        <w:t>a</w:t>
      </w:r>
      <w:r w:rsidR="00582EA3">
        <w:rPr>
          <w:sz w:val="28"/>
        </w:rPr>
        <w:t>izstāt 6.3. apakšpunktā vārdus „izmaksāt atlīdzību” ar vārdiem „</w:t>
      </w:r>
      <w:r w:rsidR="00582EA3" w:rsidRPr="00582EA3">
        <w:rPr>
          <w:sz w:val="28"/>
        </w:rPr>
        <w:t>izskatīt atlīdzības prasījuma iesniegumu”;</w:t>
      </w:r>
    </w:p>
    <w:p w:rsidR="00582EA3" w:rsidRPr="00582EA3" w:rsidRDefault="00582EA3" w:rsidP="00582EA3">
      <w:pPr>
        <w:pStyle w:val="ListParagraph"/>
        <w:ind w:left="1080"/>
        <w:jc w:val="both"/>
        <w:rPr>
          <w:sz w:val="28"/>
        </w:rPr>
      </w:pPr>
    </w:p>
    <w:p w:rsidR="00582EA3" w:rsidRPr="00582EA3" w:rsidRDefault="00582EA3" w:rsidP="00582EA3">
      <w:pPr>
        <w:ind w:left="720"/>
        <w:jc w:val="both"/>
        <w:rPr>
          <w:sz w:val="28"/>
        </w:rPr>
      </w:pPr>
      <w:r>
        <w:rPr>
          <w:sz w:val="28"/>
        </w:rPr>
        <w:t xml:space="preserve">2. </w:t>
      </w:r>
      <w:r w:rsidRPr="00582EA3">
        <w:rPr>
          <w:sz w:val="28"/>
        </w:rPr>
        <w:t>papildināt noteikumus ar 6.4. apakšpunktu šādā redakcijā:</w:t>
      </w:r>
    </w:p>
    <w:p w:rsidR="00582EA3" w:rsidRDefault="00582EA3" w:rsidP="00582EA3">
      <w:pPr>
        <w:ind w:left="720"/>
        <w:jc w:val="both"/>
        <w:rPr>
          <w:sz w:val="28"/>
        </w:rPr>
      </w:pPr>
      <w:r>
        <w:rPr>
          <w:sz w:val="28"/>
        </w:rPr>
        <w:t>„</w:t>
      </w:r>
      <w:r w:rsidRPr="00582EA3">
        <w:rPr>
          <w:sz w:val="28"/>
        </w:rPr>
        <w:t>6.4. atteikt izskatīt atlīdzības prasījuma iesniegumu, ja pacienta nāves gadījumā nav iesniegta apliecība par laulātā mantas daļu vai mantojuma apliecība”;</w:t>
      </w:r>
    </w:p>
    <w:p w:rsidR="00582EA3" w:rsidRPr="00582EA3" w:rsidRDefault="00582EA3" w:rsidP="00582EA3">
      <w:pPr>
        <w:ind w:left="720"/>
        <w:jc w:val="both"/>
        <w:rPr>
          <w:sz w:val="28"/>
        </w:rPr>
      </w:pPr>
    </w:p>
    <w:p w:rsidR="00582EA3" w:rsidRDefault="00582EA3" w:rsidP="00582EA3">
      <w:pPr>
        <w:ind w:left="720"/>
        <w:jc w:val="both"/>
        <w:rPr>
          <w:sz w:val="28"/>
        </w:rPr>
      </w:pPr>
      <w:r w:rsidRPr="00582EA3">
        <w:rPr>
          <w:sz w:val="28"/>
        </w:rPr>
        <w:t>3</w:t>
      </w:r>
      <w:r>
        <w:rPr>
          <w:sz w:val="28"/>
        </w:rPr>
        <w:t xml:space="preserve">. </w:t>
      </w:r>
      <w:r w:rsidRPr="00582EA3">
        <w:rPr>
          <w:sz w:val="28"/>
        </w:rPr>
        <w:t>papildināt 12.3. apakšpunktu aiz v</w:t>
      </w:r>
      <w:r>
        <w:rPr>
          <w:sz w:val="28"/>
        </w:rPr>
        <w:t>ārda „pakalpojumus” ar vārdiem „</w:t>
      </w:r>
      <w:r w:rsidRPr="00582EA3">
        <w:rPr>
          <w:sz w:val="28"/>
        </w:rPr>
        <w:t>tajā skaitā izvēloties saņemt pakalpojumu ārstniecības iestādē, kas to nevar nodrošināt savlaicīgi”;</w:t>
      </w:r>
    </w:p>
    <w:p w:rsidR="00582EA3" w:rsidRPr="00582EA3" w:rsidRDefault="00582EA3" w:rsidP="00582EA3">
      <w:pPr>
        <w:ind w:left="720"/>
        <w:jc w:val="both"/>
        <w:rPr>
          <w:sz w:val="28"/>
        </w:rPr>
      </w:pPr>
    </w:p>
    <w:p w:rsidR="00600CB4" w:rsidRDefault="00600CB4" w:rsidP="00600CB4">
      <w:pPr>
        <w:ind w:left="720"/>
        <w:jc w:val="both"/>
        <w:rPr>
          <w:sz w:val="28"/>
        </w:rPr>
      </w:pPr>
      <w:r>
        <w:rPr>
          <w:sz w:val="28"/>
        </w:rPr>
        <w:t>4. aizstāt 14.punktā vārdus „iesniedzēja norādīto” ar vārdiem „šo noteikumu 15.punktā minēto personu vārda atvērtu”;</w:t>
      </w:r>
    </w:p>
    <w:p w:rsidR="00600CB4" w:rsidRDefault="00600CB4" w:rsidP="00600CB4">
      <w:pPr>
        <w:ind w:left="720"/>
        <w:jc w:val="both"/>
        <w:rPr>
          <w:sz w:val="28"/>
        </w:rPr>
      </w:pPr>
    </w:p>
    <w:p w:rsidR="00582EA3" w:rsidRPr="00582EA3" w:rsidRDefault="00600CB4" w:rsidP="00582EA3">
      <w:pPr>
        <w:ind w:left="720"/>
        <w:jc w:val="both"/>
        <w:rPr>
          <w:sz w:val="28"/>
        </w:rPr>
      </w:pPr>
      <w:r>
        <w:rPr>
          <w:sz w:val="28"/>
        </w:rPr>
        <w:t>5</w:t>
      </w:r>
      <w:r w:rsidR="00582EA3">
        <w:rPr>
          <w:sz w:val="28"/>
        </w:rPr>
        <w:t xml:space="preserve">. </w:t>
      </w:r>
      <w:r w:rsidR="00582EA3" w:rsidRPr="00582EA3">
        <w:rPr>
          <w:sz w:val="28"/>
        </w:rPr>
        <w:t>papildināt noteikumus ar 14.</w:t>
      </w:r>
      <w:r w:rsidR="00582EA3" w:rsidRPr="00D429DF">
        <w:rPr>
          <w:sz w:val="28"/>
          <w:vertAlign w:val="superscript"/>
        </w:rPr>
        <w:t>2</w:t>
      </w:r>
      <w:r w:rsidR="00582EA3" w:rsidRPr="00582EA3">
        <w:rPr>
          <w:sz w:val="28"/>
        </w:rPr>
        <w:t xml:space="preserve"> punktu šādā redakcijā:</w:t>
      </w:r>
    </w:p>
    <w:p w:rsidR="00582EA3" w:rsidRDefault="00582EA3" w:rsidP="00582EA3">
      <w:pPr>
        <w:ind w:left="720"/>
        <w:jc w:val="both"/>
        <w:rPr>
          <w:sz w:val="28"/>
        </w:rPr>
      </w:pPr>
      <w:r>
        <w:rPr>
          <w:sz w:val="28"/>
        </w:rPr>
        <w:t>„</w:t>
      </w:r>
      <w:r w:rsidRPr="00582EA3">
        <w:rPr>
          <w:sz w:val="28"/>
        </w:rPr>
        <w:t>14.</w:t>
      </w:r>
      <w:r w:rsidRPr="00D429DF">
        <w:rPr>
          <w:sz w:val="28"/>
          <w:vertAlign w:val="superscript"/>
        </w:rPr>
        <w:t>2</w:t>
      </w:r>
      <w:r w:rsidRPr="00582EA3">
        <w:rPr>
          <w:sz w:val="28"/>
        </w:rPr>
        <w:t xml:space="preserve"> Ja dienests izmaksā atlīdzību par ārstniecības izdevumiem, tas neatdod iesniedzējam šo noteikumu 4.1. apakšpunktā minētos dokumentus.”;</w:t>
      </w:r>
    </w:p>
    <w:p w:rsidR="00D429DF" w:rsidRDefault="00D429DF" w:rsidP="00582EA3">
      <w:pPr>
        <w:ind w:left="720"/>
        <w:jc w:val="both"/>
        <w:rPr>
          <w:sz w:val="28"/>
        </w:rPr>
      </w:pPr>
    </w:p>
    <w:p w:rsidR="00582EA3" w:rsidRPr="00582EA3" w:rsidRDefault="00D429DF" w:rsidP="00582EA3">
      <w:pPr>
        <w:ind w:left="720"/>
        <w:jc w:val="both"/>
        <w:rPr>
          <w:sz w:val="28"/>
        </w:rPr>
      </w:pPr>
      <w:r>
        <w:rPr>
          <w:sz w:val="28"/>
        </w:rPr>
        <w:t>6</w:t>
      </w:r>
      <w:r w:rsidR="00582EA3">
        <w:rPr>
          <w:sz w:val="28"/>
        </w:rPr>
        <w:t xml:space="preserve">. </w:t>
      </w:r>
      <w:r w:rsidR="00582EA3" w:rsidRPr="00582EA3">
        <w:rPr>
          <w:sz w:val="28"/>
        </w:rPr>
        <w:t>izteikt noteikumu 15. punktu šādā redakcijā:</w:t>
      </w:r>
    </w:p>
    <w:p w:rsidR="00582EA3" w:rsidRPr="00582EA3" w:rsidRDefault="00582EA3" w:rsidP="00582EA3">
      <w:pPr>
        <w:ind w:left="720"/>
        <w:jc w:val="both"/>
        <w:rPr>
          <w:sz w:val="28"/>
        </w:rPr>
      </w:pPr>
      <w:r>
        <w:rPr>
          <w:sz w:val="28"/>
        </w:rPr>
        <w:t>„</w:t>
      </w:r>
      <w:r w:rsidRPr="00582EA3">
        <w:rPr>
          <w:sz w:val="28"/>
        </w:rPr>
        <w:t>15. Atlīdzību izmaksā:</w:t>
      </w:r>
    </w:p>
    <w:p w:rsidR="00582EA3" w:rsidRPr="00582EA3" w:rsidRDefault="00582EA3" w:rsidP="00582EA3">
      <w:pPr>
        <w:ind w:left="720"/>
        <w:jc w:val="both"/>
        <w:rPr>
          <w:sz w:val="28"/>
        </w:rPr>
      </w:pPr>
      <w:r w:rsidRPr="00582EA3">
        <w:rPr>
          <w:sz w:val="28"/>
        </w:rPr>
        <w:t>15.1. pacientam;</w:t>
      </w:r>
    </w:p>
    <w:p w:rsidR="00582EA3" w:rsidRPr="00582EA3" w:rsidRDefault="00582EA3" w:rsidP="00582EA3">
      <w:pPr>
        <w:ind w:left="720"/>
        <w:jc w:val="both"/>
        <w:rPr>
          <w:sz w:val="28"/>
        </w:rPr>
      </w:pPr>
      <w:r w:rsidRPr="00582EA3">
        <w:rPr>
          <w:sz w:val="28"/>
        </w:rPr>
        <w:lastRenderedPageBreak/>
        <w:t xml:space="preserve">15.2. pacienta nāves gadījumā pacienta </w:t>
      </w:r>
      <w:r w:rsidR="00D429DF">
        <w:rPr>
          <w:sz w:val="28"/>
        </w:rPr>
        <w:t xml:space="preserve">likumiskajam </w:t>
      </w:r>
      <w:r w:rsidRPr="00582EA3">
        <w:rPr>
          <w:sz w:val="28"/>
        </w:rPr>
        <w:t>mantiniekam proporcionāli mantojuma daļai, ja ir iesniegta apliecība par laulātā mantas daļu vai mantojuma apliecība;</w:t>
      </w:r>
    </w:p>
    <w:p w:rsidR="00582EA3" w:rsidRDefault="00582EA3" w:rsidP="00582EA3">
      <w:pPr>
        <w:ind w:left="720"/>
        <w:jc w:val="both"/>
        <w:rPr>
          <w:sz w:val="28"/>
        </w:rPr>
      </w:pPr>
      <w:r w:rsidRPr="00582EA3">
        <w:rPr>
          <w:sz w:val="28"/>
        </w:rPr>
        <w:t>15.3. nepilngadīgā pacienta likumiskajam pārstāvim.”;</w:t>
      </w:r>
    </w:p>
    <w:p w:rsidR="00D429DF" w:rsidRDefault="00D429DF" w:rsidP="00582EA3">
      <w:pPr>
        <w:ind w:left="720"/>
        <w:jc w:val="both"/>
        <w:rPr>
          <w:sz w:val="28"/>
        </w:rPr>
      </w:pPr>
    </w:p>
    <w:p w:rsidR="00582EA3" w:rsidRDefault="00D429DF" w:rsidP="00582EA3">
      <w:pPr>
        <w:ind w:left="720"/>
        <w:jc w:val="both"/>
        <w:rPr>
          <w:sz w:val="28"/>
        </w:rPr>
      </w:pPr>
      <w:r>
        <w:rPr>
          <w:sz w:val="28"/>
        </w:rPr>
        <w:t>7</w:t>
      </w:r>
      <w:r w:rsidR="00582EA3">
        <w:rPr>
          <w:sz w:val="28"/>
        </w:rPr>
        <w:t xml:space="preserve">. </w:t>
      </w:r>
      <w:r w:rsidR="00582EA3" w:rsidRPr="00582EA3">
        <w:rPr>
          <w:sz w:val="28"/>
        </w:rPr>
        <w:t>svītrot 16. punktu;</w:t>
      </w:r>
    </w:p>
    <w:p w:rsidR="00582EA3" w:rsidRPr="00582EA3" w:rsidRDefault="00582EA3" w:rsidP="00582EA3">
      <w:pPr>
        <w:ind w:left="720"/>
        <w:jc w:val="both"/>
        <w:rPr>
          <w:sz w:val="28"/>
        </w:rPr>
      </w:pPr>
    </w:p>
    <w:p w:rsidR="00582EA3" w:rsidRDefault="00D429DF" w:rsidP="00582EA3">
      <w:pPr>
        <w:ind w:left="720"/>
        <w:jc w:val="both"/>
        <w:rPr>
          <w:sz w:val="28"/>
        </w:rPr>
      </w:pPr>
      <w:r>
        <w:rPr>
          <w:sz w:val="28"/>
        </w:rPr>
        <w:t>8</w:t>
      </w:r>
      <w:r w:rsidR="00582EA3">
        <w:rPr>
          <w:sz w:val="28"/>
        </w:rPr>
        <w:t xml:space="preserve">. </w:t>
      </w:r>
      <w:r w:rsidR="00582EA3" w:rsidRPr="00582EA3">
        <w:rPr>
          <w:sz w:val="28"/>
        </w:rPr>
        <w:t>papildināt 18. punktu a</w:t>
      </w:r>
      <w:r w:rsidR="00582EA3">
        <w:rPr>
          <w:sz w:val="28"/>
        </w:rPr>
        <w:t>iz vārda „iestādei” ar vārdiem „</w:t>
      </w:r>
      <w:r w:rsidR="00582EA3" w:rsidRPr="00582EA3">
        <w:rPr>
          <w:sz w:val="28"/>
        </w:rPr>
        <w:t>uz Ārstniecības personu un ārstniecības atbalsta personu reģistrā norādīto adresi”;</w:t>
      </w:r>
    </w:p>
    <w:p w:rsidR="00582EA3" w:rsidRPr="00582EA3" w:rsidRDefault="00582EA3" w:rsidP="00582EA3">
      <w:pPr>
        <w:ind w:left="720"/>
        <w:jc w:val="both"/>
        <w:rPr>
          <w:sz w:val="28"/>
        </w:rPr>
      </w:pPr>
    </w:p>
    <w:p w:rsidR="00582EA3" w:rsidRDefault="00D429DF" w:rsidP="00582EA3">
      <w:pPr>
        <w:ind w:left="720"/>
        <w:jc w:val="both"/>
        <w:rPr>
          <w:sz w:val="28"/>
        </w:rPr>
      </w:pPr>
      <w:r>
        <w:rPr>
          <w:sz w:val="28"/>
        </w:rPr>
        <w:t>9</w:t>
      </w:r>
      <w:r w:rsidR="00582EA3">
        <w:rPr>
          <w:sz w:val="28"/>
        </w:rPr>
        <w:t>. aizstāt 20. punktā vārdus „</w:t>
      </w:r>
      <w:r w:rsidR="00582EA3" w:rsidRPr="00582EA3">
        <w:rPr>
          <w:sz w:val="28"/>
        </w:rPr>
        <w:t>avansa veidā” ar vārdiem “vienā maksājumā”;</w:t>
      </w:r>
    </w:p>
    <w:p w:rsidR="00582EA3" w:rsidRPr="00582EA3" w:rsidRDefault="00582EA3" w:rsidP="00582EA3">
      <w:pPr>
        <w:ind w:left="720"/>
        <w:jc w:val="both"/>
        <w:rPr>
          <w:sz w:val="28"/>
        </w:rPr>
      </w:pPr>
    </w:p>
    <w:p w:rsidR="006457F2" w:rsidRDefault="00D429DF" w:rsidP="00582EA3">
      <w:pPr>
        <w:ind w:left="720"/>
        <w:jc w:val="both"/>
        <w:rPr>
          <w:sz w:val="28"/>
        </w:rPr>
      </w:pPr>
      <w:r w:rsidRPr="00CC2862">
        <w:rPr>
          <w:sz w:val="28"/>
        </w:rPr>
        <w:t>10</w:t>
      </w:r>
      <w:r w:rsidR="00582EA3" w:rsidRPr="00CC2862">
        <w:rPr>
          <w:sz w:val="28"/>
        </w:rPr>
        <w:t>. papildināt 23.2. apakšpunktu aiz vārdiem un zīmes „blakus darbs)” ar vārdiem „un ārstniecisko un diagnostisko metožu”;</w:t>
      </w:r>
    </w:p>
    <w:p w:rsidR="00582EA3" w:rsidRDefault="00582EA3" w:rsidP="00582EA3">
      <w:pPr>
        <w:ind w:left="720"/>
        <w:jc w:val="both"/>
        <w:rPr>
          <w:sz w:val="28"/>
        </w:rPr>
      </w:pPr>
    </w:p>
    <w:p w:rsidR="00B6301B" w:rsidRDefault="00B6301B" w:rsidP="00582EA3">
      <w:pPr>
        <w:ind w:left="720"/>
        <w:jc w:val="both"/>
        <w:rPr>
          <w:sz w:val="28"/>
        </w:rPr>
      </w:pPr>
      <w:r>
        <w:rPr>
          <w:sz w:val="28"/>
        </w:rPr>
        <w:t xml:space="preserve">11. papildināt noteikumus ar 31.punktu šādā redakcijā: </w:t>
      </w:r>
    </w:p>
    <w:p w:rsidR="00B6301B" w:rsidRDefault="00B6301B" w:rsidP="00582EA3">
      <w:pPr>
        <w:ind w:left="720"/>
        <w:jc w:val="both"/>
        <w:rPr>
          <w:sz w:val="28"/>
        </w:rPr>
      </w:pPr>
      <w:r>
        <w:rPr>
          <w:sz w:val="28"/>
        </w:rPr>
        <w:t>„ 31. Šo noteikumu 3.pielikuma 14</w:t>
      </w:r>
      <w:r w:rsidR="006568DC">
        <w:rPr>
          <w:sz w:val="28"/>
        </w:rPr>
        <w:t>1</w:t>
      </w:r>
      <w:r>
        <w:rPr>
          <w:sz w:val="28"/>
        </w:rPr>
        <w:t xml:space="preserve">.aile </w:t>
      </w:r>
      <w:r w:rsidR="00862730">
        <w:rPr>
          <w:sz w:val="28"/>
        </w:rPr>
        <w:t xml:space="preserve">stājas spēkā </w:t>
      </w:r>
      <w:r>
        <w:rPr>
          <w:sz w:val="28"/>
        </w:rPr>
        <w:t xml:space="preserve"> 2020.gada 1.janvār</w:t>
      </w:r>
      <w:r w:rsidR="00862730">
        <w:rPr>
          <w:sz w:val="28"/>
        </w:rPr>
        <w:t>ī</w:t>
      </w:r>
      <w:r>
        <w:rPr>
          <w:sz w:val="28"/>
        </w:rPr>
        <w:t>.”;</w:t>
      </w:r>
    </w:p>
    <w:p w:rsidR="00B6301B" w:rsidRDefault="00B6301B" w:rsidP="00582EA3">
      <w:pPr>
        <w:ind w:left="720"/>
        <w:jc w:val="both"/>
        <w:rPr>
          <w:sz w:val="28"/>
        </w:rPr>
      </w:pPr>
    </w:p>
    <w:p w:rsidR="00582EA3" w:rsidRDefault="00582EA3" w:rsidP="00582EA3">
      <w:pPr>
        <w:ind w:left="720"/>
        <w:jc w:val="both"/>
        <w:rPr>
          <w:sz w:val="28"/>
        </w:rPr>
      </w:pPr>
      <w:r>
        <w:rPr>
          <w:sz w:val="28"/>
        </w:rPr>
        <w:t>1</w:t>
      </w:r>
      <w:r w:rsidR="00B6301B">
        <w:rPr>
          <w:sz w:val="28"/>
        </w:rPr>
        <w:t>2</w:t>
      </w:r>
      <w:r>
        <w:rPr>
          <w:sz w:val="28"/>
        </w:rPr>
        <w:t xml:space="preserve">. </w:t>
      </w:r>
      <w:r w:rsidR="00B6301B">
        <w:rPr>
          <w:sz w:val="28"/>
        </w:rPr>
        <w:t>i</w:t>
      </w:r>
      <w:r w:rsidR="00341E8F">
        <w:rPr>
          <w:sz w:val="28"/>
        </w:rPr>
        <w:t>zteikt 3.pielikumu šādā redakcijā</w:t>
      </w:r>
      <w:r>
        <w:rPr>
          <w:sz w:val="28"/>
        </w:rPr>
        <w:t>:</w:t>
      </w:r>
    </w:p>
    <w:p w:rsidR="00DF15EC" w:rsidRPr="00074A78" w:rsidRDefault="00534D20" w:rsidP="00074A78">
      <w:pPr>
        <w:shd w:val="clear" w:color="auto" w:fill="FFFFFF"/>
        <w:jc w:val="right"/>
        <w:rPr>
          <w:bCs/>
        </w:rPr>
      </w:pPr>
      <w:r w:rsidRPr="00074A78">
        <w:t>„</w:t>
      </w:r>
      <w:r w:rsidRPr="00074A78">
        <w:rPr>
          <w:rFonts w:ascii="Arial" w:hAnsi="Arial" w:cs="Arial"/>
          <w:b/>
          <w:bCs/>
        </w:rPr>
        <w:t xml:space="preserve"> </w:t>
      </w:r>
      <w:r w:rsidR="00DF15EC" w:rsidRPr="00074A78">
        <w:rPr>
          <w:bCs/>
        </w:rPr>
        <w:t xml:space="preserve">3.pielikums </w:t>
      </w:r>
    </w:p>
    <w:p w:rsidR="00DF15EC" w:rsidRPr="00074A78" w:rsidRDefault="00DF15EC" w:rsidP="00074A78">
      <w:pPr>
        <w:shd w:val="clear" w:color="auto" w:fill="FFFFFF"/>
        <w:jc w:val="right"/>
        <w:rPr>
          <w:bCs/>
        </w:rPr>
      </w:pPr>
      <w:r w:rsidRPr="00074A78">
        <w:rPr>
          <w:bCs/>
        </w:rPr>
        <w:t xml:space="preserve">Ministru kabineta </w:t>
      </w:r>
    </w:p>
    <w:p w:rsidR="00DF15EC" w:rsidRPr="00074A78" w:rsidRDefault="00DF15EC" w:rsidP="00074A78">
      <w:pPr>
        <w:shd w:val="clear" w:color="auto" w:fill="FFFFFF"/>
        <w:jc w:val="right"/>
        <w:rPr>
          <w:bCs/>
        </w:rPr>
      </w:pPr>
      <w:r w:rsidRPr="00074A78">
        <w:rPr>
          <w:bCs/>
        </w:rPr>
        <w:t>2013.gada 5.novembra noteikumiem Nr.1268</w:t>
      </w:r>
    </w:p>
    <w:p w:rsidR="00DF15EC" w:rsidRPr="00074A78" w:rsidRDefault="00DF15EC" w:rsidP="00074A78">
      <w:pPr>
        <w:shd w:val="clear" w:color="auto" w:fill="FFFFFF"/>
        <w:jc w:val="right"/>
        <w:rPr>
          <w:bCs/>
          <w:sz w:val="28"/>
          <w:szCs w:val="28"/>
        </w:rPr>
      </w:pPr>
    </w:p>
    <w:p w:rsidR="00534D20" w:rsidRPr="00600CB4" w:rsidRDefault="00534D20" w:rsidP="00534D20">
      <w:pPr>
        <w:shd w:val="clear" w:color="auto" w:fill="FFFFFF"/>
        <w:jc w:val="center"/>
        <w:rPr>
          <w:rFonts w:ascii="Arial" w:hAnsi="Arial" w:cs="Arial"/>
          <w:b/>
          <w:bCs/>
          <w:sz w:val="27"/>
          <w:szCs w:val="27"/>
        </w:rPr>
      </w:pPr>
      <w:r w:rsidRPr="00600CB4">
        <w:rPr>
          <w:b/>
          <w:bCs/>
          <w:sz w:val="28"/>
          <w:szCs w:val="28"/>
        </w:rPr>
        <w:t>Ārstniecības personu dalījums riska grupās un piemērojamais riska koeficients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825"/>
        <w:gridCol w:w="5212"/>
        <w:gridCol w:w="1279"/>
      </w:tblGrid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Nr.</w:t>
            </w:r>
            <w:r w:rsidRPr="00600CB4">
              <w:rPr>
                <w:sz w:val="20"/>
                <w:szCs w:val="20"/>
              </w:rPr>
              <w:br/>
              <w:t>p.k.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Kods atbilstoši specialitātes klasifikatoram*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Ārstniecības personas un ārstniecības atbalsta personas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Riska koeficients</w:t>
            </w:r>
          </w:p>
        </w:tc>
      </w:tr>
      <w:tr w:rsidR="00534D20" w:rsidRPr="00534D20" w:rsidTr="004E416D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600CB4">
              <w:rPr>
                <w:b/>
                <w:bCs/>
                <w:sz w:val="20"/>
                <w:szCs w:val="20"/>
              </w:rPr>
              <w:t>I riska grupa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P03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P04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Neiroķirurgs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P05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Torakālais</w:t>
            </w:r>
            <w:proofErr w:type="spellEnd"/>
            <w:r w:rsidRPr="00600CB4">
              <w:rPr>
                <w:sz w:val="20"/>
                <w:szCs w:val="20"/>
              </w:rPr>
              <w:t xml:space="preserve"> 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P08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Urologs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P06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Sirds 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P07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Asinsvadu ķirurgs 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P11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Ambulatorais 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PP18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Flebologs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P12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0B1D97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P13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Traumatologs, ortopēds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0B1D97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A131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Mugurkaulāja 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0B1D97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P14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Ginekologs, dzemdību speciālists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lastRenderedPageBreak/>
              <w:t>1</w:t>
            </w:r>
            <w:r w:rsidR="000B1D97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 40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Katastrofu medicīnas ārsts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534D20" w:rsidRPr="00534D20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0B1D97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A151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Neonatologs</w:t>
            </w:r>
            <w:proofErr w:type="spellEnd"/>
            <w:r w:rsidRPr="00600CB4">
              <w:rPr>
                <w:sz w:val="20"/>
                <w:szCs w:val="20"/>
              </w:rPr>
              <w:t xml:space="preserve"> – jaundzimušo aprūpe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0B1D97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P09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Plastiskais 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0B1D97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PP31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Rokas 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0B1D97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PP19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Transplantologs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</w:p>
        </w:tc>
      </w:tr>
      <w:tr w:rsidR="00D57129" w:rsidRPr="00D57129" w:rsidTr="004E416D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600CB4">
              <w:rPr>
                <w:b/>
                <w:bCs/>
                <w:sz w:val="20"/>
                <w:szCs w:val="20"/>
              </w:rPr>
              <w:t>II riska grupa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0B1D97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P18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Anesteziologs, reanimatologs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P55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Onkologs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  <w:r w:rsidR="000B1D97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A161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 xml:space="preserve">Onkoloģijas </w:t>
            </w:r>
            <w:proofErr w:type="spellStart"/>
            <w:r w:rsidRPr="00600CB4">
              <w:rPr>
                <w:sz w:val="20"/>
                <w:szCs w:val="20"/>
              </w:rPr>
              <w:t>ķīmijterapeits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  <w:r w:rsidR="000B1D97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A162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Onkoloģijas 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  <w:r w:rsidR="000B1D97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A142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Onkoloģijas ginekologs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  <w:r w:rsidR="000B1D97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P16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 xml:space="preserve">Onkologs </w:t>
            </w:r>
            <w:proofErr w:type="spellStart"/>
            <w:r w:rsidRPr="00600CB4">
              <w:rPr>
                <w:sz w:val="20"/>
                <w:szCs w:val="20"/>
              </w:rPr>
              <w:t>ķīmijterapeits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  <w:r w:rsidR="000B1D97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P26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Mutes, sejas un žokļu ķirurgs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  <w:r w:rsidR="000B1D97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P39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Neatliekamās medicīnas ārsts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  <w:r w:rsidR="000B1D97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P22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Oftalmologs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  <w:r w:rsidR="000B1D97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P23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Otolaringologs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  <w:r w:rsidR="000B1D97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P31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Radiologs terapeits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</w:p>
        </w:tc>
      </w:tr>
      <w:tr w:rsidR="00D57129" w:rsidRPr="00D57129" w:rsidTr="004E416D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600CB4">
              <w:rPr>
                <w:b/>
                <w:bCs/>
                <w:sz w:val="20"/>
                <w:szCs w:val="20"/>
              </w:rPr>
              <w:t>III riska grupa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P01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Internists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3</w:t>
            </w:r>
            <w:r w:rsidR="000B1D97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A012, P56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Reimatologs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3</w:t>
            </w:r>
            <w:r w:rsidR="000B1D97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A013, P57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Pneimonologs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3</w:t>
            </w:r>
            <w:r w:rsidR="000B1D97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A014, P58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Endokrinologs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3</w:t>
            </w:r>
            <w:r w:rsidR="000B1D97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A015, P59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Nefrologs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3</w:t>
            </w:r>
            <w:r w:rsidR="000B1D97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A016, P60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Gastroenterologs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3</w:t>
            </w:r>
            <w:r w:rsidR="000B1D97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P02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Ģimenes (vispārējās prakses) ārsts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3</w:t>
            </w:r>
            <w:r w:rsidR="000B1D97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P15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Pediatrs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3</w:t>
            </w:r>
            <w:r w:rsidR="000B1D97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A152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infektologs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3</w:t>
            </w:r>
            <w:r w:rsidR="000B1D97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A153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kardiologs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A154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reimatologs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4</w:t>
            </w:r>
            <w:r w:rsidR="000B1D97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A155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 xml:space="preserve">Bērnu </w:t>
            </w:r>
            <w:proofErr w:type="spellStart"/>
            <w:r w:rsidRPr="00600CB4">
              <w:rPr>
                <w:sz w:val="20"/>
                <w:szCs w:val="20"/>
              </w:rPr>
              <w:t>pneimonologs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4</w:t>
            </w:r>
            <w:r w:rsidR="000B1D97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A156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endokrinologs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4</w:t>
            </w:r>
            <w:r w:rsidR="000B1D97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A158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gastroenterologs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4</w:t>
            </w:r>
            <w:r w:rsidR="000B1D97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A159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 xml:space="preserve">Bērnu </w:t>
            </w:r>
            <w:proofErr w:type="spellStart"/>
            <w:r w:rsidRPr="00600CB4">
              <w:rPr>
                <w:sz w:val="20"/>
                <w:szCs w:val="20"/>
              </w:rPr>
              <w:t>hematoonkologs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4</w:t>
            </w:r>
            <w:r w:rsidR="000B1D97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A1510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alergologs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4</w:t>
            </w:r>
            <w:r w:rsidR="000B1D97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PP21, P62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neirologs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4</w:t>
            </w:r>
            <w:r w:rsidR="000B1D97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P17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Hematologs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4</w:t>
            </w:r>
            <w:r w:rsidR="000B1D97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P19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Psihiatrs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4</w:t>
            </w:r>
            <w:r w:rsidR="000B1D97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A191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psihiatrs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P20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Neirologs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trHeight w:val="370"/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  <w:r w:rsidR="000B1D97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A201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Neirofiziologs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  <w:r w:rsidR="000B1D97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P24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Infektologs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  <w:r w:rsidR="000B1D97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P27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Dermatologs, venerologs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  <w:r w:rsidR="000B1D97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P28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Narkologs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  <w:r w:rsidR="000B1D97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P29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Laboratorijas ārsts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  <w:r w:rsidR="000B1D97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P32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 xml:space="preserve">Radiologs 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  <w:r w:rsidR="000B1D97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A321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Invazīvais radiologs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  <w:r w:rsidR="000B1D97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P33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Patologs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  <w:r w:rsidR="000B1D97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P36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Sporta ārsts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0B1D9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P42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Psihoterapeits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6</w:t>
            </w:r>
            <w:r w:rsidR="000B1D97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P52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Kardiologs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6</w:t>
            </w:r>
            <w:r w:rsidR="000B1D97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P53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Arodveselības un arodslimību ārsts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6</w:t>
            </w:r>
            <w:r w:rsidR="000B1D97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PP24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Transfuziologs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6</w:t>
            </w:r>
            <w:r w:rsidR="000B1D97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PP 30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Kombustiologs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5</w:t>
            </w:r>
          </w:p>
        </w:tc>
      </w:tr>
      <w:tr w:rsidR="00D57129" w:rsidRPr="00D57129" w:rsidTr="004E416D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600CB4">
              <w:rPr>
                <w:b/>
                <w:bCs/>
                <w:sz w:val="20"/>
                <w:szCs w:val="20"/>
              </w:rPr>
              <w:t>IV riska grupa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6</w:t>
            </w:r>
            <w:r w:rsidR="006739A7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P25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Zobārsts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6</w:t>
            </w:r>
            <w:r w:rsidR="006739A7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A251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Ortodonts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6</w:t>
            </w:r>
            <w:r w:rsidR="006739A7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A252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Periodontologs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6</w:t>
            </w:r>
            <w:r w:rsidR="006739A7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A253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zobārsts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6</w:t>
            </w:r>
            <w:r w:rsidR="006739A7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A254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Zobu protēzists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6739A7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A255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Endodontists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7</w:t>
            </w:r>
            <w:r w:rsidR="006739A7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P44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trike/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Medicīnas ģenētiķis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7</w:t>
            </w:r>
            <w:r w:rsidR="006739A7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P47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Klīniskais mikrobiologs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7</w:t>
            </w:r>
            <w:r w:rsidR="006739A7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P48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Geriatrs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7</w:t>
            </w:r>
            <w:r w:rsidR="006739A7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P49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Sabiedrības veselības ārsts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7</w:t>
            </w:r>
            <w:r w:rsidR="006739A7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P50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Klīniskais farmakologs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7</w:t>
            </w:r>
            <w:r w:rsidR="006739A7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P51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Klīniskais fiziologs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7</w:t>
            </w:r>
            <w:r w:rsidR="006568DC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P54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Fizikālās un rehabilitācijas medicīnas ārsts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2</w:t>
            </w:r>
          </w:p>
        </w:tc>
      </w:tr>
      <w:tr w:rsidR="00D57129" w:rsidRPr="00D57129" w:rsidTr="004E416D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600CB4">
              <w:rPr>
                <w:b/>
                <w:bCs/>
                <w:sz w:val="20"/>
                <w:szCs w:val="20"/>
              </w:rPr>
              <w:t>V riska grupa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7</w:t>
            </w:r>
            <w:r w:rsidR="006568DC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n28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Vecmāte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7</w:t>
            </w:r>
            <w:r w:rsidR="006568DC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n52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Anestēzijas, intensīvās un neatliekamās medicīnas aprūpes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6568DC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n53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Ķirurģiskās aprūpes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  <w:r w:rsidR="006568DC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n60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Operāciju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  <w:r w:rsidR="006568DC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n74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Neatliekamās medicīnas ārsta palīgs (feldšeris)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</w:p>
        </w:tc>
      </w:tr>
      <w:tr w:rsidR="00D57129" w:rsidRPr="00D57129" w:rsidTr="004E416D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sz w:val="20"/>
                <w:szCs w:val="20"/>
              </w:rPr>
            </w:pPr>
            <w:r w:rsidRPr="00600CB4">
              <w:rPr>
                <w:b/>
                <w:bCs/>
                <w:sz w:val="20"/>
                <w:szCs w:val="20"/>
              </w:rPr>
              <w:t>VI riska grupa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  <w:r w:rsidR="006568DC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n10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Zobu feldšeris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  <w:r w:rsidR="006568DC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n11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Zobu higiēnists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lastRenderedPageBreak/>
              <w:t>8</w:t>
            </w:r>
            <w:r w:rsidR="006568DC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n27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Ārsta palīgs (feldšeris)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  <w:r w:rsidR="006568DC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n29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Masieris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  <w:r w:rsidR="006568DC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n39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trike/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Māsa (medicīnas māsa)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  <w:r w:rsidR="006568DC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n40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Ambulatorās aprūpes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8</w:t>
            </w:r>
            <w:r w:rsidR="006568DC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n41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Bērnu aprūpes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6568DC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n43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Diabēta aprūpes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9</w:t>
            </w:r>
            <w:r w:rsidR="006568DC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n59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Onkoloģiskās aprūpes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9</w:t>
            </w:r>
            <w:r w:rsidR="006568DC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n62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Garīgās veselības aprūpes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9</w:t>
            </w:r>
            <w:r w:rsidR="006568DC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n68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Zobārstniecības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9</w:t>
            </w:r>
            <w:r w:rsidR="006568DC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n70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Māsas palīgs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9</w:t>
            </w:r>
            <w:r w:rsidR="006568DC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n71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Zobārsta asistents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9</w:t>
            </w:r>
            <w:r w:rsidR="006568DC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n72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Kosmētiķis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9</w:t>
            </w:r>
            <w:r w:rsidR="006568DC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n73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Hemodialīzes un nieru transplantācijas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9</w:t>
            </w:r>
            <w:r w:rsidR="006568DC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n76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Biomedicīnas laborants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9</w:t>
            </w:r>
            <w:r w:rsidR="006568DC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n85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Radiologa asistents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6568DC" w:rsidP="004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534D20"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n86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Ambulatorā dienesta ārsta palīgs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  <w:r w:rsidR="006568DC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n89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Fizikālās un rehabilitācijas medicīnas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  <w:r w:rsidR="006568DC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n90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Transfuzioloģijas</w:t>
            </w:r>
            <w:proofErr w:type="spellEnd"/>
            <w:r w:rsidRPr="00600CB4">
              <w:rPr>
                <w:sz w:val="20"/>
                <w:szCs w:val="20"/>
              </w:rPr>
              <w:t xml:space="preserve">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  <w:r w:rsidR="006568DC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n91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Mākslas terapeits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  <w:r w:rsidR="006568DC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n92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Podologs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  <w:r w:rsidR="006568DC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n93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Uztura speciālists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  <w:r w:rsidR="006568DC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n94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Radiogrāfers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  <w:r w:rsidR="006568DC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n95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Internās aprūpes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  <w:r w:rsidR="006568DC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n96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Skaistumkopšanas speciālists kosmetoloģijā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10</w:t>
            </w:r>
            <w:r w:rsidR="006568DC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PP25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Andrologs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6568DC">
              <w:rPr>
                <w:sz w:val="20"/>
                <w:szCs w:val="20"/>
              </w:rPr>
              <w:t>09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PP26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Paliatīvās aprūpes speciālists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11</w:t>
            </w:r>
            <w:r w:rsidR="006568DC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PP32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Trihologs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11</w:t>
            </w:r>
            <w:r w:rsidR="006568DC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PP33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Osteorefleksoterapeits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11</w:t>
            </w:r>
            <w:r w:rsidR="006568DC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T01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Fizioterapeits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11</w:t>
            </w:r>
            <w:r w:rsidR="006568DC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T02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Ergoterapeits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11</w:t>
            </w:r>
            <w:r w:rsidR="006568DC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T04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Fizioterapeita asistents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11</w:t>
            </w:r>
            <w:r w:rsidR="006568DC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T05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Audiologopēds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11</w:t>
            </w:r>
            <w:r w:rsidR="006568DC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T06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Tehniskais ortopēds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11</w:t>
            </w:r>
            <w:r w:rsidR="006568DC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T07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Ergoterapeita asistents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11</w:t>
            </w:r>
            <w:r w:rsidR="006568DC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n26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Sabiedrības veselības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202DFB">
              <w:rPr>
                <w:sz w:val="20"/>
                <w:szCs w:val="20"/>
              </w:rPr>
              <w:t>19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n42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Dermatoveneroloģijas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12</w:t>
            </w:r>
            <w:r w:rsidR="00202DFB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n44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Diētas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12</w:t>
            </w:r>
            <w:r w:rsidR="00202DFB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n45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Endoskopijas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lastRenderedPageBreak/>
              <w:t>12</w:t>
            </w:r>
            <w:r w:rsidR="00202DFB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n46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Fizikālās terapijas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12</w:t>
            </w:r>
            <w:r w:rsidR="00202DFB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n47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Ftiziopulmonoloģijas</w:t>
            </w:r>
            <w:proofErr w:type="spellEnd"/>
            <w:r w:rsidRPr="00600CB4">
              <w:rPr>
                <w:sz w:val="20"/>
                <w:szCs w:val="20"/>
              </w:rPr>
              <w:t xml:space="preserve">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12</w:t>
            </w:r>
            <w:r w:rsidR="00202DFB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n48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Funkcionālās diagnostikas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12</w:t>
            </w:r>
            <w:r w:rsidR="00202DFB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n49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Ginekoloģijas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12</w:t>
            </w:r>
            <w:r w:rsidR="00202DFB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n50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Iecirkņa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12</w:t>
            </w:r>
            <w:r w:rsidR="00202DFB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n51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Infektoloģijas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6568DC">
              <w:rPr>
                <w:sz w:val="20"/>
                <w:szCs w:val="20"/>
              </w:rPr>
              <w:t>2</w:t>
            </w:r>
            <w:r w:rsidR="00202DFB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n54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Narkoloģijas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202DFB">
              <w:rPr>
                <w:sz w:val="20"/>
                <w:szCs w:val="20"/>
              </w:rPr>
              <w:t>29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n55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Neatliekamās palīdzības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13</w:t>
            </w:r>
            <w:r w:rsidR="00202DFB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n56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Neiroķirurģijas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13</w:t>
            </w:r>
            <w:r w:rsidR="00202DFB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n57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Neiroloģijas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13</w:t>
            </w:r>
            <w:r w:rsidR="00202DFB">
              <w:rPr>
                <w:sz w:val="20"/>
                <w:szCs w:val="20"/>
              </w:rPr>
              <w:t>2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n58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Oftalmoloģijas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13</w:t>
            </w:r>
            <w:r w:rsidR="00202DFB">
              <w:rPr>
                <w:sz w:val="20"/>
                <w:szCs w:val="20"/>
              </w:rPr>
              <w:t>3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n61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Pirmsskolas iestāžu un skolu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13</w:t>
            </w:r>
            <w:r w:rsidR="00202DFB">
              <w:rPr>
                <w:sz w:val="20"/>
                <w:szCs w:val="20"/>
              </w:rPr>
              <w:t>4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n63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Rentgenoloģijas un radioloģijas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13</w:t>
            </w:r>
            <w:r w:rsidR="00202DFB">
              <w:rPr>
                <w:sz w:val="20"/>
                <w:szCs w:val="20"/>
              </w:rPr>
              <w:t>5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n64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Terapijas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13</w:t>
            </w:r>
            <w:r w:rsidR="00202DFB">
              <w:rPr>
                <w:sz w:val="20"/>
                <w:szCs w:val="20"/>
              </w:rPr>
              <w:t>6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n66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Traumatoloģijas un ortopēdijas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13</w:t>
            </w:r>
            <w:r w:rsidR="00202DFB">
              <w:rPr>
                <w:sz w:val="20"/>
                <w:szCs w:val="20"/>
              </w:rPr>
              <w:t>7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n67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Podiatrijas</w:t>
            </w:r>
            <w:proofErr w:type="spellEnd"/>
            <w:r w:rsidRPr="00600CB4">
              <w:rPr>
                <w:sz w:val="20"/>
                <w:szCs w:val="20"/>
              </w:rPr>
              <w:t xml:space="preserve">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6568DC">
              <w:rPr>
                <w:sz w:val="20"/>
                <w:szCs w:val="20"/>
              </w:rPr>
              <w:t>3</w:t>
            </w:r>
            <w:r w:rsidR="00202DFB">
              <w:rPr>
                <w:sz w:val="20"/>
                <w:szCs w:val="20"/>
              </w:rPr>
              <w:t>8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n81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Uroloģijas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</w:t>
            </w:r>
            <w:r w:rsidR="00202DFB">
              <w:rPr>
                <w:sz w:val="20"/>
                <w:szCs w:val="20"/>
              </w:rPr>
              <w:t>39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n80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Peritoneālās dialīzes māsa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14</w:t>
            </w:r>
            <w:r w:rsidR="00202DFB">
              <w:rPr>
                <w:sz w:val="20"/>
                <w:szCs w:val="20"/>
              </w:rPr>
              <w:t>0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N114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proofErr w:type="spellStart"/>
            <w:r w:rsidRPr="00600CB4">
              <w:rPr>
                <w:sz w:val="20"/>
                <w:szCs w:val="20"/>
              </w:rPr>
              <w:t>Optometrists</w:t>
            </w:r>
            <w:proofErr w:type="spellEnd"/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  <w:tr w:rsidR="00D57129" w:rsidRPr="00D57129" w:rsidTr="004E416D">
        <w:trPr>
          <w:jc w:val="center"/>
        </w:trPr>
        <w:tc>
          <w:tcPr>
            <w:tcW w:w="4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14</w:t>
            </w:r>
            <w:r w:rsidR="00202DFB">
              <w:rPr>
                <w:sz w:val="20"/>
                <w:szCs w:val="20"/>
              </w:rPr>
              <w:t>1</w:t>
            </w:r>
            <w:r w:rsidRPr="00600CB4">
              <w:rPr>
                <w:sz w:val="20"/>
                <w:szCs w:val="20"/>
              </w:rPr>
              <w:t>.</w:t>
            </w:r>
          </w:p>
        </w:tc>
        <w:tc>
          <w:tcPr>
            <w:tcW w:w="100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A, P, PP, n, M</w:t>
            </w:r>
          </w:p>
        </w:tc>
        <w:tc>
          <w:tcPr>
            <w:tcW w:w="28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Cita sarakstā neminēta specialitāte vai metode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534D20" w:rsidRPr="00600CB4" w:rsidRDefault="00534D20" w:rsidP="004E416D">
            <w:pPr>
              <w:spacing w:before="100" w:beforeAutospacing="1" w:after="100" w:afterAutospacing="1" w:line="293" w:lineRule="atLeast"/>
              <w:jc w:val="center"/>
              <w:rPr>
                <w:sz w:val="20"/>
                <w:szCs w:val="20"/>
              </w:rPr>
            </w:pPr>
            <w:r w:rsidRPr="00600CB4">
              <w:rPr>
                <w:sz w:val="20"/>
                <w:szCs w:val="20"/>
              </w:rPr>
              <w:t>0,5</w:t>
            </w:r>
          </w:p>
        </w:tc>
      </w:tr>
    </w:tbl>
    <w:p w:rsidR="00534D20" w:rsidRPr="00D57129" w:rsidRDefault="008566E2" w:rsidP="00534D20">
      <w:pPr>
        <w:rPr>
          <w:sz w:val="20"/>
          <w:szCs w:val="20"/>
        </w:rPr>
      </w:pPr>
      <w:r w:rsidRPr="00600CB4">
        <w:rPr>
          <w:sz w:val="20"/>
          <w:szCs w:val="20"/>
          <w:shd w:val="clear" w:color="auto" w:fill="FFFFFF"/>
        </w:rPr>
        <w:t>Piezīme. * Ārstniecības personas un ārstniecības atbalsta personas kods atbilstoši specialitātes klasifikatoram noteikts saskaņā ar Ministru kabineta 20</w:t>
      </w:r>
      <w:r w:rsidR="004E416D" w:rsidRPr="00600CB4">
        <w:rPr>
          <w:sz w:val="20"/>
          <w:szCs w:val="20"/>
          <w:shd w:val="clear" w:color="auto" w:fill="FFFFFF"/>
        </w:rPr>
        <w:t>16</w:t>
      </w:r>
      <w:r w:rsidRPr="00600CB4">
        <w:rPr>
          <w:sz w:val="20"/>
          <w:szCs w:val="20"/>
          <w:shd w:val="clear" w:color="auto" w:fill="FFFFFF"/>
        </w:rPr>
        <w:t xml:space="preserve">.gada </w:t>
      </w:r>
      <w:r w:rsidR="00B53BB9" w:rsidRPr="00600CB4">
        <w:rPr>
          <w:sz w:val="20"/>
          <w:szCs w:val="20"/>
          <w:shd w:val="clear" w:color="auto" w:fill="FFFFFF"/>
        </w:rPr>
        <w:t>24.maija</w:t>
      </w:r>
      <w:r w:rsidRPr="00600CB4">
        <w:rPr>
          <w:sz w:val="20"/>
          <w:szCs w:val="20"/>
          <w:shd w:val="clear" w:color="auto" w:fill="FFFFFF"/>
        </w:rPr>
        <w:t xml:space="preserve"> noteikumu Nr.</w:t>
      </w:r>
      <w:r w:rsidR="00B53BB9" w:rsidRPr="00600CB4">
        <w:rPr>
          <w:sz w:val="20"/>
          <w:szCs w:val="20"/>
          <w:shd w:val="clear" w:color="auto" w:fill="FFFFFF"/>
        </w:rPr>
        <w:t>317</w:t>
      </w:r>
      <w:r w:rsidRPr="00600CB4">
        <w:rPr>
          <w:sz w:val="20"/>
          <w:szCs w:val="20"/>
          <w:shd w:val="clear" w:color="auto" w:fill="FFFFFF"/>
        </w:rPr>
        <w:t xml:space="preserve"> "</w:t>
      </w:r>
      <w:r w:rsidRPr="00D57129">
        <w:rPr>
          <w:sz w:val="20"/>
          <w:szCs w:val="20"/>
          <w:shd w:val="clear" w:color="auto" w:fill="FFFFFF"/>
        </w:rPr>
        <w:t>Ārstniecības personu un ārstniecības atbalsta personu reģistra izveides, papildināšanas un uzturēšanas kārtība</w:t>
      </w:r>
      <w:r w:rsidRPr="00600CB4">
        <w:rPr>
          <w:sz w:val="20"/>
          <w:szCs w:val="20"/>
          <w:shd w:val="clear" w:color="auto" w:fill="FFFFFF"/>
        </w:rPr>
        <w:t>" </w:t>
      </w:r>
      <w:r w:rsidR="00B53BB9" w:rsidRPr="00D57129">
        <w:rPr>
          <w:sz w:val="20"/>
          <w:szCs w:val="20"/>
          <w:shd w:val="clear" w:color="auto" w:fill="FFFFFF"/>
        </w:rPr>
        <w:t>1.pielikumu</w:t>
      </w:r>
      <w:r w:rsidRPr="00600CB4">
        <w:rPr>
          <w:sz w:val="20"/>
          <w:szCs w:val="20"/>
          <w:shd w:val="clear" w:color="auto" w:fill="FFFFFF"/>
        </w:rPr>
        <w:t> un atbilstoši Ministru kabineta 2009.gada 24.marta noteikumu Nr.268 "</w:t>
      </w:r>
      <w:r w:rsidRPr="00D57129">
        <w:rPr>
          <w:sz w:val="20"/>
          <w:szCs w:val="20"/>
          <w:shd w:val="clear" w:color="auto" w:fill="FFFFFF"/>
        </w:rPr>
        <w:t>Noteikumi par ārstniecības personu un studējošo, kuri apgūst pirmā vai otrā līmeņa profesionālās augstākās medicīniskās izglītības programmas, kompetenci ārstniecībā un šo personu teorētisko un praktisko zināšanu apjomu</w:t>
      </w:r>
      <w:r w:rsidRPr="00600CB4">
        <w:rPr>
          <w:sz w:val="20"/>
          <w:szCs w:val="20"/>
          <w:shd w:val="clear" w:color="auto" w:fill="FFFFFF"/>
        </w:rPr>
        <w:t>" </w:t>
      </w:r>
      <w:r w:rsidRPr="00D57129">
        <w:rPr>
          <w:sz w:val="20"/>
          <w:szCs w:val="20"/>
          <w:shd w:val="clear" w:color="auto" w:fill="FFFFFF"/>
        </w:rPr>
        <w:t>6</w:t>
      </w:r>
      <w:r w:rsidR="00B53BB9" w:rsidRPr="00D57129">
        <w:rPr>
          <w:sz w:val="20"/>
          <w:szCs w:val="20"/>
          <w:shd w:val="clear" w:color="auto" w:fill="FFFFFF"/>
        </w:rPr>
        <w:t>36</w:t>
      </w:r>
      <w:r w:rsidRPr="00D57129">
        <w:rPr>
          <w:sz w:val="20"/>
          <w:szCs w:val="20"/>
          <w:shd w:val="clear" w:color="auto" w:fill="FFFFFF"/>
        </w:rPr>
        <w:t>.punktam</w:t>
      </w:r>
      <w:r w:rsidRPr="00600CB4">
        <w:rPr>
          <w:sz w:val="20"/>
          <w:szCs w:val="20"/>
          <w:shd w:val="clear" w:color="auto" w:fill="FFFFFF"/>
        </w:rPr>
        <w:t>.</w:t>
      </w:r>
      <w:r w:rsidR="00B6301B" w:rsidRPr="00600CB4">
        <w:rPr>
          <w:sz w:val="20"/>
          <w:szCs w:val="20"/>
          <w:shd w:val="clear" w:color="auto" w:fill="FFFFFF"/>
        </w:rPr>
        <w:t>”</w:t>
      </w:r>
    </w:p>
    <w:p w:rsidR="000531B4" w:rsidRPr="00C514FD" w:rsidRDefault="000531B4" w:rsidP="000531B4">
      <w:pPr>
        <w:ind w:left="720"/>
        <w:jc w:val="both"/>
        <w:rPr>
          <w:sz w:val="28"/>
          <w:szCs w:val="28"/>
        </w:rPr>
      </w:pPr>
    </w:p>
    <w:p w:rsidR="00341E8F" w:rsidRDefault="00341E8F" w:rsidP="00341E8F">
      <w:pPr>
        <w:ind w:firstLine="720"/>
        <w:jc w:val="both"/>
        <w:rPr>
          <w:sz w:val="28"/>
        </w:rPr>
      </w:pPr>
    </w:p>
    <w:p w:rsidR="000050E6" w:rsidRPr="00C514FD" w:rsidRDefault="000050E6" w:rsidP="00582EA3">
      <w:pPr>
        <w:ind w:left="720"/>
        <w:jc w:val="both"/>
        <w:rPr>
          <w:sz w:val="28"/>
          <w:szCs w:val="28"/>
        </w:rPr>
      </w:pPr>
    </w:p>
    <w:p w:rsidR="006457F2" w:rsidRPr="00C514FD" w:rsidRDefault="006457F2" w:rsidP="005825ED">
      <w:pPr>
        <w:jc w:val="both"/>
        <w:rPr>
          <w:sz w:val="28"/>
          <w:szCs w:val="28"/>
        </w:rPr>
      </w:pPr>
    </w:p>
    <w:p w:rsidR="00074A78" w:rsidRDefault="006A1ADB" w:rsidP="00074A78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DF115E">
        <w:rPr>
          <w:rFonts w:eastAsia="Calibri"/>
          <w:sz w:val="28"/>
          <w:szCs w:val="28"/>
          <w:lang w:eastAsia="en-US"/>
        </w:rPr>
        <w:t>Ministru prezidents</w:t>
      </w:r>
      <w:r w:rsidR="00074A78">
        <w:rPr>
          <w:rFonts w:eastAsia="Calibri"/>
          <w:sz w:val="28"/>
          <w:szCs w:val="28"/>
        </w:rPr>
        <w:t>,</w:t>
      </w:r>
    </w:p>
    <w:p w:rsidR="006A1ADB" w:rsidRPr="00DF115E" w:rsidRDefault="00074A78" w:rsidP="00074A78">
      <w:pPr>
        <w:tabs>
          <w:tab w:val="right" w:pos="7088"/>
        </w:tabs>
        <w:spacing w:after="480"/>
        <w:ind w:right="-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a pienākumu izpildītājs</w:t>
      </w:r>
      <w:r w:rsidR="006A1ADB">
        <w:rPr>
          <w:rFonts w:eastAsia="Calibri"/>
          <w:sz w:val="28"/>
          <w:szCs w:val="28"/>
          <w:lang w:eastAsia="en-US"/>
        </w:rPr>
        <w:t xml:space="preserve"> </w:t>
      </w:r>
      <w:r w:rsidR="006A1ADB">
        <w:rPr>
          <w:rFonts w:eastAsia="Calibri"/>
          <w:sz w:val="28"/>
          <w:szCs w:val="28"/>
          <w:lang w:eastAsia="en-US"/>
        </w:rPr>
        <w:tab/>
      </w:r>
      <w:r w:rsidR="006A1ADB">
        <w:rPr>
          <w:rFonts w:eastAsia="Calibri"/>
          <w:sz w:val="28"/>
          <w:szCs w:val="28"/>
          <w:lang w:eastAsia="en-US"/>
        </w:rPr>
        <w:tab/>
      </w:r>
      <w:r w:rsidR="006A1ADB" w:rsidRPr="00DF115E">
        <w:rPr>
          <w:rFonts w:eastAsia="Calibri"/>
          <w:sz w:val="28"/>
          <w:szCs w:val="28"/>
          <w:lang w:eastAsia="en-US"/>
        </w:rPr>
        <w:t>Māris Kučinskis</w:t>
      </w:r>
    </w:p>
    <w:p w:rsidR="006A1ADB" w:rsidRDefault="006A1ADB" w:rsidP="006A1ADB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Ministru prezidents</w:t>
      </w:r>
      <w:r>
        <w:rPr>
          <w:rFonts w:eastAsia="Calibri"/>
          <w:sz w:val="28"/>
          <w:szCs w:val="28"/>
        </w:rPr>
        <w:t>,</w:t>
      </w:r>
    </w:p>
    <w:p w:rsidR="006A1ADB" w:rsidRDefault="006A1ADB" w:rsidP="006A1ADB">
      <w:pPr>
        <w:tabs>
          <w:tab w:val="left" w:pos="7230"/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</w:t>
      </w:r>
      <w:r w:rsidRPr="003842CB">
        <w:rPr>
          <w:rFonts w:eastAsia="Calibri"/>
          <w:sz w:val="28"/>
          <w:szCs w:val="28"/>
        </w:rPr>
        <w:t>eselības ministr</w:t>
      </w:r>
      <w:r>
        <w:rPr>
          <w:rFonts w:eastAsia="Calibri"/>
          <w:sz w:val="28"/>
          <w:szCs w:val="28"/>
        </w:rPr>
        <w:t>a pienākumu izpildītājs</w:t>
      </w:r>
      <w:r w:rsidRPr="003842CB">
        <w:rPr>
          <w:rFonts w:eastAsia="Calibri"/>
          <w:sz w:val="28"/>
          <w:szCs w:val="28"/>
        </w:rPr>
        <w:t xml:space="preserve"> </w:t>
      </w:r>
      <w:r w:rsidRPr="003842CB"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  <w:r>
        <w:rPr>
          <w:rFonts w:eastAsia="Calibri"/>
          <w:sz w:val="28"/>
          <w:szCs w:val="28"/>
        </w:rPr>
        <w:tab/>
      </w:r>
    </w:p>
    <w:p w:rsidR="006A1ADB" w:rsidRDefault="006A1ADB" w:rsidP="006A1ADB">
      <w:pPr>
        <w:tabs>
          <w:tab w:val="right" w:pos="9072"/>
        </w:tabs>
        <w:spacing w:after="480"/>
        <w:ind w:right="-765"/>
        <w:contextualSpacing/>
        <w:rPr>
          <w:rFonts w:eastAsia="Calibri"/>
          <w:sz w:val="28"/>
          <w:szCs w:val="28"/>
        </w:rPr>
      </w:pPr>
    </w:p>
    <w:p w:rsidR="006A1ADB" w:rsidRPr="00AE1554" w:rsidRDefault="006A1ADB" w:rsidP="006A1ADB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 xml:space="preserve">Iesniedzējs: </w:t>
      </w:r>
      <w:r w:rsidRPr="00AE1554">
        <w:rPr>
          <w:rFonts w:eastAsia="Calibri"/>
          <w:sz w:val="28"/>
          <w:szCs w:val="28"/>
        </w:rPr>
        <w:t>Ministru prezidents,</w:t>
      </w:r>
    </w:p>
    <w:p w:rsidR="006A1ADB" w:rsidRDefault="006A1ADB" w:rsidP="006A1ADB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AE1554">
        <w:rPr>
          <w:rFonts w:eastAsia="Calibri"/>
          <w:sz w:val="28"/>
          <w:szCs w:val="28"/>
        </w:rPr>
        <w:t>veselības ministra pienākumu izpildītājs</w:t>
      </w:r>
      <w:r>
        <w:rPr>
          <w:rFonts w:eastAsia="Calibri"/>
          <w:sz w:val="28"/>
          <w:szCs w:val="28"/>
        </w:rPr>
        <w:tab/>
      </w:r>
      <w:r w:rsidRPr="00AE1554">
        <w:rPr>
          <w:rFonts w:eastAsia="Calibri"/>
          <w:sz w:val="28"/>
          <w:szCs w:val="28"/>
        </w:rPr>
        <w:t xml:space="preserve">Māris Kučinskis </w:t>
      </w:r>
    </w:p>
    <w:p w:rsidR="006A1ADB" w:rsidRPr="00AB0C46" w:rsidRDefault="006A1ADB" w:rsidP="006A1ADB">
      <w:pPr>
        <w:tabs>
          <w:tab w:val="left" w:pos="7230"/>
          <w:tab w:val="right" w:pos="9072"/>
        </w:tabs>
        <w:spacing w:before="240"/>
        <w:ind w:right="-765"/>
        <w:rPr>
          <w:rFonts w:eastAsia="Calibri"/>
          <w:sz w:val="28"/>
          <w:szCs w:val="28"/>
        </w:rPr>
      </w:pPr>
      <w:r w:rsidRPr="009C25C1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 xml:space="preserve">s                                                     </w:t>
      </w:r>
      <w:r>
        <w:rPr>
          <w:rFonts w:eastAsia="Calibri"/>
          <w:sz w:val="28"/>
          <w:szCs w:val="28"/>
        </w:rPr>
        <w:tab/>
        <w:t>Aivars Lapiņš</w:t>
      </w:r>
    </w:p>
    <w:p w:rsidR="006E083B" w:rsidRPr="00BE5ABD" w:rsidRDefault="006E083B" w:rsidP="007256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sectPr w:rsidR="006E083B" w:rsidRPr="00BE5AB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2C" w:rsidRDefault="00B24E2C">
      <w:r>
        <w:separator/>
      </w:r>
    </w:p>
  </w:endnote>
  <w:endnote w:type="continuationSeparator" w:id="0">
    <w:p w:rsidR="00B24E2C" w:rsidRDefault="00B2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30" w:rsidRPr="009F3EFB" w:rsidRDefault="00074A78" w:rsidP="006453A4">
    <w:pPr>
      <w:pStyle w:val="Footer"/>
      <w:rPr>
        <w:sz w:val="20"/>
        <w:szCs w:val="20"/>
      </w:rPr>
    </w:pPr>
    <w:r>
      <w:rPr>
        <w:sz w:val="20"/>
        <w:szCs w:val="20"/>
      </w:rPr>
      <w:t>VMnot_2</w:t>
    </w:r>
    <w:r w:rsidR="00202DFB">
      <w:rPr>
        <w:sz w:val="20"/>
        <w:szCs w:val="20"/>
      </w:rPr>
      <w:t>9</w:t>
    </w:r>
    <w:r w:rsidR="00862730">
      <w:rPr>
        <w:sz w:val="20"/>
        <w:szCs w:val="20"/>
      </w:rPr>
      <w:t>0118_groz_1268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730" w:rsidRPr="009F3EFB" w:rsidRDefault="00862730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074A78">
      <w:rPr>
        <w:sz w:val="20"/>
        <w:szCs w:val="20"/>
      </w:rPr>
      <w:t>2</w:t>
    </w:r>
    <w:r w:rsidR="00202DFB">
      <w:rPr>
        <w:sz w:val="20"/>
        <w:szCs w:val="20"/>
      </w:rPr>
      <w:t>9</w:t>
    </w:r>
    <w:r>
      <w:rPr>
        <w:sz w:val="20"/>
        <w:szCs w:val="20"/>
      </w:rPr>
      <w:t>0118_groz_1268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2C" w:rsidRDefault="00B24E2C">
      <w:r>
        <w:separator/>
      </w:r>
    </w:p>
  </w:footnote>
  <w:footnote w:type="continuationSeparator" w:id="0">
    <w:p w:rsidR="00B24E2C" w:rsidRDefault="00B2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2730" w:rsidRDefault="008627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2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62730" w:rsidRDefault="00862730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A63F8"/>
    <w:multiLevelType w:val="hybridMultilevel"/>
    <w:tmpl w:val="DA5234EE"/>
    <w:lvl w:ilvl="0" w:tplc="F94C7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50E6"/>
    <w:rsid w:val="00010E7F"/>
    <w:rsid w:val="0001382E"/>
    <w:rsid w:val="000149FD"/>
    <w:rsid w:val="00023004"/>
    <w:rsid w:val="000343F2"/>
    <w:rsid w:val="000531B4"/>
    <w:rsid w:val="00064A65"/>
    <w:rsid w:val="00065417"/>
    <w:rsid w:val="00074A78"/>
    <w:rsid w:val="00097A3F"/>
    <w:rsid w:val="000A5426"/>
    <w:rsid w:val="000A7D69"/>
    <w:rsid w:val="000B1D97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5C0"/>
    <w:rsid w:val="001D31F3"/>
    <w:rsid w:val="001D7F58"/>
    <w:rsid w:val="001E7CF0"/>
    <w:rsid w:val="001F2205"/>
    <w:rsid w:val="00202DFB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1E8F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D0CD1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416D"/>
    <w:rsid w:val="004E5A1D"/>
    <w:rsid w:val="004E74DA"/>
    <w:rsid w:val="005003A0"/>
    <w:rsid w:val="00523B02"/>
    <w:rsid w:val="005256C0"/>
    <w:rsid w:val="00534D20"/>
    <w:rsid w:val="00537199"/>
    <w:rsid w:val="0055244A"/>
    <w:rsid w:val="0056217C"/>
    <w:rsid w:val="00572852"/>
    <w:rsid w:val="00574B34"/>
    <w:rsid w:val="0058034F"/>
    <w:rsid w:val="005825ED"/>
    <w:rsid w:val="00582EA3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0CB4"/>
    <w:rsid w:val="0060613C"/>
    <w:rsid w:val="00610E8F"/>
    <w:rsid w:val="00615BB4"/>
    <w:rsid w:val="00623DF2"/>
    <w:rsid w:val="00631730"/>
    <w:rsid w:val="006453A4"/>
    <w:rsid w:val="006457F2"/>
    <w:rsid w:val="00651934"/>
    <w:rsid w:val="006568DC"/>
    <w:rsid w:val="00664357"/>
    <w:rsid w:val="00665111"/>
    <w:rsid w:val="006676D5"/>
    <w:rsid w:val="00671D14"/>
    <w:rsid w:val="006739A7"/>
    <w:rsid w:val="00681F12"/>
    <w:rsid w:val="00684B30"/>
    <w:rsid w:val="0068514E"/>
    <w:rsid w:val="00692104"/>
    <w:rsid w:val="00695B9B"/>
    <w:rsid w:val="006A1ADB"/>
    <w:rsid w:val="006A4F8B"/>
    <w:rsid w:val="006A6091"/>
    <w:rsid w:val="006B60F9"/>
    <w:rsid w:val="006C0BDC"/>
    <w:rsid w:val="006C4B76"/>
    <w:rsid w:val="006D475A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0B65"/>
    <w:rsid w:val="007947CC"/>
    <w:rsid w:val="00796BFD"/>
    <w:rsid w:val="007A11B6"/>
    <w:rsid w:val="007B5DBD"/>
    <w:rsid w:val="007C4838"/>
    <w:rsid w:val="007C63F0"/>
    <w:rsid w:val="007E6756"/>
    <w:rsid w:val="007F7F31"/>
    <w:rsid w:val="0080189A"/>
    <w:rsid w:val="0081152C"/>
    <w:rsid w:val="00812AFA"/>
    <w:rsid w:val="00837BBE"/>
    <w:rsid w:val="008467C5"/>
    <w:rsid w:val="008566E2"/>
    <w:rsid w:val="00862730"/>
    <w:rsid w:val="0086399E"/>
    <w:rsid w:val="008644A0"/>
    <w:rsid w:val="00864D00"/>
    <w:rsid w:val="00866D67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24E2C"/>
    <w:rsid w:val="00B30445"/>
    <w:rsid w:val="00B30D1A"/>
    <w:rsid w:val="00B53BB9"/>
    <w:rsid w:val="00B57ACD"/>
    <w:rsid w:val="00B60DB3"/>
    <w:rsid w:val="00B6301B"/>
    <w:rsid w:val="00B77A0F"/>
    <w:rsid w:val="00B81177"/>
    <w:rsid w:val="00B83E78"/>
    <w:rsid w:val="00B9584F"/>
    <w:rsid w:val="00BA506B"/>
    <w:rsid w:val="00BA6B1A"/>
    <w:rsid w:val="00BB487A"/>
    <w:rsid w:val="00BB568A"/>
    <w:rsid w:val="00BC2DF6"/>
    <w:rsid w:val="00BC4543"/>
    <w:rsid w:val="00BD688C"/>
    <w:rsid w:val="00BE301F"/>
    <w:rsid w:val="00C00364"/>
    <w:rsid w:val="00C00A8E"/>
    <w:rsid w:val="00C1655D"/>
    <w:rsid w:val="00C232D2"/>
    <w:rsid w:val="00C27AF9"/>
    <w:rsid w:val="00C31E7D"/>
    <w:rsid w:val="00C406ED"/>
    <w:rsid w:val="00C44DE9"/>
    <w:rsid w:val="00C53AD0"/>
    <w:rsid w:val="00C72285"/>
    <w:rsid w:val="00C903DE"/>
    <w:rsid w:val="00C93126"/>
    <w:rsid w:val="00CA30A6"/>
    <w:rsid w:val="00CA7A60"/>
    <w:rsid w:val="00CB6776"/>
    <w:rsid w:val="00CC2862"/>
    <w:rsid w:val="00CD0F88"/>
    <w:rsid w:val="00CE04CC"/>
    <w:rsid w:val="00CE0B90"/>
    <w:rsid w:val="00CE599E"/>
    <w:rsid w:val="00CF14BD"/>
    <w:rsid w:val="00D1431D"/>
    <w:rsid w:val="00D14B43"/>
    <w:rsid w:val="00D34E8D"/>
    <w:rsid w:val="00D429DF"/>
    <w:rsid w:val="00D46149"/>
    <w:rsid w:val="00D4651B"/>
    <w:rsid w:val="00D53187"/>
    <w:rsid w:val="00D57129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115E"/>
    <w:rsid w:val="00DF15EC"/>
    <w:rsid w:val="00E10074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6467D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88E7E-495A-41BE-9859-3011125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582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D7BA-61ED-494A-92C0-97DA6B68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5180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2013.gada 5.novembra noteikumos Nr.1268 „Ārstniecības riska fonda darbības noteikumi”"</vt:lpstr>
    </vt:vector>
  </TitlesOfParts>
  <Company>Veselības ministrija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2013.gada 5.novembra noteikumos Nr.1268 „Ārstniecības riska fonda darbības noteikumi”"</dc:title>
  <dc:subject>Noteikumu projekts</dc:subject>
  <dc:creator>Ilze Šķiņķe;Dace Roga</dc:creator>
  <dc:description>67876093, dace.roga@vm.gov.lv</dc:description>
  <cp:lastModifiedBy>Jekaterina Borovika</cp:lastModifiedBy>
  <cp:revision>2</cp:revision>
  <cp:lastPrinted>2017-09-21T06:23:00Z</cp:lastPrinted>
  <dcterms:created xsi:type="dcterms:W3CDTF">2018-02-06T13:29:00Z</dcterms:created>
  <dcterms:modified xsi:type="dcterms:W3CDTF">2018-02-06T13:29:00Z</dcterms:modified>
</cp:coreProperties>
</file>