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A2" w:rsidRPr="00D712E8" w:rsidRDefault="00422589" w:rsidP="00760B61">
      <w:pPr>
        <w:spacing w:after="0" w:line="240" w:lineRule="auto"/>
        <w:jc w:val="center"/>
        <w:rPr>
          <w:rFonts w:ascii="Times New Roman" w:hAnsi="Times New Roman"/>
          <w:b/>
          <w:sz w:val="28"/>
          <w:szCs w:val="24"/>
        </w:rPr>
      </w:pPr>
      <w:bookmarkStart w:id="0" w:name="OLE_LINK1"/>
      <w:bookmarkStart w:id="1" w:name="OLE_LINK2"/>
      <w:r w:rsidRPr="00D712E8">
        <w:rPr>
          <w:rFonts w:ascii="Times New Roman" w:hAnsi="Times New Roman"/>
          <w:b/>
          <w:sz w:val="28"/>
          <w:szCs w:val="24"/>
        </w:rPr>
        <w:t xml:space="preserve">Ministru kabineta noteikumu projekts </w:t>
      </w:r>
      <w:r w:rsidR="00CC0F36" w:rsidRPr="00D712E8">
        <w:rPr>
          <w:rFonts w:ascii="Times New Roman" w:hAnsi="Times New Roman"/>
          <w:b/>
          <w:sz w:val="28"/>
          <w:szCs w:val="24"/>
        </w:rPr>
        <w:t xml:space="preserve">„Grozījumi Ministru kabineta </w:t>
      </w:r>
      <w:proofErr w:type="gramStart"/>
      <w:r w:rsidR="00CC0F36" w:rsidRPr="00D712E8">
        <w:rPr>
          <w:rFonts w:ascii="Times New Roman" w:hAnsi="Times New Roman"/>
          <w:b/>
          <w:sz w:val="28"/>
          <w:szCs w:val="24"/>
        </w:rPr>
        <w:t>2013.gada</w:t>
      </w:r>
      <w:proofErr w:type="gramEnd"/>
      <w:r w:rsidR="00CC0F36" w:rsidRPr="00D712E8">
        <w:rPr>
          <w:rFonts w:ascii="Times New Roman" w:hAnsi="Times New Roman"/>
          <w:b/>
          <w:sz w:val="28"/>
          <w:szCs w:val="24"/>
        </w:rPr>
        <w:t xml:space="preserve"> 17.decembra noteikumos Nr.1524 </w:t>
      </w:r>
      <w:r w:rsidRPr="00D712E8">
        <w:rPr>
          <w:rFonts w:ascii="Times New Roman" w:hAnsi="Times New Roman"/>
          <w:b/>
          <w:sz w:val="28"/>
          <w:szCs w:val="24"/>
        </w:rPr>
        <w:t>„Noteikumi par valsts atbalstu lauksaimniecībai”</w:t>
      </w:r>
      <w:r w:rsidR="00CC0F36" w:rsidRPr="00D712E8">
        <w:rPr>
          <w:rFonts w:ascii="Times New Roman" w:hAnsi="Times New Roman"/>
          <w:b/>
          <w:sz w:val="28"/>
          <w:szCs w:val="24"/>
        </w:rPr>
        <w:t>”</w:t>
      </w:r>
      <w:r w:rsidRPr="00D712E8">
        <w:rPr>
          <w:rFonts w:ascii="Times New Roman" w:hAnsi="Times New Roman"/>
          <w:b/>
          <w:sz w:val="28"/>
          <w:szCs w:val="24"/>
        </w:rPr>
        <w:t xml:space="preserve"> </w:t>
      </w:r>
      <w:r w:rsidRPr="00D712E8">
        <w:rPr>
          <w:rFonts w:ascii="Times New Roman" w:hAnsi="Times New Roman"/>
          <w:b/>
          <w:bCs/>
          <w:sz w:val="28"/>
          <w:szCs w:val="24"/>
        </w:rPr>
        <w:t>sākotnējās ietekmes novērtējuma ziņojums</w:t>
      </w:r>
      <w:r w:rsidRPr="00D712E8">
        <w:rPr>
          <w:rFonts w:ascii="Times New Roman" w:hAnsi="Times New Roman"/>
          <w:b/>
          <w:sz w:val="28"/>
          <w:szCs w:val="24"/>
        </w:rPr>
        <w:t xml:space="preserve"> (anotācija)</w:t>
      </w:r>
      <w:bookmarkEnd w:id="0"/>
      <w:bookmarkEnd w:id="1"/>
    </w:p>
    <w:p w:rsidR="00D712E8" w:rsidRDefault="00D712E8" w:rsidP="00760B61">
      <w:pPr>
        <w:spacing w:after="0" w:line="240" w:lineRule="auto"/>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83"/>
        <w:gridCol w:w="6072"/>
      </w:tblGrid>
      <w:tr w:rsidR="00B91A42" w:rsidRPr="00B91A42" w:rsidTr="00B91A4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B91A42" w:rsidRPr="0073509D" w:rsidRDefault="00B91A42" w:rsidP="00B91A42">
            <w:pPr>
              <w:spacing w:after="0" w:line="240" w:lineRule="auto"/>
              <w:jc w:val="center"/>
              <w:rPr>
                <w:rFonts w:ascii="Times New Roman" w:hAnsi="Times New Roman" w:cs="Times New Roman"/>
                <w:b/>
                <w:bCs/>
                <w:sz w:val="24"/>
                <w:szCs w:val="24"/>
              </w:rPr>
            </w:pPr>
            <w:r w:rsidRPr="0073509D">
              <w:rPr>
                <w:rFonts w:ascii="Times New Roman" w:hAnsi="Times New Roman" w:cs="Times New Roman"/>
                <w:b/>
                <w:bCs/>
                <w:sz w:val="24"/>
                <w:szCs w:val="24"/>
              </w:rPr>
              <w:t>Tiesību akta projekta anotācijas kopsavilkums</w:t>
            </w:r>
          </w:p>
        </w:tc>
      </w:tr>
      <w:tr w:rsidR="00B91A42" w:rsidRPr="00B91A42" w:rsidTr="00B91A42">
        <w:tc>
          <w:tcPr>
            <w:tcW w:w="1647" w:type="pct"/>
            <w:tcBorders>
              <w:top w:val="outset" w:sz="6" w:space="0" w:color="414142"/>
              <w:left w:val="outset" w:sz="6" w:space="0" w:color="414142"/>
              <w:bottom w:val="outset" w:sz="6" w:space="0" w:color="414142"/>
              <w:right w:val="outset" w:sz="6" w:space="0" w:color="414142"/>
            </w:tcBorders>
            <w:hideMark/>
          </w:tcPr>
          <w:p w:rsidR="00B91A42" w:rsidRPr="0073509D" w:rsidRDefault="00B91A42" w:rsidP="0073509D">
            <w:pPr>
              <w:spacing w:after="0" w:line="240" w:lineRule="auto"/>
              <w:jc w:val="both"/>
              <w:rPr>
                <w:rFonts w:ascii="Times New Roman" w:hAnsi="Times New Roman" w:cs="Times New Roman"/>
                <w:sz w:val="24"/>
                <w:szCs w:val="24"/>
              </w:rPr>
            </w:pPr>
            <w:r w:rsidRPr="0073509D">
              <w:rPr>
                <w:rFonts w:ascii="Times New Roman" w:hAnsi="Times New Roman" w:cs="Times New Roman"/>
                <w:sz w:val="24"/>
                <w:szCs w:val="24"/>
              </w:rPr>
              <w:t>Mērķis, risinājums un projekta spēkā stāšanās laiks (500 zīmes bez atstarpēm)</w:t>
            </w:r>
          </w:p>
        </w:tc>
        <w:tc>
          <w:tcPr>
            <w:tcW w:w="3353" w:type="pct"/>
            <w:tcBorders>
              <w:top w:val="outset" w:sz="6" w:space="0" w:color="414142"/>
              <w:left w:val="outset" w:sz="6" w:space="0" w:color="414142"/>
              <w:bottom w:val="outset" w:sz="6" w:space="0" w:color="414142"/>
              <w:right w:val="outset" w:sz="6" w:space="0" w:color="414142"/>
            </w:tcBorders>
            <w:hideMark/>
          </w:tcPr>
          <w:p w:rsidR="00B91A42" w:rsidRDefault="0073509D" w:rsidP="00A12344">
            <w:pPr>
              <w:spacing w:after="0" w:line="240" w:lineRule="auto"/>
              <w:jc w:val="both"/>
              <w:rPr>
                <w:rFonts w:ascii="Times New Roman" w:eastAsia="Calibri" w:hAnsi="Times New Roman" w:cs="Times New Roman"/>
                <w:sz w:val="24"/>
                <w:szCs w:val="24"/>
                <w:lang w:eastAsia="en-US"/>
              </w:rPr>
            </w:pPr>
            <w:r w:rsidRPr="0073509D">
              <w:rPr>
                <w:rFonts w:ascii="Times New Roman" w:hAnsi="Times New Roman" w:cs="Times New Roman"/>
                <w:sz w:val="24"/>
                <w:szCs w:val="24"/>
              </w:rPr>
              <w:t>Ministru kabineta noteikumu projekt</w:t>
            </w:r>
            <w:r>
              <w:rPr>
                <w:rFonts w:ascii="Times New Roman" w:hAnsi="Times New Roman" w:cs="Times New Roman"/>
                <w:sz w:val="24"/>
                <w:szCs w:val="24"/>
              </w:rPr>
              <w:t>a</w:t>
            </w:r>
            <w:r w:rsidRPr="0073509D">
              <w:rPr>
                <w:rFonts w:ascii="Times New Roman" w:hAnsi="Times New Roman" w:cs="Times New Roman"/>
                <w:sz w:val="24"/>
                <w:szCs w:val="24"/>
              </w:rPr>
              <w:t xml:space="preserve"> „Grozījumi Ministru kabineta 2013.gada 17.decembra noteikumos Nr.1524 „Noteikumi par valsts atbalstu lauksaimniecībai””</w:t>
            </w:r>
            <w:r>
              <w:rPr>
                <w:rFonts w:ascii="Times New Roman" w:hAnsi="Times New Roman" w:cs="Times New Roman"/>
                <w:sz w:val="24"/>
                <w:szCs w:val="24"/>
              </w:rPr>
              <w:t xml:space="preserve"> mērķis ir sadalīt 2018.gada </w:t>
            </w:r>
            <w:r w:rsidRPr="0073509D">
              <w:rPr>
                <w:rFonts w:ascii="Times New Roman" w:hAnsi="Times New Roman" w:cs="Times New Roman"/>
                <w:bCs/>
                <w:sz w:val="24"/>
                <w:szCs w:val="24"/>
              </w:rPr>
              <w:t>finansējum</w:t>
            </w:r>
            <w:r>
              <w:rPr>
                <w:rFonts w:ascii="Times New Roman" w:hAnsi="Times New Roman" w:cs="Times New Roman"/>
                <w:bCs/>
                <w:sz w:val="24"/>
                <w:szCs w:val="24"/>
              </w:rPr>
              <w:t>u</w:t>
            </w:r>
            <w:r w:rsidRPr="0073509D">
              <w:rPr>
                <w:rFonts w:ascii="Times New Roman" w:hAnsi="Times New Roman" w:cs="Times New Roman"/>
                <w:bCs/>
                <w:sz w:val="24"/>
                <w:szCs w:val="24"/>
              </w:rPr>
              <w:t xml:space="preserve"> 8 720 490 </w:t>
            </w:r>
            <w:proofErr w:type="spellStart"/>
            <w:r w:rsidRPr="0073509D">
              <w:rPr>
                <w:rFonts w:ascii="Times New Roman" w:hAnsi="Times New Roman" w:cs="Times New Roman"/>
                <w:bCs/>
                <w:i/>
                <w:sz w:val="24"/>
                <w:szCs w:val="24"/>
              </w:rPr>
              <w:t>euro</w:t>
            </w:r>
            <w:proofErr w:type="spellEnd"/>
            <w:r>
              <w:rPr>
                <w:rFonts w:ascii="Times New Roman" w:hAnsi="Times New Roman" w:cs="Times New Roman"/>
                <w:sz w:val="24"/>
                <w:szCs w:val="24"/>
              </w:rPr>
              <w:t xml:space="preserve">. Noteikumu projektā plānotais finansējums ir paredzēts lopkopības un augkopības attīstībai, </w:t>
            </w:r>
            <w:r w:rsidRPr="0073509D">
              <w:rPr>
                <w:rFonts w:ascii="Times New Roman" w:hAnsi="Times New Roman" w:cs="Times New Roman"/>
                <w:sz w:val="24"/>
                <w:szCs w:val="24"/>
              </w:rPr>
              <w:t>starptauti</w:t>
            </w:r>
            <w:r>
              <w:rPr>
                <w:rFonts w:ascii="Times New Roman" w:hAnsi="Times New Roman" w:cs="Times New Roman"/>
                <w:sz w:val="24"/>
                <w:szCs w:val="24"/>
              </w:rPr>
              <w:t xml:space="preserve">skai un savstarpējai sadarbībai, tirgus veicināšanai, dalībai </w:t>
            </w:r>
            <w:r w:rsidRPr="00726B5C">
              <w:rPr>
                <w:rFonts w:ascii="Times New Roman" w:eastAsia="Calibri" w:hAnsi="Times New Roman" w:cs="Times New Roman"/>
                <w:sz w:val="24"/>
                <w:szCs w:val="24"/>
                <w:lang w:eastAsia="en-US"/>
              </w:rPr>
              <w:t>naci</w:t>
            </w:r>
            <w:r w:rsidR="00A12344">
              <w:rPr>
                <w:rFonts w:ascii="Times New Roman" w:eastAsia="Calibri" w:hAnsi="Times New Roman" w:cs="Times New Roman"/>
                <w:sz w:val="24"/>
                <w:szCs w:val="24"/>
                <w:lang w:eastAsia="en-US"/>
              </w:rPr>
              <w:t xml:space="preserve">onālās pārtikas kvalitātes shēmās un </w:t>
            </w:r>
            <w:r w:rsidR="00A12344" w:rsidRPr="00726B5C">
              <w:rPr>
                <w:rFonts w:ascii="Times New Roman" w:eastAsia="Calibri" w:hAnsi="Times New Roman" w:cs="Times New Roman"/>
                <w:sz w:val="24"/>
                <w:szCs w:val="24"/>
                <w:lang w:eastAsia="en-US"/>
              </w:rPr>
              <w:t>iepriekšējā gadā uzsākto atbalsta pasākumu izpildes finansēšanai</w:t>
            </w:r>
            <w:r w:rsidR="00A12344">
              <w:rPr>
                <w:rFonts w:ascii="Times New Roman" w:eastAsia="Calibri" w:hAnsi="Times New Roman" w:cs="Times New Roman"/>
                <w:sz w:val="24"/>
                <w:szCs w:val="24"/>
                <w:lang w:eastAsia="en-US"/>
              </w:rPr>
              <w:t>.</w:t>
            </w:r>
          </w:p>
          <w:p w:rsidR="00A12344" w:rsidRPr="0073509D" w:rsidRDefault="00B60291" w:rsidP="00A12344">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00A12344">
              <w:rPr>
                <w:rFonts w:ascii="Times New Roman" w:eastAsia="Calibri" w:hAnsi="Times New Roman" w:cs="Times New Roman"/>
                <w:sz w:val="24"/>
                <w:szCs w:val="24"/>
                <w:lang w:eastAsia="en-US"/>
              </w:rPr>
              <w:t>Noteikuma projekta spēkā stāšanās laiks plānots līdz 2018.gada 25.februārim.</w:t>
            </w:r>
          </w:p>
        </w:tc>
      </w:tr>
    </w:tbl>
    <w:p w:rsidR="00472586" w:rsidRPr="008D5756" w:rsidRDefault="00472586" w:rsidP="00760B61">
      <w:pPr>
        <w:spacing w:after="0" w:line="240" w:lineRule="auto"/>
        <w:jc w:val="center"/>
        <w:rPr>
          <w:sz w:val="24"/>
          <w:szCs w:val="24"/>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9"/>
        <w:gridCol w:w="2278"/>
        <w:gridCol w:w="6374"/>
      </w:tblGrid>
      <w:tr w:rsidR="000330A2" w:rsidRPr="00DD49B6" w:rsidTr="00002603">
        <w:trPr>
          <w:trHeight w:val="419"/>
        </w:trPr>
        <w:tc>
          <w:tcPr>
            <w:tcW w:w="5000" w:type="pct"/>
            <w:gridSpan w:val="3"/>
            <w:vAlign w:val="center"/>
          </w:tcPr>
          <w:p w:rsidR="000330A2" w:rsidRPr="00DD49B6" w:rsidRDefault="000330A2" w:rsidP="00B84678">
            <w:pPr>
              <w:pStyle w:val="naisnod"/>
              <w:spacing w:before="0" w:beforeAutospacing="0" w:after="0" w:afterAutospacing="0"/>
              <w:ind w:left="57" w:right="57"/>
              <w:jc w:val="center"/>
              <w:rPr>
                <w:b/>
              </w:rPr>
            </w:pPr>
            <w:r w:rsidRPr="00DD49B6">
              <w:rPr>
                <w:b/>
              </w:rPr>
              <w:t>I. Tiesību akta projekta izstrādes nepieciešamība</w:t>
            </w:r>
          </w:p>
        </w:tc>
      </w:tr>
      <w:tr w:rsidR="000330A2" w:rsidRPr="00DD49B6" w:rsidTr="00002603">
        <w:trPr>
          <w:trHeight w:val="415"/>
        </w:trPr>
        <w:tc>
          <w:tcPr>
            <w:tcW w:w="226" w:type="pct"/>
          </w:tcPr>
          <w:p w:rsidR="000330A2" w:rsidRPr="00DD49B6" w:rsidRDefault="000330A2" w:rsidP="00B84678">
            <w:pPr>
              <w:pStyle w:val="naiskr"/>
              <w:spacing w:before="0" w:beforeAutospacing="0" w:after="0" w:afterAutospacing="0"/>
              <w:ind w:left="57" w:right="57"/>
              <w:jc w:val="center"/>
            </w:pPr>
            <w:r w:rsidRPr="00DD49B6">
              <w:t>1.</w:t>
            </w:r>
          </w:p>
        </w:tc>
        <w:tc>
          <w:tcPr>
            <w:tcW w:w="1257" w:type="pct"/>
          </w:tcPr>
          <w:p w:rsidR="000330A2" w:rsidRPr="00DD49B6" w:rsidRDefault="000330A2" w:rsidP="00B84678">
            <w:pPr>
              <w:pStyle w:val="naiskr"/>
              <w:spacing w:before="0" w:beforeAutospacing="0" w:after="0" w:afterAutospacing="0"/>
              <w:ind w:left="57" w:right="57"/>
            </w:pPr>
            <w:r w:rsidRPr="00DD49B6">
              <w:t>Pamatojums</w:t>
            </w:r>
          </w:p>
        </w:tc>
        <w:tc>
          <w:tcPr>
            <w:tcW w:w="3517" w:type="pct"/>
          </w:tcPr>
          <w:p w:rsidR="000330A2" w:rsidRPr="00DD49B6" w:rsidRDefault="00726B5C" w:rsidP="006A5178">
            <w:pPr>
              <w:spacing w:after="0" w:line="240" w:lineRule="auto"/>
              <w:ind w:left="57" w:right="57"/>
              <w:jc w:val="both"/>
              <w:rPr>
                <w:rFonts w:ascii="Times New Roman" w:hAnsi="Times New Roman" w:cs="Times New Roman"/>
                <w:sz w:val="24"/>
                <w:szCs w:val="24"/>
                <w:shd w:val="clear" w:color="auto" w:fill="FFFFFF"/>
              </w:rPr>
            </w:pPr>
            <w:r w:rsidRPr="00726B5C">
              <w:rPr>
                <w:rFonts w:ascii="Times New Roman" w:eastAsia="Times New Roman" w:hAnsi="Times New Roman" w:cs="Times New Roman"/>
                <w:sz w:val="24"/>
                <w:szCs w:val="24"/>
              </w:rPr>
              <w:t>Lauksaimniecības un lauku attīstības likuma 5.panta 3.</w:t>
            </w:r>
            <w:r w:rsidRPr="00726B5C">
              <w:rPr>
                <w:rFonts w:ascii="Times New Roman" w:eastAsia="Times New Roman" w:hAnsi="Times New Roman" w:cs="Times New Roman"/>
                <w:sz w:val="24"/>
                <w:szCs w:val="24"/>
                <w:vertAlign w:val="superscript"/>
              </w:rPr>
              <w:t>1</w:t>
            </w:r>
            <w:r w:rsidRPr="00726B5C">
              <w:rPr>
                <w:rFonts w:ascii="Times New Roman" w:eastAsia="Times New Roman" w:hAnsi="Times New Roman" w:cs="Times New Roman"/>
                <w:sz w:val="24"/>
                <w:szCs w:val="24"/>
              </w:rPr>
              <w:t xml:space="preserve"> un ceturt</w:t>
            </w:r>
            <w:r w:rsidR="006C485A">
              <w:rPr>
                <w:rFonts w:ascii="Times New Roman" w:eastAsia="Times New Roman" w:hAnsi="Times New Roman" w:cs="Times New Roman"/>
                <w:sz w:val="24"/>
                <w:szCs w:val="24"/>
              </w:rPr>
              <w:t>ā</w:t>
            </w:r>
            <w:r w:rsidRPr="00726B5C">
              <w:rPr>
                <w:rFonts w:ascii="Times New Roman" w:eastAsia="Times New Roman" w:hAnsi="Times New Roman" w:cs="Times New Roman"/>
                <w:sz w:val="24"/>
                <w:szCs w:val="24"/>
              </w:rPr>
              <w:t xml:space="preserve"> daļa un likums „Par valsts budžetu 2018.gadam”.</w:t>
            </w:r>
          </w:p>
        </w:tc>
      </w:tr>
      <w:tr w:rsidR="000330A2" w:rsidRPr="00DD49B6" w:rsidTr="00002603">
        <w:trPr>
          <w:trHeight w:val="472"/>
        </w:trPr>
        <w:tc>
          <w:tcPr>
            <w:tcW w:w="226" w:type="pct"/>
          </w:tcPr>
          <w:p w:rsidR="000330A2" w:rsidRPr="00DD49B6" w:rsidRDefault="000330A2" w:rsidP="00B84678">
            <w:pPr>
              <w:pStyle w:val="naiskr"/>
              <w:spacing w:before="0" w:beforeAutospacing="0" w:after="0" w:afterAutospacing="0"/>
              <w:ind w:left="57" w:right="57"/>
              <w:jc w:val="center"/>
            </w:pPr>
            <w:r w:rsidRPr="00DD49B6">
              <w:t>2.</w:t>
            </w:r>
          </w:p>
        </w:tc>
        <w:tc>
          <w:tcPr>
            <w:tcW w:w="1257" w:type="pct"/>
          </w:tcPr>
          <w:p w:rsidR="000330A2" w:rsidRPr="007F2196" w:rsidRDefault="00726B5C" w:rsidP="00726B5C">
            <w:pPr>
              <w:spacing w:line="240" w:lineRule="auto"/>
            </w:pPr>
            <w:r w:rsidRPr="00726B5C">
              <w:rPr>
                <w:rFonts w:ascii="Times New Roman" w:eastAsia="Times New Roman" w:hAnsi="Times New Roman" w:cs="Times New Roman"/>
                <w:sz w:val="24"/>
                <w:szCs w:val="24"/>
              </w:rPr>
              <w:t xml:space="preserve">Pašreizējā situācija un problēmas, kuru risināšanai tiesību akta projekts izstrādāts, tiesiskā regulējuma mērķis un būtība </w:t>
            </w:r>
          </w:p>
        </w:tc>
        <w:tc>
          <w:tcPr>
            <w:tcW w:w="3517" w:type="pct"/>
          </w:tcPr>
          <w:p w:rsidR="00726B5C" w:rsidRPr="00726B5C" w:rsidRDefault="00726B5C" w:rsidP="00726B5C">
            <w:pPr>
              <w:spacing w:after="0" w:line="240" w:lineRule="auto"/>
              <w:ind w:firstLine="156"/>
              <w:jc w:val="both"/>
              <w:rPr>
                <w:rFonts w:ascii="Times New Roman" w:eastAsia="Calibri" w:hAnsi="Times New Roman" w:cs="Times New Roman"/>
                <w:sz w:val="24"/>
                <w:lang w:eastAsia="en-US"/>
              </w:rPr>
            </w:pPr>
            <w:r w:rsidRPr="00726B5C">
              <w:rPr>
                <w:rFonts w:ascii="Times New Roman" w:eastAsia="Calibri" w:hAnsi="Times New Roman" w:cs="Times New Roman"/>
                <w:sz w:val="24"/>
                <w:lang w:eastAsia="en-US"/>
              </w:rPr>
              <w:t xml:space="preserve">Sagatavotais </w:t>
            </w:r>
            <w:r w:rsidR="00A12344" w:rsidRPr="0073509D">
              <w:rPr>
                <w:rFonts w:ascii="Times New Roman" w:hAnsi="Times New Roman" w:cs="Times New Roman"/>
                <w:sz w:val="24"/>
                <w:szCs w:val="24"/>
              </w:rPr>
              <w:t>Ministru kabineta noteikumu projekt</w:t>
            </w:r>
            <w:r w:rsidR="006C485A">
              <w:rPr>
                <w:rFonts w:ascii="Times New Roman" w:hAnsi="Times New Roman" w:cs="Times New Roman"/>
                <w:sz w:val="24"/>
                <w:szCs w:val="24"/>
              </w:rPr>
              <w:t>s</w:t>
            </w:r>
            <w:r w:rsidR="00A12344" w:rsidRPr="0073509D">
              <w:rPr>
                <w:rFonts w:ascii="Times New Roman" w:hAnsi="Times New Roman" w:cs="Times New Roman"/>
                <w:sz w:val="24"/>
                <w:szCs w:val="24"/>
              </w:rPr>
              <w:t xml:space="preserve"> „Grozījumi Ministru kabineta 2013.gada 17.decembra noteikumos Nr.1524 „Noteikumi par valsts atbalstu lauksaimniecībai””</w:t>
            </w:r>
            <w:r w:rsidR="00A12344">
              <w:rPr>
                <w:rFonts w:ascii="Times New Roman" w:hAnsi="Times New Roman" w:cs="Times New Roman"/>
                <w:sz w:val="24"/>
                <w:szCs w:val="24"/>
              </w:rPr>
              <w:t xml:space="preserve"> (turpmāk –   </w:t>
            </w:r>
            <w:r w:rsidRPr="00726B5C">
              <w:rPr>
                <w:rFonts w:ascii="Times New Roman" w:eastAsia="Calibri" w:hAnsi="Times New Roman" w:cs="Times New Roman"/>
                <w:sz w:val="24"/>
                <w:lang w:eastAsia="en-US"/>
              </w:rPr>
              <w:t>noteikumu projekts</w:t>
            </w:r>
            <w:r w:rsidR="00A12344">
              <w:rPr>
                <w:rFonts w:ascii="Times New Roman" w:eastAsia="Calibri" w:hAnsi="Times New Roman" w:cs="Times New Roman"/>
                <w:sz w:val="24"/>
                <w:lang w:eastAsia="en-US"/>
              </w:rPr>
              <w:t>)</w:t>
            </w:r>
            <w:r w:rsidRPr="00726B5C">
              <w:rPr>
                <w:rFonts w:ascii="Times New Roman" w:eastAsia="Calibri" w:hAnsi="Times New Roman" w:cs="Times New Roman"/>
                <w:sz w:val="24"/>
                <w:lang w:eastAsia="en-US"/>
              </w:rPr>
              <w:t xml:space="preserve"> attiecas uz dabas resursu, lauksaimnieciskās ražošanas un pārstrādes politikas jomu.</w:t>
            </w:r>
          </w:p>
          <w:p w:rsidR="00726B5C" w:rsidRPr="00726B5C" w:rsidRDefault="00726B5C" w:rsidP="00726B5C">
            <w:pPr>
              <w:spacing w:after="0" w:line="240" w:lineRule="auto"/>
              <w:ind w:firstLine="156"/>
              <w:jc w:val="both"/>
              <w:rPr>
                <w:rFonts w:ascii="Times New Roman" w:eastAsia="Calibri" w:hAnsi="Times New Roman" w:cs="Times New Roman"/>
                <w:sz w:val="24"/>
                <w:lang w:eastAsia="en-US"/>
              </w:rPr>
            </w:pPr>
            <w:r w:rsidRPr="00726B5C">
              <w:rPr>
                <w:rFonts w:ascii="Times New Roman" w:eastAsia="Calibri" w:hAnsi="Times New Roman" w:cs="Times New Roman"/>
                <w:sz w:val="24"/>
                <w:lang w:eastAsia="en-US"/>
              </w:rPr>
              <w:t>Pašlaik spēkā ir Ministru kabineta 2013.gada 17.decembra noteikumi Nr.1524 „Noteikumi par valsts atbalstu lauksaimniecībai” (turpmāk – noteikumi Nr.1524).</w:t>
            </w:r>
          </w:p>
          <w:p w:rsidR="00726B5C" w:rsidRPr="00726B5C" w:rsidRDefault="00726B5C" w:rsidP="00726B5C">
            <w:pPr>
              <w:spacing w:after="0" w:line="240" w:lineRule="auto"/>
              <w:ind w:firstLine="156"/>
              <w:jc w:val="both"/>
              <w:rPr>
                <w:rFonts w:ascii="Times New Roman" w:eastAsia="Calibri" w:hAnsi="Times New Roman" w:cs="Times New Roman"/>
                <w:sz w:val="24"/>
                <w:szCs w:val="24"/>
                <w:lang w:eastAsia="en-US"/>
              </w:rPr>
            </w:pPr>
            <w:r w:rsidRPr="00726B5C">
              <w:rPr>
                <w:rFonts w:ascii="Times New Roman" w:eastAsia="Calibri" w:hAnsi="Times New Roman" w:cs="Times New Roman"/>
                <w:sz w:val="24"/>
                <w:szCs w:val="24"/>
                <w:lang w:eastAsia="en-US"/>
              </w:rPr>
              <w:t xml:space="preserve">2018.gadam Zemkopības ministrijas budžeta </w:t>
            </w:r>
            <w:r w:rsidRPr="00726B5C">
              <w:rPr>
                <w:rFonts w:ascii="Times New Roman" w:eastAsia="Calibri" w:hAnsi="Times New Roman" w:cs="Times New Roman"/>
                <w:bCs/>
                <w:color w:val="000000"/>
                <w:sz w:val="24"/>
                <w:szCs w:val="24"/>
              </w:rPr>
              <w:t xml:space="preserve">apakšprogrammā </w:t>
            </w:r>
            <w:r w:rsidRPr="00726B5C">
              <w:rPr>
                <w:rFonts w:ascii="Times New Roman" w:eastAsia="Calibri" w:hAnsi="Times New Roman" w:cs="Times New Roman"/>
                <w:sz w:val="24"/>
                <w:szCs w:val="24"/>
                <w:lang w:eastAsia="en-US"/>
              </w:rPr>
              <w:t>21.01.00 „Valsts atbalsts lauksaimniecībai un lauku attīstībai”</w:t>
            </w:r>
            <w:r w:rsidRPr="00726B5C">
              <w:rPr>
                <w:rFonts w:ascii="Times New Roman" w:eastAsia="Calibri" w:hAnsi="Times New Roman" w:cs="Times New Roman"/>
                <w:bCs/>
                <w:color w:val="000000"/>
                <w:sz w:val="24"/>
                <w:szCs w:val="24"/>
              </w:rPr>
              <w:t xml:space="preserve"> valsts atbalstam subsīdiju veidā paredzētais finansējums ir 8</w:t>
            </w:r>
            <w:r w:rsidR="006C485A">
              <w:rPr>
                <w:rFonts w:ascii="Times New Roman" w:eastAsia="Calibri" w:hAnsi="Times New Roman" w:cs="Times New Roman"/>
                <w:bCs/>
                <w:color w:val="000000"/>
                <w:sz w:val="24"/>
                <w:szCs w:val="24"/>
              </w:rPr>
              <w:t> </w:t>
            </w:r>
            <w:r w:rsidRPr="00726B5C">
              <w:rPr>
                <w:rFonts w:ascii="Times New Roman" w:eastAsia="Calibri" w:hAnsi="Times New Roman" w:cs="Times New Roman"/>
                <w:bCs/>
                <w:color w:val="000000"/>
                <w:sz w:val="24"/>
                <w:szCs w:val="24"/>
              </w:rPr>
              <w:t>720</w:t>
            </w:r>
            <w:r w:rsidR="006C485A">
              <w:rPr>
                <w:rFonts w:ascii="Times New Roman" w:eastAsia="Calibri" w:hAnsi="Times New Roman" w:cs="Times New Roman"/>
                <w:bCs/>
                <w:color w:val="000000"/>
                <w:sz w:val="24"/>
                <w:szCs w:val="24"/>
              </w:rPr>
              <w:t> </w:t>
            </w:r>
            <w:r w:rsidRPr="00726B5C">
              <w:rPr>
                <w:rFonts w:ascii="Times New Roman" w:eastAsia="Calibri" w:hAnsi="Times New Roman" w:cs="Times New Roman"/>
                <w:bCs/>
                <w:color w:val="000000"/>
                <w:sz w:val="24"/>
                <w:szCs w:val="24"/>
              </w:rPr>
              <w:t xml:space="preserve">490 </w:t>
            </w:r>
            <w:proofErr w:type="spellStart"/>
            <w:r w:rsidRPr="00726B5C">
              <w:rPr>
                <w:rFonts w:ascii="Times New Roman" w:eastAsia="Calibri" w:hAnsi="Times New Roman" w:cs="Times New Roman"/>
                <w:bCs/>
                <w:i/>
                <w:color w:val="000000"/>
                <w:sz w:val="24"/>
                <w:szCs w:val="24"/>
              </w:rPr>
              <w:t>euro</w:t>
            </w:r>
            <w:proofErr w:type="spellEnd"/>
            <w:r w:rsidRPr="00726B5C">
              <w:rPr>
                <w:rFonts w:ascii="Times New Roman" w:eastAsia="Calibri" w:hAnsi="Times New Roman" w:cs="Times New Roman"/>
                <w:sz w:val="24"/>
                <w:szCs w:val="24"/>
                <w:lang w:eastAsia="en-US"/>
              </w:rPr>
              <w:t>.</w:t>
            </w:r>
          </w:p>
          <w:p w:rsidR="00726B5C" w:rsidRPr="00726B5C" w:rsidRDefault="00726B5C" w:rsidP="00726B5C">
            <w:pPr>
              <w:spacing w:after="0" w:line="240" w:lineRule="auto"/>
              <w:ind w:firstLine="156"/>
              <w:jc w:val="both"/>
              <w:rPr>
                <w:rFonts w:ascii="Times New Roman" w:eastAsia="Calibri" w:hAnsi="Times New Roman" w:cs="Times New Roman"/>
                <w:sz w:val="24"/>
                <w:szCs w:val="24"/>
                <w:lang w:eastAsia="en-US"/>
              </w:rPr>
            </w:pPr>
            <w:r w:rsidRPr="00726B5C">
              <w:rPr>
                <w:rFonts w:ascii="Times New Roman" w:eastAsia="Calibri" w:hAnsi="Times New Roman" w:cs="Times New Roman"/>
                <w:sz w:val="24"/>
                <w:szCs w:val="24"/>
                <w:lang w:eastAsia="en-US"/>
              </w:rPr>
              <w:t xml:space="preserve">Ņemot vērā līdzšinējo pasākumu efektivitāti, valsts atbalsta līmeni un valsts ekonomisko situāciju, lauksaimniekiem </w:t>
            </w:r>
            <w:r w:rsidR="006C485A" w:rsidRPr="00726B5C">
              <w:rPr>
                <w:rFonts w:ascii="Times New Roman" w:eastAsia="Calibri" w:hAnsi="Times New Roman" w:cs="Times New Roman"/>
                <w:sz w:val="24"/>
                <w:szCs w:val="24"/>
                <w:lang w:eastAsia="en-US"/>
              </w:rPr>
              <w:t xml:space="preserve"> valsts atbalsts </w:t>
            </w:r>
            <w:r w:rsidRPr="00726B5C">
              <w:rPr>
                <w:rFonts w:ascii="Times New Roman" w:eastAsia="Calibri" w:hAnsi="Times New Roman" w:cs="Times New Roman"/>
                <w:sz w:val="24"/>
                <w:szCs w:val="24"/>
                <w:lang w:eastAsia="en-US"/>
              </w:rPr>
              <w:t>ļoti būtisks ir jomās, kas stimulētu lauksaimnieka dzīvotspēju un konkurētspēju</w:t>
            </w:r>
            <w:r w:rsidR="006C485A">
              <w:rPr>
                <w:rFonts w:ascii="Times New Roman" w:eastAsia="Calibri" w:hAnsi="Times New Roman" w:cs="Times New Roman"/>
                <w:sz w:val="24"/>
                <w:szCs w:val="24"/>
                <w:lang w:eastAsia="en-US"/>
              </w:rPr>
              <w:t>,</w:t>
            </w:r>
            <w:r w:rsidRPr="00726B5C">
              <w:rPr>
                <w:rFonts w:ascii="Times New Roman" w:eastAsia="Calibri" w:hAnsi="Times New Roman" w:cs="Times New Roman"/>
                <w:sz w:val="24"/>
                <w:szCs w:val="24"/>
                <w:lang w:eastAsia="en-US"/>
              </w:rPr>
              <w:t xml:space="preserve"> </w:t>
            </w:r>
            <w:r w:rsidR="006C485A">
              <w:rPr>
                <w:rFonts w:ascii="Times New Roman" w:eastAsia="Calibri" w:hAnsi="Times New Roman" w:cs="Times New Roman"/>
                <w:sz w:val="24"/>
                <w:szCs w:val="24"/>
                <w:lang w:eastAsia="en-US"/>
              </w:rPr>
              <w:t>t</w:t>
            </w:r>
            <w:r w:rsidRPr="00726B5C">
              <w:rPr>
                <w:rFonts w:ascii="Times New Roman" w:eastAsia="Calibri" w:hAnsi="Times New Roman" w:cs="Times New Roman"/>
                <w:sz w:val="24"/>
                <w:szCs w:val="24"/>
                <w:lang w:eastAsia="en-US"/>
              </w:rPr>
              <w:t>āpēc saskaņā ar noteikumu projekta 1.punktu pieejamais finansējums galvenokārt novirzīts šādiem pasākumiem:</w:t>
            </w:r>
          </w:p>
          <w:p w:rsidR="00726B5C" w:rsidRPr="00726B5C" w:rsidRDefault="00726B5C" w:rsidP="00726B5C">
            <w:pPr>
              <w:spacing w:after="0" w:line="240" w:lineRule="auto"/>
              <w:ind w:firstLine="156"/>
              <w:jc w:val="both"/>
              <w:rPr>
                <w:rFonts w:ascii="Times New Roman" w:eastAsia="Calibri" w:hAnsi="Times New Roman" w:cs="Times New Roman"/>
                <w:sz w:val="24"/>
                <w:szCs w:val="24"/>
                <w:lang w:eastAsia="en-US"/>
              </w:rPr>
            </w:pPr>
            <w:r w:rsidRPr="00726B5C">
              <w:rPr>
                <w:rFonts w:ascii="Times New Roman" w:eastAsia="Calibri" w:hAnsi="Times New Roman" w:cs="Times New Roman"/>
                <w:sz w:val="24"/>
                <w:szCs w:val="24"/>
                <w:lang w:eastAsia="en-US"/>
              </w:rPr>
              <w:t xml:space="preserve">1) lopkopības attīstībai – 6 185 305 </w:t>
            </w:r>
            <w:proofErr w:type="spellStart"/>
            <w:r w:rsidRPr="00726B5C">
              <w:rPr>
                <w:rFonts w:ascii="Times New Roman" w:eastAsia="Calibri" w:hAnsi="Times New Roman" w:cs="Times New Roman"/>
                <w:i/>
                <w:sz w:val="24"/>
                <w:szCs w:val="24"/>
                <w:lang w:eastAsia="en-US"/>
              </w:rPr>
              <w:t>euro</w:t>
            </w:r>
            <w:proofErr w:type="spellEnd"/>
            <w:r w:rsidRPr="00726B5C">
              <w:rPr>
                <w:rFonts w:ascii="Times New Roman" w:eastAsia="Calibri" w:hAnsi="Times New Roman" w:cs="Times New Roman"/>
                <w:sz w:val="24"/>
                <w:szCs w:val="24"/>
                <w:lang w:eastAsia="en-US"/>
              </w:rPr>
              <w:t>;</w:t>
            </w:r>
          </w:p>
          <w:p w:rsidR="00726B5C" w:rsidRPr="00726B5C" w:rsidRDefault="00726B5C" w:rsidP="00726B5C">
            <w:pPr>
              <w:spacing w:after="0" w:line="240" w:lineRule="auto"/>
              <w:ind w:firstLine="156"/>
              <w:jc w:val="both"/>
              <w:rPr>
                <w:rFonts w:ascii="Times New Roman" w:eastAsia="Calibri" w:hAnsi="Times New Roman" w:cs="Times New Roman"/>
                <w:sz w:val="24"/>
                <w:szCs w:val="24"/>
                <w:lang w:eastAsia="en-US"/>
              </w:rPr>
            </w:pPr>
            <w:r w:rsidRPr="00726B5C">
              <w:rPr>
                <w:rFonts w:ascii="Times New Roman" w:eastAsia="Calibri" w:hAnsi="Times New Roman" w:cs="Times New Roman"/>
                <w:sz w:val="24"/>
                <w:szCs w:val="24"/>
                <w:lang w:eastAsia="en-US"/>
              </w:rPr>
              <w:t xml:space="preserve">2) augkopības attīstībai – 617 342 </w:t>
            </w:r>
            <w:proofErr w:type="spellStart"/>
            <w:r w:rsidRPr="00726B5C">
              <w:rPr>
                <w:rFonts w:ascii="Times New Roman" w:eastAsia="Calibri" w:hAnsi="Times New Roman" w:cs="Times New Roman"/>
                <w:i/>
                <w:sz w:val="24"/>
                <w:szCs w:val="24"/>
                <w:lang w:eastAsia="en-US"/>
              </w:rPr>
              <w:t>euro</w:t>
            </w:r>
            <w:proofErr w:type="spellEnd"/>
            <w:r w:rsidRPr="00726B5C">
              <w:rPr>
                <w:rFonts w:ascii="Times New Roman" w:eastAsia="Calibri" w:hAnsi="Times New Roman" w:cs="Times New Roman"/>
                <w:sz w:val="24"/>
                <w:szCs w:val="24"/>
                <w:lang w:eastAsia="en-US"/>
              </w:rPr>
              <w:t>;</w:t>
            </w:r>
          </w:p>
          <w:p w:rsidR="00726B5C" w:rsidRPr="00726B5C" w:rsidRDefault="00726B5C" w:rsidP="00726B5C">
            <w:pPr>
              <w:spacing w:after="0" w:line="240" w:lineRule="auto"/>
              <w:ind w:firstLine="156"/>
              <w:jc w:val="both"/>
              <w:rPr>
                <w:rFonts w:ascii="Times New Roman" w:eastAsia="Calibri" w:hAnsi="Times New Roman" w:cs="Times New Roman"/>
                <w:sz w:val="24"/>
                <w:szCs w:val="24"/>
                <w:lang w:eastAsia="en-US"/>
              </w:rPr>
            </w:pPr>
            <w:r w:rsidRPr="00726B5C">
              <w:rPr>
                <w:rFonts w:ascii="Times New Roman" w:eastAsia="Calibri" w:hAnsi="Times New Roman" w:cs="Times New Roman"/>
                <w:sz w:val="24"/>
                <w:szCs w:val="24"/>
                <w:lang w:eastAsia="en-US"/>
              </w:rPr>
              <w:t xml:space="preserve">3) starptautiskai un savstarpējai sadarbībai – 701 920 </w:t>
            </w:r>
            <w:proofErr w:type="spellStart"/>
            <w:r w:rsidRPr="00726B5C">
              <w:rPr>
                <w:rFonts w:ascii="Times New Roman" w:eastAsia="Calibri" w:hAnsi="Times New Roman" w:cs="Times New Roman"/>
                <w:i/>
                <w:sz w:val="24"/>
                <w:szCs w:val="24"/>
                <w:lang w:eastAsia="en-US"/>
              </w:rPr>
              <w:t>euro</w:t>
            </w:r>
            <w:proofErr w:type="spellEnd"/>
            <w:r w:rsidRPr="00726B5C">
              <w:rPr>
                <w:rFonts w:ascii="Times New Roman" w:eastAsia="Calibri" w:hAnsi="Times New Roman" w:cs="Times New Roman"/>
                <w:sz w:val="24"/>
                <w:szCs w:val="24"/>
                <w:lang w:eastAsia="en-US"/>
              </w:rPr>
              <w:t>;</w:t>
            </w:r>
          </w:p>
          <w:p w:rsidR="00726B5C" w:rsidRPr="00726B5C" w:rsidRDefault="00726B5C" w:rsidP="00726B5C">
            <w:pPr>
              <w:spacing w:after="0" w:line="240" w:lineRule="auto"/>
              <w:ind w:firstLine="156"/>
              <w:jc w:val="both"/>
              <w:rPr>
                <w:rFonts w:ascii="Times New Roman" w:eastAsia="Calibri" w:hAnsi="Times New Roman" w:cs="Times New Roman"/>
                <w:sz w:val="24"/>
                <w:szCs w:val="24"/>
                <w:lang w:eastAsia="en-US"/>
              </w:rPr>
            </w:pPr>
            <w:r w:rsidRPr="00726B5C">
              <w:rPr>
                <w:rFonts w:ascii="Times New Roman" w:eastAsia="Calibri" w:hAnsi="Times New Roman" w:cs="Times New Roman"/>
                <w:sz w:val="24"/>
                <w:szCs w:val="24"/>
                <w:lang w:eastAsia="en-US"/>
              </w:rPr>
              <w:t xml:space="preserve">4) tirgus veicināšanai – 364 530 </w:t>
            </w:r>
            <w:proofErr w:type="spellStart"/>
            <w:r w:rsidRPr="00726B5C">
              <w:rPr>
                <w:rFonts w:ascii="Times New Roman" w:eastAsia="Calibri" w:hAnsi="Times New Roman" w:cs="Times New Roman"/>
                <w:i/>
                <w:sz w:val="24"/>
                <w:szCs w:val="24"/>
                <w:lang w:eastAsia="en-US"/>
              </w:rPr>
              <w:t>euro</w:t>
            </w:r>
            <w:proofErr w:type="spellEnd"/>
            <w:r w:rsidRPr="00726B5C">
              <w:rPr>
                <w:rFonts w:ascii="Times New Roman" w:eastAsia="Calibri" w:hAnsi="Times New Roman" w:cs="Times New Roman"/>
                <w:sz w:val="24"/>
                <w:szCs w:val="24"/>
                <w:lang w:eastAsia="en-US"/>
              </w:rPr>
              <w:t>;</w:t>
            </w:r>
          </w:p>
          <w:p w:rsidR="00726B5C" w:rsidRPr="00726B5C" w:rsidRDefault="00726B5C" w:rsidP="00726B5C">
            <w:pPr>
              <w:spacing w:after="0" w:line="240" w:lineRule="auto"/>
              <w:ind w:firstLine="156"/>
              <w:jc w:val="both"/>
              <w:rPr>
                <w:rFonts w:ascii="Times New Roman" w:eastAsia="Calibri" w:hAnsi="Times New Roman" w:cs="Times New Roman"/>
                <w:sz w:val="24"/>
                <w:szCs w:val="24"/>
                <w:lang w:eastAsia="en-US"/>
              </w:rPr>
            </w:pPr>
            <w:r w:rsidRPr="00726B5C">
              <w:rPr>
                <w:rFonts w:ascii="Times New Roman" w:eastAsia="Calibri" w:hAnsi="Times New Roman" w:cs="Times New Roman"/>
                <w:sz w:val="24"/>
                <w:szCs w:val="24"/>
                <w:lang w:eastAsia="en-US"/>
              </w:rPr>
              <w:t xml:space="preserve">5) nacionālās pārtikas kvalitātes shēmas veicināšanai – 479 650 </w:t>
            </w:r>
            <w:proofErr w:type="spellStart"/>
            <w:r w:rsidRPr="00726B5C">
              <w:rPr>
                <w:rFonts w:ascii="Times New Roman" w:eastAsia="Calibri" w:hAnsi="Times New Roman" w:cs="Times New Roman"/>
                <w:i/>
                <w:sz w:val="24"/>
                <w:szCs w:val="24"/>
                <w:lang w:eastAsia="en-US"/>
              </w:rPr>
              <w:t>euro</w:t>
            </w:r>
            <w:proofErr w:type="spellEnd"/>
            <w:r w:rsidRPr="00726B5C">
              <w:rPr>
                <w:rFonts w:ascii="Times New Roman" w:eastAsia="Calibri" w:hAnsi="Times New Roman" w:cs="Times New Roman"/>
                <w:sz w:val="24"/>
                <w:szCs w:val="24"/>
                <w:lang w:eastAsia="en-US"/>
              </w:rPr>
              <w:t>;</w:t>
            </w:r>
          </w:p>
          <w:p w:rsidR="00726B5C" w:rsidRPr="00726B5C" w:rsidRDefault="00726B5C" w:rsidP="00726B5C">
            <w:pPr>
              <w:spacing w:after="0" w:line="240" w:lineRule="auto"/>
              <w:ind w:firstLine="156"/>
              <w:jc w:val="both"/>
              <w:rPr>
                <w:rFonts w:ascii="Times New Roman" w:eastAsia="Calibri" w:hAnsi="Times New Roman" w:cs="Times New Roman"/>
                <w:sz w:val="24"/>
                <w:szCs w:val="24"/>
                <w:lang w:eastAsia="en-US"/>
              </w:rPr>
            </w:pPr>
            <w:r w:rsidRPr="00726B5C">
              <w:rPr>
                <w:rFonts w:ascii="Times New Roman" w:eastAsia="Calibri" w:hAnsi="Times New Roman" w:cs="Times New Roman"/>
                <w:sz w:val="24"/>
                <w:szCs w:val="24"/>
                <w:lang w:eastAsia="en-US"/>
              </w:rPr>
              <w:t xml:space="preserve">6) iepriekšējā gadā uzsākto atbalsta pasākumu izpildes finansēšanai – 371 743 </w:t>
            </w:r>
            <w:proofErr w:type="spellStart"/>
            <w:r w:rsidRPr="00726B5C">
              <w:rPr>
                <w:rFonts w:ascii="Times New Roman" w:eastAsia="Calibri" w:hAnsi="Times New Roman" w:cs="Times New Roman"/>
                <w:i/>
                <w:sz w:val="24"/>
                <w:szCs w:val="24"/>
                <w:lang w:eastAsia="en-US"/>
              </w:rPr>
              <w:t>euro</w:t>
            </w:r>
            <w:proofErr w:type="spellEnd"/>
            <w:r w:rsidRPr="00726B5C">
              <w:rPr>
                <w:rFonts w:ascii="Times New Roman" w:eastAsia="Calibri" w:hAnsi="Times New Roman" w:cs="Times New Roman"/>
                <w:sz w:val="24"/>
                <w:szCs w:val="24"/>
                <w:lang w:eastAsia="en-US"/>
              </w:rPr>
              <w:t>.</w:t>
            </w:r>
          </w:p>
          <w:p w:rsidR="00726B5C" w:rsidRPr="00726B5C" w:rsidRDefault="00726B5C" w:rsidP="00726B5C">
            <w:pPr>
              <w:spacing w:after="0" w:line="240" w:lineRule="auto"/>
              <w:ind w:firstLine="156"/>
              <w:jc w:val="both"/>
              <w:rPr>
                <w:rFonts w:ascii="Times New Roman" w:eastAsia="Calibri" w:hAnsi="Times New Roman" w:cs="Times New Roman"/>
                <w:sz w:val="24"/>
                <w:szCs w:val="24"/>
                <w:lang w:eastAsia="en-US"/>
              </w:rPr>
            </w:pPr>
            <w:r w:rsidRPr="00726B5C">
              <w:rPr>
                <w:rFonts w:ascii="Times New Roman" w:eastAsia="Calibri" w:hAnsi="Times New Roman" w:cs="Times New Roman"/>
                <w:sz w:val="24"/>
                <w:szCs w:val="24"/>
                <w:lang w:eastAsia="en-US"/>
              </w:rPr>
              <w:t>2018.gadā uz atbalsta saņemšanu var pretendēt fiziska vai juridiska persona.</w:t>
            </w:r>
          </w:p>
          <w:p w:rsidR="001671C6" w:rsidRDefault="00726B5C" w:rsidP="00726B5C">
            <w:pPr>
              <w:pStyle w:val="Virsraksts3"/>
              <w:shd w:val="clear" w:color="auto" w:fill="FFFFFF"/>
              <w:spacing w:before="0" w:beforeAutospacing="0" w:after="0" w:afterAutospacing="0"/>
              <w:ind w:right="57" w:firstLine="120"/>
              <w:jc w:val="both"/>
              <w:rPr>
                <w:rFonts w:eastAsia="Calibri"/>
                <w:b w:val="0"/>
                <w:bCs w:val="0"/>
                <w:sz w:val="24"/>
                <w:szCs w:val="24"/>
                <w:lang w:eastAsia="en-US"/>
              </w:rPr>
            </w:pPr>
            <w:r w:rsidRPr="00726B5C">
              <w:rPr>
                <w:rFonts w:eastAsia="Calibri"/>
                <w:b w:val="0"/>
                <w:bCs w:val="0"/>
                <w:sz w:val="24"/>
                <w:szCs w:val="24"/>
                <w:lang w:eastAsia="en-US"/>
              </w:rPr>
              <w:lastRenderedPageBreak/>
              <w:t xml:space="preserve">Lai mazinātu administratīvo slogu pretendentiem, noteikumu projekta 2.punktā ir noteikts, ka dokumentus Lauku atbalsta dienestā (turpmāk – LAD) </w:t>
            </w:r>
            <w:r w:rsidR="00A20552" w:rsidRPr="00A20552">
              <w:rPr>
                <w:rFonts w:eastAsia="Calibri"/>
                <w:b w:val="0"/>
                <w:bCs w:val="0"/>
                <w:sz w:val="24"/>
                <w:szCs w:val="24"/>
                <w:lang w:eastAsia="en-US"/>
              </w:rPr>
              <w:t>noteikumu</w:t>
            </w:r>
            <w:r w:rsidR="00A20552">
              <w:rPr>
                <w:rFonts w:eastAsia="Calibri"/>
                <w:b w:val="0"/>
                <w:bCs w:val="0"/>
                <w:sz w:val="24"/>
                <w:szCs w:val="24"/>
                <w:lang w:eastAsia="en-US"/>
              </w:rPr>
              <w:t xml:space="preserve"> Nr.1524</w:t>
            </w:r>
            <w:r w:rsidR="00A20552" w:rsidRPr="00A20552">
              <w:rPr>
                <w:rFonts w:eastAsia="Calibri"/>
                <w:b w:val="0"/>
                <w:bCs w:val="0"/>
                <w:sz w:val="24"/>
                <w:szCs w:val="24"/>
                <w:lang w:eastAsia="en-US"/>
              </w:rPr>
              <w:t xml:space="preserve"> 2. nodaļā, izņemot 2.13. un 2.14. apakšnodaļā, 3., 4., 5. nodaļā un 6.6. apakšnodaļā</w:t>
            </w:r>
            <w:r w:rsidR="006C485A">
              <w:rPr>
                <w:rFonts w:eastAsia="Calibri"/>
                <w:b w:val="0"/>
                <w:bCs w:val="0"/>
                <w:sz w:val="24"/>
                <w:szCs w:val="24"/>
                <w:lang w:eastAsia="en-US"/>
              </w:rPr>
              <w:t>, minētajos pasākumos</w:t>
            </w:r>
            <w:r w:rsidR="00A20552" w:rsidRPr="00A20552">
              <w:rPr>
                <w:rFonts w:eastAsia="Calibri"/>
                <w:sz w:val="24"/>
                <w:szCs w:val="24"/>
                <w:lang w:eastAsia="en-US"/>
              </w:rPr>
              <w:t xml:space="preserve"> </w:t>
            </w:r>
            <w:r w:rsidRPr="00726B5C">
              <w:rPr>
                <w:rFonts w:eastAsia="Calibri"/>
                <w:b w:val="0"/>
                <w:bCs w:val="0"/>
                <w:sz w:val="24"/>
                <w:szCs w:val="24"/>
                <w:lang w:eastAsia="en-US"/>
              </w:rPr>
              <w:t xml:space="preserve">var iesniegt </w:t>
            </w:r>
            <w:r w:rsidR="00A20552">
              <w:rPr>
                <w:rFonts w:eastAsia="Calibri"/>
                <w:b w:val="0"/>
                <w:bCs w:val="0"/>
                <w:sz w:val="24"/>
                <w:szCs w:val="24"/>
                <w:lang w:eastAsia="en-US"/>
              </w:rPr>
              <w:t>papīra dokumenta formā vai</w:t>
            </w:r>
            <w:r w:rsidRPr="00726B5C">
              <w:rPr>
                <w:rFonts w:eastAsia="Calibri"/>
                <w:b w:val="0"/>
                <w:bCs w:val="0"/>
                <w:sz w:val="24"/>
                <w:szCs w:val="24"/>
                <w:lang w:eastAsia="en-US"/>
              </w:rPr>
              <w:t xml:space="preserve"> </w:t>
            </w:r>
            <w:r w:rsidR="00A20552" w:rsidRPr="00726B5C">
              <w:rPr>
                <w:rFonts w:eastAsia="Calibri"/>
                <w:b w:val="0"/>
                <w:bCs w:val="0"/>
                <w:sz w:val="24"/>
                <w:szCs w:val="24"/>
                <w:lang w:eastAsia="en-US"/>
              </w:rPr>
              <w:t xml:space="preserve"> </w:t>
            </w:r>
            <w:r w:rsidR="00A20552">
              <w:rPr>
                <w:rFonts w:eastAsia="Calibri"/>
                <w:b w:val="0"/>
                <w:bCs w:val="0"/>
                <w:sz w:val="24"/>
                <w:szCs w:val="24"/>
                <w:lang w:eastAsia="en-US"/>
              </w:rPr>
              <w:t>elektroniska dokumenta v</w:t>
            </w:r>
            <w:r w:rsidR="00892C45">
              <w:rPr>
                <w:rFonts w:eastAsia="Calibri"/>
                <w:b w:val="0"/>
                <w:bCs w:val="0"/>
                <w:sz w:val="24"/>
                <w:szCs w:val="24"/>
                <w:lang w:eastAsia="en-US"/>
              </w:rPr>
              <w:t>e</w:t>
            </w:r>
            <w:r w:rsidR="00A20552">
              <w:rPr>
                <w:rFonts w:eastAsia="Calibri"/>
                <w:b w:val="0"/>
                <w:bCs w:val="0"/>
                <w:sz w:val="24"/>
                <w:szCs w:val="24"/>
                <w:lang w:eastAsia="en-US"/>
              </w:rPr>
              <w:t>idā.</w:t>
            </w:r>
            <w:r w:rsidR="00A20552" w:rsidRPr="00726B5C">
              <w:rPr>
                <w:rFonts w:eastAsia="Calibri"/>
                <w:b w:val="0"/>
                <w:bCs w:val="0"/>
                <w:sz w:val="24"/>
                <w:szCs w:val="24"/>
                <w:lang w:eastAsia="en-US"/>
              </w:rPr>
              <w:t xml:space="preserve"> </w:t>
            </w:r>
            <w:r w:rsidR="00A20552">
              <w:rPr>
                <w:rFonts w:eastAsia="Calibri"/>
                <w:b w:val="0"/>
                <w:bCs w:val="0"/>
                <w:sz w:val="24"/>
                <w:szCs w:val="24"/>
                <w:lang w:eastAsia="en-US"/>
              </w:rPr>
              <w:t>Noteikumu Nr.1524 2.13. un 2.14.</w:t>
            </w:r>
            <w:r w:rsidR="006C485A">
              <w:rPr>
                <w:rFonts w:eastAsia="Calibri"/>
                <w:b w:val="0"/>
                <w:bCs w:val="0"/>
                <w:sz w:val="24"/>
                <w:szCs w:val="24"/>
                <w:lang w:eastAsia="en-US"/>
              </w:rPr>
              <w:t> </w:t>
            </w:r>
            <w:r w:rsidR="00A20552">
              <w:rPr>
                <w:rFonts w:eastAsia="Calibri"/>
                <w:b w:val="0"/>
                <w:bCs w:val="0"/>
                <w:sz w:val="24"/>
                <w:szCs w:val="24"/>
                <w:lang w:eastAsia="en-US"/>
              </w:rPr>
              <w:t>apakšnodaļā un 6.nodaļā (izņemot 6.6.apakšnodaļā) minētajos atbalsta pasākumos</w:t>
            </w:r>
            <w:r w:rsidR="00A20552" w:rsidRPr="00726B5C">
              <w:rPr>
                <w:rFonts w:eastAsia="Calibri"/>
                <w:b w:val="0"/>
                <w:bCs w:val="0"/>
                <w:sz w:val="24"/>
                <w:szCs w:val="24"/>
                <w:lang w:eastAsia="en-US"/>
              </w:rPr>
              <w:t xml:space="preserve"> </w:t>
            </w:r>
            <w:r w:rsidR="00A20552">
              <w:rPr>
                <w:rFonts w:eastAsia="Calibri"/>
                <w:b w:val="0"/>
                <w:bCs w:val="0"/>
                <w:sz w:val="24"/>
                <w:szCs w:val="24"/>
                <w:lang w:eastAsia="en-US"/>
              </w:rPr>
              <w:t>dokument</w:t>
            </w:r>
            <w:r w:rsidR="006C485A">
              <w:rPr>
                <w:rFonts w:eastAsia="Calibri"/>
                <w:b w:val="0"/>
                <w:bCs w:val="0"/>
                <w:sz w:val="24"/>
                <w:szCs w:val="24"/>
                <w:lang w:eastAsia="en-US"/>
              </w:rPr>
              <w:t>i</w:t>
            </w:r>
            <w:r w:rsidR="00A20552">
              <w:rPr>
                <w:rFonts w:eastAsia="Calibri"/>
                <w:b w:val="0"/>
                <w:bCs w:val="0"/>
                <w:sz w:val="24"/>
                <w:szCs w:val="24"/>
                <w:lang w:eastAsia="en-US"/>
              </w:rPr>
              <w:t xml:space="preserve"> iesniedz</w:t>
            </w:r>
            <w:r w:rsidR="006C485A">
              <w:rPr>
                <w:rFonts w:eastAsia="Calibri"/>
                <w:b w:val="0"/>
                <w:bCs w:val="0"/>
                <w:sz w:val="24"/>
                <w:szCs w:val="24"/>
                <w:lang w:eastAsia="en-US"/>
              </w:rPr>
              <w:t>ami</w:t>
            </w:r>
            <w:r w:rsidR="00A20552">
              <w:rPr>
                <w:rFonts w:eastAsia="Calibri"/>
                <w:b w:val="0"/>
                <w:bCs w:val="0"/>
                <w:sz w:val="24"/>
                <w:szCs w:val="24"/>
                <w:lang w:eastAsia="en-US"/>
              </w:rPr>
              <w:t xml:space="preserve"> tikai </w:t>
            </w:r>
            <w:r w:rsidRPr="00726B5C">
              <w:rPr>
                <w:rFonts w:eastAsia="Calibri"/>
                <w:b w:val="0"/>
                <w:bCs w:val="0"/>
                <w:sz w:val="24"/>
                <w:szCs w:val="24"/>
                <w:lang w:eastAsia="en-US"/>
              </w:rPr>
              <w:t>LAD elektroniskās pieteikšanās sistēmā</w:t>
            </w:r>
            <w:r w:rsidR="00A20552" w:rsidRPr="00A20552">
              <w:rPr>
                <w:rFonts w:eastAsia="Calibri"/>
                <w:b w:val="0"/>
                <w:bCs w:val="0"/>
                <w:sz w:val="24"/>
                <w:szCs w:val="24"/>
                <w:lang w:eastAsia="en-US"/>
              </w:rPr>
              <w:t xml:space="preserve"> saskaņā ar Lauku atbalsta likuma 3.</w:t>
            </w:r>
            <w:r w:rsidR="00A20552" w:rsidRPr="00A20552">
              <w:rPr>
                <w:rFonts w:eastAsia="Calibri"/>
                <w:b w:val="0"/>
                <w:bCs w:val="0"/>
                <w:sz w:val="24"/>
                <w:szCs w:val="24"/>
                <w:vertAlign w:val="superscript"/>
                <w:lang w:eastAsia="en-US"/>
              </w:rPr>
              <w:t xml:space="preserve">1 </w:t>
            </w:r>
            <w:r w:rsidR="00A20552" w:rsidRPr="00A20552">
              <w:rPr>
                <w:rFonts w:eastAsia="Calibri"/>
                <w:b w:val="0"/>
                <w:bCs w:val="0"/>
                <w:sz w:val="24"/>
                <w:szCs w:val="24"/>
                <w:lang w:eastAsia="en-US"/>
              </w:rPr>
              <w:t>panta trešo daļu</w:t>
            </w:r>
            <w:r w:rsidR="001D7E88">
              <w:rPr>
                <w:rFonts w:eastAsia="Calibri"/>
                <w:b w:val="0"/>
                <w:bCs w:val="0"/>
                <w:sz w:val="24"/>
                <w:szCs w:val="24"/>
                <w:lang w:eastAsia="en-US"/>
              </w:rPr>
              <w:t xml:space="preserve">, jo </w:t>
            </w:r>
            <w:r w:rsidR="00A20552">
              <w:rPr>
                <w:rFonts w:eastAsia="Calibri"/>
                <w:b w:val="0"/>
                <w:bCs w:val="0"/>
                <w:sz w:val="24"/>
                <w:szCs w:val="24"/>
                <w:lang w:eastAsia="en-US"/>
              </w:rPr>
              <w:t>tajos</w:t>
            </w:r>
            <w:r w:rsidR="001D7E88">
              <w:rPr>
                <w:rFonts w:eastAsia="Calibri"/>
                <w:b w:val="0"/>
                <w:bCs w:val="0"/>
                <w:sz w:val="24"/>
                <w:szCs w:val="24"/>
                <w:lang w:eastAsia="en-US"/>
              </w:rPr>
              <w:t xml:space="preserve"> pretendentu skaits pārsniedz 200. Tā kā pārējos atbalsta pasākumos pretendentu skaits nepārsniedz 10, LAD ir finansiāli neizdevīgi veidot platformu elektroniskās pieteikšanās sistēmā, tāpēc šie pretendenti iesniegumus turpinās iesniegt </w:t>
            </w:r>
            <w:r w:rsidR="001D7E88" w:rsidRPr="001D7E88">
              <w:rPr>
                <w:rFonts w:eastAsia="Calibri"/>
                <w:b w:val="0"/>
                <w:bCs w:val="0"/>
                <w:sz w:val="24"/>
                <w:szCs w:val="24"/>
                <w:lang w:eastAsia="en-US"/>
              </w:rPr>
              <w:t>papīra dokumenta formā (pievienojot vai nosūtot elektronisko versiju) vai elektroniska dokumenta veidā atbilstoši normatīvajiem aktiem par elektronisko dokumentu noformēšanu</w:t>
            </w:r>
            <w:r w:rsidR="001D7E88">
              <w:rPr>
                <w:rFonts w:eastAsia="Calibri"/>
                <w:b w:val="0"/>
                <w:bCs w:val="0"/>
                <w:sz w:val="24"/>
                <w:szCs w:val="24"/>
                <w:lang w:eastAsia="en-US"/>
              </w:rPr>
              <w:t>.</w:t>
            </w:r>
            <w:r w:rsidR="001D7E88" w:rsidRPr="001D7E88">
              <w:rPr>
                <w:rFonts w:eastAsia="Calibri"/>
                <w:sz w:val="24"/>
                <w:szCs w:val="24"/>
                <w:lang w:eastAsia="en-US"/>
              </w:rPr>
              <w:t xml:space="preserve"> </w:t>
            </w:r>
          </w:p>
          <w:p w:rsidR="00233632" w:rsidRDefault="006C485A" w:rsidP="00233632">
            <w:pPr>
              <w:pStyle w:val="Virsraksts3"/>
              <w:shd w:val="clear" w:color="auto" w:fill="FFFFFF"/>
              <w:spacing w:before="0" w:beforeAutospacing="0" w:after="0" w:afterAutospacing="0"/>
              <w:ind w:right="57" w:firstLine="120"/>
              <w:jc w:val="both"/>
              <w:rPr>
                <w:b w:val="0"/>
                <w:sz w:val="24"/>
                <w:szCs w:val="24"/>
              </w:rPr>
            </w:pPr>
            <w:r>
              <w:rPr>
                <w:b w:val="0"/>
                <w:sz w:val="24"/>
                <w:szCs w:val="24"/>
              </w:rPr>
              <w:t>Tā kā</w:t>
            </w:r>
            <w:r w:rsidR="00233632">
              <w:rPr>
                <w:b w:val="0"/>
                <w:sz w:val="24"/>
                <w:szCs w:val="24"/>
              </w:rPr>
              <w:t xml:space="preserve"> ar 2018.gada 1.novembri stājas spēkā Dzīvnieku audzēšanas regula, kurā ir noteikts, kas ir tīršķirnes vaislas dzīvnieks, n</w:t>
            </w:r>
            <w:r w:rsidR="004B5266">
              <w:rPr>
                <w:b w:val="0"/>
                <w:sz w:val="24"/>
                <w:szCs w:val="24"/>
              </w:rPr>
              <w:t>oteikumu projekta 3., 4., 5., 6. un 7.</w:t>
            </w:r>
            <w:r w:rsidR="00077EB0">
              <w:rPr>
                <w:b w:val="0"/>
                <w:sz w:val="24"/>
                <w:szCs w:val="24"/>
              </w:rPr>
              <w:t xml:space="preserve"> </w:t>
            </w:r>
            <w:r w:rsidR="004B5266">
              <w:rPr>
                <w:b w:val="0"/>
                <w:sz w:val="24"/>
                <w:szCs w:val="24"/>
              </w:rPr>
              <w:t>punktā ir precizēta tiesību norma par ciltsgrāmatas kārtošanu, paredzot finansēt arī dzīvnieku novērtēšanas procesu</w:t>
            </w:r>
            <w:r>
              <w:rPr>
                <w:b w:val="0"/>
                <w:sz w:val="24"/>
                <w:szCs w:val="24"/>
              </w:rPr>
              <w:t>,</w:t>
            </w:r>
            <w:r w:rsidR="004B5266">
              <w:rPr>
                <w:b w:val="0"/>
                <w:sz w:val="24"/>
                <w:szCs w:val="24"/>
              </w:rPr>
              <w:t xml:space="preserve"> un palielināts finansējums par DNS analīzēm no 6 000 līdz 12 000, lai </w:t>
            </w:r>
            <w:r>
              <w:rPr>
                <w:b w:val="0"/>
                <w:sz w:val="24"/>
                <w:szCs w:val="24"/>
              </w:rPr>
              <w:t xml:space="preserve"> ciltsgrāmatā </w:t>
            </w:r>
            <w:r w:rsidR="004B5266">
              <w:rPr>
                <w:b w:val="0"/>
                <w:sz w:val="24"/>
                <w:szCs w:val="24"/>
              </w:rPr>
              <w:t xml:space="preserve">būtu iespējams uzņemt </w:t>
            </w:r>
            <w:r w:rsidR="00233632">
              <w:rPr>
                <w:b w:val="0"/>
                <w:sz w:val="24"/>
                <w:szCs w:val="24"/>
              </w:rPr>
              <w:t>tīršķirnes vaislas dzīvniekus.</w:t>
            </w:r>
          </w:p>
          <w:p w:rsidR="00233632" w:rsidRDefault="00233632" w:rsidP="00233632">
            <w:pPr>
              <w:pStyle w:val="Virsraksts3"/>
              <w:shd w:val="clear" w:color="auto" w:fill="FFFFFF"/>
              <w:spacing w:before="0" w:beforeAutospacing="0" w:after="0" w:afterAutospacing="0"/>
              <w:ind w:right="57" w:firstLine="120"/>
              <w:jc w:val="both"/>
              <w:rPr>
                <w:b w:val="0"/>
                <w:sz w:val="24"/>
                <w:szCs w:val="24"/>
              </w:rPr>
            </w:pPr>
            <w:r>
              <w:rPr>
                <w:b w:val="0"/>
                <w:sz w:val="24"/>
                <w:szCs w:val="24"/>
              </w:rPr>
              <w:t>Lai LAD varētu kvalitatīvi administrēt atbalsta pasākumus, noteikumu projekta 8., 10., 11., 13. un 21. punktā ir precizēti dokumentu iesniegšanas datumi.</w:t>
            </w:r>
          </w:p>
          <w:p w:rsidR="00726B5C" w:rsidRDefault="00233632" w:rsidP="00385344">
            <w:pPr>
              <w:pStyle w:val="Virsraksts3"/>
              <w:shd w:val="clear" w:color="auto" w:fill="FFFFFF"/>
              <w:spacing w:before="0" w:beforeAutospacing="0" w:after="0" w:afterAutospacing="0"/>
              <w:ind w:right="57" w:firstLine="120"/>
              <w:jc w:val="both"/>
              <w:rPr>
                <w:b w:val="0"/>
                <w:sz w:val="24"/>
                <w:szCs w:val="24"/>
              </w:rPr>
            </w:pPr>
            <w:r>
              <w:rPr>
                <w:b w:val="0"/>
                <w:sz w:val="24"/>
                <w:szCs w:val="24"/>
              </w:rPr>
              <w:t>Noteikumu projekta 9. punktā</w:t>
            </w:r>
            <w:r w:rsidR="00385344">
              <w:rPr>
                <w:b w:val="0"/>
                <w:sz w:val="24"/>
                <w:szCs w:val="24"/>
              </w:rPr>
              <w:t xml:space="preserve"> ir noteikts atbalsts arī par vaislai audzējamo aitu un teķu </w:t>
            </w:r>
            <w:proofErr w:type="spellStart"/>
            <w:r w:rsidR="00385344" w:rsidRPr="00385344">
              <w:rPr>
                <w:b w:val="0"/>
                <w:i/>
                <w:sz w:val="24"/>
                <w:szCs w:val="24"/>
              </w:rPr>
              <w:t>maedi</w:t>
            </w:r>
            <w:r w:rsidR="006C485A">
              <w:rPr>
                <w:b w:val="0"/>
                <w:i/>
                <w:sz w:val="24"/>
                <w:szCs w:val="24"/>
              </w:rPr>
              <w:t>-</w:t>
            </w:r>
            <w:r w:rsidR="00385344" w:rsidRPr="00385344">
              <w:rPr>
                <w:b w:val="0"/>
                <w:i/>
                <w:sz w:val="24"/>
                <w:szCs w:val="24"/>
              </w:rPr>
              <w:t>visna</w:t>
            </w:r>
            <w:proofErr w:type="spellEnd"/>
            <w:r w:rsidR="00385344">
              <w:rPr>
                <w:b w:val="0"/>
                <w:sz w:val="24"/>
                <w:szCs w:val="24"/>
              </w:rPr>
              <w:t xml:space="preserve"> seroloģijas testiem. Lai aitkopības ganāmpulku īpašnieki lai</w:t>
            </w:r>
            <w:r w:rsidR="006C485A">
              <w:rPr>
                <w:b w:val="0"/>
                <w:sz w:val="24"/>
                <w:szCs w:val="24"/>
              </w:rPr>
              <w:t>kus</w:t>
            </w:r>
            <w:r w:rsidR="00385344">
              <w:rPr>
                <w:b w:val="0"/>
                <w:sz w:val="24"/>
                <w:szCs w:val="24"/>
              </w:rPr>
              <w:t xml:space="preserve"> varētu noteikt dzīvniekus, kas ir </w:t>
            </w:r>
            <w:proofErr w:type="spellStart"/>
            <w:r w:rsidR="00385344" w:rsidRPr="00385344">
              <w:rPr>
                <w:b w:val="0"/>
                <w:i/>
                <w:sz w:val="24"/>
                <w:szCs w:val="24"/>
              </w:rPr>
              <w:t>maedi</w:t>
            </w:r>
            <w:r w:rsidR="006C485A">
              <w:rPr>
                <w:b w:val="0"/>
                <w:i/>
                <w:sz w:val="24"/>
                <w:szCs w:val="24"/>
              </w:rPr>
              <w:t>-</w:t>
            </w:r>
            <w:r w:rsidR="00385344" w:rsidRPr="00385344">
              <w:rPr>
                <w:b w:val="0"/>
                <w:i/>
                <w:sz w:val="24"/>
                <w:szCs w:val="24"/>
              </w:rPr>
              <w:t>visna</w:t>
            </w:r>
            <w:proofErr w:type="spellEnd"/>
            <w:r w:rsidR="00385344">
              <w:rPr>
                <w:b w:val="0"/>
                <w:sz w:val="24"/>
                <w:szCs w:val="24"/>
              </w:rPr>
              <w:t xml:space="preserve"> vīrusa (izraisa neiroloģiska rakstura problēmas) nēsātāji</w:t>
            </w:r>
            <w:r w:rsidR="006C485A">
              <w:rPr>
                <w:b w:val="0"/>
                <w:sz w:val="24"/>
                <w:szCs w:val="24"/>
              </w:rPr>
              <w:t>,</w:t>
            </w:r>
            <w:r w:rsidR="00385344">
              <w:rPr>
                <w:b w:val="0"/>
                <w:sz w:val="24"/>
                <w:szCs w:val="24"/>
              </w:rPr>
              <w:t xml:space="preserve"> un tos brāķēt. </w:t>
            </w:r>
          </w:p>
          <w:p w:rsidR="006D6341" w:rsidRDefault="006D6341" w:rsidP="00385344">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Lai kazkopības nozarē būtu iespējams izaudzēt veselīgus un no neiroloģiskām slimībām </w:t>
            </w:r>
            <w:r w:rsidR="00077EB0">
              <w:rPr>
                <w:b w:val="0"/>
                <w:sz w:val="24"/>
                <w:szCs w:val="24"/>
              </w:rPr>
              <w:t xml:space="preserve">brīvus dzīvniekus, noteikumu projekta 12. punktā ir paredzēts papildu atbalsts </w:t>
            </w:r>
            <w:proofErr w:type="spellStart"/>
            <w:r w:rsidR="00077EB0" w:rsidRPr="00077EB0">
              <w:rPr>
                <w:b w:val="0"/>
                <w:i/>
                <w:sz w:val="24"/>
                <w:szCs w:val="24"/>
              </w:rPr>
              <w:t>skrepe</w:t>
            </w:r>
            <w:proofErr w:type="spellEnd"/>
            <w:r w:rsidR="00077EB0">
              <w:rPr>
                <w:b w:val="0"/>
                <w:sz w:val="24"/>
                <w:szCs w:val="24"/>
              </w:rPr>
              <w:t xml:space="preserve"> genotipa noteikšanas un </w:t>
            </w:r>
            <w:r w:rsidR="00077EB0" w:rsidRPr="002B1267">
              <w:rPr>
                <w:b w:val="0"/>
                <w:sz w:val="24"/>
                <w:szCs w:val="24"/>
              </w:rPr>
              <w:t>artrīt</w:t>
            </w:r>
            <w:r w:rsidR="006C485A" w:rsidRPr="002B1267">
              <w:rPr>
                <w:b w:val="0"/>
                <w:sz w:val="24"/>
                <w:szCs w:val="24"/>
              </w:rPr>
              <w:t>a-</w:t>
            </w:r>
            <w:r w:rsidR="00077EB0" w:rsidRPr="002B1267">
              <w:rPr>
                <w:b w:val="0"/>
                <w:sz w:val="24"/>
                <w:szCs w:val="24"/>
              </w:rPr>
              <w:t>encefalīt</w:t>
            </w:r>
            <w:r w:rsidR="006C485A" w:rsidRPr="002B1267">
              <w:rPr>
                <w:b w:val="0"/>
                <w:sz w:val="24"/>
                <w:szCs w:val="24"/>
              </w:rPr>
              <w:t>a</w:t>
            </w:r>
            <w:r w:rsidR="00077EB0">
              <w:rPr>
                <w:b w:val="0"/>
                <w:sz w:val="24"/>
                <w:szCs w:val="24"/>
              </w:rPr>
              <w:t xml:space="preserve"> seroloģijas testiem.</w:t>
            </w:r>
          </w:p>
          <w:p w:rsidR="00077EB0" w:rsidRDefault="00077EB0" w:rsidP="00385344">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Tā kā </w:t>
            </w:r>
            <w:proofErr w:type="spellStart"/>
            <w:r>
              <w:rPr>
                <w:b w:val="0"/>
                <w:sz w:val="24"/>
                <w:szCs w:val="24"/>
              </w:rPr>
              <w:t>šinsillkopībā</w:t>
            </w:r>
            <w:proofErr w:type="spellEnd"/>
            <w:r>
              <w:rPr>
                <w:b w:val="0"/>
                <w:sz w:val="24"/>
                <w:szCs w:val="24"/>
              </w:rPr>
              <w:t xml:space="preserve"> nav nevienas </w:t>
            </w:r>
            <w:r w:rsidR="0076284F">
              <w:rPr>
                <w:b w:val="0"/>
                <w:sz w:val="24"/>
                <w:szCs w:val="24"/>
              </w:rPr>
              <w:t xml:space="preserve">atzītas </w:t>
            </w:r>
            <w:r>
              <w:rPr>
                <w:b w:val="0"/>
                <w:sz w:val="24"/>
                <w:szCs w:val="24"/>
              </w:rPr>
              <w:t>šķirnes lauksaimniecības dzīvnieku audzētāju organizācija</w:t>
            </w:r>
            <w:r w:rsidR="006C485A">
              <w:rPr>
                <w:b w:val="0"/>
                <w:sz w:val="24"/>
                <w:szCs w:val="24"/>
              </w:rPr>
              <w:t>s</w:t>
            </w:r>
            <w:r w:rsidR="0076284F">
              <w:rPr>
                <w:b w:val="0"/>
                <w:sz w:val="24"/>
                <w:szCs w:val="24"/>
              </w:rPr>
              <w:t xml:space="preserve"> (turpmāk – organizācija)</w:t>
            </w:r>
            <w:r>
              <w:rPr>
                <w:b w:val="0"/>
                <w:sz w:val="24"/>
                <w:szCs w:val="24"/>
              </w:rPr>
              <w:t>, noteikumu projekta 14. un 15. punktā ir svītrots nozares un dzīvnieku sugas nosaukums.</w:t>
            </w:r>
            <w:r w:rsidR="00766305">
              <w:rPr>
                <w:b w:val="0"/>
                <w:sz w:val="24"/>
                <w:szCs w:val="24"/>
              </w:rPr>
              <w:t xml:space="preserve"> Atbalsta pasākuma ieviešanas brīdī ciltsdarb</w:t>
            </w:r>
            <w:r w:rsidR="0068294F">
              <w:rPr>
                <w:b w:val="0"/>
                <w:sz w:val="24"/>
                <w:szCs w:val="24"/>
              </w:rPr>
              <w:t>a</w:t>
            </w:r>
            <w:r w:rsidR="00766305">
              <w:rPr>
                <w:b w:val="0"/>
                <w:sz w:val="24"/>
                <w:szCs w:val="24"/>
              </w:rPr>
              <w:t xml:space="preserve"> pas</w:t>
            </w:r>
            <w:r w:rsidR="0068294F">
              <w:rPr>
                <w:b w:val="0"/>
                <w:sz w:val="24"/>
                <w:szCs w:val="24"/>
              </w:rPr>
              <w:t>ākumi</w:t>
            </w:r>
            <w:r w:rsidR="00766305">
              <w:rPr>
                <w:b w:val="0"/>
                <w:sz w:val="24"/>
                <w:szCs w:val="24"/>
              </w:rPr>
              <w:t xml:space="preserve"> šinšillu audzēšanā bija paredzēti ciltsdarba programmā zvērkopībā. Tā kā šajā jomā neveidojās tīršķirnes dzīvnieku populācija un nebija iespējams saņemt atbalstu, jo nebija atbalstam atbilstošu dzīvnieku, </w:t>
            </w:r>
            <w:r w:rsidR="0068294F">
              <w:rPr>
                <w:b w:val="0"/>
                <w:sz w:val="24"/>
                <w:szCs w:val="24"/>
              </w:rPr>
              <w:t xml:space="preserve">ciltsdarba programmā </w:t>
            </w:r>
            <w:r w:rsidR="006C485A">
              <w:rPr>
                <w:b w:val="0"/>
                <w:sz w:val="24"/>
                <w:szCs w:val="24"/>
              </w:rPr>
              <w:t xml:space="preserve"> tika svītrota </w:t>
            </w:r>
            <w:r w:rsidR="0068294F">
              <w:rPr>
                <w:b w:val="0"/>
                <w:sz w:val="24"/>
                <w:szCs w:val="24"/>
              </w:rPr>
              <w:t xml:space="preserve">sadaļa par ciltsdarba pasākumiem šinšillu audzēšanā. Tā kā pēdējos gados samazinās audzējamo šinšillu skaits – Lauksaimniecības datu centrā </w:t>
            </w:r>
            <w:r w:rsidR="006C485A">
              <w:rPr>
                <w:b w:val="0"/>
                <w:sz w:val="24"/>
                <w:szCs w:val="24"/>
              </w:rPr>
              <w:t xml:space="preserve">01.01.2017. </w:t>
            </w:r>
            <w:r w:rsidR="0068294F">
              <w:rPr>
                <w:b w:val="0"/>
                <w:sz w:val="24"/>
                <w:szCs w:val="24"/>
              </w:rPr>
              <w:t xml:space="preserve">reģistrēts 4921 dzīvnieks, bet 01.01.2018. – 4455 dzīvnieki, minētā dzīvnieku populācija </w:t>
            </w:r>
            <w:r w:rsidR="006C485A">
              <w:rPr>
                <w:b w:val="0"/>
                <w:sz w:val="24"/>
                <w:szCs w:val="24"/>
              </w:rPr>
              <w:t xml:space="preserve">nav </w:t>
            </w:r>
            <w:r w:rsidR="0068294F">
              <w:rPr>
                <w:b w:val="0"/>
                <w:sz w:val="24"/>
                <w:szCs w:val="24"/>
              </w:rPr>
              <w:t xml:space="preserve">pietiekama, lai </w:t>
            </w:r>
            <w:r w:rsidR="006C485A">
              <w:rPr>
                <w:b w:val="0"/>
                <w:sz w:val="24"/>
                <w:szCs w:val="24"/>
              </w:rPr>
              <w:t>īsteno</w:t>
            </w:r>
            <w:r w:rsidR="0068294F">
              <w:rPr>
                <w:b w:val="0"/>
                <w:sz w:val="24"/>
                <w:szCs w:val="24"/>
              </w:rPr>
              <w:t xml:space="preserve">tu ciltsdarba pasākumu kopumu un būtu iespējams izveidot tīršķirnes dzīvnieku kopumu. Ja šinšillu audzēšanā izveidosies </w:t>
            </w:r>
            <w:r w:rsidR="00890B7D">
              <w:rPr>
                <w:b w:val="0"/>
                <w:sz w:val="24"/>
                <w:szCs w:val="24"/>
              </w:rPr>
              <w:t xml:space="preserve">ciltsdarba īstenošanai piemēroti </w:t>
            </w:r>
            <w:r w:rsidR="00890B7D">
              <w:rPr>
                <w:b w:val="0"/>
                <w:sz w:val="24"/>
                <w:szCs w:val="24"/>
              </w:rPr>
              <w:lastRenderedPageBreak/>
              <w:t>apstākļi</w:t>
            </w:r>
            <w:r w:rsidR="006C485A">
              <w:rPr>
                <w:b w:val="0"/>
                <w:sz w:val="24"/>
                <w:szCs w:val="24"/>
              </w:rPr>
              <w:t xml:space="preserve">, ņemot vērā, ka </w:t>
            </w:r>
            <w:r w:rsidR="00890B7D">
              <w:rPr>
                <w:b w:val="0"/>
                <w:sz w:val="24"/>
                <w:szCs w:val="24"/>
              </w:rPr>
              <w:t xml:space="preserve">šinšilla ir kažokzvērs, </w:t>
            </w:r>
            <w:r w:rsidR="006C485A">
              <w:rPr>
                <w:b w:val="0"/>
                <w:sz w:val="24"/>
                <w:szCs w:val="24"/>
              </w:rPr>
              <w:t xml:space="preserve">un </w:t>
            </w:r>
            <w:r w:rsidR="00890B7D">
              <w:rPr>
                <w:b w:val="0"/>
                <w:sz w:val="24"/>
                <w:szCs w:val="24"/>
              </w:rPr>
              <w:t>papildinot ciltsdarba programmu zvērkopībā, šinšillu audzētājiem būs iespējams saņemt ciltsdarba pakalpojumus un maksājumus.</w:t>
            </w:r>
            <w:r w:rsidR="0068294F">
              <w:rPr>
                <w:b w:val="0"/>
                <w:sz w:val="24"/>
                <w:szCs w:val="24"/>
              </w:rPr>
              <w:t xml:space="preserve"> </w:t>
            </w:r>
          </w:p>
          <w:p w:rsidR="0076284F" w:rsidRDefault="00077EB0" w:rsidP="0076284F">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Noteikumu projekta 16. punktā ir paredzēts finansējums truškopības nozarei, lai nodrošinātu tīršķirnes dzīvnieku </w:t>
            </w:r>
            <w:r w:rsidR="0076284F">
              <w:rPr>
                <w:b w:val="0"/>
                <w:sz w:val="24"/>
                <w:szCs w:val="24"/>
              </w:rPr>
              <w:t>datubāzes administrēšanu un uzturēšanu, un atbilstoši minētajam punktam noteikumu projekta 17. un 18. punktā precizēts tiesību normas par dokumentu iesniegšanu LAD.</w:t>
            </w:r>
          </w:p>
          <w:p w:rsidR="00AD293B" w:rsidRDefault="0076284F" w:rsidP="00AD293B">
            <w:pPr>
              <w:pStyle w:val="Virsraksts3"/>
              <w:shd w:val="clear" w:color="auto" w:fill="FFFFFF"/>
              <w:spacing w:before="0" w:beforeAutospacing="0" w:after="0" w:afterAutospacing="0"/>
              <w:ind w:right="57" w:firstLine="120"/>
              <w:jc w:val="both"/>
              <w:rPr>
                <w:b w:val="0"/>
                <w:sz w:val="24"/>
                <w:szCs w:val="24"/>
              </w:rPr>
            </w:pPr>
            <w:r>
              <w:rPr>
                <w:b w:val="0"/>
                <w:sz w:val="24"/>
                <w:szCs w:val="24"/>
              </w:rPr>
              <w:t>Lai visām lopkopības nozaru atzītām organizācijām būtu iespēja popularizēt ciltsdarba sasniegumus, 2018.gadā atbalsta pasākuma “Dzīvnieku darbspēju un ģenētiskās kvalitātes popularizēšana”</w:t>
            </w:r>
            <w:r w:rsidR="00AD293B">
              <w:rPr>
                <w:b w:val="0"/>
                <w:sz w:val="24"/>
                <w:szCs w:val="24"/>
              </w:rPr>
              <w:t xml:space="preserve"> kopējais finansējums ir palielināts no 186 850 līdz 280 272 </w:t>
            </w:r>
            <w:proofErr w:type="spellStart"/>
            <w:r w:rsidR="00AD293B" w:rsidRPr="00AD293B">
              <w:rPr>
                <w:b w:val="0"/>
                <w:i/>
                <w:sz w:val="24"/>
                <w:szCs w:val="24"/>
              </w:rPr>
              <w:t>euro</w:t>
            </w:r>
            <w:proofErr w:type="spellEnd"/>
            <w:r w:rsidR="00AD293B">
              <w:rPr>
                <w:b w:val="0"/>
                <w:sz w:val="24"/>
                <w:szCs w:val="24"/>
              </w:rPr>
              <w:t>. Noteikumu projekta 19. un 20. punktā svītrots nosacījums, ka pasākumus drīkst organizēt tikai viena nozares organizācija.</w:t>
            </w:r>
          </w:p>
          <w:p w:rsidR="00D96F94" w:rsidRDefault="00AD293B" w:rsidP="00926510">
            <w:pPr>
              <w:pStyle w:val="Virsraksts3"/>
              <w:shd w:val="clear" w:color="auto" w:fill="FFFFFF"/>
              <w:spacing w:before="0" w:beforeAutospacing="0" w:after="0" w:afterAutospacing="0"/>
              <w:ind w:right="57" w:firstLine="120"/>
              <w:jc w:val="both"/>
              <w:rPr>
                <w:b w:val="0"/>
                <w:sz w:val="24"/>
                <w:szCs w:val="24"/>
              </w:rPr>
            </w:pPr>
            <w:r>
              <w:rPr>
                <w:b w:val="0"/>
                <w:sz w:val="24"/>
                <w:szCs w:val="24"/>
              </w:rPr>
              <w:t>Tā kā Āfrikas cūku mēris ir konstatēts gandrīz visā Latvijas teritorijā, noteikumu projekta 22.punktā ir noteikts, ka 1. un 2.</w:t>
            </w:r>
            <w:r w:rsidR="006C485A">
              <w:rPr>
                <w:b w:val="0"/>
                <w:sz w:val="24"/>
                <w:szCs w:val="24"/>
              </w:rPr>
              <w:t> </w:t>
            </w:r>
            <w:r>
              <w:rPr>
                <w:b w:val="0"/>
                <w:sz w:val="24"/>
                <w:szCs w:val="24"/>
              </w:rPr>
              <w:t xml:space="preserve">kategorijas dzīvnieku izcelsmes blakusproduktu un cūku sugas dzīvnieku 3. kategorijas </w:t>
            </w:r>
            <w:r w:rsidR="00926510">
              <w:rPr>
                <w:b w:val="0"/>
                <w:sz w:val="24"/>
                <w:szCs w:val="24"/>
              </w:rPr>
              <w:t>blakusproduktu savākšanu, transportēšanu un pārstrādi daļēji subsidē no visām Latvijas teritorijā esošajām atzītā kautuvēm un gaļas pārstrādes uzņēmumiem.</w:t>
            </w:r>
          </w:p>
          <w:p w:rsidR="00645703" w:rsidRDefault="00D96F94" w:rsidP="00D96F94">
            <w:pPr>
              <w:pStyle w:val="Virsraksts3"/>
              <w:shd w:val="clear" w:color="auto" w:fill="FFFFFF"/>
              <w:spacing w:before="0" w:beforeAutospacing="0" w:after="0" w:afterAutospacing="0"/>
              <w:ind w:right="57" w:firstLine="120"/>
              <w:jc w:val="both"/>
              <w:rPr>
                <w:b w:val="0"/>
                <w:sz w:val="24"/>
                <w:szCs w:val="24"/>
              </w:rPr>
            </w:pPr>
            <w:r w:rsidRPr="00D96F94">
              <w:rPr>
                <w:b w:val="0"/>
                <w:sz w:val="24"/>
                <w:szCs w:val="24"/>
              </w:rPr>
              <w:t>Lai nodrošinātu Zemes pārvaldības likumā noteikto uzdevumu par informācijas iegūšanu un uzkrāšanu par augšņu raksturojošiem rādītājiem, papildu</w:t>
            </w:r>
            <w:r w:rsidR="006C485A">
              <w:rPr>
                <w:b w:val="0"/>
                <w:sz w:val="24"/>
                <w:szCs w:val="24"/>
              </w:rPr>
              <w:t>s</w:t>
            </w:r>
            <w:r w:rsidRPr="00D96F94">
              <w:rPr>
                <w:b w:val="0"/>
                <w:sz w:val="24"/>
                <w:szCs w:val="24"/>
              </w:rPr>
              <w:t xml:space="preserve"> augsnes minerālā slāpekļa monitoringam </w:t>
            </w:r>
            <w:r>
              <w:rPr>
                <w:b w:val="0"/>
                <w:sz w:val="24"/>
                <w:szCs w:val="24"/>
              </w:rPr>
              <w:t>nepieciešams</w:t>
            </w:r>
            <w:r w:rsidRPr="00D96F94">
              <w:rPr>
                <w:b w:val="0"/>
                <w:sz w:val="24"/>
                <w:szCs w:val="24"/>
              </w:rPr>
              <w:t xml:space="preserve"> uzsāk</w:t>
            </w:r>
            <w:r>
              <w:rPr>
                <w:b w:val="0"/>
                <w:sz w:val="24"/>
                <w:szCs w:val="24"/>
              </w:rPr>
              <w:t>t</w:t>
            </w:r>
            <w:r w:rsidRPr="00D96F94">
              <w:rPr>
                <w:b w:val="0"/>
                <w:sz w:val="24"/>
                <w:szCs w:val="24"/>
              </w:rPr>
              <w:t xml:space="preserve"> oglekļa monitoringu </w:t>
            </w:r>
            <w:r>
              <w:rPr>
                <w:b w:val="0"/>
                <w:sz w:val="24"/>
                <w:szCs w:val="24"/>
              </w:rPr>
              <w:t>lauksaimniecīb</w:t>
            </w:r>
            <w:r w:rsidR="006C485A">
              <w:rPr>
                <w:b w:val="0"/>
                <w:sz w:val="24"/>
                <w:szCs w:val="24"/>
              </w:rPr>
              <w:t>ā</w:t>
            </w:r>
            <w:r>
              <w:rPr>
                <w:b w:val="0"/>
                <w:sz w:val="24"/>
                <w:szCs w:val="24"/>
              </w:rPr>
              <w:t xml:space="preserve"> izmantojamās zemes</w:t>
            </w:r>
            <w:r w:rsidRPr="00D96F94">
              <w:rPr>
                <w:b w:val="0"/>
                <w:sz w:val="24"/>
                <w:szCs w:val="24"/>
              </w:rPr>
              <w:t xml:space="preserve"> augšņu agroķīmiskās izpētes reprezentatīvās kopas daļā, lai iegūtu informāciju par oglekļa saturu un tā krājumiem dažādās augsnēs, ņemot vērā to tipu, </w:t>
            </w:r>
            <w:proofErr w:type="spellStart"/>
            <w:r w:rsidRPr="00D96F94">
              <w:rPr>
                <w:b w:val="0"/>
                <w:sz w:val="24"/>
                <w:szCs w:val="24"/>
              </w:rPr>
              <w:t>granulometrisko</w:t>
            </w:r>
            <w:proofErr w:type="spellEnd"/>
            <w:r w:rsidRPr="00D96F94">
              <w:rPr>
                <w:b w:val="0"/>
                <w:sz w:val="24"/>
                <w:szCs w:val="24"/>
              </w:rPr>
              <w:t xml:space="preserve"> sastāvu un lauksaimniecībā izmantojamās zemes lietošanas veidu (aramzeme, </w:t>
            </w:r>
            <w:r>
              <w:rPr>
                <w:b w:val="0"/>
                <w:sz w:val="24"/>
                <w:szCs w:val="24"/>
              </w:rPr>
              <w:t>zālāji</w:t>
            </w:r>
            <w:r w:rsidR="00645703">
              <w:rPr>
                <w:b w:val="0"/>
                <w:sz w:val="24"/>
                <w:szCs w:val="24"/>
              </w:rPr>
              <w:t xml:space="preserve">, augļu dārzi). Noteikumu projekta 25.punktā </w:t>
            </w:r>
            <w:r w:rsidR="006C485A">
              <w:rPr>
                <w:b w:val="0"/>
                <w:sz w:val="24"/>
                <w:szCs w:val="24"/>
              </w:rPr>
              <w:t xml:space="preserve"> jaunā redakcijā </w:t>
            </w:r>
            <w:r w:rsidR="00645703">
              <w:rPr>
                <w:b w:val="0"/>
                <w:sz w:val="24"/>
                <w:szCs w:val="24"/>
              </w:rPr>
              <w:t>ir izteikta noteikumu Nr.1524 3.3. apakšnodaļa.</w:t>
            </w:r>
          </w:p>
          <w:p w:rsidR="00890B7D" w:rsidRDefault="006C485A" w:rsidP="00D96F94">
            <w:pPr>
              <w:pStyle w:val="Virsraksts3"/>
              <w:shd w:val="clear" w:color="auto" w:fill="FFFFFF"/>
              <w:spacing w:before="0" w:beforeAutospacing="0" w:after="0" w:afterAutospacing="0"/>
              <w:ind w:right="57" w:firstLine="120"/>
              <w:jc w:val="both"/>
              <w:rPr>
                <w:b w:val="0"/>
                <w:sz w:val="24"/>
                <w:szCs w:val="24"/>
              </w:rPr>
            </w:pPr>
            <w:r>
              <w:rPr>
                <w:b w:val="0"/>
                <w:sz w:val="24"/>
                <w:szCs w:val="24"/>
              </w:rPr>
              <w:t>Ar n</w:t>
            </w:r>
            <w:r w:rsidR="00890B7D">
              <w:rPr>
                <w:b w:val="0"/>
                <w:sz w:val="24"/>
                <w:szCs w:val="24"/>
              </w:rPr>
              <w:t>oteikumu projekta 26. un 27.punkt</w:t>
            </w:r>
            <w:r>
              <w:rPr>
                <w:b w:val="0"/>
                <w:sz w:val="24"/>
                <w:szCs w:val="24"/>
              </w:rPr>
              <w:t>u</w:t>
            </w:r>
            <w:r w:rsidR="00890B7D">
              <w:rPr>
                <w:b w:val="0"/>
                <w:sz w:val="24"/>
                <w:szCs w:val="24"/>
              </w:rPr>
              <w:t xml:space="preserve"> noteikumi Nr.1524 </w:t>
            </w:r>
            <w:r>
              <w:rPr>
                <w:b w:val="0"/>
                <w:sz w:val="24"/>
                <w:szCs w:val="24"/>
              </w:rPr>
              <w:t xml:space="preserve">ir papildināti </w:t>
            </w:r>
            <w:r w:rsidR="00890B7D">
              <w:rPr>
                <w:b w:val="0"/>
                <w:sz w:val="24"/>
                <w:szCs w:val="24"/>
              </w:rPr>
              <w:t xml:space="preserve">ar tiesību normu, kas paredz </w:t>
            </w:r>
            <w:r w:rsidR="00B50131">
              <w:rPr>
                <w:b w:val="0"/>
                <w:sz w:val="24"/>
                <w:szCs w:val="24"/>
              </w:rPr>
              <w:t>augu aizsardzības dienestam iespēju attiecināt administratīvos izdevumus, k</w:t>
            </w:r>
            <w:r>
              <w:rPr>
                <w:b w:val="0"/>
                <w:sz w:val="24"/>
                <w:szCs w:val="24"/>
              </w:rPr>
              <w:t>uri</w:t>
            </w:r>
            <w:r w:rsidR="00B50131">
              <w:rPr>
                <w:b w:val="0"/>
                <w:sz w:val="24"/>
                <w:szCs w:val="24"/>
              </w:rPr>
              <w:t xml:space="preserve"> nepārsniedz </w:t>
            </w:r>
            <w:r w:rsidR="00ED42AE">
              <w:rPr>
                <w:b w:val="0"/>
                <w:sz w:val="24"/>
                <w:szCs w:val="24"/>
              </w:rPr>
              <w:t>piecus</w:t>
            </w:r>
            <w:r w:rsidR="00B50131">
              <w:rPr>
                <w:b w:val="0"/>
                <w:sz w:val="24"/>
                <w:szCs w:val="24"/>
              </w:rPr>
              <w:t xml:space="preserve"> procentus no kopējās atbalsta summas</w:t>
            </w:r>
            <w:r>
              <w:rPr>
                <w:b w:val="0"/>
                <w:sz w:val="24"/>
                <w:szCs w:val="24"/>
              </w:rPr>
              <w:t>,</w:t>
            </w:r>
            <w:r w:rsidR="00ED42AE">
              <w:rPr>
                <w:b w:val="0"/>
                <w:sz w:val="24"/>
                <w:szCs w:val="24"/>
              </w:rPr>
              <w:t xml:space="preserve"> un šo izdevumu attaisnojuma dokumentu iesniegšanu</w:t>
            </w:r>
            <w:r w:rsidR="00B50131">
              <w:rPr>
                <w:b w:val="0"/>
                <w:sz w:val="24"/>
                <w:szCs w:val="24"/>
              </w:rPr>
              <w:t>. Sniedzot kvalitatīvas sēklas sertifikācijas pakalpojumu, var veidoties papildu</w:t>
            </w:r>
            <w:r w:rsidR="00ED42AE">
              <w:rPr>
                <w:b w:val="0"/>
                <w:sz w:val="24"/>
                <w:szCs w:val="24"/>
              </w:rPr>
              <w:t xml:space="preserve"> administratīvie</w:t>
            </w:r>
            <w:r w:rsidR="00B50131">
              <w:rPr>
                <w:b w:val="0"/>
                <w:sz w:val="24"/>
                <w:szCs w:val="24"/>
              </w:rPr>
              <w:t xml:space="preserve"> izdevumi, kas neietilpst Valsts augu aizsardzības dienesta</w:t>
            </w:r>
            <w:r w:rsidR="00ED42AE">
              <w:rPr>
                <w:b w:val="0"/>
                <w:sz w:val="24"/>
                <w:szCs w:val="24"/>
              </w:rPr>
              <w:t xml:space="preserve"> sniegto maksas pakalpojumu cenrādī.  </w:t>
            </w:r>
            <w:r w:rsidR="00B50131">
              <w:rPr>
                <w:b w:val="0"/>
                <w:sz w:val="24"/>
                <w:szCs w:val="24"/>
              </w:rPr>
              <w:t xml:space="preserve"> </w:t>
            </w:r>
          </w:p>
          <w:p w:rsidR="00645703" w:rsidRDefault="00645703" w:rsidP="00645703">
            <w:pPr>
              <w:pStyle w:val="Virsraksts3"/>
              <w:shd w:val="clear" w:color="auto" w:fill="FFFFFF"/>
              <w:spacing w:before="0" w:beforeAutospacing="0" w:after="0" w:afterAutospacing="0"/>
              <w:ind w:right="57" w:firstLine="120"/>
              <w:jc w:val="both"/>
              <w:rPr>
                <w:b w:val="0"/>
                <w:sz w:val="24"/>
                <w:szCs w:val="24"/>
              </w:rPr>
            </w:pPr>
            <w:r>
              <w:rPr>
                <w:b w:val="0"/>
                <w:sz w:val="24"/>
                <w:szCs w:val="24"/>
              </w:rPr>
              <w:t>Noteikumu projekta 2</w:t>
            </w:r>
            <w:r w:rsidR="00AB620C">
              <w:rPr>
                <w:b w:val="0"/>
                <w:sz w:val="24"/>
                <w:szCs w:val="24"/>
              </w:rPr>
              <w:t>8</w:t>
            </w:r>
            <w:r>
              <w:rPr>
                <w:b w:val="0"/>
                <w:sz w:val="24"/>
                <w:szCs w:val="24"/>
              </w:rPr>
              <w:t>. un 2</w:t>
            </w:r>
            <w:r w:rsidR="00AB620C">
              <w:rPr>
                <w:b w:val="0"/>
                <w:sz w:val="24"/>
                <w:szCs w:val="24"/>
              </w:rPr>
              <w:t>9</w:t>
            </w:r>
            <w:r>
              <w:rPr>
                <w:b w:val="0"/>
                <w:sz w:val="24"/>
                <w:szCs w:val="24"/>
              </w:rPr>
              <w:t>. punktā ir precizēta tiesību norma par attiecinām</w:t>
            </w:r>
            <w:r w:rsidR="002E109D">
              <w:rPr>
                <w:b w:val="0"/>
                <w:sz w:val="24"/>
                <w:szCs w:val="24"/>
              </w:rPr>
              <w:t xml:space="preserve">ajām izmaksām </w:t>
            </w:r>
            <w:r>
              <w:rPr>
                <w:b w:val="0"/>
                <w:sz w:val="24"/>
                <w:szCs w:val="24"/>
              </w:rPr>
              <w:t>un informācijas publicēšanu pretendenta tīmekļa vietnē.</w:t>
            </w:r>
          </w:p>
          <w:p w:rsidR="002E109D" w:rsidRDefault="00E36CF7" w:rsidP="00E36CF7">
            <w:pPr>
              <w:pStyle w:val="Virsraksts3"/>
              <w:shd w:val="clear" w:color="auto" w:fill="FFFFFF"/>
              <w:spacing w:before="0" w:beforeAutospacing="0" w:after="0" w:afterAutospacing="0"/>
              <w:ind w:right="57" w:firstLine="120"/>
              <w:jc w:val="both"/>
              <w:rPr>
                <w:b w:val="0"/>
                <w:sz w:val="24"/>
                <w:szCs w:val="24"/>
              </w:rPr>
            </w:pPr>
            <w:r>
              <w:rPr>
                <w:b w:val="0"/>
                <w:sz w:val="24"/>
                <w:szCs w:val="24"/>
              </w:rPr>
              <w:t>L</w:t>
            </w:r>
            <w:r w:rsidRPr="00E36CF7">
              <w:rPr>
                <w:b w:val="0"/>
                <w:sz w:val="24"/>
                <w:szCs w:val="24"/>
              </w:rPr>
              <w:t xml:space="preserve">ai nodrošinātu lietderīgāku un </w:t>
            </w:r>
            <w:r>
              <w:rPr>
                <w:b w:val="0"/>
                <w:sz w:val="24"/>
                <w:szCs w:val="24"/>
              </w:rPr>
              <w:t>caurskatāmāku</w:t>
            </w:r>
            <w:r w:rsidRPr="00E36CF7">
              <w:rPr>
                <w:b w:val="0"/>
                <w:sz w:val="24"/>
                <w:szCs w:val="24"/>
              </w:rPr>
              <w:t xml:space="preserve"> piešķirt</w:t>
            </w:r>
            <w:r>
              <w:rPr>
                <w:b w:val="0"/>
                <w:sz w:val="24"/>
                <w:szCs w:val="24"/>
              </w:rPr>
              <w:t>ā</w:t>
            </w:r>
            <w:r w:rsidRPr="00E36CF7">
              <w:rPr>
                <w:b w:val="0"/>
                <w:sz w:val="24"/>
                <w:szCs w:val="24"/>
              </w:rPr>
              <w:t xml:space="preserve"> </w:t>
            </w:r>
            <w:r>
              <w:rPr>
                <w:b w:val="0"/>
                <w:sz w:val="24"/>
                <w:szCs w:val="24"/>
              </w:rPr>
              <w:t>finansējuma</w:t>
            </w:r>
            <w:r w:rsidRPr="00E36CF7">
              <w:rPr>
                <w:b w:val="0"/>
                <w:sz w:val="24"/>
                <w:szCs w:val="24"/>
              </w:rPr>
              <w:t xml:space="preserve"> izlietojumu </w:t>
            </w:r>
            <w:proofErr w:type="spellStart"/>
            <w:r w:rsidRPr="00E36CF7">
              <w:rPr>
                <w:b w:val="0"/>
                <w:sz w:val="24"/>
                <w:szCs w:val="24"/>
              </w:rPr>
              <w:t>kopstendu</w:t>
            </w:r>
            <w:proofErr w:type="spellEnd"/>
            <w:r w:rsidRPr="00E36CF7">
              <w:rPr>
                <w:b w:val="0"/>
                <w:sz w:val="24"/>
                <w:szCs w:val="24"/>
              </w:rPr>
              <w:t xml:space="preserve"> organizēšanai</w:t>
            </w:r>
            <w:r>
              <w:rPr>
                <w:b w:val="0"/>
                <w:sz w:val="24"/>
                <w:szCs w:val="24"/>
              </w:rPr>
              <w:t xml:space="preserve">, kā arī mazinātu administratīvo slogu, noteikumu projekta </w:t>
            </w:r>
            <w:r w:rsidR="00AB620C">
              <w:rPr>
                <w:b w:val="0"/>
                <w:sz w:val="24"/>
                <w:szCs w:val="24"/>
              </w:rPr>
              <w:t>31</w:t>
            </w:r>
            <w:r>
              <w:rPr>
                <w:b w:val="0"/>
                <w:sz w:val="24"/>
                <w:szCs w:val="24"/>
              </w:rPr>
              <w:t>. un 3</w:t>
            </w:r>
            <w:r w:rsidR="00AB620C">
              <w:rPr>
                <w:b w:val="0"/>
                <w:sz w:val="24"/>
                <w:szCs w:val="24"/>
              </w:rPr>
              <w:t>2</w:t>
            </w:r>
            <w:r>
              <w:rPr>
                <w:b w:val="0"/>
                <w:sz w:val="24"/>
                <w:szCs w:val="24"/>
              </w:rPr>
              <w:t xml:space="preserve">. punktā noteiktas prasības projekta vadības atlīdzībai un </w:t>
            </w:r>
            <w:r w:rsidR="002E109D">
              <w:rPr>
                <w:b w:val="0"/>
                <w:sz w:val="24"/>
                <w:szCs w:val="24"/>
              </w:rPr>
              <w:t>līgumā paredzamie nosacījumi.</w:t>
            </w:r>
          </w:p>
          <w:p w:rsidR="002E109D" w:rsidRDefault="002E109D" w:rsidP="00E36CF7">
            <w:pPr>
              <w:pStyle w:val="Virsraksts3"/>
              <w:shd w:val="clear" w:color="auto" w:fill="FFFFFF"/>
              <w:spacing w:before="0" w:beforeAutospacing="0" w:after="0" w:afterAutospacing="0"/>
              <w:ind w:right="57" w:firstLine="120"/>
              <w:jc w:val="both"/>
              <w:rPr>
                <w:b w:val="0"/>
                <w:sz w:val="24"/>
                <w:szCs w:val="24"/>
              </w:rPr>
            </w:pPr>
            <w:r>
              <w:rPr>
                <w:b w:val="0"/>
                <w:sz w:val="24"/>
                <w:szCs w:val="24"/>
              </w:rPr>
              <w:t>Saskaņā ar</w:t>
            </w:r>
            <w:r w:rsidRPr="002E109D">
              <w:rPr>
                <w:b w:val="0"/>
                <w:bCs w:val="0"/>
                <w:sz w:val="24"/>
                <w:szCs w:val="24"/>
              </w:rPr>
              <w:t xml:space="preserve"> </w:t>
            </w:r>
            <w:r w:rsidRPr="002E109D">
              <w:rPr>
                <w:b w:val="0"/>
                <w:sz w:val="24"/>
                <w:szCs w:val="24"/>
              </w:rPr>
              <w:t>normatīvajos aktos par pārtikas kvalitātes shēmām, to ieviešanu, darbību, uzraudzību un kontroli</w:t>
            </w:r>
            <w:r w:rsidRPr="002E109D">
              <w:rPr>
                <w:sz w:val="24"/>
                <w:szCs w:val="24"/>
              </w:rPr>
              <w:t xml:space="preserve"> </w:t>
            </w:r>
            <w:r w:rsidRPr="002E109D">
              <w:rPr>
                <w:b w:val="0"/>
                <w:sz w:val="24"/>
                <w:szCs w:val="24"/>
              </w:rPr>
              <w:t>noteiktajām prasībām par pārskatu iesniegšanu</w:t>
            </w:r>
            <w:r>
              <w:rPr>
                <w:b w:val="0"/>
                <w:sz w:val="24"/>
                <w:szCs w:val="24"/>
              </w:rPr>
              <w:t xml:space="preserve"> noteikumu projekta 3</w:t>
            </w:r>
            <w:r w:rsidR="00AB620C">
              <w:rPr>
                <w:b w:val="0"/>
                <w:sz w:val="24"/>
                <w:szCs w:val="24"/>
              </w:rPr>
              <w:t>5</w:t>
            </w:r>
            <w:r>
              <w:rPr>
                <w:b w:val="0"/>
                <w:sz w:val="24"/>
                <w:szCs w:val="24"/>
              </w:rPr>
              <w:t>.punktā noteikts</w:t>
            </w:r>
            <w:r w:rsidR="006C485A">
              <w:rPr>
                <w:b w:val="0"/>
                <w:sz w:val="24"/>
                <w:szCs w:val="24"/>
              </w:rPr>
              <w:t>.</w:t>
            </w:r>
            <w:r>
              <w:rPr>
                <w:b w:val="0"/>
                <w:sz w:val="24"/>
                <w:szCs w:val="24"/>
              </w:rPr>
              <w:t xml:space="preserve"> k</w:t>
            </w:r>
            <w:r w:rsidR="006C485A">
              <w:rPr>
                <w:b w:val="0"/>
                <w:sz w:val="24"/>
                <w:szCs w:val="24"/>
              </w:rPr>
              <w:t>ur</w:t>
            </w:r>
            <w:r>
              <w:rPr>
                <w:b w:val="0"/>
                <w:sz w:val="24"/>
                <w:szCs w:val="24"/>
              </w:rPr>
              <w:t>ā gadījumā pretendentam nepiešķirs atbalstu.</w:t>
            </w:r>
          </w:p>
          <w:p w:rsidR="009F3C65" w:rsidRDefault="009F3C65" w:rsidP="00E36CF7">
            <w:pPr>
              <w:pStyle w:val="Virsraksts3"/>
              <w:shd w:val="clear" w:color="auto" w:fill="FFFFFF"/>
              <w:spacing w:before="0" w:beforeAutospacing="0" w:after="0" w:afterAutospacing="0"/>
              <w:ind w:right="57" w:firstLine="120"/>
              <w:jc w:val="both"/>
              <w:rPr>
                <w:b w:val="0"/>
                <w:sz w:val="24"/>
                <w:szCs w:val="24"/>
              </w:rPr>
            </w:pPr>
            <w:r>
              <w:rPr>
                <w:b w:val="0"/>
                <w:sz w:val="24"/>
                <w:szCs w:val="24"/>
              </w:rPr>
              <w:lastRenderedPageBreak/>
              <w:t>Atbilstoši izdarītajiem grozījumiem noteikumu projekta 3</w:t>
            </w:r>
            <w:r w:rsidR="00AB620C">
              <w:rPr>
                <w:b w:val="0"/>
                <w:sz w:val="24"/>
                <w:szCs w:val="24"/>
              </w:rPr>
              <w:t>6</w:t>
            </w:r>
            <w:r>
              <w:rPr>
                <w:b w:val="0"/>
                <w:sz w:val="24"/>
                <w:szCs w:val="24"/>
              </w:rPr>
              <w:t>., 3</w:t>
            </w:r>
            <w:r w:rsidR="00AB620C">
              <w:rPr>
                <w:b w:val="0"/>
                <w:sz w:val="24"/>
                <w:szCs w:val="24"/>
              </w:rPr>
              <w:t>7</w:t>
            </w:r>
            <w:r>
              <w:rPr>
                <w:b w:val="0"/>
                <w:sz w:val="24"/>
                <w:szCs w:val="24"/>
              </w:rPr>
              <w:t>., 3</w:t>
            </w:r>
            <w:r w:rsidR="00AB620C">
              <w:rPr>
                <w:b w:val="0"/>
                <w:sz w:val="24"/>
                <w:szCs w:val="24"/>
              </w:rPr>
              <w:t>8</w:t>
            </w:r>
            <w:r>
              <w:rPr>
                <w:b w:val="0"/>
                <w:sz w:val="24"/>
                <w:szCs w:val="24"/>
              </w:rPr>
              <w:t>., 3</w:t>
            </w:r>
            <w:r w:rsidR="00AB620C">
              <w:rPr>
                <w:b w:val="0"/>
                <w:sz w:val="24"/>
                <w:szCs w:val="24"/>
              </w:rPr>
              <w:t>9</w:t>
            </w:r>
            <w:r>
              <w:rPr>
                <w:b w:val="0"/>
                <w:sz w:val="24"/>
                <w:szCs w:val="24"/>
              </w:rPr>
              <w:t>.</w:t>
            </w:r>
            <w:r w:rsidR="00AB620C">
              <w:rPr>
                <w:b w:val="0"/>
                <w:sz w:val="24"/>
                <w:szCs w:val="24"/>
              </w:rPr>
              <w:t>, 40., 41.</w:t>
            </w:r>
            <w:r>
              <w:rPr>
                <w:b w:val="0"/>
                <w:sz w:val="24"/>
                <w:szCs w:val="24"/>
              </w:rPr>
              <w:t xml:space="preserve"> un </w:t>
            </w:r>
            <w:r w:rsidR="00AB620C">
              <w:rPr>
                <w:b w:val="0"/>
                <w:sz w:val="24"/>
                <w:szCs w:val="24"/>
              </w:rPr>
              <w:t>42</w:t>
            </w:r>
            <w:r>
              <w:rPr>
                <w:b w:val="0"/>
                <w:sz w:val="24"/>
                <w:szCs w:val="24"/>
              </w:rPr>
              <w:t>. punktā precizēti attiecīgie pielikumi.</w:t>
            </w:r>
          </w:p>
          <w:p w:rsidR="00BE76E1" w:rsidRDefault="009F3C65" w:rsidP="00BE76E1">
            <w:pPr>
              <w:pStyle w:val="Virsraksts3"/>
              <w:shd w:val="clear" w:color="auto" w:fill="FFFFFF"/>
              <w:spacing w:before="0" w:beforeAutospacing="0" w:after="0" w:afterAutospacing="0"/>
              <w:ind w:right="57" w:firstLine="120"/>
              <w:jc w:val="both"/>
              <w:rPr>
                <w:b w:val="0"/>
                <w:sz w:val="24"/>
                <w:szCs w:val="24"/>
              </w:rPr>
            </w:pPr>
            <w:r>
              <w:rPr>
                <w:b w:val="0"/>
                <w:sz w:val="24"/>
                <w:szCs w:val="24"/>
              </w:rPr>
              <w:t>Tā kā s</w:t>
            </w:r>
            <w:r w:rsidRPr="009F3C65">
              <w:rPr>
                <w:b w:val="0"/>
                <w:sz w:val="24"/>
                <w:szCs w:val="24"/>
              </w:rPr>
              <w:t xml:space="preserve">ēklaudzētāji ir uzsākuši lauku pupu, vīķu, sojas, lupīnas, facēlijas, balto sinepju, lucernas un austrumu </w:t>
            </w:r>
            <w:proofErr w:type="spellStart"/>
            <w:r w:rsidRPr="009F3C65">
              <w:rPr>
                <w:b w:val="0"/>
                <w:sz w:val="24"/>
                <w:szCs w:val="24"/>
              </w:rPr>
              <w:t>galegas</w:t>
            </w:r>
            <w:proofErr w:type="spellEnd"/>
            <w:r w:rsidRPr="009F3C65">
              <w:rPr>
                <w:b w:val="0"/>
                <w:sz w:val="24"/>
                <w:szCs w:val="24"/>
              </w:rPr>
              <w:t xml:space="preserve"> sēklaudzēšanu</w:t>
            </w:r>
            <w:r w:rsidR="00BE76E1">
              <w:rPr>
                <w:b w:val="0"/>
                <w:sz w:val="24"/>
                <w:szCs w:val="24"/>
              </w:rPr>
              <w:t>,</w:t>
            </w:r>
            <w:r w:rsidRPr="009F3C65">
              <w:rPr>
                <w:b w:val="0"/>
                <w:sz w:val="24"/>
                <w:szCs w:val="24"/>
              </w:rPr>
              <w:t xml:space="preserve"> </w:t>
            </w:r>
            <w:r>
              <w:rPr>
                <w:b w:val="0"/>
                <w:sz w:val="24"/>
                <w:szCs w:val="24"/>
              </w:rPr>
              <w:t xml:space="preserve">noteikumu projekta 37. punktā </w:t>
            </w:r>
            <w:r w:rsidRPr="009F3C65">
              <w:rPr>
                <w:b w:val="0"/>
                <w:sz w:val="24"/>
                <w:szCs w:val="24"/>
              </w:rPr>
              <w:t>noteikumu Nr.1524  45.pielikum</w:t>
            </w:r>
            <w:r>
              <w:rPr>
                <w:b w:val="0"/>
                <w:sz w:val="24"/>
                <w:szCs w:val="24"/>
              </w:rPr>
              <w:t xml:space="preserve">a </w:t>
            </w:r>
            <w:r w:rsidRPr="009F3C65">
              <w:rPr>
                <w:b w:val="0"/>
                <w:sz w:val="24"/>
                <w:szCs w:val="24"/>
              </w:rPr>
              <w:t xml:space="preserve">XI </w:t>
            </w:r>
            <w:r w:rsidR="006C485A">
              <w:rPr>
                <w:b w:val="0"/>
                <w:sz w:val="24"/>
                <w:szCs w:val="24"/>
              </w:rPr>
              <w:t>s</w:t>
            </w:r>
            <w:r w:rsidRPr="009F3C65">
              <w:rPr>
                <w:b w:val="0"/>
                <w:sz w:val="24"/>
                <w:szCs w:val="24"/>
              </w:rPr>
              <w:t>adaļ</w:t>
            </w:r>
            <w:r w:rsidR="00BE76E1">
              <w:rPr>
                <w:b w:val="0"/>
                <w:sz w:val="24"/>
                <w:szCs w:val="24"/>
              </w:rPr>
              <w:t>ā ir palielināts</w:t>
            </w:r>
            <w:r w:rsidRPr="009F3C65">
              <w:rPr>
                <w:b w:val="0"/>
                <w:sz w:val="24"/>
                <w:szCs w:val="24"/>
              </w:rPr>
              <w:t> vienību skaits par 230 vienībām</w:t>
            </w:r>
            <w:r w:rsidR="00BE76E1">
              <w:rPr>
                <w:b w:val="0"/>
                <w:sz w:val="24"/>
                <w:szCs w:val="24"/>
              </w:rPr>
              <w:t xml:space="preserve"> un noteikumu projekta 2. punktā izteiktajā noteikumu Nr.1524 2.2.2. apakšpunktā minētais kopējais finansējums palielināts par 2 820 </w:t>
            </w:r>
            <w:proofErr w:type="spellStart"/>
            <w:r w:rsidR="00BE76E1" w:rsidRPr="002B1267">
              <w:rPr>
                <w:b w:val="0"/>
                <w:i/>
                <w:sz w:val="24"/>
                <w:szCs w:val="24"/>
              </w:rPr>
              <w:t>euro</w:t>
            </w:r>
            <w:proofErr w:type="spellEnd"/>
            <w:r w:rsidR="00BE76E1">
              <w:rPr>
                <w:b w:val="0"/>
                <w:sz w:val="24"/>
                <w:szCs w:val="24"/>
              </w:rPr>
              <w:t xml:space="preserve"> salīdzin</w:t>
            </w:r>
            <w:r w:rsidR="006C485A">
              <w:rPr>
                <w:b w:val="0"/>
                <w:sz w:val="24"/>
                <w:szCs w:val="24"/>
              </w:rPr>
              <w:t>ājumā</w:t>
            </w:r>
            <w:r w:rsidR="00BE76E1">
              <w:rPr>
                <w:b w:val="0"/>
                <w:sz w:val="24"/>
                <w:szCs w:val="24"/>
              </w:rPr>
              <w:t xml:space="preserve"> ar 2017.gadu.</w:t>
            </w:r>
          </w:p>
          <w:p w:rsidR="00077EB0" w:rsidRPr="00DD49B6" w:rsidRDefault="00431E7C" w:rsidP="00431E7C">
            <w:pPr>
              <w:pStyle w:val="Virsraksts3"/>
              <w:shd w:val="clear" w:color="auto" w:fill="FFFFFF"/>
              <w:spacing w:before="0" w:beforeAutospacing="0" w:after="0" w:afterAutospacing="0"/>
              <w:ind w:right="57" w:firstLine="120"/>
              <w:jc w:val="both"/>
              <w:rPr>
                <w:b w:val="0"/>
                <w:sz w:val="24"/>
                <w:szCs w:val="24"/>
              </w:rPr>
            </w:pPr>
            <w:r w:rsidRPr="007B1F91">
              <w:rPr>
                <w:b w:val="0"/>
                <w:sz w:val="24"/>
                <w:szCs w:val="24"/>
              </w:rPr>
              <w:t xml:space="preserve">Minētie grozījumi noteikumos Nr.1524 ļaus </w:t>
            </w:r>
            <w:r>
              <w:rPr>
                <w:b w:val="0"/>
                <w:sz w:val="24"/>
                <w:szCs w:val="24"/>
              </w:rPr>
              <w:t>p</w:t>
            </w:r>
            <w:r w:rsidRPr="00367875">
              <w:rPr>
                <w:b w:val="0"/>
                <w:sz w:val="24"/>
                <w:szCs w:val="24"/>
              </w:rPr>
              <w:t>lānveid</w:t>
            </w:r>
            <w:r>
              <w:rPr>
                <w:b w:val="0"/>
                <w:sz w:val="24"/>
                <w:szCs w:val="24"/>
              </w:rPr>
              <w:t>īgi</w:t>
            </w:r>
            <w:r w:rsidRPr="00367875">
              <w:rPr>
                <w:b w:val="0"/>
                <w:sz w:val="24"/>
                <w:szCs w:val="24"/>
              </w:rPr>
              <w:t xml:space="preserve"> </w:t>
            </w:r>
            <w:r w:rsidR="006C485A">
              <w:rPr>
                <w:b w:val="0"/>
                <w:sz w:val="24"/>
                <w:szCs w:val="24"/>
              </w:rPr>
              <w:t>izmantot</w:t>
            </w:r>
            <w:r w:rsidRPr="00367875">
              <w:rPr>
                <w:b w:val="0"/>
                <w:sz w:val="24"/>
                <w:szCs w:val="24"/>
              </w:rPr>
              <w:t xml:space="preserve"> valsts atbalstam piešķirtos finanšu līdzekļus </w:t>
            </w:r>
            <w:r w:rsidRPr="007B1F91">
              <w:rPr>
                <w:b w:val="0"/>
                <w:sz w:val="24"/>
                <w:szCs w:val="24"/>
              </w:rPr>
              <w:t>201</w:t>
            </w:r>
            <w:r>
              <w:rPr>
                <w:b w:val="0"/>
                <w:sz w:val="24"/>
                <w:szCs w:val="24"/>
              </w:rPr>
              <w:t>8</w:t>
            </w:r>
            <w:r w:rsidRPr="007B1F91">
              <w:rPr>
                <w:b w:val="0"/>
                <w:sz w:val="24"/>
                <w:szCs w:val="24"/>
              </w:rPr>
              <w:t>.gadā</w:t>
            </w:r>
            <w:r>
              <w:rPr>
                <w:b w:val="0"/>
                <w:sz w:val="24"/>
                <w:szCs w:val="24"/>
              </w:rPr>
              <w:t>.</w:t>
            </w:r>
          </w:p>
        </w:tc>
      </w:tr>
      <w:tr w:rsidR="000330A2" w:rsidRPr="00DD49B6" w:rsidTr="00002603">
        <w:trPr>
          <w:trHeight w:val="476"/>
        </w:trPr>
        <w:tc>
          <w:tcPr>
            <w:tcW w:w="226" w:type="pct"/>
          </w:tcPr>
          <w:p w:rsidR="000330A2" w:rsidRPr="00DD49B6" w:rsidRDefault="000330A2" w:rsidP="00B84678">
            <w:pPr>
              <w:pStyle w:val="naiskr"/>
              <w:spacing w:before="0" w:beforeAutospacing="0" w:after="0" w:afterAutospacing="0"/>
              <w:ind w:left="57" w:right="57"/>
              <w:jc w:val="center"/>
            </w:pPr>
            <w:r w:rsidRPr="00DD49B6">
              <w:lastRenderedPageBreak/>
              <w:t>3.</w:t>
            </w:r>
          </w:p>
        </w:tc>
        <w:tc>
          <w:tcPr>
            <w:tcW w:w="1257" w:type="pct"/>
          </w:tcPr>
          <w:p w:rsidR="000330A2" w:rsidRPr="00DD49B6" w:rsidRDefault="009F3688" w:rsidP="00B84678">
            <w:pPr>
              <w:pStyle w:val="naiskr"/>
              <w:spacing w:before="0" w:beforeAutospacing="0" w:after="0" w:afterAutospacing="0"/>
              <w:ind w:left="57" w:right="57"/>
            </w:pPr>
            <w:r w:rsidRPr="009F3688">
              <w:t>Projekta izstrādē iesaistītās institūcijas un publiskas personas kapitālsabiedrības</w:t>
            </w:r>
          </w:p>
        </w:tc>
        <w:tc>
          <w:tcPr>
            <w:tcW w:w="3517" w:type="pct"/>
          </w:tcPr>
          <w:p w:rsidR="000330A2" w:rsidRPr="00DD49B6" w:rsidRDefault="007F0225" w:rsidP="00B84678">
            <w:pPr>
              <w:spacing w:after="0" w:line="240" w:lineRule="auto"/>
              <w:ind w:left="57" w:right="57"/>
              <w:rPr>
                <w:rFonts w:ascii="Times New Roman" w:hAnsi="Times New Roman" w:cs="Times New Roman"/>
                <w:b/>
                <w:sz w:val="24"/>
                <w:szCs w:val="24"/>
              </w:rPr>
            </w:pPr>
            <w:r>
              <w:rPr>
                <w:rFonts w:ascii="Times New Roman" w:hAnsi="Times New Roman"/>
                <w:sz w:val="24"/>
                <w:szCs w:val="24"/>
              </w:rPr>
              <w:t>Zemkopības ministrija, Lauku atbalsta dienests un Lauksaimniecības datu centrs</w:t>
            </w:r>
          </w:p>
        </w:tc>
      </w:tr>
      <w:tr w:rsidR="000330A2" w:rsidRPr="00DD49B6" w:rsidTr="00002603">
        <w:tc>
          <w:tcPr>
            <w:tcW w:w="226" w:type="pct"/>
          </w:tcPr>
          <w:p w:rsidR="000330A2" w:rsidRPr="00DD49B6" w:rsidRDefault="000330A2" w:rsidP="00B84678">
            <w:pPr>
              <w:pStyle w:val="naiskr"/>
              <w:spacing w:before="0" w:beforeAutospacing="0" w:after="0" w:afterAutospacing="0"/>
              <w:ind w:left="57" w:right="57"/>
              <w:jc w:val="center"/>
            </w:pPr>
            <w:r w:rsidRPr="00DD49B6">
              <w:t>4.</w:t>
            </w:r>
          </w:p>
        </w:tc>
        <w:tc>
          <w:tcPr>
            <w:tcW w:w="1257" w:type="pct"/>
          </w:tcPr>
          <w:p w:rsidR="000330A2" w:rsidRPr="00DD49B6" w:rsidRDefault="000330A2" w:rsidP="00B84678">
            <w:pPr>
              <w:pStyle w:val="naiskr"/>
              <w:spacing w:before="0" w:beforeAutospacing="0" w:after="0" w:afterAutospacing="0"/>
              <w:ind w:left="57" w:right="57"/>
            </w:pPr>
            <w:r w:rsidRPr="00DD49B6">
              <w:t>Cita informācija</w:t>
            </w:r>
          </w:p>
        </w:tc>
        <w:tc>
          <w:tcPr>
            <w:tcW w:w="3517" w:type="pct"/>
          </w:tcPr>
          <w:p w:rsidR="00E46804" w:rsidRPr="0077671A" w:rsidRDefault="00E46804" w:rsidP="00E46804">
            <w:pPr>
              <w:spacing w:after="0" w:line="240" w:lineRule="auto"/>
              <w:ind w:firstLine="245"/>
              <w:jc w:val="both"/>
              <w:rPr>
                <w:rFonts w:ascii="Times New Roman" w:eastAsia="Calibri" w:hAnsi="Times New Roman" w:cs="Times New Roman"/>
                <w:color w:val="000000"/>
                <w:sz w:val="24"/>
                <w:szCs w:val="24"/>
                <w:lang w:eastAsia="en-US"/>
              </w:rPr>
            </w:pPr>
            <w:r w:rsidRPr="00E46804">
              <w:rPr>
                <w:rFonts w:ascii="Times New Roman" w:eastAsia="Calibri" w:hAnsi="Times New Roman" w:cs="Times New Roman"/>
                <w:color w:val="000000"/>
                <w:sz w:val="24"/>
                <w:szCs w:val="24"/>
                <w:lang w:eastAsia="en-US"/>
              </w:rPr>
              <w:t xml:space="preserve">Ja atbalsta pretendents uz atbalstu pretendē pirmo reizi, tam jāreģistrējas Lauku atbalsta dienesta klientu reģistrā saskaņā ar </w:t>
            </w:r>
            <w:r w:rsidRPr="0077671A">
              <w:rPr>
                <w:rFonts w:ascii="Times New Roman" w:eastAsia="Calibri" w:hAnsi="Times New Roman" w:cs="Times New Roman"/>
                <w:color w:val="000000"/>
                <w:sz w:val="24"/>
                <w:szCs w:val="24"/>
                <w:lang w:eastAsia="en-US"/>
              </w:rPr>
              <w:t>Ministru kabineta 20</w:t>
            </w:r>
            <w:r w:rsidR="0077671A" w:rsidRPr="0077671A">
              <w:rPr>
                <w:rFonts w:ascii="Times New Roman" w:eastAsia="Calibri" w:hAnsi="Times New Roman" w:cs="Times New Roman"/>
                <w:color w:val="000000"/>
                <w:sz w:val="24"/>
                <w:szCs w:val="24"/>
                <w:lang w:eastAsia="en-US"/>
              </w:rPr>
              <w:t>14</w:t>
            </w:r>
            <w:r w:rsidRPr="0077671A">
              <w:rPr>
                <w:rFonts w:ascii="Times New Roman" w:eastAsia="Calibri" w:hAnsi="Times New Roman" w:cs="Times New Roman"/>
                <w:color w:val="000000"/>
                <w:sz w:val="24"/>
                <w:szCs w:val="24"/>
                <w:lang w:eastAsia="en-US"/>
              </w:rPr>
              <w:t xml:space="preserve">.gada </w:t>
            </w:r>
            <w:r w:rsidR="0077671A" w:rsidRPr="0077671A">
              <w:rPr>
                <w:rFonts w:ascii="Times New Roman" w:eastAsia="Calibri" w:hAnsi="Times New Roman" w:cs="Times New Roman"/>
                <w:color w:val="000000"/>
                <w:sz w:val="24"/>
                <w:szCs w:val="24"/>
                <w:lang w:eastAsia="en-US"/>
              </w:rPr>
              <w:t>30</w:t>
            </w:r>
            <w:r w:rsidRPr="0077671A">
              <w:rPr>
                <w:rFonts w:ascii="Times New Roman" w:eastAsia="Calibri" w:hAnsi="Times New Roman" w:cs="Times New Roman"/>
                <w:color w:val="000000"/>
                <w:sz w:val="24"/>
                <w:szCs w:val="24"/>
                <w:lang w:eastAsia="en-US"/>
              </w:rPr>
              <w:t>.</w:t>
            </w:r>
            <w:r w:rsidR="0077671A" w:rsidRPr="0077671A">
              <w:rPr>
                <w:rFonts w:ascii="Times New Roman" w:eastAsia="Calibri" w:hAnsi="Times New Roman" w:cs="Times New Roman"/>
                <w:color w:val="000000"/>
                <w:sz w:val="24"/>
                <w:szCs w:val="24"/>
                <w:lang w:eastAsia="en-US"/>
              </w:rPr>
              <w:t>septembra</w:t>
            </w:r>
            <w:r w:rsidRPr="0077671A">
              <w:rPr>
                <w:rFonts w:ascii="Times New Roman" w:eastAsia="Calibri" w:hAnsi="Times New Roman" w:cs="Times New Roman"/>
                <w:color w:val="000000"/>
                <w:sz w:val="24"/>
                <w:szCs w:val="24"/>
                <w:lang w:eastAsia="en-US"/>
              </w:rPr>
              <w:t xml:space="preserve"> noteikumiem Nr.5</w:t>
            </w:r>
            <w:r w:rsidR="0077671A" w:rsidRPr="0077671A">
              <w:rPr>
                <w:rFonts w:ascii="Times New Roman" w:eastAsia="Calibri" w:hAnsi="Times New Roman" w:cs="Times New Roman"/>
                <w:color w:val="000000"/>
                <w:sz w:val="24"/>
                <w:szCs w:val="24"/>
                <w:lang w:eastAsia="en-US"/>
              </w:rPr>
              <w:t>99</w:t>
            </w:r>
            <w:r w:rsidRPr="0077671A">
              <w:rPr>
                <w:rFonts w:ascii="Times New Roman" w:eastAsia="Calibri" w:hAnsi="Times New Roman" w:cs="Times New Roman"/>
                <w:color w:val="000000"/>
                <w:sz w:val="24"/>
                <w:szCs w:val="24"/>
                <w:lang w:eastAsia="en-US"/>
              </w:rPr>
              <w:t xml:space="preserve"> „</w:t>
            </w:r>
            <w:r w:rsidR="0077671A" w:rsidRPr="0077671A">
              <w:rPr>
                <w:rFonts w:ascii="Times New Roman" w:eastAsia="Calibri" w:hAnsi="Times New Roman" w:cs="Times New Roman"/>
                <w:color w:val="000000"/>
                <w:sz w:val="24"/>
                <w:szCs w:val="24"/>
                <w:lang w:eastAsia="en-US"/>
              </w:rPr>
              <w:t>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w:t>
            </w:r>
            <w:r w:rsidRPr="00852FAD">
              <w:rPr>
                <w:rFonts w:ascii="Times New Roman" w:eastAsia="Calibri" w:hAnsi="Times New Roman" w:cs="Times New Roman"/>
                <w:color w:val="000000"/>
                <w:sz w:val="24"/>
                <w:szCs w:val="24"/>
                <w:lang w:eastAsia="en-US"/>
              </w:rPr>
              <w:t xml:space="preserve">”. </w:t>
            </w:r>
          </w:p>
          <w:p w:rsidR="000330A2" w:rsidRPr="00DD49B6" w:rsidRDefault="00E46804" w:rsidP="006C485A">
            <w:pPr>
              <w:spacing w:after="0" w:line="240" w:lineRule="auto"/>
              <w:ind w:firstLine="245"/>
              <w:jc w:val="both"/>
            </w:pPr>
            <w:r w:rsidRPr="00852FAD">
              <w:rPr>
                <w:rFonts w:ascii="Times New Roman" w:eastAsia="Calibri" w:hAnsi="Times New Roman" w:cs="Times New Roman"/>
                <w:iCs/>
                <w:sz w:val="24"/>
                <w:szCs w:val="24"/>
                <w:lang w:eastAsia="en-US"/>
              </w:rPr>
              <w:t>Saskaņā ar Lauksaimniecības un lauku attīstības likuma 5.panta 3.</w:t>
            </w:r>
            <w:r w:rsidRPr="00852FAD">
              <w:rPr>
                <w:rFonts w:ascii="Times New Roman" w:eastAsia="Calibri" w:hAnsi="Times New Roman" w:cs="Times New Roman"/>
                <w:iCs/>
                <w:sz w:val="24"/>
                <w:szCs w:val="24"/>
                <w:vertAlign w:val="superscript"/>
                <w:lang w:eastAsia="en-US"/>
              </w:rPr>
              <w:t>1</w:t>
            </w:r>
            <w:r w:rsidRPr="00852FAD">
              <w:rPr>
                <w:rFonts w:ascii="Times New Roman" w:eastAsia="Calibri" w:hAnsi="Times New Roman" w:cs="Times New Roman"/>
                <w:iCs/>
                <w:sz w:val="24"/>
                <w:szCs w:val="24"/>
                <w:lang w:eastAsia="en-US"/>
              </w:rPr>
              <w:t xml:space="preserve"> un ceturto daļu ir izdoti noteikumi par valsts atbalstu lauksaimniecībai un tā piešķiršanas kārtību, paredzot, ka atbalsts </w:t>
            </w:r>
            <w:r w:rsidR="006C485A" w:rsidRPr="00852FAD">
              <w:rPr>
                <w:rFonts w:ascii="Times New Roman" w:eastAsia="Calibri" w:hAnsi="Times New Roman" w:cs="Times New Roman"/>
                <w:iCs/>
                <w:sz w:val="24"/>
                <w:szCs w:val="24"/>
                <w:lang w:eastAsia="en-US"/>
              </w:rPr>
              <w:t xml:space="preserve">100 % </w:t>
            </w:r>
            <w:r w:rsidRPr="00852FAD">
              <w:rPr>
                <w:rFonts w:ascii="Times New Roman" w:eastAsia="Calibri" w:hAnsi="Times New Roman" w:cs="Times New Roman"/>
                <w:iCs/>
                <w:sz w:val="24"/>
                <w:szCs w:val="24"/>
                <w:lang w:eastAsia="en-US"/>
              </w:rPr>
              <w:t xml:space="preserve">tiek maksāts no valsts budžeta līdzekļiem. Ar šiem normatīvajiem aktiem var iepazīties Zemkopības ministrijas </w:t>
            </w:r>
            <w:r w:rsidRPr="00CC61C0">
              <w:rPr>
                <w:rFonts w:ascii="Times New Roman" w:eastAsia="Calibri" w:hAnsi="Times New Roman" w:cs="Times New Roman"/>
                <w:iCs/>
                <w:sz w:val="24"/>
                <w:szCs w:val="24"/>
                <w:lang w:eastAsia="en-US"/>
              </w:rPr>
              <w:t>tīmekļvietnē http://www.zm.gov.lv sadaļ</w:t>
            </w:r>
            <w:r w:rsidR="00131F83" w:rsidRPr="00CC61C0">
              <w:rPr>
                <w:rFonts w:ascii="Times New Roman" w:eastAsia="Calibri" w:hAnsi="Times New Roman" w:cs="Times New Roman"/>
                <w:iCs/>
                <w:sz w:val="24"/>
                <w:szCs w:val="24"/>
                <w:lang w:eastAsia="en-US"/>
              </w:rPr>
              <w:t>ā</w:t>
            </w:r>
            <w:r w:rsidRPr="00CC61C0">
              <w:rPr>
                <w:rFonts w:ascii="Times New Roman" w:eastAsia="Calibri" w:hAnsi="Times New Roman" w:cs="Times New Roman"/>
                <w:iCs/>
                <w:sz w:val="24"/>
                <w:szCs w:val="24"/>
                <w:lang w:eastAsia="en-US"/>
              </w:rPr>
              <w:t xml:space="preserve"> </w:t>
            </w:r>
            <w:r w:rsidR="00131F83" w:rsidRPr="00CC61C0">
              <w:rPr>
                <w:rFonts w:ascii="Times New Roman" w:eastAsia="Calibri" w:hAnsi="Times New Roman" w:cs="Times New Roman"/>
                <w:iCs/>
                <w:sz w:val="24"/>
                <w:szCs w:val="24"/>
                <w:lang w:eastAsia="en-US"/>
              </w:rPr>
              <w:t>&gt;</w:t>
            </w:r>
            <w:hyperlink r:id="rId7" w:history="1">
              <w:r w:rsidRPr="00CC61C0">
                <w:rPr>
                  <w:rFonts w:ascii="Times New Roman" w:eastAsia="Calibri" w:hAnsi="Times New Roman" w:cs="Times New Roman"/>
                  <w:sz w:val="24"/>
                  <w:szCs w:val="24"/>
                  <w:lang w:eastAsia="en-US"/>
                </w:rPr>
                <w:t>Valsts atbalsts</w:t>
              </w:r>
            </w:hyperlink>
            <w:r w:rsidRPr="00CC61C0">
              <w:rPr>
                <w:rFonts w:ascii="Times New Roman" w:eastAsia="Calibri" w:hAnsi="Times New Roman" w:cs="Times New Roman"/>
                <w:b/>
                <w:bCs/>
                <w:sz w:val="24"/>
                <w:szCs w:val="24"/>
                <w:lang w:eastAsia="en-US"/>
              </w:rPr>
              <w:t xml:space="preserve"> </w:t>
            </w:r>
            <w:r w:rsidRPr="00CC61C0">
              <w:rPr>
                <w:rFonts w:ascii="Times New Roman" w:eastAsia="Calibri" w:hAnsi="Times New Roman" w:cs="Times New Roman"/>
                <w:bCs/>
                <w:sz w:val="24"/>
                <w:szCs w:val="24"/>
                <w:lang w:eastAsia="en-US"/>
              </w:rPr>
              <w:t xml:space="preserve">&gt; </w:t>
            </w:r>
            <w:r w:rsidR="00131F83" w:rsidRPr="00CC61C0">
              <w:rPr>
                <w:rFonts w:ascii="Times New Roman" w:eastAsia="Calibri" w:hAnsi="Times New Roman" w:cs="Times New Roman"/>
                <w:iCs/>
                <w:sz w:val="24"/>
                <w:szCs w:val="24"/>
                <w:lang w:eastAsia="en-US"/>
              </w:rPr>
              <w:t>Lauksaimniecība u</w:t>
            </w:r>
            <w:r w:rsidR="00131F83" w:rsidRPr="00131F83">
              <w:rPr>
                <w:rFonts w:ascii="Times New Roman" w:eastAsia="Calibri" w:hAnsi="Times New Roman" w:cs="Times New Roman"/>
                <w:iCs/>
                <w:sz w:val="24"/>
                <w:szCs w:val="24"/>
                <w:lang w:eastAsia="en-US"/>
              </w:rPr>
              <w:t>n</w:t>
            </w:r>
            <w:r w:rsidR="00131F83">
              <w:t xml:space="preserve"> </w:t>
            </w:r>
            <w:hyperlink r:id="rId8" w:history="1">
              <w:r w:rsidR="00131F83">
                <w:rPr>
                  <w:rFonts w:ascii="Times New Roman" w:eastAsia="Calibri" w:hAnsi="Times New Roman" w:cs="Times New Roman"/>
                  <w:sz w:val="24"/>
                  <w:szCs w:val="24"/>
                  <w:lang w:eastAsia="en-US"/>
                </w:rPr>
                <w:t>l</w:t>
              </w:r>
              <w:r w:rsidRPr="00852FAD">
                <w:rPr>
                  <w:rFonts w:ascii="Times New Roman" w:eastAsia="Calibri" w:hAnsi="Times New Roman" w:cs="Times New Roman"/>
                  <w:sz w:val="24"/>
                  <w:szCs w:val="24"/>
                  <w:lang w:eastAsia="en-US"/>
                </w:rPr>
                <w:t>auku attīstība</w:t>
              </w:r>
            </w:hyperlink>
            <w:r w:rsidRPr="00852FAD">
              <w:rPr>
                <w:rFonts w:ascii="Times New Roman" w:eastAsia="Calibri" w:hAnsi="Times New Roman" w:cs="Times New Roman"/>
                <w:bCs/>
                <w:sz w:val="24"/>
                <w:szCs w:val="24"/>
                <w:lang w:eastAsia="en-US"/>
              </w:rPr>
              <w:t xml:space="preserve"> &gt; </w:t>
            </w:r>
            <w:r w:rsidR="00131F83">
              <w:rPr>
                <w:rFonts w:ascii="Times New Roman" w:eastAsia="Calibri" w:hAnsi="Times New Roman" w:cs="Times New Roman"/>
                <w:bCs/>
                <w:sz w:val="24"/>
                <w:szCs w:val="24"/>
                <w:u w:val="single"/>
                <w:lang w:eastAsia="en-US"/>
              </w:rPr>
              <w:t>Nacionālās subsīdijas</w:t>
            </w:r>
            <w:r w:rsidRPr="00852FAD">
              <w:rPr>
                <w:rFonts w:ascii="Times New Roman" w:eastAsia="Calibri" w:hAnsi="Times New Roman" w:cs="Times New Roman"/>
                <w:bCs/>
                <w:sz w:val="24"/>
                <w:szCs w:val="24"/>
                <w:u w:val="single"/>
                <w:lang w:eastAsia="en-US"/>
              </w:rPr>
              <w:t>.</w:t>
            </w:r>
          </w:p>
        </w:tc>
      </w:tr>
    </w:tbl>
    <w:p w:rsidR="000330A2" w:rsidRPr="00DD49B6" w:rsidRDefault="000330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660"/>
      </w:tblGrid>
      <w:tr w:rsidR="000330A2" w:rsidRPr="00DD49B6" w:rsidTr="00472586">
        <w:trPr>
          <w:trHeight w:val="556"/>
        </w:trPr>
        <w:tc>
          <w:tcPr>
            <w:tcW w:w="9067" w:type="dxa"/>
            <w:gridSpan w:val="3"/>
            <w:vAlign w:val="center"/>
          </w:tcPr>
          <w:p w:rsidR="000330A2" w:rsidRPr="00DD49B6" w:rsidRDefault="009F3688" w:rsidP="00B84678">
            <w:pPr>
              <w:pStyle w:val="naisnod"/>
              <w:spacing w:before="0" w:beforeAutospacing="0" w:after="0" w:afterAutospacing="0"/>
              <w:ind w:left="57" w:right="57"/>
              <w:jc w:val="center"/>
              <w:rPr>
                <w:b/>
              </w:rPr>
            </w:pPr>
            <w:r w:rsidRPr="009F3688">
              <w:rPr>
                <w:b/>
                <w:bCs/>
              </w:rPr>
              <w:t>II. Tiesību akta projekta ietekme uz sabiedrību, tautsaimniecības attīstību un administratīvo slogu</w:t>
            </w:r>
          </w:p>
        </w:tc>
      </w:tr>
      <w:tr w:rsidR="000330A2" w:rsidRPr="00DD49B6" w:rsidTr="00472586">
        <w:trPr>
          <w:trHeight w:val="467"/>
        </w:trPr>
        <w:tc>
          <w:tcPr>
            <w:tcW w:w="431" w:type="dxa"/>
          </w:tcPr>
          <w:p w:rsidR="000330A2" w:rsidRPr="00DD49B6" w:rsidRDefault="000330A2" w:rsidP="00B84678">
            <w:pPr>
              <w:pStyle w:val="naiskr"/>
              <w:spacing w:before="0" w:beforeAutospacing="0" w:after="0" w:afterAutospacing="0"/>
              <w:ind w:left="57" w:right="57"/>
              <w:jc w:val="both"/>
            </w:pPr>
            <w:r w:rsidRPr="00DD49B6">
              <w:t>1.</w:t>
            </w:r>
          </w:p>
        </w:tc>
        <w:tc>
          <w:tcPr>
            <w:tcW w:w="2976" w:type="dxa"/>
          </w:tcPr>
          <w:p w:rsidR="000330A2" w:rsidRPr="00DD49B6" w:rsidRDefault="009F3688" w:rsidP="00B84678">
            <w:pPr>
              <w:pStyle w:val="naiskr"/>
              <w:spacing w:before="0" w:beforeAutospacing="0" w:after="0" w:afterAutospacing="0"/>
              <w:ind w:left="57" w:right="57"/>
            </w:pPr>
            <w:r w:rsidRPr="009F3688">
              <w:t>Sabiedrības mērķgrupas, kuras tiesiskais regulējums ietekmē vai varētu ietekmēt</w:t>
            </w:r>
          </w:p>
        </w:tc>
        <w:tc>
          <w:tcPr>
            <w:tcW w:w="5660" w:type="dxa"/>
          </w:tcPr>
          <w:p w:rsidR="000330A2" w:rsidRPr="00DD49B6" w:rsidRDefault="00E46804" w:rsidP="00CC61C0">
            <w:pPr>
              <w:shd w:val="clear" w:color="auto" w:fill="FFFFFF"/>
              <w:spacing w:after="0" w:line="240" w:lineRule="auto"/>
              <w:ind w:left="57" w:right="57"/>
              <w:jc w:val="both"/>
              <w:rPr>
                <w:rFonts w:ascii="Times New Roman" w:hAnsi="Times New Roman" w:cs="Times New Roman"/>
                <w:sz w:val="24"/>
                <w:szCs w:val="24"/>
              </w:rPr>
            </w:pPr>
            <w:bookmarkStart w:id="2" w:name="p21"/>
            <w:bookmarkEnd w:id="2"/>
            <w:r w:rsidRPr="00B232A4">
              <w:rPr>
                <w:rFonts w:ascii="Times New Roman" w:hAnsi="Times New Roman"/>
                <w:sz w:val="24"/>
              </w:rPr>
              <w:t xml:space="preserve">Fiziskas un juridiskas personas, kas nodarbojas ar lauksaimniecisko ražošanu, – aptuveni </w:t>
            </w:r>
            <w:r>
              <w:rPr>
                <w:rFonts w:ascii="Times New Roman" w:hAnsi="Times New Roman"/>
                <w:sz w:val="24"/>
              </w:rPr>
              <w:t>45</w:t>
            </w:r>
            <w:r w:rsidRPr="00B232A4">
              <w:rPr>
                <w:rFonts w:ascii="Times New Roman" w:hAnsi="Times New Roman"/>
                <w:sz w:val="24"/>
              </w:rPr>
              <w:t>00 valsts atbalsta saņēmēj</w:t>
            </w:r>
            <w:r w:rsidR="00EF11FA">
              <w:rPr>
                <w:rFonts w:ascii="Times New Roman" w:hAnsi="Times New Roman"/>
                <w:sz w:val="24"/>
              </w:rPr>
              <w:t>u</w:t>
            </w:r>
            <w:r w:rsidRPr="00B232A4">
              <w:rPr>
                <w:rFonts w:ascii="Times New Roman" w:hAnsi="Times New Roman"/>
                <w:sz w:val="24"/>
              </w:rPr>
              <w:t xml:space="preserve">, </w:t>
            </w:r>
            <w:r w:rsidR="00CC61C0">
              <w:rPr>
                <w:rFonts w:ascii="Times New Roman" w:hAnsi="Times New Roman"/>
                <w:sz w:val="24"/>
              </w:rPr>
              <w:t>2</w:t>
            </w:r>
            <w:r w:rsidRPr="00B232A4">
              <w:rPr>
                <w:rFonts w:ascii="Times New Roman" w:hAnsi="Times New Roman"/>
                <w:sz w:val="24"/>
              </w:rPr>
              <w:t xml:space="preserve"> zinātniskā</w:t>
            </w:r>
            <w:r>
              <w:rPr>
                <w:rFonts w:ascii="Times New Roman" w:hAnsi="Times New Roman"/>
                <w:sz w:val="24"/>
              </w:rPr>
              <w:t>s</w:t>
            </w:r>
            <w:r w:rsidRPr="00B232A4">
              <w:rPr>
                <w:rFonts w:ascii="Times New Roman" w:hAnsi="Times New Roman"/>
                <w:sz w:val="24"/>
              </w:rPr>
              <w:t xml:space="preserve"> institūcija</w:t>
            </w:r>
            <w:r>
              <w:rPr>
                <w:rFonts w:ascii="Times New Roman" w:hAnsi="Times New Roman"/>
                <w:sz w:val="24"/>
              </w:rPr>
              <w:t>s</w:t>
            </w:r>
            <w:r w:rsidRPr="00B232A4">
              <w:rPr>
                <w:rFonts w:ascii="Times New Roman" w:hAnsi="Times New Roman"/>
                <w:sz w:val="24"/>
              </w:rPr>
              <w:t>, 1</w:t>
            </w:r>
            <w:r w:rsidR="00CC61C0">
              <w:rPr>
                <w:rFonts w:ascii="Times New Roman" w:hAnsi="Times New Roman"/>
                <w:sz w:val="24"/>
              </w:rPr>
              <w:t>5</w:t>
            </w:r>
            <w:r w:rsidRPr="00B232A4">
              <w:rPr>
                <w:rFonts w:ascii="Times New Roman" w:hAnsi="Times New Roman"/>
                <w:sz w:val="24"/>
              </w:rPr>
              <w:t> šķirnes dzīvnieku audzētāju organizācij</w:t>
            </w:r>
            <w:r w:rsidR="00EF11FA">
              <w:rPr>
                <w:rFonts w:ascii="Times New Roman" w:hAnsi="Times New Roman"/>
                <w:sz w:val="24"/>
              </w:rPr>
              <w:t>u</w:t>
            </w:r>
            <w:r>
              <w:rPr>
                <w:rFonts w:ascii="Times New Roman" w:hAnsi="Times New Roman"/>
                <w:sz w:val="24"/>
              </w:rPr>
              <w:t xml:space="preserve"> un 9 lauksaimnieku nevalstiskās organizācijas</w:t>
            </w:r>
            <w:r w:rsidRPr="00B232A4">
              <w:rPr>
                <w:rFonts w:ascii="Times New Roman" w:hAnsi="Times New Roman"/>
                <w:sz w:val="24"/>
              </w:rPr>
              <w:t>.</w:t>
            </w:r>
            <w:r w:rsidR="009F3688">
              <w:rPr>
                <w:rFonts w:ascii="Times New Roman" w:hAnsi="Times New Roman"/>
                <w:sz w:val="24"/>
              </w:rPr>
              <w:t xml:space="preserve"> </w:t>
            </w:r>
          </w:p>
        </w:tc>
      </w:tr>
      <w:tr w:rsidR="000330A2" w:rsidRPr="00DD49B6" w:rsidTr="00472586">
        <w:trPr>
          <w:trHeight w:val="523"/>
        </w:trPr>
        <w:tc>
          <w:tcPr>
            <w:tcW w:w="431" w:type="dxa"/>
          </w:tcPr>
          <w:p w:rsidR="000330A2" w:rsidRPr="00DD49B6" w:rsidRDefault="000330A2" w:rsidP="00B84678">
            <w:pPr>
              <w:pStyle w:val="naiskr"/>
              <w:spacing w:before="0" w:beforeAutospacing="0" w:after="0" w:afterAutospacing="0"/>
              <w:ind w:left="57" w:right="57"/>
              <w:jc w:val="both"/>
            </w:pPr>
            <w:r w:rsidRPr="00DD49B6">
              <w:t>2.</w:t>
            </w:r>
          </w:p>
        </w:tc>
        <w:tc>
          <w:tcPr>
            <w:tcW w:w="2976" w:type="dxa"/>
          </w:tcPr>
          <w:p w:rsidR="000330A2" w:rsidRPr="00DD49B6" w:rsidRDefault="009F3688" w:rsidP="00B84678">
            <w:pPr>
              <w:pStyle w:val="naiskr"/>
              <w:spacing w:before="0" w:beforeAutospacing="0" w:after="0" w:afterAutospacing="0"/>
              <w:ind w:left="57" w:right="57"/>
            </w:pPr>
            <w:r w:rsidRPr="009F3688">
              <w:t>Tiesiskā regulējuma ietekme uz tautsaimniecību un administratīvo slogu</w:t>
            </w:r>
          </w:p>
        </w:tc>
        <w:tc>
          <w:tcPr>
            <w:tcW w:w="5660" w:type="dxa"/>
          </w:tcPr>
          <w:p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Pr>
                <w:rFonts w:ascii="Times New Roman" w:hAnsi="Times New Roman"/>
                <w:sz w:val="24"/>
                <w:szCs w:val="24"/>
              </w:rPr>
              <w:t>Projekts šo jomu neskar.</w:t>
            </w:r>
          </w:p>
        </w:tc>
      </w:tr>
      <w:tr w:rsidR="000330A2" w:rsidRPr="00DD49B6" w:rsidTr="00472586">
        <w:trPr>
          <w:trHeight w:val="523"/>
        </w:trPr>
        <w:tc>
          <w:tcPr>
            <w:tcW w:w="431" w:type="dxa"/>
          </w:tcPr>
          <w:p w:rsidR="000330A2" w:rsidRPr="00DD49B6" w:rsidRDefault="000330A2" w:rsidP="00B84678">
            <w:pPr>
              <w:pStyle w:val="naiskr"/>
              <w:spacing w:before="0" w:beforeAutospacing="0" w:after="0" w:afterAutospacing="0"/>
              <w:ind w:left="57" w:right="57"/>
              <w:jc w:val="both"/>
            </w:pPr>
            <w:r w:rsidRPr="00DD49B6">
              <w:t>3.</w:t>
            </w:r>
          </w:p>
        </w:tc>
        <w:tc>
          <w:tcPr>
            <w:tcW w:w="2976" w:type="dxa"/>
          </w:tcPr>
          <w:p w:rsidR="000330A2" w:rsidRPr="00DD49B6" w:rsidRDefault="009F3688" w:rsidP="00B84678">
            <w:pPr>
              <w:pStyle w:val="naiskr"/>
              <w:spacing w:before="0" w:beforeAutospacing="0" w:after="0" w:afterAutospacing="0"/>
              <w:ind w:left="57" w:right="57"/>
            </w:pPr>
            <w:r w:rsidRPr="009F3688">
              <w:t>Administratīvo izmaksu monetārs novērtējums</w:t>
            </w:r>
          </w:p>
        </w:tc>
        <w:tc>
          <w:tcPr>
            <w:tcW w:w="5660" w:type="dxa"/>
          </w:tcPr>
          <w:p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Pr>
                <w:rFonts w:ascii="Times New Roman" w:hAnsi="Times New Roman"/>
                <w:sz w:val="24"/>
                <w:szCs w:val="24"/>
              </w:rPr>
              <w:t>Projekts šo jomu neskar.</w:t>
            </w:r>
          </w:p>
        </w:tc>
      </w:tr>
      <w:tr w:rsidR="009F3688" w:rsidRPr="00DD49B6" w:rsidTr="00472586">
        <w:trPr>
          <w:trHeight w:val="523"/>
        </w:trPr>
        <w:tc>
          <w:tcPr>
            <w:tcW w:w="431" w:type="dxa"/>
          </w:tcPr>
          <w:p w:rsidR="009F3688" w:rsidRPr="00DD49B6" w:rsidRDefault="009F3688" w:rsidP="00B84678">
            <w:pPr>
              <w:pStyle w:val="naiskr"/>
              <w:spacing w:before="0" w:beforeAutospacing="0" w:after="0" w:afterAutospacing="0"/>
              <w:ind w:left="57" w:right="57"/>
              <w:jc w:val="both"/>
            </w:pPr>
            <w:r>
              <w:t>4.</w:t>
            </w:r>
          </w:p>
        </w:tc>
        <w:tc>
          <w:tcPr>
            <w:tcW w:w="2976" w:type="dxa"/>
          </w:tcPr>
          <w:p w:rsidR="009F3688" w:rsidRPr="009F3688" w:rsidRDefault="009F3688" w:rsidP="00B84678">
            <w:pPr>
              <w:pStyle w:val="naiskr"/>
              <w:spacing w:before="0" w:beforeAutospacing="0" w:after="0" w:afterAutospacing="0"/>
              <w:ind w:left="57" w:right="57"/>
            </w:pPr>
            <w:r w:rsidRPr="009F3688">
              <w:t>Atbilstības izmaksu monetārs novērtējums</w:t>
            </w:r>
          </w:p>
        </w:tc>
        <w:tc>
          <w:tcPr>
            <w:tcW w:w="5660" w:type="dxa"/>
          </w:tcPr>
          <w:p w:rsidR="009F3688" w:rsidRDefault="009F3688" w:rsidP="00B84678">
            <w:pPr>
              <w:shd w:val="clear" w:color="auto" w:fill="FFFFFF"/>
              <w:spacing w:after="0" w:line="240" w:lineRule="auto"/>
              <w:ind w:left="57" w:right="57"/>
              <w:rPr>
                <w:rFonts w:ascii="Times New Roman" w:hAnsi="Times New Roman"/>
                <w:sz w:val="24"/>
                <w:szCs w:val="24"/>
              </w:rPr>
            </w:pPr>
            <w:r w:rsidRPr="009F3688">
              <w:rPr>
                <w:rFonts w:ascii="Times New Roman" w:hAnsi="Times New Roman"/>
                <w:sz w:val="24"/>
                <w:szCs w:val="24"/>
              </w:rPr>
              <w:t>Projekts šo jomu neskar.</w:t>
            </w:r>
          </w:p>
        </w:tc>
      </w:tr>
      <w:tr w:rsidR="000330A2" w:rsidRPr="00DD49B6" w:rsidTr="00472586">
        <w:trPr>
          <w:trHeight w:val="357"/>
        </w:trPr>
        <w:tc>
          <w:tcPr>
            <w:tcW w:w="431" w:type="dxa"/>
          </w:tcPr>
          <w:p w:rsidR="000330A2" w:rsidRPr="00DD49B6" w:rsidRDefault="009F3688" w:rsidP="00B84678">
            <w:pPr>
              <w:pStyle w:val="naiskr"/>
              <w:spacing w:before="0" w:beforeAutospacing="0" w:after="0" w:afterAutospacing="0"/>
              <w:ind w:left="57" w:right="57"/>
              <w:jc w:val="both"/>
            </w:pPr>
            <w:r>
              <w:t>5</w:t>
            </w:r>
            <w:r w:rsidR="000330A2" w:rsidRPr="00DD49B6">
              <w:t>.</w:t>
            </w:r>
          </w:p>
        </w:tc>
        <w:tc>
          <w:tcPr>
            <w:tcW w:w="2976" w:type="dxa"/>
          </w:tcPr>
          <w:p w:rsidR="000330A2" w:rsidRPr="00DD49B6" w:rsidRDefault="000330A2" w:rsidP="00B84678">
            <w:pPr>
              <w:pStyle w:val="naiskr"/>
              <w:spacing w:before="0" w:beforeAutospacing="0" w:after="0" w:afterAutospacing="0"/>
              <w:ind w:left="57" w:right="57"/>
            </w:pPr>
            <w:r w:rsidRPr="00DD49B6">
              <w:t>Cita informācija</w:t>
            </w:r>
          </w:p>
        </w:tc>
        <w:tc>
          <w:tcPr>
            <w:tcW w:w="5660" w:type="dxa"/>
          </w:tcPr>
          <w:p w:rsidR="000330A2" w:rsidRPr="00DD49B6" w:rsidRDefault="000330A2" w:rsidP="005206FF">
            <w:pPr>
              <w:shd w:val="clear" w:color="auto" w:fill="FFFFFF"/>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Nav</w:t>
            </w:r>
            <w:r w:rsidR="00897834">
              <w:rPr>
                <w:rFonts w:ascii="Times New Roman" w:hAnsi="Times New Roman" w:cs="Times New Roman"/>
                <w:sz w:val="24"/>
                <w:szCs w:val="24"/>
              </w:rPr>
              <w:t>.</w:t>
            </w:r>
          </w:p>
        </w:tc>
      </w:tr>
    </w:tbl>
    <w:p w:rsidR="000330A2" w:rsidRDefault="000330A2" w:rsidP="000330A2">
      <w:pPr>
        <w:spacing w:after="0" w:line="240" w:lineRule="auto"/>
        <w:rPr>
          <w:rFonts w:ascii="Times New Roman" w:hAnsi="Times New Roman" w:cs="Times New Roman"/>
          <w:sz w:val="24"/>
          <w:szCs w:val="24"/>
        </w:rPr>
      </w:pPr>
    </w:p>
    <w:p w:rsidR="00472586" w:rsidRDefault="00472586" w:rsidP="000330A2">
      <w:pPr>
        <w:spacing w:after="0" w:line="240" w:lineRule="auto"/>
        <w:rPr>
          <w:rFonts w:ascii="Times New Roman" w:hAnsi="Times New Roman" w:cs="Times New Roman"/>
          <w:sz w:val="24"/>
          <w:szCs w:val="24"/>
        </w:rPr>
      </w:pPr>
    </w:p>
    <w:p w:rsidR="00472586" w:rsidRDefault="00472586" w:rsidP="000330A2">
      <w:pPr>
        <w:spacing w:after="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367"/>
        <w:gridCol w:w="1389"/>
        <w:gridCol w:w="1272"/>
        <w:gridCol w:w="1272"/>
        <w:gridCol w:w="1150"/>
      </w:tblGrid>
      <w:tr w:rsidR="000330A2" w:rsidRPr="00DD49B6" w:rsidTr="00472586">
        <w:trPr>
          <w:trHeight w:val="361"/>
          <w:jc w:val="center"/>
        </w:trPr>
        <w:tc>
          <w:tcPr>
            <w:tcW w:w="9067" w:type="dxa"/>
            <w:gridSpan w:val="6"/>
            <w:vAlign w:val="center"/>
          </w:tcPr>
          <w:p w:rsidR="000330A2" w:rsidRPr="00DD49B6" w:rsidRDefault="000330A2" w:rsidP="00B84678">
            <w:pPr>
              <w:pStyle w:val="naisnod"/>
              <w:spacing w:before="0" w:beforeAutospacing="0" w:after="0" w:afterAutospacing="0"/>
              <w:jc w:val="center"/>
              <w:rPr>
                <w:b/>
                <w:i/>
              </w:rPr>
            </w:pPr>
            <w:r w:rsidRPr="00DD49B6">
              <w:br w:type="page"/>
            </w:r>
            <w:r w:rsidR="009F3688" w:rsidRPr="009F3688">
              <w:rPr>
                <w:b/>
                <w:bCs/>
              </w:rPr>
              <w:t>III. Tiesību akta projekta ietekme uz valsts budžetu un pašvaldību budžetiem</w:t>
            </w:r>
          </w:p>
        </w:tc>
      </w:tr>
      <w:tr w:rsidR="000330A2" w:rsidRPr="00DD49B6" w:rsidTr="00472586">
        <w:trPr>
          <w:jc w:val="center"/>
        </w:trPr>
        <w:tc>
          <w:tcPr>
            <w:tcW w:w="2693" w:type="dxa"/>
            <w:vMerge w:val="restart"/>
            <w:vAlign w:val="center"/>
          </w:tcPr>
          <w:p w:rsidR="000330A2" w:rsidRPr="00DD49B6" w:rsidRDefault="000330A2" w:rsidP="00B84678">
            <w:pPr>
              <w:pStyle w:val="naisf"/>
              <w:spacing w:before="0" w:beforeAutospacing="0" w:after="0" w:afterAutospacing="0"/>
              <w:jc w:val="center"/>
              <w:rPr>
                <w:b/>
              </w:rPr>
            </w:pPr>
            <w:r w:rsidRPr="00DD49B6">
              <w:rPr>
                <w:b/>
              </w:rPr>
              <w:t>Rādītāji</w:t>
            </w:r>
          </w:p>
        </w:tc>
        <w:tc>
          <w:tcPr>
            <w:tcW w:w="2802" w:type="dxa"/>
            <w:gridSpan w:val="2"/>
            <w:vMerge w:val="restart"/>
            <w:shd w:val="clear" w:color="auto" w:fill="auto"/>
            <w:vAlign w:val="center"/>
          </w:tcPr>
          <w:p w:rsidR="000330A2" w:rsidRPr="00633B2D" w:rsidRDefault="003665A2" w:rsidP="009F3688">
            <w:pPr>
              <w:pStyle w:val="naisf"/>
              <w:spacing w:before="0" w:beforeAutospacing="0" w:after="0" w:afterAutospacing="0"/>
              <w:jc w:val="center"/>
              <w:rPr>
                <w:b/>
              </w:rPr>
            </w:pPr>
            <w:r w:rsidRPr="00633B2D">
              <w:rPr>
                <w:b/>
              </w:rPr>
              <w:t>201</w:t>
            </w:r>
            <w:r w:rsidR="009F3688">
              <w:rPr>
                <w:b/>
              </w:rPr>
              <w:t>8</w:t>
            </w:r>
            <w:r w:rsidRPr="00633B2D">
              <w:rPr>
                <w:b/>
              </w:rPr>
              <w:t>.</w:t>
            </w:r>
            <w:r w:rsidR="000330A2" w:rsidRPr="00633B2D">
              <w:rPr>
                <w:b/>
              </w:rPr>
              <w:t>gads</w:t>
            </w:r>
          </w:p>
        </w:tc>
        <w:tc>
          <w:tcPr>
            <w:tcW w:w="3572" w:type="dxa"/>
            <w:gridSpan w:val="3"/>
            <w:shd w:val="clear" w:color="auto" w:fill="auto"/>
            <w:vAlign w:val="center"/>
          </w:tcPr>
          <w:p w:rsidR="000330A2" w:rsidRPr="00633B2D" w:rsidRDefault="000330A2" w:rsidP="00C744C6">
            <w:pPr>
              <w:pStyle w:val="naisf"/>
              <w:spacing w:before="0" w:beforeAutospacing="0" w:after="0" w:afterAutospacing="0"/>
              <w:jc w:val="center"/>
              <w:rPr>
                <w:b/>
                <w:i/>
              </w:rPr>
            </w:pPr>
            <w:r w:rsidRPr="00633B2D">
              <w:t>Turpmākie trīs gadi (</w:t>
            </w:r>
            <w:proofErr w:type="spellStart"/>
            <w:r w:rsidR="00C744C6" w:rsidRPr="00C744C6">
              <w:rPr>
                <w:i/>
              </w:rPr>
              <w:t>euro</w:t>
            </w:r>
            <w:proofErr w:type="spellEnd"/>
            <w:r w:rsidRPr="00633B2D">
              <w:t>)</w:t>
            </w:r>
          </w:p>
        </w:tc>
      </w:tr>
      <w:tr w:rsidR="000330A2" w:rsidRPr="00DD49B6" w:rsidTr="00472586">
        <w:trPr>
          <w:jc w:val="center"/>
        </w:trPr>
        <w:tc>
          <w:tcPr>
            <w:tcW w:w="2693" w:type="dxa"/>
            <w:vMerge/>
            <w:vAlign w:val="center"/>
          </w:tcPr>
          <w:p w:rsidR="000330A2" w:rsidRPr="00DD49B6" w:rsidRDefault="000330A2" w:rsidP="00B84678">
            <w:pPr>
              <w:pStyle w:val="naisf"/>
              <w:spacing w:before="0" w:beforeAutospacing="0" w:after="0" w:afterAutospacing="0"/>
              <w:jc w:val="center"/>
              <w:rPr>
                <w:b/>
                <w:i/>
              </w:rPr>
            </w:pPr>
          </w:p>
        </w:tc>
        <w:tc>
          <w:tcPr>
            <w:tcW w:w="2802" w:type="dxa"/>
            <w:gridSpan w:val="2"/>
            <w:vMerge/>
            <w:shd w:val="clear" w:color="auto" w:fill="auto"/>
            <w:vAlign w:val="center"/>
          </w:tcPr>
          <w:p w:rsidR="000330A2" w:rsidRPr="00633B2D" w:rsidRDefault="000330A2" w:rsidP="00B84678">
            <w:pPr>
              <w:pStyle w:val="naisf"/>
              <w:spacing w:before="0" w:beforeAutospacing="0" w:after="0" w:afterAutospacing="0"/>
              <w:jc w:val="center"/>
              <w:rPr>
                <w:b/>
                <w:i/>
              </w:rPr>
            </w:pPr>
          </w:p>
        </w:tc>
        <w:tc>
          <w:tcPr>
            <w:tcW w:w="1282" w:type="dxa"/>
            <w:shd w:val="clear" w:color="auto" w:fill="auto"/>
            <w:vAlign w:val="center"/>
          </w:tcPr>
          <w:p w:rsidR="000330A2" w:rsidRPr="00633B2D" w:rsidRDefault="003665A2" w:rsidP="009F3688">
            <w:pPr>
              <w:pStyle w:val="naisf"/>
              <w:spacing w:before="0" w:beforeAutospacing="0" w:after="0" w:afterAutospacing="0"/>
              <w:jc w:val="center"/>
              <w:rPr>
                <w:b/>
                <w:i/>
              </w:rPr>
            </w:pPr>
            <w:r w:rsidRPr="00633B2D">
              <w:rPr>
                <w:b/>
                <w:bCs/>
              </w:rPr>
              <w:t>201</w:t>
            </w:r>
            <w:r w:rsidR="009F3688">
              <w:rPr>
                <w:b/>
                <w:bCs/>
              </w:rPr>
              <w:t>9</w:t>
            </w:r>
          </w:p>
        </w:tc>
        <w:tc>
          <w:tcPr>
            <w:tcW w:w="1282" w:type="dxa"/>
            <w:shd w:val="clear" w:color="auto" w:fill="auto"/>
            <w:vAlign w:val="center"/>
          </w:tcPr>
          <w:p w:rsidR="000330A2" w:rsidRPr="00633B2D" w:rsidRDefault="003665A2" w:rsidP="009F3688">
            <w:pPr>
              <w:pStyle w:val="naisf"/>
              <w:spacing w:before="0" w:beforeAutospacing="0" w:after="0" w:afterAutospacing="0"/>
              <w:jc w:val="center"/>
              <w:rPr>
                <w:b/>
                <w:i/>
              </w:rPr>
            </w:pPr>
            <w:r w:rsidRPr="00633B2D">
              <w:rPr>
                <w:b/>
                <w:bCs/>
              </w:rPr>
              <w:t>20</w:t>
            </w:r>
            <w:r w:rsidR="009F3688">
              <w:rPr>
                <w:b/>
                <w:bCs/>
              </w:rPr>
              <w:t>20</w:t>
            </w:r>
          </w:p>
        </w:tc>
        <w:tc>
          <w:tcPr>
            <w:tcW w:w="1008" w:type="dxa"/>
            <w:shd w:val="clear" w:color="auto" w:fill="auto"/>
            <w:vAlign w:val="center"/>
          </w:tcPr>
          <w:p w:rsidR="000330A2" w:rsidRPr="00633B2D" w:rsidRDefault="003665A2" w:rsidP="009F3688">
            <w:pPr>
              <w:pStyle w:val="naisf"/>
              <w:spacing w:before="0" w:beforeAutospacing="0" w:after="0" w:afterAutospacing="0"/>
              <w:jc w:val="center"/>
              <w:rPr>
                <w:b/>
                <w:i/>
              </w:rPr>
            </w:pPr>
            <w:r w:rsidRPr="00633B2D">
              <w:rPr>
                <w:b/>
                <w:bCs/>
              </w:rPr>
              <w:t>20</w:t>
            </w:r>
            <w:r w:rsidR="00CC61C0">
              <w:rPr>
                <w:b/>
                <w:bCs/>
              </w:rPr>
              <w:t>2</w:t>
            </w:r>
            <w:r w:rsidR="009F3688">
              <w:rPr>
                <w:b/>
                <w:bCs/>
              </w:rPr>
              <w:t>1</w:t>
            </w:r>
          </w:p>
        </w:tc>
      </w:tr>
      <w:tr w:rsidR="000330A2" w:rsidRPr="00DD49B6" w:rsidTr="00472586">
        <w:trPr>
          <w:jc w:val="center"/>
        </w:trPr>
        <w:tc>
          <w:tcPr>
            <w:tcW w:w="2693" w:type="dxa"/>
            <w:vMerge/>
            <w:vAlign w:val="center"/>
          </w:tcPr>
          <w:p w:rsidR="000330A2" w:rsidRPr="00DD49B6" w:rsidRDefault="000330A2" w:rsidP="00B84678">
            <w:pPr>
              <w:pStyle w:val="naisf"/>
              <w:spacing w:before="0" w:beforeAutospacing="0" w:after="0" w:afterAutospacing="0"/>
              <w:jc w:val="center"/>
              <w:rPr>
                <w:b/>
                <w:i/>
              </w:rPr>
            </w:pPr>
          </w:p>
        </w:tc>
        <w:tc>
          <w:tcPr>
            <w:tcW w:w="1393" w:type="dxa"/>
            <w:vAlign w:val="center"/>
          </w:tcPr>
          <w:p w:rsidR="000330A2" w:rsidRPr="00DD49B6" w:rsidRDefault="000330A2" w:rsidP="00B84678">
            <w:pPr>
              <w:pStyle w:val="naisf"/>
              <w:spacing w:before="0" w:beforeAutospacing="0" w:after="0" w:afterAutospacing="0"/>
              <w:jc w:val="center"/>
              <w:rPr>
                <w:b/>
                <w:i/>
              </w:rPr>
            </w:pPr>
            <w:r>
              <w:t>s</w:t>
            </w:r>
            <w:r w:rsidRPr="00DD49B6">
              <w:t>askaņā ar valsts budžetu kārtējam gadam</w:t>
            </w:r>
          </w:p>
        </w:tc>
        <w:tc>
          <w:tcPr>
            <w:tcW w:w="1409" w:type="dxa"/>
            <w:vAlign w:val="center"/>
          </w:tcPr>
          <w:p w:rsidR="000330A2" w:rsidRPr="00DD49B6" w:rsidRDefault="000330A2" w:rsidP="00B84678">
            <w:pPr>
              <w:pStyle w:val="naisf"/>
              <w:spacing w:before="0" w:beforeAutospacing="0" w:after="0" w:afterAutospacing="0"/>
              <w:jc w:val="center"/>
              <w:rPr>
                <w:b/>
                <w:i/>
              </w:rPr>
            </w:pPr>
            <w:r>
              <w:t>i</w:t>
            </w:r>
            <w:r w:rsidRPr="00DD49B6">
              <w:t>zmaiņas kārtējā gadā, salīdzinot ar budžetu kārtējam gadam</w:t>
            </w:r>
          </w:p>
        </w:tc>
        <w:tc>
          <w:tcPr>
            <w:tcW w:w="1282" w:type="dxa"/>
            <w:vAlign w:val="center"/>
          </w:tcPr>
          <w:p w:rsidR="000330A2" w:rsidRPr="00DD49B6" w:rsidRDefault="000330A2" w:rsidP="009F3688">
            <w:pPr>
              <w:pStyle w:val="naisf"/>
              <w:spacing w:before="0" w:beforeAutospacing="0" w:after="0" w:afterAutospacing="0"/>
              <w:jc w:val="center"/>
              <w:rPr>
                <w:b/>
                <w:i/>
              </w:rPr>
            </w:pPr>
            <w:r>
              <w:t>i</w:t>
            </w:r>
            <w:r w:rsidRPr="00DD49B6">
              <w:t xml:space="preserve">zmaiņas, salīdzinot ar kārtējo </w:t>
            </w:r>
            <w:r w:rsidR="006A5178">
              <w:t>201</w:t>
            </w:r>
            <w:r w:rsidR="009F3688">
              <w:t>8</w:t>
            </w:r>
            <w:r w:rsidR="006A5178">
              <w:t>.</w:t>
            </w:r>
            <w:r w:rsidRPr="00DD49B6">
              <w:t xml:space="preserve"> gadu</w:t>
            </w:r>
          </w:p>
        </w:tc>
        <w:tc>
          <w:tcPr>
            <w:tcW w:w="1282" w:type="dxa"/>
            <w:vAlign w:val="center"/>
          </w:tcPr>
          <w:p w:rsidR="000330A2" w:rsidRPr="00DD49B6" w:rsidRDefault="000330A2" w:rsidP="009F3688">
            <w:pPr>
              <w:pStyle w:val="naisf"/>
              <w:spacing w:before="0" w:beforeAutospacing="0" w:after="0" w:afterAutospacing="0"/>
              <w:jc w:val="center"/>
              <w:rPr>
                <w:b/>
                <w:i/>
              </w:rPr>
            </w:pPr>
            <w:r>
              <w:t>i</w:t>
            </w:r>
            <w:r w:rsidRPr="00DD49B6">
              <w:t xml:space="preserve">zmaiņas, salīdzinot ar kārtējo </w:t>
            </w:r>
            <w:r w:rsidR="006A5178">
              <w:t>201</w:t>
            </w:r>
            <w:r w:rsidR="009F3688">
              <w:t>8</w:t>
            </w:r>
            <w:r w:rsidR="006A5178">
              <w:t>.</w:t>
            </w:r>
            <w:r w:rsidRPr="00DD49B6">
              <w:t xml:space="preserve"> gadu</w:t>
            </w:r>
          </w:p>
        </w:tc>
        <w:tc>
          <w:tcPr>
            <w:tcW w:w="1008" w:type="dxa"/>
            <w:vAlign w:val="center"/>
          </w:tcPr>
          <w:p w:rsidR="000330A2" w:rsidRPr="00DD49B6" w:rsidRDefault="000330A2" w:rsidP="009F3688">
            <w:pPr>
              <w:pStyle w:val="naisf"/>
              <w:spacing w:before="0" w:beforeAutospacing="0" w:after="0" w:afterAutospacing="0"/>
              <w:jc w:val="center"/>
              <w:rPr>
                <w:b/>
                <w:i/>
              </w:rPr>
            </w:pPr>
            <w:r>
              <w:t>i</w:t>
            </w:r>
            <w:r w:rsidRPr="00DD49B6">
              <w:t xml:space="preserve">zmaiņas, salīdzinot ar kārtējo </w:t>
            </w:r>
            <w:r w:rsidR="006A5178">
              <w:t>201</w:t>
            </w:r>
            <w:r w:rsidR="009F3688">
              <w:t>8</w:t>
            </w:r>
            <w:r w:rsidR="006A5178">
              <w:t>.</w:t>
            </w:r>
            <w:r w:rsidRPr="00DD49B6">
              <w:t xml:space="preserve"> gadu</w:t>
            </w:r>
          </w:p>
        </w:tc>
      </w:tr>
      <w:tr w:rsidR="000330A2" w:rsidRPr="00DD49B6" w:rsidTr="00472586">
        <w:trPr>
          <w:jc w:val="center"/>
        </w:trPr>
        <w:tc>
          <w:tcPr>
            <w:tcW w:w="2693" w:type="dxa"/>
            <w:vAlign w:val="center"/>
          </w:tcPr>
          <w:p w:rsidR="000330A2" w:rsidRPr="00DD49B6" w:rsidRDefault="000330A2" w:rsidP="00B84678">
            <w:pPr>
              <w:pStyle w:val="naisf"/>
              <w:spacing w:before="0" w:beforeAutospacing="0" w:after="0" w:afterAutospacing="0"/>
              <w:jc w:val="center"/>
              <w:rPr>
                <w:bCs/>
              </w:rPr>
            </w:pPr>
            <w:r w:rsidRPr="00DD49B6">
              <w:rPr>
                <w:bCs/>
              </w:rPr>
              <w:t>1</w:t>
            </w:r>
          </w:p>
        </w:tc>
        <w:tc>
          <w:tcPr>
            <w:tcW w:w="1393" w:type="dxa"/>
            <w:vAlign w:val="center"/>
          </w:tcPr>
          <w:p w:rsidR="000330A2" w:rsidRPr="00DD49B6" w:rsidRDefault="000330A2" w:rsidP="00B84678">
            <w:pPr>
              <w:pStyle w:val="naisf"/>
              <w:spacing w:before="0" w:beforeAutospacing="0" w:after="0" w:afterAutospacing="0"/>
              <w:jc w:val="center"/>
              <w:rPr>
                <w:bCs/>
              </w:rPr>
            </w:pPr>
            <w:r w:rsidRPr="00DD49B6">
              <w:rPr>
                <w:bCs/>
              </w:rPr>
              <w:t>2</w:t>
            </w:r>
          </w:p>
        </w:tc>
        <w:tc>
          <w:tcPr>
            <w:tcW w:w="1409" w:type="dxa"/>
            <w:vAlign w:val="center"/>
          </w:tcPr>
          <w:p w:rsidR="000330A2" w:rsidRPr="00DD49B6" w:rsidRDefault="000330A2" w:rsidP="00B84678">
            <w:pPr>
              <w:pStyle w:val="naisf"/>
              <w:spacing w:before="0" w:beforeAutospacing="0" w:after="0" w:afterAutospacing="0"/>
              <w:jc w:val="center"/>
              <w:rPr>
                <w:bCs/>
              </w:rPr>
            </w:pPr>
            <w:r w:rsidRPr="00DD49B6">
              <w:rPr>
                <w:bCs/>
              </w:rPr>
              <w:t>3</w:t>
            </w:r>
          </w:p>
        </w:tc>
        <w:tc>
          <w:tcPr>
            <w:tcW w:w="1282" w:type="dxa"/>
            <w:vAlign w:val="center"/>
          </w:tcPr>
          <w:p w:rsidR="000330A2" w:rsidRPr="00DD49B6" w:rsidRDefault="000330A2" w:rsidP="00B84678">
            <w:pPr>
              <w:pStyle w:val="naisf"/>
              <w:spacing w:before="0" w:beforeAutospacing="0" w:after="0" w:afterAutospacing="0"/>
              <w:jc w:val="center"/>
              <w:rPr>
                <w:bCs/>
              </w:rPr>
            </w:pPr>
            <w:r w:rsidRPr="00DD49B6">
              <w:rPr>
                <w:bCs/>
              </w:rPr>
              <w:t>4</w:t>
            </w:r>
          </w:p>
        </w:tc>
        <w:tc>
          <w:tcPr>
            <w:tcW w:w="1282" w:type="dxa"/>
            <w:vAlign w:val="center"/>
          </w:tcPr>
          <w:p w:rsidR="000330A2" w:rsidRPr="00DD49B6" w:rsidRDefault="000330A2" w:rsidP="00B84678">
            <w:pPr>
              <w:pStyle w:val="naisf"/>
              <w:spacing w:before="0" w:beforeAutospacing="0" w:after="0" w:afterAutospacing="0"/>
              <w:jc w:val="center"/>
              <w:rPr>
                <w:bCs/>
              </w:rPr>
            </w:pPr>
            <w:r w:rsidRPr="00DD49B6">
              <w:rPr>
                <w:bCs/>
              </w:rPr>
              <w:t>5</w:t>
            </w:r>
          </w:p>
        </w:tc>
        <w:tc>
          <w:tcPr>
            <w:tcW w:w="1008" w:type="dxa"/>
            <w:vAlign w:val="center"/>
          </w:tcPr>
          <w:p w:rsidR="000330A2" w:rsidRPr="00DD49B6" w:rsidRDefault="000330A2" w:rsidP="00B84678">
            <w:pPr>
              <w:pStyle w:val="naisf"/>
              <w:spacing w:before="0" w:beforeAutospacing="0" w:after="0" w:afterAutospacing="0"/>
              <w:jc w:val="center"/>
              <w:rPr>
                <w:bCs/>
              </w:rPr>
            </w:pPr>
            <w:r w:rsidRPr="00DD49B6">
              <w:rPr>
                <w:bCs/>
              </w:rPr>
              <w:t>6</w:t>
            </w:r>
          </w:p>
        </w:tc>
      </w:tr>
      <w:tr w:rsidR="003665A2" w:rsidRPr="00DD49B6" w:rsidTr="00472586">
        <w:trPr>
          <w:jc w:val="center"/>
        </w:trPr>
        <w:tc>
          <w:tcPr>
            <w:tcW w:w="2693" w:type="dxa"/>
          </w:tcPr>
          <w:p w:rsidR="003665A2" w:rsidRPr="00DD49B6" w:rsidRDefault="003665A2" w:rsidP="00B84678">
            <w:pPr>
              <w:pStyle w:val="naisf"/>
              <w:spacing w:before="0" w:beforeAutospacing="0" w:after="0" w:afterAutospacing="0"/>
              <w:rPr>
                <w:i/>
              </w:rPr>
            </w:pPr>
            <w:r w:rsidRPr="00DD49B6">
              <w:t>1. Budžeta ieņēmumi:</w:t>
            </w:r>
          </w:p>
        </w:tc>
        <w:tc>
          <w:tcPr>
            <w:tcW w:w="1393" w:type="dxa"/>
          </w:tcPr>
          <w:p w:rsidR="003665A2" w:rsidRPr="00D25E38" w:rsidRDefault="0011459C" w:rsidP="009F3688">
            <w:pPr>
              <w:spacing w:after="0" w:line="240" w:lineRule="auto"/>
              <w:rPr>
                <w:rFonts w:ascii="Times New Roman" w:hAnsi="Times New Roman"/>
                <w:sz w:val="24"/>
                <w:szCs w:val="24"/>
              </w:rPr>
            </w:pPr>
            <w:r>
              <w:rPr>
                <w:rFonts w:ascii="Times New Roman" w:hAnsi="Times New Roman"/>
                <w:sz w:val="24"/>
                <w:szCs w:val="24"/>
              </w:rPr>
              <w:t>8 72</w:t>
            </w:r>
            <w:r w:rsidR="009F3688">
              <w:rPr>
                <w:rFonts w:ascii="Times New Roman" w:hAnsi="Times New Roman"/>
                <w:sz w:val="24"/>
                <w:szCs w:val="24"/>
              </w:rPr>
              <w:t>0</w:t>
            </w:r>
            <w:r>
              <w:rPr>
                <w:rFonts w:ascii="Times New Roman" w:hAnsi="Times New Roman"/>
                <w:sz w:val="24"/>
                <w:szCs w:val="24"/>
              </w:rPr>
              <w:t xml:space="preserve"> 490</w:t>
            </w:r>
          </w:p>
        </w:tc>
        <w:tc>
          <w:tcPr>
            <w:tcW w:w="1409"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282" w:type="dxa"/>
          </w:tcPr>
          <w:p w:rsidR="003665A2" w:rsidRPr="00B232A4" w:rsidRDefault="009F3688" w:rsidP="00B84678">
            <w:pPr>
              <w:spacing w:after="0"/>
              <w:jc w:val="center"/>
              <w:rPr>
                <w:rFonts w:ascii="Times New Roman" w:hAnsi="Times New Roman"/>
                <w:sz w:val="24"/>
                <w:szCs w:val="24"/>
              </w:rPr>
            </w:pPr>
            <w:r>
              <w:rPr>
                <w:rFonts w:ascii="Times New Roman" w:hAnsi="Times New Roman"/>
                <w:sz w:val="24"/>
                <w:szCs w:val="24"/>
              </w:rPr>
              <w:t>0</w:t>
            </w:r>
          </w:p>
        </w:tc>
        <w:tc>
          <w:tcPr>
            <w:tcW w:w="1282" w:type="dxa"/>
          </w:tcPr>
          <w:p w:rsidR="003665A2" w:rsidRPr="00B232A4" w:rsidRDefault="009F3688" w:rsidP="00B84678">
            <w:pPr>
              <w:spacing w:after="0"/>
              <w:jc w:val="center"/>
              <w:rPr>
                <w:rFonts w:ascii="Times New Roman" w:hAnsi="Times New Roman"/>
                <w:sz w:val="24"/>
                <w:szCs w:val="24"/>
              </w:rPr>
            </w:pPr>
            <w:r>
              <w:rPr>
                <w:rFonts w:ascii="Times New Roman" w:hAnsi="Times New Roman"/>
                <w:sz w:val="24"/>
                <w:szCs w:val="24"/>
              </w:rPr>
              <w:t>0</w:t>
            </w:r>
          </w:p>
        </w:tc>
        <w:tc>
          <w:tcPr>
            <w:tcW w:w="1008" w:type="dxa"/>
          </w:tcPr>
          <w:p w:rsidR="003665A2" w:rsidRPr="00B232A4" w:rsidRDefault="009F3688" w:rsidP="00B84678">
            <w:pPr>
              <w:spacing w:after="0"/>
              <w:jc w:val="center"/>
              <w:rPr>
                <w:rFonts w:ascii="Times New Roman" w:hAnsi="Times New Roman"/>
                <w:sz w:val="24"/>
                <w:szCs w:val="24"/>
              </w:rPr>
            </w:pPr>
            <w:r>
              <w:rPr>
                <w:rFonts w:ascii="Times New Roman" w:hAnsi="Times New Roman"/>
                <w:sz w:val="24"/>
                <w:szCs w:val="24"/>
              </w:rPr>
              <w:t>0</w:t>
            </w:r>
          </w:p>
        </w:tc>
      </w:tr>
      <w:tr w:rsidR="0011459C" w:rsidRPr="00DD49B6" w:rsidTr="00472586">
        <w:trPr>
          <w:jc w:val="center"/>
        </w:trPr>
        <w:tc>
          <w:tcPr>
            <w:tcW w:w="2693" w:type="dxa"/>
          </w:tcPr>
          <w:p w:rsidR="0011459C" w:rsidRPr="00DD49B6" w:rsidRDefault="0011459C" w:rsidP="0011459C">
            <w:pPr>
              <w:pStyle w:val="naisf"/>
              <w:spacing w:before="0" w:beforeAutospacing="0" w:after="0" w:afterAutospacing="0"/>
              <w:rPr>
                <w:i/>
              </w:rPr>
            </w:pPr>
            <w:r w:rsidRPr="00DD49B6">
              <w:t>1.1. valsts pamatbudžets, tai skaitā ieņēmumi no maksas pakalpojumiem un citi pašu ieņēmumi</w:t>
            </w:r>
          </w:p>
        </w:tc>
        <w:tc>
          <w:tcPr>
            <w:tcW w:w="1393" w:type="dxa"/>
          </w:tcPr>
          <w:p w:rsidR="0011459C" w:rsidRPr="00D25E38" w:rsidRDefault="0011459C" w:rsidP="009F3688">
            <w:pPr>
              <w:spacing w:after="0" w:line="240" w:lineRule="auto"/>
              <w:rPr>
                <w:rFonts w:ascii="Times New Roman" w:hAnsi="Times New Roman"/>
                <w:sz w:val="24"/>
                <w:szCs w:val="24"/>
              </w:rPr>
            </w:pPr>
            <w:r>
              <w:rPr>
                <w:rFonts w:ascii="Times New Roman" w:hAnsi="Times New Roman"/>
                <w:sz w:val="24"/>
                <w:szCs w:val="24"/>
              </w:rPr>
              <w:t>8 72</w:t>
            </w:r>
            <w:r w:rsidR="009F3688">
              <w:rPr>
                <w:rFonts w:ascii="Times New Roman" w:hAnsi="Times New Roman"/>
                <w:sz w:val="24"/>
                <w:szCs w:val="24"/>
              </w:rPr>
              <w:t>0</w:t>
            </w:r>
            <w:r>
              <w:rPr>
                <w:rFonts w:ascii="Times New Roman" w:hAnsi="Times New Roman"/>
                <w:sz w:val="24"/>
                <w:szCs w:val="24"/>
              </w:rPr>
              <w:t xml:space="preserve"> 490</w:t>
            </w:r>
          </w:p>
        </w:tc>
        <w:tc>
          <w:tcPr>
            <w:tcW w:w="1409" w:type="dxa"/>
          </w:tcPr>
          <w:p w:rsidR="0011459C" w:rsidRPr="00D25E38" w:rsidRDefault="0011459C" w:rsidP="0011459C">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282" w:type="dxa"/>
          </w:tcPr>
          <w:p w:rsidR="0011459C" w:rsidRPr="00B232A4" w:rsidRDefault="009F3688" w:rsidP="0011459C">
            <w:pPr>
              <w:spacing w:after="0"/>
              <w:jc w:val="center"/>
              <w:rPr>
                <w:rFonts w:ascii="Times New Roman" w:hAnsi="Times New Roman"/>
                <w:sz w:val="24"/>
                <w:szCs w:val="24"/>
              </w:rPr>
            </w:pPr>
            <w:r>
              <w:rPr>
                <w:rFonts w:ascii="Times New Roman" w:hAnsi="Times New Roman"/>
                <w:sz w:val="24"/>
                <w:szCs w:val="24"/>
              </w:rPr>
              <w:t>0</w:t>
            </w:r>
          </w:p>
        </w:tc>
        <w:tc>
          <w:tcPr>
            <w:tcW w:w="1282" w:type="dxa"/>
          </w:tcPr>
          <w:p w:rsidR="0011459C" w:rsidRPr="00B232A4" w:rsidRDefault="009F3688" w:rsidP="0011459C">
            <w:pPr>
              <w:spacing w:after="0"/>
              <w:jc w:val="center"/>
              <w:rPr>
                <w:rFonts w:ascii="Times New Roman" w:hAnsi="Times New Roman"/>
                <w:sz w:val="24"/>
                <w:szCs w:val="24"/>
              </w:rPr>
            </w:pPr>
            <w:r>
              <w:rPr>
                <w:rFonts w:ascii="Times New Roman" w:hAnsi="Times New Roman"/>
                <w:sz w:val="24"/>
                <w:szCs w:val="24"/>
              </w:rPr>
              <w:t>0</w:t>
            </w:r>
          </w:p>
        </w:tc>
        <w:tc>
          <w:tcPr>
            <w:tcW w:w="1008" w:type="dxa"/>
          </w:tcPr>
          <w:p w:rsidR="0011459C" w:rsidRPr="00B232A4" w:rsidRDefault="009F3688" w:rsidP="0011459C">
            <w:pPr>
              <w:spacing w:after="0"/>
              <w:jc w:val="center"/>
              <w:rPr>
                <w:rFonts w:ascii="Times New Roman" w:hAnsi="Times New Roman"/>
                <w:sz w:val="24"/>
                <w:szCs w:val="24"/>
              </w:rPr>
            </w:pPr>
            <w:r>
              <w:rPr>
                <w:rFonts w:ascii="Times New Roman" w:hAnsi="Times New Roman"/>
                <w:sz w:val="24"/>
                <w:szCs w:val="24"/>
              </w:rPr>
              <w:t>0</w:t>
            </w:r>
          </w:p>
        </w:tc>
      </w:tr>
      <w:tr w:rsidR="0011459C" w:rsidRPr="00DD49B6" w:rsidTr="00472586">
        <w:trPr>
          <w:jc w:val="center"/>
        </w:trPr>
        <w:tc>
          <w:tcPr>
            <w:tcW w:w="2693" w:type="dxa"/>
          </w:tcPr>
          <w:p w:rsidR="0011459C" w:rsidRPr="00DD49B6" w:rsidRDefault="0011459C" w:rsidP="0011459C">
            <w:pPr>
              <w:pStyle w:val="naisf"/>
              <w:spacing w:before="0" w:beforeAutospacing="0" w:after="0" w:afterAutospacing="0"/>
              <w:rPr>
                <w:i/>
              </w:rPr>
            </w:pPr>
            <w:r w:rsidRPr="00DD49B6">
              <w:t>1.2. valsts speciālais budžets</w:t>
            </w:r>
          </w:p>
        </w:tc>
        <w:tc>
          <w:tcPr>
            <w:tcW w:w="1393" w:type="dxa"/>
          </w:tcPr>
          <w:p w:rsidR="0011459C" w:rsidRPr="00D25E38" w:rsidRDefault="0011459C" w:rsidP="0011459C">
            <w:pPr>
              <w:spacing w:after="0" w:line="240" w:lineRule="auto"/>
              <w:rPr>
                <w:rFonts w:ascii="Times New Roman" w:hAnsi="Times New Roman"/>
                <w:sz w:val="24"/>
                <w:szCs w:val="24"/>
              </w:rPr>
            </w:pPr>
            <w:r>
              <w:rPr>
                <w:rFonts w:ascii="Times New Roman" w:hAnsi="Times New Roman"/>
                <w:sz w:val="24"/>
                <w:szCs w:val="24"/>
              </w:rPr>
              <w:t>0</w:t>
            </w:r>
          </w:p>
        </w:tc>
        <w:tc>
          <w:tcPr>
            <w:tcW w:w="1409" w:type="dxa"/>
          </w:tcPr>
          <w:p w:rsidR="0011459C" w:rsidRPr="00D25E38" w:rsidRDefault="0011459C" w:rsidP="0011459C">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282" w:type="dxa"/>
          </w:tcPr>
          <w:p w:rsidR="0011459C" w:rsidRPr="00B232A4" w:rsidRDefault="0011459C" w:rsidP="0011459C">
            <w:pPr>
              <w:spacing w:after="0"/>
              <w:jc w:val="center"/>
              <w:rPr>
                <w:rFonts w:ascii="Times New Roman" w:hAnsi="Times New Roman"/>
                <w:sz w:val="24"/>
                <w:szCs w:val="24"/>
              </w:rPr>
            </w:pPr>
            <w:r>
              <w:rPr>
                <w:rFonts w:ascii="Times New Roman" w:hAnsi="Times New Roman"/>
                <w:sz w:val="24"/>
                <w:szCs w:val="24"/>
              </w:rPr>
              <w:t>0</w:t>
            </w:r>
          </w:p>
        </w:tc>
        <w:tc>
          <w:tcPr>
            <w:tcW w:w="1282" w:type="dxa"/>
          </w:tcPr>
          <w:p w:rsidR="0011459C" w:rsidRPr="00B232A4" w:rsidRDefault="0011459C" w:rsidP="0011459C">
            <w:pPr>
              <w:spacing w:after="0"/>
              <w:jc w:val="center"/>
              <w:rPr>
                <w:rFonts w:ascii="Times New Roman" w:hAnsi="Times New Roman"/>
                <w:sz w:val="24"/>
                <w:szCs w:val="24"/>
              </w:rPr>
            </w:pPr>
            <w:r>
              <w:rPr>
                <w:rFonts w:ascii="Times New Roman" w:hAnsi="Times New Roman"/>
                <w:sz w:val="24"/>
                <w:szCs w:val="24"/>
              </w:rPr>
              <w:t>0</w:t>
            </w:r>
          </w:p>
        </w:tc>
        <w:tc>
          <w:tcPr>
            <w:tcW w:w="1008" w:type="dxa"/>
          </w:tcPr>
          <w:p w:rsidR="0011459C" w:rsidRPr="00B232A4" w:rsidRDefault="0011459C" w:rsidP="0011459C">
            <w:pPr>
              <w:spacing w:after="0"/>
              <w:jc w:val="center"/>
              <w:rPr>
                <w:rFonts w:ascii="Times New Roman" w:hAnsi="Times New Roman"/>
                <w:sz w:val="24"/>
                <w:szCs w:val="24"/>
              </w:rPr>
            </w:pPr>
            <w:r>
              <w:rPr>
                <w:rFonts w:ascii="Times New Roman" w:hAnsi="Times New Roman"/>
                <w:sz w:val="24"/>
                <w:szCs w:val="24"/>
              </w:rPr>
              <w:t>0</w:t>
            </w:r>
          </w:p>
        </w:tc>
      </w:tr>
      <w:tr w:rsidR="0011459C" w:rsidRPr="00DD49B6" w:rsidTr="00472586">
        <w:trPr>
          <w:jc w:val="center"/>
        </w:trPr>
        <w:tc>
          <w:tcPr>
            <w:tcW w:w="2693" w:type="dxa"/>
          </w:tcPr>
          <w:p w:rsidR="0011459C" w:rsidRPr="00DD49B6" w:rsidRDefault="0011459C" w:rsidP="0011459C">
            <w:pPr>
              <w:pStyle w:val="naisf"/>
              <w:spacing w:before="0" w:beforeAutospacing="0" w:after="0" w:afterAutospacing="0"/>
              <w:rPr>
                <w:i/>
              </w:rPr>
            </w:pPr>
            <w:r w:rsidRPr="00DD49B6">
              <w:t>1.3. pašvaldību budžets</w:t>
            </w:r>
          </w:p>
        </w:tc>
        <w:tc>
          <w:tcPr>
            <w:tcW w:w="1393" w:type="dxa"/>
          </w:tcPr>
          <w:p w:rsidR="0011459C" w:rsidRPr="00D25E38" w:rsidRDefault="0011459C" w:rsidP="0011459C">
            <w:pPr>
              <w:spacing w:after="0" w:line="240" w:lineRule="auto"/>
              <w:rPr>
                <w:rFonts w:ascii="Times New Roman" w:hAnsi="Times New Roman"/>
                <w:sz w:val="24"/>
                <w:szCs w:val="24"/>
              </w:rPr>
            </w:pPr>
            <w:r>
              <w:rPr>
                <w:rFonts w:ascii="Times New Roman" w:hAnsi="Times New Roman"/>
                <w:sz w:val="24"/>
                <w:szCs w:val="24"/>
              </w:rPr>
              <w:t>0</w:t>
            </w:r>
          </w:p>
        </w:tc>
        <w:tc>
          <w:tcPr>
            <w:tcW w:w="1409" w:type="dxa"/>
          </w:tcPr>
          <w:p w:rsidR="0011459C" w:rsidRPr="00D25E38" w:rsidRDefault="0011459C" w:rsidP="0011459C">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282" w:type="dxa"/>
          </w:tcPr>
          <w:p w:rsidR="0011459C" w:rsidRPr="00B232A4" w:rsidRDefault="0011459C" w:rsidP="0011459C">
            <w:pPr>
              <w:spacing w:after="0"/>
              <w:jc w:val="center"/>
              <w:rPr>
                <w:rFonts w:ascii="Times New Roman" w:hAnsi="Times New Roman"/>
                <w:sz w:val="24"/>
                <w:szCs w:val="24"/>
              </w:rPr>
            </w:pPr>
            <w:r>
              <w:rPr>
                <w:rFonts w:ascii="Times New Roman" w:hAnsi="Times New Roman"/>
                <w:sz w:val="24"/>
                <w:szCs w:val="24"/>
              </w:rPr>
              <w:t>0</w:t>
            </w:r>
          </w:p>
        </w:tc>
        <w:tc>
          <w:tcPr>
            <w:tcW w:w="1282" w:type="dxa"/>
          </w:tcPr>
          <w:p w:rsidR="0011459C" w:rsidRPr="00B232A4" w:rsidRDefault="0011459C" w:rsidP="0011459C">
            <w:pPr>
              <w:spacing w:after="0"/>
              <w:jc w:val="center"/>
              <w:rPr>
                <w:rFonts w:ascii="Times New Roman" w:hAnsi="Times New Roman"/>
                <w:sz w:val="24"/>
                <w:szCs w:val="24"/>
              </w:rPr>
            </w:pPr>
            <w:r>
              <w:rPr>
                <w:rFonts w:ascii="Times New Roman" w:hAnsi="Times New Roman"/>
                <w:sz w:val="24"/>
                <w:szCs w:val="24"/>
              </w:rPr>
              <w:t>0</w:t>
            </w:r>
          </w:p>
        </w:tc>
        <w:tc>
          <w:tcPr>
            <w:tcW w:w="1008" w:type="dxa"/>
          </w:tcPr>
          <w:p w:rsidR="0011459C" w:rsidRPr="00B232A4" w:rsidRDefault="0011459C" w:rsidP="0011459C">
            <w:pPr>
              <w:spacing w:after="0"/>
              <w:jc w:val="center"/>
              <w:rPr>
                <w:rFonts w:ascii="Times New Roman" w:hAnsi="Times New Roman"/>
                <w:sz w:val="24"/>
                <w:szCs w:val="24"/>
              </w:rPr>
            </w:pPr>
            <w:r>
              <w:rPr>
                <w:rFonts w:ascii="Times New Roman" w:hAnsi="Times New Roman"/>
                <w:sz w:val="24"/>
                <w:szCs w:val="24"/>
              </w:rPr>
              <w:t>0</w:t>
            </w:r>
          </w:p>
        </w:tc>
      </w:tr>
      <w:tr w:rsidR="00CC232A" w:rsidRPr="00DD49B6" w:rsidTr="00472586">
        <w:trPr>
          <w:jc w:val="center"/>
        </w:trPr>
        <w:tc>
          <w:tcPr>
            <w:tcW w:w="26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 Budžeta izdevumi:</w:t>
            </w:r>
          </w:p>
        </w:tc>
        <w:tc>
          <w:tcPr>
            <w:tcW w:w="1393" w:type="dxa"/>
          </w:tcPr>
          <w:p w:rsidR="00CC232A" w:rsidRPr="00D25E38" w:rsidRDefault="00CC232A" w:rsidP="009F3688">
            <w:pPr>
              <w:spacing w:after="0" w:line="240" w:lineRule="auto"/>
              <w:rPr>
                <w:rFonts w:ascii="Times New Roman" w:hAnsi="Times New Roman"/>
                <w:sz w:val="24"/>
                <w:szCs w:val="24"/>
              </w:rPr>
            </w:pPr>
            <w:r>
              <w:rPr>
                <w:rFonts w:ascii="Times New Roman" w:hAnsi="Times New Roman"/>
                <w:sz w:val="24"/>
                <w:szCs w:val="24"/>
              </w:rPr>
              <w:t>8 72</w:t>
            </w:r>
            <w:r w:rsidR="009F3688">
              <w:rPr>
                <w:rFonts w:ascii="Times New Roman" w:hAnsi="Times New Roman"/>
                <w:sz w:val="24"/>
                <w:szCs w:val="24"/>
              </w:rPr>
              <w:t>0</w:t>
            </w:r>
            <w:r>
              <w:rPr>
                <w:rFonts w:ascii="Times New Roman" w:hAnsi="Times New Roman"/>
                <w:sz w:val="24"/>
                <w:szCs w:val="24"/>
              </w:rPr>
              <w:t xml:space="preserve"> 490</w:t>
            </w:r>
          </w:p>
        </w:tc>
        <w:tc>
          <w:tcPr>
            <w:tcW w:w="1409" w:type="dxa"/>
          </w:tcPr>
          <w:p w:rsidR="00CC232A" w:rsidRPr="00D25E38" w:rsidRDefault="00CC232A" w:rsidP="00CC232A">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282" w:type="dxa"/>
          </w:tcPr>
          <w:p w:rsidR="00CC232A" w:rsidRPr="00B232A4" w:rsidRDefault="009F3688" w:rsidP="00CC232A">
            <w:pPr>
              <w:spacing w:after="0"/>
              <w:jc w:val="center"/>
              <w:rPr>
                <w:rFonts w:ascii="Times New Roman" w:hAnsi="Times New Roman"/>
                <w:sz w:val="24"/>
                <w:szCs w:val="24"/>
              </w:rPr>
            </w:pPr>
            <w:r>
              <w:rPr>
                <w:rFonts w:ascii="Times New Roman" w:hAnsi="Times New Roman"/>
                <w:sz w:val="24"/>
                <w:szCs w:val="24"/>
              </w:rPr>
              <w:t>0</w:t>
            </w:r>
          </w:p>
        </w:tc>
        <w:tc>
          <w:tcPr>
            <w:tcW w:w="1282" w:type="dxa"/>
          </w:tcPr>
          <w:p w:rsidR="00CC232A" w:rsidRPr="00B232A4" w:rsidRDefault="009F3688" w:rsidP="00CC232A">
            <w:pPr>
              <w:spacing w:after="0"/>
              <w:jc w:val="center"/>
              <w:rPr>
                <w:rFonts w:ascii="Times New Roman" w:hAnsi="Times New Roman"/>
                <w:sz w:val="24"/>
                <w:szCs w:val="24"/>
              </w:rPr>
            </w:pPr>
            <w:r>
              <w:rPr>
                <w:rFonts w:ascii="Times New Roman" w:hAnsi="Times New Roman"/>
                <w:sz w:val="24"/>
                <w:szCs w:val="24"/>
              </w:rPr>
              <w:t>0</w:t>
            </w:r>
          </w:p>
        </w:tc>
        <w:tc>
          <w:tcPr>
            <w:tcW w:w="1008" w:type="dxa"/>
          </w:tcPr>
          <w:p w:rsidR="00CC232A" w:rsidRPr="00B232A4" w:rsidRDefault="009F3688" w:rsidP="00CC232A">
            <w:pPr>
              <w:spacing w:after="0"/>
              <w:jc w:val="center"/>
              <w:rPr>
                <w:rFonts w:ascii="Times New Roman" w:hAnsi="Times New Roman"/>
                <w:sz w:val="24"/>
                <w:szCs w:val="24"/>
              </w:rPr>
            </w:pPr>
            <w:r>
              <w:rPr>
                <w:rFonts w:ascii="Times New Roman" w:hAnsi="Times New Roman"/>
                <w:sz w:val="24"/>
                <w:szCs w:val="24"/>
              </w:rPr>
              <w:t>0</w:t>
            </w:r>
          </w:p>
        </w:tc>
      </w:tr>
      <w:tr w:rsidR="00CC232A" w:rsidRPr="00DD49B6" w:rsidTr="00472586">
        <w:trPr>
          <w:jc w:val="center"/>
        </w:trPr>
        <w:tc>
          <w:tcPr>
            <w:tcW w:w="26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2.1. valsts pamatbudžets</w:t>
            </w:r>
          </w:p>
        </w:tc>
        <w:tc>
          <w:tcPr>
            <w:tcW w:w="1393" w:type="dxa"/>
          </w:tcPr>
          <w:p w:rsidR="00CC232A" w:rsidRPr="00D25E38" w:rsidRDefault="00CC232A" w:rsidP="009F3688">
            <w:pPr>
              <w:spacing w:after="0" w:line="240" w:lineRule="auto"/>
              <w:rPr>
                <w:rFonts w:ascii="Times New Roman" w:hAnsi="Times New Roman"/>
                <w:sz w:val="24"/>
                <w:szCs w:val="24"/>
              </w:rPr>
            </w:pPr>
            <w:r>
              <w:rPr>
                <w:rFonts w:ascii="Times New Roman" w:hAnsi="Times New Roman"/>
                <w:sz w:val="24"/>
                <w:szCs w:val="24"/>
              </w:rPr>
              <w:t>8 72</w:t>
            </w:r>
            <w:r w:rsidR="009F3688">
              <w:rPr>
                <w:rFonts w:ascii="Times New Roman" w:hAnsi="Times New Roman"/>
                <w:sz w:val="24"/>
                <w:szCs w:val="24"/>
              </w:rPr>
              <w:t>0</w:t>
            </w:r>
            <w:r>
              <w:rPr>
                <w:rFonts w:ascii="Times New Roman" w:hAnsi="Times New Roman"/>
                <w:sz w:val="24"/>
                <w:szCs w:val="24"/>
              </w:rPr>
              <w:t xml:space="preserve"> 490</w:t>
            </w:r>
          </w:p>
        </w:tc>
        <w:tc>
          <w:tcPr>
            <w:tcW w:w="1409" w:type="dxa"/>
          </w:tcPr>
          <w:p w:rsidR="00CC232A" w:rsidRPr="00D25E38" w:rsidRDefault="00CC232A" w:rsidP="00CC232A">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282" w:type="dxa"/>
          </w:tcPr>
          <w:p w:rsidR="00CC232A" w:rsidRPr="00B232A4" w:rsidRDefault="009F3688" w:rsidP="00CC232A">
            <w:pPr>
              <w:spacing w:after="0"/>
              <w:jc w:val="center"/>
              <w:rPr>
                <w:rFonts w:ascii="Times New Roman" w:hAnsi="Times New Roman"/>
                <w:sz w:val="24"/>
                <w:szCs w:val="24"/>
              </w:rPr>
            </w:pPr>
            <w:r>
              <w:rPr>
                <w:rFonts w:ascii="Times New Roman" w:hAnsi="Times New Roman"/>
                <w:sz w:val="24"/>
                <w:szCs w:val="24"/>
              </w:rPr>
              <w:t>0</w:t>
            </w:r>
          </w:p>
        </w:tc>
        <w:tc>
          <w:tcPr>
            <w:tcW w:w="1282" w:type="dxa"/>
          </w:tcPr>
          <w:p w:rsidR="00CC232A" w:rsidRPr="00B232A4" w:rsidRDefault="009F3688" w:rsidP="00CC232A">
            <w:pPr>
              <w:spacing w:after="0"/>
              <w:jc w:val="center"/>
              <w:rPr>
                <w:rFonts w:ascii="Times New Roman" w:hAnsi="Times New Roman"/>
                <w:sz w:val="24"/>
                <w:szCs w:val="24"/>
              </w:rPr>
            </w:pPr>
            <w:r>
              <w:rPr>
                <w:rFonts w:ascii="Times New Roman" w:hAnsi="Times New Roman"/>
                <w:sz w:val="24"/>
                <w:szCs w:val="24"/>
              </w:rPr>
              <w:t>0</w:t>
            </w:r>
          </w:p>
        </w:tc>
        <w:tc>
          <w:tcPr>
            <w:tcW w:w="1008" w:type="dxa"/>
          </w:tcPr>
          <w:p w:rsidR="00CC232A" w:rsidRPr="00B232A4" w:rsidRDefault="009F3688" w:rsidP="00CC232A">
            <w:pPr>
              <w:spacing w:after="0"/>
              <w:jc w:val="center"/>
              <w:rPr>
                <w:rFonts w:ascii="Times New Roman" w:hAnsi="Times New Roman"/>
                <w:sz w:val="24"/>
                <w:szCs w:val="24"/>
              </w:rPr>
            </w:pPr>
            <w:r>
              <w:rPr>
                <w:rFonts w:ascii="Times New Roman" w:hAnsi="Times New Roman"/>
                <w:sz w:val="24"/>
                <w:szCs w:val="24"/>
              </w:rPr>
              <w:t>0</w:t>
            </w:r>
          </w:p>
        </w:tc>
      </w:tr>
      <w:tr w:rsidR="00CC232A" w:rsidRPr="00DD49B6" w:rsidTr="00472586">
        <w:trPr>
          <w:jc w:val="center"/>
        </w:trPr>
        <w:tc>
          <w:tcPr>
            <w:tcW w:w="26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2.2. valsts speciālais budžets</w:t>
            </w:r>
          </w:p>
        </w:tc>
        <w:tc>
          <w:tcPr>
            <w:tcW w:w="1393" w:type="dxa"/>
          </w:tcPr>
          <w:p w:rsidR="00CC232A" w:rsidRPr="00D25E38" w:rsidRDefault="00CC232A" w:rsidP="00CC232A">
            <w:pPr>
              <w:spacing w:after="0" w:line="240" w:lineRule="auto"/>
              <w:rPr>
                <w:rFonts w:ascii="Times New Roman" w:hAnsi="Times New Roman"/>
                <w:sz w:val="24"/>
                <w:szCs w:val="24"/>
              </w:rPr>
            </w:pPr>
            <w:r>
              <w:rPr>
                <w:rFonts w:ascii="Times New Roman" w:hAnsi="Times New Roman"/>
                <w:sz w:val="24"/>
                <w:szCs w:val="24"/>
              </w:rPr>
              <w:t>0</w:t>
            </w:r>
          </w:p>
        </w:tc>
        <w:tc>
          <w:tcPr>
            <w:tcW w:w="1409" w:type="dxa"/>
          </w:tcPr>
          <w:p w:rsidR="00CC232A" w:rsidRPr="00D25E38" w:rsidRDefault="00CC232A" w:rsidP="00CC232A">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282"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282"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008"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r>
      <w:tr w:rsidR="00CC232A" w:rsidRPr="00DD49B6" w:rsidTr="00472586">
        <w:trPr>
          <w:jc w:val="center"/>
        </w:trPr>
        <w:tc>
          <w:tcPr>
            <w:tcW w:w="26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2.3. pašvaldību budžets </w:t>
            </w:r>
          </w:p>
        </w:tc>
        <w:tc>
          <w:tcPr>
            <w:tcW w:w="1393" w:type="dxa"/>
          </w:tcPr>
          <w:p w:rsidR="00CC232A" w:rsidRPr="00D25E38" w:rsidRDefault="00CC232A" w:rsidP="00CC232A">
            <w:pPr>
              <w:spacing w:after="0" w:line="240" w:lineRule="auto"/>
              <w:rPr>
                <w:rFonts w:ascii="Times New Roman" w:hAnsi="Times New Roman"/>
                <w:sz w:val="24"/>
                <w:szCs w:val="24"/>
              </w:rPr>
            </w:pPr>
            <w:r>
              <w:rPr>
                <w:rFonts w:ascii="Times New Roman" w:hAnsi="Times New Roman"/>
                <w:sz w:val="24"/>
                <w:szCs w:val="24"/>
              </w:rPr>
              <w:t>0</w:t>
            </w:r>
          </w:p>
        </w:tc>
        <w:tc>
          <w:tcPr>
            <w:tcW w:w="1409" w:type="dxa"/>
          </w:tcPr>
          <w:p w:rsidR="00CC232A" w:rsidRPr="00D25E38" w:rsidRDefault="00CC232A" w:rsidP="00CC232A">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282"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282"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008"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r>
      <w:tr w:rsidR="00CC232A" w:rsidRPr="00DD49B6" w:rsidTr="00472586">
        <w:trPr>
          <w:jc w:val="center"/>
        </w:trPr>
        <w:tc>
          <w:tcPr>
            <w:tcW w:w="26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393" w:type="dxa"/>
            <w:shd w:val="clear" w:color="auto" w:fill="auto"/>
            <w:vAlign w:val="center"/>
          </w:tcPr>
          <w:p w:rsidR="00CC232A" w:rsidRPr="00815F63" w:rsidRDefault="00CC232A" w:rsidP="00CC232A">
            <w:pPr>
              <w:spacing w:after="0" w:line="240" w:lineRule="auto"/>
              <w:rPr>
                <w:rFonts w:ascii="Times New Roman" w:hAnsi="Times New Roman"/>
                <w:sz w:val="24"/>
                <w:szCs w:val="24"/>
              </w:rPr>
            </w:pPr>
            <w:r>
              <w:rPr>
                <w:rFonts w:ascii="Times New Roman" w:hAnsi="Times New Roman"/>
                <w:sz w:val="24"/>
                <w:szCs w:val="24"/>
              </w:rPr>
              <w:t>0</w:t>
            </w:r>
          </w:p>
        </w:tc>
        <w:tc>
          <w:tcPr>
            <w:tcW w:w="1409" w:type="dxa"/>
          </w:tcPr>
          <w:p w:rsidR="00CC232A" w:rsidRPr="00D25E38" w:rsidRDefault="00CC232A" w:rsidP="00CC232A">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282"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282"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008"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r>
      <w:tr w:rsidR="00CC232A" w:rsidRPr="00DD49B6" w:rsidTr="00472586">
        <w:trPr>
          <w:jc w:val="center"/>
        </w:trPr>
        <w:tc>
          <w:tcPr>
            <w:tcW w:w="26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3.1. valsts pamatbudžets</w:t>
            </w:r>
          </w:p>
        </w:tc>
        <w:tc>
          <w:tcPr>
            <w:tcW w:w="1393" w:type="dxa"/>
            <w:shd w:val="clear" w:color="auto" w:fill="auto"/>
          </w:tcPr>
          <w:p w:rsidR="00CC232A" w:rsidRPr="00D25E38" w:rsidRDefault="00CC232A" w:rsidP="00CC232A">
            <w:pPr>
              <w:spacing w:after="0" w:line="240" w:lineRule="auto"/>
              <w:rPr>
                <w:rFonts w:ascii="Times New Roman" w:hAnsi="Times New Roman"/>
                <w:sz w:val="24"/>
                <w:szCs w:val="24"/>
              </w:rPr>
            </w:pPr>
            <w:r>
              <w:rPr>
                <w:rFonts w:ascii="Times New Roman" w:hAnsi="Times New Roman"/>
                <w:sz w:val="24"/>
                <w:szCs w:val="24"/>
              </w:rPr>
              <w:t>0</w:t>
            </w:r>
          </w:p>
        </w:tc>
        <w:tc>
          <w:tcPr>
            <w:tcW w:w="1409" w:type="dxa"/>
          </w:tcPr>
          <w:p w:rsidR="00CC232A" w:rsidRPr="00D25E38" w:rsidRDefault="00CC232A" w:rsidP="00CC232A">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282"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282"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008"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r>
      <w:tr w:rsidR="00CC232A" w:rsidRPr="00DD49B6" w:rsidTr="00472586">
        <w:trPr>
          <w:jc w:val="center"/>
        </w:trPr>
        <w:tc>
          <w:tcPr>
            <w:tcW w:w="26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3.2. speciālais budžets</w:t>
            </w:r>
          </w:p>
        </w:tc>
        <w:tc>
          <w:tcPr>
            <w:tcW w:w="1393" w:type="dxa"/>
            <w:shd w:val="clear" w:color="auto" w:fill="auto"/>
          </w:tcPr>
          <w:p w:rsidR="00CC232A" w:rsidRPr="00D25E38" w:rsidRDefault="00CC232A" w:rsidP="00CC232A">
            <w:pPr>
              <w:spacing w:after="0" w:line="240" w:lineRule="auto"/>
              <w:rPr>
                <w:rFonts w:ascii="Times New Roman" w:hAnsi="Times New Roman"/>
                <w:sz w:val="24"/>
                <w:szCs w:val="24"/>
              </w:rPr>
            </w:pPr>
            <w:r>
              <w:rPr>
                <w:rFonts w:ascii="Times New Roman" w:hAnsi="Times New Roman"/>
                <w:sz w:val="24"/>
                <w:szCs w:val="24"/>
              </w:rPr>
              <w:t>0</w:t>
            </w:r>
          </w:p>
        </w:tc>
        <w:tc>
          <w:tcPr>
            <w:tcW w:w="1409" w:type="dxa"/>
          </w:tcPr>
          <w:p w:rsidR="00CC232A" w:rsidRPr="00D25E38" w:rsidRDefault="00CC232A" w:rsidP="00CC232A">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282"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282"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008"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r>
      <w:tr w:rsidR="00CC232A" w:rsidRPr="00DD49B6" w:rsidTr="00472586">
        <w:trPr>
          <w:jc w:val="center"/>
        </w:trPr>
        <w:tc>
          <w:tcPr>
            <w:tcW w:w="26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3.3. pašvaldību budžets </w:t>
            </w:r>
          </w:p>
        </w:tc>
        <w:tc>
          <w:tcPr>
            <w:tcW w:w="1393" w:type="dxa"/>
            <w:shd w:val="clear" w:color="auto" w:fill="auto"/>
          </w:tcPr>
          <w:p w:rsidR="00CC232A" w:rsidRPr="00D25E38" w:rsidRDefault="00CC232A" w:rsidP="00C744C6">
            <w:pPr>
              <w:spacing w:after="0" w:line="240" w:lineRule="auto"/>
              <w:rPr>
                <w:rFonts w:ascii="Times New Roman" w:hAnsi="Times New Roman"/>
                <w:sz w:val="24"/>
                <w:szCs w:val="24"/>
              </w:rPr>
            </w:pPr>
            <w:r>
              <w:rPr>
                <w:rFonts w:ascii="Times New Roman" w:hAnsi="Times New Roman"/>
                <w:sz w:val="24"/>
                <w:szCs w:val="24"/>
              </w:rPr>
              <w:t>0</w:t>
            </w:r>
          </w:p>
        </w:tc>
        <w:tc>
          <w:tcPr>
            <w:tcW w:w="1409" w:type="dxa"/>
          </w:tcPr>
          <w:p w:rsidR="00CC232A" w:rsidRPr="00D25E38" w:rsidRDefault="00CC232A" w:rsidP="00CC232A">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282"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282"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008"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r>
      <w:tr w:rsidR="00CC232A" w:rsidRPr="00DD49B6" w:rsidTr="00472586">
        <w:trPr>
          <w:jc w:val="center"/>
        </w:trPr>
        <w:tc>
          <w:tcPr>
            <w:tcW w:w="2693" w:type="dxa"/>
            <w:vMerge w:val="restart"/>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4. Finanšu līdzekļi papildu izdevumu finansēšanai (kompensējošu izdevumu samazinājumu norāda ar "+" zīmi)</w:t>
            </w:r>
          </w:p>
        </w:tc>
        <w:tc>
          <w:tcPr>
            <w:tcW w:w="1393" w:type="dxa"/>
            <w:vMerge w:val="restart"/>
          </w:tcPr>
          <w:p w:rsidR="00CC232A" w:rsidRPr="00D25E38" w:rsidRDefault="00CC232A" w:rsidP="00CC232A">
            <w:pPr>
              <w:spacing w:after="0" w:line="240" w:lineRule="auto"/>
              <w:rPr>
                <w:rFonts w:ascii="Times New Roman" w:hAnsi="Times New Roman"/>
                <w:sz w:val="24"/>
                <w:szCs w:val="24"/>
              </w:rPr>
            </w:pPr>
            <w:r w:rsidRPr="00D25E38">
              <w:rPr>
                <w:rFonts w:ascii="Times New Roman" w:hAnsi="Times New Roman"/>
                <w:sz w:val="24"/>
                <w:szCs w:val="24"/>
              </w:rPr>
              <w:t> X</w:t>
            </w:r>
          </w:p>
        </w:tc>
        <w:tc>
          <w:tcPr>
            <w:tcW w:w="1409" w:type="dxa"/>
          </w:tcPr>
          <w:p w:rsidR="00CC232A" w:rsidRPr="00D25E38" w:rsidRDefault="00CC232A" w:rsidP="00CC232A">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282"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282"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008"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r>
      <w:tr w:rsidR="00CC232A" w:rsidRPr="00DD49B6" w:rsidTr="00472586">
        <w:trPr>
          <w:jc w:val="center"/>
        </w:trPr>
        <w:tc>
          <w:tcPr>
            <w:tcW w:w="2693" w:type="dxa"/>
            <w:vMerge/>
          </w:tcPr>
          <w:p w:rsidR="00CC232A" w:rsidRPr="00DD49B6" w:rsidRDefault="00CC232A" w:rsidP="00CC232A">
            <w:pPr>
              <w:spacing w:after="0" w:line="240" w:lineRule="auto"/>
              <w:rPr>
                <w:rFonts w:ascii="Times New Roman" w:hAnsi="Times New Roman" w:cs="Times New Roman"/>
                <w:sz w:val="24"/>
                <w:szCs w:val="24"/>
              </w:rPr>
            </w:pPr>
          </w:p>
        </w:tc>
        <w:tc>
          <w:tcPr>
            <w:tcW w:w="1393" w:type="dxa"/>
            <w:vMerge/>
            <w:vAlign w:val="center"/>
          </w:tcPr>
          <w:p w:rsidR="00CC232A" w:rsidRPr="00DD49B6" w:rsidRDefault="00CC232A" w:rsidP="00CC232A">
            <w:pPr>
              <w:pStyle w:val="naisf"/>
              <w:spacing w:before="0" w:beforeAutospacing="0" w:after="0" w:afterAutospacing="0"/>
              <w:jc w:val="center"/>
              <w:rPr>
                <w:i/>
              </w:rPr>
            </w:pPr>
          </w:p>
        </w:tc>
        <w:tc>
          <w:tcPr>
            <w:tcW w:w="1409" w:type="dxa"/>
          </w:tcPr>
          <w:p w:rsidR="00CC232A" w:rsidRPr="00DD49B6" w:rsidRDefault="00CC232A" w:rsidP="00CC232A">
            <w:pPr>
              <w:pStyle w:val="naisf"/>
              <w:spacing w:before="0" w:beforeAutospacing="0" w:after="0" w:afterAutospacing="0"/>
              <w:rPr>
                <w:b/>
                <w:i/>
              </w:rPr>
            </w:pPr>
            <w:r w:rsidRPr="00D25E38">
              <w:t>  </w:t>
            </w:r>
            <w:r>
              <w:t>0</w:t>
            </w:r>
          </w:p>
        </w:tc>
        <w:tc>
          <w:tcPr>
            <w:tcW w:w="1282" w:type="dxa"/>
          </w:tcPr>
          <w:p w:rsidR="00CC232A" w:rsidRPr="00CC232A" w:rsidRDefault="00CC232A" w:rsidP="00CC232A">
            <w:pPr>
              <w:pStyle w:val="naisf"/>
              <w:spacing w:before="0" w:beforeAutospacing="0" w:after="0" w:afterAutospacing="0"/>
              <w:jc w:val="center"/>
            </w:pPr>
            <w:r>
              <w:t>0</w:t>
            </w:r>
          </w:p>
        </w:tc>
        <w:tc>
          <w:tcPr>
            <w:tcW w:w="1282" w:type="dxa"/>
          </w:tcPr>
          <w:p w:rsidR="00CC232A" w:rsidRPr="00CC232A" w:rsidRDefault="00CC232A" w:rsidP="00CC232A">
            <w:pPr>
              <w:pStyle w:val="naisf"/>
              <w:spacing w:before="0" w:beforeAutospacing="0" w:after="0" w:afterAutospacing="0"/>
              <w:jc w:val="center"/>
            </w:pPr>
            <w:r>
              <w:t>0</w:t>
            </w:r>
          </w:p>
        </w:tc>
        <w:tc>
          <w:tcPr>
            <w:tcW w:w="1008" w:type="dxa"/>
          </w:tcPr>
          <w:p w:rsidR="00CC232A" w:rsidRPr="00CC232A" w:rsidRDefault="00CC232A" w:rsidP="00CC232A">
            <w:pPr>
              <w:pStyle w:val="naisf"/>
              <w:spacing w:before="0" w:beforeAutospacing="0" w:after="0" w:afterAutospacing="0"/>
              <w:jc w:val="center"/>
            </w:pPr>
            <w:r>
              <w:t>0</w:t>
            </w:r>
          </w:p>
        </w:tc>
      </w:tr>
      <w:tr w:rsidR="00CC232A" w:rsidRPr="00DD49B6" w:rsidTr="00472586">
        <w:trPr>
          <w:jc w:val="center"/>
        </w:trPr>
        <w:tc>
          <w:tcPr>
            <w:tcW w:w="2693" w:type="dxa"/>
            <w:vMerge/>
          </w:tcPr>
          <w:p w:rsidR="00CC232A" w:rsidRPr="00DD49B6" w:rsidRDefault="00CC232A" w:rsidP="00CC232A">
            <w:pPr>
              <w:spacing w:after="0" w:line="240" w:lineRule="auto"/>
              <w:rPr>
                <w:rFonts w:ascii="Times New Roman" w:hAnsi="Times New Roman" w:cs="Times New Roman"/>
                <w:sz w:val="24"/>
                <w:szCs w:val="24"/>
              </w:rPr>
            </w:pPr>
          </w:p>
        </w:tc>
        <w:tc>
          <w:tcPr>
            <w:tcW w:w="1393" w:type="dxa"/>
            <w:vMerge/>
            <w:vAlign w:val="center"/>
          </w:tcPr>
          <w:p w:rsidR="00CC232A" w:rsidRPr="00DD49B6" w:rsidRDefault="00CC232A" w:rsidP="00CC232A">
            <w:pPr>
              <w:pStyle w:val="naisf"/>
              <w:spacing w:before="0" w:beforeAutospacing="0" w:after="0" w:afterAutospacing="0"/>
              <w:jc w:val="center"/>
              <w:rPr>
                <w:i/>
              </w:rPr>
            </w:pPr>
          </w:p>
        </w:tc>
        <w:tc>
          <w:tcPr>
            <w:tcW w:w="1409" w:type="dxa"/>
          </w:tcPr>
          <w:p w:rsidR="00CC232A" w:rsidRPr="00DD49B6" w:rsidRDefault="00CC232A" w:rsidP="00CC232A">
            <w:pPr>
              <w:pStyle w:val="naisf"/>
              <w:spacing w:before="0" w:beforeAutospacing="0" w:after="0" w:afterAutospacing="0"/>
              <w:rPr>
                <w:b/>
                <w:i/>
              </w:rPr>
            </w:pPr>
            <w:r w:rsidRPr="00D25E38">
              <w:t>  </w:t>
            </w:r>
            <w:r>
              <w:t>0</w:t>
            </w:r>
          </w:p>
        </w:tc>
        <w:tc>
          <w:tcPr>
            <w:tcW w:w="1282" w:type="dxa"/>
          </w:tcPr>
          <w:p w:rsidR="00CC232A" w:rsidRPr="00CC232A" w:rsidRDefault="00CC232A" w:rsidP="00CC232A">
            <w:pPr>
              <w:pStyle w:val="naisf"/>
              <w:spacing w:before="0" w:beforeAutospacing="0" w:after="0" w:afterAutospacing="0"/>
              <w:jc w:val="center"/>
            </w:pPr>
            <w:r>
              <w:t>0</w:t>
            </w:r>
          </w:p>
        </w:tc>
        <w:tc>
          <w:tcPr>
            <w:tcW w:w="1282" w:type="dxa"/>
          </w:tcPr>
          <w:p w:rsidR="00CC232A" w:rsidRPr="00CC232A" w:rsidRDefault="00CC232A" w:rsidP="00CC232A">
            <w:pPr>
              <w:pStyle w:val="naisf"/>
              <w:spacing w:before="0" w:beforeAutospacing="0" w:after="0" w:afterAutospacing="0"/>
              <w:jc w:val="center"/>
            </w:pPr>
            <w:r>
              <w:t>0</w:t>
            </w:r>
          </w:p>
        </w:tc>
        <w:tc>
          <w:tcPr>
            <w:tcW w:w="1008" w:type="dxa"/>
          </w:tcPr>
          <w:p w:rsidR="00CC232A" w:rsidRPr="00CC232A" w:rsidRDefault="00CC232A" w:rsidP="00CC232A">
            <w:pPr>
              <w:pStyle w:val="naisf"/>
              <w:spacing w:before="0" w:beforeAutospacing="0" w:after="0" w:afterAutospacing="0"/>
              <w:jc w:val="center"/>
            </w:pPr>
            <w:r>
              <w:t>0</w:t>
            </w:r>
          </w:p>
        </w:tc>
      </w:tr>
      <w:tr w:rsidR="00CC232A" w:rsidRPr="00DD49B6" w:rsidTr="00472586">
        <w:trPr>
          <w:jc w:val="center"/>
        </w:trPr>
        <w:tc>
          <w:tcPr>
            <w:tcW w:w="26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 Precizēta finansiālā ietekme:</w:t>
            </w:r>
          </w:p>
        </w:tc>
        <w:tc>
          <w:tcPr>
            <w:tcW w:w="1393" w:type="dxa"/>
            <w:vMerge w:val="restart"/>
          </w:tcPr>
          <w:p w:rsidR="00CC232A" w:rsidRPr="00D25E38" w:rsidRDefault="00CC232A" w:rsidP="00CC232A">
            <w:pPr>
              <w:spacing w:after="0" w:line="240" w:lineRule="auto"/>
              <w:rPr>
                <w:rFonts w:ascii="Times New Roman" w:hAnsi="Times New Roman"/>
                <w:sz w:val="24"/>
                <w:szCs w:val="24"/>
              </w:rPr>
            </w:pPr>
            <w:r w:rsidRPr="00D25E38">
              <w:rPr>
                <w:rFonts w:ascii="Times New Roman" w:hAnsi="Times New Roman"/>
                <w:sz w:val="24"/>
                <w:szCs w:val="24"/>
              </w:rPr>
              <w:t> X</w:t>
            </w:r>
          </w:p>
        </w:tc>
        <w:tc>
          <w:tcPr>
            <w:tcW w:w="1409" w:type="dxa"/>
          </w:tcPr>
          <w:p w:rsidR="00CC232A" w:rsidRPr="00D25E38" w:rsidRDefault="00CC232A" w:rsidP="00CC232A">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282"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282"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c>
          <w:tcPr>
            <w:tcW w:w="1008" w:type="dxa"/>
          </w:tcPr>
          <w:p w:rsidR="00CC232A" w:rsidRPr="00B232A4" w:rsidRDefault="00CC232A" w:rsidP="00CC232A">
            <w:pPr>
              <w:spacing w:after="0"/>
              <w:jc w:val="center"/>
              <w:rPr>
                <w:rFonts w:ascii="Times New Roman" w:hAnsi="Times New Roman"/>
                <w:sz w:val="24"/>
                <w:szCs w:val="24"/>
              </w:rPr>
            </w:pPr>
            <w:r>
              <w:rPr>
                <w:rFonts w:ascii="Times New Roman" w:hAnsi="Times New Roman"/>
                <w:sz w:val="24"/>
                <w:szCs w:val="24"/>
              </w:rPr>
              <w:t>0</w:t>
            </w:r>
          </w:p>
        </w:tc>
      </w:tr>
      <w:tr w:rsidR="00CC232A" w:rsidRPr="00DD49B6" w:rsidTr="00472586">
        <w:trPr>
          <w:jc w:val="center"/>
        </w:trPr>
        <w:tc>
          <w:tcPr>
            <w:tcW w:w="26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5.1. valsts pamatbudžets</w:t>
            </w:r>
          </w:p>
        </w:tc>
        <w:tc>
          <w:tcPr>
            <w:tcW w:w="1393" w:type="dxa"/>
            <w:vMerge/>
            <w:vAlign w:val="center"/>
          </w:tcPr>
          <w:p w:rsidR="00CC232A" w:rsidRPr="00DD49B6" w:rsidRDefault="00CC232A" w:rsidP="00CC232A">
            <w:pPr>
              <w:pStyle w:val="naisf"/>
              <w:spacing w:before="0" w:beforeAutospacing="0" w:after="0" w:afterAutospacing="0"/>
              <w:jc w:val="center"/>
              <w:rPr>
                <w:i/>
              </w:rPr>
            </w:pPr>
          </w:p>
        </w:tc>
        <w:tc>
          <w:tcPr>
            <w:tcW w:w="1409" w:type="dxa"/>
          </w:tcPr>
          <w:p w:rsidR="00CC232A" w:rsidRPr="00DD49B6" w:rsidRDefault="00CC232A" w:rsidP="00CC232A">
            <w:pPr>
              <w:pStyle w:val="naisf"/>
              <w:spacing w:before="0" w:beforeAutospacing="0" w:after="0" w:afterAutospacing="0"/>
              <w:rPr>
                <w:b/>
                <w:i/>
              </w:rPr>
            </w:pPr>
            <w:r w:rsidRPr="00D25E38">
              <w:t>  </w:t>
            </w:r>
            <w:r>
              <w:t>0</w:t>
            </w:r>
          </w:p>
        </w:tc>
        <w:tc>
          <w:tcPr>
            <w:tcW w:w="1282" w:type="dxa"/>
          </w:tcPr>
          <w:p w:rsidR="00CC232A" w:rsidRPr="00CC232A" w:rsidRDefault="00CC232A" w:rsidP="00CC232A">
            <w:pPr>
              <w:pStyle w:val="naisf"/>
              <w:spacing w:before="0" w:beforeAutospacing="0" w:after="0" w:afterAutospacing="0"/>
              <w:jc w:val="center"/>
            </w:pPr>
            <w:r>
              <w:t>0</w:t>
            </w:r>
          </w:p>
        </w:tc>
        <w:tc>
          <w:tcPr>
            <w:tcW w:w="1282" w:type="dxa"/>
          </w:tcPr>
          <w:p w:rsidR="00CC232A" w:rsidRPr="00CC232A" w:rsidRDefault="00CC232A" w:rsidP="00CC232A">
            <w:pPr>
              <w:pStyle w:val="naisf"/>
              <w:spacing w:before="0" w:beforeAutospacing="0" w:after="0" w:afterAutospacing="0"/>
              <w:jc w:val="center"/>
            </w:pPr>
            <w:r>
              <w:t>0</w:t>
            </w:r>
          </w:p>
        </w:tc>
        <w:tc>
          <w:tcPr>
            <w:tcW w:w="1008" w:type="dxa"/>
          </w:tcPr>
          <w:p w:rsidR="00CC232A" w:rsidRPr="00CC232A" w:rsidRDefault="00CC232A" w:rsidP="00CC232A">
            <w:pPr>
              <w:pStyle w:val="naisf"/>
              <w:spacing w:before="0" w:beforeAutospacing="0" w:after="0" w:afterAutospacing="0"/>
              <w:jc w:val="center"/>
            </w:pPr>
            <w:r>
              <w:t>0</w:t>
            </w:r>
          </w:p>
        </w:tc>
      </w:tr>
      <w:tr w:rsidR="00CC232A" w:rsidRPr="00DD49B6" w:rsidTr="00472586">
        <w:trPr>
          <w:jc w:val="center"/>
        </w:trPr>
        <w:tc>
          <w:tcPr>
            <w:tcW w:w="26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5.2. speciālais budžets</w:t>
            </w:r>
          </w:p>
        </w:tc>
        <w:tc>
          <w:tcPr>
            <w:tcW w:w="1393" w:type="dxa"/>
            <w:vMerge/>
            <w:vAlign w:val="center"/>
          </w:tcPr>
          <w:p w:rsidR="00CC232A" w:rsidRPr="00DD49B6" w:rsidRDefault="00CC232A" w:rsidP="00CC232A">
            <w:pPr>
              <w:pStyle w:val="naisf"/>
              <w:spacing w:before="0" w:beforeAutospacing="0" w:after="0" w:afterAutospacing="0"/>
              <w:jc w:val="center"/>
              <w:rPr>
                <w:i/>
              </w:rPr>
            </w:pPr>
          </w:p>
        </w:tc>
        <w:tc>
          <w:tcPr>
            <w:tcW w:w="1409" w:type="dxa"/>
          </w:tcPr>
          <w:p w:rsidR="00CC232A" w:rsidRPr="00DD49B6" w:rsidRDefault="00CC232A" w:rsidP="00CC232A">
            <w:pPr>
              <w:pStyle w:val="naisf"/>
              <w:spacing w:before="0" w:beforeAutospacing="0" w:after="0" w:afterAutospacing="0"/>
              <w:rPr>
                <w:b/>
                <w:i/>
              </w:rPr>
            </w:pPr>
            <w:r w:rsidRPr="00D25E38">
              <w:t>  </w:t>
            </w:r>
            <w:r>
              <w:t>0</w:t>
            </w:r>
          </w:p>
        </w:tc>
        <w:tc>
          <w:tcPr>
            <w:tcW w:w="1282" w:type="dxa"/>
          </w:tcPr>
          <w:p w:rsidR="00CC232A" w:rsidRPr="00CC232A" w:rsidRDefault="00CC232A" w:rsidP="00CC232A">
            <w:pPr>
              <w:pStyle w:val="naisf"/>
              <w:spacing w:before="0" w:beforeAutospacing="0" w:after="0" w:afterAutospacing="0"/>
              <w:jc w:val="center"/>
            </w:pPr>
            <w:r>
              <w:t>0</w:t>
            </w:r>
          </w:p>
        </w:tc>
        <w:tc>
          <w:tcPr>
            <w:tcW w:w="1282" w:type="dxa"/>
          </w:tcPr>
          <w:p w:rsidR="00CC232A" w:rsidRPr="00CC232A" w:rsidRDefault="00CC232A" w:rsidP="00CC232A">
            <w:pPr>
              <w:pStyle w:val="naisf"/>
              <w:spacing w:before="0" w:beforeAutospacing="0" w:after="0" w:afterAutospacing="0"/>
              <w:jc w:val="center"/>
            </w:pPr>
            <w:r>
              <w:t>0</w:t>
            </w:r>
          </w:p>
        </w:tc>
        <w:tc>
          <w:tcPr>
            <w:tcW w:w="1008" w:type="dxa"/>
          </w:tcPr>
          <w:p w:rsidR="00CC232A" w:rsidRPr="00CC232A" w:rsidRDefault="00CC232A" w:rsidP="00CC232A">
            <w:pPr>
              <w:pStyle w:val="naisf"/>
              <w:spacing w:before="0" w:beforeAutospacing="0" w:after="0" w:afterAutospacing="0"/>
              <w:jc w:val="center"/>
            </w:pPr>
            <w:r>
              <w:t>0</w:t>
            </w:r>
          </w:p>
        </w:tc>
      </w:tr>
      <w:tr w:rsidR="00CC232A" w:rsidRPr="00DD49B6" w:rsidTr="00472586">
        <w:trPr>
          <w:jc w:val="center"/>
        </w:trPr>
        <w:tc>
          <w:tcPr>
            <w:tcW w:w="26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5.3. pašvaldību budžets </w:t>
            </w:r>
          </w:p>
        </w:tc>
        <w:tc>
          <w:tcPr>
            <w:tcW w:w="1393" w:type="dxa"/>
            <w:vMerge/>
            <w:vAlign w:val="center"/>
          </w:tcPr>
          <w:p w:rsidR="00CC232A" w:rsidRPr="00DD49B6" w:rsidRDefault="00CC232A" w:rsidP="00CC232A">
            <w:pPr>
              <w:pStyle w:val="naisf"/>
              <w:spacing w:before="0" w:beforeAutospacing="0" w:after="0" w:afterAutospacing="0"/>
              <w:jc w:val="center"/>
              <w:rPr>
                <w:i/>
              </w:rPr>
            </w:pPr>
          </w:p>
        </w:tc>
        <w:tc>
          <w:tcPr>
            <w:tcW w:w="1409" w:type="dxa"/>
          </w:tcPr>
          <w:p w:rsidR="00CC232A" w:rsidRPr="00DD49B6" w:rsidRDefault="00CC232A" w:rsidP="00CC232A">
            <w:pPr>
              <w:pStyle w:val="naisf"/>
              <w:spacing w:before="0" w:beforeAutospacing="0" w:after="0" w:afterAutospacing="0"/>
              <w:rPr>
                <w:b/>
                <w:i/>
              </w:rPr>
            </w:pPr>
            <w:r w:rsidRPr="00D25E38">
              <w:t>  </w:t>
            </w:r>
            <w:r>
              <w:t>0</w:t>
            </w:r>
          </w:p>
        </w:tc>
        <w:tc>
          <w:tcPr>
            <w:tcW w:w="1282" w:type="dxa"/>
          </w:tcPr>
          <w:p w:rsidR="00CC232A" w:rsidRPr="00CC232A" w:rsidRDefault="00CC232A" w:rsidP="00CC232A">
            <w:pPr>
              <w:pStyle w:val="naisf"/>
              <w:spacing w:before="0" w:beforeAutospacing="0" w:after="0" w:afterAutospacing="0"/>
              <w:jc w:val="center"/>
            </w:pPr>
            <w:r>
              <w:t>0</w:t>
            </w:r>
          </w:p>
        </w:tc>
        <w:tc>
          <w:tcPr>
            <w:tcW w:w="1282" w:type="dxa"/>
          </w:tcPr>
          <w:p w:rsidR="00CC232A" w:rsidRPr="00CC232A" w:rsidRDefault="00CC232A" w:rsidP="00CC232A">
            <w:pPr>
              <w:pStyle w:val="naisf"/>
              <w:spacing w:before="0" w:beforeAutospacing="0" w:after="0" w:afterAutospacing="0"/>
              <w:jc w:val="center"/>
            </w:pPr>
            <w:r>
              <w:t>0</w:t>
            </w:r>
          </w:p>
        </w:tc>
        <w:tc>
          <w:tcPr>
            <w:tcW w:w="1008" w:type="dxa"/>
          </w:tcPr>
          <w:p w:rsidR="00CC232A" w:rsidRPr="00CC232A" w:rsidRDefault="00CC232A" w:rsidP="00CC232A">
            <w:pPr>
              <w:pStyle w:val="naisf"/>
              <w:spacing w:before="0" w:beforeAutospacing="0" w:after="0" w:afterAutospacing="0"/>
              <w:jc w:val="center"/>
            </w:pPr>
            <w:r>
              <w:t>0</w:t>
            </w:r>
          </w:p>
        </w:tc>
      </w:tr>
      <w:tr w:rsidR="00CC232A" w:rsidRPr="00DD49B6" w:rsidTr="00472586">
        <w:trPr>
          <w:jc w:val="center"/>
        </w:trPr>
        <w:tc>
          <w:tcPr>
            <w:tcW w:w="26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Pr>
                <w:rFonts w:ascii="Times New Roman" w:hAnsi="Times New Roman" w:cs="Times New Roman"/>
                <w:sz w:val="24"/>
                <w:szCs w:val="24"/>
              </w:rPr>
              <w:softHyphen/>
            </w:r>
            <w:r w:rsidRPr="00DD49B6">
              <w:rPr>
                <w:rFonts w:ascii="Times New Roman" w:hAnsi="Times New Roman" w:cs="Times New Roman"/>
                <w:sz w:val="24"/>
                <w:szCs w:val="24"/>
              </w:rPr>
              <w:t>ciešams, detalizētu ieņēmumu un izdevumu aprēķinu var pie</w:t>
            </w:r>
            <w:r>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374" w:type="dxa"/>
            <w:gridSpan w:val="5"/>
            <w:vMerge w:val="restart"/>
          </w:tcPr>
          <w:p w:rsidR="00CC232A" w:rsidRPr="00D25E38" w:rsidRDefault="00CC232A" w:rsidP="00800322">
            <w:pPr>
              <w:spacing w:after="0" w:line="240" w:lineRule="auto"/>
              <w:jc w:val="both"/>
              <w:rPr>
                <w:rFonts w:ascii="Times New Roman" w:hAnsi="Times New Roman"/>
                <w:sz w:val="24"/>
                <w:szCs w:val="24"/>
              </w:rPr>
            </w:pPr>
            <w:r>
              <w:rPr>
                <w:rFonts w:ascii="Times New Roman" w:hAnsi="Times New Roman"/>
                <w:sz w:val="24"/>
                <w:szCs w:val="24"/>
              </w:rPr>
              <w:t>S</w:t>
            </w:r>
            <w:r w:rsidRPr="00CC232A">
              <w:rPr>
                <w:rFonts w:ascii="Times New Roman" w:hAnsi="Times New Roman"/>
                <w:sz w:val="24"/>
                <w:szCs w:val="24"/>
              </w:rPr>
              <w:t>askaņā ar likumu “Par valsts budžetu 201</w:t>
            </w:r>
            <w:r w:rsidR="00800322">
              <w:rPr>
                <w:rFonts w:ascii="Times New Roman" w:hAnsi="Times New Roman"/>
                <w:sz w:val="24"/>
                <w:szCs w:val="24"/>
              </w:rPr>
              <w:t>8</w:t>
            </w:r>
            <w:r w:rsidRPr="00CC232A">
              <w:rPr>
                <w:rFonts w:ascii="Times New Roman" w:hAnsi="Times New Roman"/>
                <w:sz w:val="24"/>
                <w:szCs w:val="24"/>
              </w:rPr>
              <w:t>.gadam” un likumu “Par vidēja termiņa budžeta ietvaru 201</w:t>
            </w:r>
            <w:r w:rsidR="00800322">
              <w:rPr>
                <w:rFonts w:ascii="Times New Roman" w:hAnsi="Times New Roman"/>
                <w:sz w:val="24"/>
                <w:szCs w:val="24"/>
              </w:rPr>
              <w:t>8</w:t>
            </w:r>
            <w:r w:rsidRPr="00CC232A">
              <w:rPr>
                <w:rFonts w:ascii="Times New Roman" w:hAnsi="Times New Roman"/>
                <w:sz w:val="24"/>
                <w:szCs w:val="24"/>
              </w:rPr>
              <w:t>., 201</w:t>
            </w:r>
            <w:r w:rsidR="00800322">
              <w:rPr>
                <w:rFonts w:ascii="Times New Roman" w:hAnsi="Times New Roman"/>
                <w:sz w:val="24"/>
                <w:szCs w:val="24"/>
              </w:rPr>
              <w:t>9</w:t>
            </w:r>
            <w:r w:rsidRPr="00CC232A">
              <w:rPr>
                <w:rFonts w:ascii="Times New Roman" w:hAnsi="Times New Roman"/>
                <w:sz w:val="24"/>
                <w:szCs w:val="24"/>
              </w:rPr>
              <w:t>. un 20</w:t>
            </w:r>
            <w:r w:rsidR="00800322">
              <w:rPr>
                <w:rFonts w:ascii="Times New Roman" w:hAnsi="Times New Roman"/>
                <w:sz w:val="24"/>
                <w:szCs w:val="24"/>
              </w:rPr>
              <w:t>20</w:t>
            </w:r>
            <w:r w:rsidRPr="00CC232A">
              <w:rPr>
                <w:rFonts w:ascii="Times New Roman" w:hAnsi="Times New Roman"/>
                <w:sz w:val="24"/>
                <w:szCs w:val="24"/>
              </w:rPr>
              <w:t>. gadam” Zemkopības ministrijas budžeta apakšprogrammā 21.01.00 “Valsts atbalsts lauksaimniecības un lauku attīstībai” 201</w:t>
            </w:r>
            <w:r w:rsidR="00800322">
              <w:rPr>
                <w:rFonts w:ascii="Times New Roman" w:hAnsi="Times New Roman"/>
                <w:sz w:val="24"/>
                <w:szCs w:val="24"/>
              </w:rPr>
              <w:t>8</w:t>
            </w:r>
            <w:r w:rsidRPr="00CC232A">
              <w:rPr>
                <w:rFonts w:ascii="Times New Roman" w:hAnsi="Times New Roman"/>
                <w:sz w:val="24"/>
                <w:szCs w:val="24"/>
              </w:rPr>
              <w:t>. gadam ir ieplānots finansējums 8 72</w:t>
            </w:r>
            <w:r w:rsidR="00800322">
              <w:rPr>
                <w:rFonts w:ascii="Times New Roman" w:hAnsi="Times New Roman"/>
                <w:sz w:val="24"/>
                <w:szCs w:val="24"/>
              </w:rPr>
              <w:t>0</w:t>
            </w:r>
            <w:r w:rsidRPr="00CC232A">
              <w:rPr>
                <w:rFonts w:ascii="Times New Roman" w:hAnsi="Times New Roman"/>
                <w:sz w:val="24"/>
                <w:szCs w:val="24"/>
              </w:rPr>
              <w:t xml:space="preserve"> 490 </w:t>
            </w:r>
            <w:proofErr w:type="spellStart"/>
            <w:r w:rsidRPr="00CC232A">
              <w:rPr>
                <w:rFonts w:ascii="Times New Roman" w:hAnsi="Times New Roman"/>
                <w:i/>
                <w:sz w:val="24"/>
                <w:szCs w:val="24"/>
              </w:rPr>
              <w:t>euro</w:t>
            </w:r>
            <w:proofErr w:type="spellEnd"/>
            <w:r>
              <w:rPr>
                <w:rFonts w:ascii="Times New Roman" w:hAnsi="Times New Roman"/>
                <w:sz w:val="24"/>
                <w:szCs w:val="24"/>
              </w:rPr>
              <w:t>,</w:t>
            </w:r>
            <w:r w:rsidRPr="00CC232A">
              <w:rPr>
                <w:rFonts w:ascii="Times New Roman" w:hAnsi="Times New Roman"/>
                <w:sz w:val="24"/>
                <w:szCs w:val="24"/>
              </w:rPr>
              <w:t xml:space="preserve"> 201</w:t>
            </w:r>
            <w:r w:rsidR="00800322">
              <w:rPr>
                <w:rFonts w:ascii="Times New Roman" w:hAnsi="Times New Roman"/>
                <w:sz w:val="24"/>
                <w:szCs w:val="24"/>
              </w:rPr>
              <w:t>9</w:t>
            </w:r>
            <w:r w:rsidRPr="00CC232A">
              <w:rPr>
                <w:rFonts w:ascii="Times New Roman" w:hAnsi="Times New Roman"/>
                <w:sz w:val="24"/>
                <w:szCs w:val="24"/>
              </w:rPr>
              <w:t>.</w:t>
            </w:r>
            <w:r>
              <w:rPr>
                <w:rFonts w:ascii="Times New Roman" w:hAnsi="Times New Roman"/>
                <w:sz w:val="24"/>
                <w:szCs w:val="24"/>
              </w:rPr>
              <w:t xml:space="preserve">gadam – 8 720 490 </w:t>
            </w:r>
            <w:proofErr w:type="spellStart"/>
            <w:r w:rsidRPr="00CC232A">
              <w:rPr>
                <w:rFonts w:ascii="Times New Roman" w:hAnsi="Times New Roman"/>
                <w:i/>
                <w:sz w:val="24"/>
                <w:szCs w:val="24"/>
              </w:rPr>
              <w:t>euro</w:t>
            </w:r>
            <w:proofErr w:type="spellEnd"/>
            <w:r>
              <w:rPr>
                <w:rFonts w:ascii="Times New Roman" w:hAnsi="Times New Roman"/>
                <w:sz w:val="24"/>
                <w:szCs w:val="24"/>
              </w:rPr>
              <w:t xml:space="preserve"> un </w:t>
            </w:r>
            <w:r w:rsidRPr="00CC232A">
              <w:rPr>
                <w:rFonts w:ascii="Times New Roman" w:hAnsi="Times New Roman"/>
                <w:sz w:val="24"/>
                <w:szCs w:val="24"/>
              </w:rPr>
              <w:t>20</w:t>
            </w:r>
            <w:r w:rsidR="00800322">
              <w:rPr>
                <w:rFonts w:ascii="Times New Roman" w:hAnsi="Times New Roman"/>
                <w:sz w:val="24"/>
                <w:szCs w:val="24"/>
              </w:rPr>
              <w:t>20</w:t>
            </w:r>
            <w:r w:rsidRPr="00CC232A">
              <w:rPr>
                <w:rFonts w:ascii="Times New Roman" w:hAnsi="Times New Roman"/>
                <w:sz w:val="24"/>
                <w:szCs w:val="24"/>
              </w:rPr>
              <w:t xml:space="preserve">.gadam </w:t>
            </w:r>
            <w:r>
              <w:rPr>
                <w:rFonts w:ascii="Times New Roman" w:hAnsi="Times New Roman"/>
                <w:sz w:val="24"/>
                <w:szCs w:val="24"/>
              </w:rPr>
              <w:t xml:space="preserve">– </w:t>
            </w:r>
            <w:r w:rsidRPr="00CC232A">
              <w:rPr>
                <w:rFonts w:ascii="Times New Roman" w:hAnsi="Times New Roman"/>
                <w:sz w:val="24"/>
                <w:szCs w:val="24"/>
              </w:rPr>
              <w:t xml:space="preserve">8 720 490 </w:t>
            </w:r>
            <w:proofErr w:type="spellStart"/>
            <w:r w:rsidRPr="00CC232A">
              <w:rPr>
                <w:rFonts w:ascii="Times New Roman" w:hAnsi="Times New Roman"/>
                <w:i/>
                <w:sz w:val="24"/>
                <w:szCs w:val="24"/>
              </w:rPr>
              <w:t>euro</w:t>
            </w:r>
            <w:proofErr w:type="spellEnd"/>
            <w:r w:rsidRPr="00CC232A">
              <w:rPr>
                <w:rFonts w:ascii="Times New Roman" w:hAnsi="Times New Roman"/>
                <w:sz w:val="24"/>
                <w:szCs w:val="24"/>
              </w:rPr>
              <w:t xml:space="preserve"> apmērā.</w:t>
            </w:r>
          </w:p>
        </w:tc>
      </w:tr>
      <w:tr w:rsidR="00CC232A" w:rsidRPr="00DD49B6" w:rsidTr="00472586">
        <w:trPr>
          <w:jc w:val="center"/>
        </w:trPr>
        <w:tc>
          <w:tcPr>
            <w:tcW w:w="26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6.1. detalizēts ieņēmumu aprēķins</w:t>
            </w:r>
          </w:p>
        </w:tc>
        <w:tc>
          <w:tcPr>
            <w:tcW w:w="6374" w:type="dxa"/>
            <w:gridSpan w:val="5"/>
            <w:vMerge/>
            <w:vAlign w:val="center"/>
          </w:tcPr>
          <w:p w:rsidR="00CC232A" w:rsidRPr="00DD49B6" w:rsidRDefault="00CC232A" w:rsidP="00CC232A">
            <w:pPr>
              <w:pStyle w:val="naisf"/>
              <w:spacing w:before="0" w:beforeAutospacing="0" w:after="0" w:afterAutospacing="0"/>
              <w:rPr>
                <w:b/>
                <w:i/>
              </w:rPr>
            </w:pPr>
          </w:p>
        </w:tc>
      </w:tr>
      <w:tr w:rsidR="00CC232A" w:rsidRPr="00DD49B6" w:rsidTr="00472586">
        <w:trPr>
          <w:jc w:val="center"/>
        </w:trPr>
        <w:tc>
          <w:tcPr>
            <w:tcW w:w="2693" w:type="dxa"/>
          </w:tcPr>
          <w:p w:rsidR="00CC232A" w:rsidRPr="00DD49B6" w:rsidRDefault="00CC232A" w:rsidP="00CC232A">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374" w:type="dxa"/>
            <w:gridSpan w:val="5"/>
            <w:vMerge/>
            <w:vAlign w:val="center"/>
          </w:tcPr>
          <w:p w:rsidR="00CC232A" w:rsidRPr="00DD49B6" w:rsidRDefault="00CC232A" w:rsidP="00CC232A">
            <w:pPr>
              <w:pStyle w:val="naisf"/>
              <w:spacing w:before="0" w:beforeAutospacing="0" w:after="0" w:afterAutospacing="0"/>
              <w:rPr>
                <w:b/>
                <w:i/>
              </w:rPr>
            </w:pPr>
          </w:p>
        </w:tc>
      </w:tr>
      <w:tr w:rsidR="00800322" w:rsidRPr="00DD49B6" w:rsidTr="00472586">
        <w:trPr>
          <w:jc w:val="center"/>
        </w:trPr>
        <w:tc>
          <w:tcPr>
            <w:tcW w:w="2693" w:type="dxa"/>
          </w:tcPr>
          <w:p w:rsidR="00800322" w:rsidRPr="00DD49B6" w:rsidRDefault="00800322" w:rsidP="00CC232A">
            <w:pPr>
              <w:spacing w:after="0" w:line="240" w:lineRule="auto"/>
              <w:rPr>
                <w:rFonts w:ascii="Times New Roman" w:hAnsi="Times New Roman" w:cs="Times New Roman"/>
                <w:sz w:val="24"/>
                <w:szCs w:val="24"/>
              </w:rPr>
            </w:pPr>
            <w:r w:rsidRPr="00800322">
              <w:rPr>
                <w:rFonts w:ascii="Times New Roman" w:hAnsi="Times New Roman" w:cs="Times New Roman"/>
                <w:sz w:val="24"/>
                <w:szCs w:val="24"/>
              </w:rPr>
              <w:t>7. Amata vietu skaita izmaiņas</w:t>
            </w:r>
          </w:p>
        </w:tc>
        <w:tc>
          <w:tcPr>
            <w:tcW w:w="6374" w:type="dxa"/>
            <w:gridSpan w:val="5"/>
            <w:vAlign w:val="center"/>
          </w:tcPr>
          <w:p w:rsidR="00800322" w:rsidRPr="00800322" w:rsidRDefault="00800322" w:rsidP="00CC232A">
            <w:pPr>
              <w:pStyle w:val="naisf"/>
              <w:spacing w:before="0" w:beforeAutospacing="0" w:after="0" w:afterAutospacing="0"/>
              <w:rPr>
                <w:b/>
              </w:rPr>
            </w:pPr>
            <w:r w:rsidRPr="00800322">
              <w:t>Projekts šo jomu neskar</w:t>
            </w:r>
            <w:r>
              <w:t>.</w:t>
            </w:r>
          </w:p>
        </w:tc>
      </w:tr>
      <w:tr w:rsidR="00CC232A" w:rsidRPr="00DD49B6" w:rsidTr="00472586">
        <w:trPr>
          <w:trHeight w:val="556"/>
          <w:jc w:val="center"/>
        </w:trPr>
        <w:tc>
          <w:tcPr>
            <w:tcW w:w="2693" w:type="dxa"/>
          </w:tcPr>
          <w:p w:rsidR="00CC232A" w:rsidRPr="00DD49B6" w:rsidRDefault="00800322" w:rsidP="00CC232A">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C232A" w:rsidRPr="00DD49B6">
              <w:rPr>
                <w:rFonts w:ascii="Times New Roman" w:hAnsi="Times New Roman" w:cs="Times New Roman"/>
                <w:sz w:val="24"/>
                <w:szCs w:val="24"/>
              </w:rPr>
              <w:t>. Cita informācija</w:t>
            </w:r>
          </w:p>
        </w:tc>
        <w:tc>
          <w:tcPr>
            <w:tcW w:w="6374" w:type="dxa"/>
            <w:gridSpan w:val="5"/>
          </w:tcPr>
          <w:p w:rsidR="00CC232A" w:rsidRPr="00DE37D5" w:rsidRDefault="00CC232A" w:rsidP="00800322">
            <w:pPr>
              <w:spacing w:after="0" w:line="240" w:lineRule="auto"/>
              <w:ind w:firstLine="127"/>
              <w:jc w:val="both"/>
              <w:rPr>
                <w:rFonts w:ascii="Times New Roman" w:hAnsi="Times New Roman"/>
                <w:sz w:val="24"/>
                <w:szCs w:val="24"/>
              </w:rPr>
            </w:pPr>
            <w:r w:rsidRPr="00B232A4">
              <w:rPr>
                <w:rFonts w:ascii="Times New Roman" w:hAnsi="Times New Roman"/>
                <w:sz w:val="24"/>
                <w:szCs w:val="24"/>
              </w:rPr>
              <w:t>Noteikumu projekta īstenošana neietekmē valsts budžetu, jo nosaka kārtību, kādā tiek piešķirt</w:t>
            </w:r>
            <w:r>
              <w:rPr>
                <w:rFonts w:ascii="Times New Roman" w:hAnsi="Times New Roman"/>
                <w:sz w:val="24"/>
                <w:szCs w:val="24"/>
              </w:rPr>
              <w:t>s</w:t>
            </w:r>
            <w:r w:rsidRPr="00B232A4">
              <w:rPr>
                <w:rFonts w:ascii="Times New Roman" w:hAnsi="Times New Roman"/>
                <w:sz w:val="24"/>
                <w:szCs w:val="24"/>
              </w:rPr>
              <w:t xml:space="preserve"> likumā </w:t>
            </w:r>
            <w:r>
              <w:rPr>
                <w:rFonts w:ascii="Times New Roman" w:hAnsi="Times New Roman"/>
                <w:sz w:val="24"/>
                <w:szCs w:val="24"/>
              </w:rPr>
              <w:t>„</w:t>
            </w:r>
            <w:r w:rsidRPr="00B232A4">
              <w:rPr>
                <w:rFonts w:ascii="Times New Roman" w:hAnsi="Times New Roman"/>
                <w:sz w:val="24"/>
                <w:szCs w:val="24"/>
              </w:rPr>
              <w:t>Par valsts budžetu 201</w:t>
            </w:r>
            <w:r w:rsidR="00800322">
              <w:rPr>
                <w:rFonts w:ascii="Times New Roman" w:hAnsi="Times New Roman"/>
                <w:sz w:val="24"/>
                <w:szCs w:val="24"/>
              </w:rPr>
              <w:t>8</w:t>
            </w:r>
            <w:r w:rsidRPr="00B232A4">
              <w:rPr>
                <w:rFonts w:ascii="Times New Roman" w:hAnsi="Times New Roman"/>
                <w:sz w:val="24"/>
                <w:szCs w:val="24"/>
              </w:rPr>
              <w:t>.gadam</w:t>
            </w:r>
            <w:r>
              <w:rPr>
                <w:rFonts w:ascii="Times New Roman" w:hAnsi="Times New Roman"/>
                <w:sz w:val="24"/>
                <w:szCs w:val="24"/>
              </w:rPr>
              <w:t>” Zemkopības ministrijas budžeta apakšprogrammā 21.01.00 „Valsts atbalsts lauksaimniecībai un lauku attīstībai” valsts atbalstam</w:t>
            </w:r>
            <w:r w:rsidRPr="00B232A4">
              <w:rPr>
                <w:rFonts w:ascii="Times New Roman" w:hAnsi="Times New Roman"/>
                <w:sz w:val="24"/>
                <w:szCs w:val="24"/>
              </w:rPr>
              <w:t xml:space="preserve"> </w:t>
            </w:r>
            <w:r>
              <w:rPr>
                <w:rFonts w:ascii="Times New Roman" w:hAnsi="Times New Roman"/>
                <w:sz w:val="24"/>
                <w:szCs w:val="24"/>
              </w:rPr>
              <w:t>apstiprinātais finansējums, kas 201</w:t>
            </w:r>
            <w:r w:rsidR="00800322">
              <w:rPr>
                <w:rFonts w:ascii="Times New Roman" w:hAnsi="Times New Roman"/>
                <w:sz w:val="24"/>
                <w:szCs w:val="24"/>
              </w:rPr>
              <w:t>8</w:t>
            </w:r>
            <w:r>
              <w:rPr>
                <w:rFonts w:ascii="Times New Roman" w:hAnsi="Times New Roman"/>
                <w:sz w:val="24"/>
                <w:szCs w:val="24"/>
              </w:rPr>
              <w:t>.gadā ir paredzēts 8 72</w:t>
            </w:r>
            <w:r w:rsidR="00800322">
              <w:rPr>
                <w:rFonts w:ascii="Times New Roman" w:hAnsi="Times New Roman"/>
                <w:sz w:val="24"/>
                <w:szCs w:val="24"/>
              </w:rPr>
              <w:t>0</w:t>
            </w:r>
            <w:r>
              <w:rPr>
                <w:rFonts w:ascii="Times New Roman" w:hAnsi="Times New Roman"/>
                <w:sz w:val="24"/>
                <w:szCs w:val="24"/>
              </w:rPr>
              <w:t xml:space="preserve"> 490 </w:t>
            </w:r>
            <w:proofErr w:type="spellStart"/>
            <w:r w:rsidRPr="003665A2">
              <w:rPr>
                <w:rFonts w:ascii="Times New Roman" w:hAnsi="Times New Roman"/>
                <w:i/>
                <w:sz w:val="24"/>
                <w:szCs w:val="24"/>
              </w:rPr>
              <w:t>euro</w:t>
            </w:r>
            <w:proofErr w:type="spellEnd"/>
            <w:r>
              <w:rPr>
                <w:rFonts w:ascii="Times New Roman" w:hAnsi="Times New Roman"/>
                <w:sz w:val="24"/>
                <w:szCs w:val="24"/>
              </w:rPr>
              <w:t xml:space="preserve"> apmērā.</w:t>
            </w:r>
          </w:p>
        </w:tc>
      </w:tr>
    </w:tbl>
    <w:p w:rsidR="00472586" w:rsidRDefault="00472586" w:rsidP="000330A2">
      <w:pPr>
        <w:spacing w:after="0" w:line="240" w:lineRule="auto"/>
        <w:rPr>
          <w:rFonts w:ascii="Times New Roman" w:hAnsi="Times New Roman" w:cs="Times New Roman"/>
          <w:i/>
          <w:sz w:val="24"/>
          <w:szCs w:val="24"/>
        </w:rPr>
      </w:pPr>
    </w:p>
    <w:tbl>
      <w:tblPr>
        <w:tblStyle w:val="Reatabula"/>
        <w:tblW w:w="0" w:type="auto"/>
        <w:tblLook w:val="04A0" w:firstRow="1" w:lastRow="0" w:firstColumn="1" w:lastColumn="0" w:noHBand="0" w:noVBand="1"/>
      </w:tblPr>
      <w:tblGrid>
        <w:gridCol w:w="9061"/>
      </w:tblGrid>
      <w:tr w:rsidR="00800322" w:rsidTr="00800322">
        <w:tc>
          <w:tcPr>
            <w:tcW w:w="9061" w:type="dxa"/>
          </w:tcPr>
          <w:p w:rsidR="00800322" w:rsidRDefault="00800322" w:rsidP="00800322">
            <w:pPr>
              <w:jc w:val="center"/>
              <w:rPr>
                <w:rFonts w:ascii="Times New Roman" w:hAnsi="Times New Roman" w:cs="Times New Roman"/>
                <w:sz w:val="24"/>
                <w:szCs w:val="24"/>
              </w:rPr>
            </w:pPr>
            <w:r w:rsidRPr="00800322">
              <w:rPr>
                <w:rFonts w:ascii="Times New Roman" w:hAnsi="Times New Roman" w:cs="Times New Roman"/>
                <w:b/>
                <w:bCs/>
                <w:sz w:val="24"/>
                <w:szCs w:val="24"/>
              </w:rPr>
              <w:t>IV. Tiesību akta projekta ietekme uz spēkā esošo tiesību normu sistēmu</w:t>
            </w:r>
          </w:p>
        </w:tc>
      </w:tr>
      <w:tr w:rsidR="00800322" w:rsidTr="00800322">
        <w:tc>
          <w:tcPr>
            <w:tcW w:w="9061" w:type="dxa"/>
          </w:tcPr>
          <w:p w:rsidR="00800322" w:rsidRDefault="00800322" w:rsidP="00800322">
            <w:pPr>
              <w:jc w:val="center"/>
              <w:rPr>
                <w:rFonts w:ascii="Times New Roman" w:hAnsi="Times New Roman" w:cs="Times New Roman"/>
                <w:sz w:val="24"/>
                <w:szCs w:val="24"/>
              </w:rPr>
            </w:pPr>
            <w:r w:rsidRPr="00800322">
              <w:rPr>
                <w:rFonts w:ascii="Times New Roman" w:hAnsi="Times New Roman" w:cs="Times New Roman"/>
                <w:sz w:val="24"/>
                <w:szCs w:val="24"/>
              </w:rPr>
              <w:t>Projekts šo jomu neskar.</w:t>
            </w:r>
          </w:p>
        </w:tc>
      </w:tr>
    </w:tbl>
    <w:p w:rsidR="00472586" w:rsidRDefault="00472586" w:rsidP="000330A2">
      <w:pPr>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9061"/>
      </w:tblGrid>
      <w:tr w:rsidR="00800322" w:rsidTr="00800322">
        <w:tc>
          <w:tcPr>
            <w:tcW w:w="9061" w:type="dxa"/>
          </w:tcPr>
          <w:p w:rsidR="00800322" w:rsidRDefault="00800322" w:rsidP="00800322">
            <w:pPr>
              <w:jc w:val="center"/>
              <w:rPr>
                <w:rFonts w:ascii="Times New Roman" w:hAnsi="Times New Roman" w:cs="Times New Roman"/>
                <w:sz w:val="24"/>
                <w:szCs w:val="24"/>
              </w:rPr>
            </w:pPr>
            <w:r w:rsidRPr="00800322">
              <w:rPr>
                <w:rFonts w:ascii="Times New Roman" w:hAnsi="Times New Roman" w:cs="Times New Roman"/>
                <w:b/>
                <w:bCs/>
                <w:sz w:val="24"/>
                <w:szCs w:val="24"/>
              </w:rPr>
              <w:t>V. Tiesību akta projekta atbilstība Latvijas Republikas starptautiskajām saistībām</w:t>
            </w:r>
          </w:p>
        </w:tc>
      </w:tr>
      <w:tr w:rsidR="00800322" w:rsidTr="00800322">
        <w:tc>
          <w:tcPr>
            <w:tcW w:w="9061" w:type="dxa"/>
          </w:tcPr>
          <w:p w:rsidR="00800322" w:rsidRDefault="00800322" w:rsidP="00800322">
            <w:pPr>
              <w:jc w:val="center"/>
              <w:rPr>
                <w:rFonts w:ascii="Times New Roman" w:hAnsi="Times New Roman" w:cs="Times New Roman"/>
                <w:sz w:val="24"/>
                <w:szCs w:val="24"/>
              </w:rPr>
            </w:pPr>
            <w:r w:rsidRPr="00800322">
              <w:rPr>
                <w:rFonts w:ascii="Times New Roman" w:hAnsi="Times New Roman" w:cs="Times New Roman"/>
                <w:sz w:val="24"/>
                <w:szCs w:val="24"/>
              </w:rPr>
              <w:t>Projekts šo jomu neskar.</w:t>
            </w:r>
          </w:p>
        </w:tc>
      </w:tr>
    </w:tbl>
    <w:p w:rsidR="00472586" w:rsidRDefault="00472586" w:rsidP="000330A2">
      <w:pPr>
        <w:spacing w:after="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5749"/>
      </w:tblGrid>
      <w:tr w:rsidR="000330A2" w:rsidRPr="00DD49B6" w:rsidTr="00472586">
        <w:trPr>
          <w:trHeight w:val="421"/>
          <w:jc w:val="center"/>
        </w:trPr>
        <w:tc>
          <w:tcPr>
            <w:tcW w:w="9067" w:type="dxa"/>
            <w:gridSpan w:val="3"/>
            <w:vAlign w:val="center"/>
          </w:tcPr>
          <w:p w:rsidR="000330A2" w:rsidRPr="00DD49B6" w:rsidRDefault="000330A2" w:rsidP="00B84678">
            <w:pPr>
              <w:pStyle w:val="naisnod"/>
              <w:spacing w:before="0" w:beforeAutospacing="0" w:after="0" w:afterAutospacing="0"/>
              <w:ind w:left="57" w:right="57"/>
              <w:jc w:val="center"/>
            </w:pPr>
            <w:r w:rsidRPr="00DD49B6">
              <w:rPr>
                <w:b/>
              </w:rPr>
              <w:t>VI. Sabiedrības līdzdalība un komunikācijas aktivitātes</w:t>
            </w:r>
          </w:p>
        </w:tc>
      </w:tr>
      <w:tr w:rsidR="000330A2" w:rsidRPr="00DD49B6" w:rsidTr="00472586">
        <w:trPr>
          <w:trHeight w:val="553"/>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rsidR="000330A2" w:rsidRPr="00DD49B6" w:rsidRDefault="000330A2" w:rsidP="00B84678">
            <w:pPr>
              <w:tabs>
                <w:tab w:val="left" w:pos="170"/>
              </w:tabs>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Plānotās sabiedrības līdzdalības un komunikācijas aktivitātes saistībā ar projektu</w:t>
            </w:r>
          </w:p>
        </w:tc>
        <w:tc>
          <w:tcPr>
            <w:tcW w:w="5749" w:type="dxa"/>
          </w:tcPr>
          <w:p w:rsidR="000330A2" w:rsidRPr="00DD49B6" w:rsidRDefault="008B4DF4" w:rsidP="006C485A">
            <w:pPr>
              <w:shd w:val="clear" w:color="auto" w:fill="FFFFFF"/>
              <w:spacing w:after="0" w:line="240" w:lineRule="auto"/>
              <w:ind w:left="169"/>
              <w:jc w:val="both"/>
              <w:rPr>
                <w:rFonts w:ascii="Times New Roman" w:hAnsi="Times New Roman" w:cs="Times New Roman"/>
                <w:sz w:val="24"/>
                <w:szCs w:val="24"/>
              </w:rPr>
            </w:pPr>
            <w:bookmarkStart w:id="3" w:name="p61"/>
            <w:bookmarkEnd w:id="3"/>
            <w:r w:rsidRPr="00B232A4">
              <w:rPr>
                <w:rFonts w:ascii="Times New Roman" w:hAnsi="Times New Roman"/>
                <w:iCs/>
                <w:sz w:val="24"/>
                <w:szCs w:val="24"/>
              </w:rPr>
              <w:t>Par noteikumu projektu</w:t>
            </w:r>
            <w:r w:rsidRPr="00B232A4">
              <w:rPr>
                <w:rFonts w:ascii="Times New Roman" w:hAnsi="Times New Roman"/>
                <w:sz w:val="24"/>
                <w:szCs w:val="24"/>
              </w:rPr>
              <w:t xml:space="preserve"> lauksaimnieku nevalstiskās organizācijas un zinātniskās institūcijas </w:t>
            </w:r>
            <w:r w:rsidRPr="00B232A4">
              <w:rPr>
                <w:rFonts w:ascii="Times New Roman" w:hAnsi="Times New Roman"/>
                <w:iCs/>
                <w:sz w:val="24"/>
                <w:szCs w:val="24"/>
              </w:rPr>
              <w:t xml:space="preserve">ir informētas, </w:t>
            </w:r>
            <w:r w:rsidR="006C485A">
              <w:rPr>
                <w:rFonts w:ascii="Times New Roman" w:hAnsi="Times New Roman"/>
                <w:iCs/>
                <w:sz w:val="24"/>
                <w:szCs w:val="24"/>
              </w:rPr>
              <w:t xml:space="preserve">tām </w:t>
            </w:r>
            <w:r w:rsidR="006C485A" w:rsidRPr="001F0D3D">
              <w:rPr>
                <w:rFonts w:ascii="Times New Roman" w:hAnsi="Times New Roman"/>
                <w:sz w:val="24"/>
                <w:szCs w:val="24"/>
              </w:rPr>
              <w:t>elektroniski</w:t>
            </w:r>
            <w:r w:rsidR="006C485A" w:rsidRPr="00B232A4">
              <w:rPr>
                <w:rFonts w:ascii="Times New Roman" w:hAnsi="Times New Roman"/>
                <w:iCs/>
                <w:sz w:val="24"/>
                <w:szCs w:val="24"/>
              </w:rPr>
              <w:t xml:space="preserve"> </w:t>
            </w:r>
            <w:r w:rsidRPr="00B232A4">
              <w:rPr>
                <w:rFonts w:ascii="Times New Roman" w:hAnsi="Times New Roman"/>
                <w:iCs/>
                <w:sz w:val="24"/>
                <w:szCs w:val="24"/>
              </w:rPr>
              <w:t xml:space="preserve">nosūtot noteikumu </w:t>
            </w:r>
            <w:r w:rsidRPr="001F0D3D">
              <w:rPr>
                <w:rFonts w:ascii="Times New Roman" w:hAnsi="Times New Roman"/>
                <w:iCs/>
                <w:sz w:val="24"/>
                <w:szCs w:val="24"/>
              </w:rPr>
              <w:t>projektu</w:t>
            </w:r>
            <w:r w:rsidR="009E4773">
              <w:rPr>
                <w:rFonts w:ascii="Times New Roman" w:hAnsi="Times New Roman"/>
                <w:sz w:val="24"/>
                <w:szCs w:val="24"/>
              </w:rPr>
              <w:t>.</w:t>
            </w:r>
          </w:p>
        </w:tc>
      </w:tr>
      <w:tr w:rsidR="000330A2" w:rsidRPr="00DD49B6" w:rsidTr="00472586">
        <w:trPr>
          <w:trHeight w:val="339"/>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 projekta izstrādē</w:t>
            </w:r>
          </w:p>
        </w:tc>
        <w:tc>
          <w:tcPr>
            <w:tcW w:w="5749" w:type="dxa"/>
          </w:tcPr>
          <w:p w:rsidR="000330A2" w:rsidRPr="00DD49B6" w:rsidRDefault="008B4DF4" w:rsidP="00002603">
            <w:pPr>
              <w:shd w:val="clear" w:color="auto" w:fill="FFFFFF"/>
              <w:spacing w:after="0" w:line="240" w:lineRule="auto"/>
              <w:ind w:left="169"/>
              <w:jc w:val="both"/>
              <w:rPr>
                <w:rFonts w:ascii="Times New Roman" w:hAnsi="Times New Roman" w:cs="Times New Roman"/>
                <w:sz w:val="24"/>
                <w:szCs w:val="24"/>
              </w:rPr>
            </w:pPr>
            <w:bookmarkStart w:id="4" w:name="p62"/>
            <w:bookmarkEnd w:id="4"/>
            <w:r>
              <w:rPr>
                <w:rFonts w:ascii="Times New Roman" w:hAnsi="Times New Roman"/>
                <w:sz w:val="24"/>
                <w:szCs w:val="24"/>
              </w:rPr>
              <w:t xml:space="preserve">Noteikumu projekta izstrādē iesaistījās </w:t>
            </w:r>
            <w:r w:rsidRPr="00B232A4">
              <w:rPr>
                <w:rFonts w:ascii="Times New Roman" w:hAnsi="Times New Roman"/>
                <w:sz w:val="24"/>
                <w:szCs w:val="24"/>
              </w:rPr>
              <w:t xml:space="preserve">Lauksaimniecības </w:t>
            </w:r>
            <w:r w:rsidR="00002603">
              <w:rPr>
                <w:rFonts w:ascii="Times New Roman" w:hAnsi="Times New Roman"/>
                <w:sz w:val="24"/>
                <w:szCs w:val="24"/>
              </w:rPr>
              <w:t>o</w:t>
            </w:r>
            <w:r w:rsidRPr="00B232A4">
              <w:rPr>
                <w:rFonts w:ascii="Times New Roman" w:hAnsi="Times New Roman"/>
                <w:sz w:val="24"/>
                <w:szCs w:val="24"/>
              </w:rPr>
              <w:t xml:space="preserve">rganizāciju sadarbības padome un šķirnes dzīvnieku audzētāju organizācijas – </w:t>
            </w:r>
            <w:r w:rsidRPr="00B232A4">
              <w:rPr>
                <w:rFonts w:ascii="Times New Roman" w:hAnsi="Times New Roman"/>
                <w:bCs/>
                <w:color w:val="000000"/>
                <w:sz w:val="24"/>
                <w:szCs w:val="24"/>
              </w:rPr>
              <w:t xml:space="preserve">Latvijas Zirgaudzētāju biedrība, Latvijas </w:t>
            </w:r>
            <w:r>
              <w:rPr>
                <w:rFonts w:ascii="Times New Roman" w:hAnsi="Times New Roman"/>
                <w:bCs/>
                <w:color w:val="000000"/>
                <w:sz w:val="24"/>
                <w:szCs w:val="24"/>
              </w:rPr>
              <w:t>Š</w:t>
            </w:r>
            <w:r w:rsidRPr="00B232A4">
              <w:rPr>
                <w:rFonts w:ascii="Times New Roman" w:hAnsi="Times New Roman"/>
                <w:bCs/>
                <w:color w:val="000000"/>
                <w:sz w:val="24"/>
                <w:szCs w:val="24"/>
              </w:rPr>
              <w:t xml:space="preserve">ķirnes zirgu audzētāju asociācija, Latvijas </w:t>
            </w:r>
            <w:r>
              <w:rPr>
                <w:rFonts w:ascii="Times New Roman" w:hAnsi="Times New Roman"/>
                <w:bCs/>
                <w:color w:val="000000"/>
                <w:sz w:val="24"/>
                <w:szCs w:val="24"/>
              </w:rPr>
              <w:t>Š</w:t>
            </w:r>
            <w:r w:rsidRPr="00B232A4">
              <w:rPr>
                <w:rFonts w:ascii="Times New Roman" w:hAnsi="Times New Roman"/>
                <w:bCs/>
                <w:color w:val="000000"/>
                <w:sz w:val="24"/>
                <w:szCs w:val="24"/>
              </w:rPr>
              <w:t xml:space="preserve">ķirnes dzīvnieku audzētāju savienība, Cūku </w:t>
            </w:r>
            <w:r>
              <w:rPr>
                <w:rFonts w:ascii="Times New Roman" w:hAnsi="Times New Roman"/>
                <w:bCs/>
                <w:color w:val="000000"/>
                <w:sz w:val="24"/>
                <w:szCs w:val="24"/>
              </w:rPr>
              <w:t>C</w:t>
            </w:r>
            <w:r w:rsidRPr="00B232A4">
              <w:rPr>
                <w:rFonts w:ascii="Times New Roman" w:hAnsi="Times New Roman"/>
                <w:bCs/>
                <w:color w:val="000000"/>
                <w:sz w:val="24"/>
                <w:szCs w:val="24"/>
              </w:rPr>
              <w:t xml:space="preserve">iltsdarba centrs, </w:t>
            </w:r>
            <w:r w:rsidR="00C70E93">
              <w:rPr>
                <w:rFonts w:ascii="Times New Roman" w:hAnsi="Times New Roman"/>
                <w:bCs/>
                <w:color w:val="000000"/>
                <w:sz w:val="24"/>
                <w:szCs w:val="24"/>
              </w:rPr>
              <w:t xml:space="preserve">SIA </w:t>
            </w:r>
            <w:r w:rsidR="006C485A">
              <w:rPr>
                <w:rFonts w:ascii="Times New Roman" w:hAnsi="Times New Roman"/>
                <w:bCs/>
                <w:color w:val="000000"/>
                <w:sz w:val="24"/>
                <w:szCs w:val="24"/>
              </w:rPr>
              <w:t>“</w:t>
            </w:r>
            <w:proofErr w:type="spellStart"/>
            <w:r w:rsidRPr="00B232A4">
              <w:rPr>
                <w:rFonts w:ascii="Times New Roman" w:hAnsi="Times New Roman"/>
                <w:bCs/>
                <w:color w:val="000000"/>
                <w:sz w:val="24"/>
                <w:szCs w:val="24"/>
              </w:rPr>
              <w:t>Agrosels</w:t>
            </w:r>
            <w:proofErr w:type="spellEnd"/>
            <w:r w:rsidR="006C485A">
              <w:rPr>
                <w:rFonts w:ascii="Times New Roman" w:hAnsi="Times New Roman"/>
                <w:bCs/>
                <w:color w:val="000000"/>
                <w:sz w:val="24"/>
                <w:szCs w:val="24"/>
              </w:rPr>
              <w:t>”</w:t>
            </w:r>
            <w:r w:rsidRPr="00B232A4">
              <w:rPr>
                <w:rFonts w:ascii="Times New Roman" w:hAnsi="Times New Roman"/>
                <w:bCs/>
                <w:color w:val="000000"/>
                <w:sz w:val="24"/>
                <w:szCs w:val="24"/>
              </w:rPr>
              <w:t xml:space="preserve">, Latvijas </w:t>
            </w:r>
            <w:r>
              <w:rPr>
                <w:rFonts w:ascii="Times New Roman" w:hAnsi="Times New Roman"/>
                <w:bCs/>
                <w:color w:val="000000"/>
                <w:sz w:val="24"/>
                <w:szCs w:val="24"/>
              </w:rPr>
              <w:t>A</w:t>
            </w:r>
            <w:r w:rsidRPr="00B232A4">
              <w:rPr>
                <w:rFonts w:ascii="Times New Roman" w:hAnsi="Times New Roman"/>
                <w:bCs/>
                <w:color w:val="000000"/>
                <w:sz w:val="24"/>
                <w:szCs w:val="24"/>
              </w:rPr>
              <w:t xml:space="preserve">itu audzētāju asociācija, Latvijas </w:t>
            </w:r>
            <w:proofErr w:type="spellStart"/>
            <w:r>
              <w:rPr>
                <w:rFonts w:ascii="Times New Roman" w:hAnsi="Times New Roman"/>
                <w:bCs/>
                <w:color w:val="000000"/>
                <w:sz w:val="24"/>
                <w:szCs w:val="24"/>
              </w:rPr>
              <w:t>S</w:t>
            </w:r>
            <w:r w:rsidRPr="00B232A4">
              <w:rPr>
                <w:rFonts w:ascii="Times New Roman" w:hAnsi="Times New Roman"/>
                <w:bCs/>
                <w:color w:val="000000"/>
                <w:sz w:val="24"/>
                <w:szCs w:val="24"/>
              </w:rPr>
              <w:t>īkdzīvnieku</w:t>
            </w:r>
            <w:proofErr w:type="spellEnd"/>
            <w:r w:rsidRPr="00B232A4">
              <w:rPr>
                <w:rFonts w:ascii="Times New Roman" w:hAnsi="Times New Roman"/>
                <w:bCs/>
                <w:color w:val="000000"/>
                <w:sz w:val="24"/>
                <w:szCs w:val="24"/>
              </w:rPr>
              <w:t xml:space="preserve"> audzētāju biedrība “Trusis un citi”, Latvijas </w:t>
            </w:r>
            <w:r>
              <w:rPr>
                <w:rFonts w:ascii="Times New Roman" w:hAnsi="Times New Roman"/>
                <w:bCs/>
                <w:color w:val="000000"/>
                <w:sz w:val="24"/>
                <w:szCs w:val="24"/>
              </w:rPr>
              <w:t>G</w:t>
            </w:r>
            <w:r w:rsidRPr="00B232A4">
              <w:rPr>
                <w:rFonts w:ascii="Times New Roman" w:hAnsi="Times New Roman"/>
                <w:bCs/>
                <w:color w:val="000000"/>
                <w:sz w:val="24"/>
                <w:szCs w:val="24"/>
              </w:rPr>
              <w:t xml:space="preserve">aļas liellopu audzētāju asociācija, Latvijas </w:t>
            </w:r>
            <w:proofErr w:type="spellStart"/>
            <w:r w:rsidRPr="00B232A4">
              <w:rPr>
                <w:rFonts w:ascii="Times New Roman" w:hAnsi="Times New Roman"/>
                <w:bCs/>
                <w:color w:val="000000"/>
                <w:sz w:val="24"/>
                <w:szCs w:val="24"/>
              </w:rPr>
              <w:t>Holšteinas</w:t>
            </w:r>
            <w:proofErr w:type="spellEnd"/>
            <w:r w:rsidRPr="00B232A4">
              <w:rPr>
                <w:rFonts w:ascii="Times New Roman" w:hAnsi="Times New Roman"/>
                <w:bCs/>
                <w:color w:val="000000"/>
                <w:sz w:val="24"/>
                <w:szCs w:val="24"/>
              </w:rPr>
              <w:t xml:space="preserve"> šķirnes lopu audzētāju asociācija, Savvaļas </w:t>
            </w:r>
            <w:r>
              <w:rPr>
                <w:rFonts w:ascii="Times New Roman" w:hAnsi="Times New Roman"/>
                <w:bCs/>
                <w:color w:val="000000"/>
                <w:sz w:val="24"/>
                <w:szCs w:val="24"/>
              </w:rPr>
              <w:t>D</w:t>
            </w:r>
            <w:r w:rsidRPr="00B232A4">
              <w:rPr>
                <w:rFonts w:ascii="Times New Roman" w:hAnsi="Times New Roman"/>
                <w:bCs/>
                <w:color w:val="000000"/>
                <w:sz w:val="24"/>
                <w:szCs w:val="24"/>
              </w:rPr>
              <w:t xml:space="preserve">zīvnieku audzētāju asociācija, Latvijas </w:t>
            </w:r>
            <w:r>
              <w:rPr>
                <w:rFonts w:ascii="Times New Roman" w:hAnsi="Times New Roman"/>
                <w:bCs/>
                <w:color w:val="000000"/>
                <w:sz w:val="24"/>
                <w:szCs w:val="24"/>
              </w:rPr>
              <w:t>Š</w:t>
            </w:r>
            <w:r w:rsidRPr="00B232A4">
              <w:rPr>
                <w:rFonts w:ascii="Times New Roman" w:hAnsi="Times New Roman"/>
                <w:bCs/>
                <w:color w:val="000000"/>
                <w:sz w:val="24"/>
                <w:szCs w:val="24"/>
              </w:rPr>
              <w:t>ķirnes trušu audzētāju asociācija</w:t>
            </w:r>
            <w:r w:rsidR="00CC61C0">
              <w:rPr>
                <w:rFonts w:ascii="Times New Roman" w:hAnsi="Times New Roman"/>
                <w:bCs/>
                <w:color w:val="000000"/>
                <w:sz w:val="24"/>
                <w:szCs w:val="24"/>
              </w:rPr>
              <w:t xml:space="preserve"> </w:t>
            </w:r>
            <w:r w:rsidR="00002603">
              <w:rPr>
                <w:rFonts w:ascii="Times New Roman" w:hAnsi="Times New Roman"/>
                <w:bCs/>
                <w:color w:val="000000"/>
                <w:sz w:val="24"/>
                <w:szCs w:val="24"/>
              </w:rPr>
              <w:t>un</w:t>
            </w:r>
            <w:r w:rsidR="00002603" w:rsidRPr="00B232A4">
              <w:rPr>
                <w:rFonts w:ascii="Times New Roman" w:hAnsi="Times New Roman"/>
                <w:bCs/>
                <w:color w:val="000000"/>
                <w:sz w:val="24"/>
                <w:szCs w:val="24"/>
              </w:rPr>
              <w:t xml:space="preserve"> </w:t>
            </w:r>
            <w:r w:rsidRPr="00B232A4">
              <w:rPr>
                <w:rFonts w:ascii="Times New Roman" w:hAnsi="Times New Roman"/>
                <w:bCs/>
                <w:color w:val="000000"/>
                <w:sz w:val="24"/>
                <w:szCs w:val="24"/>
              </w:rPr>
              <w:t xml:space="preserve">Latvijas </w:t>
            </w:r>
            <w:r>
              <w:rPr>
                <w:rFonts w:ascii="Times New Roman" w:hAnsi="Times New Roman"/>
                <w:bCs/>
                <w:color w:val="000000"/>
                <w:sz w:val="24"/>
                <w:szCs w:val="24"/>
              </w:rPr>
              <w:t>K</w:t>
            </w:r>
            <w:r w:rsidRPr="00B232A4">
              <w:rPr>
                <w:rFonts w:ascii="Times New Roman" w:hAnsi="Times New Roman"/>
                <w:bCs/>
                <w:color w:val="000000"/>
                <w:sz w:val="24"/>
                <w:szCs w:val="24"/>
              </w:rPr>
              <w:t>azkopības biedrība</w:t>
            </w:r>
            <w:r w:rsidRPr="00B232A4">
              <w:rPr>
                <w:rFonts w:ascii="Times New Roman" w:hAnsi="Times New Roman"/>
                <w:sz w:val="24"/>
                <w:szCs w:val="24"/>
              </w:rPr>
              <w:t>.</w:t>
            </w:r>
          </w:p>
        </w:tc>
      </w:tr>
      <w:tr w:rsidR="000330A2" w:rsidRPr="00DD49B6" w:rsidTr="00472586">
        <w:trPr>
          <w:trHeight w:val="476"/>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līdzdalības rezultāti</w:t>
            </w:r>
          </w:p>
        </w:tc>
        <w:tc>
          <w:tcPr>
            <w:tcW w:w="5749" w:type="dxa"/>
          </w:tcPr>
          <w:p w:rsidR="000330A2" w:rsidRPr="00DD49B6" w:rsidRDefault="009E4773" w:rsidP="00800322">
            <w:pPr>
              <w:shd w:val="clear" w:color="auto" w:fill="FFFFFF"/>
              <w:spacing w:after="0" w:line="240" w:lineRule="auto"/>
              <w:ind w:left="169"/>
              <w:jc w:val="both"/>
              <w:rPr>
                <w:rFonts w:ascii="Times New Roman" w:hAnsi="Times New Roman" w:cs="Times New Roman"/>
                <w:sz w:val="24"/>
                <w:szCs w:val="24"/>
              </w:rPr>
            </w:pPr>
            <w:r>
              <w:rPr>
                <w:rFonts w:ascii="Times New Roman" w:hAnsi="Times New Roman"/>
                <w:sz w:val="24"/>
                <w:szCs w:val="24"/>
              </w:rPr>
              <w:t xml:space="preserve">Noteikumu projekts apspriests Zemkopības ministrijas un </w:t>
            </w:r>
            <w:r w:rsidR="00CC61C0">
              <w:rPr>
                <w:rFonts w:ascii="Times New Roman" w:hAnsi="Times New Roman"/>
                <w:sz w:val="24"/>
                <w:szCs w:val="24"/>
              </w:rPr>
              <w:t>lauksaimnie</w:t>
            </w:r>
            <w:r w:rsidR="00800322">
              <w:rPr>
                <w:rFonts w:ascii="Times New Roman" w:hAnsi="Times New Roman"/>
                <w:sz w:val="24"/>
                <w:szCs w:val="24"/>
              </w:rPr>
              <w:t>ku</w:t>
            </w:r>
            <w:r w:rsidR="00CC61C0">
              <w:rPr>
                <w:rFonts w:ascii="Times New Roman" w:hAnsi="Times New Roman"/>
                <w:sz w:val="24"/>
                <w:szCs w:val="24"/>
              </w:rPr>
              <w:t xml:space="preserve"> </w:t>
            </w:r>
            <w:r w:rsidR="00800322">
              <w:rPr>
                <w:rFonts w:ascii="Times New Roman" w:hAnsi="Times New Roman"/>
                <w:sz w:val="24"/>
                <w:szCs w:val="24"/>
              </w:rPr>
              <w:t>nevalstisko</w:t>
            </w:r>
            <w:r>
              <w:rPr>
                <w:rFonts w:ascii="Times New Roman" w:hAnsi="Times New Roman"/>
                <w:sz w:val="24"/>
                <w:szCs w:val="24"/>
              </w:rPr>
              <w:t xml:space="preserve"> organizāciju </w:t>
            </w:r>
            <w:r w:rsidR="00800322">
              <w:rPr>
                <w:rFonts w:ascii="Times New Roman" w:hAnsi="Times New Roman"/>
                <w:sz w:val="24"/>
                <w:szCs w:val="24"/>
              </w:rPr>
              <w:t xml:space="preserve">konsultatīvās padomes </w:t>
            </w:r>
            <w:r>
              <w:rPr>
                <w:rFonts w:ascii="Times New Roman" w:hAnsi="Times New Roman"/>
                <w:sz w:val="24"/>
                <w:szCs w:val="24"/>
              </w:rPr>
              <w:t>201</w:t>
            </w:r>
            <w:r w:rsidR="00800322">
              <w:rPr>
                <w:rFonts w:ascii="Times New Roman" w:hAnsi="Times New Roman"/>
                <w:sz w:val="24"/>
                <w:szCs w:val="24"/>
              </w:rPr>
              <w:t>8</w:t>
            </w:r>
            <w:r>
              <w:rPr>
                <w:rFonts w:ascii="Times New Roman" w:hAnsi="Times New Roman"/>
                <w:sz w:val="24"/>
                <w:szCs w:val="24"/>
              </w:rPr>
              <w:t xml:space="preserve">.gada </w:t>
            </w:r>
            <w:r w:rsidR="00800322">
              <w:rPr>
                <w:rFonts w:ascii="Times New Roman" w:hAnsi="Times New Roman"/>
                <w:sz w:val="24"/>
                <w:szCs w:val="24"/>
              </w:rPr>
              <w:t>10.janvāra</w:t>
            </w:r>
            <w:r w:rsidR="00375524">
              <w:rPr>
                <w:rFonts w:ascii="Times New Roman" w:hAnsi="Times New Roman"/>
                <w:sz w:val="24"/>
                <w:szCs w:val="24"/>
              </w:rPr>
              <w:t xml:space="preserve"> sanāksmē</w:t>
            </w:r>
            <w:r>
              <w:rPr>
                <w:rFonts w:ascii="Times New Roman" w:hAnsi="Times New Roman"/>
                <w:sz w:val="24"/>
                <w:szCs w:val="24"/>
              </w:rPr>
              <w:t>.</w:t>
            </w:r>
          </w:p>
        </w:tc>
      </w:tr>
      <w:tr w:rsidR="000330A2" w:rsidRPr="00DD49B6" w:rsidTr="00472586">
        <w:trPr>
          <w:trHeight w:val="476"/>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5749" w:type="dxa"/>
          </w:tcPr>
          <w:p w:rsidR="000330A2" w:rsidRPr="00DD49B6" w:rsidRDefault="00897834" w:rsidP="00B84678">
            <w:pPr>
              <w:spacing w:after="0" w:line="240" w:lineRule="auto"/>
              <w:ind w:left="169" w:right="57"/>
              <w:jc w:val="both"/>
              <w:rPr>
                <w:rFonts w:ascii="Times New Roman" w:hAnsi="Times New Roman" w:cs="Times New Roman"/>
                <w:sz w:val="24"/>
                <w:szCs w:val="24"/>
              </w:rPr>
            </w:pPr>
            <w:r>
              <w:rPr>
                <w:rFonts w:ascii="Times New Roman" w:hAnsi="Times New Roman" w:cs="Times New Roman"/>
                <w:sz w:val="24"/>
                <w:szCs w:val="24"/>
              </w:rPr>
              <w:t>Nav.</w:t>
            </w:r>
          </w:p>
        </w:tc>
      </w:tr>
    </w:tbl>
    <w:p w:rsidR="000330A2" w:rsidRDefault="000330A2" w:rsidP="000330A2">
      <w:pPr>
        <w:spacing w:after="0" w:line="240" w:lineRule="auto"/>
        <w:rPr>
          <w:rFonts w:ascii="Times New Roman" w:hAnsi="Times New Roman" w:cs="Times New Roman"/>
          <w:sz w:val="24"/>
          <w:szCs w:val="24"/>
        </w:rPr>
      </w:pPr>
    </w:p>
    <w:p w:rsidR="00472586" w:rsidRPr="00DD49B6" w:rsidRDefault="00472586" w:rsidP="000330A2">
      <w:pPr>
        <w:spacing w:after="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015"/>
      </w:tblGrid>
      <w:tr w:rsidR="000330A2" w:rsidRPr="00DD49B6" w:rsidTr="00472586">
        <w:trPr>
          <w:trHeight w:val="381"/>
          <w:jc w:val="center"/>
        </w:trPr>
        <w:tc>
          <w:tcPr>
            <w:tcW w:w="9067" w:type="dxa"/>
            <w:gridSpan w:val="3"/>
            <w:vAlign w:val="center"/>
          </w:tcPr>
          <w:p w:rsidR="000330A2" w:rsidRPr="00DD49B6" w:rsidRDefault="000330A2" w:rsidP="00B84678">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897834" w:rsidRPr="00DD49B6" w:rsidTr="00472586">
        <w:trPr>
          <w:trHeight w:val="427"/>
          <w:jc w:val="center"/>
        </w:trPr>
        <w:tc>
          <w:tcPr>
            <w:tcW w:w="437" w:type="dxa"/>
          </w:tcPr>
          <w:p w:rsidR="00897834" w:rsidRPr="00DD49B6" w:rsidRDefault="00897834" w:rsidP="00B84678">
            <w:pPr>
              <w:pStyle w:val="naisnod"/>
              <w:spacing w:before="0" w:beforeAutospacing="0" w:after="0" w:afterAutospacing="0"/>
              <w:ind w:left="57" w:right="57"/>
              <w:jc w:val="both"/>
            </w:pPr>
            <w:r w:rsidRPr="00DD49B6">
              <w:t>1.</w:t>
            </w:r>
          </w:p>
        </w:tc>
        <w:tc>
          <w:tcPr>
            <w:tcW w:w="3615" w:type="dxa"/>
          </w:tcPr>
          <w:p w:rsidR="00897834" w:rsidRPr="00DD49B6" w:rsidRDefault="00897834" w:rsidP="00B84678">
            <w:pPr>
              <w:pStyle w:val="naisf"/>
              <w:spacing w:before="0" w:beforeAutospacing="0" w:after="0" w:afterAutospacing="0"/>
              <w:ind w:left="57" w:right="57"/>
            </w:pPr>
            <w:r w:rsidRPr="00DD49B6">
              <w:t>Projekta izpildē iesaistītās institūcijas</w:t>
            </w:r>
          </w:p>
        </w:tc>
        <w:tc>
          <w:tcPr>
            <w:tcW w:w="5015" w:type="dxa"/>
          </w:tcPr>
          <w:p w:rsidR="00897834" w:rsidRPr="00E24A36" w:rsidRDefault="00897834" w:rsidP="00897834">
            <w:pPr>
              <w:pStyle w:val="naisnod"/>
              <w:spacing w:before="0" w:after="0"/>
              <w:ind w:left="57" w:right="57" w:hanging="57"/>
            </w:pPr>
            <w:bookmarkStart w:id="5" w:name="p66"/>
            <w:bookmarkStart w:id="6" w:name="p67"/>
            <w:bookmarkStart w:id="7" w:name="p68"/>
            <w:bookmarkStart w:id="8" w:name="p69"/>
            <w:bookmarkEnd w:id="5"/>
            <w:bookmarkEnd w:id="6"/>
            <w:bookmarkEnd w:id="7"/>
            <w:bookmarkEnd w:id="8"/>
            <w:r w:rsidRPr="00E24A36">
              <w:rPr>
                <w:iCs/>
              </w:rPr>
              <w:t>Noteikumu projekta izpildi nodrošinās Zemkopības ministrija un Lauku atbalsta dienests.</w:t>
            </w:r>
          </w:p>
        </w:tc>
      </w:tr>
      <w:tr w:rsidR="00897834" w:rsidRPr="00DD49B6" w:rsidTr="00472586">
        <w:trPr>
          <w:trHeight w:val="463"/>
          <w:jc w:val="center"/>
        </w:trPr>
        <w:tc>
          <w:tcPr>
            <w:tcW w:w="437" w:type="dxa"/>
          </w:tcPr>
          <w:p w:rsidR="00897834" w:rsidRPr="00DD49B6" w:rsidRDefault="00897834" w:rsidP="00B84678">
            <w:pPr>
              <w:pStyle w:val="naisnod"/>
              <w:spacing w:before="0" w:beforeAutospacing="0" w:after="0" w:afterAutospacing="0"/>
              <w:ind w:left="57" w:right="57"/>
              <w:jc w:val="both"/>
            </w:pPr>
            <w:r w:rsidRPr="00DD49B6">
              <w:t>2.</w:t>
            </w:r>
          </w:p>
        </w:tc>
        <w:tc>
          <w:tcPr>
            <w:tcW w:w="3615" w:type="dxa"/>
          </w:tcPr>
          <w:p w:rsidR="00897834" w:rsidRPr="00DD49B6" w:rsidRDefault="00897834" w:rsidP="00B84678">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897834" w:rsidRPr="00DD49B6" w:rsidRDefault="00897834" w:rsidP="00B84678">
            <w:pPr>
              <w:pStyle w:val="naisf"/>
              <w:spacing w:before="0" w:beforeAutospacing="0" w:after="0" w:afterAutospacing="0"/>
              <w:ind w:left="57" w:right="57"/>
            </w:pPr>
            <w:r w:rsidRPr="00DD49B6">
              <w:lastRenderedPageBreak/>
              <w:t>Jaunu institūciju izveide, esošu institūciju likvidācija vai reorga</w:t>
            </w:r>
            <w:r>
              <w:softHyphen/>
            </w:r>
            <w:r w:rsidRPr="00DD49B6">
              <w:t>nizācija, to ietekme uz institūcijas cilvēkresursiem.</w:t>
            </w:r>
          </w:p>
        </w:tc>
        <w:tc>
          <w:tcPr>
            <w:tcW w:w="5015" w:type="dxa"/>
          </w:tcPr>
          <w:p w:rsidR="00897834" w:rsidRPr="00E24A36" w:rsidRDefault="00897834" w:rsidP="00897834">
            <w:pPr>
              <w:pStyle w:val="naisnod"/>
              <w:spacing w:before="0" w:after="0"/>
              <w:ind w:left="57" w:right="57" w:hanging="57"/>
            </w:pPr>
            <w:r w:rsidRPr="00E24A36">
              <w:lastRenderedPageBreak/>
              <w:t xml:space="preserve">Projekts </w:t>
            </w:r>
            <w:r w:rsidR="008544EA" w:rsidRPr="008544EA">
              <w:t xml:space="preserve">neietekmē pārvaldes funkcijas un uzdevumus, </w:t>
            </w:r>
            <w:r w:rsidR="006C485A">
              <w:t>ne</w:t>
            </w:r>
            <w:r w:rsidR="008544EA" w:rsidRPr="008544EA">
              <w:t xml:space="preserve"> arī institucionālo struktūru</w:t>
            </w:r>
            <w:r w:rsidR="008544EA">
              <w:t>.</w:t>
            </w:r>
          </w:p>
        </w:tc>
      </w:tr>
      <w:tr w:rsidR="000330A2" w:rsidRPr="00DD49B6" w:rsidTr="00472586">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DD49B6" w:rsidRDefault="000330A2" w:rsidP="00B84678">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0330A2" w:rsidRPr="00DD49B6" w:rsidRDefault="000330A2" w:rsidP="00B84678">
            <w:pPr>
              <w:pStyle w:val="naisf"/>
              <w:spacing w:before="0" w:beforeAutospacing="0" w:after="0" w:afterAutospacing="0"/>
              <w:ind w:left="57" w:right="57"/>
            </w:pPr>
            <w:r w:rsidRPr="00DD49B6">
              <w:t>Cita informācija</w:t>
            </w:r>
          </w:p>
        </w:tc>
        <w:tc>
          <w:tcPr>
            <w:tcW w:w="5015" w:type="dxa"/>
            <w:tcBorders>
              <w:top w:val="single" w:sz="4" w:space="0" w:color="auto"/>
              <w:left w:val="single" w:sz="4" w:space="0" w:color="auto"/>
              <w:bottom w:val="single" w:sz="4" w:space="0" w:color="auto"/>
              <w:right w:val="single" w:sz="4" w:space="0" w:color="auto"/>
            </w:tcBorders>
          </w:tcPr>
          <w:p w:rsidR="000330A2" w:rsidRPr="00DD49B6" w:rsidRDefault="00897834" w:rsidP="00B8467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Nav.</w:t>
            </w:r>
          </w:p>
        </w:tc>
      </w:tr>
    </w:tbl>
    <w:p w:rsidR="00C56B69" w:rsidRDefault="00C56B69" w:rsidP="00760B61">
      <w:pPr>
        <w:spacing w:after="0" w:line="240" w:lineRule="auto"/>
        <w:jc w:val="both"/>
        <w:rPr>
          <w:rFonts w:eastAsia="Calibri"/>
          <w:sz w:val="28"/>
          <w:szCs w:val="28"/>
          <w:lang w:eastAsia="en-US"/>
        </w:rPr>
      </w:pPr>
    </w:p>
    <w:p w:rsidR="00C744C6" w:rsidRDefault="00C744C6" w:rsidP="00760B61">
      <w:pPr>
        <w:spacing w:after="0" w:line="240" w:lineRule="auto"/>
        <w:jc w:val="both"/>
        <w:rPr>
          <w:rFonts w:eastAsia="Calibri"/>
          <w:sz w:val="28"/>
          <w:szCs w:val="28"/>
          <w:lang w:eastAsia="en-US"/>
        </w:rPr>
      </w:pPr>
    </w:p>
    <w:p w:rsidR="00D60CAE" w:rsidRDefault="00D60CAE" w:rsidP="00D712E8">
      <w:pPr>
        <w:spacing w:after="0" w:line="240" w:lineRule="auto"/>
        <w:ind w:firstLine="720"/>
        <w:jc w:val="both"/>
        <w:rPr>
          <w:rFonts w:eastAsia="Calibri"/>
          <w:sz w:val="28"/>
          <w:szCs w:val="28"/>
          <w:lang w:eastAsia="en-US"/>
        </w:rPr>
      </w:pPr>
    </w:p>
    <w:p w:rsidR="00360EDE" w:rsidRPr="00D712E8" w:rsidRDefault="00360EDE" w:rsidP="00D712E8">
      <w:pPr>
        <w:spacing w:after="0" w:line="240" w:lineRule="auto"/>
        <w:ind w:firstLine="720"/>
        <w:rPr>
          <w:rFonts w:ascii="Times New Roman" w:eastAsia="Times New Roman" w:hAnsi="Times New Roman" w:cs="Times New Roman"/>
          <w:sz w:val="28"/>
          <w:szCs w:val="24"/>
        </w:rPr>
      </w:pPr>
      <w:r w:rsidRPr="00D712E8">
        <w:rPr>
          <w:rFonts w:ascii="Times New Roman" w:eastAsia="Times New Roman" w:hAnsi="Times New Roman" w:cs="Times New Roman"/>
          <w:sz w:val="28"/>
          <w:szCs w:val="24"/>
        </w:rPr>
        <w:t xml:space="preserve">Zemkopības ministra </w:t>
      </w:r>
      <w:r w:rsidR="005065C4" w:rsidRPr="00D712E8">
        <w:rPr>
          <w:rFonts w:ascii="Times New Roman" w:eastAsia="Times New Roman" w:hAnsi="Times New Roman" w:cs="Times New Roman"/>
          <w:sz w:val="28"/>
          <w:szCs w:val="24"/>
        </w:rPr>
        <w:tab/>
      </w:r>
      <w:r w:rsidR="005065C4" w:rsidRPr="00D712E8">
        <w:rPr>
          <w:rFonts w:ascii="Times New Roman" w:eastAsia="Times New Roman" w:hAnsi="Times New Roman" w:cs="Times New Roman"/>
          <w:sz w:val="28"/>
          <w:szCs w:val="24"/>
        </w:rPr>
        <w:tab/>
      </w:r>
      <w:r w:rsidR="005065C4" w:rsidRPr="00D712E8">
        <w:rPr>
          <w:rFonts w:ascii="Times New Roman" w:eastAsia="Times New Roman" w:hAnsi="Times New Roman" w:cs="Times New Roman"/>
          <w:sz w:val="28"/>
          <w:szCs w:val="24"/>
        </w:rPr>
        <w:tab/>
      </w:r>
      <w:r w:rsidR="007F2196" w:rsidRPr="00D712E8">
        <w:rPr>
          <w:rFonts w:ascii="Times New Roman" w:eastAsia="Times New Roman" w:hAnsi="Times New Roman" w:cs="Times New Roman"/>
          <w:sz w:val="28"/>
          <w:szCs w:val="24"/>
        </w:rPr>
        <w:tab/>
      </w:r>
      <w:r w:rsidR="007F2196" w:rsidRPr="00D712E8">
        <w:rPr>
          <w:rFonts w:ascii="Times New Roman" w:eastAsia="Times New Roman" w:hAnsi="Times New Roman" w:cs="Times New Roman"/>
          <w:sz w:val="28"/>
          <w:szCs w:val="24"/>
        </w:rPr>
        <w:tab/>
      </w:r>
      <w:r w:rsidR="00D712E8">
        <w:rPr>
          <w:rFonts w:ascii="Times New Roman" w:eastAsia="Times New Roman" w:hAnsi="Times New Roman" w:cs="Times New Roman"/>
          <w:sz w:val="28"/>
          <w:szCs w:val="24"/>
        </w:rPr>
        <w:tab/>
      </w:r>
      <w:r w:rsidR="00D712E8">
        <w:rPr>
          <w:rFonts w:ascii="Times New Roman" w:eastAsia="Times New Roman" w:hAnsi="Times New Roman" w:cs="Times New Roman"/>
          <w:sz w:val="28"/>
          <w:szCs w:val="24"/>
        </w:rPr>
        <w:tab/>
      </w:r>
      <w:r w:rsidR="005065C4" w:rsidRPr="00D712E8">
        <w:rPr>
          <w:rFonts w:ascii="Times New Roman" w:eastAsia="Times New Roman" w:hAnsi="Times New Roman" w:cs="Times New Roman"/>
          <w:sz w:val="28"/>
          <w:szCs w:val="24"/>
        </w:rPr>
        <w:t>J.Dūklavs</w:t>
      </w:r>
    </w:p>
    <w:p w:rsidR="00D712E8" w:rsidRDefault="00D712E8" w:rsidP="00D712E8">
      <w:pPr>
        <w:spacing w:after="0" w:line="240" w:lineRule="auto"/>
        <w:ind w:firstLine="720"/>
        <w:rPr>
          <w:rFonts w:ascii="Times New Roman" w:eastAsia="Times New Roman" w:hAnsi="Times New Roman" w:cs="Times New Roman"/>
          <w:sz w:val="28"/>
          <w:szCs w:val="24"/>
        </w:rPr>
      </w:pPr>
    </w:p>
    <w:p w:rsidR="00D712E8" w:rsidRPr="00D712E8" w:rsidRDefault="00D712E8" w:rsidP="00D712E8">
      <w:pPr>
        <w:spacing w:after="0" w:line="240" w:lineRule="auto"/>
        <w:ind w:firstLine="720"/>
        <w:rPr>
          <w:rFonts w:ascii="Times New Roman" w:eastAsia="Times New Roman" w:hAnsi="Times New Roman" w:cs="Times New Roman"/>
          <w:sz w:val="28"/>
          <w:szCs w:val="24"/>
        </w:rPr>
      </w:pPr>
    </w:p>
    <w:p w:rsidR="00D712E8" w:rsidRPr="00D712E8" w:rsidRDefault="00D712E8" w:rsidP="00D712E8">
      <w:pPr>
        <w:spacing w:after="0" w:line="240" w:lineRule="auto"/>
        <w:ind w:firstLine="720"/>
        <w:rPr>
          <w:rFonts w:ascii="Times New Roman" w:eastAsia="Times New Roman" w:hAnsi="Times New Roman" w:cs="Times New Roman"/>
          <w:sz w:val="28"/>
          <w:szCs w:val="24"/>
        </w:rPr>
      </w:pPr>
      <w:r w:rsidRPr="00D712E8">
        <w:rPr>
          <w:rFonts w:ascii="Times New Roman" w:eastAsia="Times New Roman" w:hAnsi="Times New Roman" w:cs="Times New Roman"/>
          <w:sz w:val="28"/>
          <w:szCs w:val="24"/>
        </w:rPr>
        <w:t>Zemkopības ministrijas valsts sekret</w:t>
      </w:r>
      <w:r>
        <w:rPr>
          <w:rFonts w:ascii="Times New Roman" w:eastAsia="Times New Roman" w:hAnsi="Times New Roman" w:cs="Times New Roman"/>
          <w:sz w:val="28"/>
          <w:szCs w:val="24"/>
        </w:rPr>
        <w:t>āre</w:t>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sidRPr="00D712E8">
        <w:rPr>
          <w:rFonts w:ascii="Times New Roman" w:eastAsia="Times New Roman" w:hAnsi="Times New Roman" w:cs="Times New Roman"/>
          <w:sz w:val="28"/>
          <w:szCs w:val="24"/>
        </w:rPr>
        <w:t>D.Lucaua</w:t>
      </w:r>
    </w:p>
    <w:p w:rsidR="007F2196" w:rsidRDefault="007F2196" w:rsidP="00760B61">
      <w:pPr>
        <w:spacing w:after="0" w:line="240" w:lineRule="auto"/>
        <w:rPr>
          <w:rFonts w:ascii="Times New Roman" w:hAnsi="Times New Roman" w:cs="Times New Roman"/>
          <w:sz w:val="20"/>
          <w:szCs w:val="20"/>
        </w:rPr>
      </w:pPr>
    </w:p>
    <w:p w:rsidR="007F2196" w:rsidRDefault="007F2196" w:rsidP="00760B61">
      <w:pPr>
        <w:spacing w:after="0" w:line="240" w:lineRule="auto"/>
        <w:rPr>
          <w:rFonts w:ascii="Times New Roman" w:hAnsi="Times New Roman" w:cs="Times New Roman"/>
          <w:sz w:val="20"/>
          <w:szCs w:val="20"/>
        </w:rPr>
      </w:pPr>
    </w:p>
    <w:p w:rsidR="00591097" w:rsidRDefault="00591097"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bookmarkStart w:id="9" w:name="_GoBack"/>
      <w:bookmarkEnd w:id="9"/>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D60CAE" w:rsidRDefault="00D60CAE" w:rsidP="00760B61">
      <w:pPr>
        <w:spacing w:after="0" w:line="240" w:lineRule="auto"/>
        <w:rPr>
          <w:rFonts w:ascii="Times New Roman" w:hAnsi="Times New Roman" w:cs="Times New Roman"/>
          <w:sz w:val="20"/>
          <w:szCs w:val="20"/>
        </w:rPr>
      </w:pPr>
    </w:p>
    <w:p w:rsidR="00591097" w:rsidRDefault="00591097" w:rsidP="00760B61">
      <w:pPr>
        <w:spacing w:after="0" w:line="240" w:lineRule="auto"/>
        <w:rPr>
          <w:rFonts w:ascii="Times New Roman" w:hAnsi="Times New Roman" w:cs="Times New Roman"/>
          <w:sz w:val="20"/>
          <w:szCs w:val="20"/>
        </w:rPr>
      </w:pPr>
    </w:p>
    <w:p w:rsidR="00472586" w:rsidRDefault="00472586" w:rsidP="00760B61">
      <w:pPr>
        <w:spacing w:after="0" w:line="240" w:lineRule="auto"/>
        <w:rPr>
          <w:rFonts w:ascii="Times New Roman" w:hAnsi="Times New Roman" w:cs="Times New Roman"/>
          <w:sz w:val="20"/>
          <w:szCs w:val="20"/>
        </w:rPr>
      </w:pPr>
    </w:p>
    <w:p w:rsidR="00472586" w:rsidRDefault="00472586" w:rsidP="00760B61">
      <w:pPr>
        <w:spacing w:after="0" w:line="240" w:lineRule="auto"/>
        <w:rPr>
          <w:rFonts w:ascii="Times New Roman" w:hAnsi="Times New Roman" w:cs="Times New Roman"/>
          <w:sz w:val="20"/>
          <w:szCs w:val="20"/>
        </w:rPr>
      </w:pPr>
    </w:p>
    <w:p w:rsidR="00472586" w:rsidRDefault="00472586" w:rsidP="00760B61">
      <w:pPr>
        <w:spacing w:after="0" w:line="240" w:lineRule="auto"/>
        <w:rPr>
          <w:rFonts w:ascii="Times New Roman" w:hAnsi="Times New Roman" w:cs="Times New Roman"/>
          <w:sz w:val="20"/>
          <w:szCs w:val="20"/>
        </w:rPr>
      </w:pPr>
    </w:p>
    <w:p w:rsidR="00472586" w:rsidRDefault="00472586" w:rsidP="00760B61">
      <w:pPr>
        <w:spacing w:after="0" w:line="240" w:lineRule="auto"/>
        <w:rPr>
          <w:rFonts w:ascii="Times New Roman" w:hAnsi="Times New Roman" w:cs="Times New Roman"/>
          <w:sz w:val="20"/>
          <w:szCs w:val="20"/>
        </w:rPr>
      </w:pPr>
    </w:p>
    <w:p w:rsidR="00472586" w:rsidRDefault="00472586" w:rsidP="00760B61">
      <w:pPr>
        <w:spacing w:after="0" w:line="240" w:lineRule="auto"/>
        <w:rPr>
          <w:rFonts w:ascii="Times New Roman" w:hAnsi="Times New Roman" w:cs="Times New Roman"/>
          <w:sz w:val="20"/>
          <w:szCs w:val="20"/>
        </w:rPr>
      </w:pPr>
    </w:p>
    <w:p w:rsidR="00472586" w:rsidRDefault="00472586" w:rsidP="00760B61">
      <w:pPr>
        <w:spacing w:after="0" w:line="240" w:lineRule="auto"/>
        <w:rPr>
          <w:rFonts w:ascii="Times New Roman" w:hAnsi="Times New Roman" w:cs="Times New Roman"/>
          <w:sz w:val="20"/>
          <w:szCs w:val="20"/>
        </w:rPr>
      </w:pPr>
    </w:p>
    <w:p w:rsidR="00472586" w:rsidRDefault="00472586" w:rsidP="00760B61">
      <w:pPr>
        <w:spacing w:after="0" w:line="240" w:lineRule="auto"/>
        <w:rPr>
          <w:rFonts w:ascii="Times New Roman" w:hAnsi="Times New Roman" w:cs="Times New Roman"/>
          <w:sz w:val="20"/>
          <w:szCs w:val="20"/>
        </w:rPr>
      </w:pPr>
    </w:p>
    <w:p w:rsidR="00591097" w:rsidRDefault="00591097" w:rsidP="00760B61">
      <w:pPr>
        <w:spacing w:after="0" w:line="240" w:lineRule="auto"/>
        <w:rPr>
          <w:rFonts w:ascii="Times New Roman" w:hAnsi="Times New Roman" w:cs="Times New Roman"/>
          <w:sz w:val="20"/>
          <w:szCs w:val="20"/>
        </w:rPr>
      </w:pPr>
    </w:p>
    <w:p w:rsidR="00C744C6" w:rsidRDefault="00C744C6" w:rsidP="00760B61">
      <w:pPr>
        <w:spacing w:after="0" w:line="240" w:lineRule="auto"/>
        <w:rPr>
          <w:rFonts w:ascii="Times New Roman" w:hAnsi="Times New Roman" w:cs="Times New Roman"/>
          <w:sz w:val="20"/>
          <w:szCs w:val="20"/>
        </w:rPr>
      </w:pPr>
    </w:p>
    <w:p w:rsidR="00C744C6" w:rsidRPr="00D712E8" w:rsidRDefault="00C744C6" w:rsidP="00760B61">
      <w:pPr>
        <w:spacing w:after="0" w:line="240" w:lineRule="auto"/>
        <w:rPr>
          <w:rFonts w:ascii="Times New Roman" w:hAnsi="Times New Roman" w:cs="Times New Roman"/>
          <w:sz w:val="24"/>
          <w:szCs w:val="20"/>
        </w:rPr>
      </w:pPr>
    </w:p>
    <w:p w:rsidR="00D712E8" w:rsidRPr="00D712E8" w:rsidRDefault="00760B61" w:rsidP="00D712E8">
      <w:pPr>
        <w:spacing w:after="0" w:line="240" w:lineRule="auto"/>
        <w:rPr>
          <w:rFonts w:ascii="Times New Roman" w:hAnsi="Times New Roman" w:cs="Times New Roman"/>
          <w:sz w:val="24"/>
          <w:szCs w:val="20"/>
        </w:rPr>
      </w:pPr>
      <w:r w:rsidRPr="00D712E8">
        <w:rPr>
          <w:rFonts w:ascii="Times New Roman" w:hAnsi="Times New Roman" w:cs="Times New Roman"/>
          <w:sz w:val="24"/>
          <w:szCs w:val="20"/>
        </w:rPr>
        <w:t>Ingiļāvičute</w:t>
      </w:r>
      <w:r w:rsidR="00D712E8" w:rsidRPr="00D712E8">
        <w:rPr>
          <w:rFonts w:ascii="Times New Roman" w:hAnsi="Times New Roman" w:cs="Times New Roman"/>
          <w:sz w:val="24"/>
          <w:szCs w:val="20"/>
        </w:rPr>
        <w:t xml:space="preserve"> 67027661</w:t>
      </w:r>
    </w:p>
    <w:p w:rsidR="000330A2" w:rsidRPr="00D712E8" w:rsidRDefault="00760B61" w:rsidP="00D712E8">
      <w:pPr>
        <w:spacing w:after="0" w:line="240" w:lineRule="auto"/>
        <w:rPr>
          <w:rFonts w:ascii="Times New Roman" w:hAnsi="Times New Roman" w:cs="Times New Roman"/>
          <w:sz w:val="24"/>
          <w:szCs w:val="20"/>
        </w:rPr>
      </w:pPr>
      <w:r w:rsidRPr="00D712E8">
        <w:rPr>
          <w:rFonts w:ascii="Times New Roman" w:hAnsi="Times New Roman" w:cs="Times New Roman"/>
          <w:sz w:val="24"/>
          <w:szCs w:val="20"/>
        </w:rPr>
        <w:t>Biruta.Ingilavicute@zm.gov.lv</w:t>
      </w:r>
    </w:p>
    <w:sectPr w:rsidR="000330A2" w:rsidRPr="00D712E8" w:rsidSect="00D712E8">
      <w:headerReference w:type="default" r:id="rId9"/>
      <w:footerReference w:type="default" r:id="rId10"/>
      <w:footerReference w:type="first" r:id="rId11"/>
      <w:pgSz w:w="11906" w:h="16838" w:code="9"/>
      <w:pgMar w:top="1418" w:right="1134" w:bottom="1134" w:left="1701"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347" w:rsidRDefault="002F2347" w:rsidP="00B43E45">
      <w:pPr>
        <w:spacing w:after="0" w:line="240" w:lineRule="auto"/>
      </w:pPr>
      <w:r>
        <w:separator/>
      </w:r>
    </w:p>
  </w:endnote>
  <w:endnote w:type="continuationSeparator" w:id="0">
    <w:p w:rsidR="002F2347" w:rsidRDefault="002F2347"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93B" w:rsidRPr="00D712E8" w:rsidRDefault="00D712E8" w:rsidP="00D712E8">
    <w:pPr>
      <w:pStyle w:val="Kjene"/>
      <w:rPr>
        <w:rFonts w:ascii="Times New Roman" w:hAnsi="Times New Roman" w:cs="Times New Roman"/>
        <w:sz w:val="20"/>
      </w:rPr>
    </w:pPr>
    <w:r w:rsidRPr="00D712E8">
      <w:rPr>
        <w:rFonts w:ascii="Times New Roman" w:hAnsi="Times New Roman" w:cs="Times New Roman"/>
        <w:sz w:val="20"/>
      </w:rPr>
      <w:t>ZMAnot_080218_valstsatb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93B" w:rsidRDefault="00AD293B" w:rsidP="007F2196">
    <w:pPr>
      <w:pStyle w:val="Kjene"/>
    </w:pPr>
  </w:p>
  <w:p w:rsidR="00AD293B" w:rsidRPr="0068244A" w:rsidRDefault="00D712E8" w:rsidP="00D712E8">
    <w:pPr>
      <w:pStyle w:val="Kjene"/>
      <w:rPr>
        <w:rFonts w:ascii="Times New Roman" w:hAnsi="Times New Roman" w:cs="Times New Roman"/>
        <w:sz w:val="20"/>
        <w:szCs w:val="20"/>
      </w:rPr>
    </w:pPr>
    <w:r w:rsidRPr="00D712E8">
      <w:rPr>
        <w:rFonts w:ascii="Times New Roman" w:hAnsi="Times New Roman" w:cs="Times New Roman"/>
        <w:sz w:val="20"/>
        <w:szCs w:val="20"/>
      </w:rPr>
      <w:t>ZMAnot_080218_valstsatb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347" w:rsidRDefault="002F2347" w:rsidP="00B43E45">
      <w:pPr>
        <w:spacing w:after="0" w:line="240" w:lineRule="auto"/>
      </w:pPr>
      <w:r>
        <w:separator/>
      </w:r>
    </w:p>
  </w:footnote>
  <w:footnote w:type="continuationSeparator" w:id="0">
    <w:p w:rsidR="002F2347" w:rsidRDefault="002F2347" w:rsidP="00B4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69789508"/>
      <w:docPartObj>
        <w:docPartGallery w:val="Page Numbers (Top of Page)"/>
        <w:docPartUnique/>
      </w:docPartObj>
    </w:sdtPr>
    <w:sdtEndPr/>
    <w:sdtContent>
      <w:p w:rsidR="00AD293B" w:rsidRPr="00760B61" w:rsidRDefault="00AD293B">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D712E8">
          <w:rPr>
            <w:rFonts w:ascii="Times New Roman" w:hAnsi="Times New Roman" w:cs="Times New Roman"/>
            <w:noProof/>
            <w:sz w:val="24"/>
          </w:rPr>
          <w:t>6</w:t>
        </w:r>
        <w:r w:rsidRPr="00760B61">
          <w:rPr>
            <w:rFonts w:ascii="Times New Roman" w:hAnsi="Times New Roman" w:cs="Times New Roman"/>
            <w:sz w:val="24"/>
          </w:rPr>
          <w:fldChar w:fldCharType="end"/>
        </w:r>
      </w:p>
    </w:sdtContent>
  </w:sdt>
  <w:p w:rsidR="00AD293B" w:rsidRPr="00760B61" w:rsidRDefault="00AD293B">
    <w:pPr>
      <w:pStyle w:val="Galvene"/>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17"/>
    <w:rsid w:val="00002603"/>
    <w:rsid w:val="0002122B"/>
    <w:rsid w:val="000304CB"/>
    <w:rsid w:val="000330A2"/>
    <w:rsid w:val="000368BB"/>
    <w:rsid w:val="00047B6E"/>
    <w:rsid w:val="00051F44"/>
    <w:rsid w:val="0005547A"/>
    <w:rsid w:val="00066361"/>
    <w:rsid w:val="0007195C"/>
    <w:rsid w:val="00077EB0"/>
    <w:rsid w:val="00081898"/>
    <w:rsid w:val="000E1DDA"/>
    <w:rsid w:val="000F173E"/>
    <w:rsid w:val="00100DBE"/>
    <w:rsid w:val="001022EF"/>
    <w:rsid w:val="0010345A"/>
    <w:rsid w:val="0010407A"/>
    <w:rsid w:val="0010792A"/>
    <w:rsid w:val="0011459C"/>
    <w:rsid w:val="00114A10"/>
    <w:rsid w:val="00123517"/>
    <w:rsid w:val="001266D5"/>
    <w:rsid w:val="00130FCE"/>
    <w:rsid w:val="00131F83"/>
    <w:rsid w:val="00140A54"/>
    <w:rsid w:val="001469F7"/>
    <w:rsid w:val="00156501"/>
    <w:rsid w:val="00156EE9"/>
    <w:rsid w:val="0016492B"/>
    <w:rsid w:val="00166EFF"/>
    <w:rsid w:val="001671C6"/>
    <w:rsid w:val="00176AB8"/>
    <w:rsid w:val="001779A2"/>
    <w:rsid w:val="001866AA"/>
    <w:rsid w:val="001B1B67"/>
    <w:rsid w:val="001B7BBB"/>
    <w:rsid w:val="001B7FD9"/>
    <w:rsid w:val="001C17CB"/>
    <w:rsid w:val="001C27D3"/>
    <w:rsid w:val="001C749C"/>
    <w:rsid w:val="001D2AEF"/>
    <w:rsid w:val="001D7E88"/>
    <w:rsid w:val="001F0487"/>
    <w:rsid w:val="001F0D3D"/>
    <w:rsid w:val="001F15ED"/>
    <w:rsid w:val="00204853"/>
    <w:rsid w:val="0021290C"/>
    <w:rsid w:val="00225DCD"/>
    <w:rsid w:val="00233632"/>
    <w:rsid w:val="00242BED"/>
    <w:rsid w:val="00261B1D"/>
    <w:rsid w:val="0027190F"/>
    <w:rsid w:val="00272762"/>
    <w:rsid w:val="00276757"/>
    <w:rsid w:val="002B08C5"/>
    <w:rsid w:val="002B1267"/>
    <w:rsid w:val="002E109D"/>
    <w:rsid w:val="002E5F72"/>
    <w:rsid w:val="002F2347"/>
    <w:rsid w:val="002F2BF5"/>
    <w:rsid w:val="002F3A45"/>
    <w:rsid w:val="002F6AAA"/>
    <w:rsid w:val="003021EA"/>
    <w:rsid w:val="00307596"/>
    <w:rsid w:val="0030796C"/>
    <w:rsid w:val="00312DC4"/>
    <w:rsid w:val="00316A48"/>
    <w:rsid w:val="003201E3"/>
    <w:rsid w:val="0032029F"/>
    <w:rsid w:val="00323AC7"/>
    <w:rsid w:val="00335CC6"/>
    <w:rsid w:val="00343905"/>
    <w:rsid w:val="003476C3"/>
    <w:rsid w:val="00351DA0"/>
    <w:rsid w:val="00360EDE"/>
    <w:rsid w:val="00362D35"/>
    <w:rsid w:val="003665A2"/>
    <w:rsid w:val="00367875"/>
    <w:rsid w:val="00374E0B"/>
    <w:rsid w:val="00375524"/>
    <w:rsid w:val="00377CDE"/>
    <w:rsid w:val="00385344"/>
    <w:rsid w:val="003857DB"/>
    <w:rsid w:val="003A3420"/>
    <w:rsid w:val="003B4EB6"/>
    <w:rsid w:val="003D01F4"/>
    <w:rsid w:val="003D42CB"/>
    <w:rsid w:val="003E064E"/>
    <w:rsid w:val="00402FEA"/>
    <w:rsid w:val="004122BC"/>
    <w:rsid w:val="00422589"/>
    <w:rsid w:val="004250D0"/>
    <w:rsid w:val="00431E7C"/>
    <w:rsid w:val="00445F16"/>
    <w:rsid w:val="004465D8"/>
    <w:rsid w:val="00455344"/>
    <w:rsid w:val="00456875"/>
    <w:rsid w:val="0046075E"/>
    <w:rsid w:val="00472586"/>
    <w:rsid w:val="004B5266"/>
    <w:rsid w:val="004C70B3"/>
    <w:rsid w:val="004D0AA9"/>
    <w:rsid w:val="004E0136"/>
    <w:rsid w:val="004E1493"/>
    <w:rsid w:val="004E39AE"/>
    <w:rsid w:val="00504190"/>
    <w:rsid w:val="00506514"/>
    <w:rsid w:val="005065C4"/>
    <w:rsid w:val="0051477B"/>
    <w:rsid w:val="00515C1B"/>
    <w:rsid w:val="005206FF"/>
    <w:rsid w:val="00522DA8"/>
    <w:rsid w:val="00523895"/>
    <w:rsid w:val="00531E80"/>
    <w:rsid w:val="00532397"/>
    <w:rsid w:val="00583D4F"/>
    <w:rsid w:val="00591097"/>
    <w:rsid w:val="00596D2C"/>
    <w:rsid w:val="005A2113"/>
    <w:rsid w:val="005C496A"/>
    <w:rsid w:val="005E56C9"/>
    <w:rsid w:val="00601A77"/>
    <w:rsid w:val="00607C5B"/>
    <w:rsid w:val="00624D41"/>
    <w:rsid w:val="00633B2D"/>
    <w:rsid w:val="0064117C"/>
    <w:rsid w:val="0064407D"/>
    <w:rsid w:val="00645703"/>
    <w:rsid w:val="00655B18"/>
    <w:rsid w:val="0065721F"/>
    <w:rsid w:val="00665C0B"/>
    <w:rsid w:val="0067349C"/>
    <w:rsid w:val="0068244A"/>
    <w:rsid w:val="0068294F"/>
    <w:rsid w:val="00684952"/>
    <w:rsid w:val="0068772C"/>
    <w:rsid w:val="0069590E"/>
    <w:rsid w:val="006A4D02"/>
    <w:rsid w:val="006A5178"/>
    <w:rsid w:val="006C2BC1"/>
    <w:rsid w:val="006C485A"/>
    <w:rsid w:val="006D1591"/>
    <w:rsid w:val="006D41F8"/>
    <w:rsid w:val="006D439E"/>
    <w:rsid w:val="006D6341"/>
    <w:rsid w:val="006D6DBC"/>
    <w:rsid w:val="006F134D"/>
    <w:rsid w:val="006F14EA"/>
    <w:rsid w:val="006F5397"/>
    <w:rsid w:val="006F69C8"/>
    <w:rsid w:val="00703F24"/>
    <w:rsid w:val="00723E24"/>
    <w:rsid w:val="00726B5C"/>
    <w:rsid w:val="0073509D"/>
    <w:rsid w:val="00751CC0"/>
    <w:rsid w:val="00753F17"/>
    <w:rsid w:val="00760B61"/>
    <w:rsid w:val="0076284F"/>
    <w:rsid w:val="00766305"/>
    <w:rsid w:val="0077301B"/>
    <w:rsid w:val="007766D1"/>
    <w:rsid w:val="0077671A"/>
    <w:rsid w:val="007816A7"/>
    <w:rsid w:val="007826A8"/>
    <w:rsid w:val="007845F1"/>
    <w:rsid w:val="007B1F91"/>
    <w:rsid w:val="007C49C9"/>
    <w:rsid w:val="007C50E2"/>
    <w:rsid w:val="007C55A0"/>
    <w:rsid w:val="007D0225"/>
    <w:rsid w:val="007F0225"/>
    <w:rsid w:val="007F2196"/>
    <w:rsid w:val="007F71B9"/>
    <w:rsid w:val="00800322"/>
    <w:rsid w:val="00802476"/>
    <w:rsid w:val="0082562F"/>
    <w:rsid w:val="008344F1"/>
    <w:rsid w:val="0085229A"/>
    <w:rsid w:val="00852FAD"/>
    <w:rsid w:val="008544EA"/>
    <w:rsid w:val="008553BF"/>
    <w:rsid w:val="00874BDB"/>
    <w:rsid w:val="0088353A"/>
    <w:rsid w:val="00883BBD"/>
    <w:rsid w:val="00883CE9"/>
    <w:rsid w:val="00890B7D"/>
    <w:rsid w:val="0089183A"/>
    <w:rsid w:val="00892C45"/>
    <w:rsid w:val="00897834"/>
    <w:rsid w:val="008A0A22"/>
    <w:rsid w:val="008A2B99"/>
    <w:rsid w:val="008B4DF4"/>
    <w:rsid w:val="008B784F"/>
    <w:rsid w:val="008D5756"/>
    <w:rsid w:val="008E5E00"/>
    <w:rsid w:val="008E730A"/>
    <w:rsid w:val="008E7993"/>
    <w:rsid w:val="008F6324"/>
    <w:rsid w:val="00906770"/>
    <w:rsid w:val="00907DCD"/>
    <w:rsid w:val="00910456"/>
    <w:rsid w:val="009114A5"/>
    <w:rsid w:val="009154FF"/>
    <w:rsid w:val="0092023D"/>
    <w:rsid w:val="00926510"/>
    <w:rsid w:val="009401C7"/>
    <w:rsid w:val="00945E3B"/>
    <w:rsid w:val="009704F7"/>
    <w:rsid w:val="00980384"/>
    <w:rsid w:val="009831EE"/>
    <w:rsid w:val="0098336F"/>
    <w:rsid w:val="00996783"/>
    <w:rsid w:val="009975AA"/>
    <w:rsid w:val="009B7E48"/>
    <w:rsid w:val="009C4405"/>
    <w:rsid w:val="009D36DC"/>
    <w:rsid w:val="009E4773"/>
    <w:rsid w:val="009F3688"/>
    <w:rsid w:val="009F3C65"/>
    <w:rsid w:val="00A12344"/>
    <w:rsid w:val="00A20552"/>
    <w:rsid w:val="00A32C1B"/>
    <w:rsid w:val="00A406A0"/>
    <w:rsid w:val="00A44157"/>
    <w:rsid w:val="00A463F5"/>
    <w:rsid w:val="00A467D1"/>
    <w:rsid w:val="00A53F68"/>
    <w:rsid w:val="00A626C6"/>
    <w:rsid w:val="00A72F0F"/>
    <w:rsid w:val="00A7472A"/>
    <w:rsid w:val="00AA5504"/>
    <w:rsid w:val="00AB620C"/>
    <w:rsid w:val="00AD2186"/>
    <w:rsid w:val="00AD293B"/>
    <w:rsid w:val="00AF1AC7"/>
    <w:rsid w:val="00AF501E"/>
    <w:rsid w:val="00AF509A"/>
    <w:rsid w:val="00B00DAC"/>
    <w:rsid w:val="00B12EC7"/>
    <w:rsid w:val="00B20472"/>
    <w:rsid w:val="00B223E3"/>
    <w:rsid w:val="00B36BEC"/>
    <w:rsid w:val="00B43E45"/>
    <w:rsid w:val="00B469DE"/>
    <w:rsid w:val="00B50131"/>
    <w:rsid w:val="00B51075"/>
    <w:rsid w:val="00B515C9"/>
    <w:rsid w:val="00B570D0"/>
    <w:rsid w:val="00B60291"/>
    <w:rsid w:val="00B675A1"/>
    <w:rsid w:val="00B84678"/>
    <w:rsid w:val="00B8765B"/>
    <w:rsid w:val="00B91A42"/>
    <w:rsid w:val="00B95608"/>
    <w:rsid w:val="00B97A44"/>
    <w:rsid w:val="00BB0EA1"/>
    <w:rsid w:val="00BB699C"/>
    <w:rsid w:val="00BC5440"/>
    <w:rsid w:val="00BD242A"/>
    <w:rsid w:val="00BD3C6F"/>
    <w:rsid w:val="00BD7262"/>
    <w:rsid w:val="00BE76E1"/>
    <w:rsid w:val="00BF23E4"/>
    <w:rsid w:val="00C0203F"/>
    <w:rsid w:val="00C54405"/>
    <w:rsid w:val="00C56B69"/>
    <w:rsid w:val="00C65C25"/>
    <w:rsid w:val="00C70E93"/>
    <w:rsid w:val="00C729F9"/>
    <w:rsid w:val="00C744C6"/>
    <w:rsid w:val="00C965C9"/>
    <w:rsid w:val="00CA0A47"/>
    <w:rsid w:val="00CA441C"/>
    <w:rsid w:val="00CA4C24"/>
    <w:rsid w:val="00CA79A8"/>
    <w:rsid w:val="00CB33C7"/>
    <w:rsid w:val="00CC0F36"/>
    <w:rsid w:val="00CC232A"/>
    <w:rsid w:val="00CC3BD8"/>
    <w:rsid w:val="00CC5644"/>
    <w:rsid w:val="00CC60AB"/>
    <w:rsid w:val="00CC61C0"/>
    <w:rsid w:val="00CD1AF2"/>
    <w:rsid w:val="00CE27F6"/>
    <w:rsid w:val="00CE64E7"/>
    <w:rsid w:val="00CE6EAF"/>
    <w:rsid w:val="00D1129C"/>
    <w:rsid w:val="00D24EBD"/>
    <w:rsid w:val="00D26751"/>
    <w:rsid w:val="00D432BF"/>
    <w:rsid w:val="00D52FF0"/>
    <w:rsid w:val="00D60CAE"/>
    <w:rsid w:val="00D712E8"/>
    <w:rsid w:val="00D96C7F"/>
    <w:rsid w:val="00D96F94"/>
    <w:rsid w:val="00DA04A3"/>
    <w:rsid w:val="00DB40DF"/>
    <w:rsid w:val="00DC0942"/>
    <w:rsid w:val="00DC16AB"/>
    <w:rsid w:val="00DC2734"/>
    <w:rsid w:val="00DD7622"/>
    <w:rsid w:val="00DE6537"/>
    <w:rsid w:val="00E01F43"/>
    <w:rsid w:val="00E0319C"/>
    <w:rsid w:val="00E323E5"/>
    <w:rsid w:val="00E35434"/>
    <w:rsid w:val="00E36CF7"/>
    <w:rsid w:val="00E46804"/>
    <w:rsid w:val="00E5143B"/>
    <w:rsid w:val="00E53A44"/>
    <w:rsid w:val="00E5607A"/>
    <w:rsid w:val="00E6531E"/>
    <w:rsid w:val="00E73C75"/>
    <w:rsid w:val="00E744DB"/>
    <w:rsid w:val="00E85767"/>
    <w:rsid w:val="00EA2C82"/>
    <w:rsid w:val="00EA2DBD"/>
    <w:rsid w:val="00EA39DF"/>
    <w:rsid w:val="00EC04DB"/>
    <w:rsid w:val="00ED42AE"/>
    <w:rsid w:val="00EE1762"/>
    <w:rsid w:val="00EE482F"/>
    <w:rsid w:val="00EE65BD"/>
    <w:rsid w:val="00EF11FA"/>
    <w:rsid w:val="00F0537F"/>
    <w:rsid w:val="00F07FF6"/>
    <w:rsid w:val="00F103CD"/>
    <w:rsid w:val="00F21594"/>
    <w:rsid w:val="00F276B1"/>
    <w:rsid w:val="00F4672A"/>
    <w:rsid w:val="00F75F4A"/>
    <w:rsid w:val="00F8293B"/>
    <w:rsid w:val="00F91423"/>
    <w:rsid w:val="00F92F96"/>
    <w:rsid w:val="00FB3181"/>
    <w:rsid w:val="00FB389B"/>
    <w:rsid w:val="00FC1BA6"/>
    <w:rsid w:val="00FE72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EF66F3-E5BB-4A55-AC5C-AB00994B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0DBE"/>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customStyle="1" w:styleId="Default">
    <w:name w:val="Default"/>
    <w:rsid w:val="00100DBE"/>
    <w:pPr>
      <w:autoSpaceDE w:val="0"/>
      <w:autoSpaceDN w:val="0"/>
      <w:adjustRightInd w:val="0"/>
      <w:spacing w:after="0" w:line="240" w:lineRule="auto"/>
    </w:pPr>
    <w:rPr>
      <w:rFonts w:ascii="EUAlbertina" w:eastAsia="Calibri" w:hAnsi="EUAlbertina" w:cs="EUAlbertina"/>
      <w:color w:val="000000"/>
      <w:sz w:val="24"/>
      <w:szCs w:val="24"/>
      <w:lang w:eastAsia="lv-LV"/>
    </w:rPr>
  </w:style>
  <w:style w:type="paragraph" w:styleId="Paraststmeklis">
    <w:name w:val="Normal (Web)"/>
    <w:basedOn w:val="Parasts"/>
    <w:uiPriority w:val="99"/>
    <w:semiHidden/>
    <w:unhideWhenUsed/>
    <w:rsid w:val="00FE72ED"/>
    <w:pPr>
      <w:spacing w:before="100" w:beforeAutospacing="1" w:after="100" w:afterAutospacing="1" w:line="240" w:lineRule="auto"/>
    </w:pPr>
    <w:rPr>
      <w:rFonts w:ascii="Times New Roman" w:eastAsiaTheme="minorHAnsi" w:hAnsi="Times New Roman" w:cs="Times New Roman"/>
      <w:sz w:val="24"/>
      <w:szCs w:val="24"/>
    </w:rPr>
  </w:style>
  <w:style w:type="paragraph" w:styleId="Sarakstarindkopa">
    <w:name w:val="List Paragraph"/>
    <w:basedOn w:val="Parasts"/>
    <w:uiPriority w:val="34"/>
    <w:qFormat/>
    <w:rsid w:val="00FC1BA6"/>
    <w:pPr>
      <w:ind w:left="720"/>
      <w:contextualSpacing/>
    </w:pPr>
  </w:style>
  <w:style w:type="table" w:styleId="Reatabula">
    <w:name w:val="Table Grid"/>
    <w:basedOn w:val="Parastatabula"/>
    <w:uiPriority w:val="59"/>
    <w:rsid w:val="0080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 w:id="893857350">
      <w:bodyDiv w:val="1"/>
      <w:marLeft w:val="0"/>
      <w:marRight w:val="0"/>
      <w:marTop w:val="0"/>
      <w:marBottom w:val="0"/>
      <w:divBdr>
        <w:top w:val="none" w:sz="0" w:space="0" w:color="auto"/>
        <w:left w:val="none" w:sz="0" w:space="0" w:color="auto"/>
        <w:bottom w:val="none" w:sz="0" w:space="0" w:color="auto"/>
        <w:right w:val="none" w:sz="0" w:space="0" w:color="auto"/>
      </w:divBdr>
    </w:div>
    <w:div w:id="10238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sadala=9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m.gov.lv/?sadala=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5D392-E3D3-4D17-A8F0-970FE441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9851</Words>
  <Characters>5616</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2013.gada 17.decembra noteikumos Nr.1524 „Noteikumi par valsts atbalstu lauksaimniecībai”” sākotnējās ietekmes novērtējuma ziņojums (anotācija)</dc:title>
  <dc:subject>Anotācija</dc:subject>
  <dc:creator>Biruta Ingilavicute</dc:creator>
  <dc:description>Ingiļāvičute 67027661_x000d_
Biruta.Ingilavicute@zm.gov.lv</dc:description>
  <cp:lastModifiedBy>Sanita Žagare</cp:lastModifiedBy>
  <cp:revision>3</cp:revision>
  <cp:lastPrinted>2013-12-16T07:43:00Z</cp:lastPrinted>
  <dcterms:created xsi:type="dcterms:W3CDTF">2018-02-14T14:42:00Z</dcterms:created>
  <dcterms:modified xsi:type="dcterms:W3CDTF">2018-02-15T06:55:00Z</dcterms:modified>
</cp:coreProperties>
</file>