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8837F" w14:textId="7DB9B442" w:rsidR="00AB54C6" w:rsidRPr="00F34CDB" w:rsidRDefault="00875FC2" w:rsidP="00D80316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F34CDB">
        <w:rPr>
          <w:b/>
          <w:sz w:val="28"/>
          <w:szCs w:val="28"/>
          <w:lang w:val="lv-LV"/>
        </w:rPr>
        <w:t xml:space="preserve">Ministru kabineta </w:t>
      </w:r>
      <w:r w:rsidR="00141446" w:rsidRPr="00F34CDB">
        <w:rPr>
          <w:b/>
          <w:sz w:val="28"/>
          <w:szCs w:val="28"/>
          <w:lang w:val="lv-LV"/>
        </w:rPr>
        <w:t>noteikumu</w:t>
      </w:r>
      <w:r w:rsidR="00EC7302" w:rsidRPr="00F34CDB">
        <w:rPr>
          <w:b/>
          <w:sz w:val="28"/>
          <w:szCs w:val="28"/>
          <w:lang w:val="lv-LV"/>
        </w:rPr>
        <w:t xml:space="preserve"> projekta</w:t>
      </w:r>
      <w:r w:rsidRPr="00F34CDB">
        <w:rPr>
          <w:b/>
          <w:sz w:val="28"/>
          <w:szCs w:val="28"/>
          <w:lang w:val="lv-LV"/>
        </w:rPr>
        <w:t xml:space="preserve"> </w:t>
      </w:r>
    </w:p>
    <w:p w14:paraId="74417BE2" w14:textId="0F345C5A" w:rsidR="006A7AF3" w:rsidRPr="00F34CDB" w:rsidRDefault="00875FC2" w:rsidP="00EC7302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0" w:name="OLE_LINK7"/>
      <w:bookmarkStart w:id="1" w:name="OLE_LINK8"/>
      <w:r w:rsidRPr="00F34CDB">
        <w:rPr>
          <w:b/>
          <w:bCs/>
          <w:sz w:val="28"/>
          <w:szCs w:val="28"/>
          <w:lang w:val="lv-LV"/>
        </w:rPr>
        <w:t>“</w:t>
      </w:r>
      <w:bookmarkStart w:id="2" w:name="OLE_LINK1"/>
      <w:bookmarkStart w:id="3" w:name="OLE_LINK2"/>
      <w:r w:rsidR="00EC7302" w:rsidRPr="00F34CDB">
        <w:rPr>
          <w:b/>
          <w:sz w:val="28"/>
          <w:szCs w:val="28"/>
          <w:lang w:val="lv-LV"/>
        </w:rPr>
        <w:t>Grozījum</w:t>
      </w:r>
      <w:r w:rsidR="00963A69">
        <w:rPr>
          <w:b/>
          <w:sz w:val="28"/>
          <w:szCs w:val="28"/>
          <w:lang w:val="lv-LV"/>
        </w:rPr>
        <w:t>s</w:t>
      </w:r>
      <w:r w:rsidR="00EC7302" w:rsidRPr="00F34CDB">
        <w:rPr>
          <w:b/>
          <w:sz w:val="28"/>
          <w:szCs w:val="28"/>
          <w:lang w:val="lv-LV"/>
        </w:rPr>
        <w:t xml:space="preserve"> </w:t>
      </w:r>
      <w:bookmarkEnd w:id="2"/>
      <w:bookmarkEnd w:id="3"/>
      <w:r w:rsidR="00EC7302" w:rsidRPr="00F34CDB">
        <w:rPr>
          <w:b/>
          <w:sz w:val="28"/>
          <w:szCs w:val="28"/>
          <w:lang w:val="lv-LV"/>
        </w:rPr>
        <w:t>Ministru kabineta 20</w:t>
      </w:r>
      <w:r w:rsidR="006A7AF3" w:rsidRPr="00F34CDB">
        <w:rPr>
          <w:b/>
          <w:sz w:val="28"/>
          <w:szCs w:val="28"/>
          <w:lang w:val="lv-LV"/>
        </w:rPr>
        <w:t>07</w:t>
      </w:r>
      <w:r w:rsidR="00EC7302" w:rsidRPr="00F34CDB">
        <w:rPr>
          <w:b/>
          <w:sz w:val="28"/>
          <w:szCs w:val="28"/>
          <w:lang w:val="lv-LV"/>
        </w:rPr>
        <w:t xml:space="preserve">. gada </w:t>
      </w:r>
      <w:r w:rsidR="006A7AF3" w:rsidRPr="00F34CDB">
        <w:rPr>
          <w:b/>
          <w:sz w:val="28"/>
          <w:szCs w:val="28"/>
          <w:lang w:val="lv-LV"/>
        </w:rPr>
        <w:t>2</w:t>
      </w:r>
      <w:r w:rsidR="00EC7302" w:rsidRPr="00F34CDB">
        <w:rPr>
          <w:b/>
          <w:sz w:val="28"/>
          <w:szCs w:val="28"/>
          <w:lang w:val="lv-LV"/>
        </w:rPr>
        <w:t xml:space="preserve">. </w:t>
      </w:r>
      <w:r w:rsidR="006A7AF3" w:rsidRPr="00F34CDB">
        <w:rPr>
          <w:b/>
          <w:sz w:val="28"/>
          <w:szCs w:val="28"/>
          <w:lang w:val="lv-LV"/>
        </w:rPr>
        <w:t>maija</w:t>
      </w:r>
      <w:r w:rsidR="00EC7302" w:rsidRPr="00F34CDB">
        <w:rPr>
          <w:b/>
          <w:sz w:val="28"/>
          <w:szCs w:val="28"/>
          <w:lang w:val="lv-LV"/>
        </w:rPr>
        <w:t xml:space="preserve"> noteikumos </w:t>
      </w:r>
    </w:p>
    <w:p w14:paraId="4575FACF" w14:textId="77777777" w:rsidR="006A7AF3" w:rsidRPr="00F34CDB" w:rsidRDefault="00EC7302" w:rsidP="00EC7302">
      <w:pPr>
        <w:pStyle w:val="naislab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  <w:lang w:val="lv-LV"/>
        </w:rPr>
      </w:pPr>
      <w:r w:rsidRPr="00F34CDB">
        <w:rPr>
          <w:b/>
          <w:sz w:val="28"/>
          <w:szCs w:val="28"/>
          <w:lang w:val="lv-LV"/>
        </w:rPr>
        <w:t xml:space="preserve">Nr. </w:t>
      </w:r>
      <w:r w:rsidR="006A7AF3" w:rsidRPr="00F34CDB">
        <w:rPr>
          <w:b/>
          <w:sz w:val="28"/>
          <w:szCs w:val="28"/>
          <w:lang w:val="lv-LV"/>
        </w:rPr>
        <w:t>295</w:t>
      </w:r>
      <w:r w:rsidRPr="00F34CDB">
        <w:rPr>
          <w:b/>
          <w:sz w:val="28"/>
          <w:szCs w:val="28"/>
          <w:lang w:val="lv-LV"/>
        </w:rPr>
        <w:t> “</w:t>
      </w:r>
      <w:r w:rsidR="006A7AF3" w:rsidRPr="00F34CDB">
        <w:rPr>
          <w:b/>
          <w:sz w:val="28"/>
          <w:szCs w:val="28"/>
          <w:lang w:val="lv-LV"/>
        </w:rPr>
        <w:t>Noteikumi par rūpniecisko zveju iekšējos ūdeņos</w:t>
      </w:r>
      <w:r w:rsidRPr="00F34CDB">
        <w:rPr>
          <w:b/>
          <w:sz w:val="28"/>
          <w:szCs w:val="28"/>
          <w:lang w:val="lv-LV"/>
        </w:rPr>
        <w:t>”</w:t>
      </w:r>
      <w:r w:rsidR="00875FC2" w:rsidRPr="00F34CDB">
        <w:rPr>
          <w:rFonts w:eastAsia="Times New Roman"/>
          <w:b/>
          <w:sz w:val="28"/>
          <w:szCs w:val="28"/>
          <w:lang w:val="lv-LV"/>
        </w:rPr>
        <w:t>”</w:t>
      </w:r>
      <w:r w:rsidRPr="00F34CDB">
        <w:rPr>
          <w:rFonts w:eastAsia="Times New Roman"/>
          <w:b/>
          <w:sz w:val="28"/>
          <w:szCs w:val="28"/>
          <w:lang w:val="lv-LV"/>
        </w:rPr>
        <w:t xml:space="preserve"> </w:t>
      </w:r>
    </w:p>
    <w:p w14:paraId="1682A924" w14:textId="5A23A37A" w:rsidR="00D80316" w:rsidRPr="00F34CDB" w:rsidRDefault="00875FC2" w:rsidP="00EC7302">
      <w:pPr>
        <w:pStyle w:val="naislab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  <w:r w:rsidRPr="00F34CDB">
        <w:rPr>
          <w:b/>
          <w:sz w:val="28"/>
          <w:szCs w:val="28"/>
          <w:lang w:val="lv-LV"/>
        </w:rPr>
        <w:t>sākotnējās ietekmes novērtējuma ziņojums</w:t>
      </w:r>
      <w:r w:rsidRPr="00F34CDB">
        <w:rPr>
          <w:b/>
          <w:bCs/>
          <w:sz w:val="28"/>
          <w:szCs w:val="28"/>
          <w:lang w:val="lv-LV"/>
        </w:rPr>
        <w:t xml:space="preserve"> (anotācija)</w:t>
      </w:r>
    </w:p>
    <w:p w14:paraId="6B1165A4" w14:textId="77777777" w:rsidR="00840ADE" w:rsidRPr="00F34CDB" w:rsidRDefault="00840ADE" w:rsidP="00D80316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1865"/>
        <w:gridCol w:w="7201"/>
      </w:tblGrid>
      <w:tr w:rsidR="00DF64C2" w:rsidRPr="00F34CDB" w14:paraId="18E182A8" w14:textId="77777777" w:rsidTr="009C5EF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14:paraId="6028D0DC" w14:textId="77777777" w:rsidR="007412C6" w:rsidRPr="00F34CDB" w:rsidRDefault="00875FC2" w:rsidP="00494041">
            <w:pPr>
              <w:jc w:val="center"/>
              <w:rPr>
                <w:b/>
                <w:bCs/>
                <w:lang w:val="lv-LV" w:eastAsia="lv-LV"/>
              </w:rPr>
            </w:pPr>
            <w:r w:rsidRPr="00F34CDB">
              <w:rPr>
                <w:b/>
                <w:bCs/>
                <w:lang w:val="lv-LV" w:eastAsia="lv-LV"/>
              </w:rPr>
              <w:t>Tiesību akta projekta anotācijas kopsavilkums</w:t>
            </w:r>
          </w:p>
        </w:tc>
      </w:tr>
      <w:tr w:rsidR="00DF64C2" w:rsidRPr="00F34CDB" w14:paraId="468B056C" w14:textId="77777777" w:rsidTr="009C5EFA">
        <w:tc>
          <w:tcPr>
            <w:tcW w:w="1209" w:type="pct"/>
            <w:gridSpan w:val="2"/>
            <w:shd w:val="clear" w:color="auto" w:fill="auto"/>
          </w:tcPr>
          <w:p w14:paraId="1E5E2EBD" w14:textId="371545FC" w:rsidR="007412C6" w:rsidRPr="00F34CDB" w:rsidRDefault="00875FC2" w:rsidP="007412C6">
            <w:pPr>
              <w:jc w:val="both"/>
              <w:rPr>
                <w:highlight w:val="yellow"/>
                <w:lang w:val="lv-LV" w:eastAsia="lv-LV"/>
              </w:rPr>
            </w:pPr>
            <w:r w:rsidRPr="00F34CDB">
              <w:rPr>
                <w:lang w:val="lv-LV"/>
              </w:rPr>
              <w:t xml:space="preserve">Mērķis, risinājums un projekta spēkā stāšanās laiks </w:t>
            </w:r>
          </w:p>
        </w:tc>
        <w:tc>
          <w:tcPr>
            <w:tcW w:w="3791" w:type="pct"/>
            <w:shd w:val="clear" w:color="auto" w:fill="auto"/>
          </w:tcPr>
          <w:p w14:paraId="1E33DBFC" w14:textId="3DE7BBC9" w:rsidR="007412C6" w:rsidRPr="00F34CDB" w:rsidRDefault="00A970FB" w:rsidP="00494041">
            <w:pPr>
              <w:jc w:val="both"/>
              <w:rPr>
                <w:highlight w:val="yellow"/>
                <w:lang w:val="lv-LV"/>
              </w:rPr>
            </w:pPr>
            <w:r w:rsidRPr="00F34CDB">
              <w:rPr>
                <w:rFonts w:eastAsia="Calibri"/>
                <w:bCs/>
                <w:lang w:val="lv-LV"/>
              </w:rPr>
              <w:t>Projekts šo jomu neskar.</w:t>
            </w:r>
          </w:p>
        </w:tc>
      </w:tr>
      <w:tr w:rsidR="00DF64C2" w:rsidRPr="00F34CDB" w14:paraId="1203D7FA" w14:textId="77777777" w:rsidTr="009C5EFA">
        <w:tc>
          <w:tcPr>
            <w:tcW w:w="5000" w:type="pct"/>
            <w:gridSpan w:val="3"/>
            <w:vAlign w:val="center"/>
          </w:tcPr>
          <w:p w14:paraId="5989AECD" w14:textId="77777777" w:rsidR="00D80316" w:rsidRPr="00F34CDB" w:rsidRDefault="00875FC2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F34CDB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DF64C2" w:rsidRPr="00F265F7" w14:paraId="7652DC21" w14:textId="77777777" w:rsidTr="009C5EFA">
        <w:tc>
          <w:tcPr>
            <w:tcW w:w="227" w:type="pct"/>
          </w:tcPr>
          <w:p w14:paraId="38813BB5" w14:textId="77777777" w:rsidR="00D80316" w:rsidRPr="00F34CDB" w:rsidRDefault="00875FC2" w:rsidP="00880359">
            <w:pPr>
              <w:jc w:val="center"/>
              <w:rPr>
                <w:lang w:val="lv-LV" w:eastAsia="lv-LV"/>
              </w:rPr>
            </w:pPr>
            <w:r w:rsidRPr="00F34CDB">
              <w:rPr>
                <w:lang w:val="lv-LV" w:eastAsia="lv-LV"/>
              </w:rPr>
              <w:t>1.</w:t>
            </w:r>
          </w:p>
        </w:tc>
        <w:tc>
          <w:tcPr>
            <w:tcW w:w="981" w:type="pct"/>
          </w:tcPr>
          <w:p w14:paraId="50DC56D6" w14:textId="77777777" w:rsidR="00D80316" w:rsidRPr="00F34CDB" w:rsidRDefault="00875FC2" w:rsidP="00880359">
            <w:pPr>
              <w:jc w:val="both"/>
              <w:rPr>
                <w:lang w:val="lv-LV" w:eastAsia="lv-LV"/>
              </w:rPr>
            </w:pPr>
            <w:r w:rsidRPr="00F34CDB">
              <w:rPr>
                <w:lang w:val="lv-LV" w:eastAsia="lv-LV"/>
              </w:rPr>
              <w:t>Pamatojums</w:t>
            </w:r>
          </w:p>
        </w:tc>
        <w:tc>
          <w:tcPr>
            <w:tcW w:w="3791" w:type="pct"/>
          </w:tcPr>
          <w:p w14:paraId="2FFC1F8B" w14:textId="67BE2599" w:rsidR="00D80316" w:rsidRPr="00F34CDB" w:rsidRDefault="00DE629F" w:rsidP="00335460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F34CDB">
              <w:rPr>
                <w:lang w:val="lv-LV"/>
              </w:rPr>
              <w:t>Ministru kabineta noteikumu projekts “</w:t>
            </w:r>
            <w:r w:rsidR="00963A69">
              <w:rPr>
                <w:lang w:val="lv-LV"/>
              </w:rPr>
              <w:t>Grozījums</w:t>
            </w:r>
            <w:r w:rsidR="006A7AF3" w:rsidRPr="00F34CDB">
              <w:rPr>
                <w:lang w:val="lv-LV"/>
              </w:rPr>
              <w:t xml:space="preserve"> Ministru kabineta 2007. gada 2. maija noteikumos Nr. 295 “Noteikumi par rūpniecisko zveju iekšējos ūdeņos”” </w:t>
            </w:r>
            <w:r w:rsidRPr="00F34CDB">
              <w:rPr>
                <w:lang w:val="lv-LV"/>
              </w:rPr>
              <w:t xml:space="preserve">(turpmāk – noteikumu projekts) ir sagatavots, pamatojoties uz </w:t>
            </w:r>
            <w:r w:rsidR="00335460" w:rsidRPr="00F34CDB">
              <w:rPr>
                <w:lang w:val="lv-LV"/>
              </w:rPr>
              <w:t>Zvejniecības likuma 13. panta pirmās daļas 2.</w:t>
            </w:r>
            <w:r w:rsidR="005224E0">
              <w:rPr>
                <w:lang w:val="lv-LV"/>
              </w:rPr>
              <w:t xml:space="preserve"> </w:t>
            </w:r>
            <w:r w:rsidR="00335460" w:rsidRPr="00F34CDB">
              <w:rPr>
                <w:lang w:val="lv-LV"/>
              </w:rPr>
              <w:t>punktu.</w:t>
            </w:r>
          </w:p>
        </w:tc>
      </w:tr>
      <w:tr w:rsidR="00DF64C2" w:rsidRPr="00F265F7" w14:paraId="4858CF8F" w14:textId="77777777" w:rsidTr="009C5EFA">
        <w:tc>
          <w:tcPr>
            <w:tcW w:w="227" w:type="pct"/>
          </w:tcPr>
          <w:p w14:paraId="63D3C683" w14:textId="77777777" w:rsidR="00D80316" w:rsidRPr="00F34CDB" w:rsidRDefault="00875FC2" w:rsidP="00880359">
            <w:pPr>
              <w:jc w:val="center"/>
              <w:rPr>
                <w:lang w:val="lv-LV" w:eastAsia="lv-LV"/>
              </w:rPr>
            </w:pPr>
            <w:r w:rsidRPr="00F34CDB">
              <w:rPr>
                <w:lang w:val="lv-LV" w:eastAsia="lv-LV"/>
              </w:rPr>
              <w:t>2.</w:t>
            </w:r>
          </w:p>
        </w:tc>
        <w:tc>
          <w:tcPr>
            <w:tcW w:w="981" w:type="pct"/>
          </w:tcPr>
          <w:p w14:paraId="4E73786A" w14:textId="73943CC3" w:rsidR="00ED5363" w:rsidRPr="00F34CDB" w:rsidRDefault="00875FC2" w:rsidP="00880359">
            <w:pPr>
              <w:jc w:val="both"/>
              <w:rPr>
                <w:lang w:val="lv-LV" w:eastAsia="lv-LV"/>
              </w:rPr>
            </w:pPr>
            <w:r w:rsidRPr="00F34CDB">
              <w:rPr>
                <w:lang w:val="lv-LV" w:eastAsia="lv-LV"/>
              </w:rPr>
              <w:t xml:space="preserve">Pašreizējā situācija </w:t>
            </w:r>
            <w:r w:rsidRPr="00F34CDB">
              <w:rPr>
                <w:lang w:val="lv-LV"/>
              </w:rPr>
              <w:t>un problēmas, kuru risināšanai tiesību akta projekts izstrādāts, tiesiskā regulējuma mērķis un būtība</w:t>
            </w:r>
          </w:p>
          <w:p w14:paraId="67FBD9D1" w14:textId="77777777" w:rsidR="00ED5363" w:rsidRPr="00F34CDB" w:rsidRDefault="00ED5363" w:rsidP="00ED5363">
            <w:pPr>
              <w:rPr>
                <w:lang w:val="lv-LV" w:eastAsia="lv-LV"/>
              </w:rPr>
            </w:pPr>
          </w:p>
          <w:p w14:paraId="06B4CC69" w14:textId="77777777" w:rsidR="00ED5363" w:rsidRPr="00F34CDB" w:rsidRDefault="00ED5363" w:rsidP="00ED5363">
            <w:pPr>
              <w:rPr>
                <w:lang w:val="lv-LV" w:eastAsia="lv-LV"/>
              </w:rPr>
            </w:pPr>
          </w:p>
          <w:p w14:paraId="1DC2B89C" w14:textId="77777777" w:rsidR="00ED5363" w:rsidRPr="00F34CDB" w:rsidRDefault="00ED5363" w:rsidP="00ED5363">
            <w:pPr>
              <w:rPr>
                <w:lang w:val="lv-LV" w:eastAsia="lv-LV"/>
              </w:rPr>
            </w:pPr>
          </w:p>
          <w:p w14:paraId="3E2A4E13" w14:textId="77777777" w:rsidR="00ED5363" w:rsidRPr="00F34CDB" w:rsidRDefault="00ED5363" w:rsidP="00ED5363">
            <w:pPr>
              <w:rPr>
                <w:lang w:val="lv-LV" w:eastAsia="lv-LV"/>
              </w:rPr>
            </w:pPr>
          </w:p>
          <w:p w14:paraId="00D135CE" w14:textId="77777777" w:rsidR="00ED5363" w:rsidRPr="00F34CDB" w:rsidRDefault="00ED5363" w:rsidP="00ED5363">
            <w:pPr>
              <w:rPr>
                <w:lang w:val="lv-LV" w:eastAsia="lv-LV"/>
              </w:rPr>
            </w:pPr>
          </w:p>
          <w:p w14:paraId="12841231" w14:textId="77777777" w:rsidR="00ED5363" w:rsidRPr="00F34CDB" w:rsidRDefault="00ED5363" w:rsidP="00ED5363">
            <w:pPr>
              <w:rPr>
                <w:lang w:val="lv-LV" w:eastAsia="lv-LV"/>
              </w:rPr>
            </w:pPr>
          </w:p>
          <w:p w14:paraId="638A9BA3" w14:textId="77777777" w:rsidR="00ED5363" w:rsidRPr="00F34CDB" w:rsidRDefault="00ED5363" w:rsidP="00ED5363">
            <w:pPr>
              <w:rPr>
                <w:lang w:val="lv-LV" w:eastAsia="lv-LV"/>
              </w:rPr>
            </w:pPr>
          </w:p>
          <w:p w14:paraId="230FD59F" w14:textId="77777777" w:rsidR="00ED5363" w:rsidRPr="00F34CDB" w:rsidRDefault="00ED5363" w:rsidP="00ED5363">
            <w:pPr>
              <w:rPr>
                <w:lang w:val="lv-LV" w:eastAsia="lv-LV"/>
              </w:rPr>
            </w:pPr>
          </w:p>
          <w:p w14:paraId="069877E3" w14:textId="77777777" w:rsidR="00ED5363" w:rsidRPr="00F34CDB" w:rsidRDefault="00ED5363" w:rsidP="00ED5363">
            <w:pPr>
              <w:rPr>
                <w:lang w:val="lv-LV" w:eastAsia="lv-LV"/>
              </w:rPr>
            </w:pPr>
          </w:p>
          <w:p w14:paraId="7128D61E" w14:textId="77777777" w:rsidR="00ED5363" w:rsidRPr="00F34CDB" w:rsidRDefault="00ED5363" w:rsidP="00ED5363">
            <w:pPr>
              <w:rPr>
                <w:lang w:val="lv-LV" w:eastAsia="lv-LV"/>
              </w:rPr>
            </w:pPr>
          </w:p>
          <w:p w14:paraId="2EEFC740" w14:textId="77777777" w:rsidR="00ED5363" w:rsidRPr="00F34CDB" w:rsidRDefault="00ED5363" w:rsidP="00ED5363">
            <w:pPr>
              <w:rPr>
                <w:lang w:val="lv-LV" w:eastAsia="lv-LV"/>
              </w:rPr>
            </w:pPr>
          </w:p>
          <w:p w14:paraId="1DEF89C4" w14:textId="77777777" w:rsidR="00ED5363" w:rsidRPr="00F34CDB" w:rsidRDefault="00ED5363" w:rsidP="00ED5363">
            <w:pPr>
              <w:rPr>
                <w:lang w:val="lv-LV" w:eastAsia="lv-LV"/>
              </w:rPr>
            </w:pPr>
          </w:p>
          <w:p w14:paraId="4A6C87B3" w14:textId="77777777" w:rsidR="00ED5363" w:rsidRPr="00F34CDB" w:rsidRDefault="00ED5363" w:rsidP="00ED5363">
            <w:pPr>
              <w:rPr>
                <w:lang w:val="lv-LV" w:eastAsia="lv-LV"/>
              </w:rPr>
            </w:pPr>
          </w:p>
          <w:p w14:paraId="236DF7EB" w14:textId="77777777" w:rsidR="00ED5363" w:rsidRPr="00F34CDB" w:rsidRDefault="00ED5363" w:rsidP="00ED5363">
            <w:pPr>
              <w:rPr>
                <w:lang w:val="lv-LV" w:eastAsia="lv-LV"/>
              </w:rPr>
            </w:pPr>
          </w:p>
          <w:p w14:paraId="64B24898" w14:textId="77777777" w:rsidR="00ED5363" w:rsidRPr="00F34CDB" w:rsidRDefault="00ED5363" w:rsidP="00ED5363">
            <w:pPr>
              <w:rPr>
                <w:lang w:val="lv-LV" w:eastAsia="lv-LV"/>
              </w:rPr>
            </w:pPr>
          </w:p>
          <w:p w14:paraId="29D7E14D" w14:textId="77777777" w:rsidR="00ED5363" w:rsidRPr="00F34CDB" w:rsidRDefault="00ED5363" w:rsidP="00ED5363">
            <w:pPr>
              <w:rPr>
                <w:lang w:val="lv-LV" w:eastAsia="lv-LV"/>
              </w:rPr>
            </w:pPr>
          </w:p>
          <w:p w14:paraId="2A93518A" w14:textId="77777777" w:rsidR="00ED5363" w:rsidRPr="00F34CDB" w:rsidRDefault="00ED5363" w:rsidP="00ED5363">
            <w:pPr>
              <w:rPr>
                <w:lang w:val="lv-LV" w:eastAsia="lv-LV"/>
              </w:rPr>
            </w:pPr>
          </w:p>
          <w:p w14:paraId="0F0A2FD5" w14:textId="77777777" w:rsidR="00ED5363" w:rsidRPr="00F34CDB" w:rsidRDefault="00ED5363" w:rsidP="00ED5363">
            <w:pPr>
              <w:rPr>
                <w:lang w:val="lv-LV" w:eastAsia="lv-LV"/>
              </w:rPr>
            </w:pPr>
          </w:p>
          <w:p w14:paraId="7ECDED20" w14:textId="77777777" w:rsidR="00ED5363" w:rsidRPr="00F34CDB" w:rsidRDefault="00ED5363" w:rsidP="00ED5363">
            <w:pPr>
              <w:rPr>
                <w:lang w:val="lv-LV" w:eastAsia="lv-LV"/>
              </w:rPr>
            </w:pPr>
          </w:p>
          <w:p w14:paraId="18EC04BF" w14:textId="14D9B3A8" w:rsidR="00D80316" w:rsidRPr="00F34CDB" w:rsidRDefault="00D80316" w:rsidP="00ED5363">
            <w:pPr>
              <w:rPr>
                <w:lang w:val="lv-LV" w:eastAsia="lv-LV"/>
              </w:rPr>
            </w:pPr>
          </w:p>
        </w:tc>
        <w:tc>
          <w:tcPr>
            <w:tcW w:w="3791" w:type="pct"/>
          </w:tcPr>
          <w:p w14:paraId="282BBC70" w14:textId="47ED13A9" w:rsidR="00335460" w:rsidRPr="00F34CDB" w:rsidRDefault="00335460" w:rsidP="00CC4EF6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lang w:val="lv-LV"/>
              </w:rPr>
            </w:pPr>
            <w:r w:rsidRPr="00F34CDB">
              <w:rPr>
                <w:rFonts w:eastAsia="Arial Unicode MS"/>
                <w:lang w:val="lv-LV"/>
              </w:rPr>
              <w:t>Zemkopības ministrijā (turpmāk – ZM) vērs</w:t>
            </w:r>
            <w:r w:rsidR="005224E0">
              <w:rPr>
                <w:rFonts w:eastAsia="Arial Unicode MS"/>
                <w:lang w:val="lv-LV"/>
              </w:rPr>
              <w:t>ā</w:t>
            </w:r>
            <w:r w:rsidRPr="00F34CDB">
              <w:rPr>
                <w:rFonts w:eastAsia="Arial Unicode MS"/>
                <w:lang w:val="lv-LV"/>
              </w:rPr>
              <w:t>s Madonas novada pašvaldība (13.12.2017. vēstule Nr.</w:t>
            </w:r>
            <w:r w:rsidR="005B7DB9">
              <w:rPr>
                <w:rFonts w:eastAsia="Arial Unicode MS"/>
                <w:lang w:val="lv-LV"/>
              </w:rPr>
              <w:t> </w:t>
            </w:r>
            <w:r w:rsidRPr="00F34CDB">
              <w:rPr>
                <w:rFonts w:eastAsia="Arial Unicode MS"/>
                <w:lang w:val="lv-LV"/>
              </w:rPr>
              <w:t xml:space="preserve">MNP/2.1.3.1./17/2684), kura </w:t>
            </w:r>
            <w:r w:rsidR="000655C3" w:rsidRPr="00F34CDB">
              <w:rPr>
                <w:rFonts w:eastAsia="Arial Unicode MS"/>
                <w:lang w:val="lv-LV"/>
              </w:rPr>
              <w:t>i</w:t>
            </w:r>
            <w:r w:rsidR="005224E0">
              <w:rPr>
                <w:rFonts w:eastAsia="Arial Unicode MS"/>
                <w:lang w:val="lv-LV"/>
              </w:rPr>
              <w:t>e</w:t>
            </w:r>
            <w:r w:rsidRPr="00F34CDB">
              <w:rPr>
                <w:rFonts w:eastAsia="Arial Unicode MS"/>
                <w:lang w:val="lv-LV"/>
              </w:rPr>
              <w:t>rosināj</w:t>
            </w:r>
            <w:r w:rsidR="005224E0">
              <w:rPr>
                <w:rFonts w:eastAsia="Arial Unicode MS"/>
                <w:lang w:val="lv-LV"/>
              </w:rPr>
              <w:t>a</w:t>
            </w:r>
            <w:r w:rsidRPr="00F34CDB">
              <w:rPr>
                <w:rFonts w:eastAsia="Arial Unicode MS"/>
                <w:lang w:val="lv-LV"/>
              </w:rPr>
              <w:t xml:space="preserve"> grozī</w:t>
            </w:r>
            <w:r w:rsidR="005224E0">
              <w:rPr>
                <w:rFonts w:eastAsia="Arial Unicode MS"/>
                <w:lang w:val="lv-LV"/>
              </w:rPr>
              <w:t>t</w:t>
            </w:r>
            <w:r w:rsidRPr="00F34CDB">
              <w:rPr>
                <w:rFonts w:eastAsia="Arial Unicode MS"/>
                <w:lang w:val="lv-LV"/>
              </w:rPr>
              <w:t xml:space="preserve"> Ministru kabineta 2007. gada 2. maija noteikumu Nr. 295 “Noteikumi par rūpniecisko zveju iekšējos ūdeņos” (turpmāk –</w:t>
            </w:r>
            <w:proofErr w:type="gramStart"/>
            <w:r w:rsidRPr="00F34CDB">
              <w:rPr>
                <w:rFonts w:eastAsia="Arial Unicode MS"/>
                <w:lang w:val="lv-LV"/>
              </w:rPr>
              <w:t xml:space="preserve">  </w:t>
            </w:r>
            <w:proofErr w:type="gramEnd"/>
            <w:r w:rsidRPr="00F34CDB">
              <w:rPr>
                <w:rFonts w:eastAsia="Arial Unicode MS"/>
                <w:lang w:val="lv-LV"/>
              </w:rPr>
              <w:t>noteikumi Nr.</w:t>
            </w:r>
            <w:r w:rsidR="005224E0">
              <w:rPr>
                <w:rFonts w:eastAsia="Arial Unicode MS"/>
                <w:lang w:val="lv-LV"/>
              </w:rPr>
              <w:t xml:space="preserve"> </w:t>
            </w:r>
            <w:r w:rsidRPr="00F34CDB">
              <w:rPr>
                <w:rFonts w:eastAsia="Arial Unicode MS"/>
                <w:lang w:val="lv-LV"/>
              </w:rPr>
              <w:t>295) 29.4.</w:t>
            </w:r>
            <w:r w:rsidR="005B7DB9">
              <w:rPr>
                <w:rFonts w:eastAsia="Arial Unicode MS"/>
                <w:lang w:val="lv-LV"/>
              </w:rPr>
              <w:t> </w:t>
            </w:r>
            <w:r w:rsidRPr="00F34CDB">
              <w:rPr>
                <w:rFonts w:eastAsia="Arial Unicode MS"/>
                <w:lang w:val="lv-LV"/>
              </w:rPr>
              <w:t>apakšpunkt</w:t>
            </w:r>
            <w:r w:rsidR="005224E0">
              <w:rPr>
                <w:rFonts w:eastAsia="Arial Unicode MS"/>
                <w:lang w:val="lv-LV"/>
              </w:rPr>
              <w:t>u</w:t>
            </w:r>
            <w:r w:rsidRPr="00F34CDB">
              <w:rPr>
                <w:rFonts w:eastAsia="Arial Unicode MS"/>
                <w:lang w:val="lv-LV"/>
              </w:rPr>
              <w:t xml:space="preserve">, to papildinot ar </w:t>
            </w:r>
            <w:proofErr w:type="spellStart"/>
            <w:r w:rsidRPr="00F34CDB">
              <w:rPr>
                <w:rFonts w:eastAsia="Arial Unicode MS"/>
                <w:lang w:val="lv-LV"/>
              </w:rPr>
              <w:t>Kālezeru</w:t>
            </w:r>
            <w:proofErr w:type="spellEnd"/>
            <w:r w:rsidRPr="00F34CDB">
              <w:rPr>
                <w:rFonts w:eastAsia="Arial Unicode MS"/>
                <w:lang w:val="lv-LV"/>
              </w:rPr>
              <w:t xml:space="preserve">, lai šajā ezerā aizliegtu rūpniecisko zveju. Pašvaldība norāda, ka šāds ierosinājums ir pamatots ar to, ka </w:t>
            </w:r>
            <w:proofErr w:type="spellStart"/>
            <w:r w:rsidR="005B7DB9" w:rsidRPr="00F34CDB">
              <w:rPr>
                <w:rFonts w:eastAsia="Arial Unicode MS"/>
                <w:lang w:val="lv-LV"/>
              </w:rPr>
              <w:t>Kāl</w:t>
            </w:r>
            <w:r w:rsidR="005B7DB9">
              <w:rPr>
                <w:rFonts w:eastAsia="Arial Unicode MS"/>
                <w:lang w:val="lv-LV"/>
              </w:rPr>
              <w:t>ezers</w:t>
            </w:r>
            <w:proofErr w:type="spellEnd"/>
            <w:r w:rsidR="005B7DB9">
              <w:rPr>
                <w:rFonts w:eastAsia="Arial Unicode MS"/>
                <w:lang w:val="lv-LV"/>
              </w:rPr>
              <w:t xml:space="preserve"> </w:t>
            </w:r>
            <w:r w:rsidR="005B7DB9" w:rsidRPr="00F34CDB">
              <w:rPr>
                <w:rFonts w:eastAsia="Arial Unicode MS"/>
                <w:lang w:val="lv-LV"/>
              </w:rPr>
              <w:t>līdz 07.02.2038.</w:t>
            </w:r>
            <w:r w:rsidR="005B7DB9">
              <w:rPr>
                <w:rFonts w:eastAsia="Arial Unicode MS"/>
                <w:lang w:val="lv-LV"/>
              </w:rPr>
              <w:t xml:space="preserve"> ir nodots apsaimniekošanā</w:t>
            </w:r>
            <w:r w:rsidR="005B7DB9" w:rsidRPr="00F34CDB">
              <w:rPr>
                <w:rFonts w:eastAsia="Arial Unicode MS"/>
                <w:lang w:val="lv-LV"/>
              </w:rPr>
              <w:t xml:space="preserve"> </w:t>
            </w:r>
            <w:r w:rsidRPr="00F34CDB">
              <w:rPr>
                <w:rFonts w:eastAsia="Arial Unicode MS"/>
                <w:lang w:val="lv-LV"/>
              </w:rPr>
              <w:t xml:space="preserve">biedrībai “Kāla ezera padome” un tā šajā ezerā organizē licencēto makšķerēšanu. Rūpnieciskā zveja </w:t>
            </w:r>
            <w:proofErr w:type="spellStart"/>
            <w:r w:rsidRPr="00F34CDB">
              <w:rPr>
                <w:rFonts w:eastAsia="Arial Unicode MS"/>
                <w:lang w:val="lv-LV"/>
              </w:rPr>
              <w:t>Kālezerā</w:t>
            </w:r>
            <w:proofErr w:type="spellEnd"/>
            <w:r w:rsidRPr="00F34CDB">
              <w:rPr>
                <w:rFonts w:eastAsia="Arial Unicode MS"/>
                <w:lang w:val="lv-LV"/>
              </w:rPr>
              <w:t xml:space="preserve"> būtiski traucējot gan licencētās makšķerēšanas organizēšanu, gan arī ietekmējot zivju resursu ilgtspējīgu izmantošanu un bioloģiskās daudzveidības saglabāšanu.</w:t>
            </w:r>
          </w:p>
          <w:p w14:paraId="3D964F95" w14:textId="39B006A4" w:rsidR="00171F83" w:rsidRPr="00F34CDB" w:rsidRDefault="00171F83" w:rsidP="00171F83">
            <w:pPr>
              <w:autoSpaceDE w:val="0"/>
              <w:autoSpaceDN w:val="0"/>
              <w:adjustRightInd w:val="0"/>
              <w:jc w:val="both"/>
              <w:rPr>
                <w:szCs w:val="28"/>
                <w:lang w:val="lv-LV"/>
              </w:rPr>
            </w:pPr>
            <w:r w:rsidRPr="00F34CDB">
              <w:rPr>
                <w:rFonts w:eastAsia="Arial Unicode MS"/>
                <w:lang w:val="lv-LV"/>
              </w:rPr>
              <w:t xml:space="preserve">Spēkā esošo </w:t>
            </w:r>
            <w:r w:rsidRPr="00F34CDB">
              <w:rPr>
                <w:lang w:val="lv-LV"/>
              </w:rPr>
              <w:t>noteikumu Nr.</w:t>
            </w:r>
            <w:r w:rsidR="006D049F">
              <w:rPr>
                <w:lang w:val="lv-LV"/>
              </w:rPr>
              <w:t xml:space="preserve"> </w:t>
            </w:r>
            <w:r w:rsidRPr="00F34CDB">
              <w:rPr>
                <w:lang w:val="lv-LV"/>
              </w:rPr>
              <w:t>295 29.4.</w:t>
            </w:r>
            <w:r w:rsidR="006D049F">
              <w:rPr>
                <w:lang w:val="lv-LV"/>
              </w:rPr>
              <w:t xml:space="preserve"> </w:t>
            </w:r>
            <w:r w:rsidRPr="00F34CDB">
              <w:rPr>
                <w:lang w:val="lv-LV"/>
              </w:rPr>
              <w:t>apakšpunkts nosaka tos ezerus, kur</w:t>
            </w:r>
            <w:r w:rsidR="001F5F46">
              <w:rPr>
                <w:lang w:val="lv-LV"/>
              </w:rPr>
              <w:t>os</w:t>
            </w:r>
            <w:r w:rsidRPr="00F34CDB">
              <w:rPr>
                <w:lang w:val="lv-LV"/>
              </w:rPr>
              <w:t xml:space="preserve"> visu gadu aizliegts zvejot (izņemot specializēto zušu, nēģu, stagaru un ezera salaku zveju)</w:t>
            </w:r>
            <w:r w:rsidRPr="00F34CDB">
              <w:rPr>
                <w:szCs w:val="28"/>
                <w:lang w:val="lv-LV"/>
              </w:rPr>
              <w:t>.</w:t>
            </w:r>
          </w:p>
          <w:p w14:paraId="5FAE32EE" w14:textId="6A0E416D" w:rsidR="00171F83" w:rsidRPr="00F34CDB" w:rsidRDefault="00171F83" w:rsidP="00171F83">
            <w:pPr>
              <w:jc w:val="both"/>
              <w:rPr>
                <w:bCs/>
                <w:lang w:val="lv-LV"/>
              </w:rPr>
            </w:pPr>
            <w:r w:rsidRPr="00F34CDB">
              <w:rPr>
                <w:bCs/>
                <w:lang w:val="lv-LV"/>
              </w:rPr>
              <w:t xml:space="preserve">Savukārt </w:t>
            </w:r>
            <w:r w:rsidR="001F5F46">
              <w:rPr>
                <w:bCs/>
                <w:lang w:val="lv-LV"/>
              </w:rPr>
              <w:t xml:space="preserve">pašvaldība </w:t>
            </w:r>
            <w:r w:rsidRPr="00F34CDB">
              <w:rPr>
                <w:bCs/>
                <w:lang w:val="lv-LV"/>
              </w:rPr>
              <w:t>saskaņā ar Zvejniecības likuma 16.</w:t>
            </w:r>
            <w:r w:rsidR="006D049F">
              <w:rPr>
                <w:bCs/>
                <w:lang w:val="lv-LV"/>
              </w:rPr>
              <w:t xml:space="preserve"> </w:t>
            </w:r>
            <w:r w:rsidRPr="00F34CDB">
              <w:rPr>
                <w:bCs/>
                <w:lang w:val="lv-LV"/>
              </w:rPr>
              <w:t>panta piekto daļu, lai saglabātu zivju resursus, kā arī attīstītu rekreācijas nolūkos veicamās darbības publiskajos ūdeņos, kuri atrodas tās administratīvajā teritorijā</w:t>
            </w:r>
            <w:r w:rsidR="00E901A4">
              <w:rPr>
                <w:bCs/>
                <w:lang w:val="lv-LV"/>
              </w:rPr>
              <w:t>,</w:t>
            </w:r>
            <w:r w:rsidR="00E901A4" w:rsidRPr="00F34CDB">
              <w:rPr>
                <w:bCs/>
                <w:lang w:val="lv-LV"/>
              </w:rPr>
              <w:t xml:space="preserve"> var</w:t>
            </w:r>
            <w:r w:rsidR="00E901A4">
              <w:rPr>
                <w:bCs/>
                <w:lang w:val="lv-LV"/>
              </w:rPr>
              <w:t xml:space="preserve"> rosināt </w:t>
            </w:r>
            <w:r w:rsidR="00E901A4" w:rsidRPr="00F34CDB">
              <w:rPr>
                <w:bCs/>
                <w:lang w:val="lv-LV"/>
              </w:rPr>
              <w:t>aizliegt rūpniecisko zveju</w:t>
            </w:r>
            <w:r w:rsidR="00E901A4">
              <w:rPr>
                <w:bCs/>
                <w:lang w:val="lv-LV"/>
              </w:rPr>
              <w:t>. Minētā regulējuma ieviešanai tālāk ir nepieciešams</w:t>
            </w:r>
            <w:r w:rsidRPr="00F34CDB">
              <w:rPr>
                <w:bCs/>
                <w:lang w:val="lv-LV"/>
              </w:rPr>
              <w:t xml:space="preserve"> Pārtikas drošības, dzīvnieku veselības un vides zinātniskā institūta “BIOR” (turpmāk – inst</w:t>
            </w:r>
            <w:r w:rsidR="00E901A4">
              <w:rPr>
                <w:bCs/>
                <w:lang w:val="lv-LV"/>
              </w:rPr>
              <w:t>itūts BIOR) ekspertu novērtējums</w:t>
            </w:r>
            <w:r w:rsidR="00692E46">
              <w:rPr>
                <w:bCs/>
                <w:lang w:val="lv-LV"/>
              </w:rPr>
              <w:t xml:space="preserve"> un rūpnieciskās zvejas aizlieguma saskaņojums no</w:t>
            </w:r>
            <w:r w:rsidRPr="00F34CDB">
              <w:rPr>
                <w:bCs/>
                <w:lang w:val="lv-LV"/>
              </w:rPr>
              <w:t xml:space="preserve"> Vides aizsardzības un reģionālās attīstības ministrij</w:t>
            </w:r>
            <w:r w:rsidR="00E901A4">
              <w:rPr>
                <w:bCs/>
                <w:lang w:val="lv-LV"/>
              </w:rPr>
              <w:t>a</w:t>
            </w:r>
            <w:r w:rsidR="00692E46">
              <w:rPr>
                <w:bCs/>
                <w:lang w:val="lv-LV"/>
              </w:rPr>
              <w:t>s</w:t>
            </w:r>
            <w:r w:rsidRPr="00F34CDB">
              <w:rPr>
                <w:bCs/>
                <w:lang w:val="lv-LV"/>
              </w:rPr>
              <w:t xml:space="preserve"> (turpmāk – VARAM)</w:t>
            </w:r>
            <w:r w:rsidR="00E901A4" w:rsidRPr="00F34CDB">
              <w:rPr>
                <w:bCs/>
                <w:lang w:val="lv-LV"/>
              </w:rPr>
              <w:t xml:space="preserve"> un ZM</w:t>
            </w:r>
            <w:r w:rsidR="00E901A4">
              <w:rPr>
                <w:bCs/>
                <w:lang w:val="lv-LV"/>
              </w:rPr>
              <w:t>.</w:t>
            </w:r>
            <w:r w:rsidR="00E901A4" w:rsidRPr="00F34CDB">
              <w:rPr>
                <w:bCs/>
                <w:lang w:val="lv-LV"/>
              </w:rPr>
              <w:t xml:space="preserve"> </w:t>
            </w:r>
          </w:p>
          <w:p w14:paraId="24210A45" w14:textId="09AEF633" w:rsidR="00335460" w:rsidRPr="00F34CDB" w:rsidRDefault="00171F83" w:rsidP="00CC4EF6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lang w:val="lv-LV"/>
              </w:rPr>
            </w:pPr>
            <w:r w:rsidRPr="00F34CDB">
              <w:rPr>
                <w:rFonts w:eastAsia="Arial Unicode MS"/>
                <w:lang w:val="lv-LV"/>
              </w:rPr>
              <w:t xml:space="preserve">Patlaban </w:t>
            </w:r>
            <w:proofErr w:type="spellStart"/>
            <w:r w:rsidR="00335460" w:rsidRPr="00F34CDB">
              <w:rPr>
                <w:rFonts w:eastAsia="Arial Unicode MS"/>
                <w:lang w:val="lv-LV"/>
              </w:rPr>
              <w:t>Kālezeram</w:t>
            </w:r>
            <w:proofErr w:type="spellEnd"/>
            <w:r w:rsidR="00335460" w:rsidRPr="00F34CDB">
              <w:rPr>
                <w:rFonts w:eastAsia="Arial Unicode MS"/>
                <w:lang w:val="lv-LV"/>
              </w:rPr>
              <w:t xml:space="preserve"> saskaņā ar Ministru kabineta 2014.</w:t>
            </w:r>
            <w:r w:rsidR="006D049F">
              <w:rPr>
                <w:rFonts w:eastAsia="Arial Unicode MS"/>
                <w:lang w:val="lv-LV"/>
              </w:rPr>
              <w:t xml:space="preserve"> gada</w:t>
            </w:r>
            <w:r w:rsidR="00335460" w:rsidRPr="00F34CDB">
              <w:rPr>
                <w:rFonts w:eastAsia="Arial Unicode MS"/>
                <w:lang w:val="lv-LV"/>
              </w:rPr>
              <w:t xml:space="preserve"> </w:t>
            </w:r>
            <w:r w:rsidR="006D049F" w:rsidRPr="00F34CDB">
              <w:rPr>
                <w:rFonts w:eastAsia="Arial Unicode MS"/>
                <w:lang w:val="lv-LV"/>
              </w:rPr>
              <w:t>23.</w:t>
            </w:r>
            <w:r w:rsidR="006D049F">
              <w:rPr>
                <w:rFonts w:eastAsia="Arial Unicode MS"/>
                <w:lang w:val="lv-LV"/>
              </w:rPr>
              <w:t xml:space="preserve"> decembra </w:t>
            </w:r>
            <w:r w:rsidR="00335460" w:rsidRPr="00F34CDB">
              <w:rPr>
                <w:rFonts w:eastAsia="Arial Unicode MS"/>
                <w:lang w:val="lv-LV"/>
              </w:rPr>
              <w:t>noteikumu Nr.</w:t>
            </w:r>
            <w:r w:rsidR="006D049F">
              <w:rPr>
                <w:rFonts w:eastAsia="Arial Unicode MS"/>
                <w:lang w:val="lv-LV"/>
              </w:rPr>
              <w:t xml:space="preserve"> </w:t>
            </w:r>
            <w:r w:rsidR="00335460" w:rsidRPr="00F34CDB">
              <w:rPr>
                <w:rFonts w:eastAsia="Arial Unicode MS"/>
                <w:lang w:val="lv-LV"/>
              </w:rPr>
              <w:t>796 “Noteikumi par rūpnieciskās zvejas limitiem un to izmantošanas kārtību iekšējos ūdeņos” 3.11.</w:t>
            </w:r>
            <w:r w:rsidR="006D049F">
              <w:rPr>
                <w:rFonts w:eastAsia="Arial Unicode MS"/>
                <w:lang w:val="lv-LV"/>
              </w:rPr>
              <w:t xml:space="preserve"> </w:t>
            </w:r>
            <w:r w:rsidR="00335460" w:rsidRPr="00F34CDB">
              <w:rPr>
                <w:rFonts w:eastAsia="Arial Unicode MS"/>
                <w:lang w:val="lv-LV"/>
              </w:rPr>
              <w:t xml:space="preserve">apakšpunktu ir piemērojams </w:t>
            </w:r>
            <w:r w:rsidR="005B7DB9">
              <w:rPr>
                <w:rFonts w:eastAsia="Arial Unicode MS"/>
                <w:lang w:val="lv-LV"/>
              </w:rPr>
              <w:t>75 metru</w:t>
            </w:r>
            <w:r w:rsidR="005B7DB9" w:rsidRPr="00F34CDB">
              <w:rPr>
                <w:rFonts w:eastAsia="Arial Unicode MS"/>
                <w:lang w:val="lv-LV"/>
              </w:rPr>
              <w:t xml:space="preserve"> </w:t>
            </w:r>
            <w:r w:rsidR="00335460" w:rsidRPr="00F34CDB">
              <w:rPr>
                <w:rFonts w:eastAsia="Arial Unicode MS"/>
                <w:lang w:val="lv-LV"/>
              </w:rPr>
              <w:t>tīklu limits, k</w:t>
            </w:r>
            <w:r w:rsidR="005B7DB9">
              <w:rPr>
                <w:rFonts w:eastAsia="Arial Unicode MS"/>
                <w:lang w:val="lv-LV"/>
              </w:rPr>
              <w:t>o</w:t>
            </w:r>
            <w:r w:rsidR="00335460" w:rsidRPr="00F34CDB">
              <w:rPr>
                <w:rFonts w:eastAsia="Arial Unicode MS"/>
                <w:lang w:val="lv-LV"/>
              </w:rPr>
              <w:t xml:space="preserve"> var aizstāt ar </w:t>
            </w:r>
            <w:r w:rsidR="005B7DB9">
              <w:rPr>
                <w:rFonts w:eastAsia="Arial Unicode MS"/>
                <w:lang w:val="lv-LV"/>
              </w:rPr>
              <w:t>trīs</w:t>
            </w:r>
            <w:r w:rsidR="00692E46">
              <w:rPr>
                <w:rFonts w:eastAsia="Arial Unicode MS"/>
                <w:lang w:val="lv-LV"/>
              </w:rPr>
              <w:t xml:space="preserve"> </w:t>
            </w:r>
            <w:r w:rsidR="00335460" w:rsidRPr="00F34CDB">
              <w:rPr>
                <w:rFonts w:eastAsia="Arial Unicode MS"/>
                <w:lang w:val="lv-LV"/>
              </w:rPr>
              <w:t>zivju murd</w:t>
            </w:r>
            <w:r w:rsidR="00692E46">
              <w:rPr>
                <w:rFonts w:eastAsia="Arial Unicode MS"/>
                <w:lang w:val="lv-LV"/>
              </w:rPr>
              <w:t>u</w:t>
            </w:r>
            <w:r w:rsidR="00335460" w:rsidRPr="00F34CDB">
              <w:rPr>
                <w:rFonts w:eastAsia="Arial Unicode MS"/>
                <w:lang w:val="lv-LV"/>
              </w:rPr>
              <w:t xml:space="preserve"> limitu</w:t>
            </w:r>
            <w:r w:rsidR="005B7DB9">
              <w:rPr>
                <w:rFonts w:eastAsia="Arial Unicode MS"/>
                <w:lang w:val="lv-LV"/>
              </w:rPr>
              <w:t>,</w:t>
            </w:r>
            <w:r w:rsidR="00335460" w:rsidRPr="00F34CDB">
              <w:rPr>
                <w:rFonts w:eastAsia="Arial Unicode MS"/>
                <w:lang w:val="lv-LV"/>
              </w:rPr>
              <w:t xml:space="preserve"> </w:t>
            </w:r>
            <w:r w:rsidR="00E901A4">
              <w:rPr>
                <w:rFonts w:eastAsia="Arial Unicode MS"/>
                <w:lang w:val="lv-LV"/>
              </w:rPr>
              <w:t>un uz to var pieteikties personas, kuras vēlētos nodarboties ar rūpniecisko zveju šajā ezerā.</w:t>
            </w:r>
            <w:r w:rsidR="000655C3" w:rsidRPr="00F34CDB">
              <w:rPr>
                <w:lang w:val="lv-LV"/>
              </w:rPr>
              <w:t xml:space="preserve"> </w:t>
            </w:r>
          </w:p>
          <w:p w14:paraId="28F6A213" w14:textId="36402E07" w:rsidR="000655C3" w:rsidRPr="00F34CDB" w:rsidRDefault="000655C3" w:rsidP="00CC4EF6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lang w:val="lv-LV"/>
              </w:rPr>
            </w:pPr>
            <w:r w:rsidRPr="00F34CDB">
              <w:rPr>
                <w:rFonts w:eastAsia="Arial Unicode MS"/>
                <w:lang w:val="lv-LV"/>
              </w:rPr>
              <w:t>Madonas novada pašvaldība 26.01.2018. ar vēstuli Nr.</w:t>
            </w:r>
            <w:r w:rsidR="005B7DB9">
              <w:rPr>
                <w:rFonts w:eastAsia="Arial Unicode MS"/>
                <w:lang w:val="lv-LV"/>
              </w:rPr>
              <w:t> </w:t>
            </w:r>
            <w:r w:rsidRPr="00F34CDB">
              <w:rPr>
                <w:rFonts w:eastAsia="Arial Unicode MS"/>
                <w:lang w:val="lv-LV"/>
              </w:rPr>
              <w:t xml:space="preserve">MNP/2.1.3.1./18/174 informēja ZM, ka </w:t>
            </w:r>
            <w:r w:rsidR="005B7DB9">
              <w:rPr>
                <w:rFonts w:eastAsia="Arial Unicode MS"/>
                <w:lang w:val="lv-LV"/>
              </w:rPr>
              <w:t>līdz</w:t>
            </w:r>
            <w:r w:rsidR="005B7DB9" w:rsidRPr="00F34CDB">
              <w:rPr>
                <w:rFonts w:eastAsia="Arial Unicode MS"/>
                <w:lang w:val="lv-LV"/>
              </w:rPr>
              <w:t xml:space="preserve"> </w:t>
            </w:r>
            <w:r w:rsidRPr="00F34CDB">
              <w:rPr>
                <w:rFonts w:eastAsia="Arial Unicode MS"/>
                <w:lang w:val="lv-LV"/>
              </w:rPr>
              <w:t>atbildes sniegšanas brīdi</w:t>
            </w:r>
            <w:r w:rsidR="005B7DB9">
              <w:rPr>
                <w:rFonts w:eastAsia="Arial Unicode MS"/>
                <w:lang w:val="lv-LV"/>
              </w:rPr>
              <w:t>m</w:t>
            </w:r>
            <w:r w:rsidRPr="00F34CDB">
              <w:rPr>
                <w:rFonts w:eastAsia="Arial Unicode MS"/>
                <w:lang w:val="lv-LV"/>
              </w:rPr>
              <w:t xml:space="preserve"> neviena persona pašvaldībā </w:t>
            </w:r>
            <w:r w:rsidR="005B7DB9" w:rsidRPr="00F34CDB">
              <w:rPr>
                <w:rFonts w:eastAsia="Arial Unicode MS"/>
                <w:lang w:val="lv-LV"/>
              </w:rPr>
              <w:t xml:space="preserve">nebija iesniegusi </w:t>
            </w:r>
            <w:r w:rsidR="00E901A4" w:rsidRPr="00F34CDB">
              <w:rPr>
                <w:rFonts w:eastAsia="Arial Unicode MS"/>
                <w:lang w:val="lv-LV"/>
              </w:rPr>
              <w:t xml:space="preserve">iesniegumu </w:t>
            </w:r>
            <w:r w:rsidRPr="00F34CDB">
              <w:rPr>
                <w:rFonts w:eastAsia="Arial Unicode MS"/>
                <w:lang w:val="lv-LV"/>
              </w:rPr>
              <w:t>par zvejas tiesību</w:t>
            </w:r>
            <w:r w:rsidR="00171F83" w:rsidRPr="00F34CDB">
              <w:rPr>
                <w:rFonts w:eastAsia="Arial Unicode MS"/>
                <w:lang w:val="lv-LV"/>
              </w:rPr>
              <w:t xml:space="preserve"> </w:t>
            </w:r>
            <w:r w:rsidR="00692E46">
              <w:rPr>
                <w:rFonts w:eastAsia="Arial Unicode MS"/>
                <w:lang w:val="lv-LV"/>
              </w:rPr>
              <w:t>iznomāšanu</w:t>
            </w:r>
            <w:r w:rsidRPr="00F34CDB">
              <w:rPr>
                <w:rFonts w:eastAsia="Arial Unicode MS"/>
                <w:lang w:val="lv-LV"/>
              </w:rPr>
              <w:t xml:space="preserve"> </w:t>
            </w:r>
            <w:proofErr w:type="spellStart"/>
            <w:r w:rsidRPr="00F34CDB">
              <w:rPr>
                <w:rFonts w:eastAsia="Arial Unicode MS"/>
                <w:lang w:val="lv-LV"/>
              </w:rPr>
              <w:t>Kālezerā</w:t>
            </w:r>
            <w:proofErr w:type="spellEnd"/>
            <w:r w:rsidRPr="00F34CDB">
              <w:rPr>
                <w:rFonts w:eastAsia="Arial Unicode MS"/>
                <w:lang w:val="lv-LV"/>
              </w:rPr>
              <w:t xml:space="preserve">, tāpēc </w:t>
            </w:r>
            <w:r w:rsidR="006661BE">
              <w:rPr>
                <w:rFonts w:eastAsia="Arial Unicode MS"/>
                <w:lang w:val="lv-LV"/>
              </w:rPr>
              <w:t>sagatavotais noteikumu projekts</w:t>
            </w:r>
            <w:r w:rsidRPr="00F34CDB">
              <w:rPr>
                <w:rFonts w:eastAsia="Arial Unicode MS"/>
                <w:lang w:val="lv-LV"/>
              </w:rPr>
              <w:t xml:space="preserve"> juridiski neietekmēs nevienu esošo zvejnieku</w:t>
            </w:r>
            <w:r w:rsidR="00E901A4">
              <w:rPr>
                <w:rFonts w:eastAsia="Arial Unicode MS"/>
                <w:lang w:val="lv-LV"/>
              </w:rPr>
              <w:t xml:space="preserve"> un</w:t>
            </w:r>
            <w:r w:rsidR="00E901A4" w:rsidRPr="00F34CDB">
              <w:rPr>
                <w:rFonts w:eastAsia="Arial Unicode MS"/>
                <w:lang w:val="lv-LV"/>
              </w:rPr>
              <w:t xml:space="preserve"> grozījumi noteikumos Nr.</w:t>
            </w:r>
            <w:r w:rsidR="006661BE">
              <w:rPr>
                <w:rFonts w:eastAsia="Arial Unicode MS"/>
                <w:lang w:val="lv-LV"/>
              </w:rPr>
              <w:t xml:space="preserve"> </w:t>
            </w:r>
            <w:r w:rsidR="00E901A4" w:rsidRPr="00F34CDB">
              <w:rPr>
                <w:rFonts w:eastAsia="Arial Unicode MS"/>
                <w:lang w:val="lv-LV"/>
              </w:rPr>
              <w:t>295 var</w:t>
            </w:r>
            <w:r w:rsidR="00E901A4">
              <w:rPr>
                <w:rFonts w:eastAsia="Arial Unicode MS"/>
                <w:lang w:val="lv-LV"/>
              </w:rPr>
              <w:t>ē</w:t>
            </w:r>
            <w:r w:rsidR="00692E46">
              <w:rPr>
                <w:rFonts w:eastAsia="Arial Unicode MS"/>
                <w:lang w:val="lv-LV"/>
              </w:rPr>
              <w:t>tu</w:t>
            </w:r>
            <w:r w:rsidR="00E901A4" w:rsidRPr="00F34CDB">
              <w:rPr>
                <w:rFonts w:eastAsia="Arial Unicode MS"/>
                <w:lang w:val="lv-LV"/>
              </w:rPr>
              <w:t xml:space="preserve"> stāties spēkā </w:t>
            </w:r>
            <w:r w:rsidR="005B7DB9">
              <w:rPr>
                <w:rFonts w:eastAsia="Arial Unicode MS"/>
                <w:lang w:val="lv-LV"/>
              </w:rPr>
              <w:t>tūlīt</w:t>
            </w:r>
            <w:r w:rsidR="00692E46">
              <w:rPr>
                <w:rFonts w:eastAsia="Arial Unicode MS"/>
                <w:lang w:val="lv-LV"/>
              </w:rPr>
              <w:t xml:space="preserve"> </w:t>
            </w:r>
            <w:r w:rsidR="00E901A4">
              <w:rPr>
                <w:rFonts w:eastAsia="Arial Unicode MS"/>
                <w:lang w:val="lv-LV"/>
              </w:rPr>
              <w:t>pēc to pieņemšanas</w:t>
            </w:r>
            <w:r w:rsidR="00692E46">
              <w:rPr>
                <w:rFonts w:eastAsia="Arial Unicode MS"/>
                <w:lang w:val="lv-LV"/>
              </w:rPr>
              <w:t xml:space="preserve"> Ministru kabinetā</w:t>
            </w:r>
            <w:r w:rsidR="00E901A4" w:rsidRPr="00F34CDB">
              <w:rPr>
                <w:rFonts w:eastAsia="Arial Unicode MS"/>
                <w:lang w:val="lv-LV"/>
              </w:rPr>
              <w:t>.</w:t>
            </w:r>
            <w:r w:rsidR="00E901A4">
              <w:rPr>
                <w:rFonts w:eastAsia="Arial Unicode MS"/>
                <w:lang w:val="lv-LV"/>
              </w:rPr>
              <w:t xml:space="preserve"> </w:t>
            </w:r>
            <w:r w:rsidR="00692E46">
              <w:rPr>
                <w:rFonts w:eastAsia="Arial Unicode MS"/>
                <w:lang w:val="lv-LV"/>
              </w:rPr>
              <w:t>Ja zvejas tiesības būtu iznomātas, tad</w:t>
            </w:r>
            <w:r w:rsidR="00E901A4">
              <w:rPr>
                <w:rFonts w:eastAsia="Arial Unicode MS"/>
                <w:lang w:val="lv-LV"/>
              </w:rPr>
              <w:t xml:space="preserve"> grozījumi varētu stāties spēkā tikai pēc </w:t>
            </w:r>
            <w:r w:rsidR="00E901A4">
              <w:rPr>
                <w:rFonts w:eastAsia="Arial Unicode MS"/>
                <w:lang w:val="lv-LV"/>
              </w:rPr>
              <w:lastRenderedPageBreak/>
              <w:t xml:space="preserve">01.01.2019., </w:t>
            </w:r>
            <w:r w:rsidR="005B7DB9">
              <w:rPr>
                <w:rFonts w:eastAsia="Arial Unicode MS"/>
                <w:lang w:val="lv-LV"/>
              </w:rPr>
              <w:t>tāpēc ka</w:t>
            </w:r>
            <w:r w:rsidR="00E901A4">
              <w:rPr>
                <w:rFonts w:eastAsia="Arial Unicode MS"/>
                <w:lang w:val="lv-LV"/>
              </w:rPr>
              <w:t xml:space="preserve"> zvejas limiti konkrētam zvejniekam tiek iedalīti un maksa par zvejas tiesībām tiek iekasēta </w:t>
            </w:r>
            <w:r w:rsidR="00692E46">
              <w:rPr>
                <w:rFonts w:eastAsia="Arial Unicode MS"/>
                <w:lang w:val="lv-LV"/>
              </w:rPr>
              <w:t>par</w:t>
            </w:r>
            <w:r w:rsidR="00E901A4">
              <w:rPr>
                <w:rFonts w:eastAsia="Arial Unicode MS"/>
                <w:lang w:val="lv-LV"/>
              </w:rPr>
              <w:t xml:space="preserve"> visu gadu.</w:t>
            </w:r>
          </w:p>
          <w:p w14:paraId="773B33E0" w14:textId="357E525B" w:rsidR="00335460" w:rsidRPr="00F34CDB" w:rsidRDefault="00171F83" w:rsidP="006D73A3">
            <w:pPr>
              <w:jc w:val="both"/>
              <w:rPr>
                <w:bCs/>
                <w:lang w:val="lv-LV"/>
              </w:rPr>
            </w:pPr>
            <w:r w:rsidRPr="00F34CDB">
              <w:rPr>
                <w:bCs/>
                <w:lang w:val="lv-LV"/>
              </w:rPr>
              <w:t>Saskaņā ar Zvejniecības likuma 16.</w:t>
            </w:r>
            <w:r w:rsidR="006661BE">
              <w:rPr>
                <w:bCs/>
                <w:lang w:val="lv-LV"/>
              </w:rPr>
              <w:t xml:space="preserve"> </w:t>
            </w:r>
            <w:r w:rsidRPr="00F34CDB">
              <w:rPr>
                <w:bCs/>
                <w:lang w:val="lv-LV"/>
              </w:rPr>
              <w:t xml:space="preserve">panta piektajā daļā noteikto kārtību </w:t>
            </w:r>
            <w:r w:rsidR="00692E46">
              <w:rPr>
                <w:bCs/>
                <w:lang w:val="lv-LV"/>
              </w:rPr>
              <w:t xml:space="preserve">par Madonas novada pašvaldības ierosināto priekšlikumu </w:t>
            </w:r>
            <w:r w:rsidRPr="00F34CDB">
              <w:rPr>
                <w:bCs/>
                <w:lang w:val="lv-LV"/>
              </w:rPr>
              <w:t>no</w:t>
            </w:r>
            <w:r w:rsidR="006D73A3" w:rsidRPr="00F34CDB">
              <w:rPr>
                <w:bCs/>
                <w:lang w:val="lv-LV"/>
              </w:rPr>
              <w:t xml:space="preserve"> institūta BIOR tika saņemts atzinums (05.01.2018., Nr.30-1/50, pieejams ZM) </w:t>
            </w:r>
            <w:r w:rsidR="001F5F46">
              <w:rPr>
                <w:bCs/>
                <w:lang w:val="lv-LV"/>
              </w:rPr>
              <w:t>par to, k</w:t>
            </w:r>
            <w:r w:rsidR="006D73A3" w:rsidRPr="00F34CDB">
              <w:rPr>
                <w:bCs/>
                <w:lang w:val="lv-LV"/>
              </w:rPr>
              <w:t>a</w:t>
            </w:r>
            <w:r w:rsidR="005B7DB9">
              <w:rPr>
                <w:bCs/>
                <w:lang w:val="lv-LV"/>
              </w:rPr>
              <w:t>,</w:t>
            </w:r>
            <w:r w:rsidR="006D73A3" w:rsidRPr="00F34CDB">
              <w:rPr>
                <w:bCs/>
                <w:lang w:val="lv-LV"/>
              </w:rPr>
              <w:t xml:space="preserve"> pēc tā rīcībā esošajiem </w:t>
            </w:r>
            <w:proofErr w:type="spellStart"/>
            <w:r w:rsidRPr="00F34CDB">
              <w:rPr>
                <w:bCs/>
                <w:lang w:val="lv-LV"/>
              </w:rPr>
              <w:t>Kālezera</w:t>
            </w:r>
            <w:proofErr w:type="spellEnd"/>
            <w:r w:rsidRPr="00F34CDB">
              <w:rPr>
                <w:bCs/>
                <w:lang w:val="lv-LV"/>
              </w:rPr>
              <w:t xml:space="preserve"> </w:t>
            </w:r>
            <w:r w:rsidR="006D73A3" w:rsidRPr="00F34CDB">
              <w:rPr>
                <w:bCs/>
                <w:lang w:val="lv-LV"/>
              </w:rPr>
              <w:t>nozvejas statistikas datiem</w:t>
            </w:r>
            <w:r w:rsidR="005B7DB9">
              <w:rPr>
                <w:bCs/>
                <w:lang w:val="lv-LV"/>
              </w:rPr>
              <w:t>,</w:t>
            </w:r>
            <w:r w:rsidR="006D73A3" w:rsidRPr="00F34CDB">
              <w:rPr>
                <w:bCs/>
                <w:lang w:val="lv-LV"/>
              </w:rPr>
              <w:t xml:space="preserve"> 1992.</w:t>
            </w:r>
            <w:r w:rsidR="005B7DB9">
              <w:rPr>
                <w:bCs/>
                <w:lang w:val="lv-LV"/>
              </w:rPr>
              <w:t>–</w:t>
            </w:r>
            <w:r w:rsidR="006D73A3" w:rsidRPr="00F34CDB">
              <w:rPr>
                <w:bCs/>
                <w:lang w:val="lv-LV"/>
              </w:rPr>
              <w:t>2002.gadā (tika izmantots 1380 m tīklu limits)</w:t>
            </w:r>
            <w:r w:rsidR="005B7DB9">
              <w:rPr>
                <w:bCs/>
                <w:lang w:val="lv-LV"/>
              </w:rPr>
              <w:t>,</w:t>
            </w:r>
            <w:r w:rsidR="006D73A3" w:rsidRPr="00F34CDB">
              <w:rPr>
                <w:bCs/>
                <w:lang w:val="lv-LV"/>
              </w:rPr>
              <w:t xml:space="preserve"> vidējā nozveja gadā bija 247 kg zivju, savukārt</w:t>
            </w:r>
            <w:r w:rsidR="005B7DB9">
              <w:rPr>
                <w:bCs/>
                <w:lang w:val="lv-LV"/>
              </w:rPr>
              <w:t>,</w:t>
            </w:r>
            <w:r w:rsidR="006D73A3" w:rsidRPr="00F34CDB">
              <w:rPr>
                <w:bCs/>
                <w:lang w:val="lv-LV"/>
              </w:rPr>
              <w:t xml:space="preserve"> pēc makšķernieku lomu uzskaites datiem</w:t>
            </w:r>
            <w:r w:rsidR="005B7DB9">
              <w:rPr>
                <w:bCs/>
                <w:lang w:val="lv-LV"/>
              </w:rPr>
              <w:t>,</w:t>
            </w:r>
            <w:r w:rsidR="006D73A3" w:rsidRPr="00F34CDB">
              <w:rPr>
                <w:bCs/>
                <w:lang w:val="lv-LV"/>
              </w:rPr>
              <w:t xml:space="preserve"> 2009.</w:t>
            </w:r>
            <w:r w:rsidR="005B7DB9">
              <w:rPr>
                <w:bCs/>
                <w:lang w:val="lv-LV"/>
              </w:rPr>
              <w:t>–</w:t>
            </w:r>
            <w:r w:rsidR="006D73A3" w:rsidRPr="00F34CDB">
              <w:rPr>
                <w:bCs/>
                <w:lang w:val="lv-LV"/>
              </w:rPr>
              <w:t xml:space="preserve">2016.gadā vidēji noķerts 1821 kg zivju gadā. Potenciāli iespējamā nozveja ar 75 m tīklu </w:t>
            </w:r>
            <w:r w:rsidR="00692E46">
              <w:rPr>
                <w:bCs/>
                <w:lang w:val="lv-LV"/>
              </w:rPr>
              <w:t xml:space="preserve">būtu </w:t>
            </w:r>
            <w:r w:rsidR="006D73A3" w:rsidRPr="00F34CDB">
              <w:rPr>
                <w:bCs/>
                <w:lang w:val="lv-LV"/>
              </w:rPr>
              <w:t xml:space="preserve">iespējama daudz mazāka nekā agrāko gadu nozveja un makšķernieku lomi, tāpēc 75 m tīklu limita izmantošana </w:t>
            </w:r>
            <w:proofErr w:type="spellStart"/>
            <w:r w:rsidR="006D73A3" w:rsidRPr="00F34CDB">
              <w:rPr>
                <w:bCs/>
                <w:lang w:val="lv-LV"/>
              </w:rPr>
              <w:t>Kālezerā</w:t>
            </w:r>
            <w:proofErr w:type="spellEnd"/>
            <w:r w:rsidR="006D73A3" w:rsidRPr="00F34CDB">
              <w:rPr>
                <w:bCs/>
                <w:lang w:val="lv-LV"/>
              </w:rPr>
              <w:t xml:space="preserve"> nevar negatīvi ietekmēt zivju resursus, to ilgtspējīgu izmantošanu un bioloģisko daudzveidību. T</w:t>
            </w:r>
            <w:r w:rsidR="005B7DB9">
              <w:rPr>
                <w:bCs/>
                <w:lang w:val="lv-LV"/>
              </w:rPr>
              <w:t>omēr</w:t>
            </w:r>
            <w:r w:rsidR="006D73A3" w:rsidRPr="00F34CDB">
              <w:rPr>
                <w:bCs/>
                <w:lang w:val="lv-LV"/>
              </w:rPr>
              <w:t>, ņemot vērā Zvejniecības likumā pašvaldībām paredzētās tiesības rosināt rūpnieciskās zvejas aizliegšanu t</w:t>
            </w:r>
            <w:r w:rsidR="005B7DB9">
              <w:rPr>
                <w:bCs/>
                <w:lang w:val="lv-LV"/>
              </w:rPr>
              <w:t>o</w:t>
            </w:r>
            <w:r w:rsidR="006D73A3" w:rsidRPr="00F34CDB">
              <w:rPr>
                <w:bCs/>
                <w:lang w:val="lv-LV"/>
              </w:rPr>
              <w:t xml:space="preserve"> administratīvajā teritorijā esošajos publiskajos ūdeņos, lai attīstītu rekreācijas nolūkos veicamās darbības, rūpnieciskā zveja </w:t>
            </w:r>
            <w:proofErr w:type="spellStart"/>
            <w:r w:rsidR="006D73A3" w:rsidRPr="00F34CDB">
              <w:rPr>
                <w:bCs/>
                <w:lang w:val="lv-LV"/>
              </w:rPr>
              <w:t>Kālezerā</w:t>
            </w:r>
            <w:proofErr w:type="spellEnd"/>
            <w:r w:rsidR="006D73A3" w:rsidRPr="00F34CDB">
              <w:rPr>
                <w:bCs/>
                <w:lang w:val="lv-LV"/>
              </w:rPr>
              <w:t xml:space="preserve"> varētu tikt aizliegta.</w:t>
            </w:r>
          </w:p>
          <w:p w14:paraId="1CA93B45" w14:textId="2FC131FB" w:rsidR="00CC2137" w:rsidRPr="00F34CDB" w:rsidRDefault="00CC2137" w:rsidP="00CC2137">
            <w:pPr>
              <w:jc w:val="both"/>
              <w:rPr>
                <w:bCs/>
                <w:lang w:val="lv-LV"/>
              </w:rPr>
            </w:pPr>
            <w:r w:rsidRPr="00F34CDB">
              <w:rPr>
                <w:bCs/>
                <w:lang w:val="lv-LV"/>
              </w:rPr>
              <w:t>VARAM</w:t>
            </w:r>
            <w:r w:rsidR="00171F83" w:rsidRPr="00F34CDB">
              <w:rPr>
                <w:bCs/>
                <w:lang w:val="lv-LV"/>
              </w:rPr>
              <w:t>, izvērtējot institūta BIOR atzinumu,</w:t>
            </w:r>
            <w:r w:rsidRPr="00F34CDB">
              <w:rPr>
                <w:bCs/>
                <w:lang w:val="lv-LV"/>
              </w:rPr>
              <w:t xml:space="preserve"> sniedza saskaņojumu (29.01.18., Nr.1-13/871) rūpniecisk</w:t>
            </w:r>
            <w:r w:rsidR="00E901A4">
              <w:rPr>
                <w:bCs/>
                <w:lang w:val="lv-LV"/>
              </w:rPr>
              <w:t>ās zvejas</w:t>
            </w:r>
            <w:r w:rsidRPr="00F34CDB">
              <w:rPr>
                <w:bCs/>
                <w:lang w:val="lv-LV"/>
              </w:rPr>
              <w:t xml:space="preserve"> </w:t>
            </w:r>
            <w:r w:rsidR="00E901A4" w:rsidRPr="00F34CDB">
              <w:rPr>
                <w:bCs/>
                <w:lang w:val="lv-LV"/>
              </w:rPr>
              <w:t>aizlieg</w:t>
            </w:r>
            <w:r w:rsidR="00E901A4">
              <w:rPr>
                <w:bCs/>
                <w:lang w:val="lv-LV"/>
              </w:rPr>
              <w:t>umam</w:t>
            </w:r>
            <w:r w:rsidR="00E901A4" w:rsidRPr="00F34CDB">
              <w:rPr>
                <w:bCs/>
                <w:lang w:val="lv-LV"/>
              </w:rPr>
              <w:t xml:space="preserve"> </w:t>
            </w:r>
            <w:proofErr w:type="spellStart"/>
            <w:r w:rsidR="00E1332B">
              <w:rPr>
                <w:bCs/>
                <w:lang w:val="lv-LV"/>
              </w:rPr>
              <w:t>Kālezerā</w:t>
            </w:r>
            <w:proofErr w:type="spellEnd"/>
            <w:r w:rsidR="00E1332B">
              <w:rPr>
                <w:bCs/>
                <w:lang w:val="lv-LV"/>
              </w:rPr>
              <w:t xml:space="preserve">. </w:t>
            </w:r>
            <w:r w:rsidRPr="00F34CDB">
              <w:rPr>
                <w:bCs/>
                <w:lang w:val="lv-LV"/>
              </w:rPr>
              <w:t xml:space="preserve">VARAM ieskatā pašvaldības vēlme apsaimniekot </w:t>
            </w:r>
            <w:proofErr w:type="spellStart"/>
            <w:r w:rsidRPr="00F34CDB">
              <w:rPr>
                <w:bCs/>
                <w:lang w:val="lv-LV"/>
              </w:rPr>
              <w:t>Kālezeru</w:t>
            </w:r>
            <w:proofErr w:type="spellEnd"/>
            <w:r w:rsidRPr="00F34CDB">
              <w:rPr>
                <w:bCs/>
                <w:lang w:val="lv-LV"/>
              </w:rPr>
              <w:t xml:space="preserve"> rekreācijas nolūkos ir atbalstāma.</w:t>
            </w:r>
            <w:r w:rsidR="00692E46">
              <w:rPr>
                <w:bCs/>
                <w:lang w:val="lv-LV"/>
              </w:rPr>
              <w:t xml:space="preserve"> </w:t>
            </w:r>
          </w:p>
          <w:p w14:paraId="20827896" w14:textId="4A2A2F12" w:rsidR="00CC2137" w:rsidRPr="00F34CDB" w:rsidRDefault="00171F83">
            <w:pPr>
              <w:jc w:val="both"/>
              <w:rPr>
                <w:bCs/>
                <w:lang w:val="lv-LV"/>
              </w:rPr>
            </w:pPr>
            <w:r w:rsidRPr="00F34CDB">
              <w:rPr>
                <w:bCs/>
                <w:lang w:val="lv-LV"/>
              </w:rPr>
              <w:t xml:space="preserve">Ņemot vērā </w:t>
            </w:r>
            <w:r w:rsidR="005B7DB9">
              <w:rPr>
                <w:bCs/>
                <w:lang w:val="lv-LV"/>
              </w:rPr>
              <w:t>iepriekš</w:t>
            </w:r>
            <w:r w:rsidRPr="00F34CDB">
              <w:rPr>
                <w:bCs/>
                <w:lang w:val="lv-LV"/>
              </w:rPr>
              <w:t xml:space="preserve">minēto, </w:t>
            </w:r>
            <w:r w:rsidR="00692E46">
              <w:rPr>
                <w:bCs/>
                <w:lang w:val="lv-LV"/>
              </w:rPr>
              <w:t xml:space="preserve">arī ZM piekrīt zvejas aizlieguma noteikšanai </w:t>
            </w:r>
            <w:proofErr w:type="spellStart"/>
            <w:r w:rsidR="00692E46">
              <w:rPr>
                <w:bCs/>
                <w:lang w:val="lv-LV"/>
              </w:rPr>
              <w:t>Kālezerā</w:t>
            </w:r>
            <w:proofErr w:type="spellEnd"/>
            <w:r w:rsidR="00692E46">
              <w:rPr>
                <w:bCs/>
                <w:lang w:val="lv-LV"/>
              </w:rPr>
              <w:t xml:space="preserve"> un </w:t>
            </w:r>
            <w:r w:rsidR="00402823">
              <w:rPr>
                <w:bCs/>
                <w:lang w:val="lv-LV"/>
              </w:rPr>
              <w:t>ir sagatavojusi</w:t>
            </w:r>
            <w:r w:rsidR="00692E46">
              <w:rPr>
                <w:bCs/>
                <w:lang w:val="lv-LV"/>
              </w:rPr>
              <w:t xml:space="preserve"> noteikum</w:t>
            </w:r>
            <w:r w:rsidR="00402823">
              <w:rPr>
                <w:bCs/>
                <w:lang w:val="lv-LV"/>
              </w:rPr>
              <w:t>u projektu</w:t>
            </w:r>
            <w:r w:rsidR="00692E46">
              <w:rPr>
                <w:bCs/>
                <w:lang w:val="lv-LV"/>
              </w:rPr>
              <w:t xml:space="preserve">, kas </w:t>
            </w:r>
            <w:r w:rsidR="00402823">
              <w:rPr>
                <w:bCs/>
                <w:lang w:val="lv-LV"/>
              </w:rPr>
              <w:t>pilnībā atrisinās minēto problēmu</w:t>
            </w:r>
            <w:r w:rsidR="00CC2137" w:rsidRPr="00F34CDB">
              <w:rPr>
                <w:bCs/>
                <w:lang w:val="lv-LV"/>
              </w:rPr>
              <w:t>.</w:t>
            </w:r>
          </w:p>
        </w:tc>
      </w:tr>
      <w:tr w:rsidR="00DF64C2" w:rsidRPr="00F34CDB" w14:paraId="33E06566" w14:textId="77777777" w:rsidTr="009C5EFA">
        <w:tc>
          <w:tcPr>
            <w:tcW w:w="227" w:type="pct"/>
          </w:tcPr>
          <w:p w14:paraId="121F7C37" w14:textId="77777777" w:rsidR="00D80316" w:rsidRPr="00F34CDB" w:rsidRDefault="00875FC2" w:rsidP="00880359">
            <w:pPr>
              <w:jc w:val="center"/>
              <w:rPr>
                <w:lang w:val="lv-LV" w:eastAsia="lv-LV"/>
              </w:rPr>
            </w:pPr>
            <w:r w:rsidRPr="00F34CDB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981" w:type="pct"/>
          </w:tcPr>
          <w:p w14:paraId="5CED0699" w14:textId="2FC86D1E" w:rsidR="00D80316" w:rsidRPr="00F34CDB" w:rsidRDefault="00875FC2" w:rsidP="00880359">
            <w:pPr>
              <w:jc w:val="both"/>
              <w:rPr>
                <w:lang w:val="lv-LV" w:eastAsia="lv-LV"/>
              </w:rPr>
            </w:pPr>
            <w:r w:rsidRPr="00F34CDB">
              <w:rPr>
                <w:lang w:val="lv-LV" w:eastAsia="lv-LV"/>
              </w:rPr>
              <w:t xml:space="preserve">Projekta izstrādē iesaistītās institūcijas </w:t>
            </w:r>
            <w:r w:rsidRPr="00F34CDB">
              <w:rPr>
                <w:lang w:val="lv-LV"/>
              </w:rPr>
              <w:t>un publiskas personas kapitālsabiedrības</w:t>
            </w:r>
          </w:p>
        </w:tc>
        <w:tc>
          <w:tcPr>
            <w:tcW w:w="3791" w:type="pct"/>
          </w:tcPr>
          <w:p w14:paraId="6DA529D7" w14:textId="2F807C3B" w:rsidR="00DA4CA4" w:rsidRPr="00F34CDB" w:rsidRDefault="00DA4CA4" w:rsidP="00DA4CA4">
            <w:pPr>
              <w:pStyle w:val="naiskr"/>
              <w:spacing w:before="0" w:after="0"/>
              <w:ind w:right="81"/>
              <w:jc w:val="both"/>
            </w:pPr>
            <w:r w:rsidRPr="00F34CDB">
              <w:t>Z</w:t>
            </w:r>
            <w:r w:rsidR="00402823">
              <w:t>M, VARAM, BIOR</w:t>
            </w:r>
            <w:r w:rsidR="005B7DB9">
              <w:t xml:space="preserve"> un</w:t>
            </w:r>
            <w:r w:rsidR="00402823">
              <w:t xml:space="preserve"> Madonas novada pašvaldība</w:t>
            </w:r>
          </w:p>
          <w:p w14:paraId="0C22F367" w14:textId="35648DEA" w:rsidR="00D80316" w:rsidRPr="00F34CDB" w:rsidRDefault="00D80316" w:rsidP="00880359">
            <w:pPr>
              <w:jc w:val="both"/>
              <w:rPr>
                <w:highlight w:val="yellow"/>
                <w:lang w:val="lv-LV" w:eastAsia="lv-LV"/>
              </w:rPr>
            </w:pPr>
          </w:p>
        </w:tc>
      </w:tr>
      <w:tr w:rsidR="00DF64C2" w:rsidRPr="00F34CDB" w14:paraId="5E936B83" w14:textId="77777777" w:rsidTr="009C5EFA">
        <w:tc>
          <w:tcPr>
            <w:tcW w:w="227" w:type="pct"/>
          </w:tcPr>
          <w:p w14:paraId="429ECF9F" w14:textId="77777777" w:rsidR="00D80316" w:rsidRPr="00F34CDB" w:rsidRDefault="00875FC2" w:rsidP="00880359">
            <w:pPr>
              <w:jc w:val="center"/>
              <w:rPr>
                <w:lang w:val="lv-LV" w:eastAsia="lv-LV"/>
              </w:rPr>
            </w:pPr>
            <w:r w:rsidRPr="00F34CDB">
              <w:rPr>
                <w:lang w:val="lv-LV" w:eastAsia="lv-LV"/>
              </w:rPr>
              <w:t>4.</w:t>
            </w:r>
          </w:p>
        </w:tc>
        <w:tc>
          <w:tcPr>
            <w:tcW w:w="981" w:type="pct"/>
          </w:tcPr>
          <w:p w14:paraId="618FF13C" w14:textId="77777777" w:rsidR="00D80316" w:rsidRPr="00F34CDB" w:rsidRDefault="00875FC2" w:rsidP="00880359">
            <w:pPr>
              <w:jc w:val="both"/>
              <w:rPr>
                <w:lang w:val="lv-LV" w:eastAsia="lv-LV"/>
              </w:rPr>
            </w:pPr>
            <w:r w:rsidRPr="00F34CDB">
              <w:rPr>
                <w:lang w:val="lv-LV" w:eastAsia="lv-LV"/>
              </w:rPr>
              <w:t>Cita informācija</w:t>
            </w:r>
          </w:p>
        </w:tc>
        <w:tc>
          <w:tcPr>
            <w:tcW w:w="3791" w:type="pct"/>
          </w:tcPr>
          <w:p w14:paraId="6A2668E8" w14:textId="6AD242E7" w:rsidR="00D80316" w:rsidRPr="00F34CDB" w:rsidRDefault="00DA4CA4" w:rsidP="0044286F">
            <w:pPr>
              <w:jc w:val="both"/>
              <w:rPr>
                <w:lang w:val="lv-LV" w:eastAsia="lv-LV"/>
              </w:rPr>
            </w:pPr>
            <w:r w:rsidRPr="00F34CDB">
              <w:rPr>
                <w:lang w:val="lv-LV"/>
              </w:rPr>
              <w:t>Nav</w:t>
            </w:r>
            <w:r w:rsidR="005B7DB9">
              <w:rPr>
                <w:lang w:val="lv-LV"/>
              </w:rPr>
              <w:t>.</w:t>
            </w:r>
          </w:p>
        </w:tc>
      </w:tr>
    </w:tbl>
    <w:p w14:paraId="58907B9F" w14:textId="77777777" w:rsidR="00D80316" w:rsidRPr="00F34CDB" w:rsidRDefault="00D80316" w:rsidP="00D80316">
      <w:pPr>
        <w:rPr>
          <w:lang w:val="lv-LV"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2661"/>
        <w:gridCol w:w="6385"/>
      </w:tblGrid>
      <w:tr w:rsidR="00DF64C2" w:rsidRPr="00F265F7" w14:paraId="63DA00CE" w14:textId="77777777" w:rsidTr="00D219D3">
        <w:tc>
          <w:tcPr>
            <w:tcW w:w="5000" w:type="pct"/>
            <w:gridSpan w:val="3"/>
            <w:vAlign w:val="center"/>
          </w:tcPr>
          <w:p w14:paraId="39E36658" w14:textId="77777777" w:rsidR="00D80316" w:rsidRPr="00F34CDB" w:rsidRDefault="00875FC2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F34CDB">
              <w:rPr>
                <w:b/>
                <w:lang w:val="lv-LV"/>
              </w:rPr>
              <w:t>II. Tiesību akta projekta ietekme uz sabiedrību,</w:t>
            </w:r>
            <w:r w:rsidRPr="00F34CDB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DA1927" w:rsidRPr="00F265F7" w14:paraId="3B73C16A" w14:textId="77777777" w:rsidTr="00D219D3">
        <w:tc>
          <w:tcPr>
            <w:tcW w:w="238" w:type="pct"/>
          </w:tcPr>
          <w:p w14:paraId="3D5DB993" w14:textId="77777777" w:rsidR="00DA1927" w:rsidRPr="00F34CDB" w:rsidRDefault="00DA1927" w:rsidP="00DA1927">
            <w:pPr>
              <w:jc w:val="center"/>
              <w:rPr>
                <w:lang w:val="lv-LV" w:eastAsia="lv-LV"/>
              </w:rPr>
            </w:pPr>
            <w:r w:rsidRPr="00F34CDB">
              <w:rPr>
                <w:lang w:val="lv-LV" w:eastAsia="lv-LV"/>
              </w:rPr>
              <w:t>1.</w:t>
            </w:r>
          </w:p>
        </w:tc>
        <w:tc>
          <w:tcPr>
            <w:tcW w:w="1401" w:type="pct"/>
          </w:tcPr>
          <w:p w14:paraId="4FA514F8" w14:textId="77777777" w:rsidR="00DA1927" w:rsidRPr="00F34CDB" w:rsidRDefault="00DA1927" w:rsidP="00DA1927">
            <w:pPr>
              <w:jc w:val="both"/>
              <w:rPr>
                <w:lang w:val="lv-LV"/>
              </w:rPr>
            </w:pPr>
            <w:r w:rsidRPr="00F34CDB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61" w:type="pct"/>
          </w:tcPr>
          <w:p w14:paraId="0B223C66" w14:textId="00DF82D3" w:rsidR="00DA1927" w:rsidRPr="00F34CDB" w:rsidRDefault="00DA1927" w:rsidP="00692E46">
            <w:pPr>
              <w:jc w:val="both"/>
              <w:rPr>
                <w:highlight w:val="yellow"/>
                <w:lang w:val="lv-LV"/>
              </w:rPr>
            </w:pPr>
            <w:r w:rsidRPr="00F34CDB">
              <w:rPr>
                <w:lang w:val="lv-LV"/>
              </w:rPr>
              <w:t>Noteikumu projektā ietvertais tiesiskais regulējums attieksies uz</w:t>
            </w:r>
            <w:r w:rsidR="00CC2137" w:rsidRPr="00F34CDB">
              <w:rPr>
                <w:lang w:val="lv-LV"/>
              </w:rPr>
              <w:t xml:space="preserve"> Madonas novada pašvaldību</w:t>
            </w:r>
            <w:r w:rsidR="00171F83" w:rsidRPr="00F34CDB">
              <w:rPr>
                <w:lang w:val="lv-LV"/>
              </w:rPr>
              <w:t>,</w:t>
            </w:r>
            <w:r w:rsidR="00CC2137" w:rsidRPr="00F34CDB">
              <w:rPr>
                <w:lang w:val="lv-LV"/>
              </w:rPr>
              <w:t xml:space="preserve"> </w:t>
            </w:r>
            <w:r w:rsidR="00171F83" w:rsidRPr="00F34CDB">
              <w:rPr>
                <w:lang w:val="lv-LV"/>
              </w:rPr>
              <w:t xml:space="preserve">kas iedala rūpnieciskās zvejas limitus zvejniekiem, Valsts vides dienestu, kas izsniedz zvejas atļaujas un kontrolē zvejas darbības, kā arī </w:t>
            </w:r>
            <w:r w:rsidR="00E1332B">
              <w:rPr>
                <w:lang w:val="lv-LV"/>
              </w:rPr>
              <w:t>potenciāl</w:t>
            </w:r>
            <w:r w:rsidR="005B7DB9">
              <w:rPr>
                <w:lang w:val="lv-LV"/>
              </w:rPr>
              <w:t>aj</w:t>
            </w:r>
            <w:r w:rsidR="00692E46">
              <w:rPr>
                <w:lang w:val="lv-LV"/>
              </w:rPr>
              <w:t>iem</w:t>
            </w:r>
            <w:r w:rsidR="00E1332B">
              <w:rPr>
                <w:lang w:val="lv-LV"/>
              </w:rPr>
              <w:t xml:space="preserve"> </w:t>
            </w:r>
            <w:r w:rsidR="00171F83" w:rsidRPr="00F34CDB">
              <w:rPr>
                <w:lang w:val="lv-LV"/>
              </w:rPr>
              <w:t>zvejniek</w:t>
            </w:r>
            <w:r w:rsidR="00692E46">
              <w:rPr>
                <w:lang w:val="lv-LV"/>
              </w:rPr>
              <w:t>iem</w:t>
            </w:r>
            <w:r w:rsidR="00171F83" w:rsidRPr="00F34CDB">
              <w:rPr>
                <w:lang w:val="lv-LV"/>
              </w:rPr>
              <w:t>, kas vēl</w:t>
            </w:r>
            <w:r w:rsidR="00727F63">
              <w:rPr>
                <w:lang w:val="lv-LV"/>
              </w:rPr>
              <w:t>ēto</w:t>
            </w:r>
            <w:r w:rsidR="00171F83" w:rsidRPr="00F34CDB">
              <w:rPr>
                <w:lang w:val="lv-LV"/>
              </w:rPr>
              <w:t xml:space="preserve">s izmantot </w:t>
            </w:r>
            <w:r w:rsidR="00E1332B">
              <w:rPr>
                <w:lang w:val="lv-LV"/>
              </w:rPr>
              <w:t>75 m tīklu</w:t>
            </w:r>
            <w:r w:rsidR="00692E46">
              <w:rPr>
                <w:lang w:val="lv-LV"/>
              </w:rPr>
              <w:t xml:space="preserve"> zvejas limitu </w:t>
            </w:r>
            <w:proofErr w:type="spellStart"/>
            <w:r w:rsidR="00692E46">
              <w:rPr>
                <w:lang w:val="lv-LV"/>
              </w:rPr>
              <w:t>Kālezerā</w:t>
            </w:r>
            <w:proofErr w:type="spellEnd"/>
            <w:r w:rsidR="00692E46">
              <w:rPr>
                <w:lang w:val="lv-LV"/>
              </w:rPr>
              <w:t xml:space="preserve">, bet līdz grozījuma ierosināšanas brīdim </w:t>
            </w:r>
            <w:r w:rsidR="005B7DB9">
              <w:rPr>
                <w:lang w:val="lv-LV"/>
              </w:rPr>
              <w:t xml:space="preserve">tas </w:t>
            </w:r>
            <w:r w:rsidR="00692E46">
              <w:rPr>
                <w:lang w:val="lv-LV"/>
              </w:rPr>
              <w:t>nevienam nav iedalīts.</w:t>
            </w:r>
          </w:p>
        </w:tc>
      </w:tr>
      <w:tr w:rsidR="00DA1927" w:rsidRPr="00F265F7" w14:paraId="5ED9D1AC" w14:textId="77777777" w:rsidTr="00D219D3">
        <w:tc>
          <w:tcPr>
            <w:tcW w:w="238" w:type="pct"/>
          </w:tcPr>
          <w:p w14:paraId="62CFC75D" w14:textId="77777777" w:rsidR="00DA1927" w:rsidRPr="00F34CDB" w:rsidRDefault="00DA1927" w:rsidP="00DA1927">
            <w:pPr>
              <w:jc w:val="center"/>
              <w:rPr>
                <w:lang w:val="lv-LV" w:eastAsia="lv-LV"/>
              </w:rPr>
            </w:pPr>
            <w:r w:rsidRPr="00F34CDB">
              <w:rPr>
                <w:lang w:val="lv-LV" w:eastAsia="lv-LV"/>
              </w:rPr>
              <w:t>2.</w:t>
            </w:r>
          </w:p>
        </w:tc>
        <w:tc>
          <w:tcPr>
            <w:tcW w:w="1401" w:type="pct"/>
          </w:tcPr>
          <w:p w14:paraId="58201C0A" w14:textId="77777777" w:rsidR="00DA1927" w:rsidRPr="00F34CDB" w:rsidRDefault="00DA1927" w:rsidP="00DA1927">
            <w:pPr>
              <w:widowControl w:val="0"/>
              <w:jc w:val="both"/>
              <w:rPr>
                <w:lang w:val="lv-LV"/>
              </w:rPr>
            </w:pPr>
            <w:r w:rsidRPr="00F34CDB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61" w:type="pct"/>
          </w:tcPr>
          <w:p w14:paraId="4A473394" w14:textId="77777777" w:rsidR="00E1332B" w:rsidRDefault="00171F83" w:rsidP="00171F83">
            <w:pPr>
              <w:jc w:val="both"/>
              <w:rPr>
                <w:lang w:val="lv-LV" w:eastAsia="lv-LV"/>
              </w:rPr>
            </w:pPr>
            <w:r w:rsidRPr="00F34CDB">
              <w:rPr>
                <w:lang w:val="lv-LV" w:eastAsia="lv-LV"/>
              </w:rPr>
              <w:t xml:space="preserve">Administratīvais slogs nemainās. </w:t>
            </w:r>
          </w:p>
          <w:p w14:paraId="62E0A2FE" w14:textId="2892A430" w:rsidR="00DA1927" w:rsidRPr="00E1332B" w:rsidRDefault="00171F83" w:rsidP="00171F83">
            <w:pPr>
              <w:jc w:val="both"/>
              <w:rPr>
                <w:lang w:val="lv-LV" w:eastAsia="lv-LV"/>
              </w:rPr>
            </w:pPr>
            <w:r w:rsidRPr="00F34CDB">
              <w:rPr>
                <w:lang w:val="lv-LV" w:eastAsia="lv-LV"/>
              </w:rPr>
              <w:t>Sabiedrības grupām un institūcijām projekta tiesiskais regulējums nemaina tiesības un pienākumus, ne arī veicamās darbības.</w:t>
            </w:r>
          </w:p>
        </w:tc>
      </w:tr>
      <w:tr w:rsidR="00DA1927" w:rsidRPr="00F34CDB" w14:paraId="27DD5B3D" w14:textId="77777777" w:rsidTr="00D219D3">
        <w:tc>
          <w:tcPr>
            <w:tcW w:w="238" w:type="pct"/>
          </w:tcPr>
          <w:p w14:paraId="654DA6CC" w14:textId="77777777" w:rsidR="00DA1927" w:rsidRPr="00F34CDB" w:rsidRDefault="00DA1927" w:rsidP="00DA1927">
            <w:pPr>
              <w:jc w:val="center"/>
              <w:rPr>
                <w:lang w:val="lv-LV" w:eastAsia="lv-LV"/>
              </w:rPr>
            </w:pPr>
            <w:r w:rsidRPr="00F34CDB">
              <w:rPr>
                <w:lang w:val="lv-LV" w:eastAsia="lv-LV"/>
              </w:rPr>
              <w:t>3.</w:t>
            </w:r>
          </w:p>
        </w:tc>
        <w:tc>
          <w:tcPr>
            <w:tcW w:w="1401" w:type="pct"/>
          </w:tcPr>
          <w:p w14:paraId="6F04CEDA" w14:textId="77777777" w:rsidR="00DA1927" w:rsidRPr="00F34CDB" w:rsidRDefault="00DA1927" w:rsidP="00DA192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F34CDB">
              <w:rPr>
                <w:lang w:val="lv-LV"/>
              </w:rPr>
              <w:t>Administratīvo izmaksu monetārs novērtējums</w:t>
            </w:r>
          </w:p>
        </w:tc>
        <w:tc>
          <w:tcPr>
            <w:tcW w:w="3361" w:type="pct"/>
          </w:tcPr>
          <w:p w14:paraId="26806CDF" w14:textId="52E30FAD" w:rsidR="00DA1927" w:rsidRPr="00F34CDB" w:rsidRDefault="00DA1927" w:rsidP="00DA1927">
            <w:pPr>
              <w:jc w:val="both"/>
              <w:rPr>
                <w:highlight w:val="yellow"/>
                <w:lang w:val="lv-LV" w:eastAsia="lv-LV"/>
              </w:rPr>
            </w:pPr>
            <w:r w:rsidRPr="00F34CDB">
              <w:rPr>
                <w:lang w:val="lv-LV" w:eastAsia="lv-LV"/>
              </w:rPr>
              <w:t>Projekts šo jomu neskar.</w:t>
            </w:r>
          </w:p>
        </w:tc>
      </w:tr>
      <w:tr w:rsidR="00DA1927" w:rsidRPr="00F34CDB" w14:paraId="4FAA6F5C" w14:textId="77777777" w:rsidTr="00D219D3">
        <w:tc>
          <w:tcPr>
            <w:tcW w:w="238" w:type="pct"/>
          </w:tcPr>
          <w:p w14:paraId="5C50FB8A" w14:textId="1E4A295D" w:rsidR="00DA1927" w:rsidRPr="00F34CDB" w:rsidRDefault="00DA1927" w:rsidP="00DA1927">
            <w:pPr>
              <w:jc w:val="center"/>
              <w:rPr>
                <w:lang w:val="lv-LV" w:eastAsia="lv-LV"/>
              </w:rPr>
            </w:pPr>
            <w:r w:rsidRPr="00F34CDB">
              <w:rPr>
                <w:lang w:val="lv-LV" w:eastAsia="lv-LV"/>
              </w:rPr>
              <w:t>4.</w:t>
            </w:r>
          </w:p>
        </w:tc>
        <w:tc>
          <w:tcPr>
            <w:tcW w:w="1401" w:type="pct"/>
          </w:tcPr>
          <w:p w14:paraId="29CED266" w14:textId="0921A68C" w:rsidR="00DA1927" w:rsidRPr="00F34CDB" w:rsidRDefault="00DA1927" w:rsidP="00DA1927">
            <w:pPr>
              <w:jc w:val="both"/>
              <w:rPr>
                <w:lang w:val="lv-LV"/>
              </w:rPr>
            </w:pPr>
            <w:r w:rsidRPr="00F34CDB">
              <w:rPr>
                <w:lang w:val="lv-LV"/>
              </w:rPr>
              <w:t>Atbilstības izmaksu monetārs novērtējums</w:t>
            </w:r>
          </w:p>
        </w:tc>
        <w:tc>
          <w:tcPr>
            <w:tcW w:w="3361" w:type="pct"/>
          </w:tcPr>
          <w:p w14:paraId="7E6A50CB" w14:textId="6AFF003B" w:rsidR="00DA1927" w:rsidRPr="00F34CDB" w:rsidRDefault="00DA1927" w:rsidP="00DA1927">
            <w:pPr>
              <w:jc w:val="both"/>
              <w:rPr>
                <w:lang w:val="lv-LV"/>
              </w:rPr>
            </w:pPr>
            <w:r w:rsidRPr="00F34CDB">
              <w:rPr>
                <w:lang w:val="lv-LV" w:eastAsia="lv-LV"/>
              </w:rPr>
              <w:t>Projekts šo jomu neskar.</w:t>
            </w:r>
          </w:p>
        </w:tc>
      </w:tr>
      <w:tr w:rsidR="00DA1927" w:rsidRPr="00F34CDB" w14:paraId="43DEC34F" w14:textId="77777777" w:rsidTr="00D219D3">
        <w:tc>
          <w:tcPr>
            <w:tcW w:w="238" w:type="pct"/>
          </w:tcPr>
          <w:p w14:paraId="7201FDC9" w14:textId="469FCBDD" w:rsidR="00DA1927" w:rsidRPr="00F34CDB" w:rsidRDefault="00DA1927" w:rsidP="00DA1927">
            <w:pPr>
              <w:jc w:val="center"/>
              <w:rPr>
                <w:lang w:val="lv-LV" w:eastAsia="lv-LV"/>
              </w:rPr>
            </w:pPr>
            <w:r w:rsidRPr="00F34CDB">
              <w:rPr>
                <w:lang w:val="lv-LV" w:eastAsia="lv-LV"/>
              </w:rPr>
              <w:t>5.</w:t>
            </w:r>
          </w:p>
        </w:tc>
        <w:tc>
          <w:tcPr>
            <w:tcW w:w="1401" w:type="pct"/>
          </w:tcPr>
          <w:p w14:paraId="517204ED" w14:textId="70CBACDC" w:rsidR="00DA1927" w:rsidRPr="00F34CDB" w:rsidRDefault="00DA1927" w:rsidP="00DA1927">
            <w:pPr>
              <w:jc w:val="both"/>
              <w:rPr>
                <w:lang w:val="lv-LV"/>
              </w:rPr>
            </w:pPr>
            <w:r w:rsidRPr="00F34CDB">
              <w:rPr>
                <w:lang w:val="lv-LV"/>
              </w:rPr>
              <w:t>Cita informācija</w:t>
            </w:r>
          </w:p>
        </w:tc>
        <w:tc>
          <w:tcPr>
            <w:tcW w:w="3361" w:type="pct"/>
          </w:tcPr>
          <w:p w14:paraId="1E33CA26" w14:textId="31390A89" w:rsidR="00DA1927" w:rsidRPr="00F34CDB" w:rsidRDefault="00DA1927" w:rsidP="00DA1927">
            <w:pPr>
              <w:jc w:val="both"/>
              <w:rPr>
                <w:lang w:val="lv-LV"/>
              </w:rPr>
            </w:pPr>
            <w:r w:rsidRPr="00F34CDB">
              <w:rPr>
                <w:lang w:val="lv-LV"/>
              </w:rPr>
              <w:t>Nav.</w:t>
            </w:r>
          </w:p>
        </w:tc>
      </w:tr>
    </w:tbl>
    <w:p w14:paraId="53F78DAE" w14:textId="77777777" w:rsidR="00D80316" w:rsidRPr="00F34CDB" w:rsidRDefault="00D80316" w:rsidP="00D80316">
      <w:pPr>
        <w:jc w:val="both"/>
        <w:rPr>
          <w:lang w:val="lv-LV" w:eastAsia="lv-LV"/>
        </w:rPr>
      </w:pPr>
    </w:p>
    <w:tbl>
      <w:tblPr>
        <w:tblStyle w:val="Reatabula"/>
        <w:tblW w:w="5241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2844"/>
        <w:gridCol w:w="1413"/>
        <w:gridCol w:w="1278"/>
        <w:gridCol w:w="1423"/>
        <w:gridCol w:w="1263"/>
        <w:gridCol w:w="1277"/>
      </w:tblGrid>
      <w:tr w:rsidR="00F34CDB" w:rsidRPr="00F265F7" w14:paraId="459827E2" w14:textId="77777777" w:rsidTr="00E1332B">
        <w:trPr>
          <w:trHeight w:val="20"/>
        </w:trPr>
        <w:tc>
          <w:tcPr>
            <w:tcW w:w="5000" w:type="pct"/>
            <w:gridSpan w:val="6"/>
            <w:hideMark/>
          </w:tcPr>
          <w:p w14:paraId="0FBC4B0F" w14:textId="77777777" w:rsidR="00F34CDB" w:rsidRPr="00F34CDB" w:rsidRDefault="00F34CDB" w:rsidP="00727F63">
            <w:pPr>
              <w:ind w:firstLine="30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lastRenderedPageBreak/>
              <w:t> </w:t>
            </w:r>
            <w:r w:rsidRPr="00F34CDB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lv-LV"/>
              </w:rPr>
              <w:t>III. Tiesību akta projekta ietekme uz valsts budžetu un pašvaldību budžetiem</w:t>
            </w:r>
          </w:p>
        </w:tc>
      </w:tr>
      <w:tr w:rsidR="00F34CDB" w:rsidRPr="00F34CDB" w14:paraId="219D90B0" w14:textId="77777777" w:rsidTr="00E1332B">
        <w:trPr>
          <w:trHeight w:val="20"/>
        </w:trPr>
        <w:tc>
          <w:tcPr>
            <w:tcW w:w="1497" w:type="pct"/>
            <w:vMerge w:val="restart"/>
            <w:hideMark/>
          </w:tcPr>
          <w:p w14:paraId="793EF419" w14:textId="77777777" w:rsidR="00F34CDB" w:rsidRPr="00F34CDB" w:rsidRDefault="00F34CDB" w:rsidP="00727F63">
            <w:pPr>
              <w:ind w:firstLine="301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  <w:t>Rādītāji</w:t>
            </w:r>
          </w:p>
        </w:tc>
        <w:tc>
          <w:tcPr>
            <w:tcW w:w="1417" w:type="pct"/>
            <w:gridSpan w:val="2"/>
            <w:vMerge w:val="restart"/>
            <w:hideMark/>
          </w:tcPr>
          <w:p w14:paraId="7F274B9A" w14:textId="7BBD480D" w:rsidR="00F34CDB" w:rsidRPr="00F34CDB" w:rsidRDefault="00F34CDB" w:rsidP="00F34CDB">
            <w:pPr>
              <w:ind w:firstLine="301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  <w:t>2018.gads</w:t>
            </w:r>
          </w:p>
        </w:tc>
        <w:tc>
          <w:tcPr>
            <w:tcW w:w="2086" w:type="pct"/>
            <w:gridSpan w:val="3"/>
            <w:hideMark/>
          </w:tcPr>
          <w:p w14:paraId="218C6223" w14:textId="77777777" w:rsidR="00F34CDB" w:rsidRPr="00F34CDB" w:rsidRDefault="00F34CDB" w:rsidP="00727F63">
            <w:pPr>
              <w:ind w:firstLine="301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lang w:val="lv-LV"/>
              </w:rPr>
              <w:t>Turpmākie trīs gadi (</w:t>
            </w:r>
            <w:proofErr w:type="spellStart"/>
            <w:r w:rsidRPr="00F34CDB">
              <w:rPr>
                <w:rFonts w:ascii="Times New Roman" w:hAnsi="Times New Roman"/>
                <w:i/>
                <w:iCs/>
                <w:color w:val="000000" w:themeColor="text1"/>
                <w:lang w:val="lv-LV"/>
              </w:rPr>
              <w:t>euro</w:t>
            </w:r>
            <w:proofErr w:type="spellEnd"/>
            <w:r w:rsidRPr="00F34CDB">
              <w:rPr>
                <w:rFonts w:ascii="Times New Roman" w:hAnsi="Times New Roman"/>
                <w:color w:val="000000" w:themeColor="text1"/>
                <w:lang w:val="lv-LV"/>
              </w:rPr>
              <w:t>)</w:t>
            </w:r>
          </w:p>
        </w:tc>
      </w:tr>
      <w:tr w:rsidR="00F34CDB" w:rsidRPr="00F34CDB" w14:paraId="306F924D" w14:textId="77777777" w:rsidTr="00E1332B">
        <w:trPr>
          <w:trHeight w:val="20"/>
        </w:trPr>
        <w:tc>
          <w:tcPr>
            <w:tcW w:w="1497" w:type="pct"/>
            <w:vMerge/>
            <w:hideMark/>
          </w:tcPr>
          <w:p w14:paraId="34C47DB7" w14:textId="77777777" w:rsidR="00F34CDB" w:rsidRPr="00F34CDB" w:rsidRDefault="00F34CDB" w:rsidP="00727F63">
            <w:pPr>
              <w:ind w:firstLine="301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</w:p>
        </w:tc>
        <w:tc>
          <w:tcPr>
            <w:tcW w:w="1417" w:type="pct"/>
            <w:gridSpan w:val="2"/>
            <w:vMerge/>
            <w:hideMark/>
          </w:tcPr>
          <w:p w14:paraId="71179DC9" w14:textId="77777777" w:rsidR="00F34CDB" w:rsidRPr="00F34CDB" w:rsidRDefault="00F34CDB" w:rsidP="00727F63">
            <w:pPr>
              <w:ind w:firstLine="301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</w:p>
        </w:tc>
        <w:tc>
          <w:tcPr>
            <w:tcW w:w="749" w:type="pct"/>
            <w:hideMark/>
          </w:tcPr>
          <w:p w14:paraId="320D0CB9" w14:textId="463B7D3D" w:rsidR="00F34CDB" w:rsidRPr="00F34CDB" w:rsidRDefault="00F34CDB" w:rsidP="00F34CDB">
            <w:pPr>
              <w:ind w:firstLine="301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  <w:t>2019</w:t>
            </w:r>
          </w:p>
        </w:tc>
        <w:tc>
          <w:tcPr>
            <w:tcW w:w="665" w:type="pct"/>
            <w:hideMark/>
          </w:tcPr>
          <w:p w14:paraId="39ADF3D8" w14:textId="6952F1B8" w:rsidR="00F34CDB" w:rsidRPr="00F34CDB" w:rsidRDefault="00F34CDB" w:rsidP="00F34CDB">
            <w:pPr>
              <w:ind w:firstLine="301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  <w:t>2020</w:t>
            </w:r>
          </w:p>
        </w:tc>
        <w:tc>
          <w:tcPr>
            <w:tcW w:w="672" w:type="pct"/>
            <w:hideMark/>
          </w:tcPr>
          <w:p w14:paraId="617068C1" w14:textId="39DB72DA" w:rsidR="00F34CDB" w:rsidRPr="00F34CDB" w:rsidRDefault="00F34CDB" w:rsidP="00F34CDB">
            <w:pPr>
              <w:ind w:firstLine="301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  <w:t>2021</w:t>
            </w:r>
          </w:p>
        </w:tc>
      </w:tr>
      <w:tr w:rsidR="00F34CDB" w:rsidRPr="00F34CDB" w14:paraId="4F724C09" w14:textId="77777777" w:rsidTr="00E1332B">
        <w:trPr>
          <w:trHeight w:val="20"/>
        </w:trPr>
        <w:tc>
          <w:tcPr>
            <w:tcW w:w="1497" w:type="pct"/>
            <w:vMerge/>
            <w:hideMark/>
          </w:tcPr>
          <w:p w14:paraId="434C53D0" w14:textId="77777777" w:rsidR="00F34CDB" w:rsidRPr="00F34CDB" w:rsidRDefault="00F34CDB" w:rsidP="00727F63">
            <w:pPr>
              <w:ind w:firstLine="301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</w:p>
        </w:tc>
        <w:tc>
          <w:tcPr>
            <w:tcW w:w="744" w:type="pct"/>
            <w:hideMark/>
          </w:tcPr>
          <w:p w14:paraId="6238231C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lang w:val="lv-LV"/>
              </w:rPr>
              <w:t>saskaņā ar valsts budžetu kārtējam gadam</w:t>
            </w:r>
          </w:p>
        </w:tc>
        <w:tc>
          <w:tcPr>
            <w:tcW w:w="673" w:type="pct"/>
            <w:hideMark/>
          </w:tcPr>
          <w:p w14:paraId="1EA7CD21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lang w:val="lv-LV"/>
              </w:rPr>
              <w:t>izmaiņas kārtējā gadā, salīdzinot ar valsts budžetu kārtējam gadam</w:t>
            </w:r>
          </w:p>
        </w:tc>
        <w:tc>
          <w:tcPr>
            <w:tcW w:w="749" w:type="pct"/>
            <w:hideMark/>
          </w:tcPr>
          <w:p w14:paraId="26752A4E" w14:textId="3C6CCB31" w:rsidR="00F34CDB" w:rsidRPr="00F34CDB" w:rsidRDefault="00F34CDB" w:rsidP="00F34CDB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lang w:val="lv-LV"/>
              </w:rPr>
              <w:t>izmaiņas, salīdzinot ar 2018.gadu</w:t>
            </w:r>
          </w:p>
        </w:tc>
        <w:tc>
          <w:tcPr>
            <w:tcW w:w="665" w:type="pct"/>
            <w:hideMark/>
          </w:tcPr>
          <w:p w14:paraId="77E4B877" w14:textId="25AA5C2E" w:rsidR="00F34CDB" w:rsidRPr="00F34CDB" w:rsidRDefault="00F34CDB" w:rsidP="00F34CDB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lang w:val="lv-LV"/>
              </w:rPr>
              <w:t>izmaiņas, salīdzinot ar 2018.gadu</w:t>
            </w:r>
          </w:p>
        </w:tc>
        <w:tc>
          <w:tcPr>
            <w:tcW w:w="672" w:type="pct"/>
            <w:hideMark/>
          </w:tcPr>
          <w:p w14:paraId="1C85AE09" w14:textId="584AC1C5" w:rsidR="00F34CDB" w:rsidRPr="00F34CDB" w:rsidRDefault="00F34CDB" w:rsidP="00F34CDB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lang w:val="lv-LV"/>
              </w:rPr>
              <w:t>izmaiņas, salīdzinot ar 2018.gadu</w:t>
            </w:r>
          </w:p>
        </w:tc>
      </w:tr>
      <w:tr w:rsidR="00F34CDB" w:rsidRPr="00F34CDB" w14:paraId="79A131E8" w14:textId="77777777" w:rsidTr="00E1332B">
        <w:trPr>
          <w:trHeight w:val="20"/>
        </w:trPr>
        <w:tc>
          <w:tcPr>
            <w:tcW w:w="1497" w:type="pct"/>
            <w:hideMark/>
          </w:tcPr>
          <w:p w14:paraId="6EDBDB05" w14:textId="77777777" w:rsidR="00F34CDB" w:rsidRPr="00F34CDB" w:rsidRDefault="00F34CDB" w:rsidP="00727F63">
            <w:pPr>
              <w:ind w:firstLine="301"/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1</w:t>
            </w:r>
          </w:p>
        </w:tc>
        <w:tc>
          <w:tcPr>
            <w:tcW w:w="744" w:type="pct"/>
            <w:hideMark/>
          </w:tcPr>
          <w:p w14:paraId="036E4249" w14:textId="77777777" w:rsidR="00F34CDB" w:rsidRPr="00F34CDB" w:rsidRDefault="00F34CDB" w:rsidP="00727F63">
            <w:pPr>
              <w:ind w:firstLine="301"/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2</w:t>
            </w:r>
          </w:p>
        </w:tc>
        <w:tc>
          <w:tcPr>
            <w:tcW w:w="673" w:type="pct"/>
            <w:hideMark/>
          </w:tcPr>
          <w:p w14:paraId="37F19A8D" w14:textId="77777777" w:rsidR="00F34CDB" w:rsidRPr="00F34CDB" w:rsidRDefault="00F34CDB" w:rsidP="00727F63">
            <w:pPr>
              <w:ind w:firstLine="301"/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3</w:t>
            </w:r>
          </w:p>
        </w:tc>
        <w:tc>
          <w:tcPr>
            <w:tcW w:w="749" w:type="pct"/>
            <w:hideMark/>
          </w:tcPr>
          <w:p w14:paraId="4AC2D742" w14:textId="77777777" w:rsidR="00F34CDB" w:rsidRPr="00F34CDB" w:rsidRDefault="00F34CDB" w:rsidP="00727F63">
            <w:pPr>
              <w:ind w:firstLine="301"/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4</w:t>
            </w:r>
          </w:p>
        </w:tc>
        <w:tc>
          <w:tcPr>
            <w:tcW w:w="665" w:type="pct"/>
            <w:hideMark/>
          </w:tcPr>
          <w:p w14:paraId="2FC8D61F" w14:textId="77777777" w:rsidR="00F34CDB" w:rsidRPr="00F34CDB" w:rsidRDefault="00F34CDB" w:rsidP="00727F63">
            <w:pPr>
              <w:ind w:firstLine="301"/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5</w:t>
            </w:r>
          </w:p>
        </w:tc>
        <w:tc>
          <w:tcPr>
            <w:tcW w:w="672" w:type="pct"/>
            <w:hideMark/>
          </w:tcPr>
          <w:p w14:paraId="46CB2041" w14:textId="77777777" w:rsidR="00F34CDB" w:rsidRPr="00F34CDB" w:rsidRDefault="00F34CDB" w:rsidP="00727F63">
            <w:pPr>
              <w:ind w:firstLine="301"/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6</w:t>
            </w:r>
          </w:p>
        </w:tc>
      </w:tr>
      <w:tr w:rsidR="00F34CDB" w:rsidRPr="00F34CDB" w14:paraId="2FBE899D" w14:textId="77777777" w:rsidTr="00E1332B">
        <w:trPr>
          <w:trHeight w:val="20"/>
        </w:trPr>
        <w:tc>
          <w:tcPr>
            <w:tcW w:w="1497" w:type="pct"/>
            <w:hideMark/>
          </w:tcPr>
          <w:p w14:paraId="38047862" w14:textId="77777777" w:rsidR="00F34CDB" w:rsidRPr="00F34CDB" w:rsidRDefault="00F34CDB" w:rsidP="00727F63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lang w:val="lv-LV"/>
              </w:rPr>
              <w:t>1. Budžeta ieņēmumi:</w:t>
            </w:r>
          </w:p>
        </w:tc>
        <w:tc>
          <w:tcPr>
            <w:tcW w:w="744" w:type="pct"/>
            <w:hideMark/>
          </w:tcPr>
          <w:p w14:paraId="1E8B1F0C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850 000</w:t>
            </w:r>
          </w:p>
        </w:tc>
        <w:tc>
          <w:tcPr>
            <w:tcW w:w="673" w:type="pct"/>
            <w:hideMark/>
          </w:tcPr>
          <w:p w14:paraId="5A32C1DC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749" w:type="pct"/>
            <w:hideMark/>
          </w:tcPr>
          <w:p w14:paraId="6843FF18" w14:textId="7DDFFF0B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43</w:t>
            </w:r>
          </w:p>
        </w:tc>
        <w:tc>
          <w:tcPr>
            <w:tcW w:w="665" w:type="pct"/>
            <w:hideMark/>
          </w:tcPr>
          <w:p w14:paraId="139E2452" w14:textId="0F8D788F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43</w:t>
            </w:r>
          </w:p>
        </w:tc>
        <w:tc>
          <w:tcPr>
            <w:tcW w:w="672" w:type="pct"/>
            <w:hideMark/>
          </w:tcPr>
          <w:p w14:paraId="34E42725" w14:textId="1CB541A0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43</w:t>
            </w:r>
          </w:p>
        </w:tc>
      </w:tr>
      <w:tr w:rsidR="00F34CDB" w:rsidRPr="00F34CDB" w14:paraId="275C5DB3" w14:textId="77777777" w:rsidTr="00E1332B">
        <w:trPr>
          <w:trHeight w:val="20"/>
        </w:trPr>
        <w:tc>
          <w:tcPr>
            <w:tcW w:w="1497" w:type="pct"/>
            <w:hideMark/>
          </w:tcPr>
          <w:p w14:paraId="3BB21757" w14:textId="77777777" w:rsidR="00F34CDB" w:rsidRPr="00F34CDB" w:rsidRDefault="00F34CDB" w:rsidP="00727F63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lang w:val="lv-LV"/>
              </w:rPr>
              <w:t>1.1. valsts pamatbudžets, tai skaitā ieņēmumi no maksas pakalpojumiem un citi pašu ieņēmumi</w:t>
            </w:r>
          </w:p>
        </w:tc>
        <w:tc>
          <w:tcPr>
            <w:tcW w:w="744" w:type="pct"/>
            <w:hideMark/>
          </w:tcPr>
          <w:p w14:paraId="3A362D23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255 000</w:t>
            </w:r>
          </w:p>
          <w:p w14:paraId="4B6E6AF6" w14:textId="77777777" w:rsidR="00F34CDB" w:rsidRPr="00F34CDB" w:rsidRDefault="00F34CDB" w:rsidP="00727F63">
            <w:pPr>
              <w:ind w:firstLine="301"/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</w:p>
        </w:tc>
        <w:tc>
          <w:tcPr>
            <w:tcW w:w="673" w:type="pct"/>
            <w:hideMark/>
          </w:tcPr>
          <w:p w14:paraId="660A31A3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749" w:type="pct"/>
            <w:hideMark/>
          </w:tcPr>
          <w:p w14:paraId="301F24FD" w14:textId="6B392E01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13</w:t>
            </w:r>
          </w:p>
        </w:tc>
        <w:tc>
          <w:tcPr>
            <w:tcW w:w="665" w:type="pct"/>
            <w:hideMark/>
          </w:tcPr>
          <w:p w14:paraId="35DAD188" w14:textId="24520C79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13</w:t>
            </w:r>
          </w:p>
        </w:tc>
        <w:tc>
          <w:tcPr>
            <w:tcW w:w="672" w:type="pct"/>
            <w:hideMark/>
          </w:tcPr>
          <w:p w14:paraId="26A51D28" w14:textId="582E72D3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13</w:t>
            </w:r>
          </w:p>
        </w:tc>
      </w:tr>
      <w:tr w:rsidR="00F34CDB" w:rsidRPr="00F34CDB" w14:paraId="1F1341D7" w14:textId="77777777" w:rsidTr="00E1332B">
        <w:trPr>
          <w:trHeight w:val="20"/>
        </w:trPr>
        <w:tc>
          <w:tcPr>
            <w:tcW w:w="1497" w:type="pct"/>
            <w:hideMark/>
          </w:tcPr>
          <w:p w14:paraId="1D837186" w14:textId="77777777" w:rsidR="00F34CDB" w:rsidRPr="00F34CDB" w:rsidRDefault="00F34CDB" w:rsidP="00727F63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lang w:val="lv-LV"/>
              </w:rPr>
              <w:t>1.2. valsts speciālais budžets</w:t>
            </w:r>
          </w:p>
        </w:tc>
        <w:tc>
          <w:tcPr>
            <w:tcW w:w="744" w:type="pct"/>
            <w:hideMark/>
          </w:tcPr>
          <w:p w14:paraId="56A6DED2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673" w:type="pct"/>
            <w:hideMark/>
          </w:tcPr>
          <w:p w14:paraId="5ABF0085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749" w:type="pct"/>
            <w:hideMark/>
          </w:tcPr>
          <w:p w14:paraId="6C83CD2C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665" w:type="pct"/>
            <w:hideMark/>
          </w:tcPr>
          <w:p w14:paraId="17630F8B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672" w:type="pct"/>
            <w:hideMark/>
          </w:tcPr>
          <w:p w14:paraId="4E57F307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</w:tr>
      <w:tr w:rsidR="00F34CDB" w:rsidRPr="00F34CDB" w14:paraId="403B8C74" w14:textId="77777777" w:rsidTr="00E1332B">
        <w:trPr>
          <w:trHeight w:val="20"/>
        </w:trPr>
        <w:tc>
          <w:tcPr>
            <w:tcW w:w="1497" w:type="pct"/>
            <w:hideMark/>
          </w:tcPr>
          <w:p w14:paraId="40D196F8" w14:textId="77777777" w:rsidR="00F34CDB" w:rsidRPr="00F34CDB" w:rsidRDefault="00F34CDB" w:rsidP="00727F63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lang w:val="lv-LV"/>
              </w:rPr>
              <w:t>1.3. pašvaldību budžets</w:t>
            </w:r>
          </w:p>
        </w:tc>
        <w:tc>
          <w:tcPr>
            <w:tcW w:w="744" w:type="pct"/>
            <w:hideMark/>
          </w:tcPr>
          <w:p w14:paraId="439974F8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595 000</w:t>
            </w:r>
          </w:p>
        </w:tc>
        <w:tc>
          <w:tcPr>
            <w:tcW w:w="673" w:type="pct"/>
            <w:hideMark/>
          </w:tcPr>
          <w:p w14:paraId="712935DE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749" w:type="pct"/>
            <w:hideMark/>
          </w:tcPr>
          <w:p w14:paraId="55047571" w14:textId="008D5E9C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30</w:t>
            </w:r>
          </w:p>
        </w:tc>
        <w:tc>
          <w:tcPr>
            <w:tcW w:w="665" w:type="pct"/>
            <w:hideMark/>
          </w:tcPr>
          <w:p w14:paraId="271A4A31" w14:textId="358FD8A1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30</w:t>
            </w:r>
          </w:p>
        </w:tc>
        <w:tc>
          <w:tcPr>
            <w:tcW w:w="672" w:type="pct"/>
            <w:hideMark/>
          </w:tcPr>
          <w:p w14:paraId="369D00FC" w14:textId="10BCA9C1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30</w:t>
            </w:r>
          </w:p>
        </w:tc>
      </w:tr>
      <w:tr w:rsidR="00F34CDB" w:rsidRPr="00F34CDB" w14:paraId="4D0EFAE8" w14:textId="77777777" w:rsidTr="00E1332B">
        <w:trPr>
          <w:trHeight w:val="20"/>
        </w:trPr>
        <w:tc>
          <w:tcPr>
            <w:tcW w:w="1497" w:type="pct"/>
            <w:hideMark/>
          </w:tcPr>
          <w:p w14:paraId="47880DDD" w14:textId="77777777" w:rsidR="00F34CDB" w:rsidRPr="00F34CDB" w:rsidRDefault="00F34CDB" w:rsidP="00727F63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lang w:val="lv-LV"/>
              </w:rPr>
              <w:t>2. Budžeta izdevumi:</w:t>
            </w:r>
          </w:p>
        </w:tc>
        <w:tc>
          <w:tcPr>
            <w:tcW w:w="744" w:type="pct"/>
            <w:hideMark/>
          </w:tcPr>
          <w:p w14:paraId="4988BB50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850 000</w:t>
            </w:r>
          </w:p>
        </w:tc>
        <w:tc>
          <w:tcPr>
            <w:tcW w:w="673" w:type="pct"/>
            <w:hideMark/>
          </w:tcPr>
          <w:p w14:paraId="1D86D8B6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749" w:type="pct"/>
            <w:hideMark/>
          </w:tcPr>
          <w:p w14:paraId="59348021" w14:textId="139BD8AB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43</w:t>
            </w:r>
          </w:p>
        </w:tc>
        <w:tc>
          <w:tcPr>
            <w:tcW w:w="665" w:type="pct"/>
            <w:hideMark/>
          </w:tcPr>
          <w:p w14:paraId="4E244CCD" w14:textId="6F977441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43</w:t>
            </w:r>
          </w:p>
        </w:tc>
        <w:tc>
          <w:tcPr>
            <w:tcW w:w="672" w:type="pct"/>
            <w:hideMark/>
          </w:tcPr>
          <w:p w14:paraId="61A33401" w14:textId="31E6B62A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43</w:t>
            </w:r>
          </w:p>
        </w:tc>
      </w:tr>
      <w:tr w:rsidR="00F34CDB" w:rsidRPr="00F34CDB" w14:paraId="0A229D60" w14:textId="77777777" w:rsidTr="00E1332B">
        <w:trPr>
          <w:trHeight w:val="20"/>
        </w:trPr>
        <w:tc>
          <w:tcPr>
            <w:tcW w:w="1497" w:type="pct"/>
            <w:hideMark/>
          </w:tcPr>
          <w:p w14:paraId="52BC6960" w14:textId="77777777" w:rsidR="00F34CDB" w:rsidRPr="00F34CDB" w:rsidRDefault="00F34CDB" w:rsidP="00727F63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lang w:val="lv-LV"/>
              </w:rPr>
              <w:t>2.1. valsts pamatbudžets</w:t>
            </w:r>
          </w:p>
        </w:tc>
        <w:tc>
          <w:tcPr>
            <w:tcW w:w="744" w:type="pct"/>
            <w:hideMark/>
          </w:tcPr>
          <w:p w14:paraId="21237293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255 000</w:t>
            </w:r>
          </w:p>
        </w:tc>
        <w:tc>
          <w:tcPr>
            <w:tcW w:w="673" w:type="pct"/>
            <w:hideMark/>
          </w:tcPr>
          <w:p w14:paraId="67EF3E0D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749" w:type="pct"/>
            <w:hideMark/>
          </w:tcPr>
          <w:p w14:paraId="602C71F4" w14:textId="6F3FB778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13</w:t>
            </w:r>
          </w:p>
        </w:tc>
        <w:tc>
          <w:tcPr>
            <w:tcW w:w="665" w:type="pct"/>
            <w:hideMark/>
          </w:tcPr>
          <w:p w14:paraId="241C99CD" w14:textId="711F34A9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13</w:t>
            </w:r>
          </w:p>
        </w:tc>
        <w:tc>
          <w:tcPr>
            <w:tcW w:w="672" w:type="pct"/>
            <w:hideMark/>
          </w:tcPr>
          <w:p w14:paraId="7845001F" w14:textId="1452A28D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13</w:t>
            </w:r>
          </w:p>
        </w:tc>
      </w:tr>
      <w:tr w:rsidR="00F34CDB" w:rsidRPr="00F34CDB" w14:paraId="0810F45E" w14:textId="77777777" w:rsidTr="00E1332B">
        <w:trPr>
          <w:trHeight w:val="20"/>
        </w:trPr>
        <w:tc>
          <w:tcPr>
            <w:tcW w:w="1497" w:type="pct"/>
            <w:hideMark/>
          </w:tcPr>
          <w:p w14:paraId="6CFC25F1" w14:textId="77777777" w:rsidR="00F34CDB" w:rsidRPr="00F34CDB" w:rsidRDefault="00F34CDB" w:rsidP="00727F63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lang w:val="lv-LV"/>
              </w:rPr>
              <w:t>2.2. valsts speciālais budžets</w:t>
            </w:r>
          </w:p>
        </w:tc>
        <w:tc>
          <w:tcPr>
            <w:tcW w:w="744" w:type="pct"/>
            <w:hideMark/>
          </w:tcPr>
          <w:p w14:paraId="204885FD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673" w:type="pct"/>
            <w:hideMark/>
          </w:tcPr>
          <w:p w14:paraId="19490312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749" w:type="pct"/>
            <w:hideMark/>
          </w:tcPr>
          <w:p w14:paraId="210779F2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665" w:type="pct"/>
            <w:hideMark/>
          </w:tcPr>
          <w:p w14:paraId="36DDF96E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672" w:type="pct"/>
            <w:hideMark/>
          </w:tcPr>
          <w:p w14:paraId="7CB6B37E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</w:tr>
      <w:tr w:rsidR="00F34CDB" w:rsidRPr="00F34CDB" w14:paraId="4E9BF362" w14:textId="77777777" w:rsidTr="00E1332B">
        <w:trPr>
          <w:trHeight w:val="20"/>
        </w:trPr>
        <w:tc>
          <w:tcPr>
            <w:tcW w:w="1497" w:type="pct"/>
            <w:hideMark/>
          </w:tcPr>
          <w:p w14:paraId="0D7B7CEA" w14:textId="77777777" w:rsidR="00F34CDB" w:rsidRPr="00F34CDB" w:rsidRDefault="00F34CDB" w:rsidP="00727F63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lang w:val="lv-LV"/>
              </w:rPr>
              <w:t>2.3. pašvaldību budžets</w:t>
            </w:r>
          </w:p>
        </w:tc>
        <w:tc>
          <w:tcPr>
            <w:tcW w:w="744" w:type="pct"/>
            <w:hideMark/>
          </w:tcPr>
          <w:p w14:paraId="5573CA6A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595 000</w:t>
            </w:r>
          </w:p>
        </w:tc>
        <w:tc>
          <w:tcPr>
            <w:tcW w:w="673" w:type="pct"/>
            <w:hideMark/>
          </w:tcPr>
          <w:p w14:paraId="56292131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749" w:type="pct"/>
            <w:hideMark/>
          </w:tcPr>
          <w:p w14:paraId="02EB4918" w14:textId="261E21D6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30</w:t>
            </w:r>
          </w:p>
        </w:tc>
        <w:tc>
          <w:tcPr>
            <w:tcW w:w="665" w:type="pct"/>
            <w:hideMark/>
          </w:tcPr>
          <w:p w14:paraId="175FCD9A" w14:textId="694706E9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30</w:t>
            </w:r>
          </w:p>
        </w:tc>
        <w:tc>
          <w:tcPr>
            <w:tcW w:w="672" w:type="pct"/>
            <w:hideMark/>
          </w:tcPr>
          <w:p w14:paraId="515F430C" w14:textId="6942E4D8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30</w:t>
            </w:r>
          </w:p>
        </w:tc>
      </w:tr>
      <w:tr w:rsidR="00F34CDB" w:rsidRPr="00F34CDB" w14:paraId="4B5932AA" w14:textId="77777777" w:rsidTr="00E1332B">
        <w:trPr>
          <w:trHeight w:val="20"/>
        </w:trPr>
        <w:tc>
          <w:tcPr>
            <w:tcW w:w="1497" w:type="pct"/>
            <w:hideMark/>
          </w:tcPr>
          <w:p w14:paraId="4FD4D024" w14:textId="77777777" w:rsidR="00F34CDB" w:rsidRPr="00F34CDB" w:rsidRDefault="00F34CDB" w:rsidP="00727F63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lang w:val="lv-LV"/>
              </w:rPr>
              <w:t>3. Finansiālā ietekme:</w:t>
            </w:r>
          </w:p>
        </w:tc>
        <w:tc>
          <w:tcPr>
            <w:tcW w:w="744" w:type="pct"/>
            <w:hideMark/>
          </w:tcPr>
          <w:p w14:paraId="3241D13E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673" w:type="pct"/>
            <w:hideMark/>
          </w:tcPr>
          <w:p w14:paraId="2204FB09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749" w:type="pct"/>
            <w:hideMark/>
          </w:tcPr>
          <w:p w14:paraId="341F54FF" w14:textId="2BB657D5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43</w:t>
            </w:r>
          </w:p>
        </w:tc>
        <w:tc>
          <w:tcPr>
            <w:tcW w:w="665" w:type="pct"/>
            <w:hideMark/>
          </w:tcPr>
          <w:p w14:paraId="310C947A" w14:textId="37C5C964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43</w:t>
            </w:r>
          </w:p>
        </w:tc>
        <w:tc>
          <w:tcPr>
            <w:tcW w:w="672" w:type="pct"/>
            <w:hideMark/>
          </w:tcPr>
          <w:p w14:paraId="4AA8DDFE" w14:textId="261C8848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43</w:t>
            </w:r>
          </w:p>
        </w:tc>
      </w:tr>
      <w:tr w:rsidR="00F34CDB" w:rsidRPr="00F34CDB" w14:paraId="06C1E4A8" w14:textId="77777777" w:rsidTr="00E1332B">
        <w:trPr>
          <w:trHeight w:val="20"/>
        </w:trPr>
        <w:tc>
          <w:tcPr>
            <w:tcW w:w="1497" w:type="pct"/>
            <w:hideMark/>
          </w:tcPr>
          <w:p w14:paraId="37F971FC" w14:textId="77777777" w:rsidR="00F34CDB" w:rsidRPr="00F34CDB" w:rsidRDefault="00F34CDB" w:rsidP="00727F63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lang w:val="lv-LV"/>
              </w:rPr>
              <w:t>3.1. valsts pamatbudžets</w:t>
            </w:r>
          </w:p>
        </w:tc>
        <w:tc>
          <w:tcPr>
            <w:tcW w:w="744" w:type="pct"/>
            <w:hideMark/>
          </w:tcPr>
          <w:p w14:paraId="77969C4C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673" w:type="pct"/>
            <w:hideMark/>
          </w:tcPr>
          <w:p w14:paraId="67F701F3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749" w:type="pct"/>
            <w:hideMark/>
          </w:tcPr>
          <w:p w14:paraId="0A12A850" w14:textId="440A3C50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13</w:t>
            </w:r>
          </w:p>
        </w:tc>
        <w:tc>
          <w:tcPr>
            <w:tcW w:w="665" w:type="pct"/>
            <w:hideMark/>
          </w:tcPr>
          <w:p w14:paraId="08CFC129" w14:textId="28D24060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13</w:t>
            </w:r>
          </w:p>
        </w:tc>
        <w:tc>
          <w:tcPr>
            <w:tcW w:w="672" w:type="pct"/>
            <w:hideMark/>
          </w:tcPr>
          <w:p w14:paraId="2531E8EF" w14:textId="0141F424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13</w:t>
            </w:r>
          </w:p>
        </w:tc>
      </w:tr>
      <w:tr w:rsidR="00F34CDB" w:rsidRPr="00F34CDB" w14:paraId="7C4B1A99" w14:textId="77777777" w:rsidTr="00E1332B">
        <w:trPr>
          <w:trHeight w:val="20"/>
        </w:trPr>
        <w:tc>
          <w:tcPr>
            <w:tcW w:w="1497" w:type="pct"/>
            <w:hideMark/>
          </w:tcPr>
          <w:p w14:paraId="576DAD9D" w14:textId="77777777" w:rsidR="00F34CDB" w:rsidRPr="00F34CDB" w:rsidRDefault="00F34CDB" w:rsidP="00727F63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lang w:val="lv-LV"/>
              </w:rPr>
              <w:t>3.2. speciālais budžets</w:t>
            </w:r>
          </w:p>
        </w:tc>
        <w:tc>
          <w:tcPr>
            <w:tcW w:w="744" w:type="pct"/>
            <w:hideMark/>
          </w:tcPr>
          <w:p w14:paraId="25AA3CCC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673" w:type="pct"/>
            <w:hideMark/>
          </w:tcPr>
          <w:p w14:paraId="0EEB3302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749" w:type="pct"/>
            <w:hideMark/>
          </w:tcPr>
          <w:p w14:paraId="70107F7B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665" w:type="pct"/>
            <w:hideMark/>
          </w:tcPr>
          <w:p w14:paraId="43F794E2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672" w:type="pct"/>
            <w:hideMark/>
          </w:tcPr>
          <w:p w14:paraId="0C177E0B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</w:tr>
      <w:tr w:rsidR="00F34CDB" w:rsidRPr="00F34CDB" w14:paraId="11BB743D" w14:textId="77777777" w:rsidTr="00E1332B">
        <w:trPr>
          <w:trHeight w:val="20"/>
        </w:trPr>
        <w:tc>
          <w:tcPr>
            <w:tcW w:w="1497" w:type="pct"/>
            <w:hideMark/>
          </w:tcPr>
          <w:p w14:paraId="68485F08" w14:textId="77777777" w:rsidR="00F34CDB" w:rsidRPr="00F34CDB" w:rsidRDefault="00F34CDB" w:rsidP="00727F63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lang w:val="lv-LV"/>
              </w:rPr>
              <w:t>3.3. pašvaldību budžets</w:t>
            </w:r>
          </w:p>
        </w:tc>
        <w:tc>
          <w:tcPr>
            <w:tcW w:w="744" w:type="pct"/>
            <w:hideMark/>
          </w:tcPr>
          <w:p w14:paraId="3B72B50F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673" w:type="pct"/>
            <w:hideMark/>
          </w:tcPr>
          <w:p w14:paraId="3A98E3A8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749" w:type="pct"/>
            <w:hideMark/>
          </w:tcPr>
          <w:p w14:paraId="16626A64" w14:textId="6F453FAB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30</w:t>
            </w:r>
          </w:p>
        </w:tc>
        <w:tc>
          <w:tcPr>
            <w:tcW w:w="665" w:type="pct"/>
            <w:hideMark/>
          </w:tcPr>
          <w:p w14:paraId="5898474F" w14:textId="740515C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30</w:t>
            </w:r>
          </w:p>
        </w:tc>
        <w:tc>
          <w:tcPr>
            <w:tcW w:w="672" w:type="pct"/>
            <w:hideMark/>
          </w:tcPr>
          <w:p w14:paraId="64F47864" w14:textId="3BF7EECD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30</w:t>
            </w:r>
          </w:p>
        </w:tc>
      </w:tr>
      <w:tr w:rsidR="00F34CDB" w:rsidRPr="00F34CDB" w14:paraId="5DC81293" w14:textId="77777777" w:rsidTr="00E1332B">
        <w:trPr>
          <w:trHeight w:val="20"/>
        </w:trPr>
        <w:tc>
          <w:tcPr>
            <w:tcW w:w="1497" w:type="pct"/>
            <w:vMerge w:val="restart"/>
            <w:hideMark/>
          </w:tcPr>
          <w:p w14:paraId="5F670ED1" w14:textId="77777777" w:rsidR="00F34CDB" w:rsidRPr="00F34CDB" w:rsidRDefault="00F34CDB" w:rsidP="00727F63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lang w:val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744" w:type="pct"/>
            <w:vMerge w:val="restart"/>
            <w:hideMark/>
          </w:tcPr>
          <w:p w14:paraId="0FB04CC8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X</w:t>
            </w:r>
          </w:p>
        </w:tc>
        <w:tc>
          <w:tcPr>
            <w:tcW w:w="673" w:type="pct"/>
            <w:hideMark/>
          </w:tcPr>
          <w:p w14:paraId="797E5ADC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749" w:type="pct"/>
            <w:hideMark/>
          </w:tcPr>
          <w:p w14:paraId="7F70B1B0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665" w:type="pct"/>
            <w:hideMark/>
          </w:tcPr>
          <w:p w14:paraId="215DB23D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672" w:type="pct"/>
            <w:hideMark/>
          </w:tcPr>
          <w:p w14:paraId="228B8708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</w:tr>
      <w:tr w:rsidR="00F34CDB" w:rsidRPr="00F34CDB" w14:paraId="0940C596" w14:textId="77777777" w:rsidTr="00E1332B">
        <w:trPr>
          <w:trHeight w:val="20"/>
        </w:trPr>
        <w:tc>
          <w:tcPr>
            <w:tcW w:w="1497" w:type="pct"/>
            <w:vMerge/>
            <w:hideMark/>
          </w:tcPr>
          <w:p w14:paraId="5F7D74FB" w14:textId="77777777" w:rsidR="00F34CDB" w:rsidRPr="00F34CDB" w:rsidRDefault="00F34CDB" w:rsidP="00727F63">
            <w:pPr>
              <w:ind w:firstLine="301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44" w:type="pct"/>
            <w:vMerge/>
            <w:hideMark/>
          </w:tcPr>
          <w:p w14:paraId="6AFDAA61" w14:textId="77777777" w:rsidR="00F34CDB" w:rsidRPr="00F34CDB" w:rsidRDefault="00F34CDB" w:rsidP="00727F63">
            <w:pPr>
              <w:ind w:firstLine="301"/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</w:p>
        </w:tc>
        <w:tc>
          <w:tcPr>
            <w:tcW w:w="673" w:type="pct"/>
            <w:hideMark/>
          </w:tcPr>
          <w:p w14:paraId="207E4C58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749" w:type="pct"/>
            <w:hideMark/>
          </w:tcPr>
          <w:p w14:paraId="28437E3F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665" w:type="pct"/>
            <w:hideMark/>
          </w:tcPr>
          <w:p w14:paraId="404F0C28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672" w:type="pct"/>
            <w:hideMark/>
          </w:tcPr>
          <w:p w14:paraId="33922922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</w:tr>
      <w:tr w:rsidR="00F34CDB" w:rsidRPr="00F34CDB" w14:paraId="28C6367F" w14:textId="77777777" w:rsidTr="00E1332B">
        <w:trPr>
          <w:trHeight w:val="20"/>
        </w:trPr>
        <w:tc>
          <w:tcPr>
            <w:tcW w:w="1497" w:type="pct"/>
            <w:vMerge/>
            <w:hideMark/>
          </w:tcPr>
          <w:p w14:paraId="14E8C2DE" w14:textId="77777777" w:rsidR="00F34CDB" w:rsidRPr="00F34CDB" w:rsidRDefault="00F34CDB" w:rsidP="00727F63">
            <w:pPr>
              <w:ind w:firstLine="301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44" w:type="pct"/>
            <w:vMerge/>
            <w:hideMark/>
          </w:tcPr>
          <w:p w14:paraId="40887B0A" w14:textId="77777777" w:rsidR="00F34CDB" w:rsidRPr="00F34CDB" w:rsidRDefault="00F34CDB" w:rsidP="00727F63">
            <w:pPr>
              <w:ind w:firstLine="301"/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</w:p>
        </w:tc>
        <w:tc>
          <w:tcPr>
            <w:tcW w:w="673" w:type="pct"/>
            <w:hideMark/>
          </w:tcPr>
          <w:p w14:paraId="4EE517E8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749" w:type="pct"/>
            <w:hideMark/>
          </w:tcPr>
          <w:p w14:paraId="45D300FD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665" w:type="pct"/>
            <w:hideMark/>
          </w:tcPr>
          <w:p w14:paraId="4AD9BE5B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672" w:type="pct"/>
            <w:hideMark/>
          </w:tcPr>
          <w:p w14:paraId="1E6877BC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</w:tr>
      <w:tr w:rsidR="00F34CDB" w:rsidRPr="00F34CDB" w14:paraId="6A1B6732" w14:textId="77777777" w:rsidTr="00E1332B">
        <w:trPr>
          <w:trHeight w:val="20"/>
        </w:trPr>
        <w:tc>
          <w:tcPr>
            <w:tcW w:w="1497" w:type="pct"/>
            <w:hideMark/>
          </w:tcPr>
          <w:p w14:paraId="57257FC0" w14:textId="77777777" w:rsidR="00F34CDB" w:rsidRPr="00F34CDB" w:rsidRDefault="00F34CDB" w:rsidP="00727F63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lang w:val="lv-LV"/>
              </w:rPr>
              <w:t>5. Precizēta finansiālā ietekme:</w:t>
            </w:r>
          </w:p>
        </w:tc>
        <w:tc>
          <w:tcPr>
            <w:tcW w:w="744" w:type="pct"/>
            <w:vMerge w:val="restart"/>
            <w:hideMark/>
          </w:tcPr>
          <w:p w14:paraId="54A2CBE1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X</w:t>
            </w:r>
          </w:p>
        </w:tc>
        <w:tc>
          <w:tcPr>
            <w:tcW w:w="673" w:type="pct"/>
            <w:hideMark/>
          </w:tcPr>
          <w:p w14:paraId="04745C7F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749" w:type="pct"/>
            <w:hideMark/>
          </w:tcPr>
          <w:p w14:paraId="7F0D1ADF" w14:textId="513C5CC8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43</w:t>
            </w:r>
          </w:p>
        </w:tc>
        <w:tc>
          <w:tcPr>
            <w:tcW w:w="665" w:type="pct"/>
            <w:hideMark/>
          </w:tcPr>
          <w:p w14:paraId="34CCD9B2" w14:textId="70E18219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43</w:t>
            </w:r>
          </w:p>
        </w:tc>
        <w:tc>
          <w:tcPr>
            <w:tcW w:w="672" w:type="pct"/>
            <w:hideMark/>
          </w:tcPr>
          <w:p w14:paraId="31C83EBB" w14:textId="009859A3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43</w:t>
            </w:r>
          </w:p>
        </w:tc>
      </w:tr>
      <w:tr w:rsidR="00F34CDB" w:rsidRPr="00F34CDB" w14:paraId="2DC4560F" w14:textId="77777777" w:rsidTr="00E1332B">
        <w:trPr>
          <w:trHeight w:val="20"/>
        </w:trPr>
        <w:tc>
          <w:tcPr>
            <w:tcW w:w="1497" w:type="pct"/>
            <w:hideMark/>
          </w:tcPr>
          <w:p w14:paraId="3852CC25" w14:textId="77777777" w:rsidR="00F34CDB" w:rsidRPr="00F34CDB" w:rsidRDefault="00F34CDB" w:rsidP="00727F63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lang w:val="lv-LV"/>
              </w:rPr>
              <w:t>5.1. valsts pamatbudžets</w:t>
            </w:r>
          </w:p>
        </w:tc>
        <w:tc>
          <w:tcPr>
            <w:tcW w:w="744" w:type="pct"/>
            <w:vMerge/>
            <w:hideMark/>
          </w:tcPr>
          <w:p w14:paraId="5B6E7F42" w14:textId="77777777" w:rsidR="00F34CDB" w:rsidRPr="00F34CDB" w:rsidRDefault="00F34CDB" w:rsidP="00727F63">
            <w:pPr>
              <w:ind w:firstLine="301"/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</w:p>
        </w:tc>
        <w:tc>
          <w:tcPr>
            <w:tcW w:w="673" w:type="pct"/>
            <w:hideMark/>
          </w:tcPr>
          <w:p w14:paraId="3914DC52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749" w:type="pct"/>
            <w:hideMark/>
          </w:tcPr>
          <w:p w14:paraId="70550B5B" w14:textId="1256CB9D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13</w:t>
            </w:r>
          </w:p>
        </w:tc>
        <w:tc>
          <w:tcPr>
            <w:tcW w:w="665" w:type="pct"/>
            <w:hideMark/>
          </w:tcPr>
          <w:p w14:paraId="09A18C89" w14:textId="1E79134F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13</w:t>
            </w:r>
          </w:p>
        </w:tc>
        <w:tc>
          <w:tcPr>
            <w:tcW w:w="672" w:type="pct"/>
            <w:hideMark/>
          </w:tcPr>
          <w:p w14:paraId="15991B98" w14:textId="7AF2D30D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13</w:t>
            </w:r>
          </w:p>
        </w:tc>
      </w:tr>
      <w:tr w:rsidR="00F34CDB" w:rsidRPr="00F34CDB" w14:paraId="69E57B30" w14:textId="77777777" w:rsidTr="00E1332B">
        <w:trPr>
          <w:trHeight w:val="20"/>
        </w:trPr>
        <w:tc>
          <w:tcPr>
            <w:tcW w:w="1497" w:type="pct"/>
            <w:hideMark/>
          </w:tcPr>
          <w:p w14:paraId="60264DFF" w14:textId="77777777" w:rsidR="00F34CDB" w:rsidRPr="00F34CDB" w:rsidRDefault="00F34CDB" w:rsidP="00727F63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lang w:val="lv-LV"/>
              </w:rPr>
              <w:t>5.2. speciālais budžets</w:t>
            </w:r>
          </w:p>
        </w:tc>
        <w:tc>
          <w:tcPr>
            <w:tcW w:w="744" w:type="pct"/>
            <w:vMerge/>
            <w:hideMark/>
          </w:tcPr>
          <w:p w14:paraId="388B1398" w14:textId="77777777" w:rsidR="00F34CDB" w:rsidRPr="00F34CDB" w:rsidRDefault="00F34CDB" w:rsidP="00727F63">
            <w:pPr>
              <w:ind w:firstLine="301"/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</w:p>
        </w:tc>
        <w:tc>
          <w:tcPr>
            <w:tcW w:w="673" w:type="pct"/>
            <w:hideMark/>
          </w:tcPr>
          <w:p w14:paraId="4A7B6D88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749" w:type="pct"/>
            <w:hideMark/>
          </w:tcPr>
          <w:p w14:paraId="7C25E6E6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665" w:type="pct"/>
            <w:hideMark/>
          </w:tcPr>
          <w:p w14:paraId="5518065B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672" w:type="pct"/>
            <w:hideMark/>
          </w:tcPr>
          <w:p w14:paraId="15B8B431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</w:tr>
      <w:tr w:rsidR="00F34CDB" w:rsidRPr="00F34CDB" w14:paraId="78559E00" w14:textId="77777777" w:rsidTr="00E1332B">
        <w:trPr>
          <w:trHeight w:val="20"/>
        </w:trPr>
        <w:tc>
          <w:tcPr>
            <w:tcW w:w="1497" w:type="pct"/>
            <w:hideMark/>
          </w:tcPr>
          <w:p w14:paraId="23B3D3E7" w14:textId="77777777" w:rsidR="00F34CDB" w:rsidRPr="00F34CDB" w:rsidRDefault="00F34CDB" w:rsidP="00727F63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lang w:val="lv-LV"/>
              </w:rPr>
              <w:t>5.3. pašvaldību budžets</w:t>
            </w:r>
          </w:p>
        </w:tc>
        <w:tc>
          <w:tcPr>
            <w:tcW w:w="744" w:type="pct"/>
            <w:vMerge/>
            <w:hideMark/>
          </w:tcPr>
          <w:p w14:paraId="44D51B3C" w14:textId="77777777" w:rsidR="00F34CDB" w:rsidRPr="00F34CDB" w:rsidRDefault="00F34CDB" w:rsidP="00727F63">
            <w:pPr>
              <w:ind w:firstLine="301"/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</w:p>
        </w:tc>
        <w:tc>
          <w:tcPr>
            <w:tcW w:w="673" w:type="pct"/>
            <w:hideMark/>
          </w:tcPr>
          <w:p w14:paraId="3E82B03A" w14:textId="77777777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0</w:t>
            </w:r>
          </w:p>
        </w:tc>
        <w:tc>
          <w:tcPr>
            <w:tcW w:w="749" w:type="pct"/>
            <w:hideMark/>
          </w:tcPr>
          <w:p w14:paraId="36AF7C55" w14:textId="612A2FDD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30</w:t>
            </w:r>
          </w:p>
        </w:tc>
        <w:tc>
          <w:tcPr>
            <w:tcW w:w="665" w:type="pct"/>
            <w:hideMark/>
          </w:tcPr>
          <w:p w14:paraId="0541ABDD" w14:textId="416027D8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30</w:t>
            </w:r>
          </w:p>
        </w:tc>
        <w:tc>
          <w:tcPr>
            <w:tcW w:w="672" w:type="pct"/>
            <w:hideMark/>
          </w:tcPr>
          <w:p w14:paraId="436AEEBD" w14:textId="62CDF60F" w:rsidR="00F34CDB" w:rsidRPr="00F34CDB" w:rsidRDefault="00F34CDB" w:rsidP="00727F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-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30</w:t>
            </w:r>
          </w:p>
        </w:tc>
      </w:tr>
      <w:tr w:rsidR="00F34CDB" w:rsidRPr="00F265F7" w14:paraId="29274A1A" w14:textId="77777777" w:rsidTr="00E1332B">
        <w:trPr>
          <w:trHeight w:val="20"/>
        </w:trPr>
        <w:tc>
          <w:tcPr>
            <w:tcW w:w="1497" w:type="pct"/>
            <w:hideMark/>
          </w:tcPr>
          <w:p w14:paraId="079B61EF" w14:textId="77777777" w:rsidR="00F34CDB" w:rsidRPr="00F34CDB" w:rsidRDefault="00F34CDB" w:rsidP="00727F63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lang w:val="lv-LV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3503" w:type="pct"/>
            <w:gridSpan w:val="5"/>
            <w:vMerge w:val="restart"/>
            <w:hideMark/>
          </w:tcPr>
          <w:p w14:paraId="1436290D" w14:textId="0EE191E4" w:rsidR="00F34CDB" w:rsidRPr="00F34CDB" w:rsidRDefault="00F34CDB" w:rsidP="00F34CDB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 xml:space="preserve">Ministru kabineta 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2009.</w:t>
            </w:r>
            <w:r w:rsidR="001A591D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 xml:space="preserve"> gada</w:t>
            </w: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 xml:space="preserve"> </w:t>
            </w:r>
            <w:r w:rsidR="001A591D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 xml:space="preserve">11. augusta </w:t>
            </w: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noteikumu Nr. 918 “Noteikumi par ūdenstilpju un rūpnieciskās zvejas tiesību nomu un zvejas tiesību izmantošanas kārtību” (turpmāk – noteikumi Nr. 918) 2.</w:t>
            </w:r>
            <w:r w:rsidRPr="00F34CDB">
              <w:rPr>
                <w:rFonts w:ascii="Times New Roman" w:hAnsi="Times New Roman"/>
                <w:color w:val="000000" w:themeColor="text1"/>
                <w:sz w:val="24"/>
                <w:vertAlign w:val="superscript"/>
                <w:lang w:val="lv-LV"/>
              </w:rPr>
              <w:t>1</w:t>
            </w: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 xml:space="preserve"> pielikumā ir noteikta pamatmaksa par rūpnieciskās zvejas tiesību nomu un zvejas tiesību izmantošanu.</w:t>
            </w:r>
          </w:p>
          <w:p w14:paraId="43470986" w14:textId="6F2AAD9C" w:rsidR="00F34CDB" w:rsidRPr="00F34CDB" w:rsidRDefault="00F34CDB" w:rsidP="00F34CDB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Nomas maksa par 5 m</w:t>
            </w:r>
            <w:r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etru</w:t>
            </w: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 xml:space="preserve"> zivju tīkla limitu iekšējos ūdeņos ir 2,85 EUR, </w:t>
            </w:r>
            <w:r w:rsidR="005B7DB9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tāpēc</w:t>
            </w: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 xml:space="preserve"> kopējā maksa </w:t>
            </w:r>
            <w:r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par 75 metru zivju tīkla limitu</w:t>
            </w: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 xml:space="preserve"> veido 42,75 EUR</w:t>
            </w:r>
            <w:r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 xml:space="preserve">, bet, ja tīklu limits tiek aizstāts ar </w:t>
            </w:r>
            <w:r w:rsidR="00692E46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 xml:space="preserve">3 </w:t>
            </w: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zivju murda limitu</w:t>
            </w:r>
            <w:r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, tad maksa ir</w:t>
            </w: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 xml:space="preserve"> 7,11 EUR</w:t>
            </w:r>
            <w:r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 xml:space="preserve"> </w:t>
            </w:r>
            <w:r w:rsidR="00727F63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par vienu zivju murdu</w:t>
            </w:r>
            <w:r w:rsidR="00692E46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 xml:space="preserve"> (kopā 21,33 EUR)</w:t>
            </w: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.</w:t>
            </w:r>
          </w:p>
          <w:p w14:paraId="65D4A0BC" w14:textId="7EA698B6" w:rsidR="00F34CDB" w:rsidRPr="00F34CDB" w:rsidRDefault="00F34CDB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Saskaņā ar noteikumu Nr.</w:t>
            </w:r>
            <w:r w:rsidR="001A591D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 xml:space="preserve"> </w:t>
            </w: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918 96.</w:t>
            </w:r>
            <w:r w:rsidR="001A591D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 xml:space="preserve"> </w:t>
            </w: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punktu pašvaldībai paliek 70 % ieņēmumu no zvejas tiesību nomas</w:t>
            </w:r>
            <w:r w:rsidR="00692E46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 xml:space="preserve">, pārējie 30 % tiek ieskaitīti </w:t>
            </w:r>
            <w:r w:rsidR="00CB2216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valsts pamatbudžeta ieņēmumos Zivju fonda dotācijas veidošanai</w:t>
            </w: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 xml:space="preserve">. </w:t>
            </w:r>
          </w:p>
        </w:tc>
      </w:tr>
      <w:tr w:rsidR="00F34CDB" w:rsidRPr="00F34CDB" w14:paraId="7BABB39C" w14:textId="77777777" w:rsidTr="00E1332B">
        <w:trPr>
          <w:trHeight w:val="20"/>
        </w:trPr>
        <w:tc>
          <w:tcPr>
            <w:tcW w:w="1497" w:type="pct"/>
            <w:hideMark/>
          </w:tcPr>
          <w:p w14:paraId="6352A04F" w14:textId="32F092A4" w:rsidR="00F34CDB" w:rsidRPr="00F34CDB" w:rsidRDefault="00F34CDB" w:rsidP="00727F63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lang w:val="lv-LV"/>
              </w:rPr>
              <w:t>6.1. detalizēts ieņēmumu aprēķins</w:t>
            </w:r>
          </w:p>
        </w:tc>
        <w:tc>
          <w:tcPr>
            <w:tcW w:w="3503" w:type="pct"/>
            <w:gridSpan w:val="5"/>
            <w:vMerge/>
            <w:hideMark/>
          </w:tcPr>
          <w:p w14:paraId="73DCE0DF" w14:textId="77777777" w:rsidR="00F34CDB" w:rsidRPr="00F34CDB" w:rsidRDefault="00F34CDB" w:rsidP="00727F63">
            <w:pPr>
              <w:ind w:firstLine="301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</w:p>
        </w:tc>
      </w:tr>
      <w:tr w:rsidR="00F34CDB" w:rsidRPr="00F34CDB" w14:paraId="7ABC5BAC" w14:textId="77777777" w:rsidTr="00E1332B">
        <w:trPr>
          <w:trHeight w:val="20"/>
        </w:trPr>
        <w:tc>
          <w:tcPr>
            <w:tcW w:w="1497" w:type="pct"/>
            <w:hideMark/>
          </w:tcPr>
          <w:p w14:paraId="05165765" w14:textId="77777777" w:rsidR="00F34CDB" w:rsidRPr="00F34CDB" w:rsidRDefault="00F34CDB" w:rsidP="00727F63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lang w:val="lv-LV"/>
              </w:rPr>
              <w:t>6.2. detalizēts izdevumu aprēķins</w:t>
            </w:r>
          </w:p>
        </w:tc>
        <w:tc>
          <w:tcPr>
            <w:tcW w:w="3503" w:type="pct"/>
            <w:gridSpan w:val="5"/>
            <w:vMerge/>
            <w:hideMark/>
          </w:tcPr>
          <w:p w14:paraId="45236A93" w14:textId="77777777" w:rsidR="00F34CDB" w:rsidRPr="00F34CDB" w:rsidRDefault="00F34CDB" w:rsidP="00727F63">
            <w:pPr>
              <w:ind w:firstLine="301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</w:p>
        </w:tc>
      </w:tr>
      <w:tr w:rsidR="00F34CDB" w:rsidRPr="00F34CDB" w14:paraId="5064D734" w14:textId="77777777" w:rsidTr="00E1332B">
        <w:trPr>
          <w:trHeight w:val="20"/>
        </w:trPr>
        <w:tc>
          <w:tcPr>
            <w:tcW w:w="1497" w:type="pct"/>
            <w:hideMark/>
          </w:tcPr>
          <w:p w14:paraId="2715C042" w14:textId="77777777" w:rsidR="00F34CDB" w:rsidRPr="00F34CDB" w:rsidRDefault="00F34CDB" w:rsidP="00727F63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lang w:val="lv-LV"/>
              </w:rPr>
              <w:t>7. Cita informācija</w:t>
            </w:r>
          </w:p>
        </w:tc>
        <w:tc>
          <w:tcPr>
            <w:tcW w:w="3503" w:type="pct"/>
            <w:gridSpan w:val="5"/>
            <w:hideMark/>
          </w:tcPr>
          <w:p w14:paraId="087D77AD" w14:textId="77777777" w:rsidR="00F34CDB" w:rsidRPr="00F34CDB" w:rsidRDefault="00F34CDB" w:rsidP="00727F63">
            <w:pPr>
              <w:ind w:firstLine="301"/>
              <w:rPr>
                <w:rFonts w:ascii="Times New Roman" w:hAnsi="Times New Roman"/>
                <w:color w:val="000000" w:themeColor="text1"/>
                <w:sz w:val="24"/>
                <w:lang w:val="lv-LV"/>
              </w:rPr>
            </w:pPr>
            <w:r w:rsidRPr="00F34CDB">
              <w:rPr>
                <w:rFonts w:ascii="Times New Roman" w:hAnsi="Times New Roman"/>
                <w:color w:val="000000" w:themeColor="text1"/>
                <w:sz w:val="24"/>
                <w:lang w:val="lv-LV"/>
              </w:rPr>
              <w:t>Nav.</w:t>
            </w:r>
          </w:p>
        </w:tc>
      </w:tr>
    </w:tbl>
    <w:p w14:paraId="3B9B3617" w14:textId="77777777" w:rsidR="00E01493" w:rsidRPr="00F34CDB" w:rsidRDefault="00E01493" w:rsidP="00E01493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DF64C2" w:rsidRPr="00F265F7" w14:paraId="0A17456D" w14:textId="77777777" w:rsidTr="00D219D3">
        <w:tc>
          <w:tcPr>
            <w:tcW w:w="9498" w:type="dxa"/>
          </w:tcPr>
          <w:p w14:paraId="4C76F163" w14:textId="77777777" w:rsidR="00E01493" w:rsidRPr="00F34CDB" w:rsidRDefault="00875FC2" w:rsidP="001313F8">
            <w:pPr>
              <w:pStyle w:val="naisnod"/>
              <w:spacing w:before="0" w:after="0"/>
              <w:jc w:val="center"/>
              <w:rPr>
                <w:b/>
                <w:szCs w:val="28"/>
              </w:rPr>
            </w:pPr>
            <w:r w:rsidRPr="00F34CDB">
              <w:rPr>
                <w:b/>
                <w:szCs w:val="28"/>
              </w:rPr>
              <w:t>IV. Tiesību akta projekta ietekme uz spēkā esošo tiesību normu sistēmu</w:t>
            </w:r>
          </w:p>
        </w:tc>
      </w:tr>
      <w:tr w:rsidR="00176ACC" w:rsidRPr="00F34CDB" w14:paraId="7EB21A90" w14:textId="77777777" w:rsidTr="00D219D3">
        <w:tc>
          <w:tcPr>
            <w:tcW w:w="9498" w:type="dxa"/>
          </w:tcPr>
          <w:p w14:paraId="73E3A15B" w14:textId="0B3FB8AB" w:rsidR="00176ACC" w:rsidRPr="00F34CDB" w:rsidRDefault="00176ACC" w:rsidP="001313F8">
            <w:pPr>
              <w:pStyle w:val="naisnod"/>
              <w:spacing w:before="0" w:after="0"/>
              <w:jc w:val="center"/>
              <w:rPr>
                <w:b/>
                <w:szCs w:val="28"/>
              </w:rPr>
            </w:pPr>
            <w:r w:rsidRPr="00F34CDB">
              <w:lastRenderedPageBreak/>
              <w:t>Projekts šo jomu neskar.</w:t>
            </w:r>
          </w:p>
        </w:tc>
      </w:tr>
    </w:tbl>
    <w:p w14:paraId="0A7294D5" w14:textId="77777777" w:rsidR="00D80316" w:rsidRPr="00F34CDB" w:rsidRDefault="00D80316" w:rsidP="00D80316">
      <w:pPr>
        <w:jc w:val="both"/>
        <w:rPr>
          <w:sz w:val="2"/>
          <w:lang w:val="lv-LV" w:eastAsia="lv-LV"/>
        </w:rPr>
      </w:pPr>
    </w:p>
    <w:p w14:paraId="68C45A03" w14:textId="77777777" w:rsidR="003E520D" w:rsidRPr="00F34CDB" w:rsidRDefault="003E520D" w:rsidP="003E520D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5241" w:type="pct"/>
        <w:tblInd w:w="-2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8"/>
      </w:tblGrid>
      <w:tr w:rsidR="00DF64C2" w:rsidRPr="00F34CDB" w14:paraId="48F20AB9" w14:textId="77777777" w:rsidTr="00176A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0C7E" w14:textId="77777777" w:rsidR="003E520D" w:rsidRPr="00F34CDB" w:rsidRDefault="00875FC2" w:rsidP="00135391">
            <w:pPr>
              <w:jc w:val="center"/>
              <w:rPr>
                <w:b/>
                <w:bCs/>
                <w:lang w:val="lv-LV"/>
              </w:rPr>
            </w:pPr>
            <w:r w:rsidRPr="00F34CDB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176ACC" w:rsidRPr="00F34CDB" w14:paraId="11C8167C" w14:textId="77777777" w:rsidTr="00176A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4A9A053F" w14:textId="25E0B8CF" w:rsidR="00176ACC" w:rsidRPr="00F34CDB" w:rsidRDefault="00176ACC" w:rsidP="00135391">
            <w:pPr>
              <w:jc w:val="center"/>
              <w:rPr>
                <w:b/>
                <w:bCs/>
                <w:lang w:val="lv-LV"/>
              </w:rPr>
            </w:pPr>
            <w:r w:rsidRPr="00F34CDB">
              <w:rPr>
                <w:lang w:val="lv-LV" w:eastAsia="lv-LV"/>
              </w:rPr>
              <w:t>Projekts šo jomu neskar.</w:t>
            </w:r>
          </w:p>
        </w:tc>
      </w:tr>
    </w:tbl>
    <w:p w14:paraId="2F1B0545" w14:textId="77777777" w:rsidR="003E520D" w:rsidRPr="00F34CDB" w:rsidRDefault="003E520D" w:rsidP="00D80316">
      <w:pPr>
        <w:jc w:val="both"/>
        <w:rPr>
          <w:i/>
          <w:lang w:val="lv-LV"/>
        </w:rPr>
      </w:pPr>
    </w:p>
    <w:tbl>
      <w:tblPr>
        <w:tblW w:w="5245" w:type="pc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"/>
        <w:gridCol w:w="2559"/>
        <w:gridCol w:w="6380"/>
      </w:tblGrid>
      <w:tr w:rsidR="00DF64C2" w:rsidRPr="00F265F7" w14:paraId="661EA089" w14:textId="77777777" w:rsidTr="00D219D3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A6EEA8" w14:textId="77777777" w:rsidR="00A75EE6" w:rsidRPr="00F34CDB" w:rsidRDefault="00875FC2" w:rsidP="00E6792B">
            <w:pPr>
              <w:jc w:val="center"/>
              <w:rPr>
                <w:b/>
                <w:bCs/>
                <w:lang w:val="lv-LV" w:eastAsia="lv-LV"/>
              </w:rPr>
            </w:pPr>
            <w:r w:rsidRPr="00F34CDB">
              <w:rPr>
                <w:b/>
                <w:bCs/>
                <w:lang w:val="lv-LV" w:eastAsia="lv-LV"/>
              </w:rPr>
              <w:t xml:space="preserve">VI. Sabiedrības līdzdalība </w:t>
            </w:r>
            <w:r w:rsidRPr="00F34CDB">
              <w:rPr>
                <w:b/>
                <w:bCs/>
                <w:lang w:val="lv-LV"/>
              </w:rPr>
              <w:t>un komunikācijas aktivitātes</w:t>
            </w:r>
          </w:p>
        </w:tc>
      </w:tr>
      <w:tr w:rsidR="00DF64C2" w:rsidRPr="00F265F7" w14:paraId="0D32BD9B" w14:textId="77777777" w:rsidTr="00D2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 w14:paraId="40018B33" w14:textId="77777777" w:rsidR="00F0575B" w:rsidRPr="00F34CDB" w:rsidRDefault="00875FC2" w:rsidP="009E7E2D">
            <w:pPr>
              <w:pStyle w:val="naiskr"/>
              <w:spacing w:before="0" w:beforeAutospacing="0" w:after="0" w:afterAutospacing="0"/>
            </w:pPr>
            <w:r w:rsidRPr="00F34CDB">
              <w:t>1.</w:t>
            </w:r>
          </w:p>
        </w:tc>
        <w:tc>
          <w:tcPr>
            <w:tcW w:w="1347" w:type="pct"/>
          </w:tcPr>
          <w:p w14:paraId="1645FECB" w14:textId="77777777" w:rsidR="00F0575B" w:rsidRPr="00F34CDB" w:rsidRDefault="00875FC2" w:rsidP="009E7E2D">
            <w:pPr>
              <w:pStyle w:val="naiskr"/>
              <w:spacing w:before="0" w:beforeAutospacing="0" w:after="0" w:afterAutospacing="0"/>
              <w:jc w:val="both"/>
            </w:pPr>
            <w:r w:rsidRPr="00F34CDB">
              <w:t>Plānotās sabiedrības līdzdalības un komunikācijas aktivitātes saistībā ar projektu</w:t>
            </w:r>
          </w:p>
        </w:tc>
        <w:tc>
          <w:tcPr>
            <w:tcW w:w="3358" w:type="pct"/>
          </w:tcPr>
          <w:p w14:paraId="2FC75785" w14:textId="0BA94CAD" w:rsidR="000655C3" w:rsidRPr="00F34CDB" w:rsidRDefault="00CB2216" w:rsidP="009B5887">
            <w:pPr>
              <w:pStyle w:val="naiskr"/>
              <w:spacing w:before="0" w:beforeAutospacing="0" w:after="0" w:afterAutospacing="0"/>
              <w:jc w:val="both"/>
            </w:pPr>
            <w:r>
              <w:t>P</w:t>
            </w:r>
            <w:r w:rsidR="009B5887" w:rsidRPr="00F34CDB">
              <w:t xml:space="preserve">ar noteikumu projektu </w:t>
            </w:r>
            <w:r w:rsidRPr="00F34CDB">
              <w:t xml:space="preserve">30.01.2018. </w:t>
            </w:r>
            <w:r w:rsidR="005224E0">
              <w:t xml:space="preserve">ir </w:t>
            </w:r>
            <w:r w:rsidR="000655C3" w:rsidRPr="00F34CDB">
              <w:t>informēt</w:t>
            </w:r>
            <w:r w:rsidR="005224E0">
              <w:t>a</w:t>
            </w:r>
            <w:r w:rsidR="000655C3" w:rsidRPr="00F34CDB">
              <w:t xml:space="preserve"> Latvijas iekšējo un jūras piekrastes ūdeņu resursu ilgtspējīgas izmantošanas un pārvaldības konsultatīv</w:t>
            </w:r>
            <w:r w:rsidR="005224E0">
              <w:t>ā</w:t>
            </w:r>
            <w:r w:rsidR="000655C3" w:rsidRPr="00F34CDB">
              <w:t xml:space="preserve"> padom</w:t>
            </w:r>
            <w:r w:rsidR="005224E0">
              <w:t>e</w:t>
            </w:r>
            <w:r w:rsidR="000655C3" w:rsidRPr="00F34CDB">
              <w:t>.</w:t>
            </w:r>
          </w:p>
          <w:p w14:paraId="164C6E5E" w14:textId="53533321" w:rsidR="006B3E08" w:rsidRPr="00F34CDB" w:rsidRDefault="00CB2216" w:rsidP="005224E0">
            <w:pPr>
              <w:pStyle w:val="naiskr"/>
              <w:spacing w:before="0" w:beforeAutospacing="0" w:after="0" w:afterAutospacing="0"/>
              <w:jc w:val="both"/>
              <w:rPr>
                <w:iCs/>
              </w:rPr>
            </w:pPr>
            <w:r>
              <w:t>N</w:t>
            </w:r>
            <w:r w:rsidR="000655C3" w:rsidRPr="00F34CDB">
              <w:t xml:space="preserve">oteikumu projektu </w:t>
            </w:r>
            <w:r w:rsidR="00963A69">
              <w:t xml:space="preserve">no š.g. 8. </w:t>
            </w:r>
            <w:r w:rsidR="005B7DB9">
              <w:t>līdz</w:t>
            </w:r>
            <w:r w:rsidR="005224E0">
              <w:t xml:space="preserve"> 16. </w:t>
            </w:r>
            <w:r w:rsidR="009B5887" w:rsidRPr="00F34CDB">
              <w:t>februār</w:t>
            </w:r>
            <w:r w:rsidR="005224E0">
              <w:t>im</w:t>
            </w:r>
            <w:r w:rsidR="009B5887" w:rsidRPr="00F34CDB">
              <w:t xml:space="preserve"> </w:t>
            </w:r>
            <w:r w:rsidR="005B7DB9">
              <w:t>bija</w:t>
            </w:r>
            <w:r w:rsidR="009B5887" w:rsidRPr="00F34CDB">
              <w:t xml:space="preserve"> ievietot</w:t>
            </w:r>
            <w:r w:rsidR="005224E0">
              <w:t>s</w:t>
            </w:r>
            <w:r w:rsidR="009B5887" w:rsidRPr="00F34CDB">
              <w:t xml:space="preserve"> tīmekļa vietnē </w:t>
            </w:r>
            <w:hyperlink r:id="rId8" w:history="1">
              <w:r w:rsidR="005224E0" w:rsidRPr="00472806">
                <w:rPr>
                  <w:rStyle w:val="Hipersaite"/>
                </w:rPr>
                <w:t>www.zm.gov.lv</w:t>
              </w:r>
            </w:hyperlink>
            <w:r w:rsidR="005224E0">
              <w:t xml:space="preserve"> </w:t>
            </w:r>
            <w:r w:rsidR="009B5887" w:rsidRPr="00F34CDB">
              <w:t>sabiedriskajai apspriešanai.</w:t>
            </w:r>
          </w:p>
        </w:tc>
      </w:tr>
      <w:tr w:rsidR="00DF64C2" w:rsidRPr="00F265F7" w14:paraId="62EB2919" w14:textId="77777777" w:rsidTr="00D2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 w14:paraId="6EA09249" w14:textId="77777777" w:rsidR="00AB54C6" w:rsidRPr="00F34CDB" w:rsidRDefault="00875FC2" w:rsidP="00AB54C6">
            <w:pPr>
              <w:pStyle w:val="naiskr"/>
              <w:spacing w:before="0" w:beforeAutospacing="0" w:after="0" w:afterAutospacing="0"/>
            </w:pPr>
            <w:r w:rsidRPr="00F34CDB">
              <w:t>2.</w:t>
            </w:r>
          </w:p>
        </w:tc>
        <w:tc>
          <w:tcPr>
            <w:tcW w:w="1347" w:type="pct"/>
          </w:tcPr>
          <w:p w14:paraId="2118F674" w14:textId="77777777" w:rsidR="00AB54C6" w:rsidRPr="00F34CDB" w:rsidRDefault="00875FC2" w:rsidP="00AB54C6">
            <w:pPr>
              <w:pStyle w:val="naiskr"/>
              <w:spacing w:before="0" w:beforeAutospacing="0" w:after="0" w:afterAutospacing="0"/>
              <w:jc w:val="both"/>
            </w:pPr>
            <w:r w:rsidRPr="00F34CDB">
              <w:t>Sabiedrības līdzdalība projekta izstrādē</w:t>
            </w:r>
          </w:p>
        </w:tc>
        <w:tc>
          <w:tcPr>
            <w:tcW w:w="3358" w:type="pct"/>
          </w:tcPr>
          <w:p w14:paraId="55B38466" w14:textId="39DD63C3" w:rsidR="00CB2216" w:rsidRPr="00F34CDB" w:rsidRDefault="00CC2137" w:rsidP="00CB2216">
            <w:pPr>
              <w:pStyle w:val="naiskr"/>
              <w:spacing w:before="0" w:beforeAutospacing="0" w:after="0" w:afterAutospacing="0"/>
              <w:jc w:val="both"/>
            </w:pPr>
            <w:r w:rsidRPr="00F34CDB">
              <w:t>Latvijas iekšējo un jūras piekrastes ūdeņu resursu ilgtspējīgas izmantošanas un p</w:t>
            </w:r>
            <w:r w:rsidR="000655C3" w:rsidRPr="00F34CDB">
              <w:t>ārvaldības konsultatīv</w:t>
            </w:r>
            <w:r w:rsidR="00E1332B">
              <w:t>ā</w:t>
            </w:r>
            <w:r w:rsidR="000655C3" w:rsidRPr="00F34CDB">
              <w:t xml:space="preserve"> padom</w:t>
            </w:r>
            <w:r w:rsidR="00E1332B">
              <w:t xml:space="preserve">e </w:t>
            </w:r>
            <w:r w:rsidR="00963A69">
              <w:t xml:space="preserve">30.01.2018. sēdē </w:t>
            </w:r>
            <w:r w:rsidR="00E1332B">
              <w:t xml:space="preserve">iepazinās ar noteikumu projekta izstrādes pamatojumu un diskutēja par </w:t>
            </w:r>
            <w:r w:rsidR="005224E0">
              <w:t>sagatavoto</w:t>
            </w:r>
            <w:r w:rsidR="00E1332B">
              <w:t xml:space="preserve"> noteikum</w:t>
            </w:r>
            <w:r w:rsidR="00CB2216">
              <w:t xml:space="preserve">u </w:t>
            </w:r>
            <w:r w:rsidR="005224E0">
              <w:t>projektu.</w:t>
            </w:r>
            <w:r w:rsidR="005B7DB9">
              <w:t xml:space="preserve"> </w:t>
            </w:r>
            <w:r w:rsidR="00CB2216">
              <w:t xml:space="preserve">Sabiedrībai laikā no š.g. </w:t>
            </w:r>
            <w:proofErr w:type="gramStart"/>
            <w:r w:rsidR="00CB2216">
              <w:t>8.februāra</w:t>
            </w:r>
            <w:proofErr w:type="gramEnd"/>
            <w:r w:rsidR="00CB2216">
              <w:t xml:space="preserve"> līdz 16.februārim </w:t>
            </w:r>
            <w:r w:rsidR="00CB2216" w:rsidRPr="00F34CDB">
              <w:t xml:space="preserve">tīmekļa vietnē </w:t>
            </w:r>
            <w:hyperlink r:id="rId9" w:history="1">
              <w:r w:rsidR="00CB2216" w:rsidRPr="00A10F80">
                <w:rPr>
                  <w:rStyle w:val="Hipersaite"/>
                </w:rPr>
                <w:t>www.zm.gov.lv</w:t>
              </w:r>
            </w:hyperlink>
            <w:r w:rsidR="00CB2216">
              <w:t xml:space="preserve"> bija iespēja izteikties par noteikumu projektu un izteikt savus iebildumus vai priekšlikumus tā pilnveidošanai.</w:t>
            </w:r>
          </w:p>
        </w:tc>
      </w:tr>
      <w:tr w:rsidR="00DF64C2" w:rsidRPr="00F265F7" w14:paraId="0A449153" w14:textId="77777777" w:rsidTr="00D2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 w14:paraId="7294A16F" w14:textId="77777777" w:rsidR="00AB54C6" w:rsidRPr="00F34CDB" w:rsidRDefault="00875FC2" w:rsidP="00AB54C6">
            <w:pPr>
              <w:pStyle w:val="naiskr"/>
              <w:spacing w:before="0" w:beforeAutospacing="0" w:after="0" w:afterAutospacing="0"/>
            </w:pPr>
            <w:r w:rsidRPr="00F34CDB">
              <w:t>3.</w:t>
            </w:r>
          </w:p>
        </w:tc>
        <w:tc>
          <w:tcPr>
            <w:tcW w:w="1347" w:type="pct"/>
          </w:tcPr>
          <w:p w14:paraId="4B021B1B" w14:textId="77777777" w:rsidR="00AB54C6" w:rsidRPr="00F34CDB" w:rsidRDefault="00875FC2" w:rsidP="00AB54C6">
            <w:pPr>
              <w:pStyle w:val="naiskr"/>
              <w:spacing w:before="0" w:beforeAutospacing="0" w:after="0" w:afterAutospacing="0"/>
              <w:jc w:val="both"/>
            </w:pPr>
            <w:r w:rsidRPr="00F34CDB">
              <w:t>Sabiedrības līdzdalības rezultāti</w:t>
            </w:r>
          </w:p>
        </w:tc>
        <w:tc>
          <w:tcPr>
            <w:tcW w:w="3358" w:type="pct"/>
          </w:tcPr>
          <w:p w14:paraId="1ADA62F8" w14:textId="33ED21C5" w:rsidR="00AB54C6" w:rsidRDefault="00E1332B" w:rsidP="00CB2216">
            <w:pPr>
              <w:jc w:val="both"/>
              <w:rPr>
                <w:lang w:val="lv-LV"/>
              </w:rPr>
            </w:pPr>
            <w:r w:rsidRPr="00E1332B">
              <w:rPr>
                <w:lang w:val="lv-LV"/>
              </w:rPr>
              <w:t>Latvijas iekšējo un jūras piekrastes ūdeņu resursu ilgtspējīgas izmantošanas un pārvaldības konsultatīvā padome</w:t>
            </w:r>
            <w:r>
              <w:rPr>
                <w:lang w:val="lv-LV"/>
              </w:rPr>
              <w:t xml:space="preserve"> </w:t>
            </w:r>
            <w:r w:rsidR="00CB2216">
              <w:rPr>
                <w:lang w:val="lv-LV"/>
              </w:rPr>
              <w:t>pieņēma zināšanai Madonas novada pašvaldības iniciatīvu un</w:t>
            </w:r>
            <w:r>
              <w:rPr>
                <w:lang w:val="lv-LV"/>
              </w:rPr>
              <w:t xml:space="preserve"> noteikumu projekta izstrādes nepieciešamību</w:t>
            </w:r>
            <w:r w:rsidR="009B5887" w:rsidRPr="00F34CDB">
              <w:rPr>
                <w:lang w:val="lv-LV"/>
              </w:rPr>
              <w:t>.</w:t>
            </w:r>
          </w:p>
          <w:p w14:paraId="2AD6B759" w14:textId="70EE06F8" w:rsidR="00CB2216" w:rsidRPr="00CB2216" w:rsidRDefault="00CB2216" w:rsidP="00CB221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Par </w:t>
            </w:r>
            <w:r w:rsidRPr="00CB2216">
              <w:rPr>
                <w:lang w:val="lv-LV"/>
              </w:rPr>
              <w:t xml:space="preserve">tīmekļa vietnē </w:t>
            </w:r>
            <w:hyperlink r:id="rId10" w:history="1">
              <w:r w:rsidRPr="00CB2216">
                <w:rPr>
                  <w:rStyle w:val="Hipersaite"/>
                  <w:lang w:val="lv-LV"/>
                </w:rPr>
                <w:t>www.zm.gov.lv</w:t>
              </w:r>
            </w:hyperlink>
            <w:r w:rsidRPr="00CB2216">
              <w:rPr>
                <w:lang w:val="lv-LV"/>
              </w:rPr>
              <w:t xml:space="preserve"> ievietoto noteikumu projektu netika saņemti iebildumi vai priek</w:t>
            </w:r>
            <w:r>
              <w:rPr>
                <w:lang w:val="lv-LV"/>
              </w:rPr>
              <w:t>šlikumi.</w:t>
            </w:r>
          </w:p>
        </w:tc>
      </w:tr>
      <w:tr w:rsidR="00DF64C2" w:rsidRPr="00F34CDB" w14:paraId="50008351" w14:textId="77777777" w:rsidTr="00D2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 w14:paraId="0387D547" w14:textId="77777777" w:rsidR="00AB54C6" w:rsidRPr="00F34CDB" w:rsidRDefault="00875FC2" w:rsidP="00AB54C6">
            <w:pPr>
              <w:pStyle w:val="naiskr"/>
              <w:spacing w:before="0" w:beforeAutospacing="0" w:after="0" w:afterAutospacing="0"/>
            </w:pPr>
            <w:r w:rsidRPr="00F34CDB">
              <w:t>4.</w:t>
            </w:r>
          </w:p>
        </w:tc>
        <w:tc>
          <w:tcPr>
            <w:tcW w:w="1347" w:type="pct"/>
          </w:tcPr>
          <w:p w14:paraId="0D0DBA25" w14:textId="77777777" w:rsidR="00AB54C6" w:rsidRPr="00F34CDB" w:rsidRDefault="00875FC2" w:rsidP="00AB54C6">
            <w:pPr>
              <w:pStyle w:val="naiskr"/>
              <w:spacing w:before="0" w:beforeAutospacing="0" w:after="0" w:afterAutospacing="0"/>
              <w:jc w:val="both"/>
            </w:pPr>
            <w:r w:rsidRPr="00F34CDB">
              <w:t>Cita informācija</w:t>
            </w:r>
          </w:p>
        </w:tc>
        <w:tc>
          <w:tcPr>
            <w:tcW w:w="3358" w:type="pct"/>
          </w:tcPr>
          <w:p w14:paraId="62AADD81" w14:textId="77777777" w:rsidR="00AB54C6" w:rsidRPr="00F34CDB" w:rsidRDefault="00875FC2" w:rsidP="00AB54C6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 w:rsidRPr="00F34CDB">
              <w:rPr>
                <w:sz w:val="24"/>
                <w:szCs w:val="24"/>
                <w:lang w:val="lv-LV"/>
              </w:rPr>
              <w:t>Nav.</w:t>
            </w:r>
          </w:p>
        </w:tc>
      </w:tr>
    </w:tbl>
    <w:p w14:paraId="3EBA9204" w14:textId="77777777" w:rsidR="00F0575B" w:rsidRPr="00F34CDB" w:rsidRDefault="00F0575B" w:rsidP="00D80316">
      <w:pPr>
        <w:jc w:val="both"/>
        <w:rPr>
          <w:lang w:val="lv-LV"/>
        </w:rPr>
      </w:pPr>
    </w:p>
    <w:tbl>
      <w:tblPr>
        <w:tblW w:w="9498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364"/>
        <w:gridCol w:w="5566"/>
      </w:tblGrid>
      <w:tr w:rsidR="00DF64C2" w:rsidRPr="00F265F7" w14:paraId="5C44C18B" w14:textId="77777777" w:rsidTr="00D219D3"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808A42" w14:textId="77777777" w:rsidR="00D80316" w:rsidRPr="00F34CDB" w:rsidRDefault="00875FC2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F34CDB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DF64C2" w:rsidRPr="00F34CDB" w14:paraId="2F683E41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C1DAD8" w14:textId="77777777" w:rsidR="00D80316" w:rsidRPr="00F34CDB" w:rsidRDefault="00875FC2" w:rsidP="00880359">
            <w:pPr>
              <w:rPr>
                <w:lang w:val="lv-LV" w:eastAsia="lv-LV"/>
              </w:rPr>
            </w:pPr>
            <w:r w:rsidRPr="00F34CDB">
              <w:rPr>
                <w:lang w:val="lv-LV" w:eastAsia="lv-LV"/>
              </w:rPr>
              <w:t>1.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F57925" w14:textId="77777777" w:rsidR="00D80316" w:rsidRPr="00F34CDB" w:rsidRDefault="00875FC2" w:rsidP="00880359">
            <w:pPr>
              <w:jc w:val="both"/>
              <w:rPr>
                <w:lang w:val="lv-LV" w:eastAsia="lv-LV"/>
              </w:rPr>
            </w:pPr>
            <w:r w:rsidRPr="00F34CDB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550C5" w14:textId="7D490375" w:rsidR="00D80316" w:rsidRPr="00F34CDB" w:rsidRDefault="000655C3" w:rsidP="009B5887">
            <w:pPr>
              <w:pStyle w:val="naiskr"/>
              <w:spacing w:before="0" w:beforeAutospacing="0" w:after="0" w:afterAutospacing="0"/>
              <w:jc w:val="both"/>
            </w:pPr>
            <w:r w:rsidRPr="00F34CDB">
              <w:t>Madonas novada pašvaldība</w:t>
            </w:r>
          </w:p>
        </w:tc>
      </w:tr>
      <w:tr w:rsidR="00DF64C2" w:rsidRPr="00F34CDB" w14:paraId="020433EA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290F4B" w14:textId="77777777" w:rsidR="00D80316" w:rsidRPr="00F34CDB" w:rsidRDefault="00875FC2" w:rsidP="00880359">
            <w:pPr>
              <w:rPr>
                <w:lang w:val="lv-LV" w:eastAsia="lv-LV"/>
              </w:rPr>
            </w:pPr>
            <w:r w:rsidRPr="00F34CDB">
              <w:rPr>
                <w:lang w:val="lv-LV" w:eastAsia="lv-LV"/>
              </w:rPr>
              <w:t>2.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3C8C42" w14:textId="77777777" w:rsidR="00D80316" w:rsidRPr="00F34CDB" w:rsidRDefault="00875FC2" w:rsidP="00880359">
            <w:pPr>
              <w:jc w:val="both"/>
              <w:rPr>
                <w:lang w:val="lv-LV"/>
              </w:rPr>
            </w:pPr>
            <w:r w:rsidRPr="00F34CDB">
              <w:rPr>
                <w:lang w:val="lv-LV"/>
              </w:rPr>
              <w:t xml:space="preserve">Projekta izpildes ietekme uz pārvaldes funkcijām un institucionālo struktūru. </w:t>
            </w:r>
          </w:p>
          <w:p w14:paraId="1CDD9BEB" w14:textId="77777777" w:rsidR="00D80316" w:rsidRPr="00F34CDB" w:rsidRDefault="00875FC2" w:rsidP="00880359">
            <w:pPr>
              <w:jc w:val="both"/>
              <w:rPr>
                <w:lang w:val="lv-LV"/>
              </w:rPr>
            </w:pPr>
            <w:r w:rsidRPr="00F34CDB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B334F9" w14:textId="362897E7" w:rsidR="00D80316" w:rsidRPr="00F34CDB" w:rsidRDefault="00875FC2" w:rsidP="009B5887">
            <w:pPr>
              <w:pStyle w:val="naiskr"/>
              <w:spacing w:before="0" w:beforeAutospacing="0" w:after="0" w:afterAutospacing="0"/>
              <w:jc w:val="both"/>
            </w:pPr>
            <w:r w:rsidRPr="00F34CDB">
              <w:rPr>
                <w:iCs/>
              </w:rPr>
              <w:t>Projekt</w:t>
            </w:r>
            <w:r w:rsidR="009B5887" w:rsidRPr="00F34CDB">
              <w:rPr>
                <w:iCs/>
              </w:rPr>
              <w:t>s</w:t>
            </w:r>
            <w:r w:rsidRPr="00F34CDB">
              <w:rPr>
                <w:iCs/>
              </w:rPr>
              <w:t xml:space="preserve"> šo jomu neskar</w:t>
            </w:r>
            <w:r w:rsidRPr="00F34CDB">
              <w:t>.</w:t>
            </w:r>
          </w:p>
        </w:tc>
      </w:tr>
      <w:tr w:rsidR="00DF64C2" w:rsidRPr="00F34CDB" w14:paraId="7D0C8A59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484A6E" w14:textId="77777777" w:rsidR="00D80316" w:rsidRPr="00F34CDB" w:rsidRDefault="00875FC2" w:rsidP="00880359">
            <w:pPr>
              <w:rPr>
                <w:lang w:val="lv-LV" w:eastAsia="lv-LV"/>
              </w:rPr>
            </w:pPr>
            <w:r w:rsidRPr="00F34CDB">
              <w:rPr>
                <w:lang w:val="lv-LV" w:eastAsia="lv-LV"/>
              </w:rPr>
              <w:t>3.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5C6788" w14:textId="77777777" w:rsidR="00D80316" w:rsidRPr="00F34CDB" w:rsidRDefault="00875FC2" w:rsidP="00880359">
            <w:pPr>
              <w:jc w:val="both"/>
              <w:rPr>
                <w:lang w:val="lv-LV" w:eastAsia="lv-LV"/>
              </w:rPr>
            </w:pPr>
            <w:r w:rsidRPr="00F34CDB">
              <w:rPr>
                <w:lang w:val="lv-LV" w:eastAsia="lv-LV"/>
              </w:rPr>
              <w:t>Cita informācija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FCA9D7" w14:textId="77777777" w:rsidR="00D80316" w:rsidRPr="00F34CDB" w:rsidRDefault="00875FC2" w:rsidP="00880359">
            <w:pPr>
              <w:pStyle w:val="Kjene"/>
              <w:jc w:val="both"/>
              <w:rPr>
                <w:lang w:val="lv-LV"/>
              </w:rPr>
            </w:pPr>
            <w:r w:rsidRPr="00F34CDB">
              <w:rPr>
                <w:lang w:val="lv-LV"/>
              </w:rPr>
              <w:t>Nav</w:t>
            </w:r>
            <w:r w:rsidR="00EE148C" w:rsidRPr="00F34CDB">
              <w:rPr>
                <w:lang w:val="lv-LV"/>
              </w:rPr>
              <w:t>.</w:t>
            </w:r>
          </w:p>
        </w:tc>
      </w:tr>
    </w:tbl>
    <w:p w14:paraId="7CFA7838" w14:textId="77777777" w:rsidR="002E00B2" w:rsidRDefault="002E00B2" w:rsidP="00D80316">
      <w:pPr>
        <w:pStyle w:val="naisf"/>
        <w:spacing w:before="0" w:beforeAutospacing="0" w:after="0" w:afterAutospacing="0"/>
        <w:rPr>
          <w:sz w:val="20"/>
          <w:szCs w:val="28"/>
          <w:lang w:val="lv-LV"/>
        </w:rPr>
      </w:pPr>
    </w:p>
    <w:p w14:paraId="64A3EF03" w14:textId="77777777" w:rsidR="00F265F7" w:rsidRDefault="00F265F7" w:rsidP="00D80316">
      <w:pPr>
        <w:pStyle w:val="naisf"/>
        <w:spacing w:before="0" w:beforeAutospacing="0" w:after="0" w:afterAutospacing="0"/>
        <w:rPr>
          <w:sz w:val="20"/>
          <w:szCs w:val="28"/>
          <w:lang w:val="lv-LV"/>
        </w:rPr>
      </w:pPr>
    </w:p>
    <w:p w14:paraId="001542DA" w14:textId="77777777" w:rsidR="00F265F7" w:rsidRPr="00F34CDB" w:rsidRDefault="00F265F7" w:rsidP="00D80316">
      <w:pPr>
        <w:pStyle w:val="naisf"/>
        <w:spacing w:before="0" w:beforeAutospacing="0" w:after="0" w:afterAutospacing="0"/>
        <w:rPr>
          <w:sz w:val="20"/>
          <w:szCs w:val="28"/>
          <w:lang w:val="lv-LV"/>
        </w:rPr>
      </w:pPr>
    </w:p>
    <w:p w14:paraId="659D16BA" w14:textId="7440069A" w:rsidR="00D80316" w:rsidRPr="00F34CDB" w:rsidRDefault="00875FC2" w:rsidP="00840ADE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F34CDB">
        <w:rPr>
          <w:sz w:val="28"/>
          <w:szCs w:val="28"/>
          <w:lang w:val="lv-LV"/>
        </w:rPr>
        <w:t>Zemkopības ministrs</w:t>
      </w:r>
      <w:r w:rsidRPr="00F34CDB">
        <w:rPr>
          <w:sz w:val="28"/>
          <w:szCs w:val="28"/>
          <w:lang w:val="lv-LV"/>
        </w:rPr>
        <w:tab/>
      </w:r>
      <w:r w:rsidRPr="00F34CDB">
        <w:rPr>
          <w:sz w:val="28"/>
          <w:szCs w:val="28"/>
          <w:lang w:val="lv-LV"/>
        </w:rPr>
        <w:tab/>
      </w:r>
      <w:r w:rsidRPr="00F34CDB">
        <w:rPr>
          <w:sz w:val="28"/>
          <w:szCs w:val="28"/>
          <w:lang w:val="lv-LV"/>
        </w:rPr>
        <w:tab/>
      </w:r>
      <w:r w:rsidRPr="00F34CDB">
        <w:rPr>
          <w:sz w:val="28"/>
          <w:szCs w:val="28"/>
          <w:lang w:val="lv-LV"/>
        </w:rPr>
        <w:tab/>
      </w:r>
      <w:r w:rsidRPr="00F34CDB">
        <w:rPr>
          <w:sz w:val="28"/>
          <w:szCs w:val="28"/>
          <w:lang w:val="lv-LV"/>
        </w:rPr>
        <w:tab/>
      </w:r>
      <w:r w:rsidRPr="00F34CDB">
        <w:rPr>
          <w:sz w:val="28"/>
          <w:szCs w:val="28"/>
          <w:lang w:val="lv-LV"/>
        </w:rPr>
        <w:tab/>
        <w:t>Jānis Dūklavs</w:t>
      </w:r>
    </w:p>
    <w:p w14:paraId="567DCC03" w14:textId="458761D5" w:rsidR="00D80316" w:rsidRDefault="00D80316" w:rsidP="00840ADE">
      <w:pPr>
        <w:ind w:firstLine="720"/>
        <w:jc w:val="both"/>
        <w:rPr>
          <w:szCs w:val="28"/>
          <w:lang w:val="lv-LV"/>
        </w:rPr>
      </w:pPr>
    </w:p>
    <w:p w14:paraId="13484ED6" w14:textId="77777777" w:rsidR="00F265F7" w:rsidRDefault="00F265F7" w:rsidP="00840ADE">
      <w:pPr>
        <w:ind w:firstLine="720"/>
        <w:jc w:val="both"/>
        <w:rPr>
          <w:szCs w:val="28"/>
          <w:lang w:val="lv-LV"/>
        </w:rPr>
      </w:pPr>
    </w:p>
    <w:p w14:paraId="58051A64" w14:textId="35BE67E1" w:rsidR="00F265F7" w:rsidRPr="00F265F7" w:rsidRDefault="00F265F7" w:rsidP="00840ADE">
      <w:pPr>
        <w:ind w:firstLine="720"/>
        <w:jc w:val="both"/>
        <w:rPr>
          <w:sz w:val="28"/>
          <w:szCs w:val="28"/>
          <w:lang w:val="lv-LV"/>
        </w:rPr>
      </w:pPr>
      <w:r w:rsidRPr="00F265F7">
        <w:rPr>
          <w:sz w:val="28"/>
          <w:szCs w:val="28"/>
          <w:lang w:val="lv-LV"/>
        </w:rPr>
        <w:t>Zemkopības ministrijas valsts sekret</w:t>
      </w:r>
      <w:r>
        <w:rPr>
          <w:sz w:val="28"/>
          <w:szCs w:val="28"/>
          <w:lang w:val="lv-LV"/>
        </w:rPr>
        <w:t>āre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F265F7">
        <w:rPr>
          <w:sz w:val="28"/>
          <w:szCs w:val="28"/>
          <w:lang w:val="lv-LV"/>
        </w:rPr>
        <w:tab/>
        <w:t>Dace Lucaua</w:t>
      </w:r>
    </w:p>
    <w:p w14:paraId="78678B5A" w14:textId="15F3866D" w:rsidR="0013483A" w:rsidRPr="00F34CDB" w:rsidRDefault="0013483A" w:rsidP="00D80316">
      <w:pPr>
        <w:jc w:val="both"/>
        <w:rPr>
          <w:sz w:val="20"/>
          <w:szCs w:val="20"/>
          <w:lang w:val="lv-LV"/>
        </w:rPr>
      </w:pPr>
    </w:p>
    <w:p w14:paraId="248A1602" w14:textId="77777777" w:rsidR="002E00B2" w:rsidRDefault="002E00B2" w:rsidP="00D80316">
      <w:pPr>
        <w:jc w:val="both"/>
        <w:rPr>
          <w:sz w:val="20"/>
          <w:szCs w:val="20"/>
          <w:lang w:val="lv-LV"/>
        </w:rPr>
      </w:pPr>
    </w:p>
    <w:p w14:paraId="4AB242DE" w14:textId="77777777" w:rsidR="00F265F7" w:rsidRPr="00F34CDB" w:rsidRDefault="00F265F7" w:rsidP="00D80316">
      <w:pPr>
        <w:jc w:val="both"/>
        <w:rPr>
          <w:sz w:val="20"/>
          <w:szCs w:val="20"/>
          <w:lang w:val="lv-LV"/>
        </w:rPr>
      </w:pPr>
    </w:p>
    <w:p w14:paraId="2E3E3B85" w14:textId="77279080" w:rsidR="00EC7302" w:rsidRPr="00F34CDB" w:rsidRDefault="000655C3" w:rsidP="00EC7302">
      <w:pPr>
        <w:rPr>
          <w:lang w:val="lv-LV"/>
        </w:rPr>
      </w:pPr>
      <w:r w:rsidRPr="00F34CDB">
        <w:rPr>
          <w:lang w:val="lv-LV"/>
        </w:rPr>
        <w:t>Bārtule</w:t>
      </w:r>
      <w:r w:rsidR="00EC7302" w:rsidRPr="00F34CDB">
        <w:rPr>
          <w:lang w:val="lv-LV"/>
        </w:rPr>
        <w:t xml:space="preserve"> </w:t>
      </w:r>
      <w:r w:rsidRPr="00F34CDB">
        <w:rPr>
          <w:lang w:val="lv-LV"/>
        </w:rPr>
        <w:t>67027525</w:t>
      </w:r>
    </w:p>
    <w:p w14:paraId="0C278FF1" w14:textId="122823EB" w:rsidR="00D80316" w:rsidRPr="00F34CDB" w:rsidRDefault="000655C3" w:rsidP="00EC7302">
      <w:pPr>
        <w:rPr>
          <w:lang w:val="lv-LV"/>
        </w:rPr>
      </w:pPr>
      <w:r w:rsidRPr="00F34CDB">
        <w:rPr>
          <w:lang w:val="lv-LV"/>
        </w:rPr>
        <w:t>inese.bartule</w:t>
      </w:r>
      <w:r w:rsidR="00EC7302" w:rsidRPr="00F34CDB">
        <w:rPr>
          <w:lang w:val="lv-LV"/>
        </w:rPr>
        <w:t>@zm.gov.lv</w:t>
      </w:r>
      <w:bookmarkStart w:id="4" w:name="_GoBack"/>
      <w:bookmarkEnd w:id="4"/>
    </w:p>
    <w:sectPr w:rsidR="00D80316" w:rsidRPr="00F34CDB" w:rsidSect="00F265F7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7F464" w14:textId="77777777" w:rsidR="00727F63" w:rsidRDefault="00727F63">
      <w:r>
        <w:separator/>
      </w:r>
    </w:p>
  </w:endnote>
  <w:endnote w:type="continuationSeparator" w:id="0">
    <w:p w14:paraId="6E77793E" w14:textId="77777777" w:rsidR="00727F63" w:rsidRDefault="0072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E39F1" w14:textId="08327893" w:rsidR="00727F63" w:rsidRPr="00F265F7" w:rsidRDefault="00F265F7" w:rsidP="00F265F7">
    <w:pPr>
      <w:pStyle w:val="Kjene"/>
    </w:pPr>
    <w:r w:rsidRPr="00F265F7">
      <w:rPr>
        <w:sz w:val="20"/>
        <w:szCs w:val="20"/>
      </w:rPr>
      <w:t>ZManot_190218_zvejaieks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3A97D" w14:textId="22A46A4D" w:rsidR="00727F63" w:rsidRPr="00F265F7" w:rsidRDefault="00F265F7" w:rsidP="00F265F7">
    <w:pPr>
      <w:pStyle w:val="Kjene"/>
    </w:pPr>
    <w:r w:rsidRPr="00F265F7">
      <w:rPr>
        <w:sz w:val="20"/>
        <w:szCs w:val="20"/>
      </w:rPr>
      <w:t>ZManot_190218_zvejaieks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C82B5" w14:textId="77777777" w:rsidR="00727F63" w:rsidRDefault="00727F63">
      <w:r>
        <w:separator/>
      </w:r>
    </w:p>
  </w:footnote>
  <w:footnote w:type="continuationSeparator" w:id="0">
    <w:p w14:paraId="538CA594" w14:textId="77777777" w:rsidR="00727F63" w:rsidRDefault="0072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71655"/>
      <w:docPartObj>
        <w:docPartGallery w:val="Page Numbers (Top of Page)"/>
        <w:docPartUnique/>
      </w:docPartObj>
    </w:sdtPr>
    <w:sdtEndPr/>
    <w:sdtContent>
      <w:p w14:paraId="4585CCCB" w14:textId="4D54DA1B" w:rsidR="00727F63" w:rsidRDefault="00727F63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5F7" w:rsidRPr="00F265F7">
          <w:rPr>
            <w:noProof/>
            <w:lang w:val="lv-LV"/>
          </w:rPr>
          <w:t>4</w:t>
        </w:r>
        <w:r>
          <w:fldChar w:fldCharType="end"/>
        </w:r>
      </w:p>
    </w:sdtContent>
  </w:sdt>
  <w:p w14:paraId="390E6003" w14:textId="77777777" w:rsidR="00727F63" w:rsidRDefault="00727F6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89B"/>
    <w:multiLevelType w:val="hybridMultilevel"/>
    <w:tmpl w:val="A6D60DBE"/>
    <w:lvl w:ilvl="0" w:tplc="35B6F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EF8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223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AD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474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4A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C8C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C5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4B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A3"/>
    <w:multiLevelType w:val="hybridMultilevel"/>
    <w:tmpl w:val="967C9142"/>
    <w:lvl w:ilvl="0" w:tplc="13D4181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18EF44E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15A6CFC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AA1A2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6A8A3E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91266A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B4C7EF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C7C82B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6FC054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F26A80"/>
    <w:multiLevelType w:val="hybridMultilevel"/>
    <w:tmpl w:val="D4427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B10"/>
    <w:multiLevelType w:val="hybridMultilevel"/>
    <w:tmpl w:val="B3F8D1F2"/>
    <w:lvl w:ilvl="0" w:tplc="6788281C">
      <w:start w:val="1"/>
      <w:numFmt w:val="decimal"/>
      <w:lvlText w:val="%1)"/>
      <w:lvlJc w:val="left"/>
      <w:pPr>
        <w:ind w:left="1429" w:hanging="360"/>
      </w:pPr>
    </w:lvl>
    <w:lvl w:ilvl="1" w:tplc="1A44184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C1B003F8" w:tentative="1">
      <w:start w:val="1"/>
      <w:numFmt w:val="lowerRoman"/>
      <w:lvlText w:val="%3."/>
      <w:lvlJc w:val="right"/>
      <w:pPr>
        <w:ind w:left="2869" w:hanging="180"/>
      </w:pPr>
    </w:lvl>
    <w:lvl w:ilvl="3" w:tplc="92265554" w:tentative="1">
      <w:start w:val="1"/>
      <w:numFmt w:val="decimal"/>
      <w:lvlText w:val="%4."/>
      <w:lvlJc w:val="left"/>
      <w:pPr>
        <w:ind w:left="3589" w:hanging="360"/>
      </w:pPr>
    </w:lvl>
    <w:lvl w:ilvl="4" w:tplc="E2BCD20A" w:tentative="1">
      <w:start w:val="1"/>
      <w:numFmt w:val="lowerLetter"/>
      <w:lvlText w:val="%5."/>
      <w:lvlJc w:val="left"/>
      <w:pPr>
        <w:ind w:left="4309" w:hanging="360"/>
      </w:pPr>
    </w:lvl>
    <w:lvl w:ilvl="5" w:tplc="4DEA8C58" w:tentative="1">
      <w:start w:val="1"/>
      <w:numFmt w:val="lowerRoman"/>
      <w:lvlText w:val="%6."/>
      <w:lvlJc w:val="right"/>
      <w:pPr>
        <w:ind w:left="5029" w:hanging="180"/>
      </w:pPr>
    </w:lvl>
    <w:lvl w:ilvl="6" w:tplc="84403368" w:tentative="1">
      <w:start w:val="1"/>
      <w:numFmt w:val="decimal"/>
      <w:lvlText w:val="%7."/>
      <w:lvlJc w:val="left"/>
      <w:pPr>
        <w:ind w:left="5749" w:hanging="360"/>
      </w:pPr>
    </w:lvl>
    <w:lvl w:ilvl="7" w:tplc="9738A6EC" w:tentative="1">
      <w:start w:val="1"/>
      <w:numFmt w:val="lowerLetter"/>
      <w:lvlText w:val="%8."/>
      <w:lvlJc w:val="left"/>
      <w:pPr>
        <w:ind w:left="6469" w:hanging="360"/>
      </w:pPr>
    </w:lvl>
    <w:lvl w:ilvl="8" w:tplc="18FA9FE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21D92"/>
    <w:multiLevelType w:val="hybridMultilevel"/>
    <w:tmpl w:val="5F5223DA"/>
    <w:lvl w:ilvl="0" w:tplc="8EEA1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2FC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1EC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85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6B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187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0A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63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04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5F88"/>
    <w:multiLevelType w:val="hybridMultilevel"/>
    <w:tmpl w:val="5FC69512"/>
    <w:lvl w:ilvl="0" w:tplc="0DBC4C0E">
      <w:start w:val="1"/>
      <w:numFmt w:val="decimal"/>
      <w:lvlText w:val="%1."/>
      <w:lvlJc w:val="left"/>
      <w:pPr>
        <w:ind w:left="1429" w:hanging="360"/>
      </w:pPr>
    </w:lvl>
    <w:lvl w:ilvl="1" w:tplc="308CC1D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239EE3FC" w:tentative="1">
      <w:start w:val="1"/>
      <w:numFmt w:val="lowerRoman"/>
      <w:lvlText w:val="%3."/>
      <w:lvlJc w:val="right"/>
      <w:pPr>
        <w:ind w:left="2869" w:hanging="180"/>
      </w:pPr>
    </w:lvl>
    <w:lvl w:ilvl="3" w:tplc="EDB26BFC" w:tentative="1">
      <w:start w:val="1"/>
      <w:numFmt w:val="decimal"/>
      <w:lvlText w:val="%4."/>
      <w:lvlJc w:val="left"/>
      <w:pPr>
        <w:ind w:left="3589" w:hanging="360"/>
      </w:pPr>
    </w:lvl>
    <w:lvl w:ilvl="4" w:tplc="3CF63872" w:tentative="1">
      <w:start w:val="1"/>
      <w:numFmt w:val="lowerLetter"/>
      <w:lvlText w:val="%5."/>
      <w:lvlJc w:val="left"/>
      <w:pPr>
        <w:ind w:left="4309" w:hanging="360"/>
      </w:pPr>
    </w:lvl>
    <w:lvl w:ilvl="5" w:tplc="BCF0B710" w:tentative="1">
      <w:start w:val="1"/>
      <w:numFmt w:val="lowerRoman"/>
      <w:lvlText w:val="%6."/>
      <w:lvlJc w:val="right"/>
      <w:pPr>
        <w:ind w:left="5029" w:hanging="180"/>
      </w:pPr>
    </w:lvl>
    <w:lvl w:ilvl="6" w:tplc="6A1AF76A" w:tentative="1">
      <w:start w:val="1"/>
      <w:numFmt w:val="decimal"/>
      <w:lvlText w:val="%7."/>
      <w:lvlJc w:val="left"/>
      <w:pPr>
        <w:ind w:left="5749" w:hanging="360"/>
      </w:pPr>
    </w:lvl>
    <w:lvl w:ilvl="7" w:tplc="2F22B25E" w:tentative="1">
      <w:start w:val="1"/>
      <w:numFmt w:val="lowerLetter"/>
      <w:lvlText w:val="%8."/>
      <w:lvlJc w:val="left"/>
      <w:pPr>
        <w:ind w:left="6469" w:hanging="360"/>
      </w:pPr>
    </w:lvl>
    <w:lvl w:ilvl="8" w:tplc="69EAC29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9A248D"/>
    <w:multiLevelType w:val="hybridMultilevel"/>
    <w:tmpl w:val="0A76B6B6"/>
    <w:lvl w:ilvl="0" w:tplc="71E4964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392EBD4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C752477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0DCF47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E620BE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D4AB35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D84CDD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6A8D6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3C4AF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CE5C7E"/>
    <w:multiLevelType w:val="hybridMultilevel"/>
    <w:tmpl w:val="18E0A796"/>
    <w:lvl w:ilvl="0" w:tplc="00EA8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8B7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AEBF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4AA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09F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16E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2B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0B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824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34471"/>
    <w:multiLevelType w:val="hybridMultilevel"/>
    <w:tmpl w:val="238C3002"/>
    <w:lvl w:ilvl="0" w:tplc="AE2662D0">
      <w:start w:val="1"/>
      <w:numFmt w:val="decimal"/>
      <w:lvlText w:val="%1."/>
      <w:lvlJc w:val="left"/>
      <w:pPr>
        <w:ind w:left="846" w:hanging="420"/>
      </w:pPr>
    </w:lvl>
    <w:lvl w:ilvl="1" w:tplc="22FEE934">
      <w:start w:val="1"/>
      <w:numFmt w:val="lowerLetter"/>
      <w:lvlText w:val="%2."/>
      <w:lvlJc w:val="left"/>
      <w:pPr>
        <w:ind w:left="1506" w:hanging="360"/>
      </w:pPr>
    </w:lvl>
    <w:lvl w:ilvl="2" w:tplc="1464A85E">
      <w:start w:val="1"/>
      <w:numFmt w:val="lowerRoman"/>
      <w:lvlText w:val="%3."/>
      <w:lvlJc w:val="right"/>
      <w:pPr>
        <w:ind w:left="2226" w:hanging="180"/>
      </w:pPr>
    </w:lvl>
    <w:lvl w:ilvl="3" w:tplc="B9DEEA6A">
      <w:start w:val="1"/>
      <w:numFmt w:val="decimal"/>
      <w:lvlText w:val="%4."/>
      <w:lvlJc w:val="left"/>
      <w:pPr>
        <w:ind w:left="2946" w:hanging="360"/>
      </w:pPr>
    </w:lvl>
    <w:lvl w:ilvl="4" w:tplc="AC224474">
      <w:start w:val="1"/>
      <w:numFmt w:val="lowerLetter"/>
      <w:lvlText w:val="%5."/>
      <w:lvlJc w:val="left"/>
      <w:pPr>
        <w:ind w:left="3666" w:hanging="360"/>
      </w:pPr>
    </w:lvl>
    <w:lvl w:ilvl="5" w:tplc="A2D2D6D0">
      <w:start w:val="1"/>
      <w:numFmt w:val="lowerRoman"/>
      <w:lvlText w:val="%6."/>
      <w:lvlJc w:val="right"/>
      <w:pPr>
        <w:ind w:left="4386" w:hanging="180"/>
      </w:pPr>
    </w:lvl>
    <w:lvl w:ilvl="6" w:tplc="923EC3B8">
      <w:start w:val="1"/>
      <w:numFmt w:val="decimal"/>
      <w:lvlText w:val="%7."/>
      <w:lvlJc w:val="left"/>
      <w:pPr>
        <w:ind w:left="5106" w:hanging="360"/>
      </w:pPr>
    </w:lvl>
    <w:lvl w:ilvl="7" w:tplc="26AACB38">
      <w:start w:val="1"/>
      <w:numFmt w:val="lowerLetter"/>
      <w:lvlText w:val="%8."/>
      <w:lvlJc w:val="left"/>
      <w:pPr>
        <w:ind w:left="5826" w:hanging="360"/>
      </w:pPr>
    </w:lvl>
    <w:lvl w:ilvl="8" w:tplc="C77A1C6E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CAE2D92"/>
    <w:multiLevelType w:val="hybridMultilevel"/>
    <w:tmpl w:val="E7BA62DA"/>
    <w:lvl w:ilvl="0" w:tplc="AF18C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CEC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67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8D2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449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BAA5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C8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46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70C4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94E77"/>
    <w:multiLevelType w:val="hybridMultilevel"/>
    <w:tmpl w:val="0D0616C2"/>
    <w:lvl w:ilvl="0" w:tplc="14C63D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D48815E" w:tentative="1">
      <w:start w:val="1"/>
      <w:numFmt w:val="lowerLetter"/>
      <w:lvlText w:val="%2."/>
      <w:lvlJc w:val="left"/>
      <w:pPr>
        <w:ind w:left="1440" w:hanging="360"/>
      </w:pPr>
    </w:lvl>
    <w:lvl w:ilvl="2" w:tplc="94FE3956" w:tentative="1">
      <w:start w:val="1"/>
      <w:numFmt w:val="lowerRoman"/>
      <w:lvlText w:val="%3."/>
      <w:lvlJc w:val="right"/>
      <w:pPr>
        <w:ind w:left="2160" w:hanging="180"/>
      </w:pPr>
    </w:lvl>
    <w:lvl w:ilvl="3" w:tplc="E9923C10" w:tentative="1">
      <w:start w:val="1"/>
      <w:numFmt w:val="decimal"/>
      <w:lvlText w:val="%4."/>
      <w:lvlJc w:val="left"/>
      <w:pPr>
        <w:ind w:left="2880" w:hanging="360"/>
      </w:pPr>
    </w:lvl>
    <w:lvl w:ilvl="4" w:tplc="85F20D5E" w:tentative="1">
      <w:start w:val="1"/>
      <w:numFmt w:val="lowerLetter"/>
      <w:lvlText w:val="%5."/>
      <w:lvlJc w:val="left"/>
      <w:pPr>
        <w:ind w:left="3600" w:hanging="360"/>
      </w:pPr>
    </w:lvl>
    <w:lvl w:ilvl="5" w:tplc="49DA7E90" w:tentative="1">
      <w:start w:val="1"/>
      <w:numFmt w:val="lowerRoman"/>
      <w:lvlText w:val="%6."/>
      <w:lvlJc w:val="right"/>
      <w:pPr>
        <w:ind w:left="4320" w:hanging="180"/>
      </w:pPr>
    </w:lvl>
    <w:lvl w:ilvl="6" w:tplc="F822C384" w:tentative="1">
      <w:start w:val="1"/>
      <w:numFmt w:val="decimal"/>
      <w:lvlText w:val="%7."/>
      <w:lvlJc w:val="left"/>
      <w:pPr>
        <w:ind w:left="5040" w:hanging="360"/>
      </w:pPr>
    </w:lvl>
    <w:lvl w:ilvl="7" w:tplc="3188B908" w:tentative="1">
      <w:start w:val="1"/>
      <w:numFmt w:val="lowerLetter"/>
      <w:lvlText w:val="%8."/>
      <w:lvlJc w:val="left"/>
      <w:pPr>
        <w:ind w:left="5760" w:hanging="360"/>
      </w:pPr>
    </w:lvl>
    <w:lvl w:ilvl="8" w:tplc="19203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511FC"/>
    <w:multiLevelType w:val="hybridMultilevel"/>
    <w:tmpl w:val="2DA6862C"/>
    <w:lvl w:ilvl="0" w:tplc="30882284">
      <w:start w:val="1"/>
      <w:numFmt w:val="decimal"/>
      <w:lvlText w:val="%1."/>
      <w:lvlJc w:val="left"/>
      <w:pPr>
        <w:ind w:left="1429" w:hanging="360"/>
      </w:pPr>
    </w:lvl>
    <w:lvl w:ilvl="1" w:tplc="AF18C2C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24DEBE28" w:tentative="1">
      <w:start w:val="1"/>
      <w:numFmt w:val="lowerRoman"/>
      <w:lvlText w:val="%3."/>
      <w:lvlJc w:val="right"/>
      <w:pPr>
        <w:ind w:left="2869" w:hanging="180"/>
      </w:pPr>
    </w:lvl>
    <w:lvl w:ilvl="3" w:tplc="B80AF38A" w:tentative="1">
      <w:start w:val="1"/>
      <w:numFmt w:val="decimal"/>
      <w:lvlText w:val="%4."/>
      <w:lvlJc w:val="left"/>
      <w:pPr>
        <w:ind w:left="3589" w:hanging="360"/>
      </w:pPr>
    </w:lvl>
    <w:lvl w:ilvl="4" w:tplc="A97EC5F4" w:tentative="1">
      <w:start w:val="1"/>
      <w:numFmt w:val="lowerLetter"/>
      <w:lvlText w:val="%5."/>
      <w:lvlJc w:val="left"/>
      <w:pPr>
        <w:ind w:left="4309" w:hanging="360"/>
      </w:pPr>
    </w:lvl>
    <w:lvl w:ilvl="5" w:tplc="9D765454" w:tentative="1">
      <w:start w:val="1"/>
      <w:numFmt w:val="lowerRoman"/>
      <w:lvlText w:val="%6."/>
      <w:lvlJc w:val="right"/>
      <w:pPr>
        <w:ind w:left="5029" w:hanging="180"/>
      </w:pPr>
    </w:lvl>
    <w:lvl w:ilvl="6" w:tplc="6F88319A" w:tentative="1">
      <w:start w:val="1"/>
      <w:numFmt w:val="decimal"/>
      <w:lvlText w:val="%7."/>
      <w:lvlJc w:val="left"/>
      <w:pPr>
        <w:ind w:left="5749" w:hanging="360"/>
      </w:pPr>
    </w:lvl>
    <w:lvl w:ilvl="7" w:tplc="5A2CE376" w:tentative="1">
      <w:start w:val="1"/>
      <w:numFmt w:val="lowerLetter"/>
      <w:lvlText w:val="%8."/>
      <w:lvlJc w:val="left"/>
      <w:pPr>
        <w:ind w:left="6469" w:hanging="360"/>
      </w:pPr>
    </w:lvl>
    <w:lvl w:ilvl="8" w:tplc="A8BA555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B37180"/>
    <w:multiLevelType w:val="hybridMultilevel"/>
    <w:tmpl w:val="FAECEC84"/>
    <w:lvl w:ilvl="0" w:tplc="972E3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BFEC3DE" w:tentative="1">
      <w:start w:val="1"/>
      <w:numFmt w:val="lowerLetter"/>
      <w:lvlText w:val="%2."/>
      <w:lvlJc w:val="left"/>
      <w:pPr>
        <w:ind w:left="1800" w:hanging="360"/>
      </w:pPr>
    </w:lvl>
    <w:lvl w:ilvl="2" w:tplc="A0C2A9B4" w:tentative="1">
      <w:start w:val="1"/>
      <w:numFmt w:val="lowerRoman"/>
      <w:lvlText w:val="%3."/>
      <w:lvlJc w:val="right"/>
      <w:pPr>
        <w:ind w:left="2520" w:hanging="180"/>
      </w:pPr>
    </w:lvl>
    <w:lvl w:ilvl="3" w:tplc="E3ACBB48" w:tentative="1">
      <w:start w:val="1"/>
      <w:numFmt w:val="decimal"/>
      <w:lvlText w:val="%4."/>
      <w:lvlJc w:val="left"/>
      <w:pPr>
        <w:ind w:left="3240" w:hanging="360"/>
      </w:pPr>
    </w:lvl>
    <w:lvl w:ilvl="4" w:tplc="6ECAC0E6" w:tentative="1">
      <w:start w:val="1"/>
      <w:numFmt w:val="lowerLetter"/>
      <w:lvlText w:val="%5."/>
      <w:lvlJc w:val="left"/>
      <w:pPr>
        <w:ind w:left="3960" w:hanging="360"/>
      </w:pPr>
    </w:lvl>
    <w:lvl w:ilvl="5" w:tplc="B4E8B608" w:tentative="1">
      <w:start w:val="1"/>
      <w:numFmt w:val="lowerRoman"/>
      <w:lvlText w:val="%6."/>
      <w:lvlJc w:val="right"/>
      <w:pPr>
        <w:ind w:left="4680" w:hanging="180"/>
      </w:pPr>
    </w:lvl>
    <w:lvl w:ilvl="6" w:tplc="FEF820C4" w:tentative="1">
      <w:start w:val="1"/>
      <w:numFmt w:val="decimal"/>
      <w:lvlText w:val="%7."/>
      <w:lvlJc w:val="left"/>
      <w:pPr>
        <w:ind w:left="5400" w:hanging="360"/>
      </w:pPr>
    </w:lvl>
    <w:lvl w:ilvl="7" w:tplc="7DFCBFA6" w:tentative="1">
      <w:start w:val="1"/>
      <w:numFmt w:val="lowerLetter"/>
      <w:lvlText w:val="%8."/>
      <w:lvlJc w:val="left"/>
      <w:pPr>
        <w:ind w:left="6120" w:hanging="360"/>
      </w:pPr>
    </w:lvl>
    <w:lvl w:ilvl="8" w:tplc="CCBCFA4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C9722A"/>
    <w:multiLevelType w:val="hybridMultilevel"/>
    <w:tmpl w:val="0BA4D07E"/>
    <w:lvl w:ilvl="0" w:tplc="9A728030">
      <w:start w:val="1"/>
      <w:numFmt w:val="decimal"/>
      <w:lvlText w:val="%1)"/>
      <w:lvlJc w:val="left"/>
      <w:pPr>
        <w:ind w:left="720" w:hanging="360"/>
      </w:pPr>
    </w:lvl>
    <w:lvl w:ilvl="1" w:tplc="3BBCEA4E" w:tentative="1">
      <w:start w:val="1"/>
      <w:numFmt w:val="lowerLetter"/>
      <w:lvlText w:val="%2."/>
      <w:lvlJc w:val="left"/>
      <w:pPr>
        <w:ind w:left="1440" w:hanging="360"/>
      </w:pPr>
    </w:lvl>
    <w:lvl w:ilvl="2" w:tplc="785A9004" w:tentative="1">
      <w:start w:val="1"/>
      <w:numFmt w:val="lowerRoman"/>
      <w:lvlText w:val="%3."/>
      <w:lvlJc w:val="right"/>
      <w:pPr>
        <w:ind w:left="2160" w:hanging="180"/>
      </w:pPr>
    </w:lvl>
    <w:lvl w:ilvl="3" w:tplc="7598C034" w:tentative="1">
      <w:start w:val="1"/>
      <w:numFmt w:val="decimal"/>
      <w:lvlText w:val="%4."/>
      <w:lvlJc w:val="left"/>
      <w:pPr>
        <w:ind w:left="2880" w:hanging="360"/>
      </w:pPr>
    </w:lvl>
    <w:lvl w:ilvl="4" w:tplc="03B0B068" w:tentative="1">
      <w:start w:val="1"/>
      <w:numFmt w:val="lowerLetter"/>
      <w:lvlText w:val="%5."/>
      <w:lvlJc w:val="left"/>
      <w:pPr>
        <w:ind w:left="3600" w:hanging="360"/>
      </w:pPr>
    </w:lvl>
    <w:lvl w:ilvl="5" w:tplc="35DCB90A" w:tentative="1">
      <w:start w:val="1"/>
      <w:numFmt w:val="lowerRoman"/>
      <w:lvlText w:val="%6."/>
      <w:lvlJc w:val="right"/>
      <w:pPr>
        <w:ind w:left="4320" w:hanging="180"/>
      </w:pPr>
    </w:lvl>
    <w:lvl w:ilvl="6" w:tplc="6CFA33FA" w:tentative="1">
      <w:start w:val="1"/>
      <w:numFmt w:val="decimal"/>
      <w:lvlText w:val="%7."/>
      <w:lvlJc w:val="left"/>
      <w:pPr>
        <w:ind w:left="5040" w:hanging="360"/>
      </w:pPr>
    </w:lvl>
    <w:lvl w:ilvl="7" w:tplc="4F468BC6" w:tentative="1">
      <w:start w:val="1"/>
      <w:numFmt w:val="lowerLetter"/>
      <w:lvlText w:val="%8."/>
      <w:lvlJc w:val="left"/>
      <w:pPr>
        <w:ind w:left="5760" w:hanging="360"/>
      </w:pPr>
    </w:lvl>
    <w:lvl w:ilvl="8" w:tplc="C5F029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679EC"/>
    <w:multiLevelType w:val="hybridMultilevel"/>
    <w:tmpl w:val="0A6C358C"/>
    <w:lvl w:ilvl="0" w:tplc="8B1AD4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B886386" w:tentative="1">
      <w:start w:val="1"/>
      <w:numFmt w:val="lowerLetter"/>
      <w:lvlText w:val="%2."/>
      <w:lvlJc w:val="left"/>
      <w:pPr>
        <w:ind w:left="1800" w:hanging="360"/>
      </w:pPr>
    </w:lvl>
    <w:lvl w:ilvl="2" w:tplc="9356C972" w:tentative="1">
      <w:start w:val="1"/>
      <w:numFmt w:val="lowerRoman"/>
      <w:lvlText w:val="%3."/>
      <w:lvlJc w:val="right"/>
      <w:pPr>
        <w:ind w:left="2520" w:hanging="180"/>
      </w:pPr>
    </w:lvl>
    <w:lvl w:ilvl="3" w:tplc="B47EBD20" w:tentative="1">
      <w:start w:val="1"/>
      <w:numFmt w:val="decimal"/>
      <w:lvlText w:val="%4."/>
      <w:lvlJc w:val="left"/>
      <w:pPr>
        <w:ind w:left="3240" w:hanging="360"/>
      </w:pPr>
    </w:lvl>
    <w:lvl w:ilvl="4" w:tplc="10FCD70A" w:tentative="1">
      <w:start w:val="1"/>
      <w:numFmt w:val="lowerLetter"/>
      <w:lvlText w:val="%5."/>
      <w:lvlJc w:val="left"/>
      <w:pPr>
        <w:ind w:left="3960" w:hanging="360"/>
      </w:pPr>
    </w:lvl>
    <w:lvl w:ilvl="5" w:tplc="31501038" w:tentative="1">
      <w:start w:val="1"/>
      <w:numFmt w:val="lowerRoman"/>
      <w:lvlText w:val="%6."/>
      <w:lvlJc w:val="right"/>
      <w:pPr>
        <w:ind w:left="4680" w:hanging="180"/>
      </w:pPr>
    </w:lvl>
    <w:lvl w:ilvl="6" w:tplc="A3D0F108" w:tentative="1">
      <w:start w:val="1"/>
      <w:numFmt w:val="decimal"/>
      <w:lvlText w:val="%7."/>
      <w:lvlJc w:val="left"/>
      <w:pPr>
        <w:ind w:left="5400" w:hanging="360"/>
      </w:pPr>
    </w:lvl>
    <w:lvl w:ilvl="7" w:tplc="43FA33F0" w:tentative="1">
      <w:start w:val="1"/>
      <w:numFmt w:val="lowerLetter"/>
      <w:lvlText w:val="%8."/>
      <w:lvlJc w:val="left"/>
      <w:pPr>
        <w:ind w:left="6120" w:hanging="360"/>
      </w:pPr>
    </w:lvl>
    <w:lvl w:ilvl="8" w:tplc="C58C226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13"/>
  </w:num>
  <w:num w:numId="7">
    <w:abstractNumId w:val="12"/>
  </w:num>
  <w:num w:numId="8">
    <w:abstractNumId w:val="4"/>
  </w:num>
  <w:num w:numId="9">
    <w:abstractNumId w:val="9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30"/>
    <w:rsid w:val="00000E1F"/>
    <w:rsid w:val="00001A74"/>
    <w:rsid w:val="00004162"/>
    <w:rsid w:val="00010AF2"/>
    <w:rsid w:val="00014351"/>
    <w:rsid w:val="00015525"/>
    <w:rsid w:val="00015A58"/>
    <w:rsid w:val="0002028D"/>
    <w:rsid w:val="000242A9"/>
    <w:rsid w:val="00024A66"/>
    <w:rsid w:val="000314B0"/>
    <w:rsid w:val="00034655"/>
    <w:rsid w:val="00041055"/>
    <w:rsid w:val="000416C2"/>
    <w:rsid w:val="00042DF7"/>
    <w:rsid w:val="00045C9A"/>
    <w:rsid w:val="000462C8"/>
    <w:rsid w:val="000510C8"/>
    <w:rsid w:val="00054D5C"/>
    <w:rsid w:val="000655C3"/>
    <w:rsid w:val="000661DB"/>
    <w:rsid w:val="00071D89"/>
    <w:rsid w:val="00075949"/>
    <w:rsid w:val="00077B73"/>
    <w:rsid w:val="00080973"/>
    <w:rsid w:val="00081ED6"/>
    <w:rsid w:val="000824E9"/>
    <w:rsid w:val="00087001"/>
    <w:rsid w:val="00090BC5"/>
    <w:rsid w:val="00094606"/>
    <w:rsid w:val="000972B4"/>
    <w:rsid w:val="000A458A"/>
    <w:rsid w:val="000A5382"/>
    <w:rsid w:val="000B18B0"/>
    <w:rsid w:val="000B4F3E"/>
    <w:rsid w:val="000B76A7"/>
    <w:rsid w:val="000B7717"/>
    <w:rsid w:val="000C294B"/>
    <w:rsid w:val="000C712B"/>
    <w:rsid w:val="000C77DE"/>
    <w:rsid w:val="000D0F89"/>
    <w:rsid w:val="000D4C09"/>
    <w:rsid w:val="000D5490"/>
    <w:rsid w:val="000E2E3D"/>
    <w:rsid w:val="000E332A"/>
    <w:rsid w:val="000E5296"/>
    <w:rsid w:val="00102859"/>
    <w:rsid w:val="001240F7"/>
    <w:rsid w:val="00126F3D"/>
    <w:rsid w:val="001313F8"/>
    <w:rsid w:val="00134040"/>
    <w:rsid w:val="0013483A"/>
    <w:rsid w:val="00135391"/>
    <w:rsid w:val="00136860"/>
    <w:rsid w:val="00136E0F"/>
    <w:rsid w:val="00141446"/>
    <w:rsid w:val="0014272B"/>
    <w:rsid w:val="00142BC2"/>
    <w:rsid w:val="001432B9"/>
    <w:rsid w:val="00146693"/>
    <w:rsid w:val="00150491"/>
    <w:rsid w:val="00164781"/>
    <w:rsid w:val="00171F83"/>
    <w:rsid w:val="001736B5"/>
    <w:rsid w:val="0017524A"/>
    <w:rsid w:val="001753C2"/>
    <w:rsid w:val="00176ACC"/>
    <w:rsid w:val="00182264"/>
    <w:rsid w:val="00182F0D"/>
    <w:rsid w:val="001900FD"/>
    <w:rsid w:val="00193540"/>
    <w:rsid w:val="0019562E"/>
    <w:rsid w:val="001A591D"/>
    <w:rsid w:val="001A5B25"/>
    <w:rsid w:val="001B02AA"/>
    <w:rsid w:val="001B6611"/>
    <w:rsid w:val="001C48EB"/>
    <w:rsid w:val="001D0F73"/>
    <w:rsid w:val="001D1250"/>
    <w:rsid w:val="001D1E94"/>
    <w:rsid w:val="001D299B"/>
    <w:rsid w:val="001D4771"/>
    <w:rsid w:val="001E0CBC"/>
    <w:rsid w:val="001E7AF5"/>
    <w:rsid w:val="001E7D24"/>
    <w:rsid w:val="001F07C1"/>
    <w:rsid w:val="001F19ED"/>
    <w:rsid w:val="001F3BF0"/>
    <w:rsid w:val="001F5F46"/>
    <w:rsid w:val="001F6CE5"/>
    <w:rsid w:val="0020098E"/>
    <w:rsid w:val="00201F66"/>
    <w:rsid w:val="00202138"/>
    <w:rsid w:val="002131EC"/>
    <w:rsid w:val="002136CB"/>
    <w:rsid w:val="00223E45"/>
    <w:rsid w:val="00234B17"/>
    <w:rsid w:val="002374CB"/>
    <w:rsid w:val="0024348A"/>
    <w:rsid w:val="00256513"/>
    <w:rsid w:val="002651EF"/>
    <w:rsid w:val="00280218"/>
    <w:rsid w:val="0028195D"/>
    <w:rsid w:val="002915EA"/>
    <w:rsid w:val="002927B0"/>
    <w:rsid w:val="0029349F"/>
    <w:rsid w:val="002A3120"/>
    <w:rsid w:val="002A4500"/>
    <w:rsid w:val="002A5645"/>
    <w:rsid w:val="002A7285"/>
    <w:rsid w:val="002B0984"/>
    <w:rsid w:val="002C5620"/>
    <w:rsid w:val="002D1C3C"/>
    <w:rsid w:val="002D3D03"/>
    <w:rsid w:val="002D6755"/>
    <w:rsid w:val="002D7E3E"/>
    <w:rsid w:val="002E00B2"/>
    <w:rsid w:val="002E32AA"/>
    <w:rsid w:val="002E461D"/>
    <w:rsid w:val="002E5AB4"/>
    <w:rsid w:val="002F1D06"/>
    <w:rsid w:val="002F28DE"/>
    <w:rsid w:val="002F3F4A"/>
    <w:rsid w:val="002F5B9D"/>
    <w:rsid w:val="002F5BC9"/>
    <w:rsid w:val="00301FBB"/>
    <w:rsid w:val="0030271D"/>
    <w:rsid w:val="003053DE"/>
    <w:rsid w:val="00306624"/>
    <w:rsid w:val="00306A90"/>
    <w:rsid w:val="00315F49"/>
    <w:rsid w:val="0032224B"/>
    <w:rsid w:val="003226D5"/>
    <w:rsid w:val="00324015"/>
    <w:rsid w:val="00334E30"/>
    <w:rsid w:val="00335460"/>
    <w:rsid w:val="00336A6A"/>
    <w:rsid w:val="00337202"/>
    <w:rsid w:val="0033787A"/>
    <w:rsid w:val="0034042A"/>
    <w:rsid w:val="003415CF"/>
    <w:rsid w:val="00347F8C"/>
    <w:rsid w:val="00352392"/>
    <w:rsid w:val="00354934"/>
    <w:rsid w:val="00355629"/>
    <w:rsid w:val="00362129"/>
    <w:rsid w:val="00362435"/>
    <w:rsid w:val="00363A58"/>
    <w:rsid w:val="003642E8"/>
    <w:rsid w:val="00372414"/>
    <w:rsid w:val="00376FD0"/>
    <w:rsid w:val="00384D6B"/>
    <w:rsid w:val="00390C59"/>
    <w:rsid w:val="00395B1C"/>
    <w:rsid w:val="00396498"/>
    <w:rsid w:val="00396675"/>
    <w:rsid w:val="003A5A33"/>
    <w:rsid w:val="003B0077"/>
    <w:rsid w:val="003B1D39"/>
    <w:rsid w:val="003B358A"/>
    <w:rsid w:val="003B7046"/>
    <w:rsid w:val="003C502A"/>
    <w:rsid w:val="003C7A93"/>
    <w:rsid w:val="003C7EF8"/>
    <w:rsid w:val="003D2D63"/>
    <w:rsid w:val="003D4DD7"/>
    <w:rsid w:val="003D58FB"/>
    <w:rsid w:val="003E520D"/>
    <w:rsid w:val="003E7FAF"/>
    <w:rsid w:val="003F0ADD"/>
    <w:rsid w:val="003F1060"/>
    <w:rsid w:val="003F6D9F"/>
    <w:rsid w:val="00400CA9"/>
    <w:rsid w:val="00402823"/>
    <w:rsid w:val="0040375C"/>
    <w:rsid w:val="00411DDA"/>
    <w:rsid w:val="00412BF8"/>
    <w:rsid w:val="00415046"/>
    <w:rsid w:val="00415B44"/>
    <w:rsid w:val="00416038"/>
    <w:rsid w:val="00416342"/>
    <w:rsid w:val="00416EE1"/>
    <w:rsid w:val="00417ECB"/>
    <w:rsid w:val="004271C4"/>
    <w:rsid w:val="00427E20"/>
    <w:rsid w:val="00430082"/>
    <w:rsid w:val="00432340"/>
    <w:rsid w:val="004353C5"/>
    <w:rsid w:val="0043578A"/>
    <w:rsid w:val="004371D2"/>
    <w:rsid w:val="00441EC7"/>
    <w:rsid w:val="0044286F"/>
    <w:rsid w:val="00443DC8"/>
    <w:rsid w:val="00447224"/>
    <w:rsid w:val="00450054"/>
    <w:rsid w:val="00452098"/>
    <w:rsid w:val="00454857"/>
    <w:rsid w:val="00461218"/>
    <w:rsid w:val="00466611"/>
    <w:rsid w:val="0048015F"/>
    <w:rsid w:val="004816BF"/>
    <w:rsid w:val="00485A7F"/>
    <w:rsid w:val="00487BD7"/>
    <w:rsid w:val="0049242B"/>
    <w:rsid w:val="00493336"/>
    <w:rsid w:val="00494041"/>
    <w:rsid w:val="00496781"/>
    <w:rsid w:val="004A0F32"/>
    <w:rsid w:val="004A73C8"/>
    <w:rsid w:val="004B2C61"/>
    <w:rsid w:val="004B58B8"/>
    <w:rsid w:val="004C7B06"/>
    <w:rsid w:val="004D07DB"/>
    <w:rsid w:val="004E0DB1"/>
    <w:rsid w:val="004E269C"/>
    <w:rsid w:val="004F2443"/>
    <w:rsid w:val="004F39DF"/>
    <w:rsid w:val="004F45EE"/>
    <w:rsid w:val="004F4CA0"/>
    <w:rsid w:val="004F52B0"/>
    <w:rsid w:val="004F537D"/>
    <w:rsid w:val="004F7917"/>
    <w:rsid w:val="005028A1"/>
    <w:rsid w:val="00517E4C"/>
    <w:rsid w:val="0052049A"/>
    <w:rsid w:val="00521049"/>
    <w:rsid w:val="005218F8"/>
    <w:rsid w:val="005224E0"/>
    <w:rsid w:val="00524246"/>
    <w:rsid w:val="00526D53"/>
    <w:rsid w:val="00527CA5"/>
    <w:rsid w:val="00537317"/>
    <w:rsid w:val="00537825"/>
    <w:rsid w:val="00541CCE"/>
    <w:rsid w:val="00545C0F"/>
    <w:rsid w:val="005507FE"/>
    <w:rsid w:val="005606B9"/>
    <w:rsid w:val="00564C7D"/>
    <w:rsid w:val="00567094"/>
    <w:rsid w:val="00582F02"/>
    <w:rsid w:val="005836BF"/>
    <w:rsid w:val="00583B97"/>
    <w:rsid w:val="00586D50"/>
    <w:rsid w:val="00591B01"/>
    <w:rsid w:val="005936C3"/>
    <w:rsid w:val="0059488D"/>
    <w:rsid w:val="005A61EE"/>
    <w:rsid w:val="005A632C"/>
    <w:rsid w:val="005B6403"/>
    <w:rsid w:val="005B7B09"/>
    <w:rsid w:val="005B7DB9"/>
    <w:rsid w:val="005C164C"/>
    <w:rsid w:val="005C36BE"/>
    <w:rsid w:val="005C652B"/>
    <w:rsid w:val="005D187C"/>
    <w:rsid w:val="005D4119"/>
    <w:rsid w:val="005D4E29"/>
    <w:rsid w:val="005E3161"/>
    <w:rsid w:val="005E6C44"/>
    <w:rsid w:val="005F03F5"/>
    <w:rsid w:val="005F29F7"/>
    <w:rsid w:val="005F2D55"/>
    <w:rsid w:val="0060528B"/>
    <w:rsid w:val="00612B74"/>
    <w:rsid w:val="006154DC"/>
    <w:rsid w:val="006171BC"/>
    <w:rsid w:val="00631F20"/>
    <w:rsid w:val="006332DD"/>
    <w:rsid w:val="00635548"/>
    <w:rsid w:val="00641578"/>
    <w:rsid w:val="00645EB5"/>
    <w:rsid w:val="0064629C"/>
    <w:rsid w:val="0065045B"/>
    <w:rsid w:val="00654849"/>
    <w:rsid w:val="00655AD7"/>
    <w:rsid w:val="00656A44"/>
    <w:rsid w:val="006620A2"/>
    <w:rsid w:val="00663EBD"/>
    <w:rsid w:val="0066595C"/>
    <w:rsid w:val="006661BE"/>
    <w:rsid w:val="006679B1"/>
    <w:rsid w:val="00672E24"/>
    <w:rsid w:val="00673E6F"/>
    <w:rsid w:val="0067663F"/>
    <w:rsid w:val="00680F42"/>
    <w:rsid w:val="0068661D"/>
    <w:rsid w:val="00692E46"/>
    <w:rsid w:val="00693977"/>
    <w:rsid w:val="006949AD"/>
    <w:rsid w:val="006952DD"/>
    <w:rsid w:val="00696704"/>
    <w:rsid w:val="00696E02"/>
    <w:rsid w:val="00697874"/>
    <w:rsid w:val="006A0C96"/>
    <w:rsid w:val="006A2F67"/>
    <w:rsid w:val="006A655D"/>
    <w:rsid w:val="006A7AF3"/>
    <w:rsid w:val="006B3E08"/>
    <w:rsid w:val="006C2C1C"/>
    <w:rsid w:val="006D049F"/>
    <w:rsid w:val="006D6923"/>
    <w:rsid w:val="006D73A3"/>
    <w:rsid w:val="006E3A81"/>
    <w:rsid w:val="006E56CA"/>
    <w:rsid w:val="006E56EC"/>
    <w:rsid w:val="006E5FF3"/>
    <w:rsid w:val="006F60C7"/>
    <w:rsid w:val="00702C3F"/>
    <w:rsid w:val="007066BA"/>
    <w:rsid w:val="007069DA"/>
    <w:rsid w:val="00707EBD"/>
    <w:rsid w:val="007141AE"/>
    <w:rsid w:val="00715655"/>
    <w:rsid w:val="00715AF2"/>
    <w:rsid w:val="00722230"/>
    <w:rsid w:val="007238CD"/>
    <w:rsid w:val="00727F63"/>
    <w:rsid w:val="00731BCA"/>
    <w:rsid w:val="007346E3"/>
    <w:rsid w:val="00734A11"/>
    <w:rsid w:val="00740021"/>
    <w:rsid w:val="00740E88"/>
    <w:rsid w:val="007412C6"/>
    <w:rsid w:val="00746573"/>
    <w:rsid w:val="00746943"/>
    <w:rsid w:val="007470FD"/>
    <w:rsid w:val="00752E64"/>
    <w:rsid w:val="007616D1"/>
    <w:rsid w:val="007700BE"/>
    <w:rsid w:val="00774547"/>
    <w:rsid w:val="00776135"/>
    <w:rsid w:val="00782B91"/>
    <w:rsid w:val="0078663D"/>
    <w:rsid w:val="007866C4"/>
    <w:rsid w:val="0079317B"/>
    <w:rsid w:val="007959A0"/>
    <w:rsid w:val="00797078"/>
    <w:rsid w:val="007A65B3"/>
    <w:rsid w:val="007D62E1"/>
    <w:rsid w:val="007E3B48"/>
    <w:rsid w:val="007E53CD"/>
    <w:rsid w:val="007E5CB4"/>
    <w:rsid w:val="007F4F05"/>
    <w:rsid w:val="007F7011"/>
    <w:rsid w:val="007F7086"/>
    <w:rsid w:val="007F7585"/>
    <w:rsid w:val="00801BA9"/>
    <w:rsid w:val="008020EF"/>
    <w:rsid w:val="00804BD4"/>
    <w:rsid w:val="008051DF"/>
    <w:rsid w:val="00812FD5"/>
    <w:rsid w:val="008146C9"/>
    <w:rsid w:val="00815DF2"/>
    <w:rsid w:val="00821A1E"/>
    <w:rsid w:val="00825BCC"/>
    <w:rsid w:val="00825FE1"/>
    <w:rsid w:val="0083273E"/>
    <w:rsid w:val="00834575"/>
    <w:rsid w:val="00837FC6"/>
    <w:rsid w:val="00840ADE"/>
    <w:rsid w:val="00841A51"/>
    <w:rsid w:val="00843F6E"/>
    <w:rsid w:val="00844118"/>
    <w:rsid w:val="00844E06"/>
    <w:rsid w:val="00852C49"/>
    <w:rsid w:val="00852E92"/>
    <w:rsid w:val="00853AF1"/>
    <w:rsid w:val="00854A33"/>
    <w:rsid w:val="008560B1"/>
    <w:rsid w:val="008613BB"/>
    <w:rsid w:val="00862788"/>
    <w:rsid w:val="00863919"/>
    <w:rsid w:val="00863F2F"/>
    <w:rsid w:val="00865A92"/>
    <w:rsid w:val="00872216"/>
    <w:rsid w:val="008736D5"/>
    <w:rsid w:val="0087397A"/>
    <w:rsid w:val="00875FC2"/>
    <w:rsid w:val="00880359"/>
    <w:rsid w:val="008815B4"/>
    <w:rsid w:val="008869E5"/>
    <w:rsid w:val="00887E5A"/>
    <w:rsid w:val="00892144"/>
    <w:rsid w:val="00892E12"/>
    <w:rsid w:val="008952A8"/>
    <w:rsid w:val="008A3716"/>
    <w:rsid w:val="008A4C6E"/>
    <w:rsid w:val="008C1508"/>
    <w:rsid w:val="008D3BCD"/>
    <w:rsid w:val="008D6010"/>
    <w:rsid w:val="008E0B75"/>
    <w:rsid w:val="008E4C67"/>
    <w:rsid w:val="008E7AD0"/>
    <w:rsid w:val="008F48A1"/>
    <w:rsid w:val="009015FE"/>
    <w:rsid w:val="0090631A"/>
    <w:rsid w:val="0091373B"/>
    <w:rsid w:val="00916DAA"/>
    <w:rsid w:val="00921EC8"/>
    <w:rsid w:val="00924E0D"/>
    <w:rsid w:val="00925D64"/>
    <w:rsid w:val="00930D0B"/>
    <w:rsid w:val="0093279B"/>
    <w:rsid w:val="00932817"/>
    <w:rsid w:val="00934FF1"/>
    <w:rsid w:val="00940F1A"/>
    <w:rsid w:val="00946244"/>
    <w:rsid w:val="00946E40"/>
    <w:rsid w:val="00947FC1"/>
    <w:rsid w:val="00950BBC"/>
    <w:rsid w:val="00951FA9"/>
    <w:rsid w:val="00960F21"/>
    <w:rsid w:val="009628E0"/>
    <w:rsid w:val="00963A69"/>
    <w:rsid w:val="00965E4B"/>
    <w:rsid w:val="009865D0"/>
    <w:rsid w:val="00991594"/>
    <w:rsid w:val="00994F9D"/>
    <w:rsid w:val="009953C0"/>
    <w:rsid w:val="00996671"/>
    <w:rsid w:val="009A22FD"/>
    <w:rsid w:val="009A794A"/>
    <w:rsid w:val="009B0583"/>
    <w:rsid w:val="009B1FF7"/>
    <w:rsid w:val="009B3493"/>
    <w:rsid w:val="009B5887"/>
    <w:rsid w:val="009B741E"/>
    <w:rsid w:val="009C0F67"/>
    <w:rsid w:val="009C4E7B"/>
    <w:rsid w:val="009C5289"/>
    <w:rsid w:val="009C5EFA"/>
    <w:rsid w:val="009D157A"/>
    <w:rsid w:val="009D1972"/>
    <w:rsid w:val="009D3BCE"/>
    <w:rsid w:val="009D3CF3"/>
    <w:rsid w:val="009D6C6F"/>
    <w:rsid w:val="009D7EF2"/>
    <w:rsid w:val="009E14BD"/>
    <w:rsid w:val="009E438A"/>
    <w:rsid w:val="009E7CFA"/>
    <w:rsid w:val="009E7E2D"/>
    <w:rsid w:val="009F5B05"/>
    <w:rsid w:val="00A0030E"/>
    <w:rsid w:val="00A1485A"/>
    <w:rsid w:val="00A1538A"/>
    <w:rsid w:val="00A16241"/>
    <w:rsid w:val="00A1738A"/>
    <w:rsid w:val="00A378AC"/>
    <w:rsid w:val="00A50F4D"/>
    <w:rsid w:val="00A63DF8"/>
    <w:rsid w:val="00A642F1"/>
    <w:rsid w:val="00A6575E"/>
    <w:rsid w:val="00A67EA0"/>
    <w:rsid w:val="00A75EE6"/>
    <w:rsid w:val="00A91B78"/>
    <w:rsid w:val="00A92200"/>
    <w:rsid w:val="00A92BD7"/>
    <w:rsid w:val="00A970FB"/>
    <w:rsid w:val="00AA12D6"/>
    <w:rsid w:val="00AA1F59"/>
    <w:rsid w:val="00AB03D0"/>
    <w:rsid w:val="00AB54C6"/>
    <w:rsid w:val="00AC3B20"/>
    <w:rsid w:val="00AC54AC"/>
    <w:rsid w:val="00AD3E31"/>
    <w:rsid w:val="00AD679A"/>
    <w:rsid w:val="00AD6E82"/>
    <w:rsid w:val="00AE119B"/>
    <w:rsid w:val="00AE32C8"/>
    <w:rsid w:val="00AF1442"/>
    <w:rsid w:val="00AF7067"/>
    <w:rsid w:val="00B03F77"/>
    <w:rsid w:val="00B0745B"/>
    <w:rsid w:val="00B162CB"/>
    <w:rsid w:val="00B212FB"/>
    <w:rsid w:val="00B40603"/>
    <w:rsid w:val="00B45B5E"/>
    <w:rsid w:val="00B474CB"/>
    <w:rsid w:val="00B50EF5"/>
    <w:rsid w:val="00B54ADF"/>
    <w:rsid w:val="00B568AC"/>
    <w:rsid w:val="00B5730C"/>
    <w:rsid w:val="00B71ECC"/>
    <w:rsid w:val="00B7717C"/>
    <w:rsid w:val="00B84ED2"/>
    <w:rsid w:val="00B87203"/>
    <w:rsid w:val="00B87C86"/>
    <w:rsid w:val="00B92142"/>
    <w:rsid w:val="00B9567C"/>
    <w:rsid w:val="00B979B6"/>
    <w:rsid w:val="00B97ECE"/>
    <w:rsid w:val="00BA09FF"/>
    <w:rsid w:val="00BA3EF1"/>
    <w:rsid w:val="00BB065B"/>
    <w:rsid w:val="00BB275E"/>
    <w:rsid w:val="00BB2973"/>
    <w:rsid w:val="00BB462F"/>
    <w:rsid w:val="00BB6A1F"/>
    <w:rsid w:val="00BB7DEF"/>
    <w:rsid w:val="00BC00BB"/>
    <w:rsid w:val="00BC5690"/>
    <w:rsid w:val="00BC7DEB"/>
    <w:rsid w:val="00BD1ECD"/>
    <w:rsid w:val="00BE21A9"/>
    <w:rsid w:val="00BE488A"/>
    <w:rsid w:val="00BE731C"/>
    <w:rsid w:val="00BF6500"/>
    <w:rsid w:val="00C004F0"/>
    <w:rsid w:val="00C00DB2"/>
    <w:rsid w:val="00C02846"/>
    <w:rsid w:val="00C03C8C"/>
    <w:rsid w:val="00C05A03"/>
    <w:rsid w:val="00C0677B"/>
    <w:rsid w:val="00C25021"/>
    <w:rsid w:val="00C271F3"/>
    <w:rsid w:val="00C37BF9"/>
    <w:rsid w:val="00C411AB"/>
    <w:rsid w:val="00C4440C"/>
    <w:rsid w:val="00C44A77"/>
    <w:rsid w:val="00C51CB8"/>
    <w:rsid w:val="00C51F85"/>
    <w:rsid w:val="00C53A33"/>
    <w:rsid w:val="00C54606"/>
    <w:rsid w:val="00C60EE9"/>
    <w:rsid w:val="00C6110C"/>
    <w:rsid w:val="00C62C37"/>
    <w:rsid w:val="00C679A0"/>
    <w:rsid w:val="00C7257A"/>
    <w:rsid w:val="00C76A06"/>
    <w:rsid w:val="00C8752A"/>
    <w:rsid w:val="00C90A67"/>
    <w:rsid w:val="00C916A2"/>
    <w:rsid w:val="00C94025"/>
    <w:rsid w:val="00C97B95"/>
    <w:rsid w:val="00CA1A10"/>
    <w:rsid w:val="00CA21C0"/>
    <w:rsid w:val="00CA6F62"/>
    <w:rsid w:val="00CB20E0"/>
    <w:rsid w:val="00CB2216"/>
    <w:rsid w:val="00CB5D94"/>
    <w:rsid w:val="00CB6D13"/>
    <w:rsid w:val="00CC0595"/>
    <w:rsid w:val="00CC2137"/>
    <w:rsid w:val="00CC4C39"/>
    <w:rsid w:val="00CC4EF6"/>
    <w:rsid w:val="00CC767B"/>
    <w:rsid w:val="00CD1E0E"/>
    <w:rsid w:val="00CD5335"/>
    <w:rsid w:val="00CE2077"/>
    <w:rsid w:val="00CE54F8"/>
    <w:rsid w:val="00CE68B9"/>
    <w:rsid w:val="00CE744F"/>
    <w:rsid w:val="00CF1522"/>
    <w:rsid w:val="00CF2A22"/>
    <w:rsid w:val="00CF3042"/>
    <w:rsid w:val="00D01B4D"/>
    <w:rsid w:val="00D04236"/>
    <w:rsid w:val="00D11A0D"/>
    <w:rsid w:val="00D219D3"/>
    <w:rsid w:val="00D248C5"/>
    <w:rsid w:val="00D31E5A"/>
    <w:rsid w:val="00D3651A"/>
    <w:rsid w:val="00D36CD2"/>
    <w:rsid w:val="00D46E60"/>
    <w:rsid w:val="00D47520"/>
    <w:rsid w:val="00D51A01"/>
    <w:rsid w:val="00D55434"/>
    <w:rsid w:val="00D57A35"/>
    <w:rsid w:val="00D7654D"/>
    <w:rsid w:val="00D80316"/>
    <w:rsid w:val="00D9509E"/>
    <w:rsid w:val="00DA1927"/>
    <w:rsid w:val="00DA36DC"/>
    <w:rsid w:val="00DA4CA4"/>
    <w:rsid w:val="00DA6F88"/>
    <w:rsid w:val="00DA7456"/>
    <w:rsid w:val="00DB04CD"/>
    <w:rsid w:val="00DB0D62"/>
    <w:rsid w:val="00DC445A"/>
    <w:rsid w:val="00DC5A0D"/>
    <w:rsid w:val="00DC751F"/>
    <w:rsid w:val="00DD194C"/>
    <w:rsid w:val="00DD3147"/>
    <w:rsid w:val="00DD50CC"/>
    <w:rsid w:val="00DD7368"/>
    <w:rsid w:val="00DE0A79"/>
    <w:rsid w:val="00DE24EC"/>
    <w:rsid w:val="00DE629F"/>
    <w:rsid w:val="00DF4EB4"/>
    <w:rsid w:val="00DF6319"/>
    <w:rsid w:val="00DF64C2"/>
    <w:rsid w:val="00DF6F64"/>
    <w:rsid w:val="00DF7F40"/>
    <w:rsid w:val="00E01493"/>
    <w:rsid w:val="00E03ED2"/>
    <w:rsid w:val="00E04CB3"/>
    <w:rsid w:val="00E11F82"/>
    <w:rsid w:val="00E1332B"/>
    <w:rsid w:val="00E141E5"/>
    <w:rsid w:val="00E16289"/>
    <w:rsid w:val="00E1733F"/>
    <w:rsid w:val="00E21FDC"/>
    <w:rsid w:val="00E24719"/>
    <w:rsid w:val="00E2760A"/>
    <w:rsid w:val="00E27B93"/>
    <w:rsid w:val="00E303D3"/>
    <w:rsid w:val="00E309DF"/>
    <w:rsid w:val="00E35288"/>
    <w:rsid w:val="00E3613F"/>
    <w:rsid w:val="00E42844"/>
    <w:rsid w:val="00E44B7A"/>
    <w:rsid w:val="00E5262D"/>
    <w:rsid w:val="00E574F5"/>
    <w:rsid w:val="00E57AA3"/>
    <w:rsid w:val="00E61E8B"/>
    <w:rsid w:val="00E66ED2"/>
    <w:rsid w:val="00E6792B"/>
    <w:rsid w:val="00E718CD"/>
    <w:rsid w:val="00E816C3"/>
    <w:rsid w:val="00E87487"/>
    <w:rsid w:val="00E87F26"/>
    <w:rsid w:val="00E901A4"/>
    <w:rsid w:val="00E93367"/>
    <w:rsid w:val="00E953D4"/>
    <w:rsid w:val="00E95C7B"/>
    <w:rsid w:val="00EA33F2"/>
    <w:rsid w:val="00EA70DD"/>
    <w:rsid w:val="00EA7F20"/>
    <w:rsid w:val="00EB0BF7"/>
    <w:rsid w:val="00EB4527"/>
    <w:rsid w:val="00EB47B3"/>
    <w:rsid w:val="00EC1313"/>
    <w:rsid w:val="00EC3428"/>
    <w:rsid w:val="00EC408D"/>
    <w:rsid w:val="00EC6672"/>
    <w:rsid w:val="00EC7302"/>
    <w:rsid w:val="00ED5363"/>
    <w:rsid w:val="00ED680D"/>
    <w:rsid w:val="00ED70D2"/>
    <w:rsid w:val="00EE148C"/>
    <w:rsid w:val="00EE1BB7"/>
    <w:rsid w:val="00EE3148"/>
    <w:rsid w:val="00EF2F6E"/>
    <w:rsid w:val="00EF649A"/>
    <w:rsid w:val="00F00501"/>
    <w:rsid w:val="00F03B7A"/>
    <w:rsid w:val="00F04E3A"/>
    <w:rsid w:val="00F0575B"/>
    <w:rsid w:val="00F120C1"/>
    <w:rsid w:val="00F131AE"/>
    <w:rsid w:val="00F163DE"/>
    <w:rsid w:val="00F22413"/>
    <w:rsid w:val="00F249E3"/>
    <w:rsid w:val="00F265F7"/>
    <w:rsid w:val="00F27A25"/>
    <w:rsid w:val="00F3394C"/>
    <w:rsid w:val="00F33C4F"/>
    <w:rsid w:val="00F34CDB"/>
    <w:rsid w:val="00F34DF6"/>
    <w:rsid w:val="00F34E51"/>
    <w:rsid w:val="00F41089"/>
    <w:rsid w:val="00F47B3B"/>
    <w:rsid w:val="00F47F60"/>
    <w:rsid w:val="00F64987"/>
    <w:rsid w:val="00F74362"/>
    <w:rsid w:val="00F81626"/>
    <w:rsid w:val="00F81B03"/>
    <w:rsid w:val="00F82F05"/>
    <w:rsid w:val="00F8642C"/>
    <w:rsid w:val="00F868F8"/>
    <w:rsid w:val="00F91A46"/>
    <w:rsid w:val="00F93A50"/>
    <w:rsid w:val="00F96000"/>
    <w:rsid w:val="00F96CA9"/>
    <w:rsid w:val="00FA1307"/>
    <w:rsid w:val="00FA1773"/>
    <w:rsid w:val="00FB0E47"/>
    <w:rsid w:val="00FB6C00"/>
    <w:rsid w:val="00FB734E"/>
    <w:rsid w:val="00FC01FF"/>
    <w:rsid w:val="00FC0C98"/>
    <w:rsid w:val="00FD0291"/>
    <w:rsid w:val="00FD51F1"/>
    <w:rsid w:val="00FD7B25"/>
    <w:rsid w:val="00FE0290"/>
    <w:rsid w:val="00FE5CA8"/>
    <w:rsid w:val="00FF0C1C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77B0"/>
  <w15:docId w15:val="{C8D63B65-9226-4DA2-A3BF-9839B660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34E30"/>
    <w:rPr>
      <w:rFonts w:eastAsia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334E30"/>
    <w:pPr>
      <w:spacing w:before="100" w:beforeAutospacing="1" w:after="100" w:afterAutospacing="1"/>
      <w:jc w:val="both"/>
    </w:pPr>
    <w:rPr>
      <w:rFonts w:eastAsia="Arial Unicode MS"/>
    </w:rPr>
  </w:style>
  <w:style w:type="character" w:styleId="Izteiksmgs">
    <w:name w:val="Strong"/>
    <w:basedOn w:val="Noklusjumarindkopasfonts"/>
    <w:uiPriority w:val="22"/>
    <w:qFormat/>
    <w:rsid w:val="00334E30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334E30"/>
    <w:rPr>
      <w:rFonts w:eastAsiaTheme="minorHAnsi" w:cs="Consolas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334E30"/>
    <w:rPr>
      <w:rFonts w:eastAsiaTheme="minorHAnsi" w:cs="Consolas"/>
      <w:szCs w:val="21"/>
    </w:rPr>
  </w:style>
  <w:style w:type="paragraph" w:customStyle="1" w:styleId="doc-ti2">
    <w:name w:val="doc-ti2"/>
    <w:basedOn w:val="Parasts"/>
    <w:rsid w:val="00334E30"/>
    <w:pPr>
      <w:spacing w:before="240" w:after="120" w:line="312" w:lineRule="atLeast"/>
      <w:jc w:val="center"/>
    </w:pPr>
    <w:rPr>
      <w:b/>
      <w:bCs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7E5CB4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E5CB4"/>
    <w:rPr>
      <w:rFonts w:eastAsia="Times New Roman"/>
      <w:szCs w:val="24"/>
      <w:lang w:val="en-GB"/>
    </w:rPr>
  </w:style>
  <w:style w:type="paragraph" w:styleId="Kjene">
    <w:name w:val="footer"/>
    <w:basedOn w:val="Parasts"/>
    <w:link w:val="KjeneRakstz"/>
    <w:unhideWhenUsed/>
    <w:rsid w:val="007E5CB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7E5CB4"/>
    <w:rPr>
      <w:rFonts w:eastAsia="Times New Roman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02028D"/>
    <w:pPr>
      <w:ind w:left="720"/>
      <w:contextualSpacing/>
    </w:pPr>
    <w:rPr>
      <w:rFonts w:eastAsia="Calibri"/>
      <w:szCs w:val="20"/>
      <w:lang w:val="lv-LV"/>
    </w:rPr>
  </w:style>
  <w:style w:type="character" w:styleId="Hipersaite">
    <w:name w:val="Hyperlink"/>
    <w:basedOn w:val="Noklusjumarindkopasfonts"/>
    <w:rsid w:val="007D62E1"/>
    <w:rPr>
      <w:color w:val="0000FF"/>
      <w:u w:val="single"/>
    </w:rPr>
  </w:style>
  <w:style w:type="character" w:customStyle="1" w:styleId="profileheadercard-urltext">
    <w:name w:val="profileheadercard-urltext"/>
    <w:basedOn w:val="Noklusjumarindkopasfonts"/>
    <w:rsid w:val="00142BC2"/>
  </w:style>
  <w:style w:type="paragraph" w:styleId="Balonteksts">
    <w:name w:val="Balloon Text"/>
    <w:basedOn w:val="Parasts"/>
    <w:link w:val="BalontekstsRakstz"/>
    <w:uiPriority w:val="99"/>
    <w:semiHidden/>
    <w:unhideWhenUsed/>
    <w:rsid w:val="006952D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52DD"/>
    <w:rPr>
      <w:rFonts w:ascii="Tahoma" w:eastAsia="Times New Roman" w:hAnsi="Tahoma" w:cs="Tahoma"/>
      <w:sz w:val="16"/>
      <w:szCs w:val="16"/>
      <w:lang w:val="en-GB"/>
    </w:rPr>
  </w:style>
  <w:style w:type="character" w:customStyle="1" w:styleId="spelle">
    <w:name w:val="spelle"/>
    <w:basedOn w:val="Noklusjumarindkopasfonts"/>
    <w:rsid w:val="00583B97"/>
  </w:style>
  <w:style w:type="paragraph" w:customStyle="1" w:styleId="naisc">
    <w:name w:val="naisc"/>
    <w:basedOn w:val="Parasts"/>
    <w:rsid w:val="00D80316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styleId="Paraststmeklis">
    <w:name w:val="Normal (Web)"/>
    <w:basedOn w:val="Parasts"/>
    <w:rsid w:val="00D80316"/>
    <w:pPr>
      <w:spacing w:before="100" w:beforeAutospacing="1" w:after="100" w:afterAutospacing="1"/>
    </w:pPr>
    <w:rPr>
      <w:rFonts w:eastAsia="Arial Unicode MS"/>
    </w:rPr>
  </w:style>
  <w:style w:type="paragraph" w:customStyle="1" w:styleId="naislab">
    <w:name w:val="naislab"/>
    <w:basedOn w:val="Parasts"/>
    <w:rsid w:val="00D80316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kr">
    <w:name w:val="naiskr"/>
    <w:basedOn w:val="Parasts"/>
    <w:rsid w:val="00D80316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Noklusjumarindkopasfonts"/>
    <w:rsid w:val="00A92200"/>
  </w:style>
  <w:style w:type="paragraph" w:styleId="Komentrateksts">
    <w:name w:val="annotation text"/>
    <w:basedOn w:val="Parasts"/>
    <w:link w:val="KomentratekstsRakstz"/>
    <w:rsid w:val="00AD6E8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6E82"/>
    <w:rPr>
      <w:rFonts w:eastAsia="Times New Roman"/>
      <w:sz w:val="20"/>
      <w:lang w:val="en-GB"/>
    </w:rPr>
  </w:style>
  <w:style w:type="paragraph" w:customStyle="1" w:styleId="naisnod">
    <w:name w:val="naisnod"/>
    <w:basedOn w:val="Parasts"/>
    <w:rsid w:val="003E520D"/>
    <w:pPr>
      <w:spacing w:before="100" w:beforeAutospacing="1" w:after="100" w:afterAutospacing="1"/>
    </w:pPr>
    <w:rPr>
      <w:lang w:val="lv-LV" w:eastAsia="lv-LV"/>
    </w:rPr>
  </w:style>
  <w:style w:type="paragraph" w:customStyle="1" w:styleId="Default">
    <w:name w:val="Default"/>
    <w:rsid w:val="00E01493"/>
    <w:pPr>
      <w:autoSpaceDE w:val="0"/>
      <w:autoSpaceDN w:val="0"/>
      <w:adjustRightInd w:val="0"/>
    </w:pPr>
    <w:rPr>
      <w:color w:val="000000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9667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66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6675"/>
    <w:rPr>
      <w:rFonts w:eastAsia="Times New Roman"/>
      <w:b/>
      <w:bCs/>
      <w:sz w:val="20"/>
      <w:lang w:val="en-GB"/>
    </w:rPr>
  </w:style>
  <w:style w:type="table" w:styleId="Reatabula">
    <w:name w:val="Table Grid"/>
    <w:basedOn w:val="Parastatabula"/>
    <w:rsid w:val="00F34CDB"/>
    <w:rPr>
      <w:rFonts w:ascii="Calibri" w:hAnsi="Calibri"/>
      <w:sz w:val="22"/>
      <w:szCs w:val="22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F182-CB71-4763-8289-E4F21C14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6505</Words>
  <Characters>3709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2017. gada 24. janvāra noteikumos Nr. 51 “Valsts un Eiropas Savienības atbalsta piešķiršanas kārtība pasākumā “Akvakultūras saimniecībām paredzēti pārvaldības un konsultāciju pakalpojumi””</vt:lpstr>
      <vt:lpstr>Grozījumi Ministru kabineta 2017. gada 24. janvāra noteikumos Nr. 51 “Valsts un Eiropas Savienības atbalsta piešķiršanas kārtība pasākumā “Akvakultūras saimniecībām paredzēti pārvaldības un konsultāciju pakalpojumi””</vt:lpstr>
    </vt:vector>
  </TitlesOfParts>
  <Company>Zemkopības Ministrija</Company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24. janvāra noteikumos Nr. 51 “Valsts un Eiropas Savienības atbalsta piešķiršanas kārtība pasākumā “Akvakultūras saimniecībām paredzēti pārvaldības un konsultāciju pakalpojumi””</dc:title>
  <dc:subject>Anotācija</dc:subject>
  <dc:creator>Inese Bārtule</dc:creator>
  <dc:description>Bārtule 67027525_x000d_
inese.bartule@zm.gov.lv</dc:description>
  <cp:lastModifiedBy>Sanita Žagare</cp:lastModifiedBy>
  <cp:revision>4</cp:revision>
  <cp:lastPrinted>2018-02-06T12:45:00Z</cp:lastPrinted>
  <dcterms:created xsi:type="dcterms:W3CDTF">2018-02-20T07:04:00Z</dcterms:created>
  <dcterms:modified xsi:type="dcterms:W3CDTF">2018-02-20T07:47:00Z</dcterms:modified>
</cp:coreProperties>
</file>