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A9" w:rsidRPr="006E1E7D" w:rsidRDefault="006E1E7D" w:rsidP="005F6D3F">
      <w:pPr>
        <w:spacing w:after="0" w:line="240" w:lineRule="auto"/>
        <w:ind w:firstLine="300"/>
        <w:contextualSpacing/>
        <w:jc w:val="center"/>
        <w:rPr>
          <w:rFonts w:eastAsia="Times New Roman" w:cs="Times New Roman"/>
          <w:b/>
          <w:bCs/>
          <w:szCs w:val="24"/>
        </w:rPr>
      </w:pPr>
      <w:bookmarkStart w:id="0" w:name="OLE_LINK1"/>
      <w:bookmarkStart w:id="1" w:name="OLE_LINK2"/>
      <w:r w:rsidRPr="006E1E7D">
        <w:rPr>
          <w:rFonts w:eastAsia="Times New Roman" w:cs="Times New Roman"/>
          <w:b/>
          <w:bCs/>
          <w:szCs w:val="24"/>
        </w:rPr>
        <w:t>Likumprojekta “</w:t>
      </w:r>
      <w:r w:rsidR="009350E4" w:rsidRPr="009350E4">
        <w:rPr>
          <w:rFonts w:cs="Times New Roman"/>
          <w:b/>
          <w:bCs/>
          <w:color w:val="000000"/>
          <w:szCs w:val="24"/>
        </w:rPr>
        <w:t>Grozījumi Iekšlietu ministrijas sistēmas iestāžu un Ieslodzījuma vietu pārvaldes amatpersonu ar speciālajām dienesta pakāpēm  dienesta gaitas likumā</w:t>
      </w:r>
      <w:r w:rsidR="00074D5C" w:rsidRPr="006E1E7D">
        <w:rPr>
          <w:rFonts w:eastAsia="Times New Roman" w:cs="Times New Roman"/>
          <w:b/>
          <w:bCs/>
          <w:szCs w:val="24"/>
        </w:rPr>
        <w:t>” sākotnējās ietekmes novērtējuma ziņojums (anotācija)</w:t>
      </w:r>
    </w:p>
    <w:bookmarkEnd w:id="0"/>
    <w:bookmarkEnd w:id="1"/>
    <w:p w:rsidR="00DA596D" w:rsidRPr="00722E8E" w:rsidRDefault="00DA596D" w:rsidP="005F6D3F">
      <w:pPr>
        <w:spacing w:after="0" w:line="240" w:lineRule="auto"/>
        <w:ind w:firstLine="300"/>
        <w:contextualSpacing/>
        <w:jc w:val="center"/>
        <w:rPr>
          <w:rFonts w:eastAsia="Times New Roman" w:cs="Times New Roman"/>
          <w:b/>
          <w:bCs/>
          <w:szCs w:val="24"/>
        </w:rPr>
      </w:pPr>
    </w:p>
    <w:tbl>
      <w:tblPr>
        <w:tblW w:w="498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6"/>
        <w:gridCol w:w="2268"/>
        <w:gridCol w:w="6662"/>
      </w:tblGrid>
      <w:tr w:rsidR="004D15A9" w:rsidRPr="00722E8E" w:rsidTr="00FB797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22E8E" w:rsidRDefault="00074D5C" w:rsidP="005F6D3F">
            <w:pPr>
              <w:spacing w:after="0" w:line="240" w:lineRule="auto"/>
              <w:ind w:firstLine="300"/>
              <w:contextualSpacing/>
              <w:jc w:val="center"/>
              <w:rPr>
                <w:rFonts w:eastAsia="Times New Roman" w:cs="Times New Roman"/>
                <w:b/>
                <w:bCs/>
                <w:szCs w:val="24"/>
              </w:rPr>
            </w:pPr>
            <w:r>
              <w:rPr>
                <w:rFonts w:eastAsia="Times New Roman" w:cs="Times New Roman"/>
                <w:b/>
                <w:bCs/>
                <w:szCs w:val="24"/>
              </w:rPr>
              <w:t>I. Tiesību akta projekta izstrādes nepieciešamība</w:t>
            </w:r>
          </w:p>
        </w:tc>
      </w:tr>
      <w:tr w:rsidR="00D947D8" w:rsidRPr="00722E8E" w:rsidTr="004D1690">
        <w:trPr>
          <w:trHeight w:val="405"/>
        </w:trPr>
        <w:tc>
          <w:tcPr>
            <w:tcW w:w="243"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1.</w:t>
            </w:r>
          </w:p>
        </w:tc>
        <w:tc>
          <w:tcPr>
            <w:tcW w:w="1208"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Pamatojums</w:t>
            </w:r>
          </w:p>
        </w:tc>
        <w:tc>
          <w:tcPr>
            <w:tcW w:w="3549" w:type="pct"/>
            <w:tcBorders>
              <w:top w:val="outset" w:sz="6" w:space="0" w:color="414142"/>
              <w:left w:val="outset" w:sz="6" w:space="0" w:color="414142"/>
              <w:bottom w:val="outset" w:sz="6" w:space="0" w:color="414142"/>
              <w:right w:val="outset" w:sz="6" w:space="0" w:color="414142"/>
            </w:tcBorders>
            <w:hideMark/>
          </w:tcPr>
          <w:p w:rsidR="00D947D8" w:rsidRDefault="00D947D8" w:rsidP="00463C72">
            <w:pPr>
              <w:spacing w:after="0" w:line="240" w:lineRule="auto"/>
              <w:ind w:right="82"/>
              <w:jc w:val="both"/>
              <w:rPr>
                <w:rFonts w:eastAsia="Times New Roman" w:cs="Times New Roman"/>
                <w:szCs w:val="24"/>
              </w:rPr>
            </w:pPr>
            <w:r>
              <w:rPr>
                <w:rFonts w:eastAsia="Times New Roman" w:cs="Times New Roman"/>
                <w:szCs w:val="24"/>
              </w:rPr>
              <w:t>1. L</w:t>
            </w:r>
            <w:r>
              <w:t>ikumprojekts</w:t>
            </w:r>
            <w:r w:rsidRPr="002A2BFA">
              <w:t xml:space="preserve"> "Grozījumi Valsts drošības iestāžu likumā",  izsludināts Valsts sekretāru sanāksmē 2017. gada 5. oktobrī (protokols Nr. Nr.39, 1.§, VSS-1050)</w:t>
            </w:r>
            <w:r>
              <w:t xml:space="preserve"> </w:t>
            </w:r>
            <w:r>
              <w:rPr>
                <w:rFonts w:eastAsia="Calibri" w:cs="Times New Roman"/>
                <w:szCs w:val="24"/>
              </w:rPr>
              <w:t>(turpmāk – saistītais likumprojekts)</w:t>
            </w:r>
            <w:r>
              <w:rPr>
                <w:rFonts w:eastAsia="Times New Roman" w:cs="Times New Roman"/>
                <w:szCs w:val="24"/>
              </w:rPr>
              <w:t>.</w:t>
            </w:r>
          </w:p>
          <w:p w:rsidR="00D947D8" w:rsidRPr="00324EDE" w:rsidRDefault="00D947D8" w:rsidP="00463C72">
            <w:pPr>
              <w:spacing w:after="0" w:line="240" w:lineRule="auto"/>
              <w:ind w:right="82"/>
              <w:jc w:val="both"/>
              <w:rPr>
                <w:rFonts w:eastAsia="Times New Roman" w:cs="Times New Roman"/>
                <w:szCs w:val="24"/>
              </w:rPr>
            </w:pPr>
            <w:r>
              <w:rPr>
                <w:rFonts w:eastAsia="Times New Roman" w:cs="Times New Roman"/>
                <w:szCs w:val="24"/>
              </w:rPr>
              <w:t>2. Valsts drošības iestāžu (turpmāk – VDI) iniciatīva.</w:t>
            </w:r>
          </w:p>
        </w:tc>
      </w:tr>
      <w:tr w:rsidR="00D947D8" w:rsidRPr="00722E8E" w:rsidTr="004D1690">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2.</w:t>
            </w:r>
          </w:p>
        </w:tc>
        <w:tc>
          <w:tcPr>
            <w:tcW w:w="1208"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Pašreizējā situācija un problēmas, kuru risināšanai tiesību akta projekts izstrādāts, tiesiskā regulējuma mērķis un būtība</w:t>
            </w:r>
          </w:p>
        </w:tc>
        <w:tc>
          <w:tcPr>
            <w:tcW w:w="3549" w:type="pct"/>
            <w:tcBorders>
              <w:top w:val="outset" w:sz="6" w:space="0" w:color="414142"/>
              <w:left w:val="outset" w:sz="6" w:space="0" w:color="414142"/>
              <w:bottom w:val="outset" w:sz="6" w:space="0" w:color="414142"/>
              <w:right w:val="outset" w:sz="6" w:space="0" w:color="414142"/>
            </w:tcBorders>
            <w:hideMark/>
          </w:tcPr>
          <w:p w:rsidR="00D947D8" w:rsidRDefault="00D947D8" w:rsidP="00463C72">
            <w:pPr>
              <w:spacing w:after="0" w:line="240" w:lineRule="auto"/>
              <w:ind w:right="82" w:firstLine="536"/>
              <w:contextualSpacing/>
              <w:jc w:val="both"/>
              <w:rPr>
                <w:rFonts w:cs="Times New Roman"/>
                <w:bCs/>
                <w:color w:val="000000"/>
                <w:szCs w:val="24"/>
              </w:rPr>
            </w:pPr>
            <w:r>
              <w:rPr>
                <w:rFonts w:eastAsia="Calibri" w:cs="Times New Roman"/>
                <w:szCs w:val="24"/>
              </w:rPr>
              <w:t>Likumprojekts “</w:t>
            </w:r>
            <w:r w:rsidRPr="009350E4">
              <w:rPr>
                <w:rFonts w:cs="Times New Roman"/>
                <w:bCs/>
                <w:color w:val="000000"/>
                <w:szCs w:val="24"/>
              </w:rPr>
              <w:t>Grozījumi Iekšlietu ministrijas sistēmas iestāžu un Ieslodzījuma vietu pārvaldes amatpersonu ar speciālajām dienesta pakāpēm  dienesta gaitas likumā</w:t>
            </w:r>
            <w:r>
              <w:rPr>
                <w:rFonts w:eastAsia="Calibri" w:cs="Times New Roman"/>
                <w:szCs w:val="24"/>
              </w:rPr>
              <w:t xml:space="preserve">” (turpmāk – likumprojekts), ņemot vērā saistītajā likumprojektā paredzētos grozījumus VDI likumā, paredz no </w:t>
            </w:r>
            <w:r w:rsidRPr="009350E4">
              <w:rPr>
                <w:rFonts w:cs="Times New Roman"/>
                <w:bCs/>
                <w:color w:val="000000"/>
                <w:szCs w:val="24"/>
              </w:rPr>
              <w:t>Iekšlietu ministrijas sistēmas iestāžu un Ieslodzījuma vietu pārvaldes amatpersonu ar speciālajām dienesta pakāpēm  dienesta gaitas</w:t>
            </w:r>
            <w:r>
              <w:rPr>
                <w:rFonts w:cs="Times New Roman"/>
                <w:bCs/>
                <w:color w:val="000000"/>
                <w:szCs w:val="24"/>
              </w:rPr>
              <w:t xml:space="preserve"> likuma (turpmāk – Iekšlietu sistēmas likums) tiesiskā regulējuma loka izslēgt Drošības policiju (turpmāk – DP).</w:t>
            </w:r>
          </w:p>
          <w:p w:rsidR="00D947D8" w:rsidRDefault="00D947D8" w:rsidP="00463C72">
            <w:pPr>
              <w:spacing w:after="0" w:line="240" w:lineRule="auto"/>
              <w:ind w:right="82" w:firstLine="536"/>
              <w:contextualSpacing/>
              <w:jc w:val="both"/>
              <w:rPr>
                <w:rFonts w:cs="Times New Roman"/>
                <w:bCs/>
                <w:color w:val="000000"/>
                <w:szCs w:val="24"/>
              </w:rPr>
            </w:pPr>
            <w:r>
              <w:rPr>
                <w:rFonts w:cs="Times New Roman"/>
                <w:bCs/>
                <w:color w:val="000000"/>
                <w:szCs w:val="24"/>
              </w:rPr>
              <w:t>Atbilstoši saistītajā likumprojektā noteiktajiem pārejas noteikumiem, DP amatpersonas, kuras līdz atbilstošo grozījumu spēkā stāšanās brīdim ieņem amatu ar speciālo dienesta pakāpi, ar 2019. gada 1. janvāri tiks uzskatītas par VDI amatpersonām, un ar minēto datumu viņām izbeigsies Iekšlietu sistēmas likumā amatpersonām ar speciālajām dienesta pakāpēm noteiktās tiesiskās attiecības. Vienlaikus šie pārejas noteikumi paredz, ka līdz 2019. gada 1. </w:t>
            </w:r>
            <w:r w:rsidR="00325848">
              <w:rPr>
                <w:rFonts w:cs="Times New Roman"/>
                <w:bCs/>
                <w:color w:val="000000"/>
                <w:szCs w:val="24"/>
              </w:rPr>
              <w:t>martam</w:t>
            </w:r>
            <w:r>
              <w:rPr>
                <w:rFonts w:cs="Times New Roman"/>
                <w:bCs/>
                <w:color w:val="000000"/>
                <w:szCs w:val="24"/>
              </w:rPr>
              <w:t xml:space="preserve"> attiecībā uz šādām DP amatpersonām varēs piemērot Iekšlietu sistēmas iestāžu likuma 12. pantu, kas attiecīgi paredz amatpersonu pārcelšanu citā amatā. Pēc 2019. gada 1. aprīļa amatpersonu pārcelšana no DP uz Iekšlietu sistēmas likumā noteiktu iestādi šajā likumā noteiktā kārtībā vairs nebūs iespējama. Savukārt amatpersonas ar speciālo dienestu, kas dien kādā no Iekšlietu sistēmas likumā noteiktajām iestādēm amatā ar speciālo pakāpi pārcelšana uz DP šajā likumā noteiktajā kārtībā nebūs iespējama no 2019. gada 1. janvāra.</w:t>
            </w:r>
          </w:p>
          <w:p w:rsidR="00D947D8" w:rsidRDefault="00D947D8" w:rsidP="00463C72">
            <w:pPr>
              <w:spacing w:after="0" w:line="240" w:lineRule="auto"/>
              <w:ind w:right="82" w:firstLine="536"/>
              <w:contextualSpacing/>
              <w:jc w:val="both"/>
              <w:rPr>
                <w:rFonts w:cs="Times New Roman"/>
                <w:szCs w:val="24"/>
                <w:lang w:eastAsia="en-US" w:bidi="lo-LA"/>
              </w:rPr>
            </w:pPr>
            <w:r>
              <w:rPr>
                <w:rFonts w:cs="Times New Roman"/>
                <w:bCs/>
                <w:color w:val="000000"/>
                <w:szCs w:val="24"/>
              </w:rPr>
              <w:t xml:space="preserve">Ņemot vērā, ka dienests VDI nebūs saistīts ar speciālās dienesta pakāpes piešķiršanu, ar 2019. gada 1. janvāri DP amatpersonām nav paredzēta kārtējās dienesta pakāpes piešķiršana. </w:t>
            </w:r>
            <w:r w:rsidR="00313594">
              <w:rPr>
                <w:szCs w:val="24"/>
              </w:rPr>
              <w:t>M</w:t>
            </w:r>
            <w:r w:rsidR="00313594" w:rsidRPr="00671D16">
              <w:rPr>
                <w:szCs w:val="24"/>
              </w:rPr>
              <w:t xml:space="preserve">inētās </w:t>
            </w:r>
            <w:r w:rsidR="00313594">
              <w:rPr>
                <w:szCs w:val="24"/>
              </w:rPr>
              <w:t>DP</w:t>
            </w:r>
            <w:r w:rsidR="00313594" w:rsidRPr="00671D16">
              <w:rPr>
                <w:szCs w:val="24"/>
              </w:rPr>
              <w:t xml:space="preserve"> amatpersonas būs uzskatāmas par atvaļinātajām amatpersonām Iekšlietu sistēmas likuma izpratnē</w:t>
            </w:r>
            <w:r w:rsidR="00313594">
              <w:rPr>
                <w:szCs w:val="24"/>
              </w:rPr>
              <w:t>.</w:t>
            </w:r>
            <w:r w:rsidR="00313594">
              <w:rPr>
                <w:rFonts w:cs="Times New Roman"/>
                <w:bCs/>
                <w:color w:val="000000"/>
                <w:szCs w:val="24"/>
              </w:rPr>
              <w:t xml:space="preserve"> </w:t>
            </w:r>
            <w:r>
              <w:rPr>
                <w:rFonts w:cs="Times New Roman"/>
                <w:bCs/>
                <w:color w:val="000000"/>
                <w:szCs w:val="24"/>
              </w:rPr>
              <w:t xml:space="preserve">Ievērojot to, ka speciālo dienesta pakāpju neesamība DP amatpersonām neradīs negatīvas sekas, īpašs pārejas regulējums nav nepieciešams. Savukārt ar sociālajām garantijām saistītus jautājumus risinās ar saistīto likumprojektu vienlaicīgi virzāmie grozījumi </w:t>
            </w:r>
            <w:r w:rsidRPr="00B2395D">
              <w:rPr>
                <w:rFonts w:cs="Times New Roman"/>
                <w:szCs w:val="24"/>
                <w:lang w:eastAsia="en-US" w:bidi="lo-LA"/>
              </w:rPr>
              <w:t>Valsts un pašvaldību institūciju amatpersonu un darbinieku atlīdzības likumā</w:t>
            </w:r>
            <w:r>
              <w:rPr>
                <w:rFonts w:cs="Times New Roman"/>
                <w:szCs w:val="24"/>
                <w:lang w:eastAsia="en-US" w:bidi="lo-LA"/>
              </w:rPr>
              <w:t>.</w:t>
            </w:r>
          </w:p>
          <w:p w:rsidR="00052B6D" w:rsidRDefault="00052B6D" w:rsidP="00052B6D">
            <w:pPr>
              <w:spacing w:after="0" w:line="240" w:lineRule="auto"/>
              <w:ind w:right="82" w:firstLine="536"/>
              <w:contextualSpacing/>
              <w:jc w:val="both"/>
              <w:rPr>
                <w:rFonts w:cs="Times New Roman"/>
                <w:szCs w:val="24"/>
                <w:lang w:eastAsia="en-US" w:bidi="lo-LA"/>
              </w:rPr>
            </w:pPr>
            <w:r>
              <w:rPr>
                <w:rFonts w:cs="Times New Roman"/>
                <w:szCs w:val="24"/>
                <w:lang w:eastAsia="en-US" w:bidi="lo-LA"/>
              </w:rPr>
              <w:t xml:space="preserve">Likumprojekts paredz pārejas noteikumu regulējumu DP amatpersonām, kuras līdz 2018. gada 31. decembrim ieņem amatu ar speciālo dienesta pakāpi saskaņā ar Iekšlietu sistēmas likumu un līdz ar atbilstošo grozījumu VDI likumā spēkā stāšanos būs uzskatāmas par atvaļinātām amatpersonām, paredzot, ka uz šādām amatpersonām neattieksies Iekšlietu sistēmas likuma 44. panta </w:t>
            </w:r>
            <w:r>
              <w:rPr>
                <w:rFonts w:cs="Times New Roman"/>
                <w:szCs w:val="24"/>
                <w:lang w:eastAsia="en-US" w:bidi="lo-LA"/>
              </w:rPr>
              <w:lastRenderedPageBreak/>
              <w:t>ceturtās daļas nosacījumi par formas tērpa atlikušās vērtības atmaksu.</w:t>
            </w:r>
          </w:p>
          <w:p w:rsidR="00D947D8" w:rsidRPr="00534A0F" w:rsidRDefault="00D947D8" w:rsidP="00463C72">
            <w:pPr>
              <w:spacing w:after="0" w:line="240" w:lineRule="auto"/>
              <w:ind w:right="82" w:firstLine="536"/>
              <w:contextualSpacing/>
              <w:jc w:val="both"/>
              <w:rPr>
                <w:rFonts w:eastAsia="Calibri" w:cs="Times New Roman"/>
                <w:szCs w:val="24"/>
              </w:rPr>
            </w:pPr>
          </w:p>
        </w:tc>
      </w:tr>
      <w:tr w:rsidR="00D947D8" w:rsidRPr="00722E8E" w:rsidTr="004D1690">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lastRenderedPageBreak/>
              <w:t>3.</w:t>
            </w:r>
          </w:p>
        </w:tc>
        <w:tc>
          <w:tcPr>
            <w:tcW w:w="1208"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Projekta izstrādē iesaistītās institūcijas</w:t>
            </w:r>
          </w:p>
        </w:tc>
        <w:tc>
          <w:tcPr>
            <w:tcW w:w="3549" w:type="pct"/>
            <w:tcBorders>
              <w:top w:val="outset" w:sz="6" w:space="0" w:color="414142"/>
              <w:left w:val="outset" w:sz="6" w:space="0" w:color="414142"/>
              <w:bottom w:val="outset" w:sz="6" w:space="0" w:color="414142"/>
              <w:right w:val="outset" w:sz="6" w:space="0" w:color="414142"/>
            </w:tcBorders>
            <w:hideMark/>
          </w:tcPr>
          <w:p w:rsidR="00D947D8" w:rsidRDefault="00D947D8" w:rsidP="00463C72">
            <w:pPr>
              <w:spacing w:after="0" w:line="240" w:lineRule="auto"/>
              <w:ind w:right="82"/>
              <w:contextualSpacing/>
              <w:jc w:val="both"/>
              <w:rPr>
                <w:rFonts w:cs="Times New Roman"/>
                <w:szCs w:val="24"/>
              </w:rPr>
            </w:pPr>
            <w:r>
              <w:rPr>
                <w:rFonts w:cs="Times New Roman"/>
                <w:bCs/>
                <w:color w:val="000000"/>
                <w:szCs w:val="24"/>
              </w:rPr>
              <w:t>VDI</w:t>
            </w:r>
            <w:r>
              <w:rPr>
                <w:rFonts w:cs="Times New Roman"/>
                <w:szCs w:val="24"/>
              </w:rPr>
              <w:t>. Projekta izstrādes laikā veiktas konsultācijas ar Iekšlietu ministriju.</w:t>
            </w:r>
          </w:p>
          <w:p w:rsidR="00D947D8" w:rsidRPr="00113A41" w:rsidRDefault="00D947D8" w:rsidP="00D947D8">
            <w:pPr>
              <w:spacing w:after="0" w:line="240" w:lineRule="auto"/>
              <w:contextualSpacing/>
              <w:jc w:val="both"/>
              <w:rPr>
                <w:rFonts w:cs="Times New Roman"/>
                <w:szCs w:val="24"/>
              </w:rPr>
            </w:pPr>
          </w:p>
        </w:tc>
      </w:tr>
      <w:tr w:rsidR="00D947D8" w:rsidRPr="00722E8E" w:rsidTr="004D1690">
        <w:tc>
          <w:tcPr>
            <w:tcW w:w="243"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4.</w:t>
            </w:r>
          </w:p>
        </w:tc>
        <w:tc>
          <w:tcPr>
            <w:tcW w:w="1208"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Cita informācija</w:t>
            </w:r>
          </w:p>
        </w:tc>
        <w:tc>
          <w:tcPr>
            <w:tcW w:w="3549" w:type="pct"/>
            <w:tcBorders>
              <w:top w:val="outset" w:sz="6" w:space="0" w:color="414142"/>
              <w:left w:val="outset" w:sz="6" w:space="0" w:color="414142"/>
              <w:bottom w:val="outset" w:sz="6" w:space="0" w:color="414142"/>
              <w:right w:val="outset" w:sz="6" w:space="0" w:color="414142"/>
            </w:tcBorders>
            <w:hideMark/>
          </w:tcPr>
          <w:p w:rsidR="00D947D8" w:rsidRDefault="00D947D8" w:rsidP="00D947D8">
            <w:pPr>
              <w:spacing w:after="0" w:line="240" w:lineRule="auto"/>
              <w:contextualSpacing/>
              <w:rPr>
                <w:rFonts w:eastAsia="Times New Roman" w:cs="Times New Roman"/>
                <w:szCs w:val="24"/>
              </w:rPr>
            </w:pPr>
            <w:r>
              <w:rPr>
                <w:rFonts w:eastAsia="Times New Roman" w:cs="Times New Roman"/>
                <w:szCs w:val="24"/>
              </w:rPr>
              <w:t>Nav.</w:t>
            </w:r>
          </w:p>
          <w:p w:rsidR="00D947D8" w:rsidRPr="00722E8E" w:rsidRDefault="00D947D8" w:rsidP="00D947D8">
            <w:pPr>
              <w:spacing w:after="0" w:line="240" w:lineRule="auto"/>
              <w:contextualSpacing/>
              <w:rPr>
                <w:rFonts w:eastAsia="Times New Roman" w:cs="Times New Roman"/>
                <w:szCs w:val="24"/>
              </w:rPr>
            </w:pPr>
          </w:p>
        </w:tc>
      </w:tr>
      <w:tr w:rsidR="00D947D8" w:rsidRPr="00722E8E" w:rsidTr="00FB797D">
        <w:trPr>
          <w:trHeight w:val="128"/>
        </w:trPr>
        <w:tc>
          <w:tcPr>
            <w:tcW w:w="5000" w:type="pct"/>
            <w:gridSpan w:val="3"/>
            <w:tcBorders>
              <w:top w:val="outset" w:sz="6" w:space="0" w:color="414142"/>
              <w:left w:val="nil"/>
              <w:bottom w:val="outset" w:sz="6" w:space="0" w:color="414142"/>
              <w:right w:val="nil"/>
            </w:tcBorders>
          </w:tcPr>
          <w:p w:rsidR="00D947D8" w:rsidRPr="00722E8E" w:rsidRDefault="00D947D8" w:rsidP="00D947D8">
            <w:pPr>
              <w:tabs>
                <w:tab w:val="left" w:pos="990"/>
              </w:tabs>
              <w:spacing w:after="0" w:line="240" w:lineRule="auto"/>
              <w:contextualSpacing/>
              <w:rPr>
                <w:rFonts w:eastAsia="Times New Roman" w:cs="Times New Roman"/>
                <w:szCs w:val="24"/>
              </w:rPr>
            </w:pPr>
            <w:r>
              <w:rPr>
                <w:rFonts w:eastAsia="Times New Roman" w:cs="Times New Roman"/>
                <w:szCs w:val="24"/>
              </w:rPr>
              <w:tab/>
            </w:r>
          </w:p>
        </w:tc>
      </w:tr>
    </w:tbl>
    <w:p w:rsidR="004D15A9" w:rsidRPr="00722E8E" w:rsidRDefault="004D15A9" w:rsidP="005F6D3F">
      <w:pPr>
        <w:spacing w:after="0" w:line="240" w:lineRule="auto"/>
        <w:contextualSpacing/>
        <w:rPr>
          <w:rFonts w:eastAsia="Times New Roman" w:cs="Times New Roman"/>
          <w:vanish/>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4"/>
        <w:gridCol w:w="2199"/>
        <w:gridCol w:w="6691"/>
      </w:tblGrid>
      <w:tr w:rsidR="004D15A9" w:rsidRPr="00722E8E"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C74B3" w:rsidRDefault="00206BAB" w:rsidP="005F6D3F">
            <w:pPr>
              <w:tabs>
                <w:tab w:val="center" w:pos="4153"/>
                <w:tab w:val="right" w:pos="8306"/>
              </w:tabs>
              <w:spacing w:after="0" w:line="240" w:lineRule="auto"/>
              <w:ind w:firstLine="300"/>
              <w:contextualSpacing/>
              <w:jc w:val="center"/>
              <w:rPr>
                <w:rFonts w:eastAsia="Times New Roman" w:cs="Times New Roman"/>
                <w:b/>
                <w:bCs/>
                <w:szCs w:val="24"/>
              </w:rPr>
            </w:pPr>
            <w:r>
              <w:rPr>
                <w:rFonts w:eastAsia="Times New Roman" w:cs="Times New Roman"/>
                <w:b/>
                <w:bCs/>
                <w:szCs w:val="24"/>
              </w:rPr>
              <w:t>II. Tiesību akta projekta ietekme uz sabiedrību, tautsaimniecības attīstību un administratīvo slogu</w:t>
            </w:r>
          </w:p>
        </w:tc>
      </w:tr>
      <w:tr w:rsidR="00D947D8" w:rsidRPr="00722E8E" w:rsidTr="00D947D8">
        <w:trPr>
          <w:trHeight w:val="465"/>
        </w:trPr>
        <w:tc>
          <w:tcPr>
            <w:tcW w:w="278" w:type="pct"/>
            <w:tcBorders>
              <w:top w:val="outset" w:sz="6" w:space="0" w:color="414142"/>
              <w:left w:val="outset" w:sz="6" w:space="0" w:color="414142"/>
              <w:bottom w:val="outset" w:sz="6" w:space="0" w:color="414142"/>
              <w:right w:val="outset" w:sz="6" w:space="0" w:color="414142"/>
            </w:tcBorders>
            <w:hideMark/>
          </w:tcPr>
          <w:p w:rsidR="00D947D8" w:rsidRPr="004C74B3" w:rsidRDefault="00D947D8" w:rsidP="00D947D8">
            <w:pPr>
              <w:tabs>
                <w:tab w:val="center" w:pos="4153"/>
                <w:tab w:val="right" w:pos="8306"/>
              </w:tabs>
              <w:spacing w:after="0" w:line="240" w:lineRule="auto"/>
              <w:contextualSpacing/>
              <w:rPr>
                <w:rFonts w:eastAsia="Times New Roman" w:cs="Times New Roman"/>
                <w:szCs w:val="24"/>
              </w:rPr>
            </w:pPr>
            <w:r>
              <w:rPr>
                <w:rFonts w:eastAsia="Times New Roman" w:cs="Times New Roman"/>
                <w:szCs w:val="24"/>
              </w:rPr>
              <w:t>1.</w:t>
            </w:r>
          </w:p>
        </w:tc>
        <w:tc>
          <w:tcPr>
            <w:tcW w:w="1168" w:type="pct"/>
            <w:tcBorders>
              <w:top w:val="outset" w:sz="6" w:space="0" w:color="414142"/>
              <w:left w:val="outset" w:sz="6" w:space="0" w:color="414142"/>
              <w:bottom w:val="outset" w:sz="6" w:space="0" w:color="414142"/>
              <w:right w:val="outset" w:sz="6" w:space="0" w:color="414142"/>
            </w:tcBorders>
            <w:hideMark/>
          </w:tcPr>
          <w:p w:rsidR="00D947D8" w:rsidRPr="004C74B3" w:rsidRDefault="00D947D8" w:rsidP="00D947D8">
            <w:pPr>
              <w:tabs>
                <w:tab w:val="center" w:pos="4153"/>
                <w:tab w:val="right" w:pos="8306"/>
              </w:tabs>
              <w:spacing w:after="0" w:line="240" w:lineRule="auto"/>
              <w:contextualSpacing/>
              <w:rPr>
                <w:rFonts w:eastAsia="Times New Roman" w:cs="Times New Roman"/>
                <w:szCs w:val="24"/>
              </w:rPr>
            </w:pPr>
            <w:r>
              <w:rPr>
                <w:rFonts w:eastAsia="Times New Roman" w:cs="Times New Roman"/>
                <w:szCs w:val="24"/>
              </w:rPr>
              <w:t>Sabiedrības mērķgrupas, kuras tiesiskais regulējums ietekmē vai varētu ietekmēt</w:t>
            </w:r>
          </w:p>
        </w:tc>
        <w:tc>
          <w:tcPr>
            <w:tcW w:w="3554" w:type="pct"/>
            <w:tcBorders>
              <w:top w:val="outset" w:sz="6" w:space="0" w:color="414142"/>
              <w:left w:val="outset" w:sz="6" w:space="0" w:color="414142"/>
              <w:bottom w:val="outset" w:sz="6" w:space="0" w:color="414142"/>
              <w:right w:val="outset" w:sz="6" w:space="0" w:color="414142"/>
            </w:tcBorders>
            <w:hideMark/>
          </w:tcPr>
          <w:p w:rsidR="00D947D8" w:rsidRDefault="00D947D8" w:rsidP="00463C72">
            <w:pPr>
              <w:spacing w:after="0" w:line="240" w:lineRule="auto"/>
              <w:ind w:right="102"/>
              <w:contextualSpacing/>
              <w:jc w:val="both"/>
              <w:rPr>
                <w:rFonts w:eastAsia="Times New Roman" w:cs="Times New Roman"/>
                <w:szCs w:val="24"/>
              </w:rPr>
            </w:pPr>
            <w:r>
              <w:rPr>
                <w:rFonts w:eastAsia="Times New Roman" w:cs="Times New Roman"/>
                <w:szCs w:val="24"/>
              </w:rPr>
              <w:t>Likumprojekts attieksies uz DP amatpersonām, kuras līdz atbilstošo grozījumu Valsts drošības iestāžu likumā spēkā stāšanās brīdim ieņem amatu ar speciālo dienesta pakāpi saskaņā ar Iekšlietu sistēmas likumu.</w:t>
            </w:r>
          </w:p>
        </w:tc>
      </w:tr>
      <w:tr w:rsidR="00D947D8" w:rsidRPr="00722E8E" w:rsidTr="00D947D8">
        <w:trPr>
          <w:trHeight w:val="510"/>
        </w:trPr>
        <w:tc>
          <w:tcPr>
            <w:tcW w:w="278"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2.</w:t>
            </w:r>
          </w:p>
        </w:tc>
        <w:tc>
          <w:tcPr>
            <w:tcW w:w="1168"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Tiesiskā regulējuma ietekme uz tautsaimniecību un administratīvo slogu</w:t>
            </w:r>
          </w:p>
        </w:tc>
        <w:tc>
          <w:tcPr>
            <w:tcW w:w="3554"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463C72">
            <w:pPr>
              <w:spacing w:after="0" w:line="240" w:lineRule="auto"/>
              <w:ind w:right="102"/>
              <w:contextualSpacing/>
              <w:jc w:val="both"/>
              <w:rPr>
                <w:rFonts w:eastAsia="Times New Roman" w:cs="Times New Roman"/>
                <w:szCs w:val="24"/>
              </w:rPr>
            </w:pPr>
            <w:r>
              <w:rPr>
                <w:lang w:eastAsia="en-US" w:bidi="lo-LA"/>
              </w:rPr>
              <w:t xml:space="preserve">Likumprojekts šo jomu </w:t>
            </w:r>
            <w:r w:rsidRPr="00A11330">
              <w:rPr>
                <w:lang w:eastAsia="en-US" w:bidi="lo-LA"/>
              </w:rPr>
              <w:t>neskar</w:t>
            </w:r>
            <w:r w:rsidRPr="00A11330">
              <w:rPr>
                <w:rFonts w:eastAsia="Times New Roman" w:cs="Times New Roman"/>
                <w:szCs w:val="24"/>
              </w:rPr>
              <w:t>.</w:t>
            </w:r>
            <w:r>
              <w:rPr>
                <w:rFonts w:eastAsia="Times New Roman" w:cs="Times New Roman"/>
                <w:szCs w:val="24"/>
              </w:rPr>
              <w:t xml:space="preserve"> </w:t>
            </w:r>
          </w:p>
        </w:tc>
      </w:tr>
      <w:tr w:rsidR="00D947D8" w:rsidRPr="00722E8E" w:rsidTr="00D947D8">
        <w:trPr>
          <w:trHeight w:val="510"/>
        </w:trPr>
        <w:tc>
          <w:tcPr>
            <w:tcW w:w="278"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3.</w:t>
            </w:r>
          </w:p>
        </w:tc>
        <w:tc>
          <w:tcPr>
            <w:tcW w:w="1168"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Administratīvo izmaksu monetārs novērtējums</w:t>
            </w:r>
          </w:p>
        </w:tc>
        <w:tc>
          <w:tcPr>
            <w:tcW w:w="3554"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463C72">
            <w:pPr>
              <w:spacing w:after="0" w:line="240" w:lineRule="auto"/>
              <w:ind w:right="102"/>
              <w:contextualSpacing/>
              <w:rPr>
                <w:rFonts w:eastAsia="Times New Roman" w:cs="Times New Roman"/>
                <w:szCs w:val="24"/>
              </w:rPr>
            </w:pPr>
            <w:r>
              <w:rPr>
                <w:lang w:eastAsia="en-US" w:bidi="lo-LA"/>
              </w:rPr>
              <w:t>Likumprojekts šo jomu neskar</w:t>
            </w:r>
            <w:r>
              <w:rPr>
                <w:rFonts w:eastAsia="Times New Roman" w:cs="Times New Roman"/>
                <w:szCs w:val="24"/>
              </w:rPr>
              <w:t>.</w:t>
            </w:r>
          </w:p>
        </w:tc>
      </w:tr>
      <w:tr w:rsidR="00D947D8" w:rsidRPr="00722E8E" w:rsidTr="00D947D8">
        <w:trPr>
          <w:trHeight w:val="345"/>
        </w:trPr>
        <w:tc>
          <w:tcPr>
            <w:tcW w:w="278"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4.</w:t>
            </w:r>
          </w:p>
        </w:tc>
        <w:tc>
          <w:tcPr>
            <w:tcW w:w="1168"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Cita informācija</w:t>
            </w:r>
          </w:p>
        </w:tc>
        <w:tc>
          <w:tcPr>
            <w:tcW w:w="3554" w:type="pct"/>
            <w:tcBorders>
              <w:top w:val="outset" w:sz="6" w:space="0" w:color="414142"/>
              <w:left w:val="outset" w:sz="6" w:space="0" w:color="414142"/>
              <w:bottom w:val="outset" w:sz="6" w:space="0" w:color="414142"/>
              <w:right w:val="outset" w:sz="6" w:space="0" w:color="414142"/>
            </w:tcBorders>
            <w:hideMark/>
          </w:tcPr>
          <w:p w:rsidR="00D947D8" w:rsidRDefault="00D947D8" w:rsidP="00463C72">
            <w:pPr>
              <w:spacing w:after="0" w:line="240" w:lineRule="auto"/>
              <w:ind w:right="102"/>
              <w:contextualSpacing/>
              <w:rPr>
                <w:rFonts w:eastAsia="Times New Roman" w:cs="Times New Roman"/>
                <w:szCs w:val="24"/>
              </w:rPr>
            </w:pPr>
            <w:r>
              <w:rPr>
                <w:rFonts w:eastAsia="Times New Roman" w:cs="Times New Roman"/>
                <w:szCs w:val="24"/>
              </w:rPr>
              <w:t>Nav.</w:t>
            </w:r>
          </w:p>
          <w:p w:rsidR="00D947D8" w:rsidRPr="00722E8E" w:rsidRDefault="00D947D8" w:rsidP="00463C72">
            <w:pPr>
              <w:spacing w:after="0" w:line="240" w:lineRule="auto"/>
              <w:ind w:right="102"/>
              <w:contextualSpacing/>
              <w:rPr>
                <w:rFonts w:eastAsia="Times New Roman" w:cs="Times New Roman"/>
                <w:szCs w:val="24"/>
              </w:rPr>
            </w:pPr>
          </w:p>
        </w:tc>
      </w:tr>
    </w:tbl>
    <w:p w:rsidR="005F6D3F" w:rsidRDefault="005F6D3F" w:rsidP="005F6D3F">
      <w:pPr>
        <w:spacing w:after="0" w:line="240" w:lineRule="auto"/>
        <w:contextualSpacing/>
        <w:rPr>
          <w:rFonts w:eastAsia="Times New Roman" w:cs="Times New Roman"/>
          <w:szCs w:val="24"/>
        </w:rPr>
      </w:pPr>
    </w:p>
    <w:p w:rsidR="005F6D3F" w:rsidRPr="00722E8E" w:rsidRDefault="005F6D3F" w:rsidP="005F6D3F">
      <w:pPr>
        <w:spacing w:after="0" w:line="240" w:lineRule="auto"/>
        <w:contextualSpacing/>
        <w:rPr>
          <w:rFonts w:eastAsia="Times New Roman" w:cs="Times New Roman"/>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B3920" w:rsidRPr="00722E8E" w:rsidTr="005A2E33">
        <w:trPr>
          <w:trHeight w:val="314"/>
        </w:trPr>
        <w:tc>
          <w:tcPr>
            <w:tcW w:w="9356" w:type="dxa"/>
            <w:tcBorders>
              <w:top w:val="single" w:sz="4" w:space="0" w:color="auto"/>
              <w:left w:val="single" w:sz="4" w:space="0" w:color="auto"/>
              <w:bottom w:val="single" w:sz="4" w:space="0" w:color="auto"/>
              <w:right w:val="single" w:sz="4" w:space="0" w:color="auto"/>
            </w:tcBorders>
            <w:hideMark/>
          </w:tcPr>
          <w:p w:rsidR="001B3920" w:rsidRPr="00722E8E" w:rsidRDefault="00074D5C" w:rsidP="009200FE">
            <w:pPr>
              <w:spacing w:after="0" w:line="240" w:lineRule="auto"/>
              <w:contextualSpacing/>
              <w:jc w:val="center"/>
              <w:rPr>
                <w:rFonts w:eastAsia="Times New Roman" w:cs="Times New Roman"/>
                <w:b/>
                <w:szCs w:val="24"/>
              </w:rPr>
            </w:pPr>
            <w:r>
              <w:rPr>
                <w:rFonts w:eastAsia="Times New Roman" w:cs="Times New Roman"/>
                <w:szCs w:val="24"/>
              </w:rPr>
              <w:br w:type="page"/>
            </w:r>
            <w:r>
              <w:rPr>
                <w:rFonts w:eastAsia="Times New Roman" w:cs="Times New Roman"/>
                <w:b/>
                <w:szCs w:val="24"/>
              </w:rPr>
              <w:t>III. Tiesību akta projekta ietekme uz valsts budžetu un pašvaldību budžetiem</w:t>
            </w:r>
          </w:p>
        </w:tc>
      </w:tr>
      <w:tr w:rsidR="001B3920" w:rsidRPr="00722E8E" w:rsidTr="005A2E33">
        <w:trPr>
          <w:trHeight w:val="551"/>
        </w:trPr>
        <w:tc>
          <w:tcPr>
            <w:tcW w:w="9356" w:type="dxa"/>
            <w:tcBorders>
              <w:top w:val="single" w:sz="4" w:space="0" w:color="auto"/>
              <w:left w:val="single" w:sz="4" w:space="0" w:color="auto"/>
              <w:bottom w:val="single" w:sz="4" w:space="0" w:color="auto"/>
              <w:right w:val="single" w:sz="4" w:space="0" w:color="auto"/>
            </w:tcBorders>
            <w:hideMark/>
          </w:tcPr>
          <w:p w:rsidR="009200FE" w:rsidRDefault="00F30A85" w:rsidP="003D544F">
            <w:pPr>
              <w:spacing w:after="0" w:line="240" w:lineRule="auto"/>
              <w:contextualSpacing/>
              <w:rPr>
                <w:rFonts w:eastAsia="Times New Roman" w:cs="Times New Roman"/>
                <w:szCs w:val="24"/>
                <w:highlight w:val="yellow"/>
              </w:rPr>
            </w:pPr>
            <w:r>
              <w:rPr>
                <w:lang w:eastAsia="en-US" w:bidi="lo-LA"/>
              </w:rPr>
              <w:t xml:space="preserve">Likumprojekts šo jomu </w:t>
            </w:r>
            <w:r w:rsidRPr="00F30A85">
              <w:rPr>
                <w:lang w:eastAsia="en-US" w:bidi="lo-LA"/>
              </w:rPr>
              <w:t>neskar</w:t>
            </w:r>
            <w:r w:rsidRPr="00F30A85">
              <w:rPr>
                <w:rFonts w:eastAsia="Times New Roman" w:cs="Times New Roman"/>
                <w:szCs w:val="24"/>
              </w:rPr>
              <w:t>.</w:t>
            </w:r>
          </w:p>
        </w:tc>
      </w:tr>
    </w:tbl>
    <w:p w:rsidR="00CE7BA5" w:rsidRPr="00722E8E" w:rsidRDefault="00CE7BA5"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70"/>
        <w:gridCol w:w="2254"/>
        <w:gridCol w:w="6690"/>
      </w:tblGrid>
      <w:tr w:rsidR="004D15A9" w:rsidRPr="00722E8E"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22E8E" w:rsidRDefault="00074D5C" w:rsidP="005F6D3F">
            <w:pPr>
              <w:spacing w:after="0" w:line="240" w:lineRule="auto"/>
              <w:ind w:firstLine="300"/>
              <w:contextualSpacing/>
              <w:jc w:val="center"/>
              <w:rPr>
                <w:rFonts w:eastAsia="Times New Roman" w:cs="Times New Roman"/>
                <w:b/>
                <w:bCs/>
                <w:szCs w:val="24"/>
              </w:rPr>
            </w:pPr>
            <w:r>
              <w:rPr>
                <w:rFonts w:eastAsia="Times New Roman" w:cs="Times New Roman"/>
                <w:b/>
                <w:bCs/>
                <w:szCs w:val="24"/>
              </w:rPr>
              <w:t>IV. Tiesību akta projekta ietekme uz spēkā esošo tiesību normu sistēmu</w:t>
            </w:r>
          </w:p>
        </w:tc>
      </w:tr>
      <w:tr w:rsidR="00D947D8" w:rsidRPr="00722E8E" w:rsidTr="004D1690">
        <w:tc>
          <w:tcPr>
            <w:tcW w:w="250"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1.</w:t>
            </w:r>
          </w:p>
        </w:tc>
        <w:tc>
          <w:tcPr>
            <w:tcW w:w="1197"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Nepieciešamie saistītie tiesību aktu projekti</w:t>
            </w:r>
          </w:p>
        </w:tc>
        <w:tc>
          <w:tcPr>
            <w:tcW w:w="3553" w:type="pct"/>
            <w:tcBorders>
              <w:top w:val="outset" w:sz="6" w:space="0" w:color="414142"/>
              <w:left w:val="outset" w:sz="6" w:space="0" w:color="414142"/>
              <w:bottom w:val="outset" w:sz="6" w:space="0" w:color="414142"/>
              <w:right w:val="outset" w:sz="6" w:space="0" w:color="414142"/>
            </w:tcBorders>
            <w:hideMark/>
          </w:tcPr>
          <w:p w:rsidR="00D947D8" w:rsidRDefault="00D947D8" w:rsidP="00463C72">
            <w:pPr>
              <w:spacing w:after="0" w:line="240" w:lineRule="auto"/>
              <w:ind w:right="102" w:firstLine="489"/>
              <w:contextualSpacing/>
              <w:jc w:val="both"/>
              <w:rPr>
                <w:rFonts w:eastAsia="Times New Roman" w:cs="Times New Roman"/>
                <w:szCs w:val="24"/>
              </w:rPr>
            </w:pPr>
            <w:r>
              <w:rPr>
                <w:rFonts w:eastAsia="Times New Roman" w:cs="Times New Roman"/>
                <w:szCs w:val="24"/>
              </w:rPr>
              <w:t xml:space="preserve">Ņemot vērā likumprojektā paredzēto, līdz 2019. gada </w:t>
            </w:r>
            <w:r w:rsidR="00195A74">
              <w:rPr>
                <w:rFonts w:eastAsia="Times New Roman" w:cs="Times New Roman"/>
                <w:szCs w:val="24"/>
              </w:rPr>
              <w:t>3</w:t>
            </w:r>
            <w:r>
              <w:rPr>
                <w:rFonts w:eastAsia="Times New Roman" w:cs="Times New Roman"/>
                <w:szCs w:val="24"/>
              </w:rPr>
              <w:t>1. </w:t>
            </w:r>
            <w:r w:rsidR="00195A74">
              <w:rPr>
                <w:rFonts w:eastAsia="Times New Roman" w:cs="Times New Roman"/>
                <w:szCs w:val="24"/>
              </w:rPr>
              <w:t>decemb</w:t>
            </w:r>
            <w:r>
              <w:rPr>
                <w:rFonts w:eastAsia="Times New Roman" w:cs="Times New Roman"/>
                <w:szCs w:val="24"/>
              </w:rPr>
              <w:t>rim būs nepieciešams izdarīt grozījumus, kur tas nepieciešams, Ministru kabineta noteikumos, kas izdoti pamatojoties uz Iekšlietu sistēmas likumu, no šo noteikumu regulējuma loka izslēdzot DP. Uz DP ar 2019. gada 1. janvāri neattieksies šādi Ministru kabineta noteikumi:</w:t>
            </w:r>
          </w:p>
          <w:p w:rsidR="00D947D8" w:rsidRDefault="00D947D8" w:rsidP="00463C72">
            <w:pPr>
              <w:spacing w:after="0" w:line="240" w:lineRule="auto"/>
              <w:ind w:right="102" w:firstLine="489"/>
              <w:contextualSpacing/>
              <w:jc w:val="both"/>
              <w:rPr>
                <w:rFonts w:eastAsia="Times New Roman" w:cs="Times New Roman"/>
                <w:szCs w:val="24"/>
              </w:rPr>
            </w:pPr>
            <w:r>
              <w:rPr>
                <w:rFonts w:eastAsia="Times New Roman" w:cs="Times New Roman"/>
                <w:szCs w:val="24"/>
              </w:rPr>
              <w:t>- 2016. gada 20. decembra noteikumi Nr. 845 “</w:t>
            </w:r>
            <w:r w:rsidRPr="00F30A85">
              <w:rPr>
                <w:rFonts w:eastAsia="Times New Roman" w:cs="Times New Roman"/>
                <w:szCs w:val="24"/>
              </w:rPr>
              <w:t>Iekšlietu ministrijas sistēmas iestāžu un Ieslodzījuma vietu pārvaldes amatpersonu ar speciālajām dienesta pakāpēm darbības un tās rezultātu novērtēšanas kārtība</w:t>
            </w:r>
            <w:r>
              <w:rPr>
                <w:rFonts w:eastAsia="Times New Roman" w:cs="Times New Roman"/>
                <w:szCs w:val="24"/>
              </w:rPr>
              <w:t>”;</w:t>
            </w:r>
          </w:p>
          <w:p w:rsidR="00D947D8" w:rsidRDefault="00D947D8" w:rsidP="00463C72">
            <w:pPr>
              <w:spacing w:after="0" w:line="240" w:lineRule="auto"/>
              <w:ind w:right="102" w:firstLine="489"/>
              <w:contextualSpacing/>
              <w:jc w:val="both"/>
              <w:rPr>
                <w:rFonts w:eastAsia="Times New Roman" w:cs="Times New Roman"/>
                <w:szCs w:val="24"/>
              </w:rPr>
            </w:pPr>
            <w:r>
              <w:rPr>
                <w:rFonts w:eastAsia="Times New Roman" w:cs="Times New Roman"/>
                <w:szCs w:val="24"/>
              </w:rPr>
              <w:t>- 2013. gada 28. maija noteikumi Nr. 288 “</w:t>
            </w:r>
            <w:r w:rsidRPr="00F30A85">
              <w:rPr>
                <w:rFonts w:eastAsia="Times New Roman" w:cs="Times New Roman"/>
                <w:szCs w:val="24"/>
              </w:rPr>
              <w:t>Fiziskās sagatavotības prasības Iekšlietu ministrijas sistēmas iestāžu un Ieslodzījuma vietu pārvaldes amatpersonām ar speciālajām dienesta pakāpēm</w:t>
            </w:r>
            <w:r>
              <w:rPr>
                <w:rFonts w:eastAsia="Times New Roman" w:cs="Times New Roman"/>
                <w:szCs w:val="24"/>
              </w:rPr>
              <w:t>”;</w:t>
            </w:r>
          </w:p>
          <w:p w:rsidR="00D947D8" w:rsidRDefault="00D947D8" w:rsidP="00463C72">
            <w:pPr>
              <w:spacing w:after="0" w:line="240" w:lineRule="auto"/>
              <w:ind w:right="102" w:firstLine="489"/>
              <w:contextualSpacing/>
              <w:jc w:val="both"/>
              <w:rPr>
                <w:rFonts w:eastAsia="Times New Roman" w:cs="Times New Roman"/>
                <w:szCs w:val="24"/>
              </w:rPr>
            </w:pPr>
            <w:r>
              <w:rPr>
                <w:rFonts w:eastAsia="Times New Roman" w:cs="Times New Roman"/>
                <w:szCs w:val="24"/>
              </w:rPr>
              <w:t>- 2009. gada 5. maija noteikumi Nr. 386 “</w:t>
            </w:r>
            <w:r w:rsidRPr="00F30A85">
              <w:rPr>
                <w:rFonts w:eastAsia="Times New Roman" w:cs="Times New Roman"/>
                <w:szCs w:val="24"/>
              </w:rPr>
              <w:t xml:space="preserve">Noteikumi par kārtību un apmēru, kādā Iekšlietu ministrijas sistēmas iestāžu un </w:t>
            </w:r>
            <w:r w:rsidRPr="00F30A85">
              <w:rPr>
                <w:rFonts w:eastAsia="Times New Roman" w:cs="Times New Roman"/>
                <w:szCs w:val="24"/>
              </w:rPr>
              <w:lastRenderedPageBreak/>
              <w:t>Ieslodzījuma vietu pārvaldes amatpersona ar speciālo dienesta pakāpi, kuru atvaļina no dienesta, atmaksā izsniegtā formas tērpa atlikušo vērtību</w:t>
            </w:r>
            <w:r>
              <w:rPr>
                <w:rFonts w:eastAsia="Times New Roman" w:cs="Times New Roman"/>
                <w:szCs w:val="24"/>
              </w:rPr>
              <w:t>”;</w:t>
            </w:r>
          </w:p>
          <w:p w:rsidR="00D947D8" w:rsidRDefault="00D947D8" w:rsidP="00463C72">
            <w:pPr>
              <w:spacing w:after="0" w:line="240" w:lineRule="auto"/>
              <w:ind w:right="102" w:firstLine="489"/>
              <w:contextualSpacing/>
              <w:jc w:val="both"/>
              <w:rPr>
                <w:rFonts w:eastAsia="Times New Roman" w:cs="Times New Roman"/>
                <w:szCs w:val="24"/>
              </w:rPr>
            </w:pPr>
            <w:r>
              <w:rPr>
                <w:rFonts w:eastAsia="Times New Roman" w:cs="Times New Roman"/>
                <w:szCs w:val="24"/>
              </w:rPr>
              <w:t>- 2009. gada 10. februāra noteikumi Nr. 137 “</w:t>
            </w:r>
            <w:r w:rsidRPr="00F30A85">
              <w:rPr>
                <w:rFonts w:eastAsia="Times New Roman" w:cs="Times New Roman"/>
                <w:szCs w:val="24"/>
              </w:rPr>
              <w:t>Noteikumi 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rPr>
                <w:rFonts w:eastAsia="Times New Roman" w:cs="Times New Roman"/>
                <w:szCs w:val="24"/>
              </w:rPr>
              <w:t>”;</w:t>
            </w:r>
          </w:p>
          <w:p w:rsidR="00D947D8" w:rsidRDefault="00D947D8" w:rsidP="00463C72">
            <w:pPr>
              <w:spacing w:after="0" w:line="240" w:lineRule="auto"/>
              <w:ind w:right="102" w:firstLine="489"/>
              <w:contextualSpacing/>
              <w:jc w:val="both"/>
              <w:rPr>
                <w:rFonts w:eastAsia="Times New Roman" w:cs="Times New Roman"/>
                <w:szCs w:val="24"/>
              </w:rPr>
            </w:pPr>
            <w:r>
              <w:rPr>
                <w:rFonts w:eastAsia="Times New Roman" w:cs="Times New Roman"/>
                <w:szCs w:val="24"/>
              </w:rPr>
              <w:t>- 2007. gada 4. decembra noteikumi Nr. 837 “</w:t>
            </w:r>
            <w:r w:rsidRPr="006037C7">
              <w:rPr>
                <w:rFonts w:eastAsia="Times New Roman" w:cs="Times New Roman"/>
                <w:szCs w:val="24"/>
              </w:rPr>
              <w:t>Noteikumi par Drošības policijas amatpersonu dienesta apliecības paraugu un dienesta apliecības izsniegšanas un nodošanas kārtību</w:t>
            </w:r>
            <w:r>
              <w:rPr>
                <w:rFonts w:eastAsia="Times New Roman" w:cs="Times New Roman"/>
                <w:szCs w:val="24"/>
              </w:rPr>
              <w:t>”. Jānorāda, ka saistītais likumprojekts paredz vienota parauga apliecību izsniegšanu VDI amatpersonām;</w:t>
            </w:r>
          </w:p>
          <w:p w:rsidR="00D947D8" w:rsidRDefault="00D947D8" w:rsidP="00463C72">
            <w:pPr>
              <w:spacing w:after="0" w:line="240" w:lineRule="auto"/>
              <w:ind w:right="102" w:firstLine="489"/>
              <w:contextualSpacing/>
              <w:jc w:val="both"/>
            </w:pPr>
            <w:r>
              <w:rPr>
                <w:rFonts w:eastAsia="Times New Roman" w:cs="Times New Roman"/>
                <w:szCs w:val="24"/>
              </w:rPr>
              <w:t>- 2006. gada 21. novembra noteikumi Nr. 970 “</w:t>
            </w:r>
            <w:r>
              <w:t>Noteikumi par Iekšlietu 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kārtību”;</w:t>
            </w:r>
          </w:p>
          <w:p w:rsidR="00D947D8" w:rsidRDefault="00D947D8" w:rsidP="00463C72">
            <w:pPr>
              <w:spacing w:after="0" w:line="240" w:lineRule="auto"/>
              <w:ind w:right="102" w:firstLine="489"/>
              <w:contextualSpacing/>
              <w:jc w:val="both"/>
            </w:pPr>
            <w:r>
              <w:t>- 2006. gada 24. oktobra noteikumi Nr. 873 “Iekšlietu ministrijas sistēmas iestāžu un Ieslodzījuma vietu pārvaldes amatpersonu ar speciālajām dienesta pakāpēm amata aprakstu izstrādāšanas kārtība”.</w:t>
            </w:r>
          </w:p>
          <w:p w:rsidR="00D947D8" w:rsidRDefault="00D947D8" w:rsidP="00463C72">
            <w:pPr>
              <w:spacing w:after="0" w:line="240" w:lineRule="auto"/>
              <w:ind w:right="102" w:firstLine="489"/>
              <w:contextualSpacing/>
              <w:jc w:val="both"/>
              <w:rPr>
                <w:rFonts w:eastAsia="Times New Roman" w:cs="Times New Roman"/>
                <w:szCs w:val="24"/>
              </w:rPr>
            </w:pPr>
            <w:r>
              <w:rPr>
                <w:rFonts w:eastAsia="Times New Roman" w:cs="Times New Roman"/>
                <w:szCs w:val="24"/>
              </w:rPr>
              <w:t>Turpmāk attiecīgie jautājumi visām DP amatpersonām tiks regulēti atbilstoši VDI likumā noteiktajam VDI dienesta gaitas regulējumam.</w:t>
            </w:r>
          </w:p>
          <w:p w:rsidR="00D947D8" w:rsidRDefault="00D947D8" w:rsidP="00463C72">
            <w:pPr>
              <w:spacing w:after="0" w:line="240" w:lineRule="auto"/>
              <w:ind w:right="102" w:firstLine="489"/>
              <w:contextualSpacing/>
              <w:jc w:val="both"/>
              <w:rPr>
                <w:rFonts w:eastAsia="Times New Roman" w:cs="Times New Roman"/>
                <w:szCs w:val="24"/>
              </w:rPr>
            </w:pPr>
          </w:p>
          <w:p w:rsidR="00D947D8" w:rsidRDefault="00D947D8" w:rsidP="00463C72">
            <w:pPr>
              <w:spacing w:after="0" w:line="240" w:lineRule="auto"/>
              <w:ind w:right="102" w:firstLine="489"/>
              <w:contextualSpacing/>
              <w:jc w:val="both"/>
              <w:rPr>
                <w:rFonts w:eastAsia="Times New Roman" w:cs="Times New Roman"/>
                <w:szCs w:val="24"/>
              </w:rPr>
            </w:pPr>
            <w:r>
              <w:rPr>
                <w:rFonts w:eastAsia="Times New Roman" w:cs="Times New Roman"/>
                <w:szCs w:val="24"/>
              </w:rPr>
              <w:t>Likumprojekts virzāms vienlaicīgi ar likumprojektu “Grozījumi Valsts drošības iestāžu likumā”</w:t>
            </w:r>
            <w:r w:rsidR="00B06478" w:rsidRPr="002A2BFA">
              <w:t xml:space="preserve"> (</w:t>
            </w:r>
            <w:r w:rsidR="00B06478">
              <w:t xml:space="preserve">Valsts sekretāru sanāksmes </w:t>
            </w:r>
            <w:r w:rsidR="00B06478" w:rsidRPr="002A2BFA">
              <w:t>protokols Nr. Nr.</w:t>
            </w:r>
            <w:r w:rsidR="004140E5">
              <w:t xml:space="preserve"> </w:t>
            </w:r>
            <w:r w:rsidR="00B06478" w:rsidRPr="002A2BFA">
              <w:t>39, 1.§, VSS-1050)</w:t>
            </w:r>
            <w:r>
              <w:rPr>
                <w:rFonts w:eastAsia="Times New Roman" w:cs="Times New Roman"/>
                <w:szCs w:val="24"/>
              </w:rPr>
              <w:t>, kas paredz noteikt vienotu dienesta gaitas regulējumu VDI amatpersonām, kā arī ar šo likumprojektu saistītajiem likumprojektiem.</w:t>
            </w:r>
          </w:p>
          <w:p w:rsidR="00D947D8" w:rsidRPr="007D3A80" w:rsidRDefault="00D947D8" w:rsidP="00463C72">
            <w:pPr>
              <w:spacing w:after="0" w:line="240" w:lineRule="auto"/>
              <w:ind w:right="102" w:firstLine="489"/>
              <w:contextualSpacing/>
              <w:jc w:val="both"/>
              <w:rPr>
                <w:rFonts w:eastAsia="Times New Roman" w:cs="Times New Roman"/>
                <w:szCs w:val="24"/>
              </w:rPr>
            </w:pPr>
          </w:p>
        </w:tc>
      </w:tr>
      <w:tr w:rsidR="00D947D8" w:rsidRPr="00722E8E" w:rsidTr="004D1690">
        <w:tc>
          <w:tcPr>
            <w:tcW w:w="250"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lastRenderedPageBreak/>
              <w:t>2.</w:t>
            </w:r>
          </w:p>
        </w:tc>
        <w:tc>
          <w:tcPr>
            <w:tcW w:w="1197"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Atbildīgā institūcija</w:t>
            </w:r>
          </w:p>
        </w:tc>
        <w:tc>
          <w:tcPr>
            <w:tcW w:w="3553" w:type="pct"/>
            <w:tcBorders>
              <w:top w:val="outset" w:sz="6" w:space="0" w:color="414142"/>
              <w:left w:val="outset" w:sz="6" w:space="0" w:color="414142"/>
              <w:bottom w:val="outset" w:sz="6" w:space="0" w:color="414142"/>
              <w:right w:val="outset" w:sz="6" w:space="0" w:color="414142"/>
            </w:tcBorders>
            <w:hideMark/>
          </w:tcPr>
          <w:p w:rsidR="00D947D8" w:rsidRDefault="005A2E33" w:rsidP="00D947D8">
            <w:pPr>
              <w:spacing w:after="0" w:line="240" w:lineRule="auto"/>
              <w:contextualSpacing/>
              <w:rPr>
                <w:rFonts w:eastAsia="Times New Roman" w:cs="Times New Roman"/>
                <w:szCs w:val="24"/>
              </w:rPr>
            </w:pPr>
            <w:r>
              <w:rPr>
                <w:rFonts w:eastAsia="Times New Roman" w:cs="Times New Roman"/>
                <w:szCs w:val="24"/>
              </w:rPr>
              <w:t>1. </w:t>
            </w:r>
            <w:r w:rsidR="00D947D8">
              <w:rPr>
                <w:rFonts w:eastAsia="Times New Roman" w:cs="Times New Roman"/>
                <w:szCs w:val="24"/>
              </w:rPr>
              <w:t>VDI.</w:t>
            </w:r>
          </w:p>
          <w:p w:rsidR="005A2E33" w:rsidRDefault="005A2E33" w:rsidP="00D947D8">
            <w:pPr>
              <w:spacing w:after="0" w:line="240" w:lineRule="auto"/>
              <w:contextualSpacing/>
              <w:rPr>
                <w:rFonts w:eastAsia="Times New Roman" w:cs="Times New Roman"/>
                <w:szCs w:val="24"/>
              </w:rPr>
            </w:pPr>
            <w:r>
              <w:rPr>
                <w:rFonts w:eastAsia="Times New Roman" w:cs="Times New Roman"/>
                <w:szCs w:val="24"/>
              </w:rPr>
              <w:t>2. Iekšlietu ministrija.</w:t>
            </w:r>
          </w:p>
        </w:tc>
      </w:tr>
      <w:tr w:rsidR="00D947D8" w:rsidRPr="00722E8E" w:rsidTr="004D1690">
        <w:tc>
          <w:tcPr>
            <w:tcW w:w="250"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3.</w:t>
            </w:r>
          </w:p>
        </w:tc>
        <w:tc>
          <w:tcPr>
            <w:tcW w:w="1197"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Cita informācija</w:t>
            </w:r>
          </w:p>
        </w:tc>
        <w:tc>
          <w:tcPr>
            <w:tcW w:w="3553" w:type="pct"/>
            <w:tcBorders>
              <w:top w:val="outset" w:sz="6" w:space="0" w:color="414142"/>
              <w:left w:val="outset" w:sz="6" w:space="0" w:color="414142"/>
              <w:bottom w:val="outset" w:sz="6" w:space="0" w:color="414142"/>
              <w:right w:val="outset" w:sz="6" w:space="0" w:color="414142"/>
            </w:tcBorders>
            <w:hideMark/>
          </w:tcPr>
          <w:p w:rsidR="00D947D8" w:rsidRDefault="00D947D8" w:rsidP="00D947D8">
            <w:pPr>
              <w:spacing w:after="0" w:line="240" w:lineRule="auto"/>
              <w:contextualSpacing/>
              <w:rPr>
                <w:rFonts w:eastAsia="Times New Roman" w:cs="Times New Roman"/>
                <w:szCs w:val="24"/>
              </w:rPr>
            </w:pPr>
            <w:r>
              <w:rPr>
                <w:rFonts w:eastAsia="Times New Roman" w:cs="Times New Roman"/>
                <w:szCs w:val="24"/>
              </w:rPr>
              <w:t>Nav.</w:t>
            </w:r>
          </w:p>
          <w:p w:rsidR="00D947D8" w:rsidRPr="00722E8E" w:rsidRDefault="00D947D8" w:rsidP="00D947D8">
            <w:pPr>
              <w:spacing w:after="0" w:line="240" w:lineRule="auto"/>
              <w:contextualSpacing/>
              <w:rPr>
                <w:rFonts w:eastAsia="Times New Roman" w:cs="Times New Roman"/>
                <w:szCs w:val="24"/>
              </w:rPr>
            </w:pPr>
          </w:p>
        </w:tc>
      </w:tr>
    </w:tbl>
    <w:p w:rsidR="004D15A9" w:rsidRPr="00722E8E" w:rsidRDefault="004D15A9"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414"/>
      </w:tblGrid>
      <w:tr w:rsidR="004D15A9" w:rsidRPr="00722E8E" w:rsidTr="009B258C">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722E8E" w:rsidRDefault="00074D5C" w:rsidP="005F6D3F">
            <w:pPr>
              <w:spacing w:after="0" w:line="240" w:lineRule="auto"/>
              <w:ind w:firstLine="300"/>
              <w:contextualSpacing/>
              <w:jc w:val="center"/>
              <w:rPr>
                <w:rFonts w:eastAsia="Times New Roman" w:cs="Times New Roman"/>
                <w:b/>
                <w:bCs/>
                <w:szCs w:val="24"/>
              </w:rPr>
            </w:pPr>
            <w:r>
              <w:rPr>
                <w:rFonts w:eastAsia="Times New Roman" w:cs="Times New Roman"/>
                <w:b/>
                <w:bCs/>
                <w:szCs w:val="24"/>
              </w:rPr>
              <w:t>V. Tiesību akta projekta atbilstība Latvijas Republikas starptautiskajām saistībām</w:t>
            </w:r>
          </w:p>
        </w:tc>
      </w:tr>
      <w:tr w:rsidR="009B258C" w:rsidRPr="00722E8E" w:rsidTr="009B258C">
        <w:tc>
          <w:tcPr>
            <w:tcW w:w="5000" w:type="pct"/>
            <w:tcBorders>
              <w:top w:val="outset" w:sz="6" w:space="0" w:color="414142"/>
              <w:left w:val="outset" w:sz="6" w:space="0" w:color="414142"/>
              <w:bottom w:val="outset" w:sz="6" w:space="0" w:color="414142"/>
              <w:right w:val="outset" w:sz="6" w:space="0" w:color="414142"/>
            </w:tcBorders>
            <w:hideMark/>
          </w:tcPr>
          <w:p w:rsidR="009B258C" w:rsidRDefault="00DB38CF" w:rsidP="00DB38CF">
            <w:pPr>
              <w:spacing w:after="0" w:line="240" w:lineRule="auto"/>
              <w:contextualSpacing/>
              <w:rPr>
                <w:rFonts w:eastAsia="Times New Roman" w:cs="Times New Roman"/>
                <w:szCs w:val="24"/>
              </w:rPr>
            </w:pPr>
            <w:r>
              <w:rPr>
                <w:rFonts w:eastAsia="Times New Roman" w:cs="Times New Roman"/>
                <w:szCs w:val="24"/>
              </w:rPr>
              <w:t>Likump</w:t>
            </w:r>
            <w:r w:rsidR="00074D5C">
              <w:rPr>
                <w:rFonts w:eastAsia="Times New Roman" w:cs="Times New Roman"/>
                <w:szCs w:val="24"/>
              </w:rPr>
              <w:t>rojekts šo jomu neskar.</w:t>
            </w:r>
          </w:p>
          <w:p w:rsidR="005F6D3F" w:rsidRPr="00722E8E" w:rsidRDefault="005F6D3F" w:rsidP="005F6D3F">
            <w:pPr>
              <w:spacing w:after="0" w:line="240" w:lineRule="auto"/>
              <w:contextualSpacing/>
              <w:jc w:val="center"/>
              <w:rPr>
                <w:rFonts w:eastAsia="Times New Roman" w:cs="Times New Roman"/>
                <w:szCs w:val="24"/>
              </w:rPr>
            </w:pPr>
          </w:p>
        </w:tc>
      </w:tr>
    </w:tbl>
    <w:p w:rsidR="004D15A9" w:rsidRPr="00722E8E" w:rsidRDefault="004D15A9" w:rsidP="005F6D3F">
      <w:pPr>
        <w:spacing w:after="0" w:line="240" w:lineRule="auto"/>
        <w:contextualSpacing/>
        <w:rPr>
          <w:rFonts w:eastAsia="Times New Roman" w:cs="Times New Roman"/>
          <w:vanish/>
          <w:szCs w:val="24"/>
        </w:rPr>
      </w:pPr>
    </w:p>
    <w:p w:rsidR="004D15A9" w:rsidRPr="00722E8E" w:rsidRDefault="004D15A9"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71"/>
        <w:gridCol w:w="2824"/>
        <w:gridCol w:w="6119"/>
      </w:tblGrid>
      <w:tr w:rsidR="004D15A9" w:rsidRPr="00722E8E"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22E8E" w:rsidRDefault="00074D5C" w:rsidP="005F6D3F">
            <w:pPr>
              <w:spacing w:after="0" w:line="240" w:lineRule="auto"/>
              <w:ind w:firstLine="300"/>
              <w:contextualSpacing/>
              <w:jc w:val="center"/>
              <w:rPr>
                <w:rFonts w:eastAsia="Times New Roman" w:cs="Times New Roman"/>
                <w:b/>
                <w:bCs/>
                <w:szCs w:val="24"/>
              </w:rPr>
            </w:pPr>
            <w:r>
              <w:rPr>
                <w:rFonts w:eastAsia="Times New Roman" w:cs="Times New Roman"/>
                <w:b/>
                <w:bCs/>
                <w:szCs w:val="24"/>
              </w:rPr>
              <w:t>VI. Sabiedrības līdzdalība un komunikācijas aktivitātes</w:t>
            </w:r>
          </w:p>
        </w:tc>
      </w:tr>
      <w:tr w:rsidR="00D947D8" w:rsidRPr="00722E8E"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tabs>
                <w:tab w:val="center" w:pos="4153"/>
                <w:tab w:val="right" w:pos="8306"/>
              </w:tabs>
              <w:spacing w:after="0" w:line="240" w:lineRule="auto"/>
              <w:contextualSpacing/>
              <w:rPr>
                <w:rFonts w:eastAsia="Times New Roman" w:cs="Times New Roman"/>
                <w:szCs w:val="24"/>
              </w:rPr>
            </w:pPr>
            <w:r>
              <w:rPr>
                <w:rFonts w:eastAsia="Times New Roman" w:cs="Times New Roman"/>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tabs>
                <w:tab w:val="center" w:pos="4153"/>
                <w:tab w:val="right" w:pos="8306"/>
              </w:tabs>
              <w:spacing w:after="0" w:line="240" w:lineRule="auto"/>
              <w:contextualSpacing/>
              <w:rPr>
                <w:rFonts w:eastAsia="Times New Roman" w:cs="Times New Roman"/>
                <w:szCs w:val="24"/>
              </w:rPr>
            </w:pPr>
            <w:r>
              <w:rPr>
                <w:rFonts w:eastAsia="Times New Roman" w:cs="Times New Roman"/>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D947D8" w:rsidRDefault="00D947D8" w:rsidP="00463C72">
            <w:pPr>
              <w:spacing w:after="0" w:line="240" w:lineRule="auto"/>
              <w:ind w:right="102"/>
              <w:contextualSpacing/>
              <w:jc w:val="both"/>
              <w:rPr>
                <w:rFonts w:eastAsia="Times New Roman" w:cs="Times New Roman"/>
                <w:szCs w:val="24"/>
              </w:rPr>
            </w:pPr>
            <w:r>
              <w:rPr>
                <w:rFonts w:eastAsia="Times New Roman" w:cs="Times New Roman"/>
                <w:szCs w:val="24"/>
              </w:rPr>
              <w:t>Sabiedrības līdzdalība nav plānota, jo tas attiecas uz atsevišķu personu loku</w:t>
            </w:r>
            <w:bookmarkStart w:id="2" w:name="_GoBack"/>
            <w:bookmarkEnd w:id="2"/>
            <w:r>
              <w:rPr>
                <w:rFonts w:eastAsia="Times New Roman" w:cs="Times New Roman"/>
                <w:szCs w:val="24"/>
              </w:rPr>
              <w:t xml:space="preserve"> – DP amatpersonām ar speciālajām dienesta pakāpēm – un sabiedrību kopumā neietekmēs.</w:t>
            </w:r>
          </w:p>
        </w:tc>
      </w:tr>
      <w:tr w:rsidR="00D947D8" w:rsidRPr="00722E8E"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tabs>
                <w:tab w:val="center" w:pos="4153"/>
                <w:tab w:val="right" w:pos="8306"/>
              </w:tabs>
              <w:spacing w:after="0" w:line="240" w:lineRule="auto"/>
              <w:contextualSpacing/>
              <w:rPr>
                <w:rFonts w:eastAsia="Times New Roman" w:cs="Times New Roman"/>
                <w:szCs w:val="24"/>
              </w:rPr>
            </w:pPr>
            <w:r>
              <w:rPr>
                <w:rFonts w:eastAsia="Times New Roman" w:cs="Times New Roman"/>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tabs>
                <w:tab w:val="center" w:pos="4153"/>
                <w:tab w:val="right" w:pos="8306"/>
              </w:tabs>
              <w:spacing w:after="0" w:line="240" w:lineRule="auto"/>
              <w:contextualSpacing/>
              <w:rPr>
                <w:rFonts w:eastAsia="Times New Roman" w:cs="Times New Roman"/>
                <w:szCs w:val="24"/>
              </w:rPr>
            </w:pPr>
            <w:r>
              <w:rPr>
                <w:rFonts w:eastAsia="Times New Roman" w:cs="Times New Roman"/>
                <w:szCs w:val="24"/>
              </w:rPr>
              <w:t xml:space="preserve">Sabiedrības līdzdalība </w:t>
            </w:r>
            <w:r>
              <w:rPr>
                <w:rFonts w:eastAsia="Times New Roman" w:cs="Times New Roman"/>
                <w:szCs w:val="24"/>
              </w:rPr>
              <w:lastRenderedPageBreak/>
              <w:t>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lastRenderedPageBreak/>
              <w:t>Likumprojekts šo jomu neskar.</w:t>
            </w:r>
          </w:p>
        </w:tc>
      </w:tr>
      <w:tr w:rsidR="00D947D8" w:rsidRPr="00722E8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Likumprojekts šo jomu neskar.</w:t>
            </w:r>
          </w:p>
        </w:tc>
      </w:tr>
      <w:tr w:rsidR="00D947D8" w:rsidRPr="00722E8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D947D8" w:rsidRPr="00722E8E" w:rsidRDefault="00D947D8" w:rsidP="00D947D8">
            <w:pPr>
              <w:spacing w:after="0" w:line="240" w:lineRule="auto"/>
              <w:contextualSpacing/>
              <w:rPr>
                <w:rFonts w:eastAsia="Times New Roman" w:cs="Times New Roman"/>
                <w:szCs w:val="24"/>
              </w:rPr>
            </w:pPr>
            <w:r>
              <w:rPr>
                <w:rFonts w:eastAsia="Times New Roman" w:cs="Times New Roman"/>
                <w:szCs w:val="24"/>
              </w:rPr>
              <w:t>Nav.</w:t>
            </w:r>
          </w:p>
        </w:tc>
      </w:tr>
    </w:tbl>
    <w:p w:rsidR="004D15A9" w:rsidRPr="00722E8E" w:rsidRDefault="004D15A9"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71"/>
        <w:gridCol w:w="2820"/>
        <w:gridCol w:w="6123"/>
      </w:tblGrid>
      <w:tr w:rsidR="004D15A9" w:rsidRPr="00722E8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22E8E" w:rsidRDefault="00074D5C" w:rsidP="005F6D3F">
            <w:pPr>
              <w:spacing w:after="0" w:line="240" w:lineRule="auto"/>
              <w:ind w:firstLine="300"/>
              <w:contextualSpacing/>
              <w:jc w:val="center"/>
              <w:rPr>
                <w:rFonts w:eastAsia="Times New Roman" w:cs="Times New Roman"/>
                <w:b/>
                <w:bCs/>
                <w:szCs w:val="24"/>
              </w:rPr>
            </w:pPr>
            <w:r>
              <w:rPr>
                <w:rFonts w:eastAsia="Times New Roman" w:cs="Times New Roman"/>
                <w:b/>
                <w:bCs/>
                <w:szCs w:val="24"/>
              </w:rPr>
              <w:t>VII. Tiesību akta projekta izpildes nodrošināšana un tās ietekme uz institūcijām</w:t>
            </w:r>
          </w:p>
        </w:tc>
      </w:tr>
      <w:tr w:rsidR="004D15A9" w:rsidRPr="00722E8E" w:rsidTr="006037C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1.</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rsidR="004D15A9" w:rsidRDefault="00DB38CF" w:rsidP="005F6D3F">
            <w:pPr>
              <w:spacing w:after="0" w:line="240" w:lineRule="auto"/>
              <w:contextualSpacing/>
              <w:rPr>
                <w:rFonts w:eastAsia="Times New Roman" w:cs="Times New Roman"/>
                <w:szCs w:val="24"/>
              </w:rPr>
            </w:pPr>
            <w:r>
              <w:rPr>
                <w:rFonts w:eastAsia="Times New Roman" w:cs="Times New Roman"/>
                <w:szCs w:val="24"/>
              </w:rPr>
              <w:t>1. </w:t>
            </w:r>
            <w:r w:rsidR="0040490D">
              <w:rPr>
                <w:rFonts w:eastAsia="Times New Roman" w:cs="Times New Roman"/>
                <w:szCs w:val="24"/>
              </w:rPr>
              <w:t>DP</w:t>
            </w:r>
            <w:r w:rsidR="0075698A">
              <w:rPr>
                <w:rFonts w:eastAsia="Times New Roman" w:cs="Times New Roman"/>
                <w:szCs w:val="24"/>
              </w:rPr>
              <w:t>;</w:t>
            </w:r>
          </w:p>
          <w:p w:rsidR="00DB38CF" w:rsidRPr="00722E8E" w:rsidRDefault="00DB38CF" w:rsidP="00DB38CF">
            <w:pPr>
              <w:spacing w:after="0" w:line="240" w:lineRule="auto"/>
              <w:contextualSpacing/>
              <w:rPr>
                <w:rFonts w:eastAsia="Times New Roman" w:cs="Times New Roman"/>
                <w:szCs w:val="24"/>
              </w:rPr>
            </w:pPr>
            <w:r>
              <w:rPr>
                <w:rFonts w:eastAsia="Times New Roman" w:cs="Times New Roman"/>
                <w:szCs w:val="24"/>
              </w:rPr>
              <w:t>2. Iekšlietu ministrija.</w:t>
            </w:r>
          </w:p>
        </w:tc>
      </w:tr>
      <w:tr w:rsidR="004D15A9" w:rsidRPr="00722E8E" w:rsidTr="006037C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2.</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 xml:space="preserve">Projekta izpildes ietekme uz pārvaldes funkcijām un institucionālo struktūru. </w:t>
            </w:r>
          </w:p>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rsidR="008939E7" w:rsidRDefault="008939E7" w:rsidP="008939E7">
            <w:pPr>
              <w:tabs>
                <w:tab w:val="center" w:pos="4153"/>
                <w:tab w:val="right" w:pos="8306"/>
              </w:tabs>
              <w:spacing w:after="0" w:line="240" w:lineRule="auto"/>
              <w:contextualSpacing/>
              <w:jc w:val="both"/>
              <w:rPr>
                <w:rFonts w:eastAsia="Times New Roman" w:cs="Times New Roman"/>
                <w:szCs w:val="24"/>
              </w:rPr>
            </w:pPr>
            <w:r>
              <w:rPr>
                <w:rFonts w:eastAsia="Times New Roman" w:cs="Times New Roman"/>
                <w:szCs w:val="24"/>
              </w:rPr>
              <w:t xml:space="preserve">Jaunu institūciju izveide, esošu </w:t>
            </w:r>
            <w:r w:rsidRPr="00722E8E">
              <w:rPr>
                <w:rFonts w:eastAsia="Times New Roman" w:cs="Times New Roman"/>
                <w:szCs w:val="24"/>
              </w:rPr>
              <w:t>institūciju</w:t>
            </w:r>
            <w:r>
              <w:rPr>
                <w:rFonts w:eastAsia="Times New Roman" w:cs="Times New Roman"/>
                <w:szCs w:val="24"/>
              </w:rPr>
              <w:t xml:space="preserve"> likvidācija vai reorganizācija nebūs nepieciešama.</w:t>
            </w:r>
          </w:p>
          <w:p w:rsidR="008939E7" w:rsidRPr="00AA75D2" w:rsidRDefault="008939E7" w:rsidP="008939E7">
            <w:pPr>
              <w:tabs>
                <w:tab w:val="center" w:pos="4153"/>
                <w:tab w:val="right" w:pos="8306"/>
              </w:tabs>
              <w:spacing w:after="0" w:line="240" w:lineRule="auto"/>
              <w:contextualSpacing/>
              <w:jc w:val="both"/>
              <w:rPr>
                <w:rFonts w:eastAsia="Times New Roman" w:cs="Times New Roman"/>
                <w:szCs w:val="24"/>
              </w:rPr>
            </w:pPr>
            <w:r w:rsidRPr="00AA75D2">
              <w:rPr>
                <w:rFonts w:eastAsia="Times New Roman" w:cs="Times New Roman"/>
                <w:szCs w:val="24"/>
              </w:rPr>
              <w:t>Projekta izpilde notiks esošo pārvaldes funkciju</w:t>
            </w:r>
            <w:r w:rsidRPr="00541BA0">
              <w:t xml:space="preserve"> </w:t>
            </w:r>
            <w:r w:rsidRPr="00AA75D2">
              <w:rPr>
                <w:rFonts w:eastAsia="Times New Roman" w:cs="Times New Roman"/>
                <w:szCs w:val="24"/>
              </w:rPr>
              <w:t>ietvaros.</w:t>
            </w:r>
          </w:p>
          <w:p w:rsidR="004D15A9" w:rsidRPr="00722E8E" w:rsidRDefault="004D15A9" w:rsidP="005F6D3F">
            <w:pPr>
              <w:spacing w:after="0" w:line="240" w:lineRule="auto"/>
              <w:contextualSpacing/>
              <w:jc w:val="both"/>
              <w:rPr>
                <w:rFonts w:eastAsia="Times New Roman" w:cs="Times New Roman"/>
                <w:szCs w:val="24"/>
              </w:rPr>
            </w:pPr>
          </w:p>
        </w:tc>
      </w:tr>
      <w:tr w:rsidR="004D15A9" w:rsidRPr="00722E8E" w:rsidTr="006037C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3.</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Nav.</w:t>
            </w:r>
          </w:p>
        </w:tc>
      </w:tr>
    </w:tbl>
    <w:p w:rsidR="007C7E93" w:rsidRPr="00722E8E" w:rsidRDefault="007C7E93" w:rsidP="005F6D3F">
      <w:pPr>
        <w:pStyle w:val="naisf"/>
        <w:tabs>
          <w:tab w:val="right" w:pos="8280"/>
        </w:tabs>
        <w:spacing w:before="0" w:beforeAutospacing="0" w:after="0" w:afterAutospacing="0"/>
        <w:contextualSpacing/>
      </w:pPr>
    </w:p>
    <w:p w:rsidR="00E87E75" w:rsidRDefault="00E87E75" w:rsidP="005F6D3F">
      <w:pPr>
        <w:spacing w:after="0" w:line="240" w:lineRule="auto"/>
        <w:contextualSpacing/>
        <w:rPr>
          <w:rFonts w:cs="Times New Roman"/>
          <w:szCs w:val="24"/>
        </w:rPr>
      </w:pPr>
    </w:p>
    <w:p w:rsidR="007C7E93" w:rsidRPr="00722E8E" w:rsidRDefault="00E87E75" w:rsidP="005F6D3F">
      <w:pPr>
        <w:spacing w:after="0" w:line="240" w:lineRule="auto"/>
        <w:contextualSpacing/>
        <w:rPr>
          <w:rFonts w:cs="Times New Roman"/>
          <w:szCs w:val="24"/>
        </w:rPr>
      </w:pPr>
      <w:r>
        <w:rPr>
          <w:rFonts w:cs="Times New Roman"/>
          <w:szCs w:val="24"/>
        </w:rPr>
        <w:t>Aizsardzības</w:t>
      </w:r>
      <w:r w:rsidR="001E7C63">
        <w:rPr>
          <w:rFonts w:cs="Times New Roman"/>
          <w:szCs w:val="24"/>
        </w:rPr>
        <w:t xml:space="preserve"> </w:t>
      </w:r>
      <w:r w:rsidR="00074D5C">
        <w:rPr>
          <w:rFonts w:cs="Times New Roman"/>
          <w:szCs w:val="24"/>
        </w:rPr>
        <w:t>ministrs</w:t>
      </w:r>
      <w:r w:rsidR="00074D5C" w:rsidRPr="00074D5C">
        <w:rPr>
          <w:rFonts w:cs="Times New Roman"/>
          <w:szCs w:val="24"/>
        </w:rPr>
        <w:tab/>
      </w:r>
      <w:r w:rsidR="00074D5C" w:rsidRPr="00074D5C">
        <w:rPr>
          <w:rFonts w:cs="Times New Roman"/>
          <w:szCs w:val="24"/>
        </w:rPr>
        <w:tab/>
      </w:r>
      <w:r w:rsidR="00074D5C" w:rsidRPr="00074D5C">
        <w:rPr>
          <w:rFonts w:cs="Times New Roman"/>
          <w:szCs w:val="24"/>
        </w:rPr>
        <w:tab/>
      </w:r>
      <w:r w:rsidR="00074D5C" w:rsidRPr="00074D5C">
        <w:rPr>
          <w:rFonts w:cs="Times New Roman"/>
          <w:szCs w:val="24"/>
        </w:rPr>
        <w:tab/>
      </w:r>
      <w:r w:rsidR="00074D5C" w:rsidRPr="00074D5C">
        <w:rPr>
          <w:rFonts w:cs="Times New Roman"/>
          <w:szCs w:val="24"/>
        </w:rPr>
        <w:tab/>
      </w:r>
      <w:r w:rsidR="00074D5C" w:rsidRPr="00074D5C">
        <w:rPr>
          <w:rFonts w:cs="Times New Roman"/>
          <w:szCs w:val="24"/>
        </w:rPr>
        <w:tab/>
      </w:r>
      <w:r>
        <w:rPr>
          <w:rFonts w:cs="Times New Roman"/>
          <w:szCs w:val="24"/>
        </w:rPr>
        <w:tab/>
      </w:r>
      <w:r>
        <w:rPr>
          <w:rFonts w:cs="Times New Roman"/>
          <w:szCs w:val="24"/>
        </w:rPr>
        <w:tab/>
      </w:r>
      <w:r>
        <w:rPr>
          <w:rFonts w:cs="Times New Roman"/>
          <w:szCs w:val="24"/>
        </w:rPr>
        <w:tab/>
        <w:t>R.Bergmanis</w:t>
      </w:r>
      <w:r w:rsidR="00074D5C">
        <w:rPr>
          <w:rFonts w:cs="Times New Roman"/>
          <w:szCs w:val="24"/>
        </w:rPr>
        <w:tab/>
      </w:r>
      <w:r w:rsidR="00074D5C">
        <w:rPr>
          <w:rFonts w:cs="Times New Roman"/>
          <w:szCs w:val="24"/>
        </w:rPr>
        <w:tab/>
      </w:r>
      <w:r w:rsidR="00074D5C">
        <w:rPr>
          <w:rFonts w:cs="Times New Roman"/>
          <w:szCs w:val="24"/>
        </w:rPr>
        <w:tab/>
        <w:t xml:space="preserve">                             </w:t>
      </w:r>
    </w:p>
    <w:p w:rsidR="00A11B29" w:rsidRDefault="00A11B29" w:rsidP="00A11B29">
      <w:pPr>
        <w:spacing w:after="0" w:line="240" w:lineRule="auto"/>
        <w:jc w:val="both"/>
        <w:rPr>
          <w:rFonts w:eastAsia="Times New Roman" w:cs="Times New Roman"/>
          <w:szCs w:val="24"/>
        </w:rPr>
      </w:pPr>
    </w:p>
    <w:p w:rsidR="00A11B29" w:rsidRDefault="00A11B29" w:rsidP="00A11B29">
      <w:pPr>
        <w:spacing w:after="0" w:line="240" w:lineRule="auto"/>
        <w:jc w:val="both"/>
        <w:rPr>
          <w:rFonts w:eastAsia="Times New Roman" w:cs="Times New Roman"/>
          <w:szCs w:val="24"/>
        </w:rPr>
      </w:pPr>
      <w:r>
        <w:rPr>
          <w:rFonts w:eastAsia="Times New Roman" w:cs="Times New Roman"/>
          <w:szCs w:val="24"/>
        </w:rPr>
        <w:t>Vīza: valsts sekretārs</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006037C7">
        <w:rPr>
          <w:rFonts w:eastAsia="Times New Roman" w:cs="Times New Roman"/>
          <w:szCs w:val="24"/>
        </w:rPr>
        <w:tab/>
      </w:r>
      <w:r w:rsidR="006037C7">
        <w:rPr>
          <w:rFonts w:eastAsia="Times New Roman" w:cs="Times New Roman"/>
          <w:szCs w:val="24"/>
        </w:rPr>
        <w:tab/>
      </w:r>
      <w:r>
        <w:rPr>
          <w:rFonts w:eastAsia="Times New Roman" w:cs="Times New Roman"/>
          <w:szCs w:val="24"/>
        </w:rPr>
        <w:tab/>
        <w:t>J.</w:t>
      </w:r>
      <w:r w:rsidR="00DB38CF">
        <w:rPr>
          <w:rFonts w:eastAsia="Times New Roman" w:cs="Times New Roman"/>
          <w:szCs w:val="24"/>
        </w:rPr>
        <w:t> </w:t>
      </w:r>
      <w:proofErr w:type="spellStart"/>
      <w:r>
        <w:rPr>
          <w:rFonts w:eastAsia="Times New Roman" w:cs="Times New Roman"/>
          <w:szCs w:val="24"/>
        </w:rPr>
        <w:t>Garisons</w:t>
      </w:r>
      <w:proofErr w:type="spellEnd"/>
    </w:p>
    <w:p w:rsidR="007C7E93" w:rsidRPr="00722E8E" w:rsidRDefault="007C7E93" w:rsidP="005F6D3F">
      <w:pPr>
        <w:spacing w:after="0" w:line="240" w:lineRule="auto"/>
        <w:contextualSpacing/>
        <w:rPr>
          <w:rFonts w:cs="Times New Roman"/>
          <w:szCs w:val="24"/>
        </w:rPr>
      </w:pPr>
    </w:p>
    <w:p w:rsidR="007C7E93" w:rsidRPr="00722E8E" w:rsidRDefault="007C7E93" w:rsidP="005F6D3F">
      <w:pPr>
        <w:spacing w:after="0" w:line="240" w:lineRule="auto"/>
        <w:contextualSpacing/>
        <w:rPr>
          <w:rFonts w:cs="Times New Roman"/>
          <w:szCs w:val="24"/>
        </w:rPr>
      </w:pPr>
    </w:p>
    <w:p w:rsidR="002E1516" w:rsidRDefault="002E1516" w:rsidP="005F6D3F">
      <w:pPr>
        <w:spacing w:after="0" w:line="240" w:lineRule="auto"/>
        <w:contextualSpacing/>
        <w:rPr>
          <w:rFonts w:cs="Times New Roman"/>
          <w:sz w:val="20"/>
          <w:szCs w:val="20"/>
        </w:rPr>
      </w:pPr>
    </w:p>
    <w:p w:rsidR="00F5411B" w:rsidRPr="00305D15" w:rsidRDefault="00F5411B" w:rsidP="00F5411B">
      <w:pPr>
        <w:contextualSpacing/>
        <w:rPr>
          <w:sz w:val="20"/>
          <w:szCs w:val="20"/>
        </w:rPr>
      </w:pPr>
      <w:r w:rsidRPr="00305D15">
        <w:rPr>
          <w:sz w:val="20"/>
          <w:szCs w:val="20"/>
        </w:rPr>
        <w:t>I.Rudzīte, 671778</w:t>
      </w:r>
      <w:r>
        <w:rPr>
          <w:sz w:val="20"/>
          <w:szCs w:val="20"/>
        </w:rPr>
        <w:t>79</w:t>
      </w:r>
    </w:p>
    <w:p w:rsidR="00F5411B" w:rsidRPr="00787F49" w:rsidRDefault="00F5411B" w:rsidP="00F5411B">
      <w:pPr>
        <w:contextualSpacing/>
        <w:rPr>
          <w:sz w:val="20"/>
          <w:szCs w:val="20"/>
        </w:rPr>
      </w:pPr>
      <w:r w:rsidRPr="00305D15">
        <w:rPr>
          <w:sz w:val="20"/>
          <w:szCs w:val="20"/>
        </w:rPr>
        <w:t>Inese.Rudzite@midd.gov.lv</w:t>
      </w:r>
    </w:p>
    <w:p w:rsidR="006037C7" w:rsidRPr="002E1516" w:rsidRDefault="006037C7" w:rsidP="00F5411B">
      <w:pPr>
        <w:spacing w:after="0" w:line="240" w:lineRule="auto"/>
        <w:contextualSpacing/>
        <w:rPr>
          <w:rFonts w:cs="Times New Roman"/>
          <w:sz w:val="20"/>
          <w:szCs w:val="20"/>
        </w:rPr>
      </w:pPr>
    </w:p>
    <w:sectPr w:rsidR="006037C7" w:rsidRPr="002E1516" w:rsidSect="005A2E33">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A74" w:rsidRDefault="00195A74" w:rsidP="004D15A9">
      <w:pPr>
        <w:spacing w:after="0" w:line="240" w:lineRule="auto"/>
      </w:pPr>
      <w:r>
        <w:separator/>
      </w:r>
    </w:p>
  </w:endnote>
  <w:endnote w:type="continuationSeparator" w:id="0">
    <w:p w:rsidR="00195A74" w:rsidRDefault="00195A74" w:rsidP="004D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FB" w:rsidRDefault="007E47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74" w:rsidRPr="00BC7105" w:rsidRDefault="00D21F6F" w:rsidP="00BC7105">
    <w:pPr>
      <w:pStyle w:val="Footer"/>
      <w:spacing w:before="120"/>
      <w:jc w:val="both"/>
      <w:rPr>
        <w:rFonts w:eastAsia="Times New Roman" w:cs="Times New Roman"/>
        <w:bCs/>
        <w:sz w:val="20"/>
        <w:szCs w:val="20"/>
      </w:rPr>
    </w:pPr>
    <w:r>
      <w:fldChar w:fldCharType="begin"/>
    </w:r>
    <w:r>
      <w:instrText xml:space="preserve"> FILENAME   \* MERGEFORMAT </w:instrText>
    </w:r>
    <w:r>
      <w:fldChar w:fldCharType="separate"/>
    </w:r>
    <w:r w:rsidR="00195A74">
      <w:rPr>
        <w:noProof/>
        <w:sz w:val="20"/>
        <w:szCs w:val="20"/>
      </w:rPr>
      <w:t>AIMAnot_</w:t>
    </w:r>
    <w:r w:rsidR="007E47FB">
      <w:rPr>
        <w:noProof/>
        <w:sz w:val="20"/>
        <w:szCs w:val="20"/>
      </w:rPr>
      <w:t>1</w:t>
    </w:r>
    <w:r w:rsidR="00735E95">
      <w:rPr>
        <w:noProof/>
        <w:sz w:val="20"/>
        <w:szCs w:val="20"/>
      </w:rPr>
      <w:t>5</w:t>
    </w:r>
    <w:r w:rsidR="007E47FB">
      <w:rPr>
        <w:noProof/>
        <w:sz w:val="20"/>
        <w:szCs w:val="20"/>
      </w:rPr>
      <w:t>0118</w:t>
    </w:r>
    <w:r w:rsidR="00195A74">
      <w:rPr>
        <w:noProof/>
        <w:sz w:val="20"/>
        <w:szCs w:val="20"/>
      </w:rPr>
      <w:t>_</w:t>
    </w:r>
    <w:r w:rsidR="00AA25E3">
      <w:rPr>
        <w:noProof/>
        <w:sz w:val="20"/>
        <w:szCs w:val="20"/>
      </w:rPr>
      <w:t>Groz</w:t>
    </w:r>
    <w:r w:rsidR="00195A74">
      <w:rPr>
        <w:noProof/>
        <w:sz w:val="20"/>
        <w:szCs w:val="20"/>
      </w:rPr>
      <w:t>DGL</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74" w:rsidRPr="00BC7105" w:rsidRDefault="00D21F6F" w:rsidP="00725759">
    <w:pPr>
      <w:pStyle w:val="Footer"/>
      <w:spacing w:before="120"/>
      <w:jc w:val="both"/>
      <w:rPr>
        <w:rFonts w:eastAsia="Times New Roman" w:cs="Times New Roman"/>
        <w:bCs/>
        <w:sz w:val="20"/>
        <w:szCs w:val="20"/>
      </w:rPr>
    </w:pPr>
    <w:fldSimple w:instr=" FILENAME   \* MERGEFORMAT ">
      <w:r w:rsidR="00195A74">
        <w:rPr>
          <w:noProof/>
          <w:sz w:val="20"/>
          <w:szCs w:val="20"/>
        </w:rPr>
        <w:t>AIMAnot_</w:t>
      </w:r>
      <w:r w:rsidR="00735E95">
        <w:rPr>
          <w:noProof/>
          <w:sz w:val="20"/>
          <w:szCs w:val="20"/>
        </w:rPr>
        <w:t>15</w:t>
      </w:r>
      <w:r w:rsidR="007E47FB">
        <w:rPr>
          <w:noProof/>
          <w:sz w:val="20"/>
          <w:szCs w:val="20"/>
        </w:rPr>
        <w:t>0118</w:t>
      </w:r>
      <w:r w:rsidR="00195A74">
        <w:rPr>
          <w:noProof/>
          <w:sz w:val="20"/>
          <w:szCs w:val="20"/>
        </w:rPr>
        <w:t>_</w:t>
      </w:r>
      <w:r w:rsidR="00AA25E3">
        <w:rPr>
          <w:noProof/>
          <w:sz w:val="20"/>
          <w:szCs w:val="20"/>
        </w:rPr>
        <w:t>Groz</w:t>
      </w:r>
      <w:r w:rsidR="00195A74">
        <w:rPr>
          <w:noProof/>
          <w:sz w:val="20"/>
          <w:szCs w:val="20"/>
        </w:rPr>
        <w:t>DGL</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A74" w:rsidRDefault="00195A74" w:rsidP="004D15A9">
      <w:pPr>
        <w:spacing w:after="0" w:line="240" w:lineRule="auto"/>
      </w:pPr>
      <w:r>
        <w:separator/>
      </w:r>
    </w:p>
  </w:footnote>
  <w:footnote w:type="continuationSeparator" w:id="0">
    <w:p w:rsidR="00195A74" w:rsidRDefault="00195A74" w:rsidP="004D1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FB" w:rsidRDefault="007E47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0928"/>
      <w:docPartObj>
        <w:docPartGallery w:val="Page Numbers (Top of Page)"/>
        <w:docPartUnique/>
      </w:docPartObj>
    </w:sdtPr>
    <w:sdtEndPr>
      <w:rPr>
        <w:rFonts w:cs="Times New Roman"/>
        <w:szCs w:val="24"/>
      </w:rPr>
    </w:sdtEndPr>
    <w:sdtContent>
      <w:p w:rsidR="00195A74" w:rsidRPr="00725759" w:rsidRDefault="00D21F6F" w:rsidP="00725759">
        <w:pPr>
          <w:pStyle w:val="Header"/>
          <w:jc w:val="center"/>
          <w:rPr>
            <w:rFonts w:cs="Times New Roman"/>
            <w:szCs w:val="24"/>
          </w:rPr>
        </w:pPr>
        <w:r w:rsidRPr="004D15A9">
          <w:rPr>
            <w:rFonts w:cs="Times New Roman"/>
            <w:szCs w:val="24"/>
          </w:rPr>
          <w:fldChar w:fldCharType="begin"/>
        </w:r>
        <w:r w:rsidR="00195A74" w:rsidRPr="004D15A9">
          <w:rPr>
            <w:rFonts w:cs="Times New Roman"/>
            <w:szCs w:val="24"/>
          </w:rPr>
          <w:instrText>PAGE   \* MERGEFORMAT</w:instrText>
        </w:r>
        <w:r w:rsidRPr="004D15A9">
          <w:rPr>
            <w:rFonts w:cs="Times New Roman"/>
            <w:szCs w:val="24"/>
          </w:rPr>
          <w:fldChar w:fldCharType="separate"/>
        </w:r>
        <w:r w:rsidR="00735E95">
          <w:rPr>
            <w:rFonts w:cs="Times New Roman"/>
            <w:noProof/>
            <w:szCs w:val="24"/>
          </w:rPr>
          <w:t>2</w:t>
        </w:r>
        <w:r w:rsidRPr="004D15A9">
          <w:rPr>
            <w:rFonts w:cs="Times New Roman"/>
            <w:szCs w:val="24"/>
          </w:rPr>
          <w:fldChar w:fldCharType="end"/>
        </w:r>
      </w:p>
    </w:sdtContent>
  </w:sdt>
  <w:p w:rsidR="00195A74" w:rsidRDefault="00195A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FB" w:rsidRDefault="007E47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AC9"/>
    <w:multiLevelType w:val="hybridMultilevel"/>
    <w:tmpl w:val="BE22CB24"/>
    <w:lvl w:ilvl="0" w:tplc="31A87096">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
    <w:nsid w:val="18E12F03"/>
    <w:multiLevelType w:val="hybridMultilevel"/>
    <w:tmpl w:val="6C162476"/>
    <w:lvl w:ilvl="0" w:tplc="F3D4A70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0312D95"/>
    <w:multiLevelType w:val="hybridMultilevel"/>
    <w:tmpl w:val="8DB033D2"/>
    <w:lvl w:ilvl="0" w:tplc="16562714">
      <w:start w:val="1"/>
      <w:numFmt w:val="decimal"/>
      <w:lvlText w:val="%1)"/>
      <w:lvlJc w:val="left"/>
      <w:pPr>
        <w:ind w:left="1005" w:hanging="64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E7910C1"/>
    <w:multiLevelType w:val="hybridMultilevel"/>
    <w:tmpl w:val="0244657C"/>
    <w:lvl w:ilvl="0" w:tplc="04260011">
      <w:start w:val="1"/>
      <w:numFmt w:val="decimal"/>
      <w:lvlText w:val="%1)"/>
      <w:lvlJc w:val="left"/>
      <w:pPr>
        <w:ind w:left="1300" w:hanging="360"/>
      </w:pPr>
    </w:lvl>
    <w:lvl w:ilvl="1" w:tplc="04260019" w:tentative="1">
      <w:start w:val="1"/>
      <w:numFmt w:val="lowerLetter"/>
      <w:lvlText w:val="%2."/>
      <w:lvlJc w:val="left"/>
      <w:pPr>
        <w:ind w:left="2020" w:hanging="360"/>
      </w:pPr>
    </w:lvl>
    <w:lvl w:ilvl="2" w:tplc="0426001B" w:tentative="1">
      <w:start w:val="1"/>
      <w:numFmt w:val="lowerRoman"/>
      <w:lvlText w:val="%3."/>
      <w:lvlJc w:val="right"/>
      <w:pPr>
        <w:ind w:left="2740" w:hanging="180"/>
      </w:pPr>
    </w:lvl>
    <w:lvl w:ilvl="3" w:tplc="0426000F" w:tentative="1">
      <w:start w:val="1"/>
      <w:numFmt w:val="decimal"/>
      <w:lvlText w:val="%4."/>
      <w:lvlJc w:val="left"/>
      <w:pPr>
        <w:ind w:left="3460" w:hanging="360"/>
      </w:pPr>
    </w:lvl>
    <w:lvl w:ilvl="4" w:tplc="04260019" w:tentative="1">
      <w:start w:val="1"/>
      <w:numFmt w:val="lowerLetter"/>
      <w:lvlText w:val="%5."/>
      <w:lvlJc w:val="left"/>
      <w:pPr>
        <w:ind w:left="4180" w:hanging="360"/>
      </w:pPr>
    </w:lvl>
    <w:lvl w:ilvl="5" w:tplc="0426001B" w:tentative="1">
      <w:start w:val="1"/>
      <w:numFmt w:val="lowerRoman"/>
      <w:lvlText w:val="%6."/>
      <w:lvlJc w:val="right"/>
      <w:pPr>
        <w:ind w:left="4900" w:hanging="180"/>
      </w:pPr>
    </w:lvl>
    <w:lvl w:ilvl="6" w:tplc="0426000F" w:tentative="1">
      <w:start w:val="1"/>
      <w:numFmt w:val="decimal"/>
      <w:lvlText w:val="%7."/>
      <w:lvlJc w:val="left"/>
      <w:pPr>
        <w:ind w:left="5620" w:hanging="360"/>
      </w:pPr>
    </w:lvl>
    <w:lvl w:ilvl="7" w:tplc="04260019" w:tentative="1">
      <w:start w:val="1"/>
      <w:numFmt w:val="lowerLetter"/>
      <w:lvlText w:val="%8."/>
      <w:lvlJc w:val="left"/>
      <w:pPr>
        <w:ind w:left="6340" w:hanging="360"/>
      </w:pPr>
    </w:lvl>
    <w:lvl w:ilvl="8" w:tplc="0426001B" w:tentative="1">
      <w:start w:val="1"/>
      <w:numFmt w:val="lowerRoman"/>
      <w:lvlText w:val="%9."/>
      <w:lvlJc w:val="right"/>
      <w:pPr>
        <w:ind w:left="7060" w:hanging="180"/>
      </w:pPr>
    </w:lvl>
  </w:abstractNum>
  <w:abstractNum w:abstractNumId="4">
    <w:nsid w:val="2FC97D28"/>
    <w:multiLevelType w:val="hybridMultilevel"/>
    <w:tmpl w:val="52F2A68A"/>
    <w:lvl w:ilvl="0" w:tplc="0F904618">
      <w:start w:val="1"/>
      <w:numFmt w:val="decimal"/>
      <w:lvlText w:val="%1)"/>
      <w:lvlJc w:val="left"/>
      <w:pPr>
        <w:ind w:left="1125" w:hanging="76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144A9B"/>
    <w:multiLevelType w:val="hybridMultilevel"/>
    <w:tmpl w:val="FF8A082A"/>
    <w:lvl w:ilvl="0" w:tplc="29109D74">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7">
    <w:nsid w:val="34F843D0"/>
    <w:multiLevelType w:val="hybridMultilevel"/>
    <w:tmpl w:val="976EDFBC"/>
    <w:lvl w:ilvl="0" w:tplc="A8728BE6">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03872A8"/>
    <w:multiLevelType w:val="hybridMultilevel"/>
    <w:tmpl w:val="4B00D486"/>
    <w:lvl w:ilvl="0" w:tplc="5426BC38">
      <w:start w:val="2"/>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AC47FC0"/>
    <w:multiLevelType w:val="hybridMultilevel"/>
    <w:tmpl w:val="CD92F1CA"/>
    <w:lvl w:ilvl="0" w:tplc="09FC6AE8">
      <w:start w:val="2"/>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E8474CD"/>
    <w:multiLevelType w:val="hybridMultilevel"/>
    <w:tmpl w:val="A6CA400C"/>
    <w:lvl w:ilvl="0" w:tplc="BEDCAA66">
      <w:start w:val="1"/>
      <w:numFmt w:val="decimal"/>
      <w:lvlText w:val="%1)"/>
      <w:lvlJc w:val="left"/>
      <w:pPr>
        <w:ind w:left="1570" w:hanging="990"/>
      </w:pPr>
      <w:rPr>
        <w:rFonts w:hint="default"/>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11">
    <w:nsid w:val="4EBE0A60"/>
    <w:multiLevelType w:val="hybridMultilevel"/>
    <w:tmpl w:val="F2A67F2E"/>
    <w:lvl w:ilvl="0" w:tplc="10E6A49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06B50A6"/>
    <w:multiLevelType w:val="hybridMultilevel"/>
    <w:tmpl w:val="01B4A2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716245"/>
    <w:multiLevelType w:val="hybridMultilevel"/>
    <w:tmpl w:val="2EF4A53C"/>
    <w:lvl w:ilvl="0" w:tplc="22E8674C">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9D92EEF"/>
    <w:multiLevelType w:val="hybridMultilevel"/>
    <w:tmpl w:val="67824F48"/>
    <w:lvl w:ilvl="0" w:tplc="72605F16">
      <w:start w:val="1"/>
      <w:numFmt w:val="decimal"/>
      <w:lvlText w:val="%1)"/>
      <w:lvlJc w:val="left"/>
      <w:pPr>
        <w:ind w:left="940" w:hanging="360"/>
      </w:pPr>
      <w:rPr>
        <w:rFonts w:hint="default"/>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15">
    <w:nsid w:val="6D46574A"/>
    <w:multiLevelType w:val="hybridMultilevel"/>
    <w:tmpl w:val="F0C0BB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F6B2F00"/>
    <w:multiLevelType w:val="hybridMultilevel"/>
    <w:tmpl w:val="94D645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1FF1049"/>
    <w:multiLevelType w:val="hybridMultilevel"/>
    <w:tmpl w:val="94AE7C02"/>
    <w:lvl w:ilvl="0" w:tplc="9B5A3DBA">
      <w:start w:val="1"/>
      <w:numFmt w:val="decimal"/>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55F089B"/>
    <w:multiLevelType w:val="hybridMultilevel"/>
    <w:tmpl w:val="69E2943A"/>
    <w:lvl w:ilvl="0" w:tplc="E9DC5028">
      <w:start w:val="2"/>
      <w:numFmt w:val="decimal"/>
      <w:lvlText w:val="%1)"/>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901795F"/>
    <w:multiLevelType w:val="hybridMultilevel"/>
    <w:tmpl w:val="03621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7"/>
  </w:num>
  <w:num w:numId="5">
    <w:abstractNumId w:val="16"/>
  </w:num>
  <w:num w:numId="6">
    <w:abstractNumId w:val="2"/>
  </w:num>
  <w:num w:numId="7">
    <w:abstractNumId w:val="4"/>
  </w:num>
  <w:num w:numId="8">
    <w:abstractNumId w:val="18"/>
  </w:num>
  <w:num w:numId="9">
    <w:abstractNumId w:val="17"/>
  </w:num>
  <w:num w:numId="10">
    <w:abstractNumId w:val="19"/>
  </w:num>
  <w:num w:numId="11">
    <w:abstractNumId w:val="8"/>
  </w:num>
  <w:num w:numId="12">
    <w:abstractNumId w:val="12"/>
  </w:num>
  <w:num w:numId="13">
    <w:abstractNumId w:val="9"/>
  </w:num>
  <w:num w:numId="14">
    <w:abstractNumId w:val="10"/>
  </w:num>
  <w:num w:numId="15">
    <w:abstractNumId w:val="11"/>
  </w:num>
  <w:num w:numId="16">
    <w:abstractNumId w:val="3"/>
  </w:num>
  <w:num w:numId="17">
    <w:abstractNumId w:val="14"/>
  </w:num>
  <w:num w:numId="18">
    <w:abstractNumId w:val="6"/>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4D15A9"/>
    <w:rsid w:val="00000E85"/>
    <w:rsid w:val="0000204C"/>
    <w:rsid w:val="00004B04"/>
    <w:rsid w:val="000135EB"/>
    <w:rsid w:val="00025641"/>
    <w:rsid w:val="00030A24"/>
    <w:rsid w:val="00031256"/>
    <w:rsid w:val="00032F57"/>
    <w:rsid w:val="000352D6"/>
    <w:rsid w:val="00037807"/>
    <w:rsid w:val="000421B9"/>
    <w:rsid w:val="000430E2"/>
    <w:rsid w:val="00044613"/>
    <w:rsid w:val="00052B6D"/>
    <w:rsid w:val="00055D68"/>
    <w:rsid w:val="00056995"/>
    <w:rsid w:val="00061ACC"/>
    <w:rsid w:val="000641CB"/>
    <w:rsid w:val="0006766C"/>
    <w:rsid w:val="000714CC"/>
    <w:rsid w:val="000728DB"/>
    <w:rsid w:val="00072F36"/>
    <w:rsid w:val="000731EB"/>
    <w:rsid w:val="00074D5C"/>
    <w:rsid w:val="00076FF1"/>
    <w:rsid w:val="000805F5"/>
    <w:rsid w:val="00081F54"/>
    <w:rsid w:val="00082B09"/>
    <w:rsid w:val="00084546"/>
    <w:rsid w:val="0008677B"/>
    <w:rsid w:val="00093379"/>
    <w:rsid w:val="0009431C"/>
    <w:rsid w:val="00094C42"/>
    <w:rsid w:val="000957CD"/>
    <w:rsid w:val="000966AE"/>
    <w:rsid w:val="000A03B7"/>
    <w:rsid w:val="000A43F5"/>
    <w:rsid w:val="000A5F38"/>
    <w:rsid w:val="000A6D7C"/>
    <w:rsid w:val="000B2789"/>
    <w:rsid w:val="000B3EBD"/>
    <w:rsid w:val="000C3F77"/>
    <w:rsid w:val="000D07B3"/>
    <w:rsid w:val="000D3C8C"/>
    <w:rsid w:val="000D6950"/>
    <w:rsid w:val="000E07CD"/>
    <w:rsid w:val="000E0C7E"/>
    <w:rsid w:val="000E1806"/>
    <w:rsid w:val="000E5682"/>
    <w:rsid w:val="000F1718"/>
    <w:rsid w:val="000F1F1D"/>
    <w:rsid w:val="000F47CC"/>
    <w:rsid w:val="000F5747"/>
    <w:rsid w:val="000F6D16"/>
    <w:rsid w:val="00100B10"/>
    <w:rsid w:val="00101CD5"/>
    <w:rsid w:val="00102C92"/>
    <w:rsid w:val="00106A66"/>
    <w:rsid w:val="001074AE"/>
    <w:rsid w:val="0011345F"/>
    <w:rsid w:val="00113A41"/>
    <w:rsid w:val="001224A9"/>
    <w:rsid w:val="001224B2"/>
    <w:rsid w:val="00125C9A"/>
    <w:rsid w:val="001269B4"/>
    <w:rsid w:val="00135232"/>
    <w:rsid w:val="00150F5F"/>
    <w:rsid w:val="00153A9F"/>
    <w:rsid w:val="0015572C"/>
    <w:rsid w:val="00157301"/>
    <w:rsid w:val="00160CD2"/>
    <w:rsid w:val="00161EEC"/>
    <w:rsid w:val="00167891"/>
    <w:rsid w:val="00177D67"/>
    <w:rsid w:val="00186647"/>
    <w:rsid w:val="0019193F"/>
    <w:rsid w:val="00195A74"/>
    <w:rsid w:val="00196C71"/>
    <w:rsid w:val="001974E9"/>
    <w:rsid w:val="001A2948"/>
    <w:rsid w:val="001A2D9A"/>
    <w:rsid w:val="001B350F"/>
    <w:rsid w:val="001B3920"/>
    <w:rsid w:val="001B4C91"/>
    <w:rsid w:val="001B5FB4"/>
    <w:rsid w:val="001C0313"/>
    <w:rsid w:val="001C52D9"/>
    <w:rsid w:val="001C665D"/>
    <w:rsid w:val="001D361F"/>
    <w:rsid w:val="001E0A51"/>
    <w:rsid w:val="001E0E55"/>
    <w:rsid w:val="001E14AE"/>
    <w:rsid w:val="001E1870"/>
    <w:rsid w:val="001E7C63"/>
    <w:rsid w:val="001F4616"/>
    <w:rsid w:val="001F5858"/>
    <w:rsid w:val="0020213F"/>
    <w:rsid w:val="00206BAB"/>
    <w:rsid w:val="0021038C"/>
    <w:rsid w:val="002105AA"/>
    <w:rsid w:val="00221626"/>
    <w:rsid w:val="00223BB0"/>
    <w:rsid w:val="0023176E"/>
    <w:rsid w:val="002406E2"/>
    <w:rsid w:val="00241675"/>
    <w:rsid w:val="00247839"/>
    <w:rsid w:val="00247C5E"/>
    <w:rsid w:val="00266F00"/>
    <w:rsid w:val="00271B30"/>
    <w:rsid w:val="00273751"/>
    <w:rsid w:val="00276668"/>
    <w:rsid w:val="002819C7"/>
    <w:rsid w:val="00284E3E"/>
    <w:rsid w:val="00290C02"/>
    <w:rsid w:val="00297F2B"/>
    <w:rsid w:val="002B3604"/>
    <w:rsid w:val="002C4DC5"/>
    <w:rsid w:val="002C77ED"/>
    <w:rsid w:val="002D7008"/>
    <w:rsid w:val="002E060D"/>
    <w:rsid w:val="002E1516"/>
    <w:rsid w:val="002E345E"/>
    <w:rsid w:val="002E788F"/>
    <w:rsid w:val="002F4183"/>
    <w:rsid w:val="002F6A19"/>
    <w:rsid w:val="00305D15"/>
    <w:rsid w:val="00306C4C"/>
    <w:rsid w:val="00312780"/>
    <w:rsid w:val="00313594"/>
    <w:rsid w:val="00314043"/>
    <w:rsid w:val="003155CE"/>
    <w:rsid w:val="0032087B"/>
    <w:rsid w:val="00324EDE"/>
    <w:rsid w:val="00325848"/>
    <w:rsid w:val="0034198A"/>
    <w:rsid w:val="00345C6C"/>
    <w:rsid w:val="0035618D"/>
    <w:rsid w:val="003640B4"/>
    <w:rsid w:val="00365C6C"/>
    <w:rsid w:val="00380000"/>
    <w:rsid w:val="003864E8"/>
    <w:rsid w:val="00390C6B"/>
    <w:rsid w:val="003922B0"/>
    <w:rsid w:val="0039419C"/>
    <w:rsid w:val="00394221"/>
    <w:rsid w:val="00397448"/>
    <w:rsid w:val="003A2A0B"/>
    <w:rsid w:val="003A5D90"/>
    <w:rsid w:val="003A5E11"/>
    <w:rsid w:val="003A614D"/>
    <w:rsid w:val="003B1B7E"/>
    <w:rsid w:val="003B2B67"/>
    <w:rsid w:val="003B3C41"/>
    <w:rsid w:val="003B49ED"/>
    <w:rsid w:val="003B5296"/>
    <w:rsid w:val="003D4686"/>
    <w:rsid w:val="003D544F"/>
    <w:rsid w:val="003D5C4E"/>
    <w:rsid w:val="003E1EBD"/>
    <w:rsid w:val="004020EE"/>
    <w:rsid w:val="0040254E"/>
    <w:rsid w:val="004032A4"/>
    <w:rsid w:val="00403543"/>
    <w:rsid w:val="0040490D"/>
    <w:rsid w:val="004140E5"/>
    <w:rsid w:val="00414635"/>
    <w:rsid w:val="00423C7B"/>
    <w:rsid w:val="0043130E"/>
    <w:rsid w:val="00446A65"/>
    <w:rsid w:val="00446D7D"/>
    <w:rsid w:val="004532CC"/>
    <w:rsid w:val="0045572B"/>
    <w:rsid w:val="00463C72"/>
    <w:rsid w:val="0046776D"/>
    <w:rsid w:val="004701C4"/>
    <w:rsid w:val="00470F40"/>
    <w:rsid w:val="0047128C"/>
    <w:rsid w:val="00477137"/>
    <w:rsid w:val="00484237"/>
    <w:rsid w:val="00492CF9"/>
    <w:rsid w:val="004967A1"/>
    <w:rsid w:val="004A00C0"/>
    <w:rsid w:val="004A3878"/>
    <w:rsid w:val="004B1090"/>
    <w:rsid w:val="004B5862"/>
    <w:rsid w:val="004B6BB5"/>
    <w:rsid w:val="004B7D80"/>
    <w:rsid w:val="004C0EE7"/>
    <w:rsid w:val="004C4EDC"/>
    <w:rsid w:val="004C6630"/>
    <w:rsid w:val="004C69F8"/>
    <w:rsid w:val="004C74B3"/>
    <w:rsid w:val="004D15A9"/>
    <w:rsid w:val="004D1690"/>
    <w:rsid w:val="004D478E"/>
    <w:rsid w:val="004D67D1"/>
    <w:rsid w:val="004E2140"/>
    <w:rsid w:val="004E5912"/>
    <w:rsid w:val="004F6A70"/>
    <w:rsid w:val="004F6E93"/>
    <w:rsid w:val="00501274"/>
    <w:rsid w:val="0050618F"/>
    <w:rsid w:val="00506B0B"/>
    <w:rsid w:val="00511732"/>
    <w:rsid w:val="00512709"/>
    <w:rsid w:val="00512D3D"/>
    <w:rsid w:val="00513D33"/>
    <w:rsid w:val="005161F2"/>
    <w:rsid w:val="0051725E"/>
    <w:rsid w:val="00526BC8"/>
    <w:rsid w:val="00534A0F"/>
    <w:rsid w:val="0053538A"/>
    <w:rsid w:val="00535EB2"/>
    <w:rsid w:val="00536CD4"/>
    <w:rsid w:val="005458AC"/>
    <w:rsid w:val="00550AE6"/>
    <w:rsid w:val="00550F19"/>
    <w:rsid w:val="005524FB"/>
    <w:rsid w:val="0055672A"/>
    <w:rsid w:val="005703E9"/>
    <w:rsid w:val="0057047C"/>
    <w:rsid w:val="00576C2A"/>
    <w:rsid w:val="00577AC0"/>
    <w:rsid w:val="00583E47"/>
    <w:rsid w:val="005A2E33"/>
    <w:rsid w:val="005B38AD"/>
    <w:rsid w:val="005B598E"/>
    <w:rsid w:val="005C7DA0"/>
    <w:rsid w:val="005D0300"/>
    <w:rsid w:val="005D308E"/>
    <w:rsid w:val="005D4E8A"/>
    <w:rsid w:val="005F0F25"/>
    <w:rsid w:val="005F6D3F"/>
    <w:rsid w:val="005F7EBF"/>
    <w:rsid w:val="006037C7"/>
    <w:rsid w:val="00605FAA"/>
    <w:rsid w:val="00610953"/>
    <w:rsid w:val="006155B4"/>
    <w:rsid w:val="00620D2B"/>
    <w:rsid w:val="00622C78"/>
    <w:rsid w:val="00630229"/>
    <w:rsid w:val="00634DC5"/>
    <w:rsid w:val="00642F57"/>
    <w:rsid w:val="00647D97"/>
    <w:rsid w:val="00667169"/>
    <w:rsid w:val="006772E6"/>
    <w:rsid w:val="006801FD"/>
    <w:rsid w:val="00681419"/>
    <w:rsid w:val="00683553"/>
    <w:rsid w:val="006855F2"/>
    <w:rsid w:val="00686223"/>
    <w:rsid w:val="00687000"/>
    <w:rsid w:val="00687A29"/>
    <w:rsid w:val="00690E8F"/>
    <w:rsid w:val="00692ACC"/>
    <w:rsid w:val="006A0247"/>
    <w:rsid w:val="006A517A"/>
    <w:rsid w:val="006B04F3"/>
    <w:rsid w:val="006C257B"/>
    <w:rsid w:val="006D36C0"/>
    <w:rsid w:val="006D560C"/>
    <w:rsid w:val="006E1E7D"/>
    <w:rsid w:val="006F6314"/>
    <w:rsid w:val="006F721A"/>
    <w:rsid w:val="007020BB"/>
    <w:rsid w:val="00722E8E"/>
    <w:rsid w:val="00725759"/>
    <w:rsid w:val="00730540"/>
    <w:rsid w:val="007328EB"/>
    <w:rsid w:val="00732B8B"/>
    <w:rsid w:val="007346C8"/>
    <w:rsid w:val="00735E95"/>
    <w:rsid w:val="0075698A"/>
    <w:rsid w:val="00756B0D"/>
    <w:rsid w:val="00763766"/>
    <w:rsid w:val="00767493"/>
    <w:rsid w:val="00772A07"/>
    <w:rsid w:val="00774152"/>
    <w:rsid w:val="00775EC5"/>
    <w:rsid w:val="00786C1F"/>
    <w:rsid w:val="007B1B2A"/>
    <w:rsid w:val="007B7694"/>
    <w:rsid w:val="007C1852"/>
    <w:rsid w:val="007C5A79"/>
    <w:rsid w:val="007C7E93"/>
    <w:rsid w:val="007D3A80"/>
    <w:rsid w:val="007E0995"/>
    <w:rsid w:val="007E47FB"/>
    <w:rsid w:val="0081203F"/>
    <w:rsid w:val="00825979"/>
    <w:rsid w:val="0083002E"/>
    <w:rsid w:val="0083031D"/>
    <w:rsid w:val="0083173E"/>
    <w:rsid w:val="00833229"/>
    <w:rsid w:val="00837782"/>
    <w:rsid w:val="0084221B"/>
    <w:rsid w:val="00845A9C"/>
    <w:rsid w:val="00847078"/>
    <w:rsid w:val="00851445"/>
    <w:rsid w:val="00860C82"/>
    <w:rsid w:val="008619A9"/>
    <w:rsid w:val="00862278"/>
    <w:rsid w:val="008672CD"/>
    <w:rsid w:val="00870310"/>
    <w:rsid w:val="008754F8"/>
    <w:rsid w:val="008838AC"/>
    <w:rsid w:val="00884FD6"/>
    <w:rsid w:val="00886049"/>
    <w:rsid w:val="008939E7"/>
    <w:rsid w:val="00893EED"/>
    <w:rsid w:val="008A0870"/>
    <w:rsid w:val="008A4D99"/>
    <w:rsid w:val="008B4249"/>
    <w:rsid w:val="008C45EE"/>
    <w:rsid w:val="008D188B"/>
    <w:rsid w:val="008D2D3F"/>
    <w:rsid w:val="008D46B0"/>
    <w:rsid w:val="008E2AD9"/>
    <w:rsid w:val="008E542C"/>
    <w:rsid w:val="008E5496"/>
    <w:rsid w:val="008E6121"/>
    <w:rsid w:val="008F2024"/>
    <w:rsid w:val="00902D3D"/>
    <w:rsid w:val="0090553D"/>
    <w:rsid w:val="00917E5F"/>
    <w:rsid w:val="009200FE"/>
    <w:rsid w:val="00920AE4"/>
    <w:rsid w:val="00926845"/>
    <w:rsid w:val="00930216"/>
    <w:rsid w:val="00930C4B"/>
    <w:rsid w:val="009350E4"/>
    <w:rsid w:val="009357EB"/>
    <w:rsid w:val="00940054"/>
    <w:rsid w:val="00941C5D"/>
    <w:rsid w:val="00945E64"/>
    <w:rsid w:val="00946EFB"/>
    <w:rsid w:val="00950041"/>
    <w:rsid w:val="00950DC4"/>
    <w:rsid w:val="00952B44"/>
    <w:rsid w:val="0095351B"/>
    <w:rsid w:val="009538A6"/>
    <w:rsid w:val="00953D5D"/>
    <w:rsid w:val="009549B4"/>
    <w:rsid w:val="00955B31"/>
    <w:rsid w:val="0096165A"/>
    <w:rsid w:val="0097141B"/>
    <w:rsid w:val="009718F6"/>
    <w:rsid w:val="0097234E"/>
    <w:rsid w:val="00973A6D"/>
    <w:rsid w:val="0099159C"/>
    <w:rsid w:val="00991E8F"/>
    <w:rsid w:val="009A11E3"/>
    <w:rsid w:val="009A562C"/>
    <w:rsid w:val="009A6C2F"/>
    <w:rsid w:val="009B258C"/>
    <w:rsid w:val="009B36F6"/>
    <w:rsid w:val="009C0EA1"/>
    <w:rsid w:val="009C5CFF"/>
    <w:rsid w:val="009C60AB"/>
    <w:rsid w:val="009D1C26"/>
    <w:rsid w:val="009D1F3E"/>
    <w:rsid w:val="009D331A"/>
    <w:rsid w:val="009E016B"/>
    <w:rsid w:val="009E30F9"/>
    <w:rsid w:val="009E6280"/>
    <w:rsid w:val="009F4286"/>
    <w:rsid w:val="009F5B9B"/>
    <w:rsid w:val="00A01AEF"/>
    <w:rsid w:val="00A07FC5"/>
    <w:rsid w:val="00A1061F"/>
    <w:rsid w:val="00A11330"/>
    <w:rsid w:val="00A11B29"/>
    <w:rsid w:val="00A138B6"/>
    <w:rsid w:val="00A157E1"/>
    <w:rsid w:val="00A176CB"/>
    <w:rsid w:val="00A223C0"/>
    <w:rsid w:val="00A31ED6"/>
    <w:rsid w:val="00A32679"/>
    <w:rsid w:val="00A32686"/>
    <w:rsid w:val="00A3324B"/>
    <w:rsid w:val="00A36616"/>
    <w:rsid w:val="00A378A8"/>
    <w:rsid w:val="00A41BD6"/>
    <w:rsid w:val="00A448F4"/>
    <w:rsid w:val="00A45124"/>
    <w:rsid w:val="00A45FF1"/>
    <w:rsid w:val="00A636E9"/>
    <w:rsid w:val="00A6429F"/>
    <w:rsid w:val="00A64EC7"/>
    <w:rsid w:val="00A65104"/>
    <w:rsid w:val="00A652A6"/>
    <w:rsid w:val="00A65941"/>
    <w:rsid w:val="00A669B9"/>
    <w:rsid w:val="00A7119D"/>
    <w:rsid w:val="00A724A7"/>
    <w:rsid w:val="00A72AB0"/>
    <w:rsid w:val="00A74CB0"/>
    <w:rsid w:val="00A94B44"/>
    <w:rsid w:val="00A95BBC"/>
    <w:rsid w:val="00AA25E3"/>
    <w:rsid w:val="00AA6AC2"/>
    <w:rsid w:val="00AB09E5"/>
    <w:rsid w:val="00AC7A7B"/>
    <w:rsid w:val="00AD2995"/>
    <w:rsid w:val="00AD3477"/>
    <w:rsid w:val="00AD52B0"/>
    <w:rsid w:val="00AF24A0"/>
    <w:rsid w:val="00AF3F2A"/>
    <w:rsid w:val="00AF53E1"/>
    <w:rsid w:val="00AF7202"/>
    <w:rsid w:val="00B05B16"/>
    <w:rsid w:val="00B06478"/>
    <w:rsid w:val="00B15E54"/>
    <w:rsid w:val="00B2395D"/>
    <w:rsid w:val="00B23E9F"/>
    <w:rsid w:val="00B31BE0"/>
    <w:rsid w:val="00B34720"/>
    <w:rsid w:val="00B34AB2"/>
    <w:rsid w:val="00B37F59"/>
    <w:rsid w:val="00B42C21"/>
    <w:rsid w:val="00B4717E"/>
    <w:rsid w:val="00B51A42"/>
    <w:rsid w:val="00B51C31"/>
    <w:rsid w:val="00B57E2E"/>
    <w:rsid w:val="00B63D2E"/>
    <w:rsid w:val="00B75509"/>
    <w:rsid w:val="00B76351"/>
    <w:rsid w:val="00B77202"/>
    <w:rsid w:val="00B834F1"/>
    <w:rsid w:val="00B925D0"/>
    <w:rsid w:val="00B92B42"/>
    <w:rsid w:val="00B941C4"/>
    <w:rsid w:val="00B96DDA"/>
    <w:rsid w:val="00B979F5"/>
    <w:rsid w:val="00BA1283"/>
    <w:rsid w:val="00BA2065"/>
    <w:rsid w:val="00BA2BE3"/>
    <w:rsid w:val="00BA6213"/>
    <w:rsid w:val="00BA70BC"/>
    <w:rsid w:val="00BB1F46"/>
    <w:rsid w:val="00BB2ED9"/>
    <w:rsid w:val="00BB55B1"/>
    <w:rsid w:val="00BB6FBF"/>
    <w:rsid w:val="00BC41A7"/>
    <w:rsid w:val="00BC46D9"/>
    <w:rsid w:val="00BC7105"/>
    <w:rsid w:val="00BD31C5"/>
    <w:rsid w:val="00BD33E8"/>
    <w:rsid w:val="00BE1806"/>
    <w:rsid w:val="00BE2E23"/>
    <w:rsid w:val="00BE40F5"/>
    <w:rsid w:val="00BE5642"/>
    <w:rsid w:val="00BF63A0"/>
    <w:rsid w:val="00C018A9"/>
    <w:rsid w:val="00C03219"/>
    <w:rsid w:val="00C1305D"/>
    <w:rsid w:val="00C24235"/>
    <w:rsid w:val="00C304CC"/>
    <w:rsid w:val="00C34847"/>
    <w:rsid w:val="00C40A3C"/>
    <w:rsid w:val="00C46895"/>
    <w:rsid w:val="00C47664"/>
    <w:rsid w:val="00C50C76"/>
    <w:rsid w:val="00C52C78"/>
    <w:rsid w:val="00C6642C"/>
    <w:rsid w:val="00C70A02"/>
    <w:rsid w:val="00C7149D"/>
    <w:rsid w:val="00C76308"/>
    <w:rsid w:val="00C7713E"/>
    <w:rsid w:val="00C84ECF"/>
    <w:rsid w:val="00C870A8"/>
    <w:rsid w:val="00C87B8D"/>
    <w:rsid w:val="00C97CDD"/>
    <w:rsid w:val="00CA03EA"/>
    <w:rsid w:val="00CA287E"/>
    <w:rsid w:val="00CA47BC"/>
    <w:rsid w:val="00CB303F"/>
    <w:rsid w:val="00CB3A69"/>
    <w:rsid w:val="00CB570C"/>
    <w:rsid w:val="00CD345A"/>
    <w:rsid w:val="00CD50BF"/>
    <w:rsid w:val="00CD646A"/>
    <w:rsid w:val="00CD6BFC"/>
    <w:rsid w:val="00CE3B77"/>
    <w:rsid w:val="00CE721D"/>
    <w:rsid w:val="00CE7BA5"/>
    <w:rsid w:val="00CF228B"/>
    <w:rsid w:val="00D0330A"/>
    <w:rsid w:val="00D049EA"/>
    <w:rsid w:val="00D05D71"/>
    <w:rsid w:val="00D06686"/>
    <w:rsid w:val="00D0766A"/>
    <w:rsid w:val="00D11A53"/>
    <w:rsid w:val="00D11D6A"/>
    <w:rsid w:val="00D17D85"/>
    <w:rsid w:val="00D20B4D"/>
    <w:rsid w:val="00D21F6F"/>
    <w:rsid w:val="00D222F0"/>
    <w:rsid w:val="00D24F3C"/>
    <w:rsid w:val="00D2722B"/>
    <w:rsid w:val="00D306C0"/>
    <w:rsid w:val="00D313D5"/>
    <w:rsid w:val="00D3246E"/>
    <w:rsid w:val="00D40F50"/>
    <w:rsid w:val="00D41EDC"/>
    <w:rsid w:val="00D56C9D"/>
    <w:rsid w:val="00D61073"/>
    <w:rsid w:val="00D62B40"/>
    <w:rsid w:val="00D67D53"/>
    <w:rsid w:val="00D70693"/>
    <w:rsid w:val="00D7080F"/>
    <w:rsid w:val="00D72876"/>
    <w:rsid w:val="00D77295"/>
    <w:rsid w:val="00D77D00"/>
    <w:rsid w:val="00D851CD"/>
    <w:rsid w:val="00D8621B"/>
    <w:rsid w:val="00D93922"/>
    <w:rsid w:val="00D947D8"/>
    <w:rsid w:val="00D95FAE"/>
    <w:rsid w:val="00DA0ED1"/>
    <w:rsid w:val="00DA3D46"/>
    <w:rsid w:val="00DA596D"/>
    <w:rsid w:val="00DA6F35"/>
    <w:rsid w:val="00DA7DDC"/>
    <w:rsid w:val="00DB0F3F"/>
    <w:rsid w:val="00DB38CF"/>
    <w:rsid w:val="00DB6F13"/>
    <w:rsid w:val="00DC2EA9"/>
    <w:rsid w:val="00DC68D0"/>
    <w:rsid w:val="00DD0415"/>
    <w:rsid w:val="00DD124B"/>
    <w:rsid w:val="00DE194F"/>
    <w:rsid w:val="00DE1E44"/>
    <w:rsid w:val="00DE2F92"/>
    <w:rsid w:val="00DE34B8"/>
    <w:rsid w:val="00DE7638"/>
    <w:rsid w:val="00DE7A9E"/>
    <w:rsid w:val="00E142F1"/>
    <w:rsid w:val="00E27370"/>
    <w:rsid w:val="00E274A1"/>
    <w:rsid w:val="00E31104"/>
    <w:rsid w:val="00E34F22"/>
    <w:rsid w:val="00E40416"/>
    <w:rsid w:val="00E46B55"/>
    <w:rsid w:val="00E61156"/>
    <w:rsid w:val="00E67218"/>
    <w:rsid w:val="00E6789F"/>
    <w:rsid w:val="00E679B9"/>
    <w:rsid w:val="00E74EFA"/>
    <w:rsid w:val="00E75664"/>
    <w:rsid w:val="00E81D97"/>
    <w:rsid w:val="00E8430A"/>
    <w:rsid w:val="00E87E75"/>
    <w:rsid w:val="00E919BD"/>
    <w:rsid w:val="00E96FE0"/>
    <w:rsid w:val="00E97059"/>
    <w:rsid w:val="00EA1898"/>
    <w:rsid w:val="00EB328B"/>
    <w:rsid w:val="00EB40FD"/>
    <w:rsid w:val="00EB4D35"/>
    <w:rsid w:val="00EB5F52"/>
    <w:rsid w:val="00EB60BB"/>
    <w:rsid w:val="00EB663C"/>
    <w:rsid w:val="00EC1546"/>
    <w:rsid w:val="00EC39DE"/>
    <w:rsid w:val="00ED28D6"/>
    <w:rsid w:val="00ED36EF"/>
    <w:rsid w:val="00ED57A8"/>
    <w:rsid w:val="00ED7F34"/>
    <w:rsid w:val="00EE4255"/>
    <w:rsid w:val="00EE5B57"/>
    <w:rsid w:val="00F01408"/>
    <w:rsid w:val="00F111D8"/>
    <w:rsid w:val="00F162B0"/>
    <w:rsid w:val="00F17D71"/>
    <w:rsid w:val="00F20B4A"/>
    <w:rsid w:val="00F30429"/>
    <w:rsid w:val="00F30A85"/>
    <w:rsid w:val="00F325A4"/>
    <w:rsid w:val="00F37FD7"/>
    <w:rsid w:val="00F41694"/>
    <w:rsid w:val="00F43B9C"/>
    <w:rsid w:val="00F4654B"/>
    <w:rsid w:val="00F46A9C"/>
    <w:rsid w:val="00F46FB8"/>
    <w:rsid w:val="00F5084E"/>
    <w:rsid w:val="00F53E5E"/>
    <w:rsid w:val="00F5411B"/>
    <w:rsid w:val="00F57A85"/>
    <w:rsid w:val="00F60B25"/>
    <w:rsid w:val="00F64476"/>
    <w:rsid w:val="00F71B0A"/>
    <w:rsid w:val="00F720CA"/>
    <w:rsid w:val="00F72183"/>
    <w:rsid w:val="00F77E44"/>
    <w:rsid w:val="00F81009"/>
    <w:rsid w:val="00F810EB"/>
    <w:rsid w:val="00F84B0A"/>
    <w:rsid w:val="00F876C6"/>
    <w:rsid w:val="00F91011"/>
    <w:rsid w:val="00F923F5"/>
    <w:rsid w:val="00FA1221"/>
    <w:rsid w:val="00FA4ACC"/>
    <w:rsid w:val="00FB051A"/>
    <w:rsid w:val="00FB797D"/>
    <w:rsid w:val="00FC0ECC"/>
    <w:rsid w:val="00FC1DE3"/>
    <w:rsid w:val="00FC446A"/>
    <w:rsid w:val="00FD3E34"/>
    <w:rsid w:val="00FD4C73"/>
    <w:rsid w:val="00FE1DB5"/>
    <w:rsid w:val="00FE2363"/>
    <w:rsid w:val="00FE3927"/>
    <w:rsid w:val="00FE654D"/>
    <w:rsid w:val="00FF2E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7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eastAsia="Times New Roman" w:cs="Times New Roman"/>
      <w:szCs w:val="24"/>
    </w:rPr>
  </w:style>
  <w:style w:type="paragraph" w:customStyle="1" w:styleId="naisf">
    <w:name w:val="naisf"/>
    <w:basedOn w:val="Normal"/>
    <w:rsid w:val="00CE7BA5"/>
    <w:pPr>
      <w:spacing w:before="100" w:beforeAutospacing="1" w:after="100" w:afterAutospacing="1" w:line="240" w:lineRule="auto"/>
    </w:pPr>
    <w:rPr>
      <w:rFonts w:eastAsia="Times New Roman" w:cs="Times New Roman"/>
      <w:szCs w:val="24"/>
    </w:rPr>
  </w:style>
  <w:style w:type="paragraph" w:customStyle="1" w:styleId="naiskr">
    <w:name w:val="naiskr"/>
    <w:basedOn w:val="Normal"/>
    <w:rsid w:val="00CE7BA5"/>
    <w:pPr>
      <w:spacing w:before="100" w:beforeAutospacing="1" w:after="100" w:afterAutospacing="1" w:line="240" w:lineRule="auto"/>
    </w:pPr>
    <w:rPr>
      <w:rFonts w:eastAsia="Times New Roman" w:cs="Times New Roman"/>
      <w:szCs w:val="24"/>
    </w:rPr>
  </w:style>
  <w:style w:type="paragraph" w:customStyle="1" w:styleId="tv213">
    <w:name w:val="tv213"/>
    <w:basedOn w:val="Normal"/>
    <w:rsid w:val="00A138B6"/>
    <w:pPr>
      <w:spacing w:before="100" w:beforeAutospacing="1" w:after="100" w:afterAutospacing="1" w:line="240" w:lineRule="auto"/>
    </w:pPr>
    <w:rPr>
      <w:rFonts w:eastAsia="Times New Roman" w:cs="Times New Roman"/>
      <w:szCs w:val="24"/>
    </w:rPr>
  </w:style>
  <w:style w:type="paragraph" w:customStyle="1" w:styleId="labojumupamats">
    <w:name w:val="labojumu_pamats"/>
    <w:basedOn w:val="Normal"/>
    <w:rsid w:val="00A138B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138B6"/>
    <w:rPr>
      <w:color w:val="0000FF"/>
      <w:u w:val="single"/>
    </w:rPr>
  </w:style>
  <w:style w:type="character" w:styleId="CommentReference">
    <w:name w:val="annotation reference"/>
    <w:basedOn w:val="DefaultParagraphFont"/>
    <w:uiPriority w:val="99"/>
    <w:semiHidden/>
    <w:unhideWhenUsed/>
    <w:rsid w:val="0039419C"/>
    <w:rPr>
      <w:sz w:val="16"/>
      <w:szCs w:val="16"/>
    </w:rPr>
  </w:style>
  <w:style w:type="paragraph" w:styleId="CommentText">
    <w:name w:val="annotation text"/>
    <w:basedOn w:val="Normal"/>
    <w:link w:val="CommentTextChar"/>
    <w:uiPriority w:val="99"/>
    <w:semiHidden/>
    <w:unhideWhenUsed/>
    <w:rsid w:val="0039419C"/>
    <w:pPr>
      <w:spacing w:line="240" w:lineRule="auto"/>
    </w:pPr>
    <w:rPr>
      <w:sz w:val="20"/>
      <w:szCs w:val="20"/>
    </w:rPr>
  </w:style>
  <w:style w:type="character" w:customStyle="1" w:styleId="CommentTextChar">
    <w:name w:val="Comment Text Char"/>
    <w:basedOn w:val="DefaultParagraphFont"/>
    <w:link w:val="CommentText"/>
    <w:uiPriority w:val="99"/>
    <w:semiHidden/>
    <w:rsid w:val="0039419C"/>
    <w:rPr>
      <w:sz w:val="20"/>
      <w:szCs w:val="20"/>
    </w:rPr>
  </w:style>
  <w:style w:type="paragraph" w:styleId="CommentSubject">
    <w:name w:val="annotation subject"/>
    <w:basedOn w:val="CommentText"/>
    <w:next w:val="CommentText"/>
    <w:link w:val="CommentSubjectChar"/>
    <w:uiPriority w:val="99"/>
    <w:semiHidden/>
    <w:unhideWhenUsed/>
    <w:rsid w:val="0039419C"/>
    <w:rPr>
      <w:b/>
      <w:bCs/>
    </w:rPr>
  </w:style>
  <w:style w:type="character" w:customStyle="1" w:styleId="CommentSubjectChar">
    <w:name w:val="Comment Subject Char"/>
    <w:basedOn w:val="CommentTextChar"/>
    <w:link w:val="CommentSubject"/>
    <w:uiPriority w:val="99"/>
    <w:semiHidden/>
    <w:rsid w:val="0039419C"/>
    <w:rPr>
      <w:b/>
      <w:bCs/>
      <w:sz w:val="20"/>
      <w:szCs w:val="20"/>
    </w:rPr>
  </w:style>
  <w:style w:type="paragraph" w:styleId="Revision">
    <w:name w:val="Revision"/>
    <w:hidden/>
    <w:uiPriority w:val="99"/>
    <w:semiHidden/>
    <w:rsid w:val="00576C2A"/>
    <w:pPr>
      <w:spacing w:after="0" w:line="240" w:lineRule="auto"/>
    </w:pPr>
  </w:style>
  <w:style w:type="paragraph" w:styleId="FootnoteText">
    <w:name w:val="footnote text"/>
    <w:basedOn w:val="Normal"/>
    <w:link w:val="FootnoteTextChar"/>
    <w:uiPriority w:val="99"/>
    <w:semiHidden/>
    <w:unhideWhenUsed/>
    <w:rsid w:val="00534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A0F"/>
    <w:rPr>
      <w:sz w:val="20"/>
      <w:szCs w:val="20"/>
    </w:rPr>
  </w:style>
  <w:style w:type="character" w:styleId="FootnoteReference">
    <w:name w:val="footnote reference"/>
    <w:basedOn w:val="DefaultParagraphFont"/>
    <w:uiPriority w:val="99"/>
    <w:semiHidden/>
    <w:unhideWhenUsed/>
    <w:rsid w:val="00534A0F"/>
    <w:rPr>
      <w:vertAlign w:val="superscript"/>
    </w:rPr>
  </w:style>
  <w:style w:type="character" w:styleId="FollowedHyperlink">
    <w:name w:val="FollowedHyperlink"/>
    <w:basedOn w:val="DefaultParagraphFont"/>
    <w:uiPriority w:val="99"/>
    <w:semiHidden/>
    <w:unhideWhenUsed/>
    <w:rsid w:val="00BA12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518935634">
      <w:bodyDiv w:val="1"/>
      <w:marLeft w:val="0"/>
      <w:marRight w:val="0"/>
      <w:marTop w:val="0"/>
      <w:marBottom w:val="0"/>
      <w:divBdr>
        <w:top w:val="none" w:sz="0" w:space="0" w:color="auto"/>
        <w:left w:val="none" w:sz="0" w:space="0" w:color="auto"/>
        <w:bottom w:val="none" w:sz="0" w:space="0" w:color="auto"/>
        <w:right w:val="none" w:sz="0" w:space="0" w:color="auto"/>
      </w:divBdr>
    </w:div>
    <w:div w:id="681400954">
      <w:bodyDiv w:val="1"/>
      <w:marLeft w:val="0"/>
      <w:marRight w:val="0"/>
      <w:marTop w:val="0"/>
      <w:marBottom w:val="0"/>
      <w:divBdr>
        <w:top w:val="none" w:sz="0" w:space="0" w:color="auto"/>
        <w:left w:val="none" w:sz="0" w:space="0" w:color="auto"/>
        <w:bottom w:val="none" w:sz="0" w:space="0" w:color="auto"/>
        <w:right w:val="none" w:sz="0" w:space="0" w:color="auto"/>
      </w:divBdr>
    </w:div>
    <w:div w:id="814879605">
      <w:bodyDiv w:val="1"/>
      <w:marLeft w:val="0"/>
      <w:marRight w:val="0"/>
      <w:marTop w:val="0"/>
      <w:marBottom w:val="0"/>
      <w:divBdr>
        <w:top w:val="none" w:sz="0" w:space="0" w:color="auto"/>
        <w:left w:val="none" w:sz="0" w:space="0" w:color="auto"/>
        <w:bottom w:val="none" w:sz="0" w:space="0" w:color="auto"/>
        <w:right w:val="none" w:sz="0" w:space="0" w:color="auto"/>
      </w:divBdr>
    </w:div>
    <w:div w:id="997808227">
      <w:bodyDiv w:val="1"/>
      <w:marLeft w:val="0"/>
      <w:marRight w:val="0"/>
      <w:marTop w:val="0"/>
      <w:marBottom w:val="0"/>
      <w:divBdr>
        <w:top w:val="none" w:sz="0" w:space="0" w:color="auto"/>
        <w:left w:val="none" w:sz="0" w:space="0" w:color="auto"/>
        <w:bottom w:val="none" w:sz="0" w:space="0" w:color="auto"/>
        <w:right w:val="none" w:sz="0" w:space="0" w:color="auto"/>
      </w:divBdr>
      <w:divsChild>
        <w:div w:id="587270669">
          <w:marLeft w:val="0"/>
          <w:marRight w:val="0"/>
          <w:marTop w:val="0"/>
          <w:marBottom w:val="0"/>
          <w:divBdr>
            <w:top w:val="none" w:sz="0" w:space="0" w:color="auto"/>
            <w:left w:val="none" w:sz="0" w:space="0" w:color="auto"/>
            <w:bottom w:val="none" w:sz="0" w:space="0" w:color="auto"/>
            <w:right w:val="none" w:sz="0" w:space="0" w:color="auto"/>
          </w:divBdr>
        </w:div>
        <w:div w:id="685668398">
          <w:marLeft w:val="0"/>
          <w:marRight w:val="0"/>
          <w:marTop w:val="0"/>
          <w:marBottom w:val="0"/>
          <w:divBdr>
            <w:top w:val="none" w:sz="0" w:space="0" w:color="auto"/>
            <w:left w:val="none" w:sz="0" w:space="0" w:color="auto"/>
            <w:bottom w:val="none" w:sz="0" w:space="0" w:color="auto"/>
            <w:right w:val="none" w:sz="0" w:space="0" w:color="auto"/>
          </w:divBdr>
        </w:div>
      </w:divsChild>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781950773">
      <w:bodyDiv w:val="1"/>
      <w:marLeft w:val="0"/>
      <w:marRight w:val="0"/>
      <w:marTop w:val="0"/>
      <w:marBottom w:val="0"/>
      <w:divBdr>
        <w:top w:val="none" w:sz="0" w:space="0" w:color="auto"/>
        <w:left w:val="none" w:sz="0" w:space="0" w:color="auto"/>
        <w:bottom w:val="none" w:sz="0" w:space="0" w:color="auto"/>
        <w:right w:val="none" w:sz="0" w:space="0" w:color="auto"/>
      </w:divBdr>
      <w:divsChild>
        <w:div w:id="549192801">
          <w:marLeft w:val="0"/>
          <w:marRight w:val="0"/>
          <w:marTop w:val="0"/>
          <w:marBottom w:val="0"/>
          <w:divBdr>
            <w:top w:val="none" w:sz="0" w:space="0" w:color="auto"/>
            <w:left w:val="none" w:sz="0" w:space="0" w:color="auto"/>
            <w:bottom w:val="none" w:sz="0" w:space="0" w:color="auto"/>
            <w:right w:val="none" w:sz="0" w:space="0" w:color="auto"/>
          </w:divBdr>
        </w:div>
        <w:div w:id="313068634">
          <w:marLeft w:val="0"/>
          <w:marRight w:val="0"/>
          <w:marTop w:val="0"/>
          <w:marBottom w:val="0"/>
          <w:divBdr>
            <w:top w:val="none" w:sz="0" w:space="0" w:color="auto"/>
            <w:left w:val="none" w:sz="0" w:space="0" w:color="auto"/>
            <w:bottom w:val="none" w:sz="0" w:space="0" w:color="auto"/>
            <w:right w:val="none" w:sz="0" w:space="0" w:color="auto"/>
          </w:divBdr>
        </w:div>
      </w:divsChild>
    </w:div>
    <w:div w:id="1894928039">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sChild>
        <w:div w:id="296568455">
          <w:marLeft w:val="0"/>
          <w:marRight w:val="0"/>
          <w:marTop w:val="0"/>
          <w:marBottom w:val="0"/>
          <w:divBdr>
            <w:top w:val="none" w:sz="0" w:space="0" w:color="auto"/>
            <w:left w:val="none" w:sz="0" w:space="0" w:color="auto"/>
            <w:bottom w:val="none" w:sz="0" w:space="0" w:color="auto"/>
            <w:right w:val="none" w:sz="0" w:space="0" w:color="auto"/>
          </w:divBdr>
        </w:div>
        <w:div w:id="921644262">
          <w:marLeft w:val="0"/>
          <w:marRight w:val="0"/>
          <w:marTop w:val="0"/>
          <w:marBottom w:val="0"/>
          <w:divBdr>
            <w:top w:val="none" w:sz="0" w:space="0" w:color="auto"/>
            <w:left w:val="none" w:sz="0" w:space="0" w:color="auto"/>
            <w:bottom w:val="none" w:sz="0" w:space="0" w:color="auto"/>
            <w:right w:val="none" w:sz="0" w:space="0" w:color="auto"/>
          </w:divBdr>
        </w:div>
        <w:div w:id="351422102">
          <w:marLeft w:val="0"/>
          <w:marRight w:val="0"/>
          <w:marTop w:val="0"/>
          <w:marBottom w:val="0"/>
          <w:divBdr>
            <w:top w:val="none" w:sz="0" w:space="0" w:color="auto"/>
            <w:left w:val="none" w:sz="0" w:space="0" w:color="auto"/>
            <w:bottom w:val="none" w:sz="0" w:space="0" w:color="auto"/>
            <w:right w:val="none" w:sz="0" w:space="0" w:color="auto"/>
          </w:divBdr>
        </w:div>
      </w:divsChild>
    </w:div>
    <w:div w:id="210090379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CBCF-30FF-4E47-A053-AABDC485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5207</Words>
  <Characters>2969</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Grozījumi Informācijas tehnoloģiju drošības likumā</vt:lpstr>
    </vt:vector>
  </TitlesOfParts>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Iekšlietu ministrijas sistēmas iestāžu un Ieslodzījuma vietu pārvaldes amatpersonu ar speciālajām dienesta pakāpēm  dienesta gaitas likumā” sākotnējās ietekmes novērtējuma ziņojums (anotācija)</dc:title>
  <dc:subject>Anotācija</dc:subject>
  <dc:creator>Inese Rudzīte</dc:creator>
  <dc:description>Inese.Rudzite@midd.gov.lv
67177879</dc:description>
  <cp:lastModifiedBy>inru</cp:lastModifiedBy>
  <cp:revision>14</cp:revision>
  <cp:lastPrinted>2017-09-20T15:13:00Z</cp:lastPrinted>
  <dcterms:created xsi:type="dcterms:W3CDTF">2017-12-15T08:50:00Z</dcterms:created>
  <dcterms:modified xsi:type="dcterms:W3CDTF">2018-01-16T14:37:00Z</dcterms:modified>
</cp:coreProperties>
</file>