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88" w:rsidRPr="002D7166" w:rsidRDefault="00BD5588" w:rsidP="00B763AD">
      <w:pPr>
        <w:pStyle w:val="Title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B763AD" w:rsidRPr="00A02BD5" w:rsidRDefault="00B763AD" w:rsidP="00B763AD">
      <w:pPr>
        <w:shd w:val="clear" w:color="auto" w:fill="FFFFFF"/>
        <w:spacing w:before="130" w:line="260" w:lineRule="exact"/>
        <w:jc w:val="center"/>
        <w:rPr>
          <w:b/>
          <w:bCs/>
        </w:rPr>
      </w:pPr>
      <w:r w:rsidRPr="00A02BD5">
        <w:rPr>
          <w:b/>
        </w:rPr>
        <w:t>Likum</w:t>
      </w:r>
      <w:r w:rsidRPr="00A02BD5">
        <w:rPr>
          <w:b/>
          <w:bCs/>
        </w:rPr>
        <w:t xml:space="preserve">projekta “Grozījumi </w:t>
      </w:r>
      <w:r w:rsidR="00662062" w:rsidRPr="00662062">
        <w:rPr>
          <w:b/>
          <w:bCs/>
          <w:color w:val="414142"/>
        </w:rPr>
        <w:t>Aizsardzības un drošības jomas iepirkumu likumā</w:t>
      </w:r>
      <w:r w:rsidRPr="00A02BD5">
        <w:rPr>
          <w:b/>
        </w:rPr>
        <w:t>”</w:t>
      </w:r>
      <w:r w:rsidRPr="00A02BD5">
        <w:t xml:space="preserve"> </w:t>
      </w:r>
      <w:r w:rsidRPr="00A02BD5">
        <w:rPr>
          <w:b/>
          <w:bCs/>
        </w:rPr>
        <w:t>sākotnējās ietekmes novērtējuma ziņojums (anotācija)</w:t>
      </w:r>
    </w:p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5326"/>
      </w:tblGrid>
      <w:tr w:rsidR="00D73FC1" w:rsidRPr="00764F9D" w:rsidTr="00D73FC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C1" w:rsidRPr="00764F9D" w:rsidRDefault="00D73FC1" w:rsidP="00D73FC1">
            <w:pPr>
              <w:jc w:val="center"/>
              <w:rPr>
                <w:b/>
                <w:bCs/>
              </w:rPr>
            </w:pPr>
            <w:r w:rsidRPr="00764F9D">
              <w:rPr>
                <w:b/>
                <w:bCs/>
              </w:rPr>
              <w:t>Tiesību akta projekta anotācijas kopsavilkums</w:t>
            </w:r>
          </w:p>
        </w:tc>
      </w:tr>
      <w:tr w:rsidR="00D73FC1" w:rsidRPr="00764F9D" w:rsidTr="00D73FC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179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3FC1" w:rsidRPr="00764F9D" w:rsidRDefault="00D73FC1" w:rsidP="00D73FC1">
            <w:pPr>
              <w:rPr>
                <w:color w:val="414142"/>
              </w:rPr>
            </w:pPr>
            <w:r w:rsidRPr="00764F9D">
              <w:rPr>
                <w:color w:val="414142"/>
              </w:rPr>
              <w:t xml:space="preserve">Mērķis, risinājums un projekta spēkā stāšanās laiks </w:t>
            </w:r>
          </w:p>
        </w:tc>
        <w:tc>
          <w:tcPr>
            <w:tcW w:w="32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18A9" w:rsidRDefault="00AD18A9" w:rsidP="00AD18A9">
            <w:pPr>
              <w:jc w:val="both"/>
            </w:pPr>
            <w:r>
              <w:t xml:space="preserve">Ar likumprojektu paredzēts papildināt </w:t>
            </w:r>
            <w:r w:rsidRPr="00AD18A9">
              <w:rPr>
                <w:bCs/>
                <w:color w:val="414142"/>
              </w:rPr>
              <w:t>Aizsardzības un drošības jomas iepirkumu likum</w:t>
            </w:r>
            <w:r>
              <w:rPr>
                <w:bCs/>
                <w:color w:val="414142"/>
              </w:rPr>
              <w:t>u</w:t>
            </w:r>
            <w:r>
              <w:t xml:space="preserve"> ar normu par </w:t>
            </w:r>
            <w:r w:rsidRPr="00201A5A">
              <w:t>izšķirošo piedāvājuma kritēriju</w:t>
            </w:r>
            <w:r>
              <w:t>, tā stimulējot komersantus, kuri nodarbina zemessargus</w:t>
            </w:r>
            <w:r w:rsidRPr="00E21B17">
              <w:t>.</w:t>
            </w:r>
          </w:p>
          <w:p w:rsidR="00D73FC1" w:rsidRDefault="00AD18A9" w:rsidP="00E17BF3">
            <w:r w:rsidRPr="00AD18A9">
              <w:t>Likumprojekta spēkā stāšanās paredzēta normatīvajos aktos noteiktajā vispārējā kārtībā, neparedzot konkrētu spēkā stāšanās datumu.</w:t>
            </w:r>
          </w:p>
          <w:p w:rsidR="00AD18A9" w:rsidRPr="00764F9D" w:rsidRDefault="00AD18A9" w:rsidP="00E17BF3">
            <w:pPr>
              <w:rPr>
                <w:color w:val="414142"/>
              </w:rPr>
            </w:pPr>
          </w:p>
        </w:tc>
      </w:tr>
      <w:tr w:rsidR="00BD5588" w:rsidRPr="00D73FC1" w:rsidTr="00E74448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D73FC1" w:rsidRDefault="00BD5588" w:rsidP="00E74448">
            <w:pPr>
              <w:jc w:val="center"/>
              <w:rPr>
                <w:b/>
                <w:bCs/>
              </w:rPr>
            </w:pPr>
            <w:r w:rsidRPr="00D73FC1">
              <w:rPr>
                <w:b/>
                <w:bCs/>
              </w:rPr>
              <w:t>I. Tiesību akta projekta izstrādes nepieciešamība</w:t>
            </w:r>
          </w:p>
        </w:tc>
      </w:tr>
      <w:tr w:rsidR="003F7DAF" w:rsidRPr="00B517C3" w:rsidTr="00E74448">
        <w:trPr>
          <w:cantSplit/>
        </w:trPr>
        <w:tc>
          <w:tcPr>
            <w:tcW w:w="311" w:type="pct"/>
          </w:tcPr>
          <w:p w:rsidR="003F7DAF" w:rsidRPr="00E74448" w:rsidRDefault="003F7DAF" w:rsidP="003F7DAF">
            <w:pPr>
              <w:jc w:val="center"/>
            </w:pPr>
            <w:r w:rsidRPr="00E74448">
              <w:t>1.</w:t>
            </w:r>
          </w:p>
        </w:tc>
        <w:tc>
          <w:tcPr>
            <w:tcW w:w="1479" w:type="pct"/>
          </w:tcPr>
          <w:p w:rsidR="003F7DAF" w:rsidRPr="00E74448" w:rsidRDefault="003F7DAF" w:rsidP="003F7DAF">
            <w:r w:rsidRPr="00E74448">
              <w:t>Pamatojums</w:t>
            </w:r>
          </w:p>
        </w:tc>
        <w:tc>
          <w:tcPr>
            <w:tcW w:w="3210" w:type="pct"/>
          </w:tcPr>
          <w:p w:rsidR="003F7DAF" w:rsidRDefault="003F7DAF" w:rsidP="003F7DAF">
            <w:pPr>
              <w:jc w:val="both"/>
            </w:pPr>
            <w:r>
              <w:t>Likumprojekts izstrādāts, balsto</w:t>
            </w:r>
            <w:r w:rsidRPr="00A02BD5">
              <w:t>t</w:t>
            </w:r>
            <w:r>
              <w:t>ie</w:t>
            </w:r>
            <w:r w:rsidRPr="00A02BD5">
              <w:t>s uz Ministru kabineta 2017. gada 19. decembra sēdes protokola Nr. 63 63.§ “Informatīvais ziņojums “Par valdība</w:t>
            </w:r>
            <w:r>
              <w:t>s rīcības plāna 2016. gadam 77.</w:t>
            </w:r>
            <w:r w:rsidRPr="00A02BD5">
              <w:t>punkta “Izstrādāt priekšlikumus ekonomiskajiem stimuliem uzņēmējiem, lai motivētu viņu darbinieku regulāru piedalīšanos Zemessardzes mā</w:t>
            </w:r>
            <w:r>
              <w:t xml:space="preserve">cībās” izpildes organizēšanu”” 3. </w:t>
            </w:r>
            <w:r w:rsidRPr="00A02BD5">
              <w:t>punktu</w:t>
            </w:r>
            <w:r>
              <w:t xml:space="preserve">   </w:t>
            </w:r>
          </w:p>
          <w:p w:rsidR="003F7DAF" w:rsidRPr="00C4505F" w:rsidRDefault="003F7DAF" w:rsidP="003F7DAF">
            <w:pPr>
              <w:jc w:val="both"/>
              <w:rPr>
                <w:sz w:val="22"/>
                <w:szCs w:val="22"/>
              </w:rPr>
            </w:pPr>
            <w:r>
              <w:t>“</w:t>
            </w:r>
            <w:r w:rsidRPr="00FA0D70">
              <w:t xml:space="preserve">Aizsardzības ministrijai sadarbībā ar Finanšu ministriju līdz 2018. gada </w:t>
            </w:r>
            <w:r>
              <w:t>1. martam</w:t>
            </w:r>
            <w:r w:rsidRPr="00BB1755">
              <w:t xml:space="preserve"> </w:t>
            </w:r>
            <w:r w:rsidRPr="00FA0D70">
              <w:t xml:space="preserve">sagatavot priekšlikumus grozījumiem Aizsardzības un drošības jomas iepirkumu likumā, </w:t>
            </w:r>
            <w:r w:rsidRPr="00A34D4B">
              <w:t xml:space="preserve">paredzot iespējas </w:t>
            </w:r>
            <w:r w:rsidRPr="00201A5A">
              <w:t>par izšķirošo piedāvājuma kritēriju</w:t>
            </w:r>
            <w:r w:rsidRPr="00A34D4B">
              <w:t xml:space="preserve"> noteikt nodarbināto </w:t>
            </w:r>
            <w:r w:rsidRPr="00A34D4B">
              <w:rPr>
                <w:iCs/>
              </w:rPr>
              <w:t>zemessargu skaitu</w:t>
            </w:r>
            <w:r w:rsidRPr="00A34D4B">
              <w:t xml:space="preserve"> uzņēmumā, </w:t>
            </w:r>
            <w:r w:rsidRPr="00E21B17">
              <w:t>ja katra zemessarga militārajās mācībās pavadītais  darbadienu skait</w:t>
            </w:r>
            <w:r>
              <w:t>s</w:t>
            </w:r>
            <w:r w:rsidRPr="00E21B17">
              <w:t xml:space="preserve"> nav mazāks pa</w:t>
            </w:r>
            <w:r>
              <w:t>r piecām darbadienām  un  kopējais mācībās pavadītais</w:t>
            </w:r>
            <w:r w:rsidRPr="00E21B17">
              <w:t xml:space="preserve"> dienu skait</w:t>
            </w:r>
            <w:r>
              <w:t>s</w:t>
            </w:r>
            <w:r w:rsidRPr="00E21B17">
              <w:t xml:space="preserve"> pēdējā gada laikā nav mazāks par 20 dienām.</w:t>
            </w:r>
            <w:r>
              <w:t xml:space="preserve">” </w:t>
            </w:r>
            <w:r w:rsidRPr="00FA0D70">
              <w:t xml:space="preserve"> </w:t>
            </w:r>
            <w:r>
              <w:t xml:space="preserve">    </w:t>
            </w: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  <w:p w:rsidR="003F7DAF" w:rsidRPr="00B517C3" w:rsidRDefault="003F7DAF" w:rsidP="003F7DAF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3F7DAF" w:rsidRPr="00B517C3" w:rsidTr="00E74448">
        <w:trPr>
          <w:cantSplit/>
        </w:trPr>
        <w:tc>
          <w:tcPr>
            <w:tcW w:w="311" w:type="pct"/>
            <w:hideMark/>
          </w:tcPr>
          <w:p w:rsidR="003F7DAF" w:rsidRPr="00E74448" w:rsidRDefault="003F7DAF" w:rsidP="003F7DAF">
            <w:pPr>
              <w:jc w:val="center"/>
            </w:pPr>
            <w:r w:rsidRPr="00E74448">
              <w:lastRenderedPageBreak/>
              <w:t>2.</w:t>
            </w:r>
          </w:p>
        </w:tc>
        <w:tc>
          <w:tcPr>
            <w:tcW w:w="1479" w:type="pct"/>
            <w:hideMark/>
          </w:tcPr>
          <w:p w:rsidR="003F7DAF" w:rsidRPr="00E74448" w:rsidRDefault="003F7DAF" w:rsidP="003F7DAF">
            <w:r w:rsidRPr="00E74448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:rsidR="00FB1ADA" w:rsidRDefault="003F7DAF" w:rsidP="00FB1ADA">
            <w:pPr>
              <w:spacing w:after="240"/>
              <w:ind w:firstLine="450"/>
              <w:jc w:val="both"/>
            </w:pPr>
            <w:r w:rsidRPr="005C2DDB">
              <w:t xml:space="preserve">Aizsardzības ministrija </w:t>
            </w:r>
            <w:r>
              <w:t>pastiprināti</w:t>
            </w:r>
            <w:r w:rsidRPr="005C2DDB">
              <w:t xml:space="preserve"> strādā pie Nacionālo bruņoto spēku </w:t>
            </w:r>
            <w:r>
              <w:t xml:space="preserve">(turpmāk – NBS) </w:t>
            </w:r>
            <w:r w:rsidRPr="005C2DDB">
              <w:t xml:space="preserve">un Zemessardzes attīstības, arvien aktīvāk iesaistot zemessargus un rezerves karavīrus militārajās mācībās. </w:t>
            </w:r>
            <w:r>
              <w:t xml:space="preserve">Lai paaugstinātu NBS kaujas spējas un nodrošinātu plānveida militāro apmācību, </w:t>
            </w:r>
            <w:r w:rsidRPr="005C2DDB">
              <w:t xml:space="preserve">jārisina tādi jautājumi kā darba devēju un darba ņēmēju interešu sabalansēšana, iespējamie atvieglojumi </w:t>
            </w:r>
            <w:r>
              <w:t>tiem</w:t>
            </w:r>
            <w:r w:rsidRPr="005C2DDB">
              <w:t xml:space="preserve"> darba devējiem, pie kuriem strādā zemessargi un rezerves karavīri.</w:t>
            </w:r>
            <w:r>
              <w:t xml:space="preserve"> Lai stimulētu komersantus atbalstīt darbiniekus zemessargus, šis likumprojekts </w:t>
            </w:r>
            <w:r w:rsidRPr="00184248">
              <w:t>noteik</w:t>
            </w:r>
            <w:r>
              <w:t>s</w:t>
            </w:r>
            <w:r w:rsidRPr="00184248">
              <w:t xml:space="preserve"> zināmas priekšrocības </w:t>
            </w:r>
            <w:r>
              <w:t>publiskajos</w:t>
            </w:r>
            <w:r w:rsidRPr="00184248">
              <w:t xml:space="preserve"> iepirkumos</w:t>
            </w:r>
            <w:r>
              <w:t xml:space="preserve"> tiem komersantiem (piegādātājiem)</w:t>
            </w:r>
            <w:r w:rsidRPr="00184248">
              <w:t>, k</w:t>
            </w:r>
            <w:r>
              <w:t>uri nodarbina zemessargus.</w:t>
            </w:r>
            <w:r w:rsidRPr="0000489A">
              <w:t xml:space="preserve"> </w:t>
            </w:r>
          </w:p>
          <w:p w:rsidR="003F7DAF" w:rsidRDefault="003F7DAF" w:rsidP="00FB1ADA">
            <w:pPr>
              <w:spacing w:after="240"/>
              <w:ind w:firstLine="450"/>
              <w:jc w:val="both"/>
            </w:pPr>
            <w:r w:rsidRPr="00603E2F">
              <w:t xml:space="preserve">Priekšrocības </w:t>
            </w:r>
            <w:r>
              <w:t>aizsardzības un drošības jomas</w:t>
            </w:r>
            <w:r w:rsidRPr="00603E2F">
              <w:t xml:space="preserve"> iepirkumos</w:t>
            </w:r>
            <w:r w:rsidRPr="00864457">
              <w:t xml:space="preserve"> paredz kārtību, </w:t>
            </w:r>
            <w:r>
              <w:t>ka</w:t>
            </w:r>
            <w:r w:rsidRPr="00864457">
              <w:t xml:space="preserve"> pasūtītājs iepirkuma procedūras dokumentos norāda izšķirošo piedāvājuma izvēles kritēriju, atbilstoši kuram izvēl</w:t>
            </w:r>
            <w:r>
              <w:t>a</w:t>
            </w:r>
            <w:r w:rsidRPr="00864457">
              <w:t xml:space="preserve">s piedāvājumu, ja pirms </w:t>
            </w:r>
            <w:r>
              <w:t>lēmuma pieņemšanas</w:t>
            </w:r>
            <w:r w:rsidRPr="00864457">
              <w:t xml:space="preserve"> par iepirkuma līgum</w:t>
            </w:r>
            <w:r>
              <w:t>a slēgšanas tiesību piešķiršanu</w:t>
            </w:r>
            <w:r w:rsidRPr="00864457">
              <w:t xml:space="preserve"> </w:t>
            </w:r>
            <w:r>
              <w:t>tas konstatē</w:t>
            </w:r>
            <w:r w:rsidRPr="00864457">
              <w:t xml:space="preserve">, ka vismaz divu piedāvājumu novērtējums ir vienāds. Lai nodrošinātu šādu </w:t>
            </w:r>
            <w:r>
              <w:t>pieej</w:t>
            </w:r>
            <w:r w:rsidRPr="00864457">
              <w:t xml:space="preserve">u, ir </w:t>
            </w:r>
            <w:r>
              <w:t>sagatavoti grozījumi</w:t>
            </w:r>
            <w:r w:rsidRPr="00864457">
              <w:t xml:space="preserve"> </w:t>
            </w:r>
            <w:r w:rsidRPr="00FA0D70">
              <w:t>Aizsardzības un drošības jomas iepirkumu likumā</w:t>
            </w:r>
            <w:r>
              <w:t>, paredzot iespēju pasūtītājam noteikt izšķirošo piedāvājuma izvēles kritēriju publiskajos iepirkumos, izņemot tos iepirkumus, kuri saistīti ar Eiropas Savienības fondu līdzekļu apguvi</w:t>
            </w:r>
            <w:r w:rsidRPr="00864457">
              <w:t xml:space="preserve">. </w:t>
            </w:r>
          </w:p>
          <w:p w:rsidR="003F7DAF" w:rsidRDefault="003F7DAF" w:rsidP="003F7DAF">
            <w:pPr>
              <w:spacing w:after="240"/>
              <w:ind w:firstLine="450"/>
              <w:jc w:val="both"/>
            </w:pPr>
            <w:r>
              <w:t xml:space="preserve">Gadījumā, ja </w:t>
            </w:r>
            <w:r w:rsidRPr="00864457">
              <w:t xml:space="preserve">divu </w:t>
            </w:r>
            <w:r>
              <w:t xml:space="preserve">komersantu </w:t>
            </w:r>
            <w:r w:rsidRPr="00864457">
              <w:t>piedāvājumu novērtējums ir vienāds</w:t>
            </w:r>
            <w:r>
              <w:t xml:space="preserve">, šie komersanti (piegādātāji) pēc pasūtītāja pieprasījuma iesniedz </w:t>
            </w:r>
            <w:r w:rsidRPr="00756F98">
              <w:t>izziņu</w:t>
            </w:r>
            <w:r w:rsidRPr="00181403">
              <w:rPr>
                <w:b/>
              </w:rPr>
              <w:t xml:space="preserve"> </w:t>
            </w:r>
            <w:r w:rsidRPr="008B2055">
              <w:t>no Zemessardzes</w:t>
            </w:r>
            <w:r w:rsidRPr="00F344EC">
              <w:t>,</w:t>
            </w:r>
            <w:r w:rsidRPr="00181403">
              <w:rPr>
                <w:b/>
              </w:rPr>
              <w:t xml:space="preserve"> </w:t>
            </w:r>
            <w:r w:rsidRPr="00181403">
              <w:t xml:space="preserve">kas apliecina </w:t>
            </w:r>
            <w:r w:rsidRPr="00756F98">
              <w:t xml:space="preserve">uzņēmumā </w:t>
            </w:r>
            <w:r>
              <w:t xml:space="preserve">nodarbināto zemessargu skaitu, </w:t>
            </w:r>
            <w:r w:rsidRPr="00756F98">
              <w:t>darbadienu</w:t>
            </w:r>
            <w:r w:rsidRPr="00756F98">
              <w:rPr>
                <w:b/>
              </w:rPr>
              <w:t xml:space="preserve"> </w:t>
            </w:r>
            <w:r w:rsidRPr="00756F98">
              <w:t>skaitu, ko</w:t>
            </w:r>
            <w:r w:rsidRPr="00756F98">
              <w:rPr>
                <w:b/>
              </w:rPr>
              <w:t xml:space="preserve"> </w:t>
            </w:r>
            <w:r w:rsidRPr="00756F98">
              <w:t>uzņēmumā strādājošie zemessargi pavadījuši militārajās mācībās pēdējā gada laikā</w:t>
            </w:r>
            <w:r>
              <w:t>,</w:t>
            </w:r>
            <w:r w:rsidRPr="00756F98">
              <w:t xml:space="preserve"> kopējo</w:t>
            </w:r>
            <w:r w:rsidRPr="00756F98">
              <w:rPr>
                <w:b/>
              </w:rPr>
              <w:t xml:space="preserve"> </w:t>
            </w:r>
            <w:r w:rsidRPr="00756F98">
              <w:t>mācībās un dienesta uzdevumu izpildē pavadīto</w:t>
            </w:r>
            <w:r w:rsidRPr="00756F98">
              <w:rPr>
                <w:b/>
              </w:rPr>
              <w:t xml:space="preserve"> </w:t>
            </w:r>
            <w:r w:rsidRPr="00756F98">
              <w:t xml:space="preserve">dienu skaitu. </w:t>
            </w:r>
            <w:r w:rsidRPr="005E3EC8">
              <w:t>Obligāts nos</w:t>
            </w:r>
            <w:r>
              <w:t>acījums priekšrocību saņemšanai ir</w:t>
            </w:r>
            <w:r w:rsidRPr="005E3EC8">
              <w:t xml:space="preserve"> zemessarga dalība </w:t>
            </w:r>
            <w:r w:rsidR="00942494">
              <w:t>apmācībā</w:t>
            </w:r>
            <w:r w:rsidR="00FB1ADA">
              <w:t xml:space="preserve"> un dienesta uzdevumu izpildē</w:t>
            </w:r>
            <w:r>
              <w:t xml:space="preserve"> </w:t>
            </w:r>
            <w:r w:rsidRPr="005E3EC8">
              <w:t xml:space="preserve">gada laikā vismaz </w:t>
            </w:r>
            <w:r w:rsidRPr="00FB1ADA">
              <w:rPr>
                <w:bCs/>
              </w:rPr>
              <w:t>2</w:t>
            </w:r>
            <w:r w:rsidRPr="00756F98">
              <w:rPr>
                <w:bCs/>
              </w:rPr>
              <w:t>0 dienas</w:t>
            </w:r>
            <w:r w:rsidRPr="00756F98">
              <w:t>,</w:t>
            </w:r>
            <w:r>
              <w:t xml:space="preserve"> no tām </w:t>
            </w:r>
            <w:r w:rsidRPr="005E3EC8">
              <w:t xml:space="preserve">kolektīvajās mācībās </w:t>
            </w:r>
            <w:r>
              <w:t xml:space="preserve">– </w:t>
            </w:r>
            <w:r w:rsidRPr="00756F98">
              <w:rPr>
                <w:bCs/>
              </w:rPr>
              <w:t>5 darba</w:t>
            </w:r>
            <w:r w:rsidRPr="00756F98">
              <w:t>dienas.</w:t>
            </w:r>
            <w:r>
              <w:t xml:space="preserve"> </w:t>
            </w:r>
            <w:r w:rsidR="00857C47">
              <w:rPr>
                <w:bCs/>
              </w:rPr>
              <w:t xml:space="preserve">Latvijas Republikas Zemessardzes likuma 7. panta pirmā daļa nosaka, ka </w:t>
            </w:r>
            <w:r w:rsidR="00857C47" w:rsidRPr="00FB1ADA">
              <w:rPr>
                <w:bCs/>
              </w:rPr>
              <w:t>“</w:t>
            </w:r>
            <w:r w:rsidR="00857C47" w:rsidRPr="00FB1ADA">
              <w:t>Zemessargam izdienas stāžā ieskaita dienesta laiku Zemessardzē, ja viņš vismaz 20 dienas gadā piedalījies dienesta uzdevumu izpildē vai apmācībā</w:t>
            </w:r>
            <w:r w:rsidR="00942494">
              <w:t>”</w:t>
            </w:r>
            <w:r w:rsidR="00857C47">
              <w:rPr>
                <w:rFonts w:ascii="Arial" w:hAnsi="Arial" w:cs="Arial"/>
              </w:rPr>
              <w:t xml:space="preserve">, </w:t>
            </w:r>
            <w:r w:rsidR="00857C47" w:rsidRPr="00857C47">
              <w:t>tādēļ</w:t>
            </w:r>
            <w:r w:rsidR="00857C47">
              <w:t xml:space="preserve"> arī likumprojektā iekļautā prasība par 20 dienām veicinās darbinieku – zemessargu aktīvāku iekļaušanos </w:t>
            </w:r>
            <w:r w:rsidR="00942494">
              <w:t xml:space="preserve">apmācībā un </w:t>
            </w:r>
            <w:r w:rsidR="00857C47">
              <w:t xml:space="preserve">dienesta uzdevumu izpildē. </w:t>
            </w:r>
          </w:p>
          <w:p w:rsidR="003F7DAF" w:rsidRPr="00A02BD5" w:rsidRDefault="003F7DAF" w:rsidP="00857C47">
            <w:pPr>
              <w:spacing w:after="240"/>
              <w:ind w:firstLine="450"/>
              <w:jc w:val="both"/>
            </w:pPr>
            <w:r>
              <w:lastRenderedPageBreak/>
              <w:t xml:space="preserve">Lai ieviestu </w:t>
            </w:r>
            <w:r w:rsidR="00857C47">
              <w:t xml:space="preserve">šādu </w:t>
            </w:r>
            <w:r>
              <w:t xml:space="preserve">uzņēmēju stimulēšanas un atbalsta veidu </w:t>
            </w:r>
            <w:r w:rsidR="00857C47">
              <w:t xml:space="preserve">– izšķirošo iepirkuma kritēriju – </w:t>
            </w:r>
            <w:r>
              <w:t xml:space="preserve"> ir nepieciešami grozījumi </w:t>
            </w:r>
            <w:r w:rsidRPr="00FA0D70">
              <w:t>Aizsardzības un drošības jomas iepirkumu likumā</w:t>
            </w:r>
            <w:r>
              <w:t>.</w:t>
            </w:r>
          </w:p>
        </w:tc>
      </w:tr>
      <w:tr w:rsidR="003F7DAF" w:rsidRPr="00E74448" w:rsidTr="00E74448">
        <w:trPr>
          <w:cantSplit/>
        </w:trPr>
        <w:tc>
          <w:tcPr>
            <w:tcW w:w="311" w:type="pct"/>
            <w:hideMark/>
          </w:tcPr>
          <w:p w:rsidR="003F7DAF" w:rsidRPr="00E74448" w:rsidRDefault="003F7DAF" w:rsidP="003F7DAF">
            <w:pPr>
              <w:jc w:val="center"/>
            </w:pPr>
            <w:r w:rsidRPr="00E74448">
              <w:lastRenderedPageBreak/>
              <w:t>3.</w:t>
            </w:r>
          </w:p>
        </w:tc>
        <w:tc>
          <w:tcPr>
            <w:tcW w:w="1479" w:type="pct"/>
            <w:hideMark/>
          </w:tcPr>
          <w:p w:rsidR="003F7DAF" w:rsidRPr="00E74448" w:rsidRDefault="003F7DAF" w:rsidP="003F7DAF">
            <w:r w:rsidRPr="00E74448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3F7DAF" w:rsidRPr="00E74448" w:rsidRDefault="003F7DAF" w:rsidP="003F7DAF">
            <w:pPr>
              <w:jc w:val="both"/>
            </w:pPr>
            <w:r w:rsidRPr="00E74448">
              <w:t xml:space="preserve">Projekts izstrādāts sadarbībā ar Nacionālajiem bruņotajiem spēkiem </w:t>
            </w:r>
            <w:r>
              <w:t xml:space="preserve">(turpmāk – NBS) </w:t>
            </w:r>
            <w:r w:rsidRPr="00E74448">
              <w:t xml:space="preserve">un Latvijas Darba devēju konfederāciju, konsultējoties ar Finanšu ministriju. </w:t>
            </w:r>
          </w:p>
        </w:tc>
      </w:tr>
      <w:tr w:rsidR="003F7DAF" w:rsidRPr="00E74448" w:rsidTr="00E74448">
        <w:trPr>
          <w:cantSplit/>
        </w:trPr>
        <w:tc>
          <w:tcPr>
            <w:tcW w:w="311" w:type="pct"/>
            <w:hideMark/>
          </w:tcPr>
          <w:p w:rsidR="003F7DAF" w:rsidRPr="00E74448" w:rsidRDefault="003F7DAF" w:rsidP="003F7DAF">
            <w:pPr>
              <w:jc w:val="center"/>
            </w:pPr>
            <w:r w:rsidRPr="00E74448">
              <w:t>4.</w:t>
            </w:r>
          </w:p>
        </w:tc>
        <w:tc>
          <w:tcPr>
            <w:tcW w:w="1479" w:type="pct"/>
            <w:hideMark/>
          </w:tcPr>
          <w:p w:rsidR="003F7DAF" w:rsidRPr="00E74448" w:rsidRDefault="003F7DAF" w:rsidP="003F7DAF">
            <w:r w:rsidRPr="00E74448">
              <w:t>Cita informācija</w:t>
            </w:r>
          </w:p>
        </w:tc>
        <w:tc>
          <w:tcPr>
            <w:tcW w:w="3210" w:type="pct"/>
            <w:hideMark/>
          </w:tcPr>
          <w:p w:rsidR="003F7DAF" w:rsidRPr="00E74448" w:rsidRDefault="003F7DAF" w:rsidP="003F7DAF">
            <w:pPr>
              <w:jc w:val="both"/>
            </w:pPr>
            <w:r>
              <w:t>Jautājums par izšķirošā piedāvājuma izvēles kritēriju tika vairākkārt apspriests saskaņošanas sanāksmju laikā ar iesaistītajām ministrijām un Valsts kontroli, gatavojot i</w:t>
            </w:r>
            <w:r w:rsidRPr="00A02BD5">
              <w:t>nformatīv</w:t>
            </w:r>
            <w:r>
              <w:t>o ziņojumu</w:t>
            </w:r>
            <w:r w:rsidRPr="00A02BD5">
              <w:t xml:space="preserve"> “Par valdība</w:t>
            </w:r>
            <w:r>
              <w:t>s rīcības plāna 2016. gadam 77.</w:t>
            </w:r>
            <w:r w:rsidRPr="00A02BD5">
              <w:t>punkta “Izstrādāt priekšlikumus ekonomiskajiem stimuliem uzņēmējiem, lai motivētu viņu darbinieku regulāru piedalīšanos Zemessardzes mā</w:t>
            </w:r>
            <w:r>
              <w:t>cībās” izpildes organizēšanu””.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5326"/>
      </w:tblGrid>
      <w:tr w:rsidR="00BD5588" w:rsidRPr="001B5BEF" w:rsidTr="00E74448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1B5BEF" w:rsidRDefault="00BD5588" w:rsidP="00E74448">
            <w:pPr>
              <w:jc w:val="center"/>
              <w:rPr>
                <w:b/>
                <w:bCs/>
              </w:rPr>
            </w:pPr>
            <w:r w:rsidRPr="001B5BE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D5588" w:rsidRPr="001B5BEF" w:rsidTr="00E74448">
        <w:trPr>
          <w:cantSplit/>
        </w:trPr>
        <w:tc>
          <w:tcPr>
            <w:tcW w:w="311" w:type="pct"/>
            <w:hideMark/>
          </w:tcPr>
          <w:p w:rsidR="00BD5588" w:rsidRPr="001B5BEF" w:rsidRDefault="00BD5588" w:rsidP="00E74448">
            <w:pPr>
              <w:jc w:val="center"/>
            </w:pPr>
            <w:r w:rsidRPr="001B5BEF">
              <w:t>1.</w:t>
            </w:r>
          </w:p>
        </w:tc>
        <w:tc>
          <w:tcPr>
            <w:tcW w:w="1479" w:type="pct"/>
            <w:hideMark/>
          </w:tcPr>
          <w:p w:rsidR="00BD5588" w:rsidRPr="001B5BEF" w:rsidRDefault="00BD5588" w:rsidP="00E74448">
            <w:r w:rsidRPr="001B5BEF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:rsidR="00BD5588" w:rsidRPr="001B5BEF" w:rsidRDefault="004A08DD" w:rsidP="004A08DD">
            <w:pPr>
              <w:jc w:val="both"/>
            </w:pPr>
            <w:r>
              <w:t>Komersanti</w:t>
            </w:r>
            <w:r w:rsidR="001B5BEF" w:rsidRPr="001B5BEF">
              <w:t>, kuri piedalās publisk</w:t>
            </w:r>
            <w:r w:rsidR="001B5BEF">
              <w:t>aj</w:t>
            </w:r>
            <w:r w:rsidR="001B5BEF" w:rsidRPr="001B5BEF">
              <w:t xml:space="preserve">os iepirkumos, </w:t>
            </w:r>
            <w:r w:rsidR="001B5BEF">
              <w:t>kuros iepirkuma</w:t>
            </w:r>
            <w:r w:rsidR="001B5BEF" w:rsidRPr="001B5BEF">
              <w:t xml:space="preserve"> priekšmets ir sasaistāms ar valsts aizsardzību, un kuri nodarbina darbiniekus zemessargus</w:t>
            </w:r>
            <w:r>
              <w:t>, Zemessardze</w:t>
            </w:r>
            <w:r w:rsidR="001B5BEF" w:rsidRPr="001B5BEF">
              <w:t xml:space="preserve">. </w:t>
            </w:r>
          </w:p>
        </w:tc>
      </w:tr>
      <w:tr w:rsidR="00BD5588" w:rsidRPr="001B5BEF" w:rsidTr="00E74448">
        <w:trPr>
          <w:cantSplit/>
        </w:trPr>
        <w:tc>
          <w:tcPr>
            <w:tcW w:w="311" w:type="pct"/>
            <w:hideMark/>
          </w:tcPr>
          <w:p w:rsidR="00BD5588" w:rsidRPr="001B5BEF" w:rsidRDefault="00BD5588" w:rsidP="00E74448">
            <w:pPr>
              <w:jc w:val="center"/>
            </w:pPr>
            <w:r w:rsidRPr="001B5BEF">
              <w:t>2.</w:t>
            </w:r>
          </w:p>
        </w:tc>
        <w:tc>
          <w:tcPr>
            <w:tcW w:w="1479" w:type="pct"/>
            <w:hideMark/>
          </w:tcPr>
          <w:p w:rsidR="00BD5588" w:rsidRPr="001B5BEF" w:rsidRDefault="00BD5588" w:rsidP="00E74448">
            <w:r w:rsidRPr="001B5BEF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:rsidR="00BD5588" w:rsidRDefault="001B5BEF" w:rsidP="001B5BEF">
            <w:pPr>
              <w:jc w:val="both"/>
            </w:pPr>
            <w:r>
              <w:t xml:space="preserve">Gadījumā, ja </w:t>
            </w:r>
            <w:r w:rsidRPr="00864457">
              <w:t xml:space="preserve">divu </w:t>
            </w:r>
            <w:r>
              <w:t xml:space="preserve">komersantu </w:t>
            </w:r>
            <w:r w:rsidRPr="00864457">
              <w:t>piedāvājumu novērtējums ir vienāds</w:t>
            </w:r>
            <w:r>
              <w:t xml:space="preserve">, regulējums dos iespēju iegūt pasūtījumu komersantam, kurš nodarbina darbiniekus zemessargus,  ja tiek izpildīts nosacījums – </w:t>
            </w:r>
            <w:r w:rsidRPr="005E3EC8">
              <w:t xml:space="preserve"> zemessarga dalība </w:t>
            </w:r>
            <w:r>
              <w:t xml:space="preserve">militārajās mācībās </w:t>
            </w:r>
            <w:r w:rsidR="00F14C23">
              <w:t xml:space="preserve">un dienesta uzdevumu izpildē </w:t>
            </w:r>
            <w:r w:rsidRPr="005E3EC8">
              <w:t xml:space="preserve">gada laikā vismaz </w:t>
            </w:r>
            <w:r w:rsidRPr="008A56B9">
              <w:rPr>
                <w:bCs/>
              </w:rPr>
              <w:t>2</w:t>
            </w:r>
            <w:r w:rsidRPr="00756F98">
              <w:rPr>
                <w:bCs/>
              </w:rPr>
              <w:t>0 dienas</w:t>
            </w:r>
            <w:r w:rsidRPr="00756F98">
              <w:t>,</w:t>
            </w:r>
            <w:r>
              <w:t xml:space="preserve"> no tām </w:t>
            </w:r>
            <w:r w:rsidRPr="005E3EC8">
              <w:t xml:space="preserve">kolektīvajās mācībās </w:t>
            </w:r>
            <w:r>
              <w:t xml:space="preserve">– </w:t>
            </w:r>
            <w:r w:rsidRPr="00756F98">
              <w:rPr>
                <w:bCs/>
              </w:rPr>
              <w:t>5 darba</w:t>
            </w:r>
            <w:r w:rsidRPr="00756F98">
              <w:t>dienas.</w:t>
            </w:r>
          </w:p>
          <w:p w:rsidR="001B5BEF" w:rsidRPr="001B5BEF" w:rsidRDefault="001B5BEF" w:rsidP="001B5BEF">
            <w:pPr>
              <w:jc w:val="both"/>
            </w:pPr>
            <w:r>
              <w:t>Administratīvais slogs palielināsies Zemessardzes vienībās, jo uzskaitot zemessargu dalību mācībās, būs jāuzskaita arī viņu dalība kolektīvajās mācībās darbadienās</w:t>
            </w:r>
            <w:r w:rsidR="00680DDA">
              <w:t xml:space="preserve"> un jāsagatavo attiecīgā informācija pēc komersantu pieprasījuma</w:t>
            </w:r>
            <w:r>
              <w:t xml:space="preserve">. </w:t>
            </w:r>
          </w:p>
        </w:tc>
      </w:tr>
      <w:tr w:rsidR="00F32EB1" w:rsidRPr="001B5BEF" w:rsidTr="00E74448">
        <w:trPr>
          <w:cantSplit/>
        </w:trPr>
        <w:tc>
          <w:tcPr>
            <w:tcW w:w="311" w:type="pct"/>
            <w:hideMark/>
          </w:tcPr>
          <w:p w:rsidR="00F32EB1" w:rsidRPr="001B5BEF" w:rsidRDefault="00F32EB1" w:rsidP="00F32EB1">
            <w:pPr>
              <w:jc w:val="center"/>
            </w:pPr>
            <w:r w:rsidRPr="001B5BEF">
              <w:t>3.</w:t>
            </w:r>
          </w:p>
        </w:tc>
        <w:tc>
          <w:tcPr>
            <w:tcW w:w="1479" w:type="pct"/>
            <w:hideMark/>
          </w:tcPr>
          <w:p w:rsidR="00F32EB1" w:rsidRPr="001B5BEF" w:rsidRDefault="00F32EB1" w:rsidP="00F32EB1">
            <w:r w:rsidRPr="001B5BEF">
              <w:t>Administratīvo izmaksu monetārs novērtējums</w:t>
            </w:r>
          </w:p>
        </w:tc>
        <w:tc>
          <w:tcPr>
            <w:tcW w:w="3210" w:type="pct"/>
            <w:hideMark/>
          </w:tcPr>
          <w:p w:rsidR="00F32EB1" w:rsidRPr="001B60C4" w:rsidRDefault="00F32EB1" w:rsidP="00F32EB1">
            <w:pPr>
              <w:rPr>
                <w:iCs/>
              </w:rPr>
            </w:pPr>
            <w:r w:rsidRPr="001B60C4">
              <w:t>Projekts šo jomu neskar.</w:t>
            </w:r>
          </w:p>
        </w:tc>
      </w:tr>
      <w:tr w:rsidR="00F32EB1" w:rsidRPr="001B5BEF" w:rsidTr="00E74448">
        <w:trPr>
          <w:cantSplit/>
        </w:trPr>
        <w:tc>
          <w:tcPr>
            <w:tcW w:w="311" w:type="pct"/>
            <w:hideMark/>
          </w:tcPr>
          <w:p w:rsidR="00F32EB1" w:rsidRPr="001B5BEF" w:rsidRDefault="00F32EB1" w:rsidP="00F32EB1">
            <w:pPr>
              <w:jc w:val="center"/>
            </w:pPr>
            <w:r w:rsidRPr="001B5BEF">
              <w:t>4.</w:t>
            </w:r>
          </w:p>
        </w:tc>
        <w:tc>
          <w:tcPr>
            <w:tcW w:w="1479" w:type="pct"/>
            <w:hideMark/>
          </w:tcPr>
          <w:p w:rsidR="00F32EB1" w:rsidRPr="001B5BEF" w:rsidRDefault="00F32EB1" w:rsidP="00F32EB1">
            <w:r w:rsidRPr="001B5BEF">
              <w:t>Atbilstības izmaksu monetārs novērtējums</w:t>
            </w:r>
          </w:p>
        </w:tc>
        <w:tc>
          <w:tcPr>
            <w:tcW w:w="3210" w:type="pct"/>
            <w:hideMark/>
          </w:tcPr>
          <w:p w:rsidR="00F32EB1" w:rsidRPr="001B60C4" w:rsidRDefault="00F32EB1" w:rsidP="00F32EB1">
            <w:pPr>
              <w:rPr>
                <w:iCs/>
              </w:rPr>
            </w:pPr>
            <w:r w:rsidRPr="001B60C4">
              <w:t>Projekts šo jomu neskar.</w:t>
            </w:r>
          </w:p>
        </w:tc>
      </w:tr>
      <w:tr w:rsidR="00F32EB1" w:rsidRPr="001B5BEF" w:rsidTr="00E74448">
        <w:trPr>
          <w:cantSplit/>
        </w:trPr>
        <w:tc>
          <w:tcPr>
            <w:tcW w:w="311" w:type="pct"/>
            <w:hideMark/>
          </w:tcPr>
          <w:p w:rsidR="00F32EB1" w:rsidRPr="001B5BEF" w:rsidRDefault="00F32EB1" w:rsidP="00F32EB1">
            <w:pPr>
              <w:jc w:val="center"/>
            </w:pPr>
            <w:r w:rsidRPr="001B5BEF">
              <w:t>5.</w:t>
            </w:r>
          </w:p>
        </w:tc>
        <w:tc>
          <w:tcPr>
            <w:tcW w:w="1479" w:type="pct"/>
            <w:hideMark/>
          </w:tcPr>
          <w:p w:rsidR="00F32EB1" w:rsidRPr="001B5BEF" w:rsidRDefault="00F32EB1" w:rsidP="00F32EB1">
            <w:r w:rsidRPr="001B5BEF">
              <w:t>Cita informācija</w:t>
            </w:r>
          </w:p>
        </w:tc>
        <w:tc>
          <w:tcPr>
            <w:tcW w:w="3210" w:type="pct"/>
            <w:hideMark/>
          </w:tcPr>
          <w:p w:rsidR="00F32EB1" w:rsidRPr="001B5BEF" w:rsidRDefault="00F32EB1" w:rsidP="00F32EB1">
            <w:r>
              <w:t>Nav.</w:t>
            </w:r>
          </w:p>
          <w:p w:rsidR="00F32EB1" w:rsidRPr="001B5BEF" w:rsidRDefault="00F32EB1" w:rsidP="00F32EB1"/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pPr w:leftFromText="180" w:rightFromText="180" w:vertAnchor="text" w:horzAnchor="margin" w:tblpY="75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441"/>
        <w:gridCol w:w="5334"/>
      </w:tblGrid>
      <w:tr w:rsidR="00F66803" w:rsidRPr="008A56B9" w:rsidTr="00F66803">
        <w:trPr>
          <w:cantSplit/>
        </w:trPr>
        <w:tc>
          <w:tcPr>
            <w:tcW w:w="8299" w:type="dxa"/>
            <w:gridSpan w:val="3"/>
            <w:shd w:val="clear" w:color="auto" w:fill="auto"/>
            <w:vAlign w:val="center"/>
            <w:hideMark/>
          </w:tcPr>
          <w:p w:rsidR="00F66803" w:rsidRPr="008A56B9" w:rsidRDefault="00F66803" w:rsidP="00F66803">
            <w:pPr>
              <w:jc w:val="center"/>
              <w:rPr>
                <w:b/>
                <w:bCs/>
                <w:lang w:eastAsia="en-US"/>
              </w:rPr>
            </w:pPr>
            <w:r w:rsidRPr="008A56B9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F66803" w:rsidRPr="008A56B9" w:rsidTr="00F66803">
        <w:trPr>
          <w:cantSplit/>
        </w:trPr>
        <w:tc>
          <w:tcPr>
            <w:tcW w:w="8299" w:type="dxa"/>
            <w:gridSpan w:val="3"/>
            <w:shd w:val="clear" w:color="auto" w:fill="auto"/>
            <w:hideMark/>
          </w:tcPr>
          <w:p w:rsidR="00F66803" w:rsidRPr="001B60C4" w:rsidRDefault="00F66803" w:rsidP="00F66803">
            <w:pPr>
              <w:jc w:val="center"/>
              <w:rPr>
                <w:iCs/>
              </w:rPr>
            </w:pPr>
            <w:r w:rsidRPr="001B60C4">
              <w:t>Projekts šo jomu neskar.</w:t>
            </w:r>
          </w:p>
        </w:tc>
      </w:tr>
      <w:tr w:rsidR="00F66803" w:rsidRPr="008A56B9" w:rsidTr="00F6680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8299" w:type="dxa"/>
            <w:gridSpan w:val="3"/>
            <w:vAlign w:val="center"/>
            <w:hideMark/>
          </w:tcPr>
          <w:p w:rsidR="00F66803" w:rsidRPr="008A56B9" w:rsidRDefault="00F66803" w:rsidP="00F66803">
            <w:pPr>
              <w:jc w:val="center"/>
              <w:rPr>
                <w:b/>
                <w:bCs/>
              </w:rPr>
            </w:pPr>
            <w:r w:rsidRPr="008A56B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F66803" w:rsidRPr="008A56B9" w:rsidTr="00F6680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24" w:type="dxa"/>
            <w:hideMark/>
          </w:tcPr>
          <w:p w:rsidR="00F66803" w:rsidRPr="008A56B9" w:rsidRDefault="00F66803" w:rsidP="00F66803">
            <w:pPr>
              <w:jc w:val="center"/>
            </w:pPr>
            <w:r w:rsidRPr="008A56B9">
              <w:lastRenderedPageBreak/>
              <w:t>1.</w:t>
            </w:r>
          </w:p>
        </w:tc>
        <w:tc>
          <w:tcPr>
            <w:tcW w:w="2441" w:type="dxa"/>
            <w:hideMark/>
          </w:tcPr>
          <w:p w:rsidR="00F66803" w:rsidRPr="008A56B9" w:rsidRDefault="00F66803" w:rsidP="00F66803">
            <w:r w:rsidRPr="008A56B9">
              <w:t>Saistītie tiesību aktu projekti</w:t>
            </w:r>
          </w:p>
        </w:tc>
        <w:tc>
          <w:tcPr>
            <w:tcW w:w="5334" w:type="dxa"/>
          </w:tcPr>
          <w:p w:rsidR="00F66803" w:rsidRPr="008A56B9" w:rsidRDefault="00F66803" w:rsidP="00F66803">
            <w:r>
              <w:t>Nav.</w:t>
            </w:r>
          </w:p>
        </w:tc>
      </w:tr>
      <w:tr w:rsidR="00F66803" w:rsidRPr="008A56B9" w:rsidTr="00F6680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24" w:type="dxa"/>
            <w:hideMark/>
          </w:tcPr>
          <w:p w:rsidR="00F66803" w:rsidRPr="008A56B9" w:rsidRDefault="00F66803" w:rsidP="00F66803">
            <w:pPr>
              <w:jc w:val="center"/>
            </w:pPr>
            <w:r w:rsidRPr="008A56B9">
              <w:t>2.</w:t>
            </w:r>
          </w:p>
        </w:tc>
        <w:tc>
          <w:tcPr>
            <w:tcW w:w="2441" w:type="dxa"/>
            <w:hideMark/>
          </w:tcPr>
          <w:p w:rsidR="00F66803" w:rsidRPr="008A56B9" w:rsidRDefault="00F66803" w:rsidP="00F66803">
            <w:r w:rsidRPr="008A56B9">
              <w:t>Atbildīgā institūcija</w:t>
            </w:r>
          </w:p>
        </w:tc>
        <w:tc>
          <w:tcPr>
            <w:tcW w:w="5334" w:type="dxa"/>
            <w:hideMark/>
          </w:tcPr>
          <w:p w:rsidR="00F66803" w:rsidRPr="008A56B9" w:rsidRDefault="00F66803" w:rsidP="00F66803">
            <w:r>
              <w:t>Nav.</w:t>
            </w:r>
          </w:p>
        </w:tc>
      </w:tr>
      <w:tr w:rsidR="00F66803" w:rsidRPr="008A56B9" w:rsidTr="00F6680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524" w:type="dxa"/>
            <w:hideMark/>
          </w:tcPr>
          <w:p w:rsidR="00F66803" w:rsidRPr="008A56B9" w:rsidRDefault="00F66803" w:rsidP="00F66803">
            <w:pPr>
              <w:jc w:val="center"/>
            </w:pPr>
            <w:r w:rsidRPr="008A56B9">
              <w:t>3.</w:t>
            </w:r>
          </w:p>
        </w:tc>
        <w:tc>
          <w:tcPr>
            <w:tcW w:w="2441" w:type="dxa"/>
            <w:hideMark/>
          </w:tcPr>
          <w:p w:rsidR="00F66803" w:rsidRPr="008A56B9" w:rsidRDefault="00F66803" w:rsidP="00F66803">
            <w:r w:rsidRPr="008A56B9">
              <w:t>Cita informācija</w:t>
            </w:r>
          </w:p>
        </w:tc>
        <w:tc>
          <w:tcPr>
            <w:tcW w:w="5334" w:type="dxa"/>
            <w:hideMark/>
          </w:tcPr>
          <w:p w:rsidR="00F66803" w:rsidRPr="008A56B9" w:rsidRDefault="00F66803" w:rsidP="00F14C23">
            <w:pPr>
              <w:jc w:val="both"/>
            </w:pPr>
            <w:r w:rsidRPr="008A56B9">
              <w:t xml:space="preserve">Līdzīgs regulējums ir sagatavots iekļaušanai </w:t>
            </w:r>
            <w:r w:rsidR="002143FC">
              <w:t>Publisko</w:t>
            </w:r>
            <w:r w:rsidRPr="008A56B9">
              <w:t xml:space="preserve"> iepirkumu likumā</w:t>
            </w:r>
            <w:r>
              <w:t>.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pPr w:leftFromText="180" w:rightFromText="180" w:vertAnchor="text" w:horzAnchor="margin" w:tblpYSpec="out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FB1ADA" w:rsidRPr="00AF7679" w:rsidTr="00FB1ADA">
        <w:trPr>
          <w:cantSplit/>
        </w:trPr>
        <w:tc>
          <w:tcPr>
            <w:tcW w:w="5000" w:type="pct"/>
            <w:vAlign w:val="center"/>
            <w:hideMark/>
          </w:tcPr>
          <w:p w:rsidR="00FB1ADA" w:rsidRPr="00AF7679" w:rsidRDefault="00FB1ADA" w:rsidP="00FB1ADA">
            <w:pPr>
              <w:jc w:val="center"/>
              <w:rPr>
                <w:b/>
                <w:bCs/>
              </w:rPr>
            </w:pPr>
            <w:r w:rsidRPr="00AF767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B1ADA" w:rsidRPr="00AF7679" w:rsidTr="00FB1ADA">
        <w:trPr>
          <w:cantSplit/>
        </w:trPr>
        <w:tc>
          <w:tcPr>
            <w:tcW w:w="5000" w:type="pct"/>
          </w:tcPr>
          <w:p w:rsidR="00FB1ADA" w:rsidRPr="00AF7679" w:rsidRDefault="00FB1ADA" w:rsidP="00F14C23">
            <w:pPr>
              <w:jc w:val="both"/>
            </w:pPr>
            <w:r w:rsidRPr="00667870">
              <w:rPr>
                <w:bCs/>
                <w:iCs/>
              </w:rPr>
              <w:t>Projekts šo jomu neskar</w:t>
            </w:r>
            <w:r>
              <w:rPr>
                <w:bCs/>
                <w:iCs/>
              </w:rPr>
              <w:t xml:space="preserve">, jo </w:t>
            </w:r>
            <w:r>
              <w:t>g</w:t>
            </w:r>
            <w:r w:rsidRPr="00AF7679">
              <w:t>rozījumu projekts nav attiecināms uz iepirkumiem, kas saistīti ar Eiropas Savienības fondu līdzekļu apguvi.</w:t>
            </w:r>
          </w:p>
        </w:tc>
      </w:tr>
    </w:tbl>
    <w:tbl>
      <w:tblPr>
        <w:tblpPr w:leftFromText="180" w:rightFromText="180" w:vertAnchor="text" w:horzAnchor="margin" w:tblpY="2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5326"/>
      </w:tblGrid>
      <w:tr w:rsidR="00FB1ADA" w:rsidRPr="00F32EB1" w:rsidTr="00FB1ADA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FB1ADA" w:rsidRPr="00F32EB1" w:rsidRDefault="00FB1ADA" w:rsidP="00FB1ADA">
            <w:pPr>
              <w:jc w:val="center"/>
              <w:rPr>
                <w:b/>
                <w:bCs/>
              </w:rPr>
            </w:pPr>
            <w:r w:rsidRPr="00F32EB1">
              <w:rPr>
                <w:b/>
                <w:bCs/>
              </w:rPr>
              <w:t>VI. Sabiedrības līdzdalība un komunikācijas aktivitātes</w:t>
            </w:r>
          </w:p>
        </w:tc>
      </w:tr>
      <w:tr w:rsidR="00FB1ADA" w:rsidRPr="00F32EB1" w:rsidTr="00FB1ADA">
        <w:trPr>
          <w:cantSplit/>
        </w:trPr>
        <w:tc>
          <w:tcPr>
            <w:tcW w:w="311" w:type="pct"/>
            <w:hideMark/>
          </w:tcPr>
          <w:p w:rsidR="00FB1ADA" w:rsidRPr="00F32EB1" w:rsidRDefault="00FB1ADA" w:rsidP="00FB1ADA">
            <w:pPr>
              <w:jc w:val="center"/>
            </w:pPr>
            <w:r w:rsidRPr="00F32EB1">
              <w:t>1.</w:t>
            </w:r>
          </w:p>
        </w:tc>
        <w:tc>
          <w:tcPr>
            <w:tcW w:w="1479" w:type="pct"/>
            <w:hideMark/>
          </w:tcPr>
          <w:p w:rsidR="00FB1ADA" w:rsidRPr="00F32EB1" w:rsidRDefault="00FB1ADA" w:rsidP="00FB1ADA">
            <w:r w:rsidRPr="00F32EB1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FB1ADA" w:rsidRPr="00F32EB1" w:rsidRDefault="00FB1ADA" w:rsidP="00F14C23">
            <w:pPr>
              <w:jc w:val="both"/>
            </w:pPr>
            <w:r>
              <w:t>Projekts sagatavots, sadarbojoties ar Latvijas Darba devēju konfederāciju, caur to informējot komersantus par plānotajiem grozījumiem. Zemessardzes vienības informēs zemessargu darba devējus ar zemessargu starpniecību.  Projekts ievietots Aizsardzības ministrijas mājas lapā.</w:t>
            </w:r>
          </w:p>
        </w:tc>
      </w:tr>
      <w:tr w:rsidR="00FB1ADA" w:rsidRPr="00F32EB1" w:rsidTr="00FB1ADA">
        <w:trPr>
          <w:cantSplit/>
        </w:trPr>
        <w:tc>
          <w:tcPr>
            <w:tcW w:w="311" w:type="pct"/>
            <w:hideMark/>
          </w:tcPr>
          <w:p w:rsidR="00FB1ADA" w:rsidRPr="00F32EB1" w:rsidRDefault="00FB1ADA" w:rsidP="00FB1ADA">
            <w:pPr>
              <w:jc w:val="center"/>
            </w:pPr>
            <w:r w:rsidRPr="00F32EB1">
              <w:t>2.</w:t>
            </w:r>
          </w:p>
        </w:tc>
        <w:tc>
          <w:tcPr>
            <w:tcW w:w="1479" w:type="pct"/>
            <w:hideMark/>
          </w:tcPr>
          <w:p w:rsidR="00FB1ADA" w:rsidRPr="00F32EB1" w:rsidRDefault="00FB1ADA" w:rsidP="00FB1ADA">
            <w:r w:rsidRPr="00F32EB1">
              <w:t>Sabiedrības līdzdalība projekta izstrādē</w:t>
            </w:r>
          </w:p>
        </w:tc>
        <w:tc>
          <w:tcPr>
            <w:tcW w:w="3210" w:type="pct"/>
            <w:hideMark/>
          </w:tcPr>
          <w:p w:rsidR="00FB1ADA" w:rsidRPr="00F32EB1" w:rsidRDefault="00FB1ADA" w:rsidP="00FB1ADA">
            <w:r>
              <w:t>Nav.</w:t>
            </w:r>
          </w:p>
        </w:tc>
      </w:tr>
      <w:tr w:rsidR="00FB1ADA" w:rsidRPr="00F32EB1" w:rsidTr="00FB1ADA">
        <w:trPr>
          <w:cantSplit/>
        </w:trPr>
        <w:tc>
          <w:tcPr>
            <w:tcW w:w="311" w:type="pct"/>
            <w:hideMark/>
          </w:tcPr>
          <w:p w:rsidR="00FB1ADA" w:rsidRPr="00F32EB1" w:rsidRDefault="00FB1ADA" w:rsidP="00FB1ADA">
            <w:pPr>
              <w:jc w:val="center"/>
            </w:pPr>
            <w:r w:rsidRPr="00F32EB1">
              <w:t>3.</w:t>
            </w:r>
          </w:p>
        </w:tc>
        <w:tc>
          <w:tcPr>
            <w:tcW w:w="1479" w:type="pct"/>
            <w:hideMark/>
          </w:tcPr>
          <w:p w:rsidR="00FB1ADA" w:rsidRPr="00F32EB1" w:rsidRDefault="00FB1ADA" w:rsidP="00FB1ADA">
            <w:r w:rsidRPr="00F32EB1">
              <w:t>Sabiedrības līdzdalības rezultāti</w:t>
            </w:r>
          </w:p>
        </w:tc>
        <w:tc>
          <w:tcPr>
            <w:tcW w:w="3210" w:type="pct"/>
            <w:hideMark/>
          </w:tcPr>
          <w:p w:rsidR="00FB1ADA" w:rsidRPr="00F32EB1" w:rsidRDefault="00FB1ADA" w:rsidP="00FB1ADA">
            <w:r>
              <w:t xml:space="preserve">Nav. </w:t>
            </w:r>
          </w:p>
        </w:tc>
      </w:tr>
      <w:tr w:rsidR="00FB1ADA" w:rsidRPr="00F32EB1" w:rsidTr="00FB1ADA">
        <w:trPr>
          <w:cantSplit/>
        </w:trPr>
        <w:tc>
          <w:tcPr>
            <w:tcW w:w="311" w:type="pct"/>
            <w:hideMark/>
          </w:tcPr>
          <w:p w:rsidR="00FB1ADA" w:rsidRPr="00F32EB1" w:rsidRDefault="00FB1ADA" w:rsidP="00FB1ADA">
            <w:pPr>
              <w:jc w:val="center"/>
            </w:pPr>
            <w:r w:rsidRPr="00F32EB1">
              <w:t>4.</w:t>
            </w:r>
          </w:p>
        </w:tc>
        <w:tc>
          <w:tcPr>
            <w:tcW w:w="1479" w:type="pct"/>
            <w:hideMark/>
          </w:tcPr>
          <w:p w:rsidR="00FB1ADA" w:rsidRPr="00F32EB1" w:rsidRDefault="00FB1ADA" w:rsidP="00FB1ADA">
            <w:r w:rsidRPr="00F32EB1">
              <w:t>Cita informācija</w:t>
            </w:r>
          </w:p>
        </w:tc>
        <w:tc>
          <w:tcPr>
            <w:tcW w:w="3210" w:type="pct"/>
            <w:hideMark/>
          </w:tcPr>
          <w:p w:rsidR="00FB1ADA" w:rsidRPr="00F32EB1" w:rsidRDefault="00FB1ADA" w:rsidP="00FB1ADA">
            <w:r>
              <w:t xml:space="preserve">Nav. </w:t>
            </w:r>
          </w:p>
        </w:tc>
      </w:tr>
    </w:tbl>
    <w:tbl>
      <w:tblPr>
        <w:tblpPr w:leftFromText="180" w:rightFromText="180" w:vertAnchor="text" w:horzAnchor="margin" w:tblpY="4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5326"/>
      </w:tblGrid>
      <w:tr w:rsidR="00FB1ADA" w:rsidRPr="00F32EB1" w:rsidTr="00FB1ADA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FB1ADA" w:rsidRPr="00F32EB1" w:rsidRDefault="00FB1ADA" w:rsidP="00FB1ADA">
            <w:pPr>
              <w:jc w:val="center"/>
              <w:rPr>
                <w:b/>
                <w:bCs/>
              </w:rPr>
            </w:pPr>
            <w:r w:rsidRPr="00F32EB1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FB1ADA" w:rsidRPr="00F32EB1" w:rsidTr="00FB1ADA">
        <w:trPr>
          <w:cantSplit/>
        </w:trPr>
        <w:tc>
          <w:tcPr>
            <w:tcW w:w="311" w:type="pct"/>
            <w:hideMark/>
          </w:tcPr>
          <w:p w:rsidR="00FB1ADA" w:rsidRPr="00F32EB1" w:rsidRDefault="00FB1ADA" w:rsidP="00FB1ADA">
            <w:pPr>
              <w:jc w:val="center"/>
            </w:pPr>
            <w:r w:rsidRPr="00F32EB1">
              <w:t>1.</w:t>
            </w:r>
          </w:p>
        </w:tc>
        <w:tc>
          <w:tcPr>
            <w:tcW w:w="1479" w:type="pct"/>
            <w:hideMark/>
          </w:tcPr>
          <w:p w:rsidR="00FB1ADA" w:rsidRPr="00F32EB1" w:rsidRDefault="00FB1ADA" w:rsidP="00FB1ADA">
            <w:r w:rsidRPr="00F32EB1">
              <w:t>Projekta izpildē iesaistītās institūcijas</w:t>
            </w:r>
          </w:p>
        </w:tc>
        <w:tc>
          <w:tcPr>
            <w:tcW w:w="3210" w:type="pct"/>
            <w:hideMark/>
          </w:tcPr>
          <w:p w:rsidR="00FB1ADA" w:rsidRPr="00F32EB1" w:rsidRDefault="00FB1ADA" w:rsidP="00FB1ADA">
            <w:r w:rsidRPr="003109F1">
              <w:t>Aizsardzības ministrija, Nacionālie bruņotie spēki.</w:t>
            </w:r>
          </w:p>
        </w:tc>
      </w:tr>
      <w:tr w:rsidR="00FB1ADA" w:rsidRPr="00F32EB1" w:rsidTr="00FB1ADA">
        <w:trPr>
          <w:cantSplit/>
        </w:trPr>
        <w:tc>
          <w:tcPr>
            <w:tcW w:w="311" w:type="pct"/>
            <w:hideMark/>
          </w:tcPr>
          <w:p w:rsidR="00FB1ADA" w:rsidRPr="00F32EB1" w:rsidRDefault="00FB1ADA" w:rsidP="00FB1ADA">
            <w:pPr>
              <w:jc w:val="center"/>
            </w:pPr>
            <w:r w:rsidRPr="00F32EB1">
              <w:t>2.</w:t>
            </w:r>
          </w:p>
        </w:tc>
        <w:tc>
          <w:tcPr>
            <w:tcW w:w="1479" w:type="pct"/>
            <w:hideMark/>
          </w:tcPr>
          <w:p w:rsidR="00FB1ADA" w:rsidRPr="00F32EB1" w:rsidRDefault="00FB1ADA" w:rsidP="00FB1ADA">
            <w:r w:rsidRPr="00F32EB1">
              <w:t>Projekta izpildes ietekme uz pārvaldes funkcijām un institucionālo struktūru.</w:t>
            </w:r>
            <w:r w:rsidRPr="00F32EB1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FB1ADA" w:rsidRPr="00F32EB1" w:rsidRDefault="00FB1ADA" w:rsidP="00FB1ADA">
            <w:r>
              <w:t>Nav.</w:t>
            </w:r>
          </w:p>
        </w:tc>
      </w:tr>
      <w:tr w:rsidR="00FB1ADA" w:rsidRPr="00F32EB1" w:rsidTr="00FB1ADA">
        <w:trPr>
          <w:cantSplit/>
        </w:trPr>
        <w:tc>
          <w:tcPr>
            <w:tcW w:w="311" w:type="pct"/>
            <w:hideMark/>
          </w:tcPr>
          <w:p w:rsidR="00FB1ADA" w:rsidRPr="00F32EB1" w:rsidRDefault="00FB1ADA" w:rsidP="00FB1ADA">
            <w:pPr>
              <w:jc w:val="center"/>
            </w:pPr>
            <w:r w:rsidRPr="00F32EB1">
              <w:t>3.</w:t>
            </w:r>
          </w:p>
        </w:tc>
        <w:tc>
          <w:tcPr>
            <w:tcW w:w="1479" w:type="pct"/>
            <w:hideMark/>
          </w:tcPr>
          <w:p w:rsidR="00FB1ADA" w:rsidRPr="00F32EB1" w:rsidRDefault="00FB1ADA" w:rsidP="00FB1ADA">
            <w:r w:rsidRPr="00F32EB1">
              <w:t>Cita informācija</w:t>
            </w:r>
          </w:p>
        </w:tc>
        <w:tc>
          <w:tcPr>
            <w:tcW w:w="3210" w:type="pct"/>
            <w:hideMark/>
          </w:tcPr>
          <w:p w:rsidR="00FB1ADA" w:rsidRPr="00F32EB1" w:rsidRDefault="00FB1ADA" w:rsidP="00FB1ADA">
            <w:r>
              <w:t>Nav.</w:t>
            </w:r>
          </w:p>
        </w:tc>
      </w:tr>
    </w:tbl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FF5A98" w:rsidRDefault="00FF5A98" w:rsidP="00FB1ADA"/>
    <w:p w:rsidR="00F66803" w:rsidRPr="00FB1ADA" w:rsidRDefault="00F66803" w:rsidP="00FB1ADA">
      <w:r w:rsidRPr="003109F1">
        <w:t>Aizsardzības ministrs</w:t>
      </w:r>
      <w:r w:rsidRPr="003109F1">
        <w:tab/>
      </w:r>
      <w:r w:rsidR="00FF5A98">
        <w:t xml:space="preserve">                                                                                 </w:t>
      </w:r>
      <w:r w:rsidRPr="003109F1">
        <w:t>R.Bergmanis</w:t>
      </w:r>
    </w:p>
    <w:p w:rsidR="00F66803" w:rsidRPr="003109F1" w:rsidRDefault="00F66803" w:rsidP="00F66803">
      <w:pPr>
        <w:tabs>
          <w:tab w:val="right" w:pos="9000"/>
        </w:tabs>
        <w:jc w:val="both"/>
      </w:pPr>
    </w:p>
    <w:p w:rsidR="00F66803" w:rsidRPr="003109F1" w:rsidRDefault="00F66803" w:rsidP="00F66803">
      <w:pPr>
        <w:tabs>
          <w:tab w:val="right" w:pos="9000"/>
        </w:tabs>
        <w:jc w:val="both"/>
      </w:pPr>
    </w:p>
    <w:p w:rsidR="00F66803" w:rsidRPr="003109F1" w:rsidRDefault="00F66803" w:rsidP="00F66803">
      <w:pPr>
        <w:tabs>
          <w:tab w:val="right" w:pos="9000"/>
        </w:tabs>
        <w:jc w:val="both"/>
      </w:pPr>
      <w:r w:rsidRPr="003109F1">
        <w:t>Vīza: Valsts sekretārs</w:t>
      </w:r>
      <w:r w:rsidRPr="003109F1">
        <w:tab/>
        <w:t>J.Garisons</w:t>
      </w:r>
    </w:p>
    <w:p w:rsidR="00F66803" w:rsidRDefault="00F66803"/>
    <w:p w:rsidR="00D30C88" w:rsidRDefault="00D30C88"/>
    <w:p w:rsidR="00F66803" w:rsidRPr="00074717" w:rsidRDefault="00C46E0B">
      <w:pPr>
        <w:rPr>
          <w:sz w:val="20"/>
          <w:szCs w:val="20"/>
        </w:rPr>
      </w:pPr>
      <w:r>
        <w:rPr>
          <w:sz w:val="20"/>
          <w:szCs w:val="20"/>
        </w:rPr>
        <w:t>06.03</w:t>
      </w:r>
      <w:r w:rsidR="0065491A" w:rsidRPr="00074717">
        <w:rPr>
          <w:sz w:val="20"/>
          <w:szCs w:val="20"/>
        </w:rPr>
        <w:t>.2018.</w:t>
      </w:r>
    </w:p>
    <w:p w:rsidR="0065491A" w:rsidRPr="00074717" w:rsidRDefault="00C46E0B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D4BBA">
        <w:rPr>
          <w:sz w:val="20"/>
          <w:szCs w:val="20"/>
        </w:rPr>
        <w:t>87</w:t>
      </w:r>
      <w:bookmarkStart w:id="0" w:name="_GoBack"/>
      <w:bookmarkEnd w:id="0"/>
    </w:p>
    <w:p w:rsidR="00074717" w:rsidRPr="00074717" w:rsidRDefault="00074717">
      <w:pPr>
        <w:rPr>
          <w:sz w:val="20"/>
          <w:szCs w:val="20"/>
        </w:rPr>
      </w:pPr>
      <w:r w:rsidRPr="00074717">
        <w:rPr>
          <w:sz w:val="20"/>
          <w:szCs w:val="20"/>
        </w:rPr>
        <w:t>J. Mačis, tālr. 67335088</w:t>
      </w:r>
    </w:p>
    <w:p w:rsidR="00074717" w:rsidRPr="00074717" w:rsidRDefault="00074717">
      <w:pPr>
        <w:rPr>
          <w:sz w:val="20"/>
          <w:szCs w:val="20"/>
        </w:rPr>
      </w:pPr>
      <w:r w:rsidRPr="00074717">
        <w:rPr>
          <w:sz w:val="20"/>
          <w:szCs w:val="20"/>
        </w:rPr>
        <w:t xml:space="preserve">e-pasta adrese: </w:t>
      </w:r>
      <w:hyperlink r:id="rId6" w:history="1">
        <w:r w:rsidRPr="00074717">
          <w:rPr>
            <w:rStyle w:val="Hyperlink"/>
            <w:sz w:val="20"/>
            <w:szCs w:val="20"/>
          </w:rPr>
          <w:t>Juris.Macis@mod.gov.lv</w:t>
        </w:r>
      </w:hyperlink>
      <w:r w:rsidRPr="00074717">
        <w:rPr>
          <w:sz w:val="20"/>
          <w:szCs w:val="20"/>
        </w:rPr>
        <w:t xml:space="preserve"> </w:t>
      </w:r>
    </w:p>
    <w:p w:rsidR="00074717" w:rsidRPr="00074717" w:rsidRDefault="00074717">
      <w:pPr>
        <w:rPr>
          <w:sz w:val="20"/>
          <w:szCs w:val="20"/>
        </w:rPr>
      </w:pPr>
    </w:p>
    <w:p w:rsidR="00074717" w:rsidRPr="00074717" w:rsidRDefault="00074717">
      <w:pPr>
        <w:rPr>
          <w:sz w:val="20"/>
          <w:szCs w:val="20"/>
        </w:rPr>
      </w:pPr>
      <w:r w:rsidRPr="00074717">
        <w:rPr>
          <w:sz w:val="20"/>
          <w:szCs w:val="20"/>
        </w:rPr>
        <w:t>V. Rakstiņš, tālr. 67335101</w:t>
      </w:r>
    </w:p>
    <w:p w:rsidR="00074717" w:rsidRPr="00074717" w:rsidRDefault="00074717">
      <w:pPr>
        <w:rPr>
          <w:sz w:val="20"/>
          <w:szCs w:val="20"/>
        </w:rPr>
      </w:pPr>
      <w:r w:rsidRPr="00074717">
        <w:rPr>
          <w:sz w:val="20"/>
          <w:szCs w:val="20"/>
        </w:rPr>
        <w:t xml:space="preserve">e-pasta adrese: </w:t>
      </w:r>
      <w:hyperlink r:id="rId7" w:history="1">
        <w:r w:rsidRPr="00074717">
          <w:rPr>
            <w:rStyle w:val="Hyperlink"/>
            <w:sz w:val="20"/>
            <w:szCs w:val="20"/>
          </w:rPr>
          <w:t>Vitalijs.Rakstins@mod.gov.lv</w:t>
        </w:r>
      </w:hyperlink>
      <w:r w:rsidRPr="00074717">
        <w:rPr>
          <w:sz w:val="20"/>
          <w:szCs w:val="20"/>
        </w:rPr>
        <w:t xml:space="preserve"> </w:t>
      </w:r>
    </w:p>
    <w:sectPr w:rsidR="00074717" w:rsidRPr="0007471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5C" w:rsidRDefault="00625F5C" w:rsidP="00625F5C">
      <w:r>
        <w:separator/>
      </w:r>
    </w:p>
  </w:endnote>
  <w:endnote w:type="continuationSeparator" w:id="0">
    <w:p w:rsidR="00625F5C" w:rsidRDefault="00625F5C" w:rsidP="0062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5C" w:rsidRDefault="005D4DBC">
    <w:pPr>
      <w:pStyle w:val="Footer"/>
    </w:pPr>
    <w:r>
      <w:t>AIManot_0603</w:t>
    </w:r>
    <w:r w:rsidR="00625F5C">
      <w:t>18_</w:t>
    </w:r>
    <w:r w:rsidR="00D120C6">
      <w:t>ADJ</w:t>
    </w:r>
    <w:r w:rsidR="00625F5C">
      <w:t>IL</w:t>
    </w:r>
  </w:p>
  <w:p w:rsidR="00625F5C" w:rsidRDefault="0062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5C" w:rsidRDefault="00625F5C" w:rsidP="00625F5C">
      <w:r>
        <w:separator/>
      </w:r>
    </w:p>
  </w:footnote>
  <w:footnote w:type="continuationSeparator" w:id="0">
    <w:p w:rsidR="00625F5C" w:rsidRDefault="00625F5C" w:rsidP="0062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47BD3"/>
    <w:rsid w:val="00074717"/>
    <w:rsid w:val="00125382"/>
    <w:rsid w:val="001B5BEF"/>
    <w:rsid w:val="002143FC"/>
    <w:rsid w:val="003D4BBA"/>
    <w:rsid w:val="003F7DAF"/>
    <w:rsid w:val="004A08DD"/>
    <w:rsid w:val="004E05F6"/>
    <w:rsid w:val="005D4DBC"/>
    <w:rsid w:val="00625F5C"/>
    <w:rsid w:val="0065491A"/>
    <w:rsid w:val="00662062"/>
    <w:rsid w:val="0067203F"/>
    <w:rsid w:val="00680DDA"/>
    <w:rsid w:val="007758B0"/>
    <w:rsid w:val="007D2B8B"/>
    <w:rsid w:val="00857C47"/>
    <w:rsid w:val="008611E9"/>
    <w:rsid w:val="0089208C"/>
    <w:rsid w:val="008A56B9"/>
    <w:rsid w:val="00942494"/>
    <w:rsid w:val="00AD18A9"/>
    <w:rsid w:val="00AF7679"/>
    <w:rsid w:val="00B763AD"/>
    <w:rsid w:val="00B94112"/>
    <w:rsid w:val="00B977B3"/>
    <w:rsid w:val="00BD5588"/>
    <w:rsid w:val="00C404E4"/>
    <w:rsid w:val="00C46E0B"/>
    <w:rsid w:val="00D120C6"/>
    <w:rsid w:val="00D30C88"/>
    <w:rsid w:val="00D73FC1"/>
    <w:rsid w:val="00E10E3B"/>
    <w:rsid w:val="00E1128A"/>
    <w:rsid w:val="00E44472"/>
    <w:rsid w:val="00E74448"/>
    <w:rsid w:val="00F05A90"/>
    <w:rsid w:val="00F14C23"/>
    <w:rsid w:val="00F32EB1"/>
    <w:rsid w:val="00F62250"/>
    <w:rsid w:val="00F66803"/>
    <w:rsid w:val="00FB1ADA"/>
    <w:rsid w:val="00FB4CB3"/>
    <w:rsid w:val="00FC069D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F7528"/>
  <w15:docId w15:val="{0D9FE0EC-8CF8-4C8C-B9EA-936BB76F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63AD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6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F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F5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talijs.Rakstins@mod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s.Macis@mod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4917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“Grozījumi Aizsardzības un drošības jomas iepirkumu likumā” sākotnējās ietekmes novērtējuma ziņojums (anotācija)</vt:lpstr>
    </vt:vector>
  </TitlesOfParts>
  <Manager>Krīzes vadības departaments</Manager>
  <Company>Aizsardzības ministrija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Aizsardzības un drošības jomas iepirkumu likumā” sākotnējās ietekmes novērtējuma ziņojums (anotācija)</dc:title>
  <dc:subject>valsts aizsardzība, grozījumi ADJIL</dc:subject>
  <dc:creator>Juris Mačis</dc:creator>
  <dc:description>Juris Mačis, , Krīzes vadības departamenta Mobilizācijas un uzņēmējvalsts atbalsta plānošanas nodaļas vecākais eksperts, _x000d_
tālr. 67335088, e-pasta adrese: Juris.Macis@mod.gov.lv</dc:description>
  <cp:lastModifiedBy>Juris Mačis</cp:lastModifiedBy>
  <cp:revision>39</cp:revision>
  <dcterms:created xsi:type="dcterms:W3CDTF">2018-02-27T09:56:00Z</dcterms:created>
  <dcterms:modified xsi:type="dcterms:W3CDTF">2018-03-07T09:47:00Z</dcterms:modified>
</cp:coreProperties>
</file>