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588" w:rsidRPr="002D7166" w:rsidRDefault="00BD5588" w:rsidP="00B763AD">
      <w:pPr>
        <w:pStyle w:val="Title"/>
        <w:spacing w:before="130" w:line="260" w:lineRule="exact"/>
        <w:jc w:val="both"/>
        <w:rPr>
          <w:rFonts w:ascii="Cambria" w:hAnsi="Cambria"/>
          <w:sz w:val="19"/>
          <w:szCs w:val="19"/>
        </w:rPr>
      </w:pPr>
    </w:p>
    <w:p w:rsidR="00B763AD" w:rsidRDefault="00B763AD" w:rsidP="00B763AD">
      <w:pPr>
        <w:shd w:val="clear" w:color="auto" w:fill="FFFFFF"/>
        <w:spacing w:before="130" w:line="260" w:lineRule="exact"/>
        <w:jc w:val="center"/>
        <w:rPr>
          <w:b/>
          <w:bCs/>
        </w:rPr>
      </w:pPr>
      <w:r w:rsidRPr="00A02BD5">
        <w:rPr>
          <w:b/>
        </w:rPr>
        <w:t>Likum</w:t>
      </w:r>
      <w:r w:rsidRPr="00A02BD5">
        <w:rPr>
          <w:b/>
          <w:bCs/>
        </w:rPr>
        <w:t xml:space="preserve">projekta “Grozījumi </w:t>
      </w:r>
      <w:r w:rsidRPr="00A02BD5">
        <w:rPr>
          <w:b/>
        </w:rPr>
        <w:t>Publisko iepirkumu likumā”</w:t>
      </w:r>
      <w:r w:rsidRPr="00A02BD5">
        <w:t xml:space="preserve"> </w:t>
      </w:r>
      <w:r w:rsidRPr="00A02BD5">
        <w:rPr>
          <w:b/>
          <w:bCs/>
        </w:rPr>
        <w:t>sākotnējās ietekmes novērtējuma ziņojums (anotācija)</w:t>
      </w:r>
    </w:p>
    <w:p w:rsidR="002F4CC6" w:rsidRDefault="002F4CC6" w:rsidP="00B763AD">
      <w:pPr>
        <w:shd w:val="clear" w:color="auto" w:fill="FFFFFF"/>
        <w:spacing w:before="130" w:line="260" w:lineRule="exact"/>
        <w:jc w:val="center"/>
        <w:rPr>
          <w:b/>
          <w:bCs/>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316"/>
        <w:gridCol w:w="4974"/>
      </w:tblGrid>
      <w:tr w:rsidR="00365988" w:rsidRPr="00764F9D" w:rsidTr="00E17BF3">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365988" w:rsidRPr="00764F9D" w:rsidRDefault="00365988" w:rsidP="00E17BF3">
            <w:pPr>
              <w:spacing w:before="100" w:beforeAutospacing="1" w:after="100" w:afterAutospacing="1" w:line="360" w:lineRule="auto"/>
              <w:ind w:firstLine="300"/>
              <w:jc w:val="center"/>
              <w:rPr>
                <w:b/>
                <w:bCs/>
                <w:color w:val="414142"/>
              </w:rPr>
            </w:pPr>
            <w:r w:rsidRPr="00764F9D">
              <w:rPr>
                <w:b/>
                <w:bCs/>
                <w:color w:val="414142"/>
              </w:rPr>
              <w:t>Tiesību akta projekta anotācijas kopsavilkums</w:t>
            </w:r>
          </w:p>
        </w:tc>
      </w:tr>
      <w:tr w:rsidR="00365988" w:rsidRPr="00764F9D" w:rsidTr="00E17BF3">
        <w:tc>
          <w:tcPr>
            <w:tcW w:w="2000" w:type="pct"/>
            <w:tcBorders>
              <w:top w:val="outset" w:sz="6" w:space="0" w:color="414142"/>
              <w:left w:val="outset" w:sz="6" w:space="0" w:color="414142"/>
              <w:bottom w:val="outset" w:sz="6" w:space="0" w:color="414142"/>
              <w:right w:val="outset" w:sz="6" w:space="0" w:color="414142"/>
            </w:tcBorders>
            <w:hideMark/>
          </w:tcPr>
          <w:p w:rsidR="00365988" w:rsidRPr="00764F9D" w:rsidRDefault="00365988" w:rsidP="00365988">
            <w:pPr>
              <w:rPr>
                <w:color w:val="414142"/>
              </w:rPr>
            </w:pPr>
            <w:r w:rsidRPr="00764F9D">
              <w:rPr>
                <w:color w:val="414142"/>
              </w:rPr>
              <w:t xml:space="preserve">Mērķis, risinājums un projekta spēkā stāšanās laiks </w:t>
            </w:r>
          </w:p>
        </w:tc>
        <w:tc>
          <w:tcPr>
            <w:tcW w:w="3000" w:type="pct"/>
            <w:tcBorders>
              <w:top w:val="outset" w:sz="6" w:space="0" w:color="414142"/>
              <w:left w:val="outset" w:sz="6" w:space="0" w:color="414142"/>
              <w:bottom w:val="outset" w:sz="6" w:space="0" w:color="414142"/>
              <w:right w:val="outset" w:sz="6" w:space="0" w:color="414142"/>
            </w:tcBorders>
            <w:hideMark/>
          </w:tcPr>
          <w:p w:rsidR="00365988" w:rsidRPr="007822E9" w:rsidRDefault="00365988" w:rsidP="00365988">
            <w:pPr>
              <w:ind w:firstLine="720"/>
              <w:jc w:val="both"/>
            </w:pPr>
            <w:r>
              <w:t xml:space="preserve">Ņemot vērā, ka </w:t>
            </w:r>
            <w:r w:rsidRPr="007822E9">
              <w:t>2017. gada 27. jūlijā Saeimā tika pieņemti grozījumi Meža likumā, kas paredz, ka koku ciršanas tiesības un īpašuma tiesības uz nocirstajiem kokiem militārajos objektos Aizsardzības ministrija var nodot akciju sab</w:t>
            </w:r>
            <w:r>
              <w:t xml:space="preserve">iedrībai "Latvijas valsts meži", kas </w:t>
            </w:r>
            <w:r w:rsidRPr="003D5971">
              <w:t>paredz izņēmumu Aizsardzības ministrijai piemērot publisko iepirkumu regulējumu,</w:t>
            </w:r>
            <w:r w:rsidRPr="007822E9">
              <w:t xml:space="preserve"> </w:t>
            </w:r>
            <w:r w:rsidR="00E93593">
              <w:rPr>
                <w:bCs/>
                <w:color w:val="414142"/>
              </w:rPr>
              <w:t>likumprojekts</w:t>
            </w:r>
            <w:r w:rsidR="00E93593" w:rsidRPr="007822E9">
              <w:t xml:space="preserve"> </w:t>
            </w:r>
            <w:r w:rsidR="00E93593">
              <w:t>ierosina</w:t>
            </w:r>
            <w:r w:rsidRPr="007822E9">
              <w:t xml:space="preserve"> no</w:t>
            </w:r>
            <w:r>
              <w:t>teik</w:t>
            </w:r>
            <w:r w:rsidRPr="007822E9">
              <w:t>t, ka Publisko iepirkumu likuma nosacījumus nepiemēro Meža likuma 4. panta (2</w:t>
            </w:r>
            <w:r w:rsidRPr="007822E9">
              <w:rPr>
                <w:vertAlign w:val="superscript"/>
              </w:rPr>
              <w:t>2</w:t>
            </w:r>
            <w:r w:rsidRPr="007822E9">
              <w:t>) daļā minētajā gadījumā, t.i., ja koku ciršanas tiesības un īpašuma tiesības uz nocirstajiem kokiem militārajos objektos Aizsardzības ministrija nodod akciju sabiedrībai “Latvijas valsts meži”.</w:t>
            </w:r>
          </w:p>
          <w:p w:rsidR="00365988" w:rsidRDefault="00365988" w:rsidP="00365988">
            <w:pPr>
              <w:jc w:val="both"/>
            </w:pPr>
          </w:p>
          <w:p w:rsidR="00365988" w:rsidRDefault="00365988" w:rsidP="00365988">
            <w:pPr>
              <w:jc w:val="both"/>
            </w:pPr>
            <w:r>
              <w:t xml:space="preserve">Ar likumprojektu paredzēts papildināt </w:t>
            </w:r>
            <w:r>
              <w:rPr>
                <w:bCs/>
                <w:color w:val="414142"/>
              </w:rPr>
              <w:t>Publisko</w:t>
            </w:r>
            <w:r w:rsidRPr="00AD18A9">
              <w:rPr>
                <w:bCs/>
                <w:color w:val="414142"/>
              </w:rPr>
              <w:t xml:space="preserve"> iepirkumu likum</w:t>
            </w:r>
            <w:r>
              <w:rPr>
                <w:bCs/>
                <w:color w:val="414142"/>
              </w:rPr>
              <w:t>u</w:t>
            </w:r>
            <w:r>
              <w:t xml:space="preserve"> ar normu par </w:t>
            </w:r>
            <w:r w:rsidRPr="00201A5A">
              <w:t>izšķirošo piedāvājuma kritēriju</w:t>
            </w:r>
            <w:r>
              <w:t>, tā stimulējot komersantus, kuri nodarbina zemessargus</w:t>
            </w:r>
            <w:r w:rsidRPr="00E21B17">
              <w:t>.</w:t>
            </w:r>
          </w:p>
          <w:p w:rsidR="00365988" w:rsidRDefault="00365988" w:rsidP="00365988"/>
          <w:p w:rsidR="00365988" w:rsidRDefault="00365988" w:rsidP="00E93593">
            <w:pPr>
              <w:jc w:val="both"/>
            </w:pPr>
            <w:r w:rsidRPr="00AD18A9">
              <w:t>Likumprojekta spēkā stāšanās paredzēta normatīvajos aktos noteiktajā vispārējā kārtībā, neparedzot konkrētu spēkā stāšanās datumu.</w:t>
            </w:r>
          </w:p>
          <w:p w:rsidR="00365988" w:rsidRPr="00764F9D" w:rsidRDefault="00365988" w:rsidP="00365988">
            <w:pPr>
              <w:rPr>
                <w:color w:val="414142"/>
              </w:rPr>
            </w:pPr>
          </w:p>
        </w:tc>
      </w:tr>
    </w:tbl>
    <w:p w:rsidR="00365988" w:rsidRPr="00764F9D" w:rsidRDefault="00365988" w:rsidP="00365988">
      <w:pPr>
        <w:rPr>
          <w:rFonts w:ascii="Arial" w:hAnsi="Arial" w:cs="Arial"/>
          <w:color w:val="414142"/>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16"/>
        <w:gridCol w:w="2810"/>
        <w:gridCol w:w="4964"/>
      </w:tblGrid>
      <w:tr w:rsidR="00365988" w:rsidRPr="00764F9D" w:rsidTr="00E17BF3">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365988" w:rsidRPr="00764F9D" w:rsidRDefault="00365988" w:rsidP="00E17BF3">
            <w:pPr>
              <w:spacing w:before="100" w:beforeAutospacing="1" w:after="100" w:afterAutospacing="1" w:line="360" w:lineRule="auto"/>
              <w:ind w:firstLine="300"/>
              <w:jc w:val="center"/>
              <w:rPr>
                <w:b/>
                <w:bCs/>
                <w:color w:val="414142"/>
              </w:rPr>
            </w:pPr>
            <w:r w:rsidRPr="00764F9D">
              <w:rPr>
                <w:b/>
                <w:bCs/>
                <w:color w:val="414142"/>
              </w:rPr>
              <w:t>I. Tiesību akta projekta izstrādes nepieciešamība</w:t>
            </w:r>
          </w:p>
        </w:tc>
      </w:tr>
      <w:tr w:rsidR="00365988" w:rsidRPr="00764F9D" w:rsidTr="00365988">
        <w:tc>
          <w:tcPr>
            <w:tcW w:w="311" w:type="pct"/>
            <w:tcBorders>
              <w:top w:val="outset" w:sz="6" w:space="0" w:color="414142"/>
              <w:left w:val="outset" w:sz="6" w:space="0" w:color="414142"/>
              <w:bottom w:val="outset" w:sz="6" w:space="0" w:color="414142"/>
              <w:right w:val="outset" w:sz="6" w:space="0" w:color="414142"/>
            </w:tcBorders>
            <w:hideMark/>
          </w:tcPr>
          <w:p w:rsidR="00365988" w:rsidRPr="00764F9D" w:rsidRDefault="00365988" w:rsidP="00CE3199">
            <w:pPr>
              <w:spacing w:before="100" w:beforeAutospacing="1" w:after="100" w:afterAutospacing="1" w:line="360" w:lineRule="auto"/>
              <w:jc w:val="center"/>
              <w:rPr>
                <w:color w:val="414142"/>
              </w:rPr>
            </w:pPr>
            <w:r w:rsidRPr="00764F9D">
              <w:rPr>
                <w:color w:val="414142"/>
              </w:rPr>
              <w:t>1.</w:t>
            </w:r>
          </w:p>
        </w:tc>
        <w:tc>
          <w:tcPr>
            <w:tcW w:w="1695" w:type="pct"/>
            <w:tcBorders>
              <w:top w:val="outset" w:sz="6" w:space="0" w:color="414142"/>
              <w:left w:val="outset" w:sz="6" w:space="0" w:color="414142"/>
              <w:bottom w:val="outset" w:sz="6" w:space="0" w:color="414142"/>
              <w:right w:val="outset" w:sz="6" w:space="0" w:color="414142"/>
            </w:tcBorders>
            <w:hideMark/>
          </w:tcPr>
          <w:p w:rsidR="00365988" w:rsidRPr="00764F9D" w:rsidRDefault="00365988" w:rsidP="00365988">
            <w:pPr>
              <w:rPr>
                <w:color w:val="414142"/>
              </w:rPr>
            </w:pPr>
            <w:r w:rsidRPr="00764F9D">
              <w:rPr>
                <w:color w:val="414142"/>
              </w:rPr>
              <w:t>Pamatojums</w:t>
            </w:r>
          </w:p>
        </w:tc>
        <w:tc>
          <w:tcPr>
            <w:tcW w:w="2994" w:type="pct"/>
            <w:tcBorders>
              <w:top w:val="outset" w:sz="6" w:space="0" w:color="414142"/>
              <w:left w:val="outset" w:sz="6" w:space="0" w:color="414142"/>
              <w:bottom w:val="outset" w:sz="6" w:space="0" w:color="414142"/>
              <w:right w:val="outset" w:sz="6" w:space="0" w:color="414142"/>
            </w:tcBorders>
            <w:hideMark/>
          </w:tcPr>
          <w:p w:rsidR="00E93593" w:rsidRDefault="00365988" w:rsidP="00365988">
            <w:pPr>
              <w:pStyle w:val="Header"/>
              <w:jc w:val="both"/>
              <w:rPr>
                <w:lang w:val="lv-LV"/>
              </w:rPr>
            </w:pPr>
            <w:r>
              <w:rPr>
                <w:lang w:val="lv-LV"/>
              </w:rPr>
              <w:t xml:space="preserve">Likumprojekta </w:t>
            </w:r>
            <w:r w:rsidRPr="00E93593">
              <w:rPr>
                <w:b/>
                <w:lang w:val="lv-LV"/>
              </w:rPr>
              <w:t>1.punkts</w:t>
            </w:r>
            <w:r>
              <w:rPr>
                <w:lang w:val="lv-LV"/>
              </w:rPr>
              <w:t xml:space="preserve"> izstrādāts balstoties uz l</w:t>
            </w:r>
            <w:r w:rsidRPr="00EE0F64">
              <w:rPr>
                <w:lang w:val="lv-LV"/>
              </w:rPr>
              <w:t>ikuma “Grozījumi Meža likumā” 2.</w:t>
            </w:r>
            <w:r w:rsidR="00E93593">
              <w:rPr>
                <w:lang w:val="lv-LV"/>
              </w:rPr>
              <w:t xml:space="preserve"> </w:t>
            </w:r>
            <w:r w:rsidRPr="00EE0F64">
              <w:rPr>
                <w:lang w:val="lv-LV"/>
              </w:rPr>
              <w:t>pant</w:t>
            </w:r>
            <w:r>
              <w:rPr>
                <w:lang w:val="lv-LV"/>
              </w:rPr>
              <w:t>u</w:t>
            </w:r>
            <w:r w:rsidRPr="00EE0F64">
              <w:rPr>
                <w:lang w:val="lv-LV"/>
              </w:rPr>
              <w:t xml:space="preserve"> (st</w:t>
            </w:r>
            <w:r>
              <w:rPr>
                <w:lang w:val="lv-LV"/>
              </w:rPr>
              <w:t>ājās spēkā 2017.gada 9.augustā, pieņemti 2017.gada 27.jūlijā,</w:t>
            </w:r>
            <w:r w:rsidR="00E93593">
              <w:rPr>
                <w:lang w:val="lv-LV"/>
              </w:rPr>
              <w:t xml:space="preserve"> </w:t>
            </w:r>
            <w:r>
              <w:rPr>
                <w:lang w:val="lv-LV"/>
              </w:rPr>
              <w:t xml:space="preserve">Ministru kabineta 2015.gada 22.decembra sēdes protokollēmuma Nr. 68 91.§ “Informatīvais ziņojums “Par Nacionālo bruņoto spēku mācību infrastruktūras attīstību un paplašināšanu””. </w:t>
            </w:r>
          </w:p>
          <w:p w:rsidR="00E93593" w:rsidRDefault="00E93593" w:rsidP="00365988">
            <w:pPr>
              <w:pStyle w:val="Header"/>
              <w:jc w:val="both"/>
              <w:rPr>
                <w:lang w:val="lv-LV"/>
              </w:rPr>
            </w:pPr>
          </w:p>
          <w:p w:rsidR="00365988" w:rsidRPr="00D22BD5" w:rsidRDefault="00365988" w:rsidP="00365988">
            <w:pPr>
              <w:pStyle w:val="Header"/>
              <w:jc w:val="both"/>
              <w:rPr>
                <w:lang w:val="lv-LV"/>
              </w:rPr>
            </w:pPr>
            <w:r>
              <w:rPr>
                <w:lang w:val="lv-LV"/>
              </w:rPr>
              <w:t xml:space="preserve">Likumprojekta </w:t>
            </w:r>
            <w:r w:rsidRPr="00E93593">
              <w:rPr>
                <w:b/>
                <w:lang w:val="lv-LV"/>
              </w:rPr>
              <w:t>2.punkts</w:t>
            </w:r>
            <w:r>
              <w:rPr>
                <w:lang w:val="lv-LV"/>
              </w:rPr>
              <w:t xml:space="preserve"> izstrādāts, balstoties uz </w:t>
            </w:r>
            <w:r w:rsidRPr="00EE0F64">
              <w:rPr>
                <w:lang w:val="lv-LV"/>
              </w:rPr>
              <w:t xml:space="preserve">Ministru kabineta 2017. gada 19. decembra sēdes protokola Nr. 63 63.§ “Informatīvais ziņojums “Par valdības rīcības plāna 2016. gadam 77.punkta “Izstrādāt priekšlikumus ekonomiskajiem stimuliem uzņēmējiem, lai </w:t>
            </w:r>
            <w:r w:rsidRPr="00B03312">
              <w:rPr>
                <w:lang w:val="lv-LV"/>
              </w:rPr>
              <w:t xml:space="preserve">motivētu viņu darbinieku regulāru piedalīšanos Zemessardzes mācībās” izpildes organizēšanu”” 4. punktu </w:t>
            </w:r>
            <w:r w:rsidRPr="00B03312">
              <w:rPr>
                <w:lang w:val="lv-LV"/>
              </w:rPr>
              <w:lastRenderedPageBreak/>
              <w:t>“</w:t>
            </w:r>
            <w:r w:rsidRPr="00FA0D70">
              <w:rPr>
                <w:lang w:val="lv-LV"/>
              </w:rPr>
              <w:t xml:space="preserve">Aizsardzības ministrijai līdz 2018. gada </w:t>
            </w:r>
            <w:r>
              <w:rPr>
                <w:lang w:val="lv-LV"/>
              </w:rPr>
              <w:t>1. martam</w:t>
            </w:r>
            <w:r w:rsidRPr="00BB1755">
              <w:rPr>
                <w:lang w:val="lv-LV"/>
              </w:rPr>
              <w:t xml:space="preserve"> </w:t>
            </w:r>
            <w:r w:rsidRPr="00D22BD5">
              <w:rPr>
                <w:lang w:val="lv-LV"/>
              </w:rPr>
              <w:t>sagatavot priekšlikumus grozījumiem Publisko iepirkumu likumā, paredzot iespējas par izšķirošo piedāvājuma kritēriju, ja to iespējams sasaistīt ar iepirkuma priekšmetu</w:t>
            </w:r>
            <w:r>
              <w:rPr>
                <w:lang w:val="lv-LV"/>
              </w:rPr>
              <w:t xml:space="preserve"> un</w:t>
            </w:r>
            <w:r w:rsidRPr="00D22BD5">
              <w:rPr>
                <w:lang w:val="lv-LV"/>
              </w:rPr>
              <w:t xml:space="preserve"> izņemot iepirkumus, kas saistīti ar Eiropas Savienības fondu apguvi, noteikt nodarbināto zemessargu skaitu uzņēmumā, ja katra zemessarga militārajās mācībās pavadītais  darbadienu skaits nav mazāks par piecām darbadienām  un  kopējais mācībās pavadītais dienu skaits pēdējā gada laikā nav mazāks par 20 dienām.</w:t>
            </w:r>
            <w:r>
              <w:rPr>
                <w:lang w:val="lv-LV"/>
              </w:rPr>
              <w:t>”</w:t>
            </w:r>
          </w:p>
          <w:p w:rsidR="00365988" w:rsidRPr="00B517C3" w:rsidRDefault="00365988" w:rsidP="00365988">
            <w:pPr>
              <w:rPr>
                <w:rFonts w:ascii="Cambria" w:hAnsi="Cambria"/>
                <w:sz w:val="19"/>
                <w:szCs w:val="19"/>
              </w:rPr>
            </w:pPr>
          </w:p>
        </w:tc>
      </w:tr>
      <w:tr w:rsidR="00365988" w:rsidRPr="00764F9D" w:rsidTr="00365988">
        <w:tc>
          <w:tcPr>
            <w:tcW w:w="311" w:type="pct"/>
            <w:tcBorders>
              <w:top w:val="outset" w:sz="6" w:space="0" w:color="414142"/>
              <w:left w:val="outset" w:sz="6" w:space="0" w:color="414142"/>
              <w:bottom w:val="outset" w:sz="6" w:space="0" w:color="414142"/>
              <w:right w:val="outset" w:sz="6" w:space="0" w:color="414142"/>
            </w:tcBorders>
            <w:hideMark/>
          </w:tcPr>
          <w:p w:rsidR="00365988" w:rsidRPr="00764F9D" w:rsidRDefault="00365988" w:rsidP="00BD5C84">
            <w:pPr>
              <w:spacing w:before="100" w:beforeAutospacing="1" w:after="100" w:afterAutospacing="1" w:line="360" w:lineRule="auto"/>
              <w:jc w:val="center"/>
              <w:rPr>
                <w:color w:val="414142"/>
              </w:rPr>
            </w:pPr>
            <w:r w:rsidRPr="00764F9D">
              <w:rPr>
                <w:color w:val="414142"/>
              </w:rPr>
              <w:lastRenderedPageBreak/>
              <w:t>2.</w:t>
            </w:r>
          </w:p>
        </w:tc>
        <w:tc>
          <w:tcPr>
            <w:tcW w:w="1695" w:type="pct"/>
            <w:tcBorders>
              <w:top w:val="outset" w:sz="6" w:space="0" w:color="414142"/>
              <w:left w:val="outset" w:sz="6" w:space="0" w:color="414142"/>
              <w:bottom w:val="outset" w:sz="6" w:space="0" w:color="414142"/>
              <w:right w:val="outset" w:sz="6" w:space="0" w:color="414142"/>
            </w:tcBorders>
            <w:hideMark/>
          </w:tcPr>
          <w:p w:rsidR="00365988" w:rsidRPr="00764F9D" w:rsidRDefault="00365988" w:rsidP="00365988">
            <w:pPr>
              <w:rPr>
                <w:color w:val="414142"/>
              </w:rPr>
            </w:pPr>
            <w:r w:rsidRPr="00764F9D">
              <w:rPr>
                <w:color w:val="414142"/>
              </w:rPr>
              <w:t>Pašreizējā situācija un problēmas, kuru risināšanai tiesību akta projekts izstrādāts, tiesiskā regulējuma mērķis un būtība</w:t>
            </w:r>
          </w:p>
        </w:tc>
        <w:tc>
          <w:tcPr>
            <w:tcW w:w="2994" w:type="pct"/>
            <w:tcBorders>
              <w:top w:val="outset" w:sz="6" w:space="0" w:color="414142"/>
              <w:left w:val="outset" w:sz="6" w:space="0" w:color="414142"/>
              <w:bottom w:val="outset" w:sz="6" w:space="0" w:color="414142"/>
              <w:right w:val="outset" w:sz="6" w:space="0" w:color="414142"/>
            </w:tcBorders>
            <w:hideMark/>
          </w:tcPr>
          <w:p w:rsidR="00365988" w:rsidRDefault="00365988" w:rsidP="00365988">
            <w:pPr>
              <w:ind w:firstLine="720"/>
              <w:jc w:val="both"/>
            </w:pPr>
            <w:r w:rsidRPr="00B03312">
              <w:rPr>
                <w:b/>
              </w:rPr>
              <w:t>Likumprojekta 1.punkts.</w:t>
            </w:r>
            <w:r>
              <w:t xml:space="preserve"> </w:t>
            </w:r>
            <w:r w:rsidRPr="001E4566">
              <w:t>Saskaņā ar Ministru kabineta 2015. gada 22. decembra sēdes protokollēmuma Nr. 68 91. </w:t>
            </w:r>
            <w:r w:rsidRPr="001E4566">
              <w:rPr>
                <w:rFonts w:hint="cs"/>
              </w:rPr>
              <w:t>§</w:t>
            </w:r>
            <w:r w:rsidRPr="001E4566">
              <w:t xml:space="preserve"> “Informatīvais ziņojums “Par Nacionālo bruņoto spēku mācību infrastruktūras attīstību un paplašināšanu”” tika konceptuāli atbalstīta Ādažu poligona un mācību lauka “</w:t>
            </w:r>
            <w:proofErr w:type="spellStart"/>
            <w:r w:rsidRPr="001E4566">
              <w:t>Lāčusils</w:t>
            </w:r>
            <w:proofErr w:type="spellEnd"/>
            <w:r w:rsidRPr="0000767B">
              <w:t>” paplašināšana.</w:t>
            </w:r>
          </w:p>
          <w:p w:rsidR="00365988" w:rsidRPr="0000767B" w:rsidRDefault="00365988" w:rsidP="00365988">
            <w:pPr>
              <w:jc w:val="both"/>
            </w:pPr>
          </w:p>
          <w:p w:rsidR="00365988" w:rsidRPr="0000767B" w:rsidRDefault="00365988" w:rsidP="00365988">
            <w:pPr>
              <w:ind w:firstLine="720"/>
              <w:jc w:val="both"/>
            </w:pPr>
            <w:r w:rsidRPr="0000767B">
              <w:t>Aizsardzības ministrija Ādažu poligona paplašināšanai ir pārņēmusi valdījumā no Zemkopības ministrijas ~5 200 ha meža zemes, kuras apsaimniekošanu un aizsardzību līdz šim veica akciju sabiedrība “Latvijas valsts meži”. Savukārt mācību lauka “</w:t>
            </w:r>
            <w:proofErr w:type="spellStart"/>
            <w:r w:rsidRPr="0000767B">
              <w:t>Lāčusils</w:t>
            </w:r>
            <w:proofErr w:type="spellEnd"/>
            <w:r w:rsidRPr="0000767B">
              <w:t>”, kas atrodas Alūksnes novadā, paplašināšanai plānots no Zemkopības ministrijas Aizsardzības ministrij</w:t>
            </w:r>
            <w:r>
              <w:t>as valdījumā pārņemt ~2 400 ha.</w:t>
            </w:r>
          </w:p>
          <w:p w:rsidR="00365988" w:rsidRPr="0000767B" w:rsidRDefault="00365988" w:rsidP="00365988">
            <w:pPr>
              <w:jc w:val="both"/>
            </w:pPr>
          </w:p>
          <w:p w:rsidR="00365988" w:rsidRPr="001E4566" w:rsidRDefault="00365988" w:rsidP="00365988">
            <w:pPr>
              <w:ind w:firstLine="720"/>
              <w:jc w:val="both"/>
            </w:pPr>
            <w:r w:rsidRPr="001E4566">
              <w:t>Vidējā termiņā Nacionālo bruņoto spēku kaujas spēju nodrošināšanai Aizsardzības ministrija plāno paplašināt un attīstīt arī citu Nacionālo bruņoto spēku mācību infrastruktūru un izveidot jaunus militāros objektus – bāzes. Pēc darbu pabeigšanas, ierakstot nekustamos īpašumus zemesgrāmatā uz valsts vārda Aizsardzības ministrijas personā, Aizsardzības ministrijas valdījumā un Valsts aizsardzības militāro objektu un iepirkumu centra apsaimniekošanā un pārvaldīšanā (Ministru kabineta 2009. gada 15. decembra noteikumu Nr. 1418 „Valsts aizsardzības militāro objektu un iepirkumu centra nolikums” 2.1. punkts) nonāks apjomīgas meža zemju platības.</w:t>
            </w:r>
          </w:p>
          <w:p w:rsidR="00365988" w:rsidRPr="001E4566" w:rsidRDefault="00365988" w:rsidP="00365988">
            <w:pPr>
              <w:jc w:val="both"/>
            </w:pPr>
          </w:p>
          <w:p w:rsidR="00365988" w:rsidRPr="001E4566" w:rsidRDefault="00365988" w:rsidP="00365988">
            <w:pPr>
              <w:ind w:firstLine="720"/>
              <w:jc w:val="both"/>
            </w:pPr>
            <w:r w:rsidRPr="001E4566">
              <w:t xml:space="preserve">Līdz šim Valsts aizsardzības militāro objektu un iepirkumu centra apsaimniekošanā un pārvaldīšanā atradās 4 520 ha meža zemes, bet pēc </w:t>
            </w:r>
            <w:r w:rsidRPr="001E4566">
              <w:lastRenderedPageBreak/>
              <w:t>iepriekš minētajām izmaiņām apsaimniekojamās meža platības palielināsies vairāk nekā divas reizes.</w:t>
            </w:r>
          </w:p>
          <w:p w:rsidR="00365988" w:rsidRPr="001E4566" w:rsidRDefault="00365988" w:rsidP="00365988">
            <w:pPr>
              <w:jc w:val="both"/>
            </w:pPr>
          </w:p>
          <w:p w:rsidR="00365988" w:rsidRPr="001E4566" w:rsidRDefault="00365988" w:rsidP="00365988">
            <w:pPr>
              <w:ind w:firstLine="720"/>
              <w:jc w:val="both"/>
            </w:pPr>
            <w:r w:rsidRPr="001E4566">
              <w:t>Aizsardzības ministrijas valdījumā esošo mežu svarīgākā nozīme ir nodrošināt aizsargfunkciju aktīvas militārās darbības teritorijām, kalpojot par barjeru, kura slāpē troksni un paaugstina militāro mācību vietu drošību. Liela ir arī to nozīme kā militāro mācību vietai, kur tiek apgūtas kaujas iemaņas ierobežotas pārredzamības apstākļos un izdzīvošanas prasmes. Ņemot vērā šīs funkcijas, koki Aizsardzības ministrijas valdījumā esošajos militārajos poligonos tiek izcirsti, lai izbūvētu militāro infrastruktūru vai pielāgotu šīs teritorijas militāro mācību vajadzībām.</w:t>
            </w:r>
          </w:p>
          <w:p w:rsidR="00365988" w:rsidRPr="001E4566" w:rsidRDefault="00365988" w:rsidP="00365988">
            <w:pPr>
              <w:jc w:val="both"/>
            </w:pPr>
          </w:p>
          <w:p w:rsidR="00365988" w:rsidRPr="001E4566" w:rsidRDefault="00365988" w:rsidP="00365988">
            <w:pPr>
              <w:ind w:firstLine="720"/>
              <w:jc w:val="both"/>
            </w:pPr>
            <w:r w:rsidRPr="001E4566">
              <w:t xml:space="preserve">Atsevišķos gadījumos koku ciršana jāveic lielos apjomos un īsā termiņā, kas ir papildu uzdevumi Valsts aizsardzības militāro objektu un iepirkumu centra ieplānotajiem darbiem. </w:t>
            </w:r>
          </w:p>
          <w:p w:rsidR="00365988" w:rsidRPr="001E4566" w:rsidRDefault="00365988" w:rsidP="00365988">
            <w:pPr>
              <w:jc w:val="both"/>
            </w:pPr>
          </w:p>
          <w:p w:rsidR="00365988" w:rsidRPr="007822E9" w:rsidRDefault="00365988" w:rsidP="00365988">
            <w:pPr>
              <w:ind w:firstLine="720"/>
              <w:jc w:val="both"/>
            </w:pPr>
            <w:r>
              <w:t>G</w:t>
            </w:r>
            <w:r w:rsidRPr="001E4566">
              <w:t>adījumos, kad nepieciešams ātri atbrīvot apjomīgu teritoriju no kokiem, iespējams uz līguma pamata šos darbus uzdot akciju sabiedrībai “</w:t>
            </w:r>
            <w:r w:rsidRPr="007822E9">
              <w:t xml:space="preserve">Latvijas valsts meži”, kas atbilstoši savai pieredzei un tehniskajām iespējām var nodrošināt nepieciešamo atmežošanu, koku izciršanu un kokmateriālu realizēšanu. </w:t>
            </w:r>
          </w:p>
          <w:p w:rsidR="00365988" w:rsidRPr="007822E9" w:rsidRDefault="00365988" w:rsidP="00365988">
            <w:pPr>
              <w:jc w:val="both"/>
              <w:rPr>
                <w:highlight w:val="yellow"/>
              </w:rPr>
            </w:pPr>
          </w:p>
          <w:p w:rsidR="00365988" w:rsidRPr="007822E9" w:rsidRDefault="00365988" w:rsidP="00365988">
            <w:pPr>
              <w:ind w:firstLine="720"/>
              <w:jc w:val="both"/>
            </w:pPr>
            <w:r w:rsidRPr="007822E9">
              <w:t>2017. gada 27. jūlijā Saeimā tika pieņemti grozījumi Meža likumā, kas paredz, ka koku ciršanas tiesības un īpašuma tiesības uz nocirstajiem kokiem militārajos objektos Aizsardzības ministrija var nodot akciju sabiedrībai "Latvijas valsts meži".</w:t>
            </w:r>
          </w:p>
          <w:p w:rsidR="00365988" w:rsidRPr="007822E9" w:rsidRDefault="00365988" w:rsidP="00365988">
            <w:pPr>
              <w:jc w:val="both"/>
            </w:pPr>
          </w:p>
          <w:p w:rsidR="00365988" w:rsidRPr="007822E9" w:rsidRDefault="00365988" w:rsidP="00365988">
            <w:pPr>
              <w:ind w:firstLine="720"/>
              <w:jc w:val="both"/>
            </w:pPr>
            <w:r w:rsidRPr="003D5971">
              <w:t>Ņemot vērā, ka minētie grozījumi Meža likumā paredz izņēmumu Aizsardzības ministrijai piemērot publisko iepirkumu regulējumu,</w:t>
            </w:r>
            <w:r w:rsidRPr="007822E9">
              <w:t xml:space="preserve"> tiek ierosināts papildināt Publisko iepirkuma likuma 3. pantu ar (7</w:t>
            </w:r>
            <w:r w:rsidRPr="007822E9">
              <w:rPr>
                <w:vertAlign w:val="superscript"/>
              </w:rPr>
              <w:t>1</w:t>
            </w:r>
            <w:r w:rsidRPr="007822E9">
              <w:t>) daļu, nosakot, ka Publisko iepirkumu likuma nosacījumus nepiemēro Meža likuma 4. panta (2</w:t>
            </w:r>
            <w:r w:rsidRPr="007822E9">
              <w:rPr>
                <w:vertAlign w:val="superscript"/>
              </w:rPr>
              <w:t>2</w:t>
            </w:r>
            <w:r w:rsidRPr="007822E9">
              <w:t>) daļā minētajā gadījumā, t.i., ja koku ciršanas tiesības un īpašuma tiesības uz nocirstajiem kokiem militārajos objektos Aizsardzības ministrija nodod akciju sabiedrībai “Latvijas valsts meži”.</w:t>
            </w:r>
          </w:p>
          <w:p w:rsidR="00365988" w:rsidRPr="007822E9" w:rsidRDefault="00365988" w:rsidP="00365988">
            <w:pPr>
              <w:jc w:val="both"/>
            </w:pPr>
          </w:p>
          <w:p w:rsidR="00365988" w:rsidRPr="007822E9" w:rsidRDefault="00365988" w:rsidP="00365988">
            <w:pPr>
              <w:ind w:firstLine="720"/>
              <w:jc w:val="both"/>
            </w:pPr>
            <w:r w:rsidRPr="007822E9">
              <w:t xml:space="preserve">Nododot koku ciršanas tiesības akciju sabiedrībai “Latvijas valsts meži” tiek saglabāta </w:t>
            </w:r>
            <w:r w:rsidRPr="007822E9">
              <w:lastRenderedPageBreak/>
              <w:t>brīva konkurence. Mežizstrādes un loģistikas pakalpojumi tiek nolīgti Publiskā iepirkuma likuma noteikto procedūru ietvaros, tādējādi nodrošinot saimnieciski izdevīgu un akciju sabiedrībai “Latvijas valsts meži” ierastajai darbības praksei atbilstoši ienesīgu rīcību. Savukārt, iegūtā koksne tiek realizēta, saskaņā ar tirgus monitoringa cenām un regulārajās izsolēs nosolītajām kokmateriālu cenām attiecīgajiem sortimentiem. Iegūtā peļņa tiek konsolidēta akciju sabiedrības “Latvijas valsts meži” kopējā peļņas zaudējumu aprēķinā, pamatojoties uz kuru tiek aprēķinātas valstij maksājamās dividendes.</w:t>
            </w:r>
          </w:p>
          <w:p w:rsidR="00365988" w:rsidRPr="007822E9" w:rsidRDefault="00365988" w:rsidP="00365988">
            <w:pPr>
              <w:jc w:val="both"/>
            </w:pPr>
          </w:p>
          <w:p w:rsidR="00365988" w:rsidRPr="007822E9" w:rsidRDefault="00365988" w:rsidP="00365988">
            <w:pPr>
              <w:ind w:firstLine="720"/>
              <w:jc w:val="both"/>
            </w:pPr>
            <w:r w:rsidRPr="007822E9">
              <w:t>Likumprojekta regulējums attiecas tikai uz militārajos objektos esošajām valsts meža zemēm.</w:t>
            </w:r>
          </w:p>
          <w:p w:rsidR="00365988" w:rsidRPr="007822E9" w:rsidRDefault="00365988" w:rsidP="00365988">
            <w:pPr>
              <w:jc w:val="both"/>
            </w:pPr>
          </w:p>
          <w:p w:rsidR="00365988" w:rsidRPr="0000767B" w:rsidRDefault="00365988" w:rsidP="00365988">
            <w:pPr>
              <w:ind w:firstLine="720"/>
              <w:jc w:val="both"/>
            </w:pPr>
            <w:r w:rsidRPr="007822E9">
              <w:t xml:space="preserve">Jaunais regulējums atbilst Publiskas personas finanšu līdzekļu un mantas izšķērdēšanas novēršanas </w:t>
            </w:r>
            <w:r w:rsidRPr="0000767B">
              <w:t>likuma 3. panta 2. apakšpunktam, kas noteic, ka publiskas personas rīcībai jābūt tādai, lai mērķi sasniegtu ar mazāko finanšu līdzekļu un mantas izlietojumu.</w:t>
            </w:r>
          </w:p>
          <w:p w:rsidR="00365988" w:rsidRPr="001E4566" w:rsidRDefault="00365988" w:rsidP="00365988">
            <w:pPr>
              <w:jc w:val="both"/>
            </w:pPr>
          </w:p>
          <w:p w:rsidR="00365988" w:rsidRDefault="00365988" w:rsidP="00365988">
            <w:pPr>
              <w:ind w:firstLine="450"/>
              <w:jc w:val="both"/>
            </w:pPr>
            <w:r w:rsidRPr="001E4566">
              <w:t>Gadījumos, ja koku ciršanas tiesības netiks nodotas akciju sabiedrībai “Latvijas valsts meži”, Valsts aizsardzības militāro objektu un iepirkumu centrs koku ciršanas darbus organizēs līdz šim piemērotajā kārtībā – izsludinot publisko iepirkumu koku ciršanas darbu veikšanai.</w:t>
            </w:r>
          </w:p>
          <w:p w:rsidR="00365988" w:rsidRPr="00C911F6" w:rsidRDefault="00365988" w:rsidP="00365988">
            <w:pPr>
              <w:jc w:val="both"/>
            </w:pPr>
          </w:p>
          <w:p w:rsidR="00365988" w:rsidRPr="00C911F6" w:rsidRDefault="00365988" w:rsidP="00365988">
            <w:pPr>
              <w:spacing w:after="240"/>
              <w:ind w:firstLine="450"/>
              <w:jc w:val="both"/>
            </w:pPr>
            <w:r w:rsidRPr="00B03312">
              <w:rPr>
                <w:b/>
              </w:rPr>
              <w:t>Likumprojekta 2.punkts.</w:t>
            </w:r>
            <w:r>
              <w:t xml:space="preserve"> </w:t>
            </w:r>
            <w:r w:rsidRPr="00C911F6">
              <w:t xml:space="preserve">Aizsardzības ministrija pastiprināti strādā pie Nacionālo bruņoto spēku (turpmāk – NBS) un Zemessardzes attīstības, arvien aktīvāk iesaistot zemessargus un rezerves karavīrus militārajās mācībās. Lai paaugstinātu NBS kaujas spējas un nodrošinātu plānveida militāro apmācību, jārisina tādi jautājumi kā darba devēju un darba ņēmēju interešu sabalansēšana, iespējamie atvieglojumi tiem darba devējiem, pie kuriem strādā zemessargi un rezerves karavīri. Lai stimulētu komersantus atbalstīt </w:t>
            </w:r>
            <w:r w:rsidR="00DF1AB4">
              <w:t xml:space="preserve">savus </w:t>
            </w:r>
            <w:r w:rsidRPr="00C911F6">
              <w:t xml:space="preserve">darbiniekus zemessargus, šis likumprojekts noteiks zināmas priekšrocības publiskajos iepirkumos tiem komersantiem (piegādātājiem), kuri nodarbina zemessargus. </w:t>
            </w:r>
          </w:p>
          <w:p w:rsidR="00365988" w:rsidRPr="00C911F6" w:rsidRDefault="00365988" w:rsidP="00365988">
            <w:pPr>
              <w:spacing w:after="240"/>
              <w:ind w:firstLine="450"/>
              <w:jc w:val="both"/>
            </w:pPr>
            <w:r w:rsidRPr="00C911F6">
              <w:t>Priekšrocības publiskajos iepirkumos paredz kārtību, ka pasūtītājs iepirkuma procedūras dokumentos</w:t>
            </w:r>
            <w:r w:rsidR="00DF1AB4">
              <w:t xml:space="preserve"> gadījumā, ja to ir iespējams saistīt ar </w:t>
            </w:r>
            <w:r w:rsidR="00DF1AB4">
              <w:lastRenderedPageBreak/>
              <w:t>iepirkuma priekšmetu,</w:t>
            </w:r>
            <w:r w:rsidRPr="00C911F6">
              <w:t xml:space="preserve"> norāda izšķirošo piedāvājuma izvēles kritēriju, atbilstoši kuram izvēlas piedāvājumu, ja pirms lēmuma pieņemšanas par iepirkuma līguma slēgšanas tiesību piešķiršanu tas konstatē, ka vismaz divu piedāvājumu novērtējums ir vienāds. Lai nodrošinātu šādu pieeju, ir sagatavoti grozījumi Publisko iepirkumu likumā, paredzot iespēju pasūtītājam noteikt izšķirošo piedāvājuma izvēles kritēriju publiskajos iepirkumos, </w:t>
            </w:r>
            <w:r w:rsidR="00DF1AB4">
              <w:t xml:space="preserve">ja to ir iespējams saistīt ar iepirkuma priekšmetu, </w:t>
            </w:r>
            <w:r w:rsidRPr="00C911F6">
              <w:t xml:space="preserve">izņemot tos iepirkumus, kuri saistīti ar Eiropas Savienības fondu līdzekļu apguvi. </w:t>
            </w:r>
          </w:p>
          <w:p w:rsidR="00365988" w:rsidRPr="00C911F6" w:rsidRDefault="00365988" w:rsidP="00702ACF">
            <w:pPr>
              <w:spacing w:after="240"/>
              <w:ind w:firstLine="450"/>
              <w:jc w:val="both"/>
            </w:pPr>
            <w:r w:rsidRPr="00C911F6">
              <w:t>Gadījumā, ja divu komersantu piedāvājumu novērtējums ir vienāds, šie komersanti (piegādātāji) pēc pasūtītāja pieprasījuma iesniedz izziņu</w:t>
            </w:r>
            <w:r w:rsidRPr="00C911F6">
              <w:rPr>
                <w:b/>
              </w:rPr>
              <w:t xml:space="preserve"> </w:t>
            </w:r>
            <w:r w:rsidRPr="00C911F6">
              <w:t>no Zemessardzes,</w:t>
            </w:r>
            <w:r w:rsidRPr="00C911F6">
              <w:rPr>
                <w:b/>
              </w:rPr>
              <w:t xml:space="preserve"> </w:t>
            </w:r>
            <w:r w:rsidRPr="00C911F6">
              <w:t>kas apliecina uzņēmumā nodarbināto zemessargu skaitu, darbadienu</w:t>
            </w:r>
            <w:r w:rsidRPr="00C911F6">
              <w:rPr>
                <w:b/>
              </w:rPr>
              <w:t xml:space="preserve"> </w:t>
            </w:r>
            <w:r w:rsidRPr="00C911F6">
              <w:t>skaitu, ko</w:t>
            </w:r>
            <w:r w:rsidRPr="00C911F6">
              <w:rPr>
                <w:b/>
              </w:rPr>
              <w:t xml:space="preserve"> </w:t>
            </w:r>
            <w:r w:rsidRPr="00C911F6">
              <w:t>uzņēmumā strādājošie zemessargi pavadījuši militārajās mācībās pēdējā gada laikā, kopējo</w:t>
            </w:r>
            <w:r w:rsidRPr="00C911F6">
              <w:rPr>
                <w:b/>
              </w:rPr>
              <w:t xml:space="preserve"> </w:t>
            </w:r>
            <w:r w:rsidRPr="00C911F6">
              <w:t>mācībās un dienesta uzdevumu izpildē pavadīto</w:t>
            </w:r>
            <w:r w:rsidRPr="00C911F6">
              <w:rPr>
                <w:b/>
              </w:rPr>
              <w:t xml:space="preserve"> </w:t>
            </w:r>
            <w:r w:rsidRPr="00C911F6">
              <w:t xml:space="preserve">dienu skaitu. Obligāts nosacījums priekšrocību saņemšanai ir zemessarga dalība militārajās mācībās gada laikā vismaz </w:t>
            </w:r>
            <w:r w:rsidRPr="00C911F6">
              <w:rPr>
                <w:bCs/>
              </w:rPr>
              <w:t>20 dienas</w:t>
            </w:r>
            <w:r w:rsidRPr="00C911F6">
              <w:t xml:space="preserve">, no tām kolektīvajās mācībās – </w:t>
            </w:r>
            <w:r w:rsidRPr="00C911F6">
              <w:rPr>
                <w:bCs/>
              </w:rPr>
              <w:t>5 darba</w:t>
            </w:r>
            <w:r w:rsidRPr="00C911F6">
              <w:t xml:space="preserve">dienas. </w:t>
            </w:r>
            <w:r w:rsidR="00702ACF">
              <w:rPr>
                <w:bCs/>
              </w:rPr>
              <w:t xml:space="preserve">Latvijas Republikas Zemessardzes likuma 7. panta pirmā daļa nosaka, ka </w:t>
            </w:r>
            <w:r w:rsidR="00702ACF" w:rsidRPr="00FB1ADA">
              <w:rPr>
                <w:bCs/>
              </w:rPr>
              <w:t>“</w:t>
            </w:r>
            <w:r w:rsidR="00702ACF" w:rsidRPr="00FB1ADA">
              <w:t>Zemessargam izdienas stāžā ieskaita dienesta laiku Zemessardzē, ja viņš vismaz 20 dienas gadā piedalījies dienesta uzdevumu izpildē vai apmācībā</w:t>
            </w:r>
            <w:r w:rsidR="00702ACF">
              <w:t>”</w:t>
            </w:r>
            <w:r w:rsidR="00702ACF">
              <w:rPr>
                <w:rFonts w:ascii="Arial" w:hAnsi="Arial" w:cs="Arial"/>
              </w:rPr>
              <w:t xml:space="preserve">, </w:t>
            </w:r>
            <w:r w:rsidR="00702ACF" w:rsidRPr="00857C47">
              <w:t>tādēļ</w:t>
            </w:r>
            <w:r w:rsidR="00702ACF">
              <w:t xml:space="preserve"> arī likumprojektā iekļautā prasība par 20 dienām, kas pavadītas apmācībā un dienesta uzdevumu izpildē, veicinās darbinieku – zemessargu aktīvāku iekļaušanos mācībās un dienesta uzdevumu izpildē. </w:t>
            </w:r>
          </w:p>
          <w:p w:rsidR="0094267E" w:rsidRPr="00A02BD5" w:rsidRDefault="00365988" w:rsidP="0094267E">
            <w:pPr>
              <w:jc w:val="both"/>
            </w:pPr>
            <w:r w:rsidRPr="00C911F6">
              <w:t>Lai ieviestu šādu uzņēmēju stimulēšanas un atbalsta veidu – izšķirošo iepirkuma kritēriju, ir nepieciešami grozījumi Publisko iepirkumu likumā.</w:t>
            </w:r>
          </w:p>
        </w:tc>
      </w:tr>
      <w:tr w:rsidR="00365988" w:rsidRPr="00764F9D" w:rsidTr="00365988">
        <w:tc>
          <w:tcPr>
            <w:tcW w:w="311" w:type="pct"/>
            <w:tcBorders>
              <w:top w:val="outset" w:sz="6" w:space="0" w:color="414142"/>
              <w:left w:val="outset" w:sz="6" w:space="0" w:color="414142"/>
              <w:bottom w:val="outset" w:sz="6" w:space="0" w:color="414142"/>
              <w:right w:val="outset" w:sz="6" w:space="0" w:color="414142"/>
            </w:tcBorders>
            <w:hideMark/>
          </w:tcPr>
          <w:p w:rsidR="00365988" w:rsidRPr="00764F9D" w:rsidRDefault="00365988" w:rsidP="00BD5C84">
            <w:pPr>
              <w:spacing w:before="100" w:beforeAutospacing="1" w:after="100" w:afterAutospacing="1" w:line="360" w:lineRule="auto"/>
              <w:jc w:val="center"/>
              <w:rPr>
                <w:color w:val="414142"/>
              </w:rPr>
            </w:pPr>
            <w:r w:rsidRPr="00764F9D">
              <w:rPr>
                <w:color w:val="414142"/>
              </w:rPr>
              <w:lastRenderedPageBreak/>
              <w:t>3.</w:t>
            </w:r>
          </w:p>
        </w:tc>
        <w:tc>
          <w:tcPr>
            <w:tcW w:w="1695" w:type="pct"/>
            <w:tcBorders>
              <w:top w:val="outset" w:sz="6" w:space="0" w:color="414142"/>
              <w:left w:val="outset" w:sz="6" w:space="0" w:color="414142"/>
              <w:bottom w:val="outset" w:sz="6" w:space="0" w:color="414142"/>
              <w:right w:val="outset" w:sz="6" w:space="0" w:color="414142"/>
            </w:tcBorders>
            <w:hideMark/>
          </w:tcPr>
          <w:p w:rsidR="00365988" w:rsidRPr="00764F9D" w:rsidRDefault="00365988" w:rsidP="00365988">
            <w:pPr>
              <w:rPr>
                <w:color w:val="414142"/>
              </w:rPr>
            </w:pPr>
            <w:r w:rsidRPr="00764F9D">
              <w:rPr>
                <w:color w:val="414142"/>
              </w:rPr>
              <w:t>Projekta izstrādē iesaistītās institūcijas un publiskas personas kapitālsabiedrības</w:t>
            </w:r>
          </w:p>
        </w:tc>
        <w:tc>
          <w:tcPr>
            <w:tcW w:w="2994" w:type="pct"/>
            <w:tcBorders>
              <w:top w:val="outset" w:sz="6" w:space="0" w:color="414142"/>
              <w:left w:val="outset" w:sz="6" w:space="0" w:color="414142"/>
              <w:bottom w:val="outset" w:sz="6" w:space="0" w:color="414142"/>
              <w:right w:val="outset" w:sz="6" w:space="0" w:color="414142"/>
            </w:tcBorders>
            <w:hideMark/>
          </w:tcPr>
          <w:p w:rsidR="00365988" w:rsidRDefault="00365988" w:rsidP="00365988">
            <w:pPr>
              <w:jc w:val="both"/>
            </w:pPr>
            <w:r>
              <w:t>Ai</w:t>
            </w:r>
            <w:r w:rsidR="003D0648">
              <w:t>zsardzības ministrija projekta 2</w:t>
            </w:r>
            <w:r>
              <w:t>.punktu izstrādāja</w:t>
            </w:r>
            <w:r w:rsidRPr="00E74448">
              <w:t xml:space="preserve"> sadarbībā ar Nacionālajiem bruņotajiem spēkiem </w:t>
            </w:r>
            <w:r>
              <w:t xml:space="preserve">(turpmāk – NBS) </w:t>
            </w:r>
            <w:r w:rsidRPr="00E74448">
              <w:t xml:space="preserve">un Latvijas Darba devēju konfederāciju, konsultējoties ar Finanšu ministriju. </w:t>
            </w:r>
            <w:r>
              <w:t>Zemkopības ministrija piedalījās grozījumu projekta 1.punktā izstrādē.</w:t>
            </w:r>
          </w:p>
          <w:p w:rsidR="00365988" w:rsidRPr="00E74448" w:rsidRDefault="00365988" w:rsidP="00365988">
            <w:pPr>
              <w:jc w:val="both"/>
            </w:pPr>
          </w:p>
        </w:tc>
      </w:tr>
      <w:tr w:rsidR="00365988" w:rsidRPr="00764F9D" w:rsidTr="00365988">
        <w:tc>
          <w:tcPr>
            <w:tcW w:w="311" w:type="pct"/>
            <w:tcBorders>
              <w:top w:val="outset" w:sz="6" w:space="0" w:color="414142"/>
              <w:left w:val="outset" w:sz="6" w:space="0" w:color="414142"/>
              <w:bottom w:val="outset" w:sz="6" w:space="0" w:color="414142"/>
              <w:right w:val="outset" w:sz="6" w:space="0" w:color="414142"/>
            </w:tcBorders>
            <w:hideMark/>
          </w:tcPr>
          <w:p w:rsidR="00365988" w:rsidRPr="00764F9D" w:rsidRDefault="00365988" w:rsidP="00BD5C84">
            <w:pPr>
              <w:spacing w:before="100" w:beforeAutospacing="1" w:after="100" w:afterAutospacing="1" w:line="360" w:lineRule="auto"/>
              <w:jc w:val="center"/>
              <w:rPr>
                <w:color w:val="414142"/>
              </w:rPr>
            </w:pPr>
            <w:r w:rsidRPr="00764F9D">
              <w:rPr>
                <w:color w:val="414142"/>
              </w:rPr>
              <w:t>4.</w:t>
            </w:r>
          </w:p>
        </w:tc>
        <w:tc>
          <w:tcPr>
            <w:tcW w:w="1695" w:type="pct"/>
            <w:tcBorders>
              <w:top w:val="outset" w:sz="6" w:space="0" w:color="414142"/>
              <w:left w:val="outset" w:sz="6" w:space="0" w:color="414142"/>
              <w:bottom w:val="outset" w:sz="6" w:space="0" w:color="414142"/>
              <w:right w:val="outset" w:sz="6" w:space="0" w:color="414142"/>
            </w:tcBorders>
            <w:hideMark/>
          </w:tcPr>
          <w:p w:rsidR="00365988" w:rsidRPr="00764F9D" w:rsidRDefault="00365988" w:rsidP="00365988">
            <w:pPr>
              <w:rPr>
                <w:color w:val="414142"/>
              </w:rPr>
            </w:pPr>
            <w:r w:rsidRPr="00764F9D">
              <w:rPr>
                <w:color w:val="414142"/>
              </w:rPr>
              <w:t>Cita informācija</w:t>
            </w:r>
          </w:p>
        </w:tc>
        <w:tc>
          <w:tcPr>
            <w:tcW w:w="2994" w:type="pct"/>
            <w:tcBorders>
              <w:top w:val="outset" w:sz="6" w:space="0" w:color="414142"/>
              <w:left w:val="outset" w:sz="6" w:space="0" w:color="414142"/>
              <w:bottom w:val="outset" w:sz="6" w:space="0" w:color="414142"/>
              <w:right w:val="outset" w:sz="6" w:space="0" w:color="414142"/>
            </w:tcBorders>
            <w:hideMark/>
          </w:tcPr>
          <w:p w:rsidR="00365988" w:rsidRDefault="00365988" w:rsidP="00365988">
            <w:pPr>
              <w:jc w:val="both"/>
            </w:pPr>
            <w:r>
              <w:t>Jautājums par izšķirošā piedāvājuma izvēles kritēriju tika vairākkārt apspriests saskaņošanas sanāksmju laikā ar iesaistītajām ministrijām un Valsts kontroli, gatavojot i</w:t>
            </w:r>
            <w:r w:rsidRPr="00A02BD5">
              <w:t>nformatīv</w:t>
            </w:r>
            <w:r>
              <w:t>o ziņojumu</w:t>
            </w:r>
            <w:r w:rsidRPr="00A02BD5">
              <w:t xml:space="preserve"> </w:t>
            </w:r>
            <w:r w:rsidRPr="00A02BD5">
              <w:lastRenderedPageBreak/>
              <w:t>“Par valdība</w:t>
            </w:r>
            <w:r>
              <w:t>s rīcības plāna 2016. gadam 77.</w:t>
            </w:r>
            <w:r w:rsidRPr="00A02BD5">
              <w:t>punkta “Izstrādāt priekšlikumus ekonomiskajiem stimuliem uzņēmējiem, lai motivētu viņu darbinieku regulāru piedalīšanos Zemessardzes mā</w:t>
            </w:r>
            <w:r>
              <w:t>cībās” izpildes organizēšanu””.</w:t>
            </w:r>
          </w:p>
          <w:p w:rsidR="00365988" w:rsidRPr="00E74448" w:rsidRDefault="00365988" w:rsidP="00365988">
            <w:pPr>
              <w:jc w:val="both"/>
            </w:pPr>
          </w:p>
        </w:tc>
      </w:tr>
    </w:tbl>
    <w:p w:rsidR="002F4CC6" w:rsidRPr="00A02BD5" w:rsidRDefault="002F4CC6" w:rsidP="00B763AD">
      <w:pPr>
        <w:shd w:val="clear" w:color="auto" w:fill="FFFFFF"/>
        <w:spacing w:before="130" w:line="260" w:lineRule="exact"/>
        <w:jc w:val="center"/>
        <w:rPr>
          <w:b/>
          <w:bCs/>
        </w:rPr>
      </w:pPr>
    </w:p>
    <w:p w:rsidR="00BD5588" w:rsidRPr="002D7166" w:rsidRDefault="00BD5588" w:rsidP="00BD5588">
      <w:pPr>
        <w:pStyle w:val="Title"/>
        <w:spacing w:before="130" w:line="260" w:lineRule="exact"/>
        <w:ind w:firstLine="539"/>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BD5588" w:rsidRPr="001B5BEF" w:rsidTr="00E74448">
        <w:trPr>
          <w:cantSplit/>
        </w:trPr>
        <w:tc>
          <w:tcPr>
            <w:tcW w:w="5000" w:type="pct"/>
            <w:gridSpan w:val="3"/>
            <w:vAlign w:val="center"/>
            <w:hideMark/>
          </w:tcPr>
          <w:p w:rsidR="00BD5588" w:rsidRPr="001B5BEF" w:rsidRDefault="00BD5588" w:rsidP="00E74448">
            <w:pPr>
              <w:jc w:val="center"/>
              <w:rPr>
                <w:b/>
                <w:bCs/>
              </w:rPr>
            </w:pPr>
            <w:r w:rsidRPr="001B5BEF">
              <w:rPr>
                <w:b/>
                <w:bCs/>
              </w:rPr>
              <w:t>II. Tiesību akta projekta ietekme uz sabiedrību, tautsaimniecības attīstību un administratīvo slogu</w:t>
            </w:r>
          </w:p>
        </w:tc>
      </w:tr>
      <w:tr w:rsidR="00BD5588" w:rsidRPr="001B5BEF" w:rsidTr="00E74448">
        <w:trPr>
          <w:cantSplit/>
        </w:trPr>
        <w:tc>
          <w:tcPr>
            <w:tcW w:w="311" w:type="pct"/>
            <w:hideMark/>
          </w:tcPr>
          <w:p w:rsidR="00BD5588" w:rsidRPr="001B5BEF" w:rsidRDefault="00BD5588" w:rsidP="00E74448">
            <w:pPr>
              <w:jc w:val="center"/>
            </w:pPr>
            <w:r w:rsidRPr="001B5BEF">
              <w:t>1.</w:t>
            </w:r>
          </w:p>
        </w:tc>
        <w:tc>
          <w:tcPr>
            <w:tcW w:w="1479" w:type="pct"/>
            <w:hideMark/>
          </w:tcPr>
          <w:p w:rsidR="00BD5588" w:rsidRPr="001B5BEF" w:rsidRDefault="00BD5588" w:rsidP="00E74448">
            <w:r w:rsidRPr="001B5BEF">
              <w:t>Sabiedrības mērķgrupas, kuras tiesiskais regulējums ietekmē vai varētu ietekmēt</w:t>
            </w:r>
          </w:p>
        </w:tc>
        <w:tc>
          <w:tcPr>
            <w:tcW w:w="3210" w:type="pct"/>
            <w:hideMark/>
          </w:tcPr>
          <w:p w:rsidR="00BD5588" w:rsidRPr="001B5BEF" w:rsidRDefault="004A08DD" w:rsidP="004A08DD">
            <w:pPr>
              <w:jc w:val="both"/>
            </w:pPr>
            <w:r>
              <w:t>Komersanti</w:t>
            </w:r>
            <w:r w:rsidR="001B5BEF" w:rsidRPr="001B5BEF">
              <w:t>, kuri piedalās publisk</w:t>
            </w:r>
            <w:r w:rsidR="001B5BEF">
              <w:t>aj</w:t>
            </w:r>
            <w:r w:rsidR="001B5BEF" w:rsidRPr="001B5BEF">
              <w:t xml:space="preserve">os iepirkumos, </w:t>
            </w:r>
            <w:r w:rsidR="001B5BEF">
              <w:t>kuros iepirkuma</w:t>
            </w:r>
            <w:r w:rsidR="001B5BEF" w:rsidRPr="001B5BEF">
              <w:t xml:space="preserve"> priekšmets ir sasaistāms ar valsts aizsardzību, un kuri nodarbina darbiniekus zemessargus</w:t>
            </w:r>
            <w:r>
              <w:t>, Zemessardze</w:t>
            </w:r>
            <w:r w:rsidR="001B5BEF" w:rsidRPr="001B5BEF">
              <w:t xml:space="preserve">. </w:t>
            </w:r>
          </w:p>
        </w:tc>
      </w:tr>
      <w:tr w:rsidR="00BD5588" w:rsidRPr="001B5BEF" w:rsidTr="00E74448">
        <w:trPr>
          <w:cantSplit/>
        </w:trPr>
        <w:tc>
          <w:tcPr>
            <w:tcW w:w="311" w:type="pct"/>
            <w:hideMark/>
          </w:tcPr>
          <w:p w:rsidR="00BD5588" w:rsidRPr="001B5BEF" w:rsidRDefault="00BD5588" w:rsidP="00E74448">
            <w:pPr>
              <w:jc w:val="center"/>
            </w:pPr>
            <w:r w:rsidRPr="001B5BEF">
              <w:t>2.</w:t>
            </w:r>
          </w:p>
        </w:tc>
        <w:tc>
          <w:tcPr>
            <w:tcW w:w="1479" w:type="pct"/>
            <w:hideMark/>
          </w:tcPr>
          <w:p w:rsidR="00BD5588" w:rsidRPr="001B5BEF" w:rsidRDefault="00BD5588" w:rsidP="00E74448">
            <w:r w:rsidRPr="001B5BEF">
              <w:t>Tiesiskā regulējuma ietekme uz tautsaimniecību un administratīvo slogu</w:t>
            </w:r>
          </w:p>
        </w:tc>
        <w:tc>
          <w:tcPr>
            <w:tcW w:w="3210" w:type="pct"/>
            <w:hideMark/>
          </w:tcPr>
          <w:p w:rsidR="00BD5588" w:rsidRDefault="001B5BEF" w:rsidP="001B5BEF">
            <w:pPr>
              <w:jc w:val="both"/>
            </w:pPr>
            <w:r>
              <w:t xml:space="preserve">Gadījumā, ja </w:t>
            </w:r>
            <w:r w:rsidRPr="00864457">
              <w:t xml:space="preserve">divu </w:t>
            </w:r>
            <w:r>
              <w:t xml:space="preserve">komersantu </w:t>
            </w:r>
            <w:r w:rsidRPr="00864457">
              <w:t>piedāvājumu novērtējums ir vienāds</w:t>
            </w:r>
            <w:r>
              <w:t xml:space="preserve">, regulējums dos iespēju iegūt pasūtījumu komersantam, kurš nodarbina darbiniekus zemessargus,  ja tiek izpildīts nosacījums – </w:t>
            </w:r>
            <w:r w:rsidRPr="005E3EC8">
              <w:t xml:space="preserve"> zemessarga dalība </w:t>
            </w:r>
            <w:r>
              <w:t xml:space="preserve">militārajās mācībās </w:t>
            </w:r>
            <w:r w:rsidRPr="005E3EC8">
              <w:t xml:space="preserve">gada laikā vismaz </w:t>
            </w:r>
            <w:r w:rsidRPr="008A56B9">
              <w:rPr>
                <w:bCs/>
              </w:rPr>
              <w:t>2</w:t>
            </w:r>
            <w:r w:rsidRPr="00756F98">
              <w:rPr>
                <w:bCs/>
              </w:rPr>
              <w:t>0 dienas</w:t>
            </w:r>
            <w:r w:rsidRPr="00756F98">
              <w:t>,</w:t>
            </w:r>
            <w:r>
              <w:t xml:space="preserve"> no tām </w:t>
            </w:r>
            <w:r w:rsidRPr="005E3EC8">
              <w:t xml:space="preserve">kolektīvajās mācībās </w:t>
            </w:r>
            <w:r>
              <w:t xml:space="preserve">– </w:t>
            </w:r>
            <w:r w:rsidRPr="00756F98">
              <w:rPr>
                <w:bCs/>
              </w:rPr>
              <w:t>5 darba</w:t>
            </w:r>
            <w:r w:rsidRPr="00756F98">
              <w:t>dienas.</w:t>
            </w:r>
          </w:p>
          <w:p w:rsidR="001B5BEF" w:rsidRPr="001B5BEF" w:rsidRDefault="001B5BEF" w:rsidP="001B5BEF">
            <w:pPr>
              <w:jc w:val="both"/>
            </w:pPr>
            <w:r>
              <w:t>Administratīvais slogs palielināsies Zemessardzes vienībās, jo uzskaitot zemessargu dalību mācībās, būs jāuzskaita arī viņu dalība kolektīvajās mācībās darbadienās</w:t>
            </w:r>
            <w:r w:rsidR="00647E23">
              <w:t xml:space="preserve"> un jāsagatavo attiecīgā informācija pēc komersantu pieprasījuma</w:t>
            </w:r>
            <w:r>
              <w:t xml:space="preserve">. </w:t>
            </w:r>
          </w:p>
        </w:tc>
      </w:tr>
      <w:tr w:rsidR="00F32EB1" w:rsidRPr="001B5BEF" w:rsidTr="00E74448">
        <w:trPr>
          <w:cantSplit/>
        </w:trPr>
        <w:tc>
          <w:tcPr>
            <w:tcW w:w="311" w:type="pct"/>
            <w:hideMark/>
          </w:tcPr>
          <w:p w:rsidR="00F32EB1" w:rsidRPr="001B5BEF" w:rsidRDefault="00F32EB1" w:rsidP="00F32EB1">
            <w:pPr>
              <w:jc w:val="center"/>
            </w:pPr>
            <w:r w:rsidRPr="001B5BEF">
              <w:t>3.</w:t>
            </w:r>
          </w:p>
        </w:tc>
        <w:tc>
          <w:tcPr>
            <w:tcW w:w="1479" w:type="pct"/>
            <w:hideMark/>
          </w:tcPr>
          <w:p w:rsidR="00F32EB1" w:rsidRPr="001B5BEF" w:rsidRDefault="00F32EB1" w:rsidP="00F32EB1">
            <w:r w:rsidRPr="001B5BEF">
              <w:t>Administratīvo izmaksu monetārs novērtējums</w:t>
            </w:r>
          </w:p>
        </w:tc>
        <w:tc>
          <w:tcPr>
            <w:tcW w:w="3210" w:type="pct"/>
            <w:hideMark/>
          </w:tcPr>
          <w:p w:rsidR="00F32EB1" w:rsidRPr="001B60C4" w:rsidRDefault="00F32EB1" w:rsidP="00F32EB1">
            <w:pPr>
              <w:rPr>
                <w:iCs/>
              </w:rPr>
            </w:pPr>
            <w:r w:rsidRPr="001B60C4">
              <w:t>Projekts šo jomu neskar.</w:t>
            </w:r>
          </w:p>
        </w:tc>
      </w:tr>
      <w:tr w:rsidR="00F32EB1" w:rsidRPr="001B5BEF" w:rsidTr="00E74448">
        <w:trPr>
          <w:cantSplit/>
        </w:trPr>
        <w:tc>
          <w:tcPr>
            <w:tcW w:w="311" w:type="pct"/>
            <w:hideMark/>
          </w:tcPr>
          <w:p w:rsidR="00F32EB1" w:rsidRPr="001B5BEF" w:rsidRDefault="00F32EB1" w:rsidP="00F32EB1">
            <w:pPr>
              <w:jc w:val="center"/>
            </w:pPr>
            <w:r w:rsidRPr="001B5BEF">
              <w:t>4.</w:t>
            </w:r>
          </w:p>
        </w:tc>
        <w:tc>
          <w:tcPr>
            <w:tcW w:w="1479" w:type="pct"/>
            <w:hideMark/>
          </w:tcPr>
          <w:p w:rsidR="00F32EB1" w:rsidRPr="001B5BEF" w:rsidRDefault="00F32EB1" w:rsidP="00F32EB1">
            <w:r w:rsidRPr="001B5BEF">
              <w:t>Atbilstības izmaksu monetārs novērtējums</w:t>
            </w:r>
          </w:p>
        </w:tc>
        <w:tc>
          <w:tcPr>
            <w:tcW w:w="3210" w:type="pct"/>
            <w:hideMark/>
          </w:tcPr>
          <w:p w:rsidR="00F32EB1" w:rsidRPr="001B60C4" w:rsidRDefault="00F32EB1" w:rsidP="00F32EB1">
            <w:pPr>
              <w:rPr>
                <w:iCs/>
              </w:rPr>
            </w:pPr>
            <w:r w:rsidRPr="001B60C4">
              <w:t>Projekts šo jomu neskar.</w:t>
            </w:r>
          </w:p>
        </w:tc>
      </w:tr>
      <w:tr w:rsidR="00F32EB1" w:rsidRPr="001B5BEF" w:rsidTr="00E74448">
        <w:trPr>
          <w:cantSplit/>
        </w:trPr>
        <w:tc>
          <w:tcPr>
            <w:tcW w:w="311" w:type="pct"/>
            <w:hideMark/>
          </w:tcPr>
          <w:p w:rsidR="00F32EB1" w:rsidRPr="001B5BEF" w:rsidRDefault="00F32EB1" w:rsidP="00F32EB1">
            <w:pPr>
              <w:jc w:val="center"/>
            </w:pPr>
            <w:r w:rsidRPr="001B5BEF">
              <w:t>5.</w:t>
            </w:r>
          </w:p>
        </w:tc>
        <w:tc>
          <w:tcPr>
            <w:tcW w:w="1479" w:type="pct"/>
            <w:hideMark/>
          </w:tcPr>
          <w:p w:rsidR="00F32EB1" w:rsidRPr="001B5BEF" w:rsidRDefault="00F32EB1" w:rsidP="00F32EB1">
            <w:r w:rsidRPr="001B5BEF">
              <w:t>Cita informācija</w:t>
            </w:r>
          </w:p>
        </w:tc>
        <w:tc>
          <w:tcPr>
            <w:tcW w:w="3210" w:type="pct"/>
            <w:hideMark/>
          </w:tcPr>
          <w:p w:rsidR="00F32EB1" w:rsidRPr="001B5BEF" w:rsidRDefault="00F32EB1" w:rsidP="00F32EB1">
            <w:r>
              <w:t>Nav.</w:t>
            </w:r>
          </w:p>
          <w:p w:rsidR="00F32EB1" w:rsidRPr="001B5BEF" w:rsidRDefault="00F32EB1" w:rsidP="00F32EB1"/>
        </w:tc>
      </w:tr>
    </w:tbl>
    <w:p w:rsidR="00BD5588" w:rsidRPr="002D7166" w:rsidRDefault="00BD5588" w:rsidP="00BD5588">
      <w:pPr>
        <w:pStyle w:val="Title"/>
        <w:spacing w:before="130" w:line="260" w:lineRule="exact"/>
        <w:ind w:firstLine="539"/>
        <w:jc w:val="both"/>
        <w:rPr>
          <w:rFonts w:ascii="Cambria" w:hAnsi="Cambria"/>
          <w:sz w:val="19"/>
          <w:szCs w:val="19"/>
        </w:rPr>
      </w:pPr>
    </w:p>
    <w:tbl>
      <w:tblPr>
        <w:tblpPr w:leftFromText="180" w:rightFromText="180" w:vertAnchor="text" w:horzAnchor="margin" w:tblpY="75"/>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24"/>
        <w:gridCol w:w="2441"/>
        <w:gridCol w:w="5334"/>
      </w:tblGrid>
      <w:tr w:rsidR="00F66803" w:rsidRPr="008A56B9" w:rsidTr="00F66803">
        <w:trPr>
          <w:cantSplit/>
        </w:trPr>
        <w:tc>
          <w:tcPr>
            <w:tcW w:w="8299" w:type="dxa"/>
            <w:gridSpan w:val="3"/>
            <w:shd w:val="clear" w:color="auto" w:fill="auto"/>
            <w:vAlign w:val="center"/>
            <w:hideMark/>
          </w:tcPr>
          <w:p w:rsidR="00F66803" w:rsidRPr="008A56B9" w:rsidRDefault="00F66803" w:rsidP="00F66803">
            <w:pPr>
              <w:jc w:val="center"/>
              <w:rPr>
                <w:b/>
                <w:bCs/>
                <w:lang w:eastAsia="en-US"/>
              </w:rPr>
            </w:pPr>
            <w:r w:rsidRPr="008A56B9">
              <w:rPr>
                <w:b/>
                <w:bCs/>
                <w:lang w:eastAsia="en-US"/>
              </w:rPr>
              <w:t>III. Tiesību akta projekta ietekme uz valsts budžetu un pašvaldību budžetiem</w:t>
            </w:r>
          </w:p>
        </w:tc>
      </w:tr>
      <w:tr w:rsidR="00F66803" w:rsidRPr="008A56B9" w:rsidTr="00F66803">
        <w:trPr>
          <w:cantSplit/>
        </w:trPr>
        <w:tc>
          <w:tcPr>
            <w:tcW w:w="8299" w:type="dxa"/>
            <w:gridSpan w:val="3"/>
            <w:shd w:val="clear" w:color="auto" w:fill="auto"/>
            <w:hideMark/>
          </w:tcPr>
          <w:p w:rsidR="00F66803" w:rsidRPr="001B60C4" w:rsidRDefault="00F66803" w:rsidP="00F66803">
            <w:pPr>
              <w:jc w:val="center"/>
              <w:rPr>
                <w:iCs/>
              </w:rPr>
            </w:pPr>
            <w:r w:rsidRPr="001B60C4">
              <w:t>Projekts šo jomu neskar.</w:t>
            </w:r>
          </w:p>
        </w:tc>
      </w:tr>
      <w:tr w:rsidR="00F66803" w:rsidRPr="008A56B9" w:rsidTr="00F66803">
        <w:tblPrEx>
          <w:tblCellMar>
            <w:top w:w="30" w:type="dxa"/>
            <w:left w:w="30" w:type="dxa"/>
            <w:bottom w:w="30" w:type="dxa"/>
            <w:right w:w="30" w:type="dxa"/>
          </w:tblCellMar>
        </w:tblPrEx>
        <w:trPr>
          <w:cantSplit/>
        </w:trPr>
        <w:tc>
          <w:tcPr>
            <w:tcW w:w="8299" w:type="dxa"/>
            <w:gridSpan w:val="3"/>
            <w:vAlign w:val="center"/>
            <w:hideMark/>
          </w:tcPr>
          <w:p w:rsidR="00F66803" w:rsidRPr="008A56B9" w:rsidRDefault="00F66803" w:rsidP="00F66803">
            <w:pPr>
              <w:jc w:val="center"/>
              <w:rPr>
                <w:b/>
                <w:bCs/>
              </w:rPr>
            </w:pPr>
            <w:r w:rsidRPr="008A56B9">
              <w:rPr>
                <w:b/>
                <w:bCs/>
              </w:rPr>
              <w:t>IV. Tiesību akta projekta ietekme uz spēkā esošo tiesību normu sistēmu</w:t>
            </w:r>
          </w:p>
        </w:tc>
      </w:tr>
      <w:tr w:rsidR="00F66803" w:rsidRPr="008A56B9" w:rsidTr="00F66803">
        <w:tblPrEx>
          <w:tblCellMar>
            <w:top w:w="30" w:type="dxa"/>
            <w:left w:w="30" w:type="dxa"/>
            <w:bottom w:w="30" w:type="dxa"/>
            <w:right w:w="30" w:type="dxa"/>
          </w:tblCellMar>
        </w:tblPrEx>
        <w:trPr>
          <w:cantSplit/>
        </w:trPr>
        <w:tc>
          <w:tcPr>
            <w:tcW w:w="524" w:type="dxa"/>
            <w:hideMark/>
          </w:tcPr>
          <w:p w:rsidR="00F66803" w:rsidRPr="008A56B9" w:rsidRDefault="00F66803" w:rsidP="00F66803">
            <w:pPr>
              <w:jc w:val="center"/>
            </w:pPr>
            <w:r w:rsidRPr="008A56B9">
              <w:t>1.</w:t>
            </w:r>
          </w:p>
        </w:tc>
        <w:tc>
          <w:tcPr>
            <w:tcW w:w="2441" w:type="dxa"/>
            <w:hideMark/>
          </w:tcPr>
          <w:p w:rsidR="00F66803" w:rsidRPr="008A56B9" w:rsidRDefault="00F66803" w:rsidP="00F66803">
            <w:r w:rsidRPr="008A56B9">
              <w:t>Saistītie tiesību aktu projekti</w:t>
            </w:r>
          </w:p>
        </w:tc>
        <w:tc>
          <w:tcPr>
            <w:tcW w:w="5334" w:type="dxa"/>
          </w:tcPr>
          <w:p w:rsidR="00F66803" w:rsidRPr="008A56B9" w:rsidRDefault="00F66803" w:rsidP="00F66803">
            <w:r>
              <w:t>Nav.</w:t>
            </w:r>
          </w:p>
        </w:tc>
      </w:tr>
      <w:tr w:rsidR="00F66803" w:rsidRPr="008A56B9" w:rsidTr="00F66803">
        <w:tblPrEx>
          <w:tblCellMar>
            <w:top w:w="30" w:type="dxa"/>
            <w:left w:w="30" w:type="dxa"/>
            <w:bottom w:w="30" w:type="dxa"/>
            <w:right w:w="30" w:type="dxa"/>
          </w:tblCellMar>
        </w:tblPrEx>
        <w:trPr>
          <w:cantSplit/>
        </w:trPr>
        <w:tc>
          <w:tcPr>
            <w:tcW w:w="524" w:type="dxa"/>
            <w:hideMark/>
          </w:tcPr>
          <w:p w:rsidR="00F66803" w:rsidRPr="008A56B9" w:rsidRDefault="00F66803" w:rsidP="00F66803">
            <w:pPr>
              <w:jc w:val="center"/>
            </w:pPr>
            <w:r w:rsidRPr="008A56B9">
              <w:t>2.</w:t>
            </w:r>
          </w:p>
        </w:tc>
        <w:tc>
          <w:tcPr>
            <w:tcW w:w="2441" w:type="dxa"/>
            <w:hideMark/>
          </w:tcPr>
          <w:p w:rsidR="00F66803" w:rsidRPr="008A56B9" w:rsidRDefault="00F66803" w:rsidP="00F66803">
            <w:r w:rsidRPr="008A56B9">
              <w:t>Atbildīgā institūcija</w:t>
            </w:r>
          </w:p>
        </w:tc>
        <w:tc>
          <w:tcPr>
            <w:tcW w:w="5334" w:type="dxa"/>
            <w:hideMark/>
          </w:tcPr>
          <w:p w:rsidR="00F66803" w:rsidRPr="008A56B9" w:rsidRDefault="00F66803" w:rsidP="00F66803">
            <w:r>
              <w:t>Nav.</w:t>
            </w:r>
          </w:p>
        </w:tc>
      </w:tr>
      <w:tr w:rsidR="00F66803" w:rsidRPr="008A56B9" w:rsidTr="00F66803">
        <w:tblPrEx>
          <w:tblCellMar>
            <w:top w:w="30" w:type="dxa"/>
            <w:left w:w="30" w:type="dxa"/>
            <w:bottom w:w="30" w:type="dxa"/>
            <w:right w:w="30" w:type="dxa"/>
          </w:tblCellMar>
        </w:tblPrEx>
        <w:trPr>
          <w:cantSplit/>
        </w:trPr>
        <w:tc>
          <w:tcPr>
            <w:tcW w:w="524" w:type="dxa"/>
            <w:hideMark/>
          </w:tcPr>
          <w:p w:rsidR="00F66803" w:rsidRPr="008A56B9" w:rsidRDefault="00F66803" w:rsidP="00F66803">
            <w:pPr>
              <w:jc w:val="center"/>
            </w:pPr>
            <w:r w:rsidRPr="008A56B9">
              <w:t>3.</w:t>
            </w:r>
          </w:p>
        </w:tc>
        <w:tc>
          <w:tcPr>
            <w:tcW w:w="2441" w:type="dxa"/>
            <w:hideMark/>
          </w:tcPr>
          <w:p w:rsidR="00F66803" w:rsidRPr="008A56B9" w:rsidRDefault="00F66803" w:rsidP="00F66803">
            <w:r w:rsidRPr="008A56B9">
              <w:t>Cita informācija</w:t>
            </w:r>
          </w:p>
        </w:tc>
        <w:tc>
          <w:tcPr>
            <w:tcW w:w="5334" w:type="dxa"/>
            <w:hideMark/>
          </w:tcPr>
          <w:p w:rsidR="00F66803" w:rsidRDefault="00F66803" w:rsidP="00B9007E">
            <w:r w:rsidRPr="008A56B9">
              <w:t xml:space="preserve">Līdzīgs regulējums </w:t>
            </w:r>
            <w:r w:rsidR="00B9007E">
              <w:t xml:space="preserve">par izšķirošo piedāvājuma izvēles kritēriju  </w:t>
            </w:r>
            <w:r w:rsidRPr="008A56B9">
              <w:t>ir sagatavots iekļaušanai Aizsardzības un drošības jomas iepirkumu likumā</w:t>
            </w:r>
            <w:r>
              <w:t>.</w:t>
            </w:r>
          </w:p>
          <w:p w:rsidR="00665F2F" w:rsidRPr="008A56B9" w:rsidRDefault="00665F2F" w:rsidP="00B9007E"/>
        </w:tc>
      </w:tr>
    </w:tbl>
    <w:p w:rsidR="00BD5588" w:rsidRPr="002D7166" w:rsidRDefault="00BD5588" w:rsidP="00BD5588">
      <w:pPr>
        <w:pStyle w:val="Title"/>
        <w:spacing w:before="130" w:line="260" w:lineRule="exact"/>
        <w:ind w:firstLine="539"/>
        <w:jc w:val="both"/>
        <w:rPr>
          <w:rFonts w:ascii="Cambria" w:hAnsi="Cambria"/>
          <w:sz w:val="19"/>
          <w:szCs w:val="19"/>
        </w:rPr>
      </w:pPr>
    </w:p>
    <w:tbl>
      <w:tblPr>
        <w:tblpPr w:leftFromText="180" w:rightFromText="180" w:vertAnchor="text" w:horzAnchor="margin" w:tblpY="2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296"/>
      </w:tblGrid>
      <w:tr w:rsidR="00664312" w:rsidRPr="00AF7679" w:rsidTr="00664312">
        <w:trPr>
          <w:cantSplit/>
        </w:trPr>
        <w:tc>
          <w:tcPr>
            <w:tcW w:w="5000" w:type="pct"/>
            <w:vAlign w:val="center"/>
            <w:hideMark/>
          </w:tcPr>
          <w:p w:rsidR="00664312" w:rsidRPr="00AF7679" w:rsidRDefault="00664312" w:rsidP="00664312">
            <w:pPr>
              <w:jc w:val="center"/>
              <w:rPr>
                <w:b/>
                <w:bCs/>
              </w:rPr>
            </w:pPr>
            <w:r w:rsidRPr="00AF7679">
              <w:rPr>
                <w:b/>
                <w:bCs/>
              </w:rPr>
              <w:lastRenderedPageBreak/>
              <w:t>V. Tiesību akta projekta atbilstība Latvijas Republikas starptautiskajām saistībām</w:t>
            </w:r>
          </w:p>
        </w:tc>
      </w:tr>
      <w:tr w:rsidR="00664312" w:rsidRPr="00AF7679" w:rsidTr="00664312">
        <w:trPr>
          <w:cantSplit/>
        </w:trPr>
        <w:tc>
          <w:tcPr>
            <w:tcW w:w="5000" w:type="pct"/>
          </w:tcPr>
          <w:p w:rsidR="00664312" w:rsidRPr="00AF7679" w:rsidRDefault="00664312" w:rsidP="00664312">
            <w:r w:rsidRPr="00667870">
              <w:rPr>
                <w:bCs/>
                <w:iCs/>
              </w:rPr>
              <w:t>Projekts šo jomu neskar</w:t>
            </w:r>
            <w:r w:rsidRPr="00AF7679">
              <w:t>.</w:t>
            </w:r>
          </w:p>
        </w:tc>
      </w:tr>
    </w:tbl>
    <w:tbl>
      <w:tblPr>
        <w:tblpPr w:leftFromText="180" w:rightFromText="180" w:vertAnchor="text" w:horzAnchor="margin" w:tblpY="155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665F2F" w:rsidRPr="00F32EB1" w:rsidTr="00665F2F">
        <w:trPr>
          <w:cantSplit/>
        </w:trPr>
        <w:tc>
          <w:tcPr>
            <w:tcW w:w="5000" w:type="pct"/>
            <w:gridSpan w:val="3"/>
            <w:vAlign w:val="center"/>
            <w:hideMark/>
          </w:tcPr>
          <w:p w:rsidR="00665F2F" w:rsidRPr="00F32EB1" w:rsidRDefault="00665F2F" w:rsidP="00665F2F">
            <w:pPr>
              <w:jc w:val="center"/>
              <w:rPr>
                <w:b/>
                <w:bCs/>
              </w:rPr>
            </w:pPr>
            <w:r w:rsidRPr="00F32EB1">
              <w:rPr>
                <w:b/>
                <w:bCs/>
              </w:rPr>
              <w:t>VI. Sabiedrības līdzdalība un komunikācijas aktivitātes</w:t>
            </w:r>
          </w:p>
        </w:tc>
      </w:tr>
      <w:tr w:rsidR="00665F2F" w:rsidRPr="00F32EB1" w:rsidTr="00665F2F">
        <w:trPr>
          <w:cantSplit/>
        </w:trPr>
        <w:tc>
          <w:tcPr>
            <w:tcW w:w="311" w:type="pct"/>
            <w:hideMark/>
          </w:tcPr>
          <w:p w:rsidR="00665F2F" w:rsidRPr="00F32EB1" w:rsidRDefault="00665F2F" w:rsidP="00665F2F">
            <w:pPr>
              <w:jc w:val="center"/>
            </w:pPr>
            <w:r w:rsidRPr="00F32EB1">
              <w:t>1.</w:t>
            </w:r>
          </w:p>
        </w:tc>
        <w:tc>
          <w:tcPr>
            <w:tcW w:w="1479" w:type="pct"/>
            <w:hideMark/>
          </w:tcPr>
          <w:p w:rsidR="00665F2F" w:rsidRPr="00F32EB1" w:rsidRDefault="00665F2F" w:rsidP="00665F2F">
            <w:r w:rsidRPr="00F32EB1">
              <w:t>Plānotās sabiedrības līdzdalības un komunikācijas aktivitātes saistībā ar projektu</w:t>
            </w:r>
          </w:p>
        </w:tc>
        <w:tc>
          <w:tcPr>
            <w:tcW w:w="3210" w:type="pct"/>
            <w:hideMark/>
          </w:tcPr>
          <w:p w:rsidR="00665F2F" w:rsidRPr="00F32EB1" w:rsidRDefault="00665F2F" w:rsidP="00665F2F">
            <w:r>
              <w:t>Projekta 2.punkts sagatavots, sadarbojoties ar Latvijas Darba devēju konfederāciju, caur to informējot komersantus par plānotajiem grozījumiem. Zemessardzes vienības informēs zemessargu darba devējus ar zemessargu starpniecību. Projekts ievietots Aizsardzības ministrijas mājas lapā.</w:t>
            </w:r>
          </w:p>
        </w:tc>
      </w:tr>
      <w:tr w:rsidR="00665F2F" w:rsidRPr="00F32EB1" w:rsidTr="00665F2F">
        <w:trPr>
          <w:cantSplit/>
        </w:trPr>
        <w:tc>
          <w:tcPr>
            <w:tcW w:w="311" w:type="pct"/>
            <w:hideMark/>
          </w:tcPr>
          <w:p w:rsidR="00665F2F" w:rsidRPr="00F32EB1" w:rsidRDefault="00665F2F" w:rsidP="00665F2F">
            <w:pPr>
              <w:jc w:val="center"/>
            </w:pPr>
            <w:r w:rsidRPr="00F32EB1">
              <w:t>2.</w:t>
            </w:r>
          </w:p>
        </w:tc>
        <w:tc>
          <w:tcPr>
            <w:tcW w:w="1479" w:type="pct"/>
            <w:hideMark/>
          </w:tcPr>
          <w:p w:rsidR="00665F2F" w:rsidRPr="00F32EB1" w:rsidRDefault="00665F2F" w:rsidP="00665F2F">
            <w:r w:rsidRPr="00F32EB1">
              <w:t>Sabiedrības līdzdalība projekta izstrādē</w:t>
            </w:r>
          </w:p>
        </w:tc>
        <w:tc>
          <w:tcPr>
            <w:tcW w:w="3210" w:type="pct"/>
            <w:hideMark/>
          </w:tcPr>
          <w:p w:rsidR="00665F2F" w:rsidRPr="00F32EB1" w:rsidRDefault="00665F2F" w:rsidP="00665F2F">
            <w:r>
              <w:t>Nav.</w:t>
            </w:r>
          </w:p>
        </w:tc>
      </w:tr>
      <w:tr w:rsidR="00665F2F" w:rsidRPr="00F32EB1" w:rsidTr="00665F2F">
        <w:trPr>
          <w:cantSplit/>
        </w:trPr>
        <w:tc>
          <w:tcPr>
            <w:tcW w:w="311" w:type="pct"/>
            <w:hideMark/>
          </w:tcPr>
          <w:p w:rsidR="00665F2F" w:rsidRPr="00F32EB1" w:rsidRDefault="00665F2F" w:rsidP="00665F2F">
            <w:pPr>
              <w:jc w:val="center"/>
            </w:pPr>
            <w:r w:rsidRPr="00F32EB1">
              <w:t>3.</w:t>
            </w:r>
          </w:p>
        </w:tc>
        <w:tc>
          <w:tcPr>
            <w:tcW w:w="1479" w:type="pct"/>
            <w:hideMark/>
          </w:tcPr>
          <w:p w:rsidR="00665F2F" w:rsidRPr="00F32EB1" w:rsidRDefault="00665F2F" w:rsidP="00665F2F">
            <w:r w:rsidRPr="00F32EB1">
              <w:t>Sabiedrības līdzdalības rezultāti</w:t>
            </w:r>
          </w:p>
        </w:tc>
        <w:tc>
          <w:tcPr>
            <w:tcW w:w="3210" w:type="pct"/>
            <w:hideMark/>
          </w:tcPr>
          <w:p w:rsidR="00665F2F" w:rsidRPr="00F32EB1" w:rsidRDefault="00665F2F" w:rsidP="00665F2F">
            <w:r>
              <w:t xml:space="preserve">Nav. </w:t>
            </w:r>
          </w:p>
        </w:tc>
      </w:tr>
      <w:tr w:rsidR="00665F2F" w:rsidRPr="00F32EB1" w:rsidTr="00665F2F">
        <w:trPr>
          <w:cantSplit/>
        </w:trPr>
        <w:tc>
          <w:tcPr>
            <w:tcW w:w="311" w:type="pct"/>
            <w:hideMark/>
          </w:tcPr>
          <w:p w:rsidR="00665F2F" w:rsidRPr="00F32EB1" w:rsidRDefault="00665F2F" w:rsidP="00665F2F">
            <w:pPr>
              <w:jc w:val="center"/>
            </w:pPr>
            <w:r w:rsidRPr="00F32EB1">
              <w:t>4.</w:t>
            </w:r>
          </w:p>
        </w:tc>
        <w:tc>
          <w:tcPr>
            <w:tcW w:w="1479" w:type="pct"/>
            <w:hideMark/>
          </w:tcPr>
          <w:p w:rsidR="00665F2F" w:rsidRPr="00F32EB1" w:rsidRDefault="00665F2F" w:rsidP="00665F2F">
            <w:r w:rsidRPr="00F32EB1">
              <w:t>Cita informācija</w:t>
            </w:r>
          </w:p>
        </w:tc>
        <w:tc>
          <w:tcPr>
            <w:tcW w:w="3210" w:type="pct"/>
            <w:hideMark/>
          </w:tcPr>
          <w:p w:rsidR="00665F2F" w:rsidRPr="00F32EB1" w:rsidRDefault="00665F2F" w:rsidP="00665F2F">
            <w:r>
              <w:t xml:space="preserve">Nav. </w:t>
            </w:r>
          </w:p>
        </w:tc>
      </w:tr>
    </w:tbl>
    <w:tbl>
      <w:tblPr>
        <w:tblpPr w:leftFromText="180" w:rightFromText="180" w:vertAnchor="text" w:horzAnchor="margin" w:tblpY="55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665F2F" w:rsidRPr="00F32EB1" w:rsidTr="00665F2F">
        <w:trPr>
          <w:cantSplit/>
        </w:trPr>
        <w:tc>
          <w:tcPr>
            <w:tcW w:w="5000" w:type="pct"/>
            <w:gridSpan w:val="3"/>
            <w:vAlign w:val="center"/>
            <w:hideMark/>
          </w:tcPr>
          <w:p w:rsidR="00665F2F" w:rsidRPr="00F32EB1" w:rsidRDefault="00665F2F" w:rsidP="00665F2F">
            <w:pPr>
              <w:jc w:val="center"/>
              <w:rPr>
                <w:b/>
                <w:bCs/>
              </w:rPr>
            </w:pPr>
            <w:r w:rsidRPr="00F32EB1">
              <w:rPr>
                <w:b/>
                <w:bCs/>
              </w:rPr>
              <w:t>VII. Tiesību akta projekta izpildes nodrošināšana un tās ietekme uz institūcijām</w:t>
            </w:r>
          </w:p>
        </w:tc>
      </w:tr>
      <w:tr w:rsidR="00665F2F" w:rsidRPr="00F32EB1" w:rsidTr="00665F2F">
        <w:trPr>
          <w:cantSplit/>
        </w:trPr>
        <w:tc>
          <w:tcPr>
            <w:tcW w:w="311" w:type="pct"/>
            <w:hideMark/>
          </w:tcPr>
          <w:p w:rsidR="00665F2F" w:rsidRPr="00F32EB1" w:rsidRDefault="00665F2F" w:rsidP="00665F2F">
            <w:pPr>
              <w:jc w:val="center"/>
            </w:pPr>
            <w:r w:rsidRPr="00F32EB1">
              <w:t>1.</w:t>
            </w:r>
          </w:p>
        </w:tc>
        <w:tc>
          <w:tcPr>
            <w:tcW w:w="1479" w:type="pct"/>
            <w:hideMark/>
          </w:tcPr>
          <w:p w:rsidR="00665F2F" w:rsidRPr="00F32EB1" w:rsidRDefault="00665F2F" w:rsidP="00665F2F">
            <w:r w:rsidRPr="00F32EB1">
              <w:t>Projekta izpildē iesaistītās institūcijas</w:t>
            </w:r>
          </w:p>
        </w:tc>
        <w:tc>
          <w:tcPr>
            <w:tcW w:w="3210" w:type="pct"/>
            <w:hideMark/>
          </w:tcPr>
          <w:p w:rsidR="00665F2F" w:rsidRPr="00F32EB1" w:rsidRDefault="00665F2F" w:rsidP="00665F2F">
            <w:r w:rsidRPr="003109F1">
              <w:t>Aizsardzības ministrija, Nacionālie bruņotie spēki.</w:t>
            </w:r>
          </w:p>
        </w:tc>
      </w:tr>
      <w:tr w:rsidR="00665F2F" w:rsidRPr="00F32EB1" w:rsidTr="00665F2F">
        <w:trPr>
          <w:cantSplit/>
        </w:trPr>
        <w:tc>
          <w:tcPr>
            <w:tcW w:w="311" w:type="pct"/>
            <w:hideMark/>
          </w:tcPr>
          <w:p w:rsidR="00665F2F" w:rsidRPr="00F32EB1" w:rsidRDefault="00665F2F" w:rsidP="00665F2F">
            <w:pPr>
              <w:jc w:val="center"/>
            </w:pPr>
            <w:r w:rsidRPr="00F32EB1">
              <w:t>2.</w:t>
            </w:r>
          </w:p>
        </w:tc>
        <w:tc>
          <w:tcPr>
            <w:tcW w:w="1479" w:type="pct"/>
            <w:hideMark/>
          </w:tcPr>
          <w:p w:rsidR="00665F2F" w:rsidRPr="00F32EB1" w:rsidRDefault="00665F2F" w:rsidP="00665F2F">
            <w:r w:rsidRPr="00F32EB1">
              <w:t>Projekta izpildes ietekme uz pārvaldes funkcijām un institucionālo struktūru.</w:t>
            </w:r>
            <w:r w:rsidRPr="00F32EB1">
              <w:br/>
              <w:t>Jaunu institūciju izveide, esošu institūciju likvidācija vai reorganizācija, to ietekme uz institūcijas cilvēkresursiem</w:t>
            </w:r>
          </w:p>
        </w:tc>
        <w:tc>
          <w:tcPr>
            <w:tcW w:w="3210" w:type="pct"/>
            <w:hideMark/>
          </w:tcPr>
          <w:p w:rsidR="00665F2F" w:rsidRPr="00F32EB1" w:rsidRDefault="00665F2F" w:rsidP="00665F2F">
            <w:r>
              <w:t>Nav.</w:t>
            </w:r>
          </w:p>
        </w:tc>
      </w:tr>
      <w:tr w:rsidR="00665F2F" w:rsidRPr="00F32EB1" w:rsidTr="00665F2F">
        <w:trPr>
          <w:cantSplit/>
        </w:trPr>
        <w:tc>
          <w:tcPr>
            <w:tcW w:w="311" w:type="pct"/>
            <w:hideMark/>
          </w:tcPr>
          <w:p w:rsidR="00665F2F" w:rsidRPr="00F32EB1" w:rsidRDefault="00665F2F" w:rsidP="00665F2F">
            <w:pPr>
              <w:jc w:val="center"/>
            </w:pPr>
            <w:r w:rsidRPr="00F32EB1">
              <w:t>3.</w:t>
            </w:r>
          </w:p>
        </w:tc>
        <w:tc>
          <w:tcPr>
            <w:tcW w:w="1479" w:type="pct"/>
            <w:hideMark/>
          </w:tcPr>
          <w:p w:rsidR="00665F2F" w:rsidRPr="00F32EB1" w:rsidRDefault="00665F2F" w:rsidP="00665F2F">
            <w:r w:rsidRPr="00F32EB1">
              <w:t>Cita informācija</w:t>
            </w:r>
          </w:p>
        </w:tc>
        <w:tc>
          <w:tcPr>
            <w:tcW w:w="3210" w:type="pct"/>
            <w:hideMark/>
          </w:tcPr>
          <w:p w:rsidR="00665F2F" w:rsidRPr="00F32EB1" w:rsidRDefault="00665F2F" w:rsidP="00665F2F">
            <w:r>
              <w:t>Nav.</w:t>
            </w:r>
          </w:p>
        </w:tc>
      </w:tr>
    </w:tbl>
    <w:p w:rsidR="00BD5588" w:rsidRPr="002D7166" w:rsidRDefault="00BD5588" w:rsidP="00BD5588">
      <w:pPr>
        <w:pStyle w:val="Title"/>
        <w:spacing w:before="130" w:line="260" w:lineRule="exact"/>
        <w:ind w:firstLine="539"/>
        <w:jc w:val="both"/>
        <w:rPr>
          <w:rFonts w:ascii="Cambria" w:hAnsi="Cambria"/>
          <w:sz w:val="19"/>
          <w:szCs w:val="19"/>
        </w:rPr>
      </w:pPr>
    </w:p>
    <w:p w:rsidR="0094267E" w:rsidRDefault="0094267E" w:rsidP="0094267E"/>
    <w:p w:rsidR="00665F2F" w:rsidRDefault="00665F2F" w:rsidP="00665F2F"/>
    <w:p w:rsidR="00665F2F" w:rsidRPr="0094267E" w:rsidRDefault="00665F2F" w:rsidP="00665F2F">
      <w:r w:rsidRPr="003109F1">
        <w:t>Aizsardzības ministrs</w:t>
      </w:r>
      <w:r w:rsidRPr="003109F1">
        <w:tab/>
      </w:r>
      <w:r w:rsidR="00F60E67">
        <w:t xml:space="preserve">                                                                                </w:t>
      </w:r>
      <w:bookmarkStart w:id="0" w:name="_GoBack"/>
      <w:bookmarkEnd w:id="0"/>
      <w:r w:rsidRPr="003109F1">
        <w:t>R.Bergmanis</w:t>
      </w:r>
    </w:p>
    <w:p w:rsidR="00F66803" w:rsidRPr="003109F1" w:rsidRDefault="00F66803" w:rsidP="00F66803">
      <w:pPr>
        <w:tabs>
          <w:tab w:val="right" w:pos="9000"/>
        </w:tabs>
        <w:jc w:val="both"/>
      </w:pPr>
    </w:p>
    <w:p w:rsidR="00F66803" w:rsidRDefault="00F66803" w:rsidP="00F66803">
      <w:pPr>
        <w:tabs>
          <w:tab w:val="right" w:pos="9000"/>
        </w:tabs>
        <w:jc w:val="both"/>
      </w:pPr>
    </w:p>
    <w:p w:rsidR="00665F2F" w:rsidRDefault="00665F2F" w:rsidP="00F66803">
      <w:pPr>
        <w:tabs>
          <w:tab w:val="right" w:pos="9000"/>
        </w:tabs>
        <w:jc w:val="both"/>
      </w:pPr>
    </w:p>
    <w:p w:rsidR="00F66803" w:rsidRPr="003109F1" w:rsidRDefault="00C25B8F" w:rsidP="00F66803">
      <w:pPr>
        <w:tabs>
          <w:tab w:val="right" w:pos="9000"/>
        </w:tabs>
        <w:jc w:val="both"/>
      </w:pPr>
      <w:r>
        <w:t>Vīza: v</w:t>
      </w:r>
      <w:r w:rsidR="00F66803" w:rsidRPr="003109F1">
        <w:t>alsts sekretārs</w:t>
      </w:r>
      <w:r w:rsidR="00F66803" w:rsidRPr="003109F1">
        <w:tab/>
        <w:t>J.Garisons</w:t>
      </w:r>
    </w:p>
    <w:p w:rsidR="00F66803" w:rsidRDefault="00F66803"/>
    <w:p w:rsidR="00D30C88" w:rsidRDefault="00D30C88"/>
    <w:p w:rsidR="00F66803" w:rsidRPr="00074717" w:rsidRDefault="003D67CB">
      <w:pPr>
        <w:rPr>
          <w:sz w:val="20"/>
          <w:szCs w:val="20"/>
        </w:rPr>
      </w:pPr>
      <w:r>
        <w:rPr>
          <w:sz w:val="20"/>
          <w:szCs w:val="20"/>
        </w:rPr>
        <w:t>06.03</w:t>
      </w:r>
      <w:r w:rsidR="0065491A" w:rsidRPr="00074717">
        <w:rPr>
          <w:sz w:val="20"/>
          <w:szCs w:val="20"/>
        </w:rPr>
        <w:t>.2018.</w:t>
      </w:r>
    </w:p>
    <w:p w:rsidR="0065491A" w:rsidRDefault="007E116A">
      <w:pPr>
        <w:rPr>
          <w:sz w:val="20"/>
          <w:szCs w:val="20"/>
        </w:rPr>
      </w:pPr>
      <w:r>
        <w:rPr>
          <w:sz w:val="20"/>
          <w:szCs w:val="20"/>
        </w:rPr>
        <w:t>1</w:t>
      </w:r>
      <w:r w:rsidR="00DC46A4">
        <w:rPr>
          <w:sz w:val="20"/>
          <w:szCs w:val="20"/>
        </w:rPr>
        <w:t>613</w:t>
      </w:r>
    </w:p>
    <w:p w:rsidR="007E116A" w:rsidRPr="00074717" w:rsidRDefault="007E116A">
      <w:pPr>
        <w:rPr>
          <w:sz w:val="20"/>
          <w:szCs w:val="20"/>
        </w:rPr>
      </w:pPr>
    </w:p>
    <w:p w:rsidR="00074717" w:rsidRPr="00074717" w:rsidRDefault="00074717">
      <w:pPr>
        <w:rPr>
          <w:sz w:val="20"/>
          <w:szCs w:val="20"/>
        </w:rPr>
      </w:pPr>
      <w:r w:rsidRPr="00074717">
        <w:rPr>
          <w:sz w:val="20"/>
          <w:szCs w:val="20"/>
        </w:rPr>
        <w:t>J. Mačis, tālr. 67335088</w:t>
      </w:r>
    </w:p>
    <w:p w:rsidR="00074717" w:rsidRPr="00074717" w:rsidRDefault="00074717">
      <w:pPr>
        <w:rPr>
          <w:sz w:val="20"/>
          <w:szCs w:val="20"/>
        </w:rPr>
      </w:pPr>
      <w:r w:rsidRPr="00074717">
        <w:rPr>
          <w:sz w:val="20"/>
          <w:szCs w:val="20"/>
        </w:rPr>
        <w:t xml:space="preserve">e-pasta adrese: </w:t>
      </w:r>
      <w:hyperlink r:id="rId6" w:history="1">
        <w:r w:rsidRPr="00074717">
          <w:rPr>
            <w:rStyle w:val="Hyperlink"/>
            <w:sz w:val="20"/>
            <w:szCs w:val="20"/>
          </w:rPr>
          <w:t>Juris.Macis@mod.gov.lv</w:t>
        </w:r>
      </w:hyperlink>
      <w:r w:rsidRPr="00074717">
        <w:rPr>
          <w:sz w:val="20"/>
          <w:szCs w:val="20"/>
        </w:rPr>
        <w:t xml:space="preserve"> </w:t>
      </w:r>
    </w:p>
    <w:p w:rsidR="00074717" w:rsidRPr="00074717" w:rsidRDefault="00074717">
      <w:pPr>
        <w:rPr>
          <w:sz w:val="20"/>
          <w:szCs w:val="20"/>
        </w:rPr>
      </w:pPr>
    </w:p>
    <w:p w:rsidR="00074717" w:rsidRPr="00074717" w:rsidRDefault="00074717">
      <w:pPr>
        <w:rPr>
          <w:sz w:val="20"/>
          <w:szCs w:val="20"/>
        </w:rPr>
      </w:pPr>
      <w:r w:rsidRPr="00074717">
        <w:rPr>
          <w:sz w:val="20"/>
          <w:szCs w:val="20"/>
        </w:rPr>
        <w:lastRenderedPageBreak/>
        <w:t>V. Rakstiņš, tālr. 67335101</w:t>
      </w:r>
    </w:p>
    <w:p w:rsidR="00074717" w:rsidRDefault="00074717">
      <w:pPr>
        <w:rPr>
          <w:sz w:val="20"/>
          <w:szCs w:val="20"/>
        </w:rPr>
      </w:pPr>
      <w:r w:rsidRPr="00074717">
        <w:rPr>
          <w:sz w:val="20"/>
          <w:szCs w:val="20"/>
        </w:rPr>
        <w:t xml:space="preserve">e-pasta adrese: </w:t>
      </w:r>
      <w:hyperlink r:id="rId7" w:history="1">
        <w:r w:rsidRPr="00074717">
          <w:rPr>
            <w:rStyle w:val="Hyperlink"/>
            <w:sz w:val="20"/>
            <w:szCs w:val="20"/>
          </w:rPr>
          <w:t>Vitalijs.Rakstins@mod.gov.lv</w:t>
        </w:r>
      </w:hyperlink>
      <w:r w:rsidRPr="00074717">
        <w:rPr>
          <w:sz w:val="20"/>
          <w:szCs w:val="20"/>
        </w:rPr>
        <w:t xml:space="preserve"> </w:t>
      </w:r>
    </w:p>
    <w:p w:rsidR="007320D7" w:rsidRDefault="007320D7">
      <w:pPr>
        <w:rPr>
          <w:sz w:val="20"/>
          <w:szCs w:val="20"/>
        </w:rPr>
      </w:pPr>
    </w:p>
    <w:p w:rsidR="007320D7" w:rsidRPr="00E53955" w:rsidRDefault="007320D7" w:rsidP="007320D7">
      <w:pPr>
        <w:jc w:val="both"/>
        <w:rPr>
          <w:sz w:val="20"/>
          <w:szCs w:val="20"/>
        </w:rPr>
      </w:pPr>
      <w:r>
        <w:rPr>
          <w:sz w:val="20"/>
          <w:szCs w:val="20"/>
        </w:rPr>
        <w:t>I. Buda, tālr. </w:t>
      </w:r>
      <w:r w:rsidRPr="00E53955">
        <w:rPr>
          <w:sz w:val="20"/>
          <w:szCs w:val="20"/>
        </w:rPr>
        <w:t>67335031</w:t>
      </w:r>
    </w:p>
    <w:p w:rsidR="007320D7" w:rsidRDefault="007320D7" w:rsidP="007320D7">
      <w:pPr>
        <w:jc w:val="both"/>
        <w:rPr>
          <w:sz w:val="20"/>
          <w:szCs w:val="20"/>
        </w:rPr>
      </w:pPr>
      <w:r w:rsidRPr="007320D7">
        <w:rPr>
          <w:sz w:val="20"/>
          <w:szCs w:val="20"/>
        </w:rPr>
        <w:t>e-pasta adrese:</w:t>
      </w:r>
      <w:r>
        <w:t xml:space="preserve"> </w:t>
      </w:r>
      <w:hyperlink r:id="rId8" w:history="1">
        <w:r w:rsidRPr="00237F08">
          <w:rPr>
            <w:rStyle w:val="Hyperlink"/>
            <w:sz w:val="20"/>
            <w:szCs w:val="20"/>
          </w:rPr>
          <w:t>Inara.Buda@mod.gov.lv</w:t>
        </w:r>
      </w:hyperlink>
    </w:p>
    <w:p w:rsidR="007320D7" w:rsidRPr="00074717" w:rsidRDefault="007320D7">
      <w:pPr>
        <w:rPr>
          <w:sz w:val="20"/>
          <w:szCs w:val="20"/>
        </w:rPr>
      </w:pPr>
    </w:p>
    <w:sectPr w:rsidR="007320D7" w:rsidRPr="00074717">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F5C" w:rsidRDefault="00625F5C" w:rsidP="00625F5C">
      <w:r>
        <w:separator/>
      </w:r>
    </w:p>
  </w:endnote>
  <w:endnote w:type="continuationSeparator" w:id="0">
    <w:p w:rsidR="00625F5C" w:rsidRDefault="00625F5C" w:rsidP="00625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F5C" w:rsidRDefault="0066368B">
    <w:pPr>
      <w:pStyle w:val="Footer"/>
    </w:pPr>
    <w:r>
      <w:t>AIManot_0603</w:t>
    </w:r>
    <w:r w:rsidR="00625F5C">
      <w:t>18_PIL</w:t>
    </w:r>
  </w:p>
  <w:p w:rsidR="00625F5C" w:rsidRDefault="00625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F5C" w:rsidRDefault="00625F5C" w:rsidP="00625F5C">
      <w:r>
        <w:separator/>
      </w:r>
    </w:p>
  </w:footnote>
  <w:footnote w:type="continuationSeparator" w:id="0">
    <w:p w:rsidR="00625F5C" w:rsidRDefault="00625F5C" w:rsidP="00625F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47BD3"/>
    <w:rsid w:val="00074717"/>
    <w:rsid w:val="001B05AB"/>
    <w:rsid w:val="001B5BEF"/>
    <w:rsid w:val="002864FA"/>
    <w:rsid w:val="002E734F"/>
    <w:rsid w:val="002F4CC6"/>
    <w:rsid w:val="00365988"/>
    <w:rsid w:val="003D0648"/>
    <w:rsid w:val="003D67CB"/>
    <w:rsid w:val="003E23C6"/>
    <w:rsid w:val="00463BB6"/>
    <w:rsid w:val="004A08DD"/>
    <w:rsid w:val="004F23BF"/>
    <w:rsid w:val="00512F71"/>
    <w:rsid w:val="00621F2F"/>
    <w:rsid w:val="00625F5C"/>
    <w:rsid w:val="00647E23"/>
    <w:rsid w:val="0065491A"/>
    <w:rsid w:val="0066368B"/>
    <w:rsid w:val="00664312"/>
    <w:rsid w:val="00665F2F"/>
    <w:rsid w:val="00702ACF"/>
    <w:rsid w:val="00730332"/>
    <w:rsid w:val="007320D7"/>
    <w:rsid w:val="007758B0"/>
    <w:rsid w:val="007E116A"/>
    <w:rsid w:val="00874FD9"/>
    <w:rsid w:val="008A56B9"/>
    <w:rsid w:val="0094267E"/>
    <w:rsid w:val="00A0493D"/>
    <w:rsid w:val="00AF7679"/>
    <w:rsid w:val="00B03312"/>
    <w:rsid w:val="00B763AD"/>
    <w:rsid w:val="00B9007E"/>
    <w:rsid w:val="00B94112"/>
    <w:rsid w:val="00BA48DC"/>
    <w:rsid w:val="00BD5588"/>
    <w:rsid w:val="00BD5C84"/>
    <w:rsid w:val="00C25B8F"/>
    <w:rsid w:val="00C911F6"/>
    <w:rsid w:val="00CB3305"/>
    <w:rsid w:val="00CE3199"/>
    <w:rsid w:val="00D032D5"/>
    <w:rsid w:val="00D30C88"/>
    <w:rsid w:val="00D32855"/>
    <w:rsid w:val="00DC46A4"/>
    <w:rsid w:val="00DD79E6"/>
    <w:rsid w:val="00DF1AB4"/>
    <w:rsid w:val="00E10E3B"/>
    <w:rsid w:val="00E1128A"/>
    <w:rsid w:val="00E44472"/>
    <w:rsid w:val="00E74448"/>
    <w:rsid w:val="00E93593"/>
    <w:rsid w:val="00EA78E5"/>
    <w:rsid w:val="00EE0F64"/>
    <w:rsid w:val="00F05A90"/>
    <w:rsid w:val="00F32EB1"/>
    <w:rsid w:val="00F60E67"/>
    <w:rsid w:val="00F66803"/>
    <w:rsid w:val="00FA6D25"/>
    <w:rsid w:val="00FC06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E302C"/>
  <w15:docId w15:val="{0D9FE0EC-8CF8-4C8C-B9EA-936BB76F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Header">
    <w:name w:val="header"/>
    <w:basedOn w:val="Normal"/>
    <w:link w:val="HeaderChar"/>
    <w:uiPriority w:val="99"/>
    <w:rsid w:val="00B763AD"/>
    <w:pPr>
      <w:tabs>
        <w:tab w:val="center" w:pos="4153"/>
        <w:tab w:val="right" w:pos="8306"/>
      </w:tabs>
    </w:pPr>
    <w:rPr>
      <w:lang w:val="en-GB" w:eastAsia="en-US"/>
    </w:rPr>
  </w:style>
  <w:style w:type="character" w:customStyle="1" w:styleId="HeaderChar">
    <w:name w:val="Header Char"/>
    <w:basedOn w:val="DefaultParagraphFont"/>
    <w:link w:val="Header"/>
    <w:uiPriority w:val="99"/>
    <w:rsid w:val="00B763AD"/>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625F5C"/>
    <w:pPr>
      <w:tabs>
        <w:tab w:val="center" w:pos="4153"/>
        <w:tab w:val="right" w:pos="8306"/>
      </w:tabs>
    </w:pPr>
  </w:style>
  <w:style w:type="character" w:customStyle="1" w:styleId="FooterChar">
    <w:name w:val="Footer Char"/>
    <w:basedOn w:val="DefaultParagraphFont"/>
    <w:link w:val="Footer"/>
    <w:uiPriority w:val="99"/>
    <w:rsid w:val="00625F5C"/>
    <w:rPr>
      <w:rFonts w:ascii="Times New Roman" w:eastAsia="Times New Roman" w:hAnsi="Times New Roman" w:cs="Times New Roman"/>
      <w:sz w:val="24"/>
      <w:szCs w:val="24"/>
      <w:lang w:eastAsia="lv-LV"/>
    </w:rPr>
  </w:style>
  <w:style w:type="paragraph" w:customStyle="1" w:styleId="tv2131">
    <w:name w:val="tv2131"/>
    <w:basedOn w:val="Normal"/>
    <w:rsid w:val="00EE0F64"/>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ara.Buda@mod.gov.lv" TargetMode="External"/><Relationship Id="rId3" Type="http://schemas.openxmlformats.org/officeDocument/2006/relationships/webSettings" Target="webSettings.xml"/><Relationship Id="rId7" Type="http://schemas.openxmlformats.org/officeDocument/2006/relationships/hyperlink" Target="mailto:Vitalijs.Rakstins@mod.gov.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ris.Macis@mod.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8</Pages>
  <Words>8692</Words>
  <Characters>4956</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Likumprojekta “Grozījumi Publisko iepirkumu likumā” sākotnējās ietekmes novērtējuma ziņojums (anotācija)</vt:lpstr>
    </vt:vector>
  </TitlesOfParts>
  <Manager>Krīzes vadības departaments</Manager>
  <Company>Aizsardzības ministrija</Company>
  <LinksUpToDate>false</LinksUpToDate>
  <CharactersWithSpaces>13621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Publisko iepirkumu likumā” sākotnējās ietekmes novērtējuma ziņojums (anotācija)</dc:title>
  <dc:subject>valsts aizsardzība</dc:subject>
  <dc:creator>Juris Mačis</dc:creator>
  <dc:description>Juris Mačis, Krīzes vadības departamenta Mobilizācijas un uzņēmējvalsts atbalsta plānošanas nodaļa, tālr. 67335088, e-pasta adrese: Juris.Macis@mod.gov.lv</dc:description>
  <cp:lastModifiedBy>Juris Mačis</cp:lastModifiedBy>
  <cp:revision>50</cp:revision>
  <dcterms:created xsi:type="dcterms:W3CDTF">2018-02-27T09:56:00Z</dcterms:created>
  <dcterms:modified xsi:type="dcterms:W3CDTF">2018-03-14T09:10:00Z</dcterms:modified>
</cp:coreProperties>
</file>