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588" w:rsidRPr="002D7166" w:rsidRDefault="00BD5588" w:rsidP="00BD5588">
      <w:pPr>
        <w:pStyle w:val="Title"/>
        <w:spacing w:before="130" w:line="260" w:lineRule="exact"/>
        <w:ind w:firstLine="539"/>
        <w:jc w:val="both"/>
        <w:rPr>
          <w:rFonts w:ascii="Cambria" w:hAnsi="Cambria"/>
          <w:sz w:val="19"/>
          <w:szCs w:val="19"/>
        </w:rPr>
      </w:pPr>
      <w:bookmarkStart w:id="0" w:name="_GoBack"/>
      <w:bookmarkEnd w:id="0"/>
    </w:p>
    <w:p w:rsidR="005464C1" w:rsidRPr="00E76F99" w:rsidRDefault="005464C1" w:rsidP="005464C1">
      <w:pPr>
        <w:shd w:val="clear" w:color="auto" w:fill="FFFFFF"/>
        <w:jc w:val="center"/>
        <w:rPr>
          <w:i/>
          <w:iCs/>
        </w:rPr>
      </w:pPr>
      <w:r>
        <w:rPr>
          <w:b/>
          <w:bCs/>
        </w:rPr>
        <w:t>Ministru kabineta noteikumu projekta</w:t>
      </w:r>
      <w:r w:rsidRPr="00E76F99">
        <w:rPr>
          <w:b/>
          <w:bCs/>
        </w:rPr>
        <w:t xml:space="preserve"> „</w:t>
      </w:r>
      <w:r w:rsidRPr="001B4074">
        <w:rPr>
          <w:b/>
        </w:rPr>
        <w:t xml:space="preserve"> </w:t>
      </w:r>
      <w:r w:rsidRPr="00124550">
        <w:rPr>
          <w:b/>
        </w:rPr>
        <w:t>Kārtība, kādā</w:t>
      </w:r>
      <w:r>
        <w:rPr>
          <w:b/>
        </w:rPr>
        <w:t xml:space="preserve"> </w:t>
      </w:r>
      <w:r w:rsidRPr="0003019D">
        <w:rPr>
          <w:b/>
        </w:rPr>
        <w:t>Aizsardzības ministrija</w:t>
      </w:r>
      <w:r w:rsidRPr="00124550">
        <w:rPr>
          <w:b/>
        </w:rPr>
        <w:t xml:space="preserve"> īst</w:t>
      </w:r>
      <w:r>
        <w:rPr>
          <w:b/>
        </w:rPr>
        <w:t>eno projektu konkursus militāru vai divējāda pielietojuma</w:t>
      </w:r>
      <w:r w:rsidRPr="00124550">
        <w:rPr>
          <w:b/>
        </w:rPr>
        <w:t xml:space="preserve"> produktu </w:t>
      </w:r>
      <w:r>
        <w:rPr>
          <w:b/>
        </w:rPr>
        <w:t>attīstības atbalstam</w:t>
      </w:r>
      <w:r w:rsidRPr="00E76F99">
        <w:rPr>
          <w:b/>
          <w:bCs/>
        </w:rPr>
        <w:t>” sākotnējās ietekmes novērtējuma ziņojums (anotācija)</w:t>
      </w:r>
    </w:p>
    <w:p w:rsidR="00BD5588" w:rsidRPr="002D7166" w:rsidRDefault="00BD5588" w:rsidP="00BD5588">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47"/>
        <w:gridCol w:w="6558"/>
      </w:tblGrid>
      <w:tr w:rsidR="00BD5588" w:rsidRPr="002D7166" w:rsidTr="00F812FE">
        <w:trPr>
          <w:cantSplit/>
        </w:trPr>
        <w:tc>
          <w:tcPr>
            <w:tcW w:w="9105" w:type="dxa"/>
            <w:gridSpan w:val="2"/>
            <w:shd w:val="clear" w:color="auto" w:fill="FFFFFF"/>
            <w:vAlign w:val="center"/>
            <w:hideMark/>
          </w:tcPr>
          <w:p w:rsidR="00BD5588" w:rsidRPr="002D7166" w:rsidRDefault="00BD5588" w:rsidP="009E0502">
            <w:pPr>
              <w:jc w:val="center"/>
              <w:rPr>
                <w:rFonts w:ascii="Cambria" w:hAnsi="Cambria"/>
                <w:b/>
                <w:iCs/>
                <w:sz w:val="19"/>
                <w:szCs w:val="19"/>
                <w:lang w:eastAsia="en-US"/>
              </w:rPr>
            </w:pPr>
            <w:r w:rsidRPr="002D7166">
              <w:rPr>
                <w:rFonts w:ascii="Cambria" w:hAnsi="Cambria"/>
                <w:b/>
                <w:iCs/>
                <w:sz w:val="19"/>
                <w:szCs w:val="19"/>
                <w:lang w:eastAsia="en-US"/>
              </w:rPr>
              <w:t>Tiesību akta projekta anotācijas kopsavilkums</w:t>
            </w:r>
          </w:p>
        </w:tc>
      </w:tr>
      <w:tr w:rsidR="00BD5588" w:rsidRPr="002D7166" w:rsidTr="00F812FE">
        <w:trPr>
          <w:cantSplit/>
        </w:trPr>
        <w:tc>
          <w:tcPr>
            <w:tcW w:w="2547" w:type="dxa"/>
            <w:shd w:val="clear" w:color="auto" w:fill="FFFFFF"/>
            <w:hideMark/>
          </w:tcPr>
          <w:p w:rsidR="00BD5588" w:rsidRPr="002D7166" w:rsidRDefault="00BD5588" w:rsidP="009E0502">
            <w:pPr>
              <w:rPr>
                <w:rFonts w:ascii="Cambria" w:hAnsi="Cambria"/>
                <w:iCs/>
                <w:sz w:val="19"/>
                <w:szCs w:val="19"/>
                <w:lang w:eastAsia="en-US"/>
              </w:rPr>
            </w:pPr>
            <w:r w:rsidRPr="002D7166">
              <w:rPr>
                <w:rFonts w:ascii="Cambria" w:hAnsi="Cambria"/>
                <w:iCs/>
                <w:sz w:val="19"/>
                <w:szCs w:val="19"/>
                <w:lang w:eastAsia="en-US"/>
              </w:rPr>
              <w:t>Mērķis, risinājums un projekta spēkā stāšanās laiks (500 zīmes bez atstarpēm)</w:t>
            </w:r>
          </w:p>
        </w:tc>
        <w:tc>
          <w:tcPr>
            <w:tcW w:w="6558" w:type="dxa"/>
            <w:shd w:val="clear" w:color="auto" w:fill="FFFFFF"/>
            <w:hideMark/>
          </w:tcPr>
          <w:p w:rsidR="00BD5588" w:rsidRPr="002D7166" w:rsidRDefault="00F812FE" w:rsidP="009E0502">
            <w:pPr>
              <w:rPr>
                <w:rFonts w:ascii="Cambria" w:hAnsi="Cambria"/>
                <w:i/>
                <w:iCs/>
                <w:sz w:val="19"/>
                <w:szCs w:val="19"/>
                <w:lang w:eastAsia="en-US"/>
              </w:rPr>
            </w:pPr>
            <w:r w:rsidRPr="006E04C8">
              <w:rPr>
                <w:iCs/>
              </w:rPr>
              <w:t>I. sadaļas 2. punkts nepārsniedz 2 lappušu apjomu</w:t>
            </w:r>
          </w:p>
        </w:tc>
      </w:tr>
    </w:tbl>
    <w:p w:rsidR="006D3800" w:rsidRDefault="006D3800" w:rsidP="006D3800">
      <w:pPr>
        <w:rPr>
          <w:rFonts w:ascii="Cambria" w:hAnsi="Cambria"/>
          <w:b/>
          <w:bCs/>
          <w:sz w:val="19"/>
          <w:szCs w:val="19"/>
        </w:rPr>
      </w:pPr>
    </w:p>
    <w:p w:rsidR="006D3800" w:rsidRDefault="006D3800" w:rsidP="009E0502">
      <w:pPr>
        <w:jc w:val="center"/>
        <w:rPr>
          <w:rFonts w:ascii="Cambria" w:hAnsi="Cambria"/>
          <w:b/>
          <w:bCs/>
          <w:sz w:val="19"/>
          <w:szCs w:val="19"/>
        </w:rPr>
      </w:pPr>
    </w:p>
    <w:p w:rsidR="006D3800" w:rsidRDefault="006D3800" w:rsidP="006D3800">
      <w:pPr>
        <w:rPr>
          <w:rFonts w:ascii="Cambria" w:hAnsi="Cambria"/>
          <w:b/>
          <w:bCs/>
          <w:sz w:val="19"/>
          <w:szCs w:val="19"/>
        </w:rPr>
        <w:sectPr w:rsidR="006D3800" w:rsidSect="006D3800">
          <w:headerReference w:type="default" r:id="rId8"/>
          <w:footerReference w:type="default" r:id="rId9"/>
          <w:pgSz w:w="11906" w:h="16838"/>
          <w:pgMar w:top="851" w:right="991" w:bottom="1440" w:left="180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5"/>
        <w:gridCol w:w="2342"/>
        <w:gridCol w:w="6554"/>
        <w:gridCol w:w="6"/>
      </w:tblGrid>
      <w:tr w:rsidR="00BD5588" w:rsidRPr="00B517C3" w:rsidTr="00F812FE">
        <w:trPr>
          <w:cantSplit/>
        </w:trPr>
        <w:tc>
          <w:tcPr>
            <w:tcW w:w="8799" w:type="dxa"/>
            <w:gridSpan w:val="4"/>
            <w:vAlign w:val="center"/>
            <w:hideMark/>
          </w:tcPr>
          <w:p w:rsidR="00BD5588" w:rsidRPr="00B517C3" w:rsidRDefault="00BD5588" w:rsidP="009E0502">
            <w:pPr>
              <w:jc w:val="center"/>
              <w:rPr>
                <w:rFonts w:ascii="Cambria" w:hAnsi="Cambria"/>
                <w:b/>
                <w:bCs/>
                <w:sz w:val="19"/>
                <w:szCs w:val="19"/>
              </w:rPr>
            </w:pPr>
            <w:r w:rsidRPr="00B517C3">
              <w:rPr>
                <w:rFonts w:ascii="Cambria" w:hAnsi="Cambria"/>
                <w:b/>
                <w:bCs/>
                <w:sz w:val="19"/>
                <w:szCs w:val="19"/>
              </w:rPr>
              <w:t>I. Tiesību akta projekta izstrādes nepieciešamība</w:t>
            </w:r>
          </w:p>
        </w:tc>
      </w:tr>
      <w:tr w:rsidR="00BD5588" w:rsidRPr="00B517C3" w:rsidTr="00F812FE">
        <w:trPr>
          <w:gridAfter w:val="1"/>
          <w:wAfter w:w="6" w:type="dxa"/>
          <w:cantSplit/>
        </w:trPr>
        <w:tc>
          <w:tcPr>
            <w:tcW w:w="0" w:type="auto"/>
            <w:hideMark/>
          </w:tcPr>
          <w:p w:rsidR="00BD5588" w:rsidRPr="00B517C3" w:rsidRDefault="00BD5588" w:rsidP="009E0502">
            <w:pPr>
              <w:jc w:val="center"/>
              <w:rPr>
                <w:rFonts w:ascii="Cambria" w:hAnsi="Cambria"/>
                <w:sz w:val="19"/>
                <w:szCs w:val="19"/>
              </w:rPr>
            </w:pPr>
            <w:r w:rsidRPr="00B517C3">
              <w:rPr>
                <w:rFonts w:ascii="Cambria" w:hAnsi="Cambria"/>
                <w:sz w:val="19"/>
                <w:szCs w:val="19"/>
              </w:rPr>
              <w:t>1.</w:t>
            </w:r>
          </w:p>
        </w:tc>
        <w:tc>
          <w:tcPr>
            <w:tcW w:w="2342" w:type="dxa"/>
            <w:hideMark/>
          </w:tcPr>
          <w:p w:rsidR="00BD5588" w:rsidRPr="00B517C3" w:rsidRDefault="00BD5588" w:rsidP="009E0502">
            <w:pPr>
              <w:rPr>
                <w:rFonts w:ascii="Cambria" w:hAnsi="Cambria"/>
                <w:sz w:val="19"/>
                <w:szCs w:val="19"/>
              </w:rPr>
            </w:pPr>
            <w:r w:rsidRPr="00B517C3">
              <w:rPr>
                <w:rFonts w:ascii="Cambria" w:hAnsi="Cambria"/>
                <w:sz w:val="19"/>
                <w:szCs w:val="19"/>
              </w:rPr>
              <w:t>Pamatojums</w:t>
            </w:r>
          </w:p>
        </w:tc>
        <w:tc>
          <w:tcPr>
            <w:tcW w:w="0" w:type="auto"/>
            <w:hideMark/>
          </w:tcPr>
          <w:p w:rsidR="005464C1" w:rsidRPr="00F812FE" w:rsidRDefault="005464C1" w:rsidP="005464C1">
            <w:pPr>
              <w:pStyle w:val="ListParagraph"/>
              <w:numPr>
                <w:ilvl w:val="0"/>
                <w:numId w:val="1"/>
              </w:numPr>
              <w:ind w:left="322" w:hanging="284"/>
              <w:jc w:val="both"/>
              <w:rPr>
                <w:rFonts w:cs="Times New Roman"/>
                <w:sz w:val="24"/>
                <w:szCs w:val="24"/>
                <w:lang w:val="lv-LV" w:eastAsia="lv-LV" w:bidi="ar-SA"/>
              </w:rPr>
            </w:pPr>
            <w:r w:rsidRPr="00F812FE">
              <w:rPr>
                <w:sz w:val="24"/>
                <w:szCs w:val="24"/>
                <w:lang w:val="lv-LV"/>
              </w:rPr>
              <w:t>Ministru kabineta 2016. gada 13. septembra (sēdes protokola Nr. 45 29. §) informatīvā ziņojuma “Par aizsardzības nozares sadarbības stiprināšanu ar Latvijas aizsardzības un drošības industriju” (TA-1769) 5.1. apakšpunkts</w:t>
            </w:r>
            <w:r w:rsidRPr="00F812FE">
              <w:rPr>
                <w:rFonts w:cs="Times New Roman"/>
                <w:sz w:val="24"/>
                <w:szCs w:val="24"/>
                <w:lang w:val="lv-LV"/>
              </w:rPr>
              <w:t>.</w:t>
            </w:r>
          </w:p>
          <w:p w:rsidR="005464C1" w:rsidRPr="00F812FE" w:rsidRDefault="005464C1" w:rsidP="005464C1">
            <w:pPr>
              <w:pStyle w:val="ListParagraph"/>
              <w:numPr>
                <w:ilvl w:val="0"/>
                <w:numId w:val="1"/>
              </w:numPr>
              <w:ind w:left="322" w:hanging="284"/>
              <w:jc w:val="both"/>
              <w:rPr>
                <w:rFonts w:cs="Times New Roman"/>
                <w:sz w:val="24"/>
                <w:szCs w:val="24"/>
                <w:lang w:val="lv-LV" w:eastAsia="lv-LV" w:bidi="ar-SA"/>
              </w:rPr>
            </w:pPr>
            <w:r w:rsidRPr="00F812FE">
              <w:rPr>
                <w:rFonts w:cs="Times New Roman"/>
                <w:sz w:val="24"/>
                <w:szCs w:val="24"/>
                <w:lang w:val="lv-LV"/>
              </w:rPr>
              <w:t>Deklarācijas par Māra Kučinska vadītā Ministru kabineta iecerēto darbību (2016.gada februāris, turpmāk - Deklarācija) 80.punkts un to tā izrietošie Valdības rīcības plāna Deklarācijas īstenošanai pasākumi (“Uzsākta kārtības izstrāde, saskaņā ar kuru tiek sniegts atbalsts militāru vai duālas pielietojamības preču ražošanai  Latvijā”).</w:t>
            </w:r>
          </w:p>
          <w:p w:rsidR="006D3800" w:rsidRPr="00F812FE" w:rsidRDefault="005464C1" w:rsidP="006D3800">
            <w:pPr>
              <w:pStyle w:val="ListParagraph"/>
              <w:numPr>
                <w:ilvl w:val="0"/>
                <w:numId w:val="1"/>
              </w:numPr>
              <w:ind w:left="322" w:hanging="284"/>
              <w:jc w:val="both"/>
              <w:rPr>
                <w:rFonts w:cs="Times New Roman"/>
                <w:sz w:val="24"/>
                <w:szCs w:val="24"/>
                <w:lang w:val="lv-LV" w:eastAsia="lv-LV" w:bidi="ar-SA"/>
              </w:rPr>
            </w:pPr>
            <w:r w:rsidRPr="00F812FE">
              <w:rPr>
                <w:rFonts w:cs="Times New Roman"/>
                <w:sz w:val="24"/>
                <w:szCs w:val="24"/>
                <w:lang w:val="lv-LV"/>
              </w:rPr>
              <w:t>Ministru kabineta noteikumu Nr.236 “Aizsardzības ministrijas nolikums” 5.15.</w:t>
            </w:r>
            <w:r w:rsidRPr="00F812FE">
              <w:rPr>
                <w:rFonts w:cs="Times New Roman"/>
                <w:sz w:val="24"/>
                <w:szCs w:val="24"/>
                <w:vertAlign w:val="superscript"/>
                <w:lang w:val="lv-LV"/>
              </w:rPr>
              <w:t xml:space="preserve">3 </w:t>
            </w:r>
            <w:r w:rsidRPr="00F812FE">
              <w:rPr>
                <w:rFonts w:cs="Times New Roman"/>
                <w:sz w:val="24"/>
                <w:szCs w:val="24"/>
                <w:lang w:val="lv-LV"/>
              </w:rPr>
              <w:t>apakšpunkts.</w:t>
            </w:r>
          </w:p>
        </w:tc>
      </w:tr>
      <w:tr w:rsidR="00600AE3" w:rsidRPr="00B517C3" w:rsidTr="00F812FE">
        <w:trPr>
          <w:gridAfter w:val="1"/>
          <w:wAfter w:w="6" w:type="dxa"/>
          <w:cantSplit/>
        </w:trPr>
        <w:tc>
          <w:tcPr>
            <w:tcW w:w="0" w:type="auto"/>
            <w:hideMark/>
          </w:tcPr>
          <w:p w:rsidR="00600AE3" w:rsidRPr="00B517C3" w:rsidRDefault="00600AE3" w:rsidP="006D3800">
            <w:pPr>
              <w:rPr>
                <w:rFonts w:ascii="Cambria" w:hAnsi="Cambria"/>
                <w:sz w:val="19"/>
                <w:szCs w:val="19"/>
              </w:rPr>
            </w:pPr>
            <w:r w:rsidRPr="00B517C3">
              <w:rPr>
                <w:rFonts w:ascii="Cambria" w:hAnsi="Cambria"/>
                <w:sz w:val="19"/>
                <w:szCs w:val="19"/>
              </w:rPr>
              <w:lastRenderedPageBreak/>
              <w:t>2.</w:t>
            </w:r>
          </w:p>
        </w:tc>
        <w:tc>
          <w:tcPr>
            <w:tcW w:w="2342" w:type="dxa"/>
            <w:hideMark/>
          </w:tcPr>
          <w:p w:rsidR="00600AE3" w:rsidRPr="00B517C3" w:rsidRDefault="00600AE3" w:rsidP="00600AE3">
            <w:pPr>
              <w:rPr>
                <w:rFonts w:ascii="Cambria" w:hAnsi="Cambria"/>
                <w:sz w:val="19"/>
                <w:szCs w:val="19"/>
              </w:rPr>
            </w:pPr>
            <w:r w:rsidRPr="00B517C3">
              <w:rPr>
                <w:rFonts w:ascii="Cambria" w:hAnsi="Cambria"/>
                <w:sz w:val="19"/>
                <w:szCs w:val="19"/>
              </w:rPr>
              <w:t>Pašreizējā situācija un problēmas, kuru risināšanai tiesību akta projekts izstrādāts, tiesiskā regulējuma mērķis un būtība</w:t>
            </w:r>
          </w:p>
        </w:tc>
        <w:tc>
          <w:tcPr>
            <w:tcW w:w="0" w:type="auto"/>
            <w:hideMark/>
          </w:tcPr>
          <w:p w:rsidR="00600AE3" w:rsidRPr="00F812FE" w:rsidRDefault="00600AE3" w:rsidP="00600AE3">
            <w:pPr>
              <w:ind w:firstLine="322"/>
              <w:jc w:val="both"/>
            </w:pPr>
            <w:r w:rsidRPr="00F812FE">
              <w:t>Ar Ministru kabineta 2016. gada 13. septembra lēmumu (sēdes protokola Nr. 45 29. §) pieņemts zināšanai informatīvais ziņojums “Par aizsardzības nozares sadarbības stiprināšanu ar Latvijas aizsardzības un drošības industriju” (TA-1769, turpmāk – ziņojums). Atbilstoši ziņojuma 5.1. apakšpunktam Aizsardzības ministrija (turpmāk – AM) sniedz atbalstu Latvijas aizsardzības industrijai “izveidojot grantu sistēmu inovatīvu militāras un divējādas nozīmes produktu atbalstam vai sniedzot atbalstu Latvijā jaunradītam produktam, kļūstot par tā sākotnējo pircēju (</w:t>
            </w:r>
            <w:r w:rsidRPr="00F812FE">
              <w:rPr>
                <w:i/>
              </w:rPr>
              <w:t>launching customer</w:t>
            </w:r>
            <w:r w:rsidRPr="00F812FE">
              <w:t xml:space="preserve">), tādā veidā stimulējot jaunu tehnoloģiju ieviešanu un stiprinot uzticību attiecīgajam izstrādājumam citu potenciālo pircēju vidū”. Ņemot vērā iepriekšminēto, AM ir izstrādājusi Ministru kabineta noteikumu projektu, uz kura pamata tiek izveidota attiecīgā grantu sistēma un tiks nodrošināta AM atbalsta pieteikumu vērtēšanas, atbalsta piešķiršanas un tā atbilstošas izmantošanas kontrole. </w:t>
            </w:r>
          </w:p>
          <w:p w:rsidR="00600AE3" w:rsidRPr="00F812FE" w:rsidRDefault="00600AE3" w:rsidP="00600AE3">
            <w:pPr>
              <w:ind w:firstLine="322"/>
              <w:jc w:val="both"/>
            </w:pPr>
            <w:r w:rsidRPr="00F812FE">
              <w:t>Izstrādājot noteikumu projektu ir ņemta vērā citu NATO un ES dalībvalstu (Nīderlandes, Norvēģijas, Somijas, Igaunijas) pieredze, kur attiecīgo valstu aizsardzības nozare tiek aktīvi iesaistīta šāda veida aizsardzības industrijas atbalsta pasākumu realizēšanā. Sevišķi padziļināti tika vērtēts Igaunijas piemērs, kur šāda grantu sistēma pastāv jau pēdējos piecus gadus un tās darbības rezultātā vairākiem Igaunijas uzņēmumiem ir izdevies attīstīt ar ievērojamu eksporta potenciālu apveltītus, inovatīvus militāras vai divējādas nozīmes produktus, kuri ir izmantojami arī attiecīgās valsts nacionālo bruņoto spēku apgādei un spēju turpmākai attīstīšanai (piem., Milrem un Threod Systems izstrādātie bezpilota aparāti, Eesti Arsenal izstrādātās prettanku mīnas, Defendec izstrādātās automatizētās novērošanas un apsardzes sistēmas u.c.). Paralēli par projektu ir notikušas konsultācijas ar Latvijas nevalstisko sektoru (Latvijas Drošības un aizsardzības industriju federāciju – DAIF Latvija) par efektīvākajiem veidiem, kādā šāds attīstības atbalsts būtu sniedzams, sevišķi ņemot vērā Nacionālo bruņoto spēku (turpmāk – NBS) praktiskas vajadzības un nacionālo normatīvo regulējumu vai starptautiskās saistības attiecībā uz komercdarbības atbalsta instrumentiem.</w:t>
            </w:r>
          </w:p>
          <w:p w:rsidR="00600AE3" w:rsidRPr="00F812FE" w:rsidRDefault="00600AE3" w:rsidP="00600AE3">
            <w:pPr>
              <w:ind w:firstLine="322"/>
              <w:jc w:val="both"/>
            </w:pPr>
            <w:r w:rsidRPr="00F812FE">
              <w:t xml:space="preserve">Attiecībā uz NBS tika identificēts, ka šāda atbalsta sistēma veicinās NBS piekļuvi aizsardzības industrijas produktiem un zināšanu bāzei, kas tiešā veidā sekmē Nacionālo bruņoto spēku </w:t>
            </w:r>
            <w:hyperlink r:id="rId10" w:history="1">
              <w:r w:rsidRPr="00F812FE">
                <w:rPr>
                  <w:rStyle w:val="Hyperlink"/>
                </w:rPr>
                <w:t>likuma 6. un 6.</w:t>
              </w:r>
              <w:r w:rsidRPr="00F812FE">
                <w:rPr>
                  <w:rStyle w:val="Hyperlink"/>
                  <w:vertAlign w:val="superscript"/>
                </w:rPr>
                <w:t>1</w:t>
              </w:r>
              <w:r w:rsidRPr="00F812FE">
                <w:rPr>
                  <w:rStyle w:val="Hyperlink"/>
                </w:rPr>
                <w:t xml:space="preserve"> pantā</w:t>
              </w:r>
            </w:hyperlink>
            <w:r w:rsidRPr="00F812FE">
              <w:t xml:space="preserve"> noteikto NBS uzdevumu, kā arī atsevišķu NBS vienību uzdevumu īstenošanas pasākumu izpildi. Paralēli tiks veicināta Nacionālo bruņoto spēku likumā vai citos ārējos normatīvajos aktos NBS noteikto uzdevumu izpildei kritiski nepieciešamu materiāltehnisko līdzekļu un ar to uzturēšanu saistīto pakalpojumu piegāžu drošība.</w:t>
            </w:r>
          </w:p>
          <w:p w:rsidR="00600AE3" w:rsidRPr="00F812FE" w:rsidRDefault="00600AE3" w:rsidP="00600AE3">
            <w:pPr>
              <w:ind w:firstLine="322"/>
              <w:jc w:val="both"/>
            </w:pPr>
            <w:r w:rsidRPr="00F812FE">
              <w:t xml:space="preserve">Attiecībā uz piedāvātā normatīvā regulējuma atbilstību komercdarbības atbalsta sniegšanas nosacījumiem tika secināts, ka atbilstošākais attīstības atbalsta organizācijas veids būtu attiecīgo atbalstu piešķirt kā </w:t>
            </w:r>
            <w:r w:rsidRPr="00F812FE">
              <w:rPr>
                <w:i/>
                <w:iCs/>
              </w:rPr>
              <w:t>de minimis</w:t>
            </w:r>
            <w:r w:rsidRPr="00F812FE">
              <w:t xml:space="preserve"> atbalstu saskaņā ar Komisijas regulu (ES) Nr. </w:t>
            </w:r>
            <w:hyperlink r:id="rId11" w:tgtFrame="_blank" w:history="1">
              <w:r w:rsidRPr="00F812FE">
                <w:rPr>
                  <w:color w:val="16497B"/>
                </w:rPr>
                <w:t>1407/2013</w:t>
              </w:r>
            </w:hyperlink>
            <w:r w:rsidRPr="00F812FE">
              <w:t xml:space="preserve"> un normatīvajiem aktiem par </w:t>
            </w:r>
            <w:r w:rsidRPr="00F812FE">
              <w:rPr>
                <w:i/>
                <w:iCs/>
              </w:rPr>
              <w:t>de minimis</w:t>
            </w:r>
            <w:r w:rsidRPr="00F812FE">
              <w:t xml:space="preserve"> </w:t>
            </w:r>
            <w:r w:rsidRPr="00F812FE">
              <w:lastRenderedPageBreak/>
              <w:t xml:space="preserve">atbalsta uzskaites un piešķiršanas kārtību un </w:t>
            </w:r>
            <w:r w:rsidRPr="00F812FE">
              <w:rPr>
                <w:i/>
                <w:iCs/>
              </w:rPr>
              <w:t>de minimis</w:t>
            </w:r>
            <w:r w:rsidRPr="00F812FE">
              <w:t xml:space="preserve"> atbalsta uzskaites veidlapu paraugiem.</w:t>
            </w:r>
          </w:p>
          <w:p w:rsidR="00600AE3" w:rsidRPr="00F812FE" w:rsidRDefault="00600AE3" w:rsidP="00600AE3">
            <w:pPr>
              <w:ind w:firstLine="322"/>
              <w:jc w:val="both"/>
            </w:pPr>
            <w:r w:rsidRPr="00F812FE">
              <w:t>Projekta mērķis ir Latvijas aizsardzības un drošības nozares komersantu, sevišķi mazo vai vidējo uzņēmumu, konkurētspējas, inovāciju un eksportspējas paaugstināšana, veicinot pētniecības un rūpniecības sektora sadarbību, īstenojot projektus, kuru ietvaros tiek attīstīti un ieviesti ražošanā jauni vai uzlaboti militāra vai divējāda pielietojuma produkti vai tehnoloģijas. Komersantu sadarbību ar pētniecības organizācijām un to atbalstu ir plānots veicināt paredzot paaugstinātu pieejamā finansējuma īpatsvaru gadījumos, kad projekta realizācijā tiek iesaistītas pētniecības organizācijas vai pētnieki, vai tiek izmantoti to pētījumu rezultāti. Papildus ir paredzēts izstrādāt AM iekšējo kārtību, saskaņā ar kuru AM vai tās padotības iestādes nodrošinās šajā noteikumu projektā paredzēto pienākumu izpildi.</w:t>
            </w:r>
          </w:p>
          <w:p w:rsidR="00F812FE" w:rsidRPr="00F812FE" w:rsidRDefault="00600AE3" w:rsidP="00F812FE">
            <w:pPr>
              <w:ind w:firstLine="322"/>
              <w:jc w:val="both"/>
            </w:pPr>
            <w:r w:rsidRPr="00F812FE">
              <w:t>Atbilstoši Komercdarbības atbalsta kontroles likumā noteiktajām prasībām, AM 2017.gada 13.decembrī ir nosūtījusi noteikumu projektu Finanšu ministrijai, sākotnējās izvērtēšanas veikšanai. Finanšu ministrija ir sniegusi 13 iebildumus un ieteikumus (28.12.2017 Nr.18-04/8819 “Par noteikumu projekta sākotnējo izvērtēšanu”) un AM ir veikusi atbilstošas projekta izmaiņas:</w:t>
            </w:r>
          </w:p>
          <w:p w:rsidR="00F812FE" w:rsidRPr="00F812FE" w:rsidRDefault="00600AE3" w:rsidP="00F812FE">
            <w:pPr>
              <w:pStyle w:val="ListParagraph"/>
              <w:numPr>
                <w:ilvl w:val="0"/>
                <w:numId w:val="4"/>
              </w:numPr>
              <w:jc w:val="both"/>
              <w:rPr>
                <w:sz w:val="24"/>
                <w:szCs w:val="24"/>
                <w:lang w:val="lv-LV"/>
              </w:rPr>
            </w:pPr>
            <w:r w:rsidRPr="00F812FE">
              <w:rPr>
                <w:sz w:val="24"/>
                <w:szCs w:val="24"/>
                <w:lang w:val="lv-LV"/>
              </w:rPr>
              <w:t>Ir izvērtēta iespēja projekta ietvaros komercdarbības atbalstu sniegt, piemērojot arī Komisijas regulu (ES) Nr.651/2014, ar ko noteiktas atbalsta kategorijas atzīst par saderīgām ar iekšējo tirgu, piemērojot Līguma 107. un 108.pantu. Izvērtēšanas procesā tika secināts, ka dotajā brīdī šāda projekta tvēruma paplašināšana nav pamatojama (galvenokārt ņemot vērā realizēšanai nepieciešamo papildus administratīvo resursu). Vienlaicīgi šo jautājumu AM pārskatāmā nākotnē plāno izvērtēt atkārtoti, balstoties uz pieredzi, kas tiks gūta atbalsta sistēmu sākotnēji realizējot saskaņā ar salīdzinoši vienkāršākiem Komisijas regulas (ES) Nr.1407/2013 nosacījumiem un ņemot vērā uzņēmēju un pētniecības iestāžu intereses pārstāvošo nevalstisko organizāciju ieteikumus;</w:t>
            </w:r>
          </w:p>
          <w:p w:rsidR="00F812FE" w:rsidRPr="00F812FE" w:rsidRDefault="00600AE3" w:rsidP="00F812FE">
            <w:pPr>
              <w:pStyle w:val="ListParagraph"/>
              <w:numPr>
                <w:ilvl w:val="0"/>
                <w:numId w:val="4"/>
              </w:numPr>
              <w:jc w:val="both"/>
              <w:rPr>
                <w:sz w:val="24"/>
                <w:szCs w:val="24"/>
                <w:lang w:val="lv-LV"/>
              </w:rPr>
            </w:pPr>
            <w:r w:rsidRPr="00F812FE">
              <w:rPr>
                <w:rFonts w:cs="Times New Roman"/>
                <w:sz w:val="24"/>
                <w:szCs w:val="24"/>
                <w:lang w:val="lv-LV"/>
              </w:rPr>
              <w:t>Projekts ir papildināts ar nosacījumiem attiecībā nozaru ierobežojumiem un prasībām, kas izriet no  Komisijas regulas (ES) Nr.1407/2013 1.panta;</w:t>
            </w:r>
          </w:p>
          <w:p w:rsidR="00F812FE" w:rsidRPr="00F812FE" w:rsidRDefault="00600AE3" w:rsidP="00F812FE">
            <w:pPr>
              <w:pStyle w:val="ListParagraph"/>
              <w:numPr>
                <w:ilvl w:val="0"/>
                <w:numId w:val="4"/>
              </w:numPr>
              <w:jc w:val="both"/>
              <w:rPr>
                <w:sz w:val="24"/>
                <w:szCs w:val="24"/>
                <w:lang w:val="lv-LV"/>
              </w:rPr>
            </w:pPr>
            <w:r w:rsidRPr="00F812FE">
              <w:rPr>
                <w:rFonts w:cs="Times New Roman"/>
                <w:sz w:val="24"/>
                <w:szCs w:val="24"/>
                <w:lang w:val="lv-LV"/>
              </w:rPr>
              <w:t>Projekts ir precizēts, izņemot atsauci uz papildus iespējamā atbalsta kārtību. Vienlaicīgi projekts ir papildināts ar regulējumu, kas AM ļauj testēt atbalstīto projektu ietvaros radītos produktus (to prototipus), lai pārliecinātos par to iespējamu praktisku pielietojamību NBS uzdevumu veikšanai;</w:t>
            </w:r>
          </w:p>
          <w:p w:rsidR="00F812FE" w:rsidRPr="00F812FE" w:rsidRDefault="00600AE3" w:rsidP="00F812FE">
            <w:pPr>
              <w:pStyle w:val="ListParagraph"/>
              <w:numPr>
                <w:ilvl w:val="0"/>
                <w:numId w:val="4"/>
              </w:numPr>
              <w:jc w:val="both"/>
              <w:rPr>
                <w:sz w:val="24"/>
                <w:szCs w:val="24"/>
                <w:lang w:val="lv-LV"/>
              </w:rPr>
            </w:pPr>
            <w:r w:rsidRPr="00F812FE">
              <w:rPr>
                <w:rFonts w:cs="Times New Roman"/>
                <w:sz w:val="24"/>
                <w:szCs w:val="24"/>
                <w:lang w:val="lv-LV"/>
              </w:rPr>
              <w:t xml:space="preserve">Projekts ir precizēts ar atsauci uz Komisijas regulas (ES) Nr.1407/2013 darbības beigām 2021.gada 30.jūnijā. Atkarībā no atbalsta sistēmas darbības rādītājiem, projekts laika gaitā tiks precizēts vai papildināts, tajā skaitā noteiktajā termiņā iekļaujot atsauci uz regulu, ar kuru tiks aizvietota Komisijas regula (ES) Nr.1407/2013 un/vai pielāgojot </w:t>
            </w:r>
            <w:r w:rsidRPr="00F812FE">
              <w:rPr>
                <w:rFonts w:cs="Times New Roman"/>
                <w:sz w:val="24"/>
                <w:szCs w:val="24"/>
                <w:lang w:val="lv-LV"/>
              </w:rPr>
              <w:lastRenderedPageBreak/>
              <w:t>noteikumus darbībai balstoties uz citu atbilstoša veida pilnvarojumu (piem., jau iepriekšminētā Komisijas regula (ES) Nr.651/2014).</w:t>
            </w:r>
          </w:p>
          <w:p w:rsidR="00600AE3" w:rsidRPr="00F812FE" w:rsidRDefault="00600AE3" w:rsidP="00F812FE">
            <w:pPr>
              <w:pStyle w:val="ListParagraph"/>
              <w:numPr>
                <w:ilvl w:val="0"/>
                <w:numId w:val="4"/>
              </w:numPr>
              <w:jc w:val="both"/>
              <w:rPr>
                <w:sz w:val="24"/>
                <w:szCs w:val="24"/>
                <w:lang w:val="lv-LV"/>
              </w:rPr>
            </w:pPr>
            <w:r w:rsidRPr="00F812FE">
              <w:rPr>
                <w:rFonts w:cs="Times New Roman"/>
                <w:sz w:val="24"/>
                <w:szCs w:val="24"/>
                <w:lang w:val="lv-LV"/>
              </w:rPr>
              <w:t>Projektā ir veikti citi Finanšu ministrijas ierosināti tehniska rakstura labojumi un precizējumi.</w:t>
            </w:r>
          </w:p>
        </w:tc>
      </w:tr>
      <w:tr w:rsidR="00BD5588" w:rsidRPr="00B517C3" w:rsidTr="00F812FE">
        <w:trPr>
          <w:gridAfter w:val="1"/>
          <w:wAfter w:w="6" w:type="dxa"/>
          <w:cantSplit/>
        </w:trPr>
        <w:tc>
          <w:tcPr>
            <w:tcW w:w="0" w:type="auto"/>
            <w:hideMark/>
          </w:tcPr>
          <w:p w:rsidR="00BD5588" w:rsidRPr="00B517C3" w:rsidRDefault="00BD5588" w:rsidP="009E0502">
            <w:pPr>
              <w:jc w:val="center"/>
              <w:rPr>
                <w:rFonts w:ascii="Cambria" w:hAnsi="Cambria"/>
                <w:sz w:val="19"/>
                <w:szCs w:val="19"/>
              </w:rPr>
            </w:pPr>
            <w:r w:rsidRPr="00B517C3">
              <w:rPr>
                <w:rFonts w:ascii="Cambria" w:hAnsi="Cambria"/>
                <w:sz w:val="19"/>
                <w:szCs w:val="19"/>
              </w:rPr>
              <w:lastRenderedPageBreak/>
              <w:t>3.</w:t>
            </w:r>
          </w:p>
        </w:tc>
        <w:tc>
          <w:tcPr>
            <w:tcW w:w="2342" w:type="dxa"/>
            <w:hideMark/>
          </w:tcPr>
          <w:p w:rsidR="00BD5588" w:rsidRPr="00B517C3" w:rsidRDefault="00BD5588" w:rsidP="009E0502">
            <w:pPr>
              <w:rPr>
                <w:rFonts w:ascii="Cambria" w:hAnsi="Cambria"/>
                <w:sz w:val="19"/>
                <w:szCs w:val="19"/>
              </w:rPr>
            </w:pPr>
            <w:r w:rsidRPr="00B517C3">
              <w:rPr>
                <w:rFonts w:ascii="Cambria" w:hAnsi="Cambria"/>
                <w:sz w:val="19"/>
                <w:szCs w:val="19"/>
              </w:rPr>
              <w:t>Projekta izstrādē iesaistītās institūcijas un publiskas personas kapitālsabiedrības</w:t>
            </w:r>
          </w:p>
        </w:tc>
        <w:tc>
          <w:tcPr>
            <w:tcW w:w="0" w:type="auto"/>
            <w:hideMark/>
          </w:tcPr>
          <w:p w:rsidR="00BD5588" w:rsidRPr="00B517C3" w:rsidRDefault="00600AE3" w:rsidP="009E0502">
            <w:pPr>
              <w:rPr>
                <w:rFonts w:ascii="Cambria" w:hAnsi="Cambria"/>
                <w:sz w:val="19"/>
                <w:szCs w:val="19"/>
              </w:rPr>
            </w:pPr>
            <w:r>
              <w:t>Aizsardzības ministrija un Finanšu ministrija (Komercdarbības atbalsta kontroles likumā noteiktās kompetences ietvaros).</w:t>
            </w:r>
          </w:p>
        </w:tc>
      </w:tr>
      <w:tr w:rsidR="00BD5588" w:rsidRPr="00B517C3" w:rsidTr="00F812FE">
        <w:trPr>
          <w:gridAfter w:val="1"/>
          <w:wAfter w:w="6" w:type="dxa"/>
          <w:cantSplit/>
        </w:trPr>
        <w:tc>
          <w:tcPr>
            <w:tcW w:w="0" w:type="auto"/>
            <w:hideMark/>
          </w:tcPr>
          <w:p w:rsidR="00BD5588" w:rsidRPr="00B517C3" w:rsidRDefault="00BD5588" w:rsidP="009E0502">
            <w:pPr>
              <w:jc w:val="center"/>
              <w:rPr>
                <w:rFonts w:ascii="Cambria" w:hAnsi="Cambria"/>
                <w:sz w:val="19"/>
                <w:szCs w:val="19"/>
              </w:rPr>
            </w:pPr>
            <w:r w:rsidRPr="00B517C3">
              <w:rPr>
                <w:rFonts w:ascii="Cambria" w:hAnsi="Cambria"/>
                <w:sz w:val="19"/>
                <w:szCs w:val="19"/>
              </w:rPr>
              <w:t>4.</w:t>
            </w:r>
          </w:p>
        </w:tc>
        <w:tc>
          <w:tcPr>
            <w:tcW w:w="2342" w:type="dxa"/>
            <w:hideMark/>
          </w:tcPr>
          <w:p w:rsidR="00BD5588" w:rsidRPr="00B517C3" w:rsidRDefault="00BD5588" w:rsidP="009E0502">
            <w:pPr>
              <w:rPr>
                <w:rFonts w:ascii="Cambria" w:hAnsi="Cambria"/>
                <w:sz w:val="19"/>
                <w:szCs w:val="19"/>
              </w:rPr>
            </w:pPr>
            <w:r w:rsidRPr="00B517C3">
              <w:rPr>
                <w:rFonts w:ascii="Cambria" w:hAnsi="Cambria"/>
                <w:sz w:val="19"/>
                <w:szCs w:val="19"/>
              </w:rPr>
              <w:t>Cita informācija</w:t>
            </w:r>
          </w:p>
        </w:tc>
        <w:tc>
          <w:tcPr>
            <w:tcW w:w="0" w:type="auto"/>
            <w:hideMark/>
          </w:tcPr>
          <w:p w:rsidR="00BD5588" w:rsidRPr="00B517C3" w:rsidRDefault="00600AE3" w:rsidP="009E0502">
            <w:pPr>
              <w:rPr>
                <w:rFonts w:ascii="Cambria" w:hAnsi="Cambria"/>
                <w:sz w:val="19"/>
                <w:szCs w:val="19"/>
              </w:rPr>
            </w:pPr>
            <w:r>
              <w:t>Noteikumu projekta</w:t>
            </w:r>
            <w:r w:rsidRPr="00E76F99">
              <w:t xml:space="preserve"> izpildi Aizsardzības ministrija nodroši</w:t>
            </w:r>
            <w:r>
              <w:t>nās tai piešķirto valsts budžeta līdzekļu ietvaros.</w:t>
            </w:r>
          </w:p>
        </w:tc>
      </w:tr>
    </w:tbl>
    <w:p w:rsidR="00BD5588" w:rsidRPr="002D7166" w:rsidRDefault="00BD5588" w:rsidP="00BD5588">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1982"/>
        <w:gridCol w:w="6559"/>
      </w:tblGrid>
      <w:tr w:rsidR="00BD5588" w:rsidRPr="00B517C3" w:rsidTr="009E0502">
        <w:trPr>
          <w:cantSplit/>
        </w:trPr>
        <w:tc>
          <w:tcPr>
            <w:tcW w:w="5000" w:type="pct"/>
            <w:gridSpan w:val="3"/>
            <w:vAlign w:val="center"/>
            <w:hideMark/>
          </w:tcPr>
          <w:p w:rsidR="00BD5588" w:rsidRPr="00B517C3" w:rsidRDefault="00BD5588" w:rsidP="009E0502">
            <w:pPr>
              <w:jc w:val="center"/>
              <w:rPr>
                <w:rFonts w:ascii="Cambria" w:hAnsi="Cambria"/>
                <w:b/>
                <w:bCs/>
                <w:sz w:val="19"/>
                <w:szCs w:val="19"/>
              </w:rPr>
            </w:pPr>
            <w:r w:rsidRPr="00B517C3">
              <w:rPr>
                <w:rFonts w:ascii="Cambria" w:hAnsi="Cambria"/>
                <w:b/>
                <w:bCs/>
                <w:sz w:val="19"/>
                <w:szCs w:val="19"/>
              </w:rPr>
              <w:t>II. Tiesību akta projekta ietekme uz sabiedrību, tautsaimniecības attīstību un administratīvo slogu</w:t>
            </w:r>
          </w:p>
        </w:tc>
      </w:tr>
      <w:tr w:rsidR="00BD5588" w:rsidRPr="00B517C3" w:rsidTr="00E528D5">
        <w:trPr>
          <w:cantSplit/>
        </w:trPr>
        <w:tc>
          <w:tcPr>
            <w:tcW w:w="311" w:type="pct"/>
            <w:hideMark/>
          </w:tcPr>
          <w:p w:rsidR="00BD5588" w:rsidRPr="00B517C3" w:rsidRDefault="00BD5588" w:rsidP="009E0502">
            <w:pPr>
              <w:jc w:val="center"/>
              <w:rPr>
                <w:rFonts w:ascii="Cambria" w:hAnsi="Cambria"/>
                <w:sz w:val="19"/>
                <w:szCs w:val="19"/>
              </w:rPr>
            </w:pPr>
            <w:r w:rsidRPr="00B517C3">
              <w:rPr>
                <w:rFonts w:ascii="Cambria" w:hAnsi="Cambria"/>
                <w:sz w:val="19"/>
                <w:szCs w:val="19"/>
              </w:rPr>
              <w:t>1.</w:t>
            </w:r>
          </w:p>
        </w:tc>
        <w:tc>
          <w:tcPr>
            <w:tcW w:w="1088" w:type="pct"/>
            <w:hideMark/>
          </w:tcPr>
          <w:p w:rsidR="00BD5588" w:rsidRPr="00B517C3" w:rsidRDefault="00BD5588" w:rsidP="009E0502">
            <w:pPr>
              <w:rPr>
                <w:rFonts w:ascii="Cambria" w:hAnsi="Cambria"/>
                <w:sz w:val="19"/>
                <w:szCs w:val="19"/>
              </w:rPr>
            </w:pPr>
            <w:r w:rsidRPr="00B517C3">
              <w:rPr>
                <w:rFonts w:ascii="Cambria" w:hAnsi="Cambria"/>
                <w:sz w:val="19"/>
                <w:szCs w:val="19"/>
              </w:rPr>
              <w:t>Sabiedrības mērķgrupas, kuras tiesiskais regulējums ietekmē vai varētu ietekmēt</w:t>
            </w:r>
          </w:p>
        </w:tc>
        <w:tc>
          <w:tcPr>
            <w:tcW w:w="3602" w:type="pct"/>
            <w:hideMark/>
          </w:tcPr>
          <w:p w:rsidR="00BD5588" w:rsidRPr="00B517C3" w:rsidRDefault="00600AE3" w:rsidP="009E0502">
            <w:pPr>
              <w:rPr>
                <w:rFonts w:ascii="Cambria" w:hAnsi="Cambria"/>
                <w:sz w:val="19"/>
                <w:szCs w:val="19"/>
              </w:rPr>
            </w:pPr>
            <w:r>
              <w:t>Latvijas aizsardzības industrijas uzņēmēji un divējādas pielietojamības preču ražotāji, ar aizsardzības industriju saistītas zinātniskās institūcijas.</w:t>
            </w:r>
          </w:p>
        </w:tc>
      </w:tr>
      <w:tr w:rsidR="00BD5588" w:rsidRPr="00B517C3" w:rsidTr="00E528D5">
        <w:trPr>
          <w:cantSplit/>
        </w:trPr>
        <w:tc>
          <w:tcPr>
            <w:tcW w:w="311" w:type="pct"/>
            <w:hideMark/>
          </w:tcPr>
          <w:p w:rsidR="00BD5588" w:rsidRPr="00B517C3" w:rsidRDefault="00BD5588" w:rsidP="009E0502">
            <w:pPr>
              <w:jc w:val="center"/>
              <w:rPr>
                <w:rFonts w:ascii="Cambria" w:hAnsi="Cambria"/>
                <w:sz w:val="19"/>
                <w:szCs w:val="19"/>
              </w:rPr>
            </w:pPr>
            <w:r w:rsidRPr="00B517C3">
              <w:rPr>
                <w:rFonts w:ascii="Cambria" w:hAnsi="Cambria"/>
                <w:sz w:val="19"/>
                <w:szCs w:val="19"/>
              </w:rPr>
              <w:t>2.</w:t>
            </w:r>
          </w:p>
        </w:tc>
        <w:tc>
          <w:tcPr>
            <w:tcW w:w="1088" w:type="pct"/>
            <w:hideMark/>
          </w:tcPr>
          <w:p w:rsidR="00BD5588" w:rsidRPr="00B517C3" w:rsidRDefault="00BD5588" w:rsidP="009E0502">
            <w:pPr>
              <w:rPr>
                <w:rFonts w:ascii="Cambria" w:hAnsi="Cambria"/>
                <w:sz w:val="19"/>
                <w:szCs w:val="19"/>
              </w:rPr>
            </w:pPr>
            <w:r w:rsidRPr="00B517C3">
              <w:rPr>
                <w:rFonts w:ascii="Cambria" w:hAnsi="Cambria"/>
                <w:sz w:val="19"/>
                <w:szCs w:val="19"/>
              </w:rPr>
              <w:t>Tiesiskā regulējuma ietekme uz tautsaimniecību un administratīvo slogu</w:t>
            </w:r>
          </w:p>
        </w:tc>
        <w:tc>
          <w:tcPr>
            <w:tcW w:w="3602" w:type="pct"/>
            <w:hideMark/>
          </w:tcPr>
          <w:p w:rsidR="00BD5588" w:rsidRPr="00B517C3" w:rsidRDefault="00600AE3" w:rsidP="009E0502">
            <w:pPr>
              <w:rPr>
                <w:rFonts w:ascii="Cambria" w:hAnsi="Cambria"/>
                <w:sz w:val="19"/>
                <w:szCs w:val="19"/>
              </w:rPr>
            </w:pPr>
            <w:r>
              <w:t>Tiks veicināta militārās industrijas un ar to saistīto zinātnisko institūciju attīstība Latvijā.</w:t>
            </w:r>
          </w:p>
        </w:tc>
      </w:tr>
      <w:tr w:rsidR="00600AE3" w:rsidRPr="00B517C3" w:rsidTr="00E528D5">
        <w:trPr>
          <w:cantSplit/>
        </w:trPr>
        <w:tc>
          <w:tcPr>
            <w:tcW w:w="311" w:type="pct"/>
            <w:hideMark/>
          </w:tcPr>
          <w:p w:rsidR="00600AE3" w:rsidRPr="00B517C3" w:rsidRDefault="00600AE3" w:rsidP="00600AE3">
            <w:pPr>
              <w:jc w:val="center"/>
              <w:rPr>
                <w:rFonts w:ascii="Cambria" w:hAnsi="Cambria"/>
                <w:sz w:val="19"/>
                <w:szCs w:val="19"/>
              </w:rPr>
            </w:pPr>
            <w:r w:rsidRPr="00B517C3">
              <w:rPr>
                <w:rFonts w:ascii="Cambria" w:hAnsi="Cambria"/>
                <w:sz w:val="19"/>
                <w:szCs w:val="19"/>
              </w:rPr>
              <w:t>3.</w:t>
            </w:r>
          </w:p>
        </w:tc>
        <w:tc>
          <w:tcPr>
            <w:tcW w:w="1088" w:type="pct"/>
            <w:hideMark/>
          </w:tcPr>
          <w:p w:rsidR="00600AE3" w:rsidRPr="00B517C3" w:rsidRDefault="00600AE3" w:rsidP="00600AE3">
            <w:pPr>
              <w:rPr>
                <w:rFonts w:ascii="Cambria" w:hAnsi="Cambria"/>
                <w:sz w:val="19"/>
                <w:szCs w:val="19"/>
              </w:rPr>
            </w:pPr>
            <w:r w:rsidRPr="00B517C3">
              <w:rPr>
                <w:rFonts w:ascii="Cambria" w:hAnsi="Cambria"/>
                <w:sz w:val="19"/>
                <w:szCs w:val="19"/>
              </w:rPr>
              <w:t>Administratīvo izmaksu monetārs novērtējums</w:t>
            </w:r>
          </w:p>
        </w:tc>
        <w:tc>
          <w:tcPr>
            <w:tcW w:w="3602" w:type="pct"/>
            <w:hideMark/>
          </w:tcPr>
          <w:p w:rsidR="00600AE3" w:rsidRPr="00E76F99" w:rsidRDefault="006D3800" w:rsidP="00600AE3">
            <w:r>
              <w:t>Nav</w:t>
            </w:r>
          </w:p>
        </w:tc>
      </w:tr>
      <w:tr w:rsidR="00600AE3" w:rsidRPr="00B517C3" w:rsidTr="00E528D5">
        <w:trPr>
          <w:cantSplit/>
        </w:trPr>
        <w:tc>
          <w:tcPr>
            <w:tcW w:w="311" w:type="pct"/>
            <w:hideMark/>
          </w:tcPr>
          <w:p w:rsidR="00600AE3" w:rsidRPr="00B517C3" w:rsidRDefault="00600AE3" w:rsidP="00600AE3">
            <w:pPr>
              <w:jc w:val="center"/>
              <w:rPr>
                <w:rFonts w:ascii="Cambria" w:hAnsi="Cambria"/>
                <w:sz w:val="19"/>
                <w:szCs w:val="19"/>
              </w:rPr>
            </w:pPr>
            <w:r w:rsidRPr="00B517C3">
              <w:rPr>
                <w:rFonts w:ascii="Cambria" w:hAnsi="Cambria"/>
                <w:sz w:val="19"/>
                <w:szCs w:val="19"/>
              </w:rPr>
              <w:t>4.</w:t>
            </w:r>
          </w:p>
        </w:tc>
        <w:tc>
          <w:tcPr>
            <w:tcW w:w="1088" w:type="pct"/>
            <w:hideMark/>
          </w:tcPr>
          <w:p w:rsidR="00600AE3" w:rsidRPr="00B517C3" w:rsidRDefault="00600AE3" w:rsidP="00600AE3">
            <w:pPr>
              <w:rPr>
                <w:rFonts w:ascii="Cambria" w:hAnsi="Cambria"/>
                <w:sz w:val="19"/>
                <w:szCs w:val="19"/>
              </w:rPr>
            </w:pPr>
            <w:r w:rsidRPr="00B517C3">
              <w:rPr>
                <w:rFonts w:ascii="Cambria" w:hAnsi="Cambria"/>
                <w:sz w:val="19"/>
                <w:szCs w:val="19"/>
              </w:rPr>
              <w:t>Atbilstības izmaksu monetārs novērtējums</w:t>
            </w:r>
          </w:p>
        </w:tc>
        <w:tc>
          <w:tcPr>
            <w:tcW w:w="3602" w:type="pct"/>
            <w:hideMark/>
          </w:tcPr>
          <w:p w:rsidR="00600AE3" w:rsidRPr="00E76F99" w:rsidRDefault="00E528D5" w:rsidP="00600AE3">
            <w:r>
              <w:t>Nav</w:t>
            </w:r>
          </w:p>
        </w:tc>
      </w:tr>
      <w:tr w:rsidR="00BD5588" w:rsidRPr="00B517C3" w:rsidTr="00E528D5">
        <w:trPr>
          <w:cantSplit/>
        </w:trPr>
        <w:tc>
          <w:tcPr>
            <w:tcW w:w="311" w:type="pct"/>
            <w:hideMark/>
          </w:tcPr>
          <w:p w:rsidR="00BD5588" w:rsidRPr="00B517C3" w:rsidRDefault="00BD5588" w:rsidP="009E0502">
            <w:pPr>
              <w:jc w:val="center"/>
              <w:rPr>
                <w:rFonts w:ascii="Cambria" w:hAnsi="Cambria"/>
                <w:sz w:val="19"/>
                <w:szCs w:val="19"/>
              </w:rPr>
            </w:pPr>
            <w:r w:rsidRPr="00B517C3">
              <w:rPr>
                <w:rFonts w:ascii="Cambria" w:hAnsi="Cambria"/>
                <w:sz w:val="19"/>
                <w:szCs w:val="19"/>
              </w:rPr>
              <w:t>5.</w:t>
            </w:r>
          </w:p>
        </w:tc>
        <w:tc>
          <w:tcPr>
            <w:tcW w:w="1088" w:type="pct"/>
            <w:hideMark/>
          </w:tcPr>
          <w:p w:rsidR="00BD5588" w:rsidRPr="00B517C3" w:rsidRDefault="00BD5588" w:rsidP="009E0502">
            <w:pPr>
              <w:rPr>
                <w:rFonts w:ascii="Cambria" w:hAnsi="Cambria"/>
                <w:sz w:val="19"/>
                <w:szCs w:val="19"/>
              </w:rPr>
            </w:pPr>
            <w:r w:rsidRPr="00B517C3">
              <w:rPr>
                <w:rFonts w:ascii="Cambria" w:hAnsi="Cambria"/>
                <w:sz w:val="19"/>
                <w:szCs w:val="19"/>
              </w:rPr>
              <w:t>Cita informācija</w:t>
            </w:r>
          </w:p>
        </w:tc>
        <w:tc>
          <w:tcPr>
            <w:tcW w:w="3602" w:type="pct"/>
            <w:hideMark/>
          </w:tcPr>
          <w:p w:rsidR="00BD5588" w:rsidRPr="00B517C3" w:rsidRDefault="00E528D5" w:rsidP="009E0502">
            <w:pPr>
              <w:rPr>
                <w:rFonts w:ascii="Cambria" w:hAnsi="Cambria"/>
                <w:sz w:val="19"/>
                <w:szCs w:val="19"/>
              </w:rPr>
            </w:pPr>
            <w:r>
              <w:t>Nav</w:t>
            </w:r>
          </w:p>
        </w:tc>
      </w:tr>
    </w:tbl>
    <w:p w:rsidR="00BD5588" w:rsidRDefault="00BD5588">
      <w:pPr>
        <w:rPr>
          <w:rFonts w:ascii="Cambria" w:hAnsi="Cambria"/>
          <w:sz w:val="19"/>
          <w:szCs w:val="19"/>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01"/>
      </w:tblGrid>
      <w:tr w:rsidR="006D3800" w:rsidRPr="006E04C8" w:rsidTr="004922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800" w:rsidRPr="006D3800" w:rsidRDefault="006D3800" w:rsidP="004922DE">
            <w:pPr>
              <w:jc w:val="center"/>
              <w:rPr>
                <w:rFonts w:asciiTheme="majorHAnsi" w:hAnsiTheme="majorHAnsi"/>
                <w:b/>
                <w:bCs/>
                <w:iCs/>
                <w:sz w:val="19"/>
                <w:szCs w:val="19"/>
              </w:rPr>
            </w:pPr>
            <w:r w:rsidRPr="006D3800">
              <w:rPr>
                <w:rFonts w:asciiTheme="majorHAnsi" w:hAnsiTheme="majorHAnsi"/>
                <w:b/>
                <w:bCs/>
                <w:iCs/>
                <w:sz w:val="19"/>
                <w:szCs w:val="19"/>
              </w:rPr>
              <w:t>III. Tiesību akta projekta ietekme uz valsts budžetu un pašvaldību budžetiem</w:t>
            </w:r>
          </w:p>
        </w:tc>
      </w:tr>
      <w:tr w:rsidR="006D3800" w:rsidRPr="006E04C8" w:rsidTr="004922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800" w:rsidRPr="006E04C8" w:rsidRDefault="006D3800" w:rsidP="004922DE">
            <w:pPr>
              <w:jc w:val="center"/>
              <w:rPr>
                <w:bCs/>
                <w:iCs/>
              </w:rPr>
            </w:pPr>
            <w:r w:rsidRPr="006E04C8">
              <w:rPr>
                <w:bCs/>
                <w:iCs/>
              </w:rPr>
              <w:t>Projekts šo jomu neskar</w:t>
            </w:r>
          </w:p>
        </w:tc>
      </w:tr>
    </w:tbl>
    <w:p w:rsidR="006D3800" w:rsidRDefault="006D380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01"/>
      </w:tblGrid>
      <w:tr w:rsidR="006D3800" w:rsidRPr="006E04C8" w:rsidTr="004922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800" w:rsidRPr="006D3800" w:rsidRDefault="006D3800" w:rsidP="004922DE">
            <w:pPr>
              <w:jc w:val="center"/>
              <w:rPr>
                <w:rFonts w:asciiTheme="majorHAnsi" w:hAnsiTheme="majorHAnsi"/>
                <w:b/>
                <w:bCs/>
                <w:iCs/>
                <w:sz w:val="19"/>
                <w:szCs w:val="19"/>
              </w:rPr>
            </w:pPr>
            <w:r w:rsidRPr="006D3800">
              <w:rPr>
                <w:rFonts w:asciiTheme="majorHAnsi" w:hAnsiTheme="majorHAnsi"/>
                <w:b/>
                <w:bCs/>
                <w:iCs/>
                <w:sz w:val="19"/>
                <w:szCs w:val="19"/>
              </w:rPr>
              <w:t>IV. Tiesību akta projekta ietekme uz spēkā esošo tiesību normu sistēmu</w:t>
            </w:r>
          </w:p>
        </w:tc>
      </w:tr>
      <w:tr w:rsidR="006D3800" w:rsidRPr="006E04C8" w:rsidTr="004922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800" w:rsidRPr="006E04C8" w:rsidRDefault="006D3800" w:rsidP="004922DE">
            <w:pPr>
              <w:jc w:val="center"/>
              <w:rPr>
                <w:bCs/>
                <w:iCs/>
              </w:rPr>
            </w:pPr>
            <w:r w:rsidRPr="006E04C8">
              <w:rPr>
                <w:bCs/>
                <w:iCs/>
              </w:rPr>
              <w:t>Projekts šo jomu neskar</w:t>
            </w:r>
          </w:p>
        </w:tc>
      </w:tr>
    </w:tbl>
    <w:p w:rsidR="00BD5588" w:rsidRPr="002D7166" w:rsidRDefault="00BD5588" w:rsidP="006D3800">
      <w:pPr>
        <w:pStyle w:val="Title"/>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124"/>
        <w:gridCol w:w="6417"/>
      </w:tblGrid>
      <w:tr w:rsidR="00BD5588" w:rsidRPr="002D7166" w:rsidTr="009E0502">
        <w:trPr>
          <w:cantSplit/>
        </w:trPr>
        <w:tc>
          <w:tcPr>
            <w:tcW w:w="5000" w:type="pct"/>
            <w:gridSpan w:val="3"/>
            <w:vAlign w:val="center"/>
            <w:hideMark/>
          </w:tcPr>
          <w:p w:rsidR="00BD5588" w:rsidRPr="002D7166" w:rsidRDefault="00BD5588" w:rsidP="009E0502">
            <w:pPr>
              <w:jc w:val="center"/>
              <w:rPr>
                <w:rFonts w:ascii="Cambria" w:hAnsi="Cambria"/>
                <w:b/>
                <w:bCs/>
                <w:sz w:val="19"/>
                <w:szCs w:val="19"/>
              </w:rPr>
            </w:pPr>
            <w:r w:rsidRPr="002D7166">
              <w:rPr>
                <w:rFonts w:ascii="Cambria" w:hAnsi="Cambria"/>
                <w:b/>
                <w:bCs/>
                <w:sz w:val="19"/>
                <w:szCs w:val="19"/>
              </w:rPr>
              <w:t>V. Tiesību akta projekta atbilstība Latvijas Republikas starptautiskajām saistībām</w:t>
            </w:r>
          </w:p>
        </w:tc>
      </w:tr>
      <w:tr w:rsidR="00BD5588" w:rsidRPr="002D7166" w:rsidTr="00E528D5">
        <w:trPr>
          <w:cantSplit/>
        </w:trPr>
        <w:tc>
          <w:tcPr>
            <w:tcW w:w="311" w:type="pct"/>
            <w:hideMark/>
          </w:tcPr>
          <w:p w:rsidR="00BD5588" w:rsidRPr="002D7166" w:rsidRDefault="00BD5588" w:rsidP="009E0502">
            <w:pPr>
              <w:jc w:val="center"/>
              <w:rPr>
                <w:rFonts w:ascii="Cambria" w:hAnsi="Cambria"/>
                <w:sz w:val="19"/>
                <w:szCs w:val="19"/>
              </w:rPr>
            </w:pPr>
            <w:r w:rsidRPr="002D7166">
              <w:rPr>
                <w:rFonts w:ascii="Cambria" w:hAnsi="Cambria"/>
                <w:sz w:val="19"/>
                <w:szCs w:val="19"/>
              </w:rPr>
              <w:lastRenderedPageBreak/>
              <w:t>1.</w:t>
            </w:r>
          </w:p>
        </w:tc>
        <w:tc>
          <w:tcPr>
            <w:tcW w:w="1166" w:type="pct"/>
            <w:hideMark/>
          </w:tcPr>
          <w:p w:rsidR="00BD5588" w:rsidRPr="002D7166" w:rsidRDefault="00BD5588" w:rsidP="009E0502">
            <w:pPr>
              <w:rPr>
                <w:rFonts w:ascii="Cambria" w:hAnsi="Cambria"/>
                <w:sz w:val="19"/>
                <w:szCs w:val="19"/>
              </w:rPr>
            </w:pPr>
            <w:r w:rsidRPr="002D7166">
              <w:rPr>
                <w:rFonts w:ascii="Cambria" w:hAnsi="Cambria"/>
                <w:sz w:val="19"/>
                <w:szCs w:val="19"/>
              </w:rPr>
              <w:t>Saistības pret Eiropas Savienību</w:t>
            </w:r>
          </w:p>
        </w:tc>
        <w:tc>
          <w:tcPr>
            <w:tcW w:w="3524" w:type="pct"/>
            <w:hideMark/>
          </w:tcPr>
          <w:p w:rsidR="00016CDB" w:rsidRPr="00016CDB" w:rsidRDefault="00016CDB" w:rsidP="00016CDB">
            <w:pPr>
              <w:jc w:val="both"/>
            </w:pPr>
            <w:r w:rsidRPr="00016CDB">
              <w:t>Ar projektu aizsardzības nozarē tiek piemēroti specifiski Eiropas Savienības tiesību akti attiecībā uz jomu (aizsardzības industrijas komercdarbības atbalstu), kura aizsardzības nozares ietvaros līdz šim nav mērķtiecīgi realizēta un kurai nav atbilstoša regulējuma spēkā esošajos Latvijas Republikas likumos.</w:t>
            </w:r>
          </w:p>
          <w:p w:rsidR="00016CDB" w:rsidRPr="00016CDB" w:rsidRDefault="00016CDB" w:rsidP="00016CDB">
            <w:pPr>
              <w:jc w:val="both"/>
            </w:pPr>
            <w:r w:rsidRPr="00016CDB">
              <w:t>Ar noteikumu projekta 5.punktu tiek noteiks, ka attiecīgā aizsardzības industrijas komercdarbības atbalsta kārtība kopumā darbojas saskaņā ar Komisijas regulu (ES) Nr.1407/2013 un atbalsts tiek piešķirts kā de minimis atbalsts;</w:t>
            </w:r>
          </w:p>
          <w:p w:rsidR="00016CDB" w:rsidRPr="00016CDB" w:rsidRDefault="00016CDB" w:rsidP="00016CDB">
            <w:pPr>
              <w:jc w:val="both"/>
            </w:pPr>
            <w:r w:rsidRPr="00016CDB">
              <w:t>Noteikumu projekta 6.punkts pārņem Komisijas regulas (ES) Nr.1407/2013 1.panta nosacījumus attiecībā uz atbalstāmo nozaru ierobežojumiem un prasībām par izmaksu nošķiršanu;</w:t>
            </w:r>
          </w:p>
          <w:p w:rsidR="00016CDB" w:rsidRPr="00016CDB" w:rsidRDefault="00016CDB" w:rsidP="00016CDB">
            <w:pPr>
              <w:jc w:val="both"/>
            </w:pPr>
            <w:r w:rsidRPr="00016CDB">
              <w:t>Noteikumu projekta 7.punkts pārņem Komisijas regulas (ES) Nr.1407/2013 3.panta 2.punktā noteiktos maksimālos atbalsta apmērus viena vienota uzņēmuma līmenī;</w:t>
            </w:r>
          </w:p>
          <w:p w:rsidR="00016CDB" w:rsidRPr="00016CDB" w:rsidRDefault="00016CDB" w:rsidP="00016CDB">
            <w:pPr>
              <w:jc w:val="both"/>
            </w:pPr>
            <w:r w:rsidRPr="00016CDB">
              <w:t>Noteikumu projekta 8.punkts pārņem Komisijas regulas (ES) Nr.1407/2013 5.panta 1. un 2.punkta nosacījumus attiecībā uz de minimis atbalsta kumulāciju;</w:t>
            </w:r>
          </w:p>
          <w:p w:rsidR="00BD5588" w:rsidRPr="00016CDB" w:rsidRDefault="00016CDB" w:rsidP="00016CDB">
            <w:pPr>
              <w:jc w:val="both"/>
            </w:pPr>
            <w:r w:rsidRPr="00016CDB">
              <w:t>Noteikumu projekta 42.punktā noteiktais attiecībā uz informācijas pieejamības termiņa nodrošināšanu atbilst Komisijas regulas (ES) Nr.1407/2013 6.panta 4.punktā noteiktajām prasībām, savukārt projekta 43.pants attiecināms uz regulas 7.panta 4.punktā un 8.pantā noteiktajiem regulas un uz tās pamata izstrādātu de minimis atbalsta shēmu darbības termiņiem.</w:t>
            </w:r>
          </w:p>
        </w:tc>
      </w:tr>
      <w:tr w:rsidR="00BD5588" w:rsidRPr="002D7166" w:rsidTr="00E528D5">
        <w:trPr>
          <w:cantSplit/>
        </w:trPr>
        <w:tc>
          <w:tcPr>
            <w:tcW w:w="311" w:type="pct"/>
            <w:hideMark/>
          </w:tcPr>
          <w:p w:rsidR="00BD5588" w:rsidRPr="002D7166" w:rsidRDefault="00BD5588" w:rsidP="009E0502">
            <w:pPr>
              <w:jc w:val="center"/>
              <w:rPr>
                <w:rFonts w:ascii="Cambria" w:hAnsi="Cambria"/>
                <w:sz w:val="19"/>
                <w:szCs w:val="19"/>
              </w:rPr>
            </w:pPr>
            <w:r w:rsidRPr="002D7166">
              <w:rPr>
                <w:rFonts w:ascii="Cambria" w:hAnsi="Cambria"/>
                <w:sz w:val="19"/>
                <w:szCs w:val="19"/>
              </w:rPr>
              <w:t>2.</w:t>
            </w:r>
          </w:p>
        </w:tc>
        <w:tc>
          <w:tcPr>
            <w:tcW w:w="1166" w:type="pct"/>
            <w:hideMark/>
          </w:tcPr>
          <w:p w:rsidR="00BD5588" w:rsidRPr="002D7166" w:rsidRDefault="00BD5588" w:rsidP="009E0502">
            <w:pPr>
              <w:rPr>
                <w:rFonts w:ascii="Cambria" w:hAnsi="Cambria"/>
                <w:sz w:val="19"/>
                <w:szCs w:val="19"/>
              </w:rPr>
            </w:pPr>
            <w:r w:rsidRPr="002D7166">
              <w:rPr>
                <w:rFonts w:ascii="Cambria" w:hAnsi="Cambria"/>
                <w:sz w:val="19"/>
                <w:szCs w:val="19"/>
              </w:rPr>
              <w:t>Citas starptautiskās saistības</w:t>
            </w:r>
          </w:p>
        </w:tc>
        <w:tc>
          <w:tcPr>
            <w:tcW w:w="3524" w:type="pct"/>
            <w:hideMark/>
          </w:tcPr>
          <w:p w:rsidR="00BD5588" w:rsidRPr="002D7166" w:rsidRDefault="00016CDB" w:rsidP="009E0502">
            <w:pPr>
              <w:rPr>
                <w:rFonts w:ascii="Cambria" w:hAnsi="Cambria"/>
                <w:sz w:val="19"/>
                <w:szCs w:val="19"/>
              </w:rPr>
            </w:pPr>
            <w:r w:rsidRPr="006E04C8">
              <w:rPr>
                <w:bCs/>
                <w:iCs/>
              </w:rPr>
              <w:t>Projekts šo jomu neskar</w:t>
            </w:r>
          </w:p>
        </w:tc>
      </w:tr>
      <w:tr w:rsidR="00BD5588" w:rsidRPr="002D7166" w:rsidTr="00E528D5">
        <w:trPr>
          <w:cantSplit/>
        </w:trPr>
        <w:tc>
          <w:tcPr>
            <w:tcW w:w="311" w:type="pct"/>
            <w:hideMark/>
          </w:tcPr>
          <w:p w:rsidR="00BD5588" w:rsidRPr="002D7166" w:rsidRDefault="00BD5588" w:rsidP="009E0502">
            <w:pPr>
              <w:jc w:val="center"/>
              <w:rPr>
                <w:rFonts w:ascii="Cambria" w:hAnsi="Cambria"/>
                <w:sz w:val="19"/>
                <w:szCs w:val="19"/>
              </w:rPr>
            </w:pPr>
            <w:r w:rsidRPr="002D7166">
              <w:rPr>
                <w:rFonts w:ascii="Cambria" w:hAnsi="Cambria"/>
                <w:sz w:val="19"/>
                <w:szCs w:val="19"/>
              </w:rPr>
              <w:t>3.</w:t>
            </w:r>
          </w:p>
        </w:tc>
        <w:tc>
          <w:tcPr>
            <w:tcW w:w="1166" w:type="pct"/>
            <w:hideMark/>
          </w:tcPr>
          <w:p w:rsidR="00BD5588" w:rsidRPr="002D7166" w:rsidRDefault="00BD5588" w:rsidP="009E0502">
            <w:pPr>
              <w:rPr>
                <w:rFonts w:ascii="Cambria" w:hAnsi="Cambria"/>
                <w:sz w:val="19"/>
                <w:szCs w:val="19"/>
              </w:rPr>
            </w:pPr>
            <w:r w:rsidRPr="002D7166">
              <w:rPr>
                <w:rFonts w:ascii="Cambria" w:hAnsi="Cambria"/>
                <w:sz w:val="19"/>
                <w:szCs w:val="19"/>
              </w:rPr>
              <w:t>Cita informācija</w:t>
            </w:r>
          </w:p>
        </w:tc>
        <w:tc>
          <w:tcPr>
            <w:tcW w:w="3524" w:type="pct"/>
            <w:hideMark/>
          </w:tcPr>
          <w:p w:rsidR="00BD5588" w:rsidRPr="002D7166" w:rsidRDefault="00016CDB" w:rsidP="009E0502">
            <w:pPr>
              <w:rPr>
                <w:rFonts w:ascii="Cambria" w:hAnsi="Cambria"/>
                <w:sz w:val="19"/>
                <w:szCs w:val="19"/>
              </w:rPr>
            </w:pPr>
            <w:r w:rsidRPr="006E04C8">
              <w:rPr>
                <w:bCs/>
                <w:iCs/>
              </w:rPr>
              <w:t>Projekts šo jomu neskar</w:t>
            </w:r>
          </w:p>
        </w:tc>
      </w:tr>
    </w:tbl>
    <w:p w:rsidR="00BD5588" w:rsidRPr="002D7166" w:rsidRDefault="00BD5588" w:rsidP="00BD5588">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84"/>
        <w:gridCol w:w="6923"/>
      </w:tblGrid>
      <w:tr w:rsidR="00BD5588" w:rsidRPr="002D7166" w:rsidTr="009E0502">
        <w:trPr>
          <w:cantSplit/>
        </w:trPr>
        <w:tc>
          <w:tcPr>
            <w:tcW w:w="5000" w:type="pct"/>
            <w:gridSpan w:val="2"/>
            <w:vAlign w:val="center"/>
            <w:hideMark/>
          </w:tcPr>
          <w:p w:rsidR="00BD5588" w:rsidRPr="002D7166" w:rsidRDefault="00BD5588" w:rsidP="009E0502">
            <w:pPr>
              <w:jc w:val="center"/>
              <w:rPr>
                <w:rFonts w:ascii="Cambria" w:hAnsi="Cambria"/>
                <w:b/>
                <w:bCs/>
                <w:sz w:val="19"/>
                <w:szCs w:val="19"/>
              </w:rPr>
            </w:pPr>
            <w:r w:rsidRPr="002D7166">
              <w:rPr>
                <w:rFonts w:ascii="Cambria" w:hAnsi="Cambria"/>
                <w:b/>
                <w:bCs/>
                <w:sz w:val="19"/>
                <w:szCs w:val="19"/>
              </w:rPr>
              <w:t>1. tabula</w:t>
            </w:r>
            <w:r w:rsidRPr="002D7166">
              <w:rPr>
                <w:rFonts w:ascii="Cambria" w:hAnsi="Cambria"/>
                <w:b/>
                <w:bCs/>
                <w:sz w:val="19"/>
                <w:szCs w:val="19"/>
              </w:rPr>
              <w:br/>
              <w:t>Tiesību akta projekta atbilstība ES tiesību aktiem</w:t>
            </w:r>
          </w:p>
        </w:tc>
      </w:tr>
      <w:tr w:rsidR="00E528D5" w:rsidRPr="002D7166" w:rsidTr="00E528D5">
        <w:trPr>
          <w:cantSplit/>
          <w:trHeight w:val="487"/>
        </w:trPr>
        <w:tc>
          <w:tcPr>
            <w:tcW w:w="5000" w:type="pct"/>
            <w:gridSpan w:val="2"/>
          </w:tcPr>
          <w:p w:rsidR="00E528D5" w:rsidRPr="002D7166" w:rsidRDefault="00E528D5" w:rsidP="009E0502">
            <w:pPr>
              <w:rPr>
                <w:rFonts w:ascii="Cambria" w:hAnsi="Cambria"/>
                <w:sz w:val="19"/>
                <w:szCs w:val="19"/>
              </w:rPr>
            </w:pPr>
            <w:r w:rsidRPr="006E04C8">
              <w:rPr>
                <w:bCs/>
                <w:iCs/>
              </w:rPr>
              <w:t>Projekts šo jomu neskar</w:t>
            </w:r>
            <w:r>
              <w:rPr>
                <w:bCs/>
                <w:iCs/>
              </w:rPr>
              <w:t xml:space="preserve"> (nepārņem vairāk kā viena ES tiesību akta saistības)</w:t>
            </w:r>
          </w:p>
        </w:tc>
      </w:tr>
      <w:tr w:rsidR="00BD5588" w:rsidRPr="002D7166" w:rsidTr="009E0502">
        <w:trPr>
          <w:cantSplit/>
        </w:trPr>
        <w:tc>
          <w:tcPr>
            <w:tcW w:w="5000" w:type="pct"/>
            <w:gridSpan w:val="2"/>
            <w:vAlign w:val="center"/>
            <w:hideMark/>
          </w:tcPr>
          <w:p w:rsidR="00BD5588" w:rsidRPr="002D7166" w:rsidRDefault="00BD5588" w:rsidP="009E0502">
            <w:pPr>
              <w:jc w:val="center"/>
              <w:rPr>
                <w:rFonts w:ascii="Cambria" w:hAnsi="Cambria"/>
                <w:b/>
                <w:bCs/>
                <w:sz w:val="19"/>
                <w:szCs w:val="19"/>
              </w:rPr>
            </w:pPr>
            <w:r w:rsidRPr="002D7166">
              <w:rPr>
                <w:rFonts w:ascii="Cambria" w:hAnsi="Cambria"/>
                <w:b/>
                <w:bCs/>
                <w:sz w:val="19"/>
                <w:szCs w:val="19"/>
              </w:rPr>
              <w:t>2. tabula</w:t>
            </w:r>
            <w:r w:rsidRPr="002D7166">
              <w:rPr>
                <w:rFonts w:ascii="Cambria" w:hAnsi="Cambria"/>
                <w:b/>
                <w:bCs/>
                <w:sz w:val="19"/>
                <w:szCs w:val="19"/>
              </w:rPr>
              <w:br/>
              <w:t>Ar tiesību akta projektu izpildītās vai uzņemtās saistības, kas izriet no starptautiskajiem tiesību aktiem vai starptautiskas institūcijas vai organizācijas dokumentiem.</w:t>
            </w:r>
            <w:r w:rsidRPr="002D7166">
              <w:rPr>
                <w:rFonts w:ascii="Cambria" w:hAnsi="Cambria"/>
                <w:b/>
                <w:bCs/>
                <w:sz w:val="19"/>
                <w:szCs w:val="19"/>
              </w:rPr>
              <w:br/>
              <w:t>Pasākumi šo saistību izpildei</w:t>
            </w:r>
          </w:p>
        </w:tc>
      </w:tr>
      <w:tr w:rsidR="00E528D5" w:rsidRPr="002D7166" w:rsidTr="00E528D5">
        <w:trPr>
          <w:cantSplit/>
          <w:trHeight w:val="523"/>
        </w:trPr>
        <w:tc>
          <w:tcPr>
            <w:tcW w:w="5000" w:type="pct"/>
            <w:gridSpan w:val="2"/>
          </w:tcPr>
          <w:p w:rsidR="00E528D5" w:rsidRPr="002D7166" w:rsidRDefault="00E528D5" w:rsidP="00E528D5">
            <w:pPr>
              <w:rPr>
                <w:rFonts w:ascii="Cambria" w:hAnsi="Cambria"/>
                <w:sz w:val="19"/>
                <w:szCs w:val="19"/>
              </w:rPr>
            </w:pPr>
            <w:r w:rsidRPr="006E04C8">
              <w:rPr>
                <w:bCs/>
                <w:iCs/>
              </w:rPr>
              <w:t>Projekts šo jomu neskar</w:t>
            </w:r>
            <w:r>
              <w:rPr>
                <w:bCs/>
                <w:iCs/>
              </w:rPr>
              <w:t xml:space="preserve"> (nepārņem vairāk kā viena ES tiesību akta saistības)</w:t>
            </w:r>
          </w:p>
        </w:tc>
      </w:tr>
      <w:tr w:rsidR="00BD5588" w:rsidRPr="002D7166" w:rsidTr="009E0502">
        <w:trPr>
          <w:cantSplit/>
        </w:trPr>
        <w:tc>
          <w:tcPr>
            <w:tcW w:w="1199" w:type="pct"/>
            <w:hideMark/>
          </w:tcPr>
          <w:p w:rsidR="00BD5588" w:rsidRPr="002D7166" w:rsidRDefault="00BD5588" w:rsidP="009E0502">
            <w:pPr>
              <w:rPr>
                <w:rFonts w:ascii="Cambria" w:hAnsi="Cambria"/>
                <w:sz w:val="19"/>
                <w:szCs w:val="19"/>
              </w:rPr>
            </w:pPr>
            <w:r w:rsidRPr="002D7166">
              <w:rPr>
                <w:rFonts w:ascii="Cambria" w:hAnsi="Cambria"/>
                <w:sz w:val="19"/>
                <w:szCs w:val="19"/>
              </w:rPr>
              <w:t>Cita informācija</w:t>
            </w:r>
          </w:p>
        </w:tc>
        <w:tc>
          <w:tcPr>
            <w:tcW w:w="3801" w:type="pct"/>
            <w:hideMark/>
          </w:tcPr>
          <w:p w:rsidR="00BD5588" w:rsidRPr="00E528D5" w:rsidRDefault="00E528D5" w:rsidP="009E0502">
            <w:r w:rsidRPr="00E528D5">
              <w:t>Nav</w:t>
            </w:r>
          </w:p>
        </w:tc>
      </w:tr>
    </w:tbl>
    <w:p w:rsidR="00BD5588" w:rsidRPr="002D7166" w:rsidRDefault="00BD5588" w:rsidP="00BD5588">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124"/>
        <w:gridCol w:w="6417"/>
      </w:tblGrid>
      <w:tr w:rsidR="00BD5588" w:rsidRPr="00425AF0" w:rsidTr="009E0502">
        <w:trPr>
          <w:cantSplit/>
        </w:trPr>
        <w:tc>
          <w:tcPr>
            <w:tcW w:w="5000" w:type="pct"/>
            <w:gridSpan w:val="3"/>
            <w:vAlign w:val="center"/>
            <w:hideMark/>
          </w:tcPr>
          <w:p w:rsidR="00BD5588" w:rsidRPr="00425AF0" w:rsidRDefault="00BD5588" w:rsidP="009E0502">
            <w:pPr>
              <w:jc w:val="center"/>
              <w:rPr>
                <w:rFonts w:ascii="Cambria" w:hAnsi="Cambria"/>
                <w:b/>
                <w:bCs/>
                <w:sz w:val="19"/>
                <w:szCs w:val="19"/>
              </w:rPr>
            </w:pPr>
            <w:r w:rsidRPr="00425AF0">
              <w:rPr>
                <w:rFonts w:ascii="Cambria" w:hAnsi="Cambria"/>
                <w:b/>
                <w:bCs/>
                <w:sz w:val="19"/>
                <w:szCs w:val="19"/>
              </w:rPr>
              <w:t>VI. Sabiedrības līdzdalība un komunikācijas aktivitātes</w:t>
            </w:r>
          </w:p>
        </w:tc>
      </w:tr>
      <w:tr w:rsidR="00BD5588" w:rsidRPr="00425AF0" w:rsidTr="00D1244A">
        <w:trPr>
          <w:cantSplit/>
        </w:trPr>
        <w:tc>
          <w:tcPr>
            <w:tcW w:w="311" w:type="pct"/>
            <w:hideMark/>
          </w:tcPr>
          <w:p w:rsidR="00BD5588" w:rsidRPr="00425AF0" w:rsidRDefault="00BD5588" w:rsidP="009E0502">
            <w:pPr>
              <w:jc w:val="center"/>
              <w:rPr>
                <w:rFonts w:ascii="Cambria" w:hAnsi="Cambria"/>
                <w:sz w:val="19"/>
                <w:szCs w:val="19"/>
              </w:rPr>
            </w:pPr>
            <w:r w:rsidRPr="00425AF0">
              <w:rPr>
                <w:rFonts w:ascii="Cambria" w:hAnsi="Cambria"/>
                <w:sz w:val="19"/>
                <w:szCs w:val="19"/>
              </w:rPr>
              <w:t>1.</w:t>
            </w:r>
          </w:p>
        </w:tc>
        <w:tc>
          <w:tcPr>
            <w:tcW w:w="1166" w:type="pct"/>
            <w:hideMark/>
          </w:tcPr>
          <w:p w:rsidR="00BD5588" w:rsidRPr="00425AF0" w:rsidRDefault="00BD5588" w:rsidP="009E0502">
            <w:pPr>
              <w:rPr>
                <w:rFonts w:ascii="Cambria" w:hAnsi="Cambria"/>
                <w:sz w:val="19"/>
                <w:szCs w:val="19"/>
              </w:rPr>
            </w:pPr>
            <w:r w:rsidRPr="00425AF0">
              <w:rPr>
                <w:rFonts w:ascii="Cambria" w:hAnsi="Cambria"/>
                <w:sz w:val="19"/>
                <w:szCs w:val="19"/>
              </w:rPr>
              <w:t>Plānotās sabiedrības līdzdalības un komunikācijas aktivitātes saistībā ar projektu</w:t>
            </w:r>
          </w:p>
        </w:tc>
        <w:tc>
          <w:tcPr>
            <w:tcW w:w="3523" w:type="pct"/>
            <w:hideMark/>
          </w:tcPr>
          <w:p w:rsidR="00BD5588" w:rsidRPr="00D1244A" w:rsidRDefault="00D1244A" w:rsidP="009E0502">
            <w:r w:rsidRPr="00D1244A">
              <w:t xml:space="preserve">Informācija par </w:t>
            </w:r>
            <w:r>
              <w:t>projekta virzības gaitu regulāri tiek nodota Latvijas Drošības un aizsardzības industriju federācijai.</w:t>
            </w:r>
          </w:p>
        </w:tc>
      </w:tr>
      <w:tr w:rsidR="00BD5588" w:rsidRPr="00425AF0" w:rsidTr="00D1244A">
        <w:trPr>
          <w:cantSplit/>
        </w:trPr>
        <w:tc>
          <w:tcPr>
            <w:tcW w:w="311" w:type="pct"/>
            <w:hideMark/>
          </w:tcPr>
          <w:p w:rsidR="00BD5588" w:rsidRPr="00425AF0" w:rsidRDefault="00BD5588" w:rsidP="009E0502">
            <w:pPr>
              <w:jc w:val="center"/>
              <w:rPr>
                <w:rFonts w:ascii="Cambria" w:hAnsi="Cambria"/>
                <w:sz w:val="19"/>
                <w:szCs w:val="19"/>
              </w:rPr>
            </w:pPr>
            <w:r w:rsidRPr="00425AF0">
              <w:rPr>
                <w:rFonts w:ascii="Cambria" w:hAnsi="Cambria"/>
                <w:sz w:val="19"/>
                <w:szCs w:val="19"/>
              </w:rPr>
              <w:lastRenderedPageBreak/>
              <w:t>2.</w:t>
            </w:r>
          </w:p>
        </w:tc>
        <w:tc>
          <w:tcPr>
            <w:tcW w:w="1166" w:type="pct"/>
            <w:hideMark/>
          </w:tcPr>
          <w:p w:rsidR="00BD5588" w:rsidRPr="00425AF0" w:rsidRDefault="00BD5588" w:rsidP="009E0502">
            <w:pPr>
              <w:rPr>
                <w:rFonts w:ascii="Cambria" w:hAnsi="Cambria"/>
                <w:sz w:val="19"/>
                <w:szCs w:val="19"/>
              </w:rPr>
            </w:pPr>
            <w:r w:rsidRPr="00425AF0">
              <w:rPr>
                <w:rFonts w:ascii="Cambria" w:hAnsi="Cambria"/>
                <w:sz w:val="19"/>
                <w:szCs w:val="19"/>
              </w:rPr>
              <w:t>Sabiedrības līdzdalība projekta izstrādē</w:t>
            </w:r>
          </w:p>
        </w:tc>
        <w:tc>
          <w:tcPr>
            <w:tcW w:w="3523" w:type="pct"/>
            <w:hideMark/>
          </w:tcPr>
          <w:p w:rsidR="000073E0" w:rsidRDefault="000073E0" w:rsidP="000073E0">
            <w:pPr>
              <w:rPr>
                <w:bCs/>
              </w:rPr>
            </w:pPr>
            <w:r>
              <w:rPr>
                <w:bCs/>
              </w:rPr>
              <w:t>Projekta izstrādes gaitā organizētas konsultācijas ar Latvijas Drošības un aizsardzības industriju federācijas amatpersonām un biedriem.</w:t>
            </w:r>
          </w:p>
          <w:p w:rsidR="00BD5588" w:rsidRPr="00425AF0" w:rsidRDefault="000073E0" w:rsidP="000073E0">
            <w:pPr>
              <w:rPr>
                <w:rFonts w:ascii="Cambria" w:hAnsi="Cambria"/>
                <w:sz w:val="19"/>
                <w:szCs w:val="19"/>
              </w:rPr>
            </w:pPr>
            <w:r>
              <w:rPr>
                <w:bCs/>
              </w:rPr>
              <w:t xml:space="preserve">Projekts publicēts Aizsardzības ministrijas tīmekļvietnē </w:t>
            </w:r>
            <w:r w:rsidRPr="00022564">
              <w:rPr>
                <w:bCs/>
                <w:i/>
              </w:rPr>
              <w:t>www.mod.gov.lv</w:t>
            </w:r>
            <w:r>
              <w:rPr>
                <w:bCs/>
                <w:i/>
              </w:rPr>
              <w:t xml:space="preserve"> </w:t>
            </w:r>
            <w:r>
              <w:rPr>
                <w:bCs/>
              </w:rPr>
              <w:t>sadaļā “Sabiedrības līdzdalība” 2018. gada 12. februārī.</w:t>
            </w:r>
          </w:p>
        </w:tc>
      </w:tr>
      <w:tr w:rsidR="00D1244A" w:rsidRPr="00425AF0" w:rsidTr="00D1244A">
        <w:trPr>
          <w:cantSplit/>
        </w:trPr>
        <w:tc>
          <w:tcPr>
            <w:tcW w:w="311" w:type="pct"/>
            <w:hideMark/>
          </w:tcPr>
          <w:p w:rsidR="00D1244A" w:rsidRPr="00425AF0" w:rsidRDefault="00D1244A" w:rsidP="00D1244A">
            <w:pPr>
              <w:jc w:val="center"/>
              <w:rPr>
                <w:rFonts w:ascii="Cambria" w:hAnsi="Cambria"/>
                <w:sz w:val="19"/>
                <w:szCs w:val="19"/>
              </w:rPr>
            </w:pPr>
            <w:r w:rsidRPr="00425AF0">
              <w:rPr>
                <w:rFonts w:ascii="Cambria" w:hAnsi="Cambria"/>
                <w:sz w:val="19"/>
                <w:szCs w:val="19"/>
              </w:rPr>
              <w:t>3.</w:t>
            </w:r>
          </w:p>
        </w:tc>
        <w:tc>
          <w:tcPr>
            <w:tcW w:w="1166" w:type="pct"/>
            <w:hideMark/>
          </w:tcPr>
          <w:p w:rsidR="00D1244A" w:rsidRPr="00425AF0" w:rsidRDefault="00D1244A" w:rsidP="00D1244A">
            <w:pPr>
              <w:rPr>
                <w:rFonts w:ascii="Cambria" w:hAnsi="Cambria"/>
                <w:sz w:val="19"/>
                <w:szCs w:val="19"/>
              </w:rPr>
            </w:pPr>
            <w:r w:rsidRPr="00425AF0">
              <w:rPr>
                <w:rFonts w:ascii="Cambria" w:hAnsi="Cambria"/>
                <w:sz w:val="19"/>
                <w:szCs w:val="19"/>
              </w:rPr>
              <w:t>Sabiedrības līdzdalības rezultāti</w:t>
            </w:r>
          </w:p>
        </w:tc>
        <w:tc>
          <w:tcPr>
            <w:tcW w:w="3523" w:type="pct"/>
            <w:vAlign w:val="center"/>
            <w:hideMark/>
          </w:tcPr>
          <w:p w:rsidR="00D1244A" w:rsidRDefault="00D1244A" w:rsidP="00D1244A">
            <w:pPr>
              <w:spacing w:before="100" w:beforeAutospacing="1" w:after="100" w:afterAutospacing="1" w:line="315" w:lineRule="atLeast"/>
              <w:rPr>
                <w:bCs/>
              </w:rPr>
            </w:pPr>
            <w:r>
              <w:rPr>
                <w:bCs/>
              </w:rPr>
              <w:t>Saņemts Latvijas Drošības un aizsardzības industriju federācijas atzinums.</w:t>
            </w:r>
          </w:p>
        </w:tc>
      </w:tr>
      <w:tr w:rsidR="00D1244A" w:rsidRPr="00425AF0" w:rsidTr="00D1244A">
        <w:trPr>
          <w:cantSplit/>
        </w:trPr>
        <w:tc>
          <w:tcPr>
            <w:tcW w:w="311" w:type="pct"/>
            <w:hideMark/>
          </w:tcPr>
          <w:p w:rsidR="00D1244A" w:rsidRPr="00425AF0" w:rsidRDefault="00D1244A" w:rsidP="00D1244A">
            <w:pPr>
              <w:jc w:val="center"/>
              <w:rPr>
                <w:rFonts w:ascii="Cambria" w:hAnsi="Cambria"/>
                <w:sz w:val="19"/>
                <w:szCs w:val="19"/>
              </w:rPr>
            </w:pPr>
            <w:r w:rsidRPr="00425AF0">
              <w:rPr>
                <w:rFonts w:ascii="Cambria" w:hAnsi="Cambria"/>
                <w:sz w:val="19"/>
                <w:szCs w:val="19"/>
              </w:rPr>
              <w:t>4.</w:t>
            </w:r>
          </w:p>
        </w:tc>
        <w:tc>
          <w:tcPr>
            <w:tcW w:w="1166" w:type="pct"/>
            <w:hideMark/>
          </w:tcPr>
          <w:p w:rsidR="00D1244A" w:rsidRPr="00425AF0" w:rsidRDefault="00D1244A" w:rsidP="00D1244A">
            <w:pPr>
              <w:rPr>
                <w:rFonts w:ascii="Cambria" w:hAnsi="Cambria"/>
                <w:sz w:val="19"/>
                <w:szCs w:val="19"/>
              </w:rPr>
            </w:pPr>
            <w:r w:rsidRPr="00425AF0">
              <w:rPr>
                <w:rFonts w:ascii="Cambria" w:hAnsi="Cambria"/>
                <w:sz w:val="19"/>
                <w:szCs w:val="19"/>
              </w:rPr>
              <w:t>Cita informācija</w:t>
            </w:r>
          </w:p>
        </w:tc>
        <w:tc>
          <w:tcPr>
            <w:tcW w:w="3523" w:type="pct"/>
            <w:hideMark/>
          </w:tcPr>
          <w:p w:rsidR="00D1244A" w:rsidRPr="00D1244A" w:rsidRDefault="00D1244A" w:rsidP="00D1244A">
            <w:r w:rsidRPr="00D1244A">
              <w:t>Nav</w:t>
            </w:r>
          </w:p>
        </w:tc>
      </w:tr>
    </w:tbl>
    <w:p w:rsidR="00BD5588" w:rsidRPr="002D7166" w:rsidRDefault="00BD5588" w:rsidP="00BD5588">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124"/>
        <w:gridCol w:w="6417"/>
      </w:tblGrid>
      <w:tr w:rsidR="00BD5588" w:rsidRPr="00425AF0" w:rsidTr="009E0502">
        <w:trPr>
          <w:cantSplit/>
        </w:trPr>
        <w:tc>
          <w:tcPr>
            <w:tcW w:w="5000" w:type="pct"/>
            <w:gridSpan w:val="3"/>
            <w:vAlign w:val="center"/>
            <w:hideMark/>
          </w:tcPr>
          <w:p w:rsidR="00BD5588" w:rsidRPr="00425AF0" w:rsidRDefault="00BD5588" w:rsidP="009E0502">
            <w:pPr>
              <w:jc w:val="center"/>
              <w:rPr>
                <w:rFonts w:ascii="Cambria" w:hAnsi="Cambria"/>
                <w:b/>
                <w:bCs/>
                <w:sz w:val="19"/>
                <w:szCs w:val="19"/>
              </w:rPr>
            </w:pPr>
            <w:r w:rsidRPr="00425AF0">
              <w:rPr>
                <w:rFonts w:ascii="Cambria" w:hAnsi="Cambria"/>
                <w:b/>
                <w:bCs/>
                <w:sz w:val="19"/>
                <w:szCs w:val="19"/>
              </w:rPr>
              <w:t>VII. Tiesību akta projekta izpildes nodrošināšana un tās ietekme uz institūcijām</w:t>
            </w:r>
          </w:p>
        </w:tc>
      </w:tr>
      <w:tr w:rsidR="00D1244A" w:rsidRPr="00425AF0" w:rsidTr="00D1244A">
        <w:trPr>
          <w:cantSplit/>
        </w:trPr>
        <w:tc>
          <w:tcPr>
            <w:tcW w:w="311" w:type="pct"/>
            <w:hideMark/>
          </w:tcPr>
          <w:p w:rsidR="00D1244A" w:rsidRPr="00425AF0" w:rsidRDefault="00D1244A" w:rsidP="00D1244A">
            <w:pPr>
              <w:jc w:val="center"/>
              <w:rPr>
                <w:rFonts w:ascii="Cambria" w:hAnsi="Cambria"/>
                <w:sz w:val="19"/>
                <w:szCs w:val="19"/>
              </w:rPr>
            </w:pPr>
            <w:r w:rsidRPr="00425AF0">
              <w:rPr>
                <w:rFonts w:ascii="Cambria" w:hAnsi="Cambria"/>
                <w:sz w:val="19"/>
                <w:szCs w:val="19"/>
              </w:rPr>
              <w:t>1.</w:t>
            </w:r>
          </w:p>
        </w:tc>
        <w:tc>
          <w:tcPr>
            <w:tcW w:w="1166" w:type="pct"/>
            <w:hideMark/>
          </w:tcPr>
          <w:p w:rsidR="00D1244A" w:rsidRPr="00425AF0" w:rsidRDefault="00D1244A" w:rsidP="00D1244A">
            <w:pPr>
              <w:rPr>
                <w:rFonts w:ascii="Cambria" w:hAnsi="Cambria"/>
                <w:sz w:val="19"/>
                <w:szCs w:val="19"/>
              </w:rPr>
            </w:pPr>
            <w:r w:rsidRPr="00425AF0">
              <w:rPr>
                <w:rFonts w:ascii="Cambria" w:hAnsi="Cambria"/>
                <w:sz w:val="19"/>
                <w:szCs w:val="19"/>
              </w:rPr>
              <w:t>Projekta izpildē iesaistītās institūcijas</w:t>
            </w:r>
          </w:p>
        </w:tc>
        <w:tc>
          <w:tcPr>
            <w:tcW w:w="3523" w:type="pct"/>
            <w:hideMark/>
          </w:tcPr>
          <w:p w:rsidR="00D1244A" w:rsidRPr="00E76F99" w:rsidRDefault="00D1244A" w:rsidP="00D1244A">
            <w:r w:rsidRPr="00E76F99">
              <w:t>Aizsardzības ministrija, NBS</w:t>
            </w:r>
            <w:r>
              <w:t>, VAMOIC.</w:t>
            </w:r>
          </w:p>
        </w:tc>
      </w:tr>
      <w:tr w:rsidR="00D1244A" w:rsidRPr="00425AF0" w:rsidTr="00D1244A">
        <w:trPr>
          <w:cantSplit/>
        </w:trPr>
        <w:tc>
          <w:tcPr>
            <w:tcW w:w="311" w:type="pct"/>
            <w:hideMark/>
          </w:tcPr>
          <w:p w:rsidR="00D1244A" w:rsidRPr="00425AF0" w:rsidRDefault="00D1244A" w:rsidP="00D1244A">
            <w:pPr>
              <w:jc w:val="center"/>
              <w:rPr>
                <w:rFonts w:ascii="Cambria" w:hAnsi="Cambria"/>
                <w:sz w:val="19"/>
                <w:szCs w:val="19"/>
              </w:rPr>
            </w:pPr>
            <w:r w:rsidRPr="00425AF0">
              <w:rPr>
                <w:rFonts w:ascii="Cambria" w:hAnsi="Cambria"/>
                <w:sz w:val="19"/>
                <w:szCs w:val="19"/>
              </w:rPr>
              <w:t>2.</w:t>
            </w:r>
          </w:p>
        </w:tc>
        <w:tc>
          <w:tcPr>
            <w:tcW w:w="1166" w:type="pct"/>
            <w:hideMark/>
          </w:tcPr>
          <w:p w:rsidR="00D1244A" w:rsidRPr="00425AF0" w:rsidRDefault="00D1244A" w:rsidP="00D1244A">
            <w:pPr>
              <w:rPr>
                <w:rFonts w:ascii="Cambria" w:hAnsi="Cambria"/>
                <w:sz w:val="19"/>
                <w:szCs w:val="19"/>
              </w:rPr>
            </w:pPr>
            <w:r w:rsidRPr="00425AF0">
              <w:rPr>
                <w:rFonts w:ascii="Cambria" w:hAnsi="Cambria"/>
                <w:sz w:val="19"/>
                <w:szCs w:val="19"/>
              </w:rPr>
              <w:t>Projekta izpildes ietekme uz pārvaldes funkcijām un institucionālo struktūru.</w:t>
            </w:r>
            <w:r w:rsidRPr="00425AF0">
              <w:rPr>
                <w:rFonts w:ascii="Cambria" w:hAnsi="Cambria"/>
                <w:sz w:val="19"/>
                <w:szCs w:val="19"/>
              </w:rPr>
              <w:br/>
              <w:t>Jaunu institūciju izveide, esošu institūciju likvidācija vai reorganizācija, to ietekme uz institūcijas cilvēkresursiem</w:t>
            </w:r>
          </w:p>
        </w:tc>
        <w:tc>
          <w:tcPr>
            <w:tcW w:w="3523" w:type="pct"/>
            <w:hideMark/>
          </w:tcPr>
          <w:p w:rsidR="00D1244A" w:rsidRPr="00E76F99" w:rsidRDefault="00D1244A" w:rsidP="00D1244A">
            <w:pPr>
              <w:jc w:val="both"/>
            </w:pPr>
            <w:r w:rsidRPr="00E76F99">
              <w:t>Projekts šo jomu neskar</w:t>
            </w:r>
            <w:r>
              <w:t xml:space="preserve">. Tiks realizēts esošo administratīvo institūciju ietvaros. </w:t>
            </w:r>
          </w:p>
          <w:p w:rsidR="00D1244A" w:rsidRPr="00E76F99" w:rsidRDefault="00D1244A" w:rsidP="00D1244A">
            <w:pPr>
              <w:jc w:val="both"/>
            </w:pPr>
          </w:p>
        </w:tc>
      </w:tr>
      <w:tr w:rsidR="00D1244A" w:rsidRPr="00425AF0" w:rsidTr="00D1244A">
        <w:trPr>
          <w:cantSplit/>
        </w:trPr>
        <w:tc>
          <w:tcPr>
            <w:tcW w:w="311" w:type="pct"/>
            <w:hideMark/>
          </w:tcPr>
          <w:p w:rsidR="00D1244A" w:rsidRPr="00425AF0" w:rsidRDefault="00D1244A" w:rsidP="00D1244A">
            <w:pPr>
              <w:jc w:val="center"/>
              <w:rPr>
                <w:rFonts w:ascii="Cambria" w:hAnsi="Cambria"/>
                <w:sz w:val="19"/>
                <w:szCs w:val="19"/>
              </w:rPr>
            </w:pPr>
            <w:r w:rsidRPr="00425AF0">
              <w:rPr>
                <w:rFonts w:ascii="Cambria" w:hAnsi="Cambria"/>
                <w:sz w:val="19"/>
                <w:szCs w:val="19"/>
              </w:rPr>
              <w:t>3.</w:t>
            </w:r>
          </w:p>
        </w:tc>
        <w:tc>
          <w:tcPr>
            <w:tcW w:w="1166" w:type="pct"/>
            <w:hideMark/>
          </w:tcPr>
          <w:p w:rsidR="00D1244A" w:rsidRPr="00425AF0" w:rsidRDefault="00D1244A" w:rsidP="00D1244A">
            <w:pPr>
              <w:rPr>
                <w:rFonts w:ascii="Cambria" w:hAnsi="Cambria"/>
                <w:sz w:val="19"/>
                <w:szCs w:val="19"/>
              </w:rPr>
            </w:pPr>
            <w:r w:rsidRPr="00425AF0">
              <w:rPr>
                <w:rFonts w:ascii="Cambria" w:hAnsi="Cambria"/>
                <w:sz w:val="19"/>
                <w:szCs w:val="19"/>
              </w:rPr>
              <w:t>Cita informācija</w:t>
            </w:r>
          </w:p>
        </w:tc>
        <w:tc>
          <w:tcPr>
            <w:tcW w:w="3523" w:type="pct"/>
            <w:hideMark/>
          </w:tcPr>
          <w:p w:rsidR="00D1244A" w:rsidRPr="00D1244A" w:rsidRDefault="00D1244A" w:rsidP="00D1244A">
            <w:r w:rsidRPr="00D1244A">
              <w:t>Nav</w:t>
            </w:r>
          </w:p>
        </w:tc>
      </w:tr>
    </w:tbl>
    <w:p w:rsidR="004F251C" w:rsidRDefault="004F251C" w:rsidP="004F251C">
      <w:pPr>
        <w:tabs>
          <w:tab w:val="right" w:pos="9074"/>
        </w:tabs>
      </w:pPr>
    </w:p>
    <w:p w:rsidR="004F251C" w:rsidRDefault="004F251C" w:rsidP="004F251C">
      <w:pPr>
        <w:tabs>
          <w:tab w:val="right" w:pos="9074"/>
        </w:tabs>
      </w:pPr>
    </w:p>
    <w:p w:rsidR="004F251C" w:rsidRPr="00E76F99" w:rsidRDefault="004F251C" w:rsidP="004F251C">
      <w:pPr>
        <w:tabs>
          <w:tab w:val="right" w:pos="9074"/>
        </w:tabs>
      </w:pPr>
      <w:r w:rsidRPr="00E76F99">
        <w:t>Aizsardzības ministrs</w:t>
      </w:r>
      <w:r w:rsidRPr="00E76F99">
        <w:tab/>
        <w:t>R.Bergmanis</w:t>
      </w:r>
    </w:p>
    <w:p w:rsidR="004F251C" w:rsidRPr="00E76F99" w:rsidRDefault="004F251C" w:rsidP="004F251C">
      <w:pPr>
        <w:tabs>
          <w:tab w:val="right" w:pos="9000"/>
        </w:tabs>
        <w:jc w:val="both"/>
      </w:pPr>
    </w:p>
    <w:p w:rsidR="004F251C" w:rsidRPr="00E76F99" w:rsidRDefault="004F251C" w:rsidP="004F251C">
      <w:pPr>
        <w:tabs>
          <w:tab w:val="right" w:pos="9000"/>
        </w:tabs>
        <w:jc w:val="both"/>
      </w:pPr>
    </w:p>
    <w:p w:rsidR="004F251C" w:rsidRPr="00E76F99" w:rsidRDefault="004F251C" w:rsidP="004F251C">
      <w:pPr>
        <w:tabs>
          <w:tab w:val="right" w:pos="9000"/>
        </w:tabs>
        <w:jc w:val="both"/>
      </w:pPr>
    </w:p>
    <w:p w:rsidR="004F251C" w:rsidRPr="00E76F99" w:rsidRDefault="004F251C" w:rsidP="004F251C">
      <w:pPr>
        <w:tabs>
          <w:tab w:val="right" w:pos="9000"/>
        </w:tabs>
        <w:jc w:val="both"/>
      </w:pPr>
    </w:p>
    <w:p w:rsidR="004F251C" w:rsidRPr="00E76F99" w:rsidRDefault="004F251C" w:rsidP="004F251C">
      <w:pPr>
        <w:tabs>
          <w:tab w:val="right" w:pos="9000"/>
        </w:tabs>
        <w:jc w:val="both"/>
      </w:pPr>
      <w:r w:rsidRPr="00E76F99">
        <w:t>Vīza: valsts sekretārs</w:t>
      </w:r>
      <w:r w:rsidRPr="00E76F99">
        <w:tab/>
        <w:t>J.Garisons</w:t>
      </w:r>
    </w:p>
    <w:p w:rsidR="004F251C" w:rsidRDefault="004F251C" w:rsidP="004F251C">
      <w:pPr>
        <w:pStyle w:val="Header"/>
        <w:rPr>
          <w:sz w:val="16"/>
          <w:szCs w:val="16"/>
          <w:lang w:val="en-AU" w:eastAsia="en-US" w:bidi="lo-LA"/>
        </w:rPr>
      </w:pPr>
    </w:p>
    <w:p w:rsidR="004F251C" w:rsidRDefault="004F251C" w:rsidP="004F251C">
      <w:pPr>
        <w:pStyle w:val="Header"/>
        <w:rPr>
          <w:sz w:val="16"/>
          <w:szCs w:val="16"/>
          <w:lang w:val="en-AU" w:eastAsia="en-US" w:bidi="lo-LA"/>
        </w:rPr>
      </w:pPr>
    </w:p>
    <w:p w:rsidR="004F251C" w:rsidRDefault="004F251C" w:rsidP="004F251C">
      <w:pPr>
        <w:pStyle w:val="Header"/>
        <w:rPr>
          <w:sz w:val="16"/>
          <w:szCs w:val="16"/>
          <w:lang w:val="en-AU" w:eastAsia="en-US" w:bidi="lo-LA"/>
        </w:rPr>
      </w:pPr>
    </w:p>
    <w:p w:rsidR="004F251C" w:rsidRDefault="004F251C" w:rsidP="004F251C">
      <w:pPr>
        <w:pStyle w:val="Header"/>
        <w:rPr>
          <w:sz w:val="16"/>
          <w:szCs w:val="16"/>
          <w:lang w:val="en-AU" w:eastAsia="en-US" w:bidi="lo-LA"/>
        </w:rPr>
      </w:pPr>
    </w:p>
    <w:p w:rsidR="004F251C" w:rsidRDefault="004F251C" w:rsidP="004F251C">
      <w:pPr>
        <w:pStyle w:val="Header"/>
        <w:rPr>
          <w:sz w:val="16"/>
          <w:szCs w:val="16"/>
          <w:lang w:val="en-AU" w:eastAsia="en-US" w:bidi="lo-LA"/>
        </w:rPr>
      </w:pPr>
      <w:r>
        <w:rPr>
          <w:sz w:val="16"/>
          <w:szCs w:val="16"/>
          <w:lang w:val="en-AU" w:eastAsia="en-US" w:bidi="lo-LA"/>
        </w:rPr>
        <w:t>05.03.2018</w:t>
      </w:r>
    </w:p>
    <w:p w:rsidR="004F251C" w:rsidRDefault="004F251C" w:rsidP="004F251C">
      <w:pPr>
        <w:pStyle w:val="Header"/>
        <w:rPr>
          <w:sz w:val="16"/>
          <w:szCs w:val="16"/>
          <w:lang w:val="en-AU" w:eastAsia="en-US" w:bidi="lo-LA"/>
        </w:rPr>
      </w:pPr>
      <w:r>
        <w:rPr>
          <w:sz w:val="16"/>
          <w:szCs w:val="16"/>
          <w:lang w:val="en-AU" w:eastAsia="en-US" w:bidi="lo-LA"/>
        </w:rPr>
        <w:fldChar w:fldCharType="begin"/>
      </w:r>
      <w:r>
        <w:rPr>
          <w:sz w:val="16"/>
          <w:szCs w:val="16"/>
          <w:lang w:val="en-AU" w:eastAsia="en-US" w:bidi="lo-LA"/>
        </w:rPr>
        <w:instrText xml:space="preserve"> NUMWORDS   \* MERGEFORMAT </w:instrText>
      </w:r>
      <w:r>
        <w:rPr>
          <w:sz w:val="16"/>
          <w:szCs w:val="16"/>
          <w:lang w:val="en-AU" w:eastAsia="en-US" w:bidi="lo-LA"/>
        </w:rPr>
        <w:fldChar w:fldCharType="separate"/>
      </w:r>
      <w:r>
        <w:rPr>
          <w:noProof/>
          <w:sz w:val="16"/>
          <w:szCs w:val="16"/>
          <w:lang w:val="en-AU" w:eastAsia="en-US" w:bidi="lo-LA"/>
        </w:rPr>
        <w:t>1449</w:t>
      </w:r>
      <w:r>
        <w:rPr>
          <w:sz w:val="16"/>
          <w:szCs w:val="16"/>
          <w:lang w:val="en-AU" w:eastAsia="en-US" w:bidi="lo-LA"/>
        </w:rPr>
        <w:fldChar w:fldCharType="end"/>
      </w:r>
    </w:p>
    <w:p w:rsidR="004F251C" w:rsidRPr="00015C2A" w:rsidRDefault="004F251C" w:rsidP="004F251C">
      <w:pPr>
        <w:pStyle w:val="Header"/>
        <w:rPr>
          <w:sz w:val="16"/>
          <w:szCs w:val="16"/>
        </w:rPr>
      </w:pPr>
      <w:r>
        <w:rPr>
          <w:sz w:val="16"/>
          <w:szCs w:val="16"/>
        </w:rPr>
        <w:t>M.Mežulis</w:t>
      </w:r>
    </w:p>
    <w:p w:rsidR="004F251C" w:rsidRDefault="00B73ADE" w:rsidP="004F251C">
      <w:pPr>
        <w:pStyle w:val="Header"/>
        <w:rPr>
          <w:sz w:val="16"/>
          <w:szCs w:val="16"/>
        </w:rPr>
      </w:pPr>
      <w:hyperlink r:id="rId12" w:history="1">
        <w:r w:rsidR="004F251C" w:rsidRPr="00EB3583">
          <w:rPr>
            <w:rStyle w:val="Hyperlink"/>
            <w:sz w:val="16"/>
            <w:szCs w:val="16"/>
          </w:rPr>
          <w:t>Martins.Mezulis@mod.gov.lv</w:t>
        </w:r>
      </w:hyperlink>
      <w:r w:rsidR="004F251C">
        <w:rPr>
          <w:rStyle w:val="Hyperlink"/>
          <w:sz w:val="16"/>
          <w:szCs w:val="16"/>
        </w:rPr>
        <w:t xml:space="preserve">  </w:t>
      </w:r>
    </w:p>
    <w:p w:rsidR="004F251C" w:rsidRPr="00015C2A" w:rsidRDefault="004F251C" w:rsidP="004F251C">
      <w:pPr>
        <w:pStyle w:val="Header"/>
        <w:rPr>
          <w:sz w:val="16"/>
          <w:szCs w:val="16"/>
        </w:rPr>
      </w:pPr>
      <w:r>
        <w:rPr>
          <w:sz w:val="16"/>
          <w:szCs w:val="16"/>
        </w:rPr>
        <w:t>67335166</w:t>
      </w:r>
    </w:p>
    <w:p w:rsidR="004F251C" w:rsidRPr="00A60F34" w:rsidRDefault="004F251C" w:rsidP="004F251C">
      <w:pPr>
        <w:pStyle w:val="naisc"/>
        <w:spacing w:before="0" w:after="0"/>
        <w:jc w:val="both"/>
        <w:rPr>
          <w:sz w:val="16"/>
          <w:szCs w:val="16"/>
          <w:lang w:val="lv-LV"/>
        </w:rPr>
      </w:pPr>
    </w:p>
    <w:p w:rsidR="004F251C" w:rsidRDefault="004F251C" w:rsidP="004F251C">
      <w:pPr>
        <w:jc w:val="both"/>
        <w:rPr>
          <w:sz w:val="16"/>
          <w:szCs w:val="16"/>
        </w:rPr>
      </w:pPr>
      <w:r>
        <w:rPr>
          <w:sz w:val="16"/>
          <w:szCs w:val="16"/>
        </w:rPr>
        <w:t>S.Belrus</w:t>
      </w:r>
    </w:p>
    <w:p w:rsidR="004F251C" w:rsidRDefault="00B73ADE" w:rsidP="004F251C">
      <w:pPr>
        <w:jc w:val="both"/>
        <w:rPr>
          <w:sz w:val="16"/>
          <w:szCs w:val="16"/>
        </w:rPr>
      </w:pPr>
      <w:hyperlink r:id="rId13" w:history="1">
        <w:r w:rsidR="004F251C" w:rsidRPr="00EB3583">
          <w:rPr>
            <w:rStyle w:val="Hyperlink"/>
            <w:sz w:val="16"/>
            <w:szCs w:val="16"/>
          </w:rPr>
          <w:t>Sanita.Belrus@mod.gov.lv</w:t>
        </w:r>
      </w:hyperlink>
    </w:p>
    <w:p w:rsidR="004F251C" w:rsidRPr="00015C2A" w:rsidRDefault="004F251C" w:rsidP="004F251C">
      <w:pPr>
        <w:jc w:val="both"/>
        <w:rPr>
          <w:sz w:val="16"/>
          <w:szCs w:val="16"/>
        </w:rPr>
      </w:pPr>
      <w:r>
        <w:rPr>
          <w:sz w:val="16"/>
          <w:szCs w:val="16"/>
        </w:rPr>
        <w:t>67335063</w:t>
      </w:r>
    </w:p>
    <w:p w:rsidR="00E44472" w:rsidRDefault="00E44472"/>
    <w:sectPr w:rsidR="00E44472" w:rsidSect="00016CDB">
      <w:type w:val="continuous"/>
      <w:pgSz w:w="11906" w:h="16838"/>
      <w:pgMar w:top="1276" w:right="992"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ADE" w:rsidRDefault="00B73ADE" w:rsidP="00600AE3">
      <w:r>
        <w:separator/>
      </w:r>
    </w:p>
  </w:endnote>
  <w:endnote w:type="continuationSeparator" w:id="0">
    <w:p w:rsidR="00B73ADE" w:rsidRDefault="00B73ADE" w:rsidP="0060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AE3" w:rsidRPr="00600AE3" w:rsidRDefault="00600AE3" w:rsidP="00600AE3">
    <w:pPr>
      <w:shd w:val="clear" w:color="auto" w:fill="FFFFFF"/>
      <w:rPr>
        <w:i/>
        <w:iCs/>
        <w:sz w:val="20"/>
        <w:szCs w:val="20"/>
      </w:rPr>
    </w:pPr>
    <w:r w:rsidRPr="00600AE3">
      <w:rPr>
        <w:sz w:val="20"/>
        <w:szCs w:val="20"/>
      </w:rPr>
      <w:t xml:space="preserve">AiManot_Granti_05.03.2018; </w:t>
    </w:r>
    <w:r w:rsidRPr="00600AE3">
      <w:rPr>
        <w:bCs/>
        <w:sz w:val="20"/>
        <w:szCs w:val="20"/>
      </w:rPr>
      <w:t>Ministru kabineta noteikumu projekta „</w:t>
    </w:r>
    <w:r w:rsidRPr="00600AE3">
      <w:rPr>
        <w:sz w:val="20"/>
        <w:szCs w:val="20"/>
      </w:rPr>
      <w:t xml:space="preserve"> Kārtība, kādā Aizsardzības ministrija īsteno projektu konkursus militāru vai divējāda pielietojuma produktu attīstības atbalstam</w:t>
    </w:r>
    <w:r w:rsidRPr="00600AE3">
      <w:rPr>
        <w:bCs/>
        <w:sz w:val="20"/>
        <w:szCs w:val="20"/>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ADE" w:rsidRDefault="00B73ADE" w:rsidP="00600AE3">
      <w:r>
        <w:separator/>
      </w:r>
    </w:p>
  </w:footnote>
  <w:footnote w:type="continuationSeparator" w:id="0">
    <w:p w:rsidR="00B73ADE" w:rsidRDefault="00B73ADE" w:rsidP="00600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146780"/>
      <w:docPartObj>
        <w:docPartGallery w:val="Page Numbers (Top of Page)"/>
        <w:docPartUnique/>
      </w:docPartObj>
    </w:sdtPr>
    <w:sdtEndPr>
      <w:rPr>
        <w:noProof/>
      </w:rPr>
    </w:sdtEndPr>
    <w:sdtContent>
      <w:p w:rsidR="004F251C" w:rsidRDefault="004F251C">
        <w:pPr>
          <w:pStyle w:val="Header"/>
          <w:jc w:val="center"/>
        </w:pPr>
        <w:r>
          <w:fldChar w:fldCharType="begin"/>
        </w:r>
        <w:r>
          <w:instrText xml:space="preserve"> PAGE   \* MERGEFORMAT </w:instrText>
        </w:r>
        <w:r>
          <w:fldChar w:fldCharType="separate"/>
        </w:r>
        <w:r w:rsidR="00043B7E">
          <w:rPr>
            <w:noProof/>
          </w:rPr>
          <w:t>2</w:t>
        </w:r>
        <w:r>
          <w:rPr>
            <w:noProof/>
          </w:rPr>
          <w:fldChar w:fldCharType="end"/>
        </w:r>
      </w:p>
    </w:sdtContent>
  </w:sdt>
  <w:p w:rsidR="004F251C" w:rsidRDefault="004F2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B0436"/>
    <w:multiLevelType w:val="hybridMultilevel"/>
    <w:tmpl w:val="F3CEB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792D0B"/>
    <w:multiLevelType w:val="hybridMultilevel"/>
    <w:tmpl w:val="A052FCE0"/>
    <w:lvl w:ilvl="0" w:tplc="C058989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8F95CB1"/>
    <w:multiLevelType w:val="hybridMultilevel"/>
    <w:tmpl w:val="798418D8"/>
    <w:lvl w:ilvl="0" w:tplc="B758584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EF95D66"/>
    <w:multiLevelType w:val="hybridMultilevel"/>
    <w:tmpl w:val="1C3A3446"/>
    <w:lvl w:ilvl="0" w:tplc="E2AEF38A">
      <w:start w:val="1"/>
      <w:numFmt w:val="decimal"/>
      <w:lvlText w:val="%1."/>
      <w:lvlJc w:val="left"/>
      <w:pPr>
        <w:ind w:left="682" w:hanging="360"/>
      </w:pPr>
      <w:rPr>
        <w:rFonts w:ascii="Times New Roman" w:eastAsia="Times New Roman" w:hAnsi="Times New Roman" w:cs="Times New Roman"/>
      </w:rPr>
    </w:lvl>
    <w:lvl w:ilvl="1" w:tplc="04260019" w:tentative="1">
      <w:start w:val="1"/>
      <w:numFmt w:val="lowerLetter"/>
      <w:lvlText w:val="%2."/>
      <w:lvlJc w:val="left"/>
      <w:pPr>
        <w:ind w:left="1402" w:hanging="360"/>
      </w:pPr>
    </w:lvl>
    <w:lvl w:ilvl="2" w:tplc="0426001B" w:tentative="1">
      <w:start w:val="1"/>
      <w:numFmt w:val="lowerRoman"/>
      <w:lvlText w:val="%3."/>
      <w:lvlJc w:val="right"/>
      <w:pPr>
        <w:ind w:left="2122" w:hanging="180"/>
      </w:pPr>
    </w:lvl>
    <w:lvl w:ilvl="3" w:tplc="0426000F" w:tentative="1">
      <w:start w:val="1"/>
      <w:numFmt w:val="decimal"/>
      <w:lvlText w:val="%4."/>
      <w:lvlJc w:val="left"/>
      <w:pPr>
        <w:ind w:left="2842" w:hanging="360"/>
      </w:pPr>
    </w:lvl>
    <w:lvl w:ilvl="4" w:tplc="04260019" w:tentative="1">
      <w:start w:val="1"/>
      <w:numFmt w:val="lowerLetter"/>
      <w:lvlText w:val="%5."/>
      <w:lvlJc w:val="left"/>
      <w:pPr>
        <w:ind w:left="3562" w:hanging="360"/>
      </w:pPr>
    </w:lvl>
    <w:lvl w:ilvl="5" w:tplc="0426001B" w:tentative="1">
      <w:start w:val="1"/>
      <w:numFmt w:val="lowerRoman"/>
      <w:lvlText w:val="%6."/>
      <w:lvlJc w:val="right"/>
      <w:pPr>
        <w:ind w:left="4282" w:hanging="180"/>
      </w:pPr>
    </w:lvl>
    <w:lvl w:ilvl="6" w:tplc="0426000F" w:tentative="1">
      <w:start w:val="1"/>
      <w:numFmt w:val="decimal"/>
      <w:lvlText w:val="%7."/>
      <w:lvlJc w:val="left"/>
      <w:pPr>
        <w:ind w:left="5002" w:hanging="360"/>
      </w:pPr>
    </w:lvl>
    <w:lvl w:ilvl="7" w:tplc="04260019" w:tentative="1">
      <w:start w:val="1"/>
      <w:numFmt w:val="lowerLetter"/>
      <w:lvlText w:val="%8."/>
      <w:lvlJc w:val="left"/>
      <w:pPr>
        <w:ind w:left="5722" w:hanging="360"/>
      </w:pPr>
    </w:lvl>
    <w:lvl w:ilvl="8" w:tplc="0426001B" w:tentative="1">
      <w:start w:val="1"/>
      <w:numFmt w:val="lowerRoman"/>
      <w:lvlText w:val="%9."/>
      <w:lvlJc w:val="right"/>
      <w:pPr>
        <w:ind w:left="644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73E0"/>
    <w:rsid w:val="00016CDB"/>
    <w:rsid w:val="00043B7E"/>
    <w:rsid w:val="004F251C"/>
    <w:rsid w:val="005464C1"/>
    <w:rsid w:val="00600AE3"/>
    <w:rsid w:val="006D3800"/>
    <w:rsid w:val="0089503D"/>
    <w:rsid w:val="00B73ADE"/>
    <w:rsid w:val="00B94112"/>
    <w:rsid w:val="00BD5588"/>
    <w:rsid w:val="00D1244A"/>
    <w:rsid w:val="00E44472"/>
    <w:rsid w:val="00E528D5"/>
    <w:rsid w:val="00F812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4D6BF-178C-4A4D-964B-74BA083A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ListParagraph">
    <w:name w:val="List Paragraph"/>
    <w:basedOn w:val="Normal"/>
    <w:uiPriority w:val="34"/>
    <w:qFormat/>
    <w:rsid w:val="005464C1"/>
    <w:pPr>
      <w:ind w:left="720"/>
      <w:contextualSpacing/>
    </w:pPr>
    <w:rPr>
      <w:rFonts w:cs="Arial Unicode MS"/>
      <w:sz w:val="20"/>
      <w:szCs w:val="20"/>
      <w:lang w:val="en-AU" w:eastAsia="en-US" w:bidi="lo-LA"/>
    </w:rPr>
  </w:style>
  <w:style w:type="paragraph" w:styleId="Header">
    <w:name w:val="header"/>
    <w:basedOn w:val="Normal"/>
    <w:link w:val="HeaderChar"/>
    <w:uiPriority w:val="99"/>
    <w:unhideWhenUsed/>
    <w:rsid w:val="00600AE3"/>
    <w:pPr>
      <w:tabs>
        <w:tab w:val="center" w:pos="4153"/>
        <w:tab w:val="right" w:pos="8306"/>
      </w:tabs>
    </w:pPr>
  </w:style>
  <w:style w:type="character" w:customStyle="1" w:styleId="HeaderChar">
    <w:name w:val="Header Char"/>
    <w:basedOn w:val="DefaultParagraphFont"/>
    <w:link w:val="Header"/>
    <w:uiPriority w:val="99"/>
    <w:rsid w:val="00600AE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00AE3"/>
    <w:pPr>
      <w:tabs>
        <w:tab w:val="center" w:pos="4153"/>
        <w:tab w:val="right" w:pos="8306"/>
      </w:tabs>
    </w:pPr>
  </w:style>
  <w:style w:type="character" w:customStyle="1" w:styleId="FooterChar">
    <w:name w:val="Footer Char"/>
    <w:basedOn w:val="DefaultParagraphFont"/>
    <w:link w:val="Footer"/>
    <w:uiPriority w:val="99"/>
    <w:rsid w:val="00600AE3"/>
    <w:rPr>
      <w:rFonts w:ascii="Times New Roman" w:eastAsia="Times New Roman" w:hAnsi="Times New Roman" w:cs="Times New Roman"/>
      <w:sz w:val="24"/>
      <w:szCs w:val="24"/>
      <w:lang w:eastAsia="lv-LV"/>
    </w:rPr>
  </w:style>
  <w:style w:type="paragraph" w:customStyle="1" w:styleId="naisc">
    <w:name w:val="naisc"/>
    <w:basedOn w:val="Normal"/>
    <w:rsid w:val="004F251C"/>
    <w:pPr>
      <w:spacing w:before="100" w:after="100"/>
      <w:jc w:val="center"/>
    </w:pPr>
    <w:rPr>
      <w:rFonts w:eastAsia="Arial Unicode MS"/>
      <w:sz w:val="2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nita.Belrus@mo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s.Mezulis@mo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doc.php?id=158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9CDD-F1C4-4591-93A9-0BA6CCF1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7796</Words>
  <Characters>4445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Jekaterina Borovika</cp:lastModifiedBy>
  <cp:revision>2</cp:revision>
  <dcterms:created xsi:type="dcterms:W3CDTF">2018-03-13T13:28:00Z</dcterms:created>
  <dcterms:modified xsi:type="dcterms:W3CDTF">2018-03-13T13:28:00Z</dcterms:modified>
</cp:coreProperties>
</file>