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6DCF" w14:textId="77777777" w:rsidR="00BD5588" w:rsidRPr="002756C2" w:rsidRDefault="001E7B39" w:rsidP="00BD5588">
      <w:pPr>
        <w:shd w:val="clear" w:color="auto" w:fill="FFFFFF"/>
        <w:spacing w:before="130" w:line="260" w:lineRule="exact"/>
        <w:jc w:val="center"/>
        <w:rPr>
          <w:b/>
          <w:bCs/>
          <w:sz w:val="26"/>
          <w:szCs w:val="26"/>
        </w:rPr>
      </w:pPr>
      <w:r w:rsidRPr="002756C2">
        <w:rPr>
          <w:b/>
          <w:bCs/>
          <w:sz w:val="26"/>
          <w:szCs w:val="26"/>
        </w:rPr>
        <w:t xml:space="preserve">Ministru kabineta rīkojuma projekta “Par sabiedrības ar ierobežoto atbildību “Latvijas Nacionālais akreditācijas birojs” pārveides par valsts aģentūru “Latvijas Nacionālais akreditācijas birojs” pabeigšanu” </w:t>
      </w:r>
      <w:r w:rsidR="00BD5588" w:rsidRPr="002756C2">
        <w:rPr>
          <w:b/>
          <w:bCs/>
          <w:sz w:val="26"/>
          <w:szCs w:val="26"/>
        </w:rPr>
        <w:t>sākotnējās ietekmes novērtējuma ziņojums (anotācija)</w:t>
      </w:r>
    </w:p>
    <w:p w14:paraId="383A896C" w14:textId="5A15E0FE" w:rsidR="00BD5588"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04"/>
        <w:gridCol w:w="5292"/>
      </w:tblGrid>
      <w:tr w:rsidR="00007D94" w:rsidRPr="002D7166" w14:paraId="282FB672" w14:textId="77777777" w:rsidTr="00611023">
        <w:trPr>
          <w:cantSplit/>
        </w:trPr>
        <w:tc>
          <w:tcPr>
            <w:tcW w:w="9581" w:type="dxa"/>
            <w:gridSpan w:val="2"/>
            <w:shd w:val="clear" w:color="auto" w:fill="FFFFFF"/>
            <w:vAlign w:val="center"/>
            <w:hideMark/>
          </w:tcPr>
          <w:p w14:paraId="4A9DF0E7" w14:textId="77777777" w:rsidR="00007D94" w:rsidRPr="00007D94" w:rsidRDefault="00007D94" w:rsidP="00611023">
            <w:pPr>
              <w:jc w:val="center"/>
              <w:rPr>
                <w:b/>
                <w:iCs/>
                <w:lang w:eastAsia="en-US"/>
              </w:rPr>
            </w:pPr>
            <w:r w:rsidRPr="00007D94">
              <w:rPr>
                <w:b/>
                <w:iCs/>
                <w:lang w:eastAsia="en-US"/>
              </w:rPr>
              <w:t>Tiesību akta projekta anotācijas kopsavilkums</w:t>
            </w:r>
          </w:p>
        </w:tc>
      </w:tr>
      <w:tr w:rsidR="00007D94" w:rsidRPr="002D7166" w14:paraId="3D7E7A22" w14:textId="77777777" w:rsidTr="00611023">
        <w:trPr>
          <w:cantSplit/>
        </w:trPr>
        <w:tc>
          <w:tcPr>
            <w:tcW w:w="3430" w:type="dxa"/>
            <w:shd w:val="clear" w:color="auto" w:fill="FFFFFF"/>
            <w:hideMark/>
          </w:tcPr>
          <w:p w14:paraId="4976F5CD" w14:textId="77777777" w:rsidR="00007D94" w:rsidRPr="00007D94" w:rsidRDefault="00007D94" w:rsidP="00611023">
            <w:pPr>
              <w:rPr>
                <w:iCs/>
                <w:lang w:eastAsia="en-US"/>
              </w:rPr>
            </w:pPr>
            <w:r w:rsidRPr="00007D94">
              <w:rPr>
                <w:iCs/>
                <w:lang w:eastAsia="en-US"/>
              </w:rPr>
              <w:t>Mērķis, risinājums un projekta spēkā stāšanās laiks (500 zīmes bez atstarpēm)</w:t>
            </w:r>
          </w:p>
        </w:tc>
        <w:tc>
          <w:tcPr>
            <w:tcW w:w="6151" w:type="dxa"/>
            <w:shd w:val="clear" w:color="auto" w:fill="FFFFFF"/>
            <w:hideMark/>
          </w:tcPr>
          <w:p w14:paraId="73C090C3" w14:textId="10AA8275" w:rsidR="00007D94" w:rsidRPr="00A91997" w:rsidRDefault="00A91997" w:rsidP="00611023">
            <w:pPr>
              <w:rPr>
                <w:lang w:eastAsia="en-US"/>
              </w:rPr>
            </w:pPr>
            <w:r>
              <w:rPr>
                <w:lang w:eastAsia="en-US"/>
              </w:rPr>
              <w:t>A</w:t>
            </w:r>
            <w:bookmarkStart w:id="0" w:name="_GoBack"/>
            <w:bookmarkEnd w:id="0"/>
            <w:r>
              <w:rPr>
                <w:lang w:eastAsia="en-US"/>
              </w:rPr>
              <w:t xml:space="preserve">notācijas I sadaļas 2.punkts nepārsniedz divas lapaspuses, līdz ar to kopsavilkums nav jāaizpilda </w:t>
            </w:r>
          </w:p>
        </w:tc>
      </w:tr>
    </w:tbl>
    <w:p w14:paraId="7DA1FE19" w14:textId="77777777" w:rsidR="00007D94" w:rsidRPr="002756C2" w:rsidRDefault="00007D94"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756C2" w14:paraId="57A2255C" w14:textId="77777777" w:rsidTr="009E0502">
        <w:trPr>
          <w:cantSplit/>
        </w:trPr>
        <w:tc>
          <w:tcPr>
            <w:tcW w:w="5000" w:type="pct"/>
            <w:gridSpan w:val="3"/>
            <w:vAlign w:val="center"/>
            <w:hideMark/>
          </w:tcPr>
          <w:p w14:paraId="38B6CB4D" w14:textId="77777777" w:rsidR="00BD5588" w:rsidRPr="002756C2" w:rsidRDefault="00BD5588" w:rsidP="009E0502">
            <w:pPr>
              <w:jc w:val="center"/>
              <w:rPr>
                <w:b/>
                <w:bCs/>
              </w:rPr>
            </w:pPr>
            <w:r w:rsidRPr="002756C2">
              <w:rPr>
                <w:b/>
                <w:bCs/>
              </w:rPr>
              <w:t>I. Tiesību akta projekta izstrādes nepieciešamība</w:t>
            </w:r>
          </w:p>
        </w:tc>
      </w:tr>
      <w:tr w:rsidR="00BD5588" w:rsidRPr="002756C2" w14:paraId="566B7EFD" w14:textId="77777777" w:rsidTr="009E0502">
        <w:trPr>
          <w:cantSplit/>
        </w:trPr>
        <w:tc>
          <w:tcPr>
            <w:tcW w:w="311" w:type="pct"/>
            <w:hideMark/>
          </w:tcPr>
          <w:p w14:paraId="028012D7" w14:textId="77777777" w:rsidR="00BD5588" w:rsidRPr="002756C2" w:rsidRDefault="00BD5588" w:rsidP="009E0502">
            <w:pPr>
              <w:jc w:val="center"/>
            </w:pPr>
            <w:r w:rsidRPr="002756C2">
              <w:t>1.</w:t>
            </w:r>
          </w:p>
        </w:tc>
        <w:tc>
          <w:tcPr>
            <w:tcW w:w="1479" w:type="pct"/>
            <w:hideMark/>
          </w:tcPr>
          <w:p w14:paraId="065F8279" w14:textId="77777777" w:rsidR="00BD5588" w:rsidRPr="002756C2" w:rsidRDefault="00BD5588" w:rsidP="009E0502">
            <w:r w:rsidRPr="002756C2">
              <w:t>Pamatojums</w:t>
            </w:r>
          </w:p>
        </w:tc>
        <w:tc>
          <w:tcPr>
            <w:tcW w:w="3210" w:type="pct"/>
            <w:hideMark/>
          </w:tcPr>
          <w:p w14:paraId="191D1090" w14:textId="77777777" w:rsidR="00BD5588" w:rsidRPr="002756C2" w:rsidRDefault="00CF6F91" w:rsidP="009C396F">
            <w:pPr>
              <w:jc w:val="both"/>
            </w:pPr>
            <w:r w:rsidRPr="002756C2">
              <w:t>Publiskas personas kapitāla daļu un kapitāls</w:t>
            </w:r>
            <w:r w:rsidR="00835FF8" w:rsidRPr="002756C2">
              <w:t>abiedrību pārvaldības likuma 163.panta pirmā</w:t>
            </w:r>
            <w:r w:rsidRPr="002756C2">
              <w:t xml:space="preserve"> daļa;</w:t>
            </w:r>
          </w:p>
          <w:p w14:paraId="0B111C0E" w14:textId="77777777" w:rsidR="00E1115D" w:rsidRPr="002756C2" w:rsidRDefault="00E1115D" w:rsidP="009C396F">
            <w:pPr>
              <w:jc w:val="both"/>
            </w:pPr>
            <w:r w:rsidRPr="002756C2">
              <w:t>Ministru kabineta 2017.gada 4.aprīļa sēdes protokollēmuma Nr.18 42.§ 5.punkts;</w:t>
            </w:r>
          </w:p>
          <w:p w14:paraId="2A6DEEB6" w14:textId="77777777" w:rsidR="00835FF8" w:rsidRPr="002756C2" w:rsidRDefault="00835FF8" w:rsidP="009C396F">
            <w:pPr>
              <w:jc w:val="both"/>
            </w:pPr>
            <w:r w:rsidRPr="002756C2">
              <w:t xml:space="preserve">Ministru kabineta 2017.gada </w:t>
            </w:r>
            <w:r w:rsidR="00E1115D" w:rsidRPr="002756C2">
              <w:t>24.oktobra sēdes protokollēmuma Nr.52 1.§</w:t>
            </w:r>
          </w:p>
        </w:tc>
      </w:tr>
      <w:tr w:rsidR="00BD5588" w:rsidRPr="002756C2" w14:paraId="01EFFEEC" w14:textId="77777777" w:rsidTr="0047234D">
        <w:tc>
          <w:tcPr>
            <w:tcW w:w="311" w:type="pct"/>
            <w:hideMark/>
          </w:tcPr>
          <w:p w14:paraId="74F3A150" w14:textId="77777777" w:rsidR="00BD5588" w:rsidRPr="002756C2" w:rsidRDefault="00BD5588" w:rsidP="009E0502">
            <w:pPr>
              <w:jc w:val="center"/>
            </w:pPr>
            <w:r w:rsidRPr="002756C2">
              <w:t>2.</w:t>
            </w:r>
          </w:p>
        </w:tc>
        <w:tc>
          <w:tcPr>
            <w:tcW w:w="1479" w:type="pct"/>
            <w:hideMark/>
          </w:tcPr>
          <w:p w14:paraId="418063B6" w14:textId="77777777" w:rsidR="00BD5588" w:rsidRPr="002756C2" w:rsidRDefault="00BD5588" w:rsidP="009E0502">
            <w:r w:rsidRPr="002756C2">
              <w:t>Pašreizējā situācija un problēmas, kuru risināšanai tiesību akta projekts izstrādāts, tiesiskā regulējuma mērķis un būtība</w:t>
            </w:r>
          </w:p>
        </w:tc>
        <w:tc>
          <w:tcPr>
            <w:tcW w:w="3210" w:type="pct"/>
            <w:hideMark/>
          </w:tcPr>
          <w:p w14:paraId="699EF601" w14:textId="3727EF94" w:rsidR="00A8544B" w:rsidRPr="002756C2" w:rsidRDefault="00A8544B" w:rsidP="00E65FDE">
            <w:pPr>
              <w:jc w:val="both"/>
            </w:pPr>
            <w:r w:rsidRPr="002756C2">
              <w:t xml:space="preserve">Ministru kabineta 2017.gada 4.aprīļa sēdes </w:t>
            </w:r>
            <w:r w:rsidR="00D74D25" w:rsidRPr="002756C2">
              <w:t>tika izskatīts Ekonomikas ministrijas sagatavotais informatīvais ziņojums “</w:t>
            </w:r>
            <w:r w:rsidR="00E65FDE" w:rsidRPr="002756C2">
              <w:t>Par priekšlikumu sniegšanu par turpmāko rīcību saistībā ar SIA "Standartizācijas, akreditācijas un metroloģijas centrs" reorganizēšanu"” (prot.</w:t>
            </w:r>
            <w:r w:rsidRPr="002756C2">
              <w:t xml:space="preserve"> Nr.18 42.§</w:t>
            </w:r>
            <w:r w:rsidR="00E65FDE" w:rsidRPr="002756C2">
              <w:t xml:space="preserve">) un atbalstīts tajā </w:t>
            </w:r>
            <w:r w:rsidR="00FE5192" w:rsidRPr="002756C2">
              <w:t xml:space="preserve">piedāvātais risinājums, kas, cita starpā, </w:t>
            </w:r>
            <w:r w:rsidR="00E65FDE" w:rsidRPr="002756C2">
              <w:t>paredzēja</w:t>
            </w:r>
            <w:r w:rsidR="00FE5192" w:rsidRPr="002756C2">
              <w:t xml:space="preserve"> SIA “Latvijas Nacionālais akreditācijas birojs” pārveidošanu par valsts aģentūru, kas turpmāk pildīs nacionālās akreditācijas institūcijas funkcijas un pienākumus, sniedzot arī publiskos pakalpojumus – akreditāciju. Vienlaikus Ekonomikas ministrija, kā pārraugošā institūcija, nodrošinās nacionālās akreditācijas institūcijas atbalsta un administratīvo funkciju izpildi, tādējādi nepalielinot slogu uz institūciju un dodot tai iespēju visus savus resursus koncentrēt uz tiešo pienākumu veikšanu.</w:t>
            </w:r>
            <w:r w:rsidR="00C433BE" w:rsidRPr="002756C2">
              <w:t xml:space="preserve"> Vienlaikus Ekonomikas ministrijai tika uzdots </w:t>
            </w:r>
            <w:r w:rsidR="003C5FA3" w:rsidRPr="002756C2">
              <w:t xml:space="preserve">uzdevums </w:t>
            </w:r>
            <w:r w:rsidR="00C433BE" w:rsidRPr="002756C2">
              <w:t xml:space="preserve">sagatavot un iesniegt Ministru kabinetā rīkojumu par jaundibināmās </w:t>
            </w:r>
            <w:r w:rsidR="003C5FA3" w:rsidRPr="002756C2">
              <w:t>SIA</w:t>
            </w:r>
            <w:r w:rsidR="00C433BE" w:rsidRPr="002756C2">
              <w:t xml:space="preserve"> "Latvijas Nacionālais akreditācijas birojs" pārveides par valsts aģentūru "Latvijas Nacionālais akreditācijas birojs" uzsākšanu.  </w:t>
            </w:r>
          </w:p>
          <w:p w14:paraId="0A684F74" w14:textId="569AC115" w:rsidR="00D12DA3" w:rsidRPr="002756C2" w:rsidRDefault="00D12DA3" w:rsidP="00E65FDE">
            <w:pPr>
              <w:jc w:val="both"/>
            </w:pPr>
            <w:r w:rsidRPr="002756C2">
              <w:t>Ministru kabineta 2017.gada 24.oktobra sēdē tika atbalstīts Ekonomikas ministrijas sagatavotais rīkojuma projekts “Par valsts sabiedrības ar ierobežoto atbildību "Latvijas Nacionālais akreditācijas birojs" pārveides par valsts aģentūru "Latvijas Nacionālais akreditācijas birojs" uzsākšanu" (prot.Nr.52 1.§).</w:t>
            </w:r>
          </w:p>
          <w:p w14:paraId="6ACF7448" w14:textId="3FD580F8" w:rsidR="004138DB" w:rsidRPr="002756C2" w:rsidRDefault="004138DB" w:rsidP="00E65FDE">
            <w:pPr>
              <w:jc w:val="both"/>
            </w:pPr>
            <w:r w:rsidRPr="002756C2">
              <w:t xml:space="preserve">2017.gada 31.oktobrī </w:t>
            </w:r>
            <w:r w:rsidR="00870E47" w:rsidRPr="002756C2">
              <w:t xml:space="preserve">Latvijas vēstnesī (Oficiālās publikācijas Nr.2017/216.KM8) tika publicēts paziņojums, kurā SIA “Latvijas Nacionālais akreditācijas birojs” reģ.Nr.40203084604 paziņoja par sabiedrības pārveides par valsts aģentūru uzsākšanu un </w:t>
            </w:r>
            <w:r w:rsidR="00870E47" w:rsidRPr="002756C2">
              <w:lastRenderedPageBreak/>
              <w:t xml:space="preserve">aicināja kreditorus pieteikt savus prasījumus 2 (divu) mēnešu laikā no paziņojuma publicēšanas, nosūtot tos uz Sabiedrības juridisko adresi Krišjāņa Valdemāra ielā 157, Rīgā, LV-1013, norādot prasījuma saturu, pamatu un apmēru un pievienojot prasījumu pamatojošus dokumentus. </w:t>
            </w:r>
          </w:p>
          <w:p w14:paraId="0551CE58" w14:textId="25BB93EE" w:rsidR="00E75AC4" w:rsidRPr="002756C2" w:rsidRDefault="00C24318" w:rsidP="00E65FDE">
            <w:pPr>
              <w:jc w:val="both"/>
            </w:pPr>
            <w:r w:rsidRPr="002756C2">
              <w:t>SIA “Latvijas Nacionālais akreditācijas birojs” ir apzinājusi savus kreditorus un ir gatava izpildīt savas saistības pret tiem.</w:t>
            </w:r>
          </w:p>
          <w:p w14:paraId="757E1B73" w14:textId="22D2DECE" w:rsidR="0047234D" w:rsidRPr="002756C2" w:rsidRDefault="00E75AC4" w:rsidP="0047234D">
            <w:pPr>
              <w:jc w:val="both"/>
            </w:pPr>
            <w:r w:rsidRPr="002756C2">
              <w:t xml:space="preserve">Ņemot vērā iepriekš minēto, šobrīd ir izpildīti visi priekšnoteikumi, lai pabeigtu SIA “Latvijas Nacionālais akreditācijas birojs” pārveides par valsts aģentūru procesu. </w:t>
            </w:r>
            <w:r w:rsidR="00C24318" w:rsidRPr="002756C2">
              <w:t>SIA “Latvijas Nacionālais akreditācijas birojs” pārveides rezultātā tiks izveidota valsts aģentūra “Latvijas Nacionālais akreditācijas birojs</w:t>
            </w:r>
            <w:r w:rsidR="00AA734A" w:rsidRPr="002756C2">
              <w:t>, kas atbilstoši Likumam par budžetu un finanšu vadību darbosies kā budžeta nefinansētā iestāde, un atbilstoši Publisko aģentūru likuma 13.panta trešajai daļai un Likuma par budžetu un finanšu vadību 41.panta (11) daļai tās budžetu apstiprinās Ministru kabinets.</w:t>
            </w:r>
            <w:r w:rsidR="00A67EAB" w:rsidRPr="002756C2">
              <w:t xml:space="preserve"> Valsts aģentūra “Latvijas Nacionālais akreditācijas birojs” </w:t>
            </w:r>
            <w:r w:rsidR="00E64110" w:rsidRPr="002756C2">
              <w:t xml:space="preserve">būs Ekonomikas ministra pārraudzībā esoša iestāde, kas </w:t>
            </w:r>
            <w:r w:rsidR="00A67EAB" w:rsidRPr="002756C2">
              <w:t xml:space="preserve">pildīs </w:t>
            </w:r>
            <w:r w:rsidR="00E64110" w:rsidRPr="002756C2">
              <w:t xml:space="preserve">likuma “Par atbilstības novērtēšanu” 14.panta pirmajā daļā noteiktās </w:t>
            </w:r>
            <w:r w:rsidR="00A67EAB" w:rsidRPr="002756C2">
              <w:t>nacionālās akred</w:t>
            </w:r>
            <w:r w:rsidR="00E64110" w:rsidRPr="002756C2">
              <w:t>itācijas institūcijas funkcijas</w:t>
            </w:r>
            <w:r w:rsidR="00A67EAB" w:rsidRPr="002756C2">
              <w:t xml:space="preserve"> un tiks finansēta</w:t>
            </w:r>
            <w:r w:rsidR="001E3837" w:rsidRPr="002756C2">
              <w:t>,</w:t>
            </w:r>
            <w:r w:rsidR="00A67EAB" w:rsidRPr="002756C2">
              <w:t xml:space="preserve"> ievērojot šī panta trešajā daļā noteikto kārtī</w:t>
            </w:r>
            <w:r w:rsidR="001E3837" w:rsidRPr="002756C2">
              <w:t>bu, proti, no valsts budžeta līdzfinansējuma un pašu ieņēmumiem par sniegtajiem pakalpojumiem.</w:t>
            </w:r>
            <w:r w:rsidR="004C7256" w:rsidRPr="002756C2">
              <w:t xml:space="preserve"> </w:t>
            </w:r>
            <w:r w:rsidR="00BF2FDE" w:rsidRPr="002756C2">
              <w:t xml:space="preserve"> </w:t>
            </w:r>
            <w:r w:rsidR="00E64110" w:rsidRPr="002756C2">
              <w:t xml:space="preserve">Atbilstoši </w:t>
            </w:r>
            <w:r w:rsidR="001F2D94" w:rsidRPr="002756C2">
              <w:t xml:space="preserve">Publiskas personas kapitāla daļu un kapitālsabiedrību pārvaldības likuma 163.panta ceturtajai daļai pēc SIA “Latvijas Nacionālais akreditācijas birojs” pārveides par valsts aģentūru “Latvijas Nacionālais akreditācijas birojs” pabeigšanas viss kapitālsabiedrības īpašums pāries izveidotajai valsts aģentūrai, kura būs arī pārveidotās kapitālsabiedrības tiesību un pienākumu pārņēmēja. </w:t>
            </w:r>
            <w:r w:rsidR="007A5F7B" w:rsidRPr="002756C2">
              <w:t xml:space="preserve">Ministru kabineta rīkojuma projektā paredzēta valsts aģentūras “Latvijas Nacionālais akreditācijas birojs” direktora amatā iecelšanas kārtība un noteikts datums no kura SIA “Latvijas Nacionālais akreditācijas birojs” ir izslēdzama no komercreģistra. Vienlaikus Ministru kabineta rīkojuma projektā ir ietverta norma par nepieciešamo apropriācijas pārdali, lai nodrošinātu atbalsta un administratīvo funkciju izpildi, izvairoties no nelietderīgiem naudas pārskaitījumiem starp valsts aģentūru “Latvijas Nacionālais akreditācijas birojs” un Ekonomikas ministriju </w:t>
            </w:r>
            <w:r w:rsidR="007A5F7B" w:rsidRPr="002756C2">
              <w:rPr>
                <w:lang w:eastAsia="en-US"/>
              </w:rPr>
              <w:t xml:space="preserve">(detalizēts pamatojums apropriācijas pārdales nepieciešamībai norādīts anotācijas </w:t>
            </w:r>
            <w:proofErr w:type="spellStart"/>
            <w:r w:rsidR="007A5F7B" w:rsidRPr="002756C2">
              <w:rPr>
                <w:lang w:eastAsia="en-US"/>
              </w:rPr>
              <w:t>III.sadaļas</w:t>
            </w:r>
            <w:proofErr w:type="spellEnd"/>
            <w:r w:rsidR="007A5F7B" w:rsidRPr="002756C2">
              <w:rPr>
                <w:lang w:eastAsia="en-US"/>
              </w:rPr>
              <w:t xml:space="preserve"> 8.punktā).</w:t>
            </w:r>
          </w:p>
        </w:tc>
      </w:tr>
      <w:tr w:rsidR="00BD5588" w:rsidRPr="002756C2" w14:paraId="0D7EC8C9" w14:textId="77777777" w:rsidTr="009E0502">
        <w:trPr>
          <w:cantSplit/>
        </w:trPr>
        <w:tc>
          <w:tcPr>
            <w:tcW w:w="311" w:type="pct"/>
            <w:hideMark/>
          </w:tcPr>
          <w:p w14:paraId="6F1345D3" w14:textId="4C6EF854" w:rsidR="00BD5588" w:rsidRPr="002756C2" w:rsidRDefault="00BD5588" w:rsidP="009E0502">
            <w:pPr>
              <w:jc w:val="center"/>
            </w:pPr>
            <w:r w:rsidRPr="002756C2">
              <w:lastRenderedPageBreak/>
              <w:t>3.</w:t>
            </w:r>
          </w:p>
        </w:tc>
        <w:tc>
          <w:tcPr>
            <w:tcW w:w="1479" w:type="pct"/>
            <w:hideMark/>
          </w:tcPr>
          <w:p w14:paraId="516AA24B" w14:textId="77777777" w:rsidR="00BD5588" w:rsidRPr="002756C2" w:rsidRDefault="00BD5588" w:rsidP="009E0502">
            <w:r w:rsidRPr="002756C2">
              <w:t>Projekta izstrādē iesaistītās institūcijas un publiskas personas kapitālsabiedrības</w:t>
            </w:r>
          </w:p>
        </w:tc>
        <w:tc>
          <w:tcPr>
            <w:tcW w:w="3210" w:type="pct"/>
            <w:hideMark/>
          </w:tcPr>
          <w:p w14:paraId="02E104B8" w14:textId="77777777" w:rsidR="00BD5588" w:rsidRPr="002756C2" w:rsidRDefault="00E1115D" w:rsidP="009E0502">
            <w:r w:rsidRPr="002756C2">
              <w:t>Ekonomikas ministrija un SIA “Latvijas Nacionālais akreditācijas birojs”</w:t>
            </w:r>
          </w:p>
        </w:tc>
      </w:tr>
      <w:tr w:rsidR="00BD5588" w:rsidRPr="002756C2" w14:paraId="02B4C44C" w14:textId="77777777" w:rsidTr="009E0502">
        <w:trPr>
          <w:cantSplit/>
        </w:trPr>
        <w:tc>
          <w:tcPr>
            <w:tcW w:w="311" w:type="pct"/>
            <w:hideMark/>
          </w:tcPr>
          <w:p w14:paraId="53E97481" w14:textId="77777777" w:rsidR="00BD5588" w:rsidRPr="002756C2" w:rsidRDefault="00BD5588" w:rsidP="009E0502">
            <w:pPr>
              <w:jc w:val="center"/>
            </w:pPr>
            <w:r w:rsidRPr="002756C2">
              <w:t>4.</w:t>
            </w:r>
          </w:p>
        </w:tc>
        <w:tc>
          <w:tcPr>
            <w:tcW w:w="1479" w:type="pct"/>
            <w:hideMark/>
          </w:tcPr>
          <w:p w14:paraId="3E274D28" w14:textId="77777777" w:rsidR="00BD5588" w:rsidRPr="002756C2" w:rsidRDefault="00BD5588" w:rsidP="009E0502">
            <w:r w:rsidRPr="002756C2">
              <w:t>Cita informācija</w:t>
            </w:r>
          </w:p>
        </w:tc>
        <w:tc>
          <w:tcPr>
            <w:tcW w:w="3210" w:type="pct"/>
            <w:hideMark/>
          </w:tcPr>
          <w:p w14:paraId="04C7DEA3" w14:textId="77777777" w:rsidR="00BD5588" w:rsidRPr="002756C2" w:rsidRDefault="00E1115D" w:rsidP="009E0502">
            <w:r w:rsidRPr="002756C2">
              <w:t>Nav</w:t>
            </w:r>
          </w:p>
        </w:tc>
      </w:tr>
    </w:tbl>
    <w:p w14:paraId="6BDB4A1C" w14:textId="77777777" w:rsidR="00BD5588" w:rsidRPr="002756C2"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756C2" w14:paraId="45487592" w14:textId="77777777" w:rsidTr="009E0502">
        <w:trPr>
          <w:cantSplit/>
        </w:trPr>
        <w:tc>
          <w:tcPr>
            <w:tcW w:w="5000" w:type="pct"/>
            <w:gridSpan w:val="3"/>
            <w:vAlign w:val="center"/>
            <w:hideMark/>
          </w:tcPr>
          <w:p w14:paraId="56B6FE59" w14:textId="77777777" w:rsidR="00BD5588" w:rsidRPr="002756C2" w:rsidRDefault="00BD5588" w:rsidP="009E0502">
            <w:pPr>
              <w:jc w:val="center"/>
              <w:rPr>
                <w:b/>
                <w:bCs/>
              </w:rPr>
            </w:pPr>
            <w:r w:rsidRPr="002756C2">
              <w:rPr>
                <w:b/>
                <w:bCs/>
              </w:rPr>
              <w:t>II. Tiesību akta projekta ietekme uz sabiedrību, tautsaimniecības attīstību un administratīvo slogu</w:t>
            </w:r>
          </w:p>
        </w:tc>
      </w:tr>
      <w:tr w:rsidR="00BD5588" w:rsidRPr="002756C2" w14:paraId="1E81C1AC" w14:textId="77777777" w:rsidTr="009E0502">
        <w:trPr>
          <w:cantSplit/>
        </w:trPr>
        <w:tc>
          <w:tcPr>
            <w:tcW w:w="311" w:type="pct"/>
            <w:hideMark/>
          </w:tcPr>
          <w:p w14:paraId="07D348B2" w14:textId="77777777" w:rsidR="00BD5588" w:rsidRPr="002756C2" w:rsidRDefault="00BD5588" w:rsidP="009E0502">
            <w:pPr>
              <w:jc w:val="center"/>
            </w:pPr>
            <w:r w:rsidRPr="002756C2">
              <w:t>1.</w:t>
            </w:r>
          </w:p>
        </w:tc>
        <w:tc>
          <w:tcPr>
            <w:tcW w:w="1479" w:type="pct"/>
            <w:hideMark/>
          </w:tcPr>
          <w:p w14:paraId="4F98824B" w14:textId="77777777" w:rsidR="00BD5588" w:rsidRPr="002756C2" w:rsidRDefault="00BD5588" w:rsidP="009E0502">
            <w:r w:rsidRPr="002756C2">
              <w:t xml:space="preserve">Sabiedrības </w:t>
            </w:r>
            <w:proofErr w:type="spellStart"/>
            <w:r w:rsidRPr="002756C2">
              <w:t>mērķgrupas</w:t>
            </w:r>
            <w:proofErr w:type="spellEnd"/>
            <w:r w:rsidRPr="002756C2">
              <w:t>, kuras tiesiskais regulējums ietekmē vai varētu ietekmēt</w:t>
            </w:r>
          </w:p>
        </w:tc>
        <w:tc>
          <w:tcPr>
            <w:tcW w:w="3210" w:type="pct"/>
            <w:hideMark/>
          </w:tcPr>
          <w:p w14:paraId="28CB68D7" w14:textId="77777777" w:rsidR="00BD5588" w:rsidRPr="002756C2" w:rsidRDefault="00E1115D" w:rsidP="0056780C">
            <w:pPr>
              <w:jc w:val="both"/>
            </w:pPr>
            <w:r w:rsidRPr="002756C2">
              <w:t>SIA  „Latvijas Nacionālais akreditācijas birojs” darbinieki</w:t>
            </w:r>
            <w:r w:rsidR="0056780C" w:rsidRPr="002756C2">
              <w:t>, kuru darba līgumos tiks veikti grozījumi, ievērojot Valsts un pašvaldību institūciju amatpersonu un darbinieku atlīdzības likumā noteikto</w:t>
            </w:r>
            <w:r w:rsidRPr="002756C2">
              <w:t xml:space="preserve"> un valdes loceklis</w:t>
            </w:r>
            <w:r w:rsidR="0056780C" w:rsidRPr="002756C2">
              <w:t>, kura pilnvaras izbeigsies līdz ar kapitālsabiedrības izslēgšanu no komercreģistra</w:t>
            </w:r>
            <w:r w:rsidRPr="002756C2">
              <w:t>, kā arī sabiedrības darījumu partneri, tajā skaitā atbilstības novērtēšanas institūcijas.</w:t>
            </w:r>
          </w:p>
        </w:tc>
      </w:tr>
      <w:tr w:rsidR="00BD5588" w:rsidRPr="002756C2" w14:paraId="4AB9E7A9" w14:textId="77777777" w:rsidTr="009E0502">
        <w:trPr>
          <w:cantSplit/>
        </w:trPr>
        <w:tc>
          <w:tcPr>
            <w:tcW w:w="311" w:type="pct"/>
            <w:hideMark/>
          </w:tcPr>
          <w:p w14:paraId="72EF947C" w14:textId="77777777" w:rsidR="00BD5588" w:rsidRPr="002756C2" w:rsidRDefault="00BD5588" w:rsidP="009E0502">
            <w:pPr>
              <w:jc w:val="center"/>
            </w:pPr>
            <w:r w:rsidRPr="002756C2">
              <w:t>2.</w:t>
            </w:r>
          </w:p>
        </w:tc>
        <w:tc>
          <w:tcPr>
            <w:tcW w:w="1479" w:type="pct"/>
            <w:hideMark/>
          </w:tcPr>
          <w:p w14:paraId="6C20514E" w14:textId="77777777" w:rsidR="00BD5588" w:rsidRPr="002756C2" w:rsidRDefault="00BD5588" w:rsidP="009E0502">
            <w:r w:rsidRPr="002756C2">
              <w:t>Tiesiskā regulējuma ietekme uz tautsaimniecību un administratīvo slogu</w:t>
            </w:r>
          </w:p>
        </w:tc>
        <w:tc>
          <w:tcPr>
            <w:tcW w:w="3210" w:type="pct"/>
            <w:hideMark/>
          </w:tcPr>
          <w:p w14:paraId="2EDC0BB5" w14:textId="33B4ED87" w:rsidR="00BD5588" w:rsidRPr="002756C2" w:rsidRDefault="00E1115D" w:rsidP="007A5F7B">
            <w:pPr>
              <w:jc w:val="both"/>
            </w:pPr>
            <w:r w:rsidRPr="002756C2">
              <w:t xml:space="preserve">Ar </w:t>
            </w:r>
            <w:r w:rsidR="003D6C8D" w:rsidRPr="002756C2">
              <w:t>projektu tiek mainīts SIA “Latvijas Nacionālais akreditācijas birojs” juridiskais statuss uz valsts aģentūru, taču tā joprojām turpinās pildīt nacionālās akreditācijas funkcijas un uzdevumus, kurus līdz šim</w:t>
            </w:r>
            <w:r w:rsidR="007A5F7B" w:rsidRPr="002756C2">
              <w:t xml:space="preserve"> pildīja SIA “Latvijas Nacionālais akreditācijas birojs”</w:t>
            </w:r>
            <w:r w:rsidR="003D6C8D" w:rsidRPr="002756C2">
              <w:t>. Juridiskā statusa maiņas</w:t>
            </w:r>
            <w:r w:rsidR="00D22144" w:rsidRPr="002756C2">
              <w:t xml:space="preserve"> ietekme </w:t>
            </w:r>
            <w:r w:rsidR="0056780C" w:rsidRPr="002756C2">
              <w:t>uz tautsaimniecību būs neitrāla un kopumā tā nemainīs arī administratīvo slogu.</w:t>
            </w:r>
          </w:p>
        </w:tc>
      </w:tr>
      <w:tr w:rsidR="00BD5588" w:rsidRPr="002756C2" w14:paraId="3A2F4966" w14:textId="77777777" w:rsidTr="009E0502">
        <w:trPr>
          <w:cantSplit/>
        </w:trPr>
        <w:tc>
          <w:tcPr>
            <w:tcW w:w="311" w:type="pct"/>
            <w:hideMark/>
          </w:tcPr>
          <w:p w14:paraId="58F90E1E" w14:textId="77777777" w:rsidR="00BD5588" w:rsidRPr="002756C2" w:rsidRDefault="00BD5588" w:rsidP="009E0502">
            <w:pPr>
              <w:jc w:val="center"/>
            </w:pPr>
            <w:r w:rsidRPr="002756C2">
              <w:t>3.</w:t>
            </w:r>
          </w:p>
        </w:tc>
        <w:tc>
          <w:tcPr>
            <w:tcW w:w="1479" w:type="pct"/>
            <w:hideMark/>
          </w:tcPr>
          <w:p w14:paraId="659F78ED" w14:textId="77777777" w:rsidR="00BD5588" w:rsidRPr="002756C2" w:rsidRDefault="00BD5588" w:rsidP="009E0502">
            <w:r w:rsidRPr="002756C2">
              <w:t>Administratīvo izmaksu monetārs novērtējums</w:t>
            </w:r>
          </w:p>
        </w:tc>
        <w:tc>
          <w:tcPr>
            <w:tcW w:w="3210" w:type="pct"/>
            <w:hideMark/>
          </w:tcPr>
          <w:p w14:paraId="31EF08BF" w14:textId="77777777" w:rsidR="00BD5588" w:rsidRPr="002756C2" w:rsidRDefault="00784A51" w:rsidP="009E0502">
            <w:r w:rsidRPr="002756C2">
              <w:t>Projekts šo jomu neskar</w:t>
            </w:r>
          </w:p>
        </w:tc>
      </w:tr>
      <w:tr w:rsidR="00BD5588" w:rsidRPr="002756C2" w14:paraId="29957DB6" w14:textId="77777777" w:rsidTr="009E0502">
        <w:trPr>
          <w:cantSplit/>
        </w:trPr>
        <w:tc>
          <w:tcPr>
            <w:tcW w:w="311" w:type="pct"/>
            <w:hideMark/>
          </w:tcPr>
          <w:p w14:paraId="431FA8DE" w14:textId="77777777" w:rsidR="00BD5588" w:rsidRPr="002756C2" w:rsidRDefault="00BD5588" w:rsidP="009E0502">
            <w:pPr>
              <w:jc w:val="center"/>
            </w:pPr>
            <w:r w:rsidRPr="002756C2">
              <w:t>4.</w:t>
            </w:r>
          </w:p>
        </w:tc>
        <w:tc>
          <w:tcPr>
            <w:tcW w:w="1479" w:type="pct"/>
            <w:hideMark/>
          </w:tcPr>
          <w:p w14:paraId="309E2C2F" w14:textId="77777777" w:rsidR="00BD5588" w:rsidRPr="002756C2" w:rsidRDefault="00BD5588" w:rsidP="009E0502">
            <w:r w:rsidRPr="002756C2">
              <w:t>Atbilstības izmaksu monetārs novērtējums</w:t>
            </w:r>
          </w:p>
        </w:tc>
        <w:tc>
          <w:tcPr>
            <w:tcW w:w="3210" w:type="pct"/>
            <w:hideMark/>
          </w:tcPr>
          <w:p w14:paraId="3F11D141" w14:textId="77777777" w:rsidR="00BD5588" w:rsidRPr="002756C2" w:rsidRDefault="00263050" w:rsidP="009E0502">
            <w:r w:rsidRPr="002756C2">
              <w:t>Projekts šo jomu neskar</w:t>
            </w:r>
          </w:p>
        </w:tc>
      </w:tr>
      <w:tr w:rsidR="00BD5588" w:rsidRPr="002756C2" w14:paraId="0FA46632" w14:textId="77777777" w:rsidTr="009E0502">
        <w:trPr>
          <w:cantSplit/>
        </w:trPr>
        <w:tc>
          <w:tcPr>
            <w:tcW w:w="311" w:type="pct"/>
            <w:hideMark/>
          </w:tcPr>
          <w:p w14:paraId="67047373" w14:textId="77777777" w:rsidR="00BD5588" w:rsidRPr="002756C2" w:rsidRDefault="00BD5588" w:rsidP="009E0502">
            <w:pPr>
              <w:jc w:val="center"/>
            </w:pPr>
            <w:r w:rsidRPr="002756C2">
              <w:t>5.</w:t>
            </w:r>
          </w:p>
        </w:tc>
        <w:tc>
          <w:tcPr>
            <w:tcW w:w="1479" w:type="pct"/>
            <w:hideMark/>
          </w:tcPr>
          <w:p w14:paraId="30CDF5CB" w14:textId="77777777" w:rsidR="00BD5588" w:rsidRPr="002756C2" w:rsidRDefault="00BD5588" w:rsidP="009E0502">
            <w:r w:rsidRPr="002756C2">
              <w:t>Cita informācija</w:t>
            </w:r>
          </w:p>
        </w:tc>
        <w:tc>
          <w:tcPr>
            <w:tcW w:w="3210" w:type="pct"/>
            <w:hideMark/>
          </w:tcPr>
          <w:p w14:paraId="685B3F9D" w14:textId="77777777" w:rsidR="00BD5588" w:rsidRPr="002756C2" w:rsidRDefault="00AE177C" w:rsidP="00AE177C">
            <w:r w:rsidRPr="002756C2">
              <w:t>Nav</w:t>
            </w:r>
          </w:p>
        </w:tc>
      </w:tr>
    </w:tbl>
    <w:p w14:paraId="30F13ED1" w14:textId="77777777" w:rsidR="00BD5588" w:rsidRPr="002756C2" w:rsidRDefault="00BD5588" w:rsidP="00BD5588">
      <w:pPr>
        <w:pStyle w:val="Title"/>
        <w:spacing w:before="130" w:line="260" w:lineRule="exact"/>
        <w:ind w:firstLine="539"/>
        <w:jc w:val="both"/>
        <w:rPr>
          <w:sz w:val="19"/>
          <w:szCs w:val="19"/>
        </w:rPr>
      </w:pPr>
    </w:p>
    <w:p w14:paraId="3203A9AC" w14:textId="77777777" w:rsidR="00BD5588" w:rsidRPr="002756C2" w:rsidRDefault="00BD5588" w:rsidP="00BD5588">
      <w:pPr>
        <w:pStyle w:val="Title"/>
        <w:spacing w:before="130" w:line="260" w:lineRule="exact"/>
        <w:ind w:firstLine="539"/>
        <w:jc w:val="both"/>
        <w:rPr>
          <w:sz w:val="19"/>
          <w:szCs w:val="19"/>
        </w:rPr>
      </w:pPr>
    </w:p>
    <w:p w14:paraId="51910BD7" w14:textId="77777777" w:rsidR="00BD5588" w:rsidRPr="002756C2" w:rsidRDefault="00BD5588" w:rsidP="00BD5588">
      <w:pPr>
        <w:pStyle w:val="Title"/>
        <w:spacing w:before="130" w:line="260" w:lineRule="exact"/>
        <w:ind w:firstLine="539"/>
        <w:jc w:val="both"/>
        <w:rPr>
          <w:sz w:val="19"/>
          <w:szCs w:val="19"/>
        </w:rPr>
      </w:pPr>
    </w:p>
    <w:p w14:paraId="44802793" w14:textId="77777777" w:rsidR="00BD5588" w:rsidRPr="002756C2" w:rsidRDefault="00BD5588">
      <w:r w:rsidRPr="002756C2">
        <w:br w:type="page"/>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
        <w:gridCol w:w="1458"/>
        <w:gridCol w:w="983"/>
        <w:gridCol w:w="982"/>
        <w:gridCol w:w="861"/>
        <w:gridCol w:w="860"/>
        <w:gridCol w:w="860"/>
        <w:gridCol w:w="860"/>
        <w:gridCol w:w="911"/>
      </w:tblGrid>
      <w:tr w:rsidR="00BD5588" w:rsidRPr="002756C2" w14:paraId="20836FDD" w14:textId="77777777" w:rsidTr="00BD5588">
        <w:trPr>
          <w:cantSplit/>
        </w:trPr>
        <w:tc>
          <w:tcPr>
            <w:tcW w:w="8365" w:type="dxa"/>
            <w:gridSpan w:val="9"/>
            <w:shd w:val="clear" w:color="auto" w:fill="auto"/>
            <w:vAlign w:val="center"/>
            <w:hideMark/>
          </w:tcPr>
          <w:p w14:paraId="037AFE89" w14:textId="77777777" w:rsidR="00BD5588" w:rsidRPr="002756C2" w:rsidRDefault="00BD5588" w:rsidP="009E0502">
            <w:pPr>
              <w:jc w:val="center"/>
              <w:rPr>
                <w:b/>
                <w:bCs/>
                <w:lang w:eastAsia="en-US"/>
              </w:rPr>
            </w:pPr>
            <w:r w:rsidRPr="002756C2">
              <w:rPr>
                <w:b/>
                <w:bCs/>
                <w:lang w:eastAsia="en-US"/>
              </w:rPr>
              <w:lastRenderedPageBreak/>
              <w:t>III. Tiesību akta projekta ietekme uz valsts budžetu un pašvaldību budžetiem</w:t>
            </w:r>
          </w:p>
        </w:tc>
      </w:tr>
      <w:tr w:rsidR="00BD5588" w:rsidRPr="002756C2" w14:paraId="4250DE65" w14:textId="77777777" w:rsidTr="00BD5588">
        <w:trPr>
          <w:cantSplit/>
        </w:trPr>
        <w:tc>
          <w:tcPr>
            <w:tcW w:w="1997" w:type="dxa"/>
            <w:gridSpan w:val="2"/>
            <w:vMerge w:val="restart"/>
            <w:shd w:val="clear" w:color="auto" w:fill="FFFFFF"/>
            <w:vAlign w:val="center"/>
          </w:tcPr>
          <w:p w14:paraId="6D673D8F" w14:textId="77777777" w:rsidR="00BD5588" w:rsidRPr="002756C2" w:rsidRDefault="00BD5588" w:rsidP="009E0502">
            <w:pPr>
              <w:jc w:val="center"/>
              <w:rPr>
                <w:bCs/>
                <w:lang w:eastAsia="en-US"/>
              </w:rPr>
            </w:pPr>
            <w:r w:rsidRPr="002756C2">
              <w:rPr>
                <w:bCs/>
                <w:lang w:eastAsia="en-US"/>
              </w:rPr>
              <w:t>Rādītāji</w:t>
            </w:r>
          </w:p>
        </w:tc>
        <w:tc>
          <w:tcPr>
            <w:tcW w:w="1981" w:type="dxa"/>
            <w:gridSpan w:val="2"/>
            <w:vMerge w:val="restart"/>
            <w:shd w:val="clear" w:color="auto" w:fill="FFFFFF"/>
            <w:vAlign w:val="center"/>
            <w:hideMark/>
          </w:tcPr>
          <w:p w14:paraId="2CB193B5" w14:textId="58CDB75A" w:rsidR="00BD5588" w:rsidRPr="002756C2" w:rsidRDefault="00C102A0" w:rsidP="009E0502">
            <w:pPr>
              <w:jc w:val="center"/>
              <w:rPr>
                <w:bCs/>
                <w:lang w:eastAsia="en-US"/>
              </w:rPr>
            </w:pPr>
            <w:r w:rsidRPr="002756C2">
              <w:rPr>
                <w:bCs/>
                <w:lang w:eastAsia="en-US"/>
              </w:rPr>
              <w:t>2018.</w:t>
            </w:r>
            <w:r w:rsidR="00BD5588" w:rsidRPr="002756C2">
              <w:rPr>
                <w:bCs/>
                <w:lang w:eastAsia="en-US"/>
              </w:rPr>
              <w:t>gads</w:t>
            </w:r>
          </w:p>
        </w:tc>
        <w:tc>
          <w:tcPr>
            <w:tcW w:w="4387" w:type="dxa"/>
            <w:gridSpan w:val="5"/>
            <w:shd w:val="clear" w:color="auto" w:fill="FFFFFF"/>
            <w:vAlign w:val="center"/>
            <w:hideMark/>
          </w:tcPr>
          <w:p w14:paraId="337C4ADD" w14:textId="77777777" w:rsidR="00BD5588" w:rsidRPr="002756C2" w:rsidRDefault="00BD5588" w:rsidP="009E0502">
            <w:pPr>
              <w:jc w:val="center"/>
              <w:rPr>
                <w:lang w:eastAsia="en-US"/>
              </w:rPr>
            </w:pPr>
            <w:r w:rsidRPr="002756C2">
              <w:rPr>
                <w:lang w:eastAsia="en-US"/>
              </w:rPr>
              <w:t>Turpmākie trīs gadi (</w:t>
            </w:r>
            <w:r w:rsidRPr="002756C2">
              <w:rPr>
                <w:i/>
                <w:iCs/>
                <w:lang w:eastAsia="en-US"/>
              </w:rPr>
              <w:t>euro</w:t>
            </w:r>
            <w:r w:rsidRPr="002756C2">
              <w:rPr>
                <w:lang w:eastAsia="en-US"/>
              </w:rPr>
              <w:t>)</w:t>
            </w:r>
          </w:p>
        </w:tc>
      </w:tr>
      <w:tr w:rsidR="00BD5588" w:rsidRPr="002756C2" w14:paraId="11311E2E" w14:textId="77777777" w:rsidTr="00BD5588">
        <w:trPr>
          <w:cantSplit/>
        </w:trPr>
        <w:tc>
          <w:tcPr>
            <w:tcW w:w="1997" w:type="dxa"/>
            <w:gridSpan w:val="2"/>
            <w:vMerge/>
            <w:shd w:val="clear" w:color="auto" w:fill="auto"/>
            <w:vAlign w:val="center"/>
            <w:hideMark/>
          </w:tcPr>
          <w:p w14:paraId="3370A7ED" w14:textId="77777777" w:rsidR="00BD5588" w:rsidRPr="002756C2" w:rsidRDefault="00BD5588" w:rsidP="009E0502">
            <w:pPr>
              <w:jc w:val="center"/>
              <w:rPr>
                <w:bCs/>
                <w:lang w:eastAsia="en-US"/>
              </w:rPr>
            </w:pPr>
          </w:p>
        </w:tc>
        <w:tc>
          <w:tcPr>
            <w:tcW w:w="1981" w:type="dxa"/>
            <w:gridSpan w:val="2"/>
            <w:vMerge/>
            <w:shd w:val="clear" w:color="auto" w:fill="auto"/>
            <w:vAlign w:val="center"/>
            <w:hideMark/>
          </w:tcPr>
          <w:p w14:paraId="03E703C5" w14:textId="77777777" w:rsidR="00BD5588" w:rsidRPr="002756C2" w:rsidRDefault="00BD5588" w:rsidP="009E0502">
            <w:pPr>
              <w:jc w:val="center"/>
              <w:rPr>
                <w:bCs/>
                <w:lang w:eastAsia="en-US"/>
              </w:rPr>
            </w:pPr>
          </w:p>
        </w:tc>
        <w:tc>
          <w:tcPr>
            <w:tcW w:w="1735" w:type="dxa"/>
            <w:gridSpan w:val="2"/>
            <w:shd w:val="clear" w:color="auto" w:fill="FFFFFF"/>
            <w:vAlign w:val="center"/>
            <w:hideMark/>
          </w:tcPr>
          <w:p w14:paraId="508859C8" w14:textId="7E3050C9" w:rsidR="00BD5588" w:rsidRPr="002756C2" w:rsidRDefault="00C102A0" w:rsidP="009E0502">
            <w:pPr>
              <w:jc w:val="center"/>
              <w:rPr>
                <w:bCs/>
                <w:lang w:eastAsia="en-US"/>
              </w:rPr>
            </w:pPr>
            <w:r w:rsidRPr="002756C2">
              <w:rPr>
                <w:bCs/>
                <w:lang w:eastAsia="en-US"/>
              </w:rPr>
              <w:t>2019.</w:t>
            </w:r>
          </w:p>
        </w:tc>
        <w:tc>
          <w:tcPr>
            <w:tcW w:w="1734" w:type="dxa"/>
            <w:gridSpan w:val="2"/>
            <w:shd w:val="clear" w:color="auto" w:fill="FFFFFF"/>
            <w:vAlign w:val="center"/>
            <w:hideMark/>
          </w:tcPr>
          <w:p w14:paraId="19E936DC" w14:textId="7B8B3E99" w:rsidR="00BD5588" w:rsidRPr="002756C2" w:rsidRDefault="00EB2631" w:rsidP="009E0502">
            <w:pPr>
              <w:jc w:val="center"/>
              <w:rPr>
                <w:bCs/>
                <w:lang w:eastAsia="en-US"/>
              </w:rPr>
            </w:pPr>
            <w:r w:rsidRPr="002756C2">
              <w:rPr>
                <w:bCs/>
                <w:lang w:eastAsia="en-US"/>
              </w:rPr>
              <w:t>2020.</w:t>
            </w:r>
          </w:p>
        </w:tc>
        <w:tc>
          <w:tcPr>
            <w:tcW w:w="918" w:type="dxa"/>
            <w:shd w:val="clear" w:color="auto" w:fill="FFFFFF"/>
            <w:vAlign w:val="center"/>
            <w:hideMark/>
          </w:tcPr>
          <w:p w14:paraId="22EA4A4D" w14:textId="123AC60D" w:rsidR="00BD5588" w:rsidRPr="002756C2" w:rsidRDefault="00EB2631" w:rsidP="009E0502">
            <w:pPr>
              <w:jc w:val="center"/>
              <w:rPr>
                <w:bCs/>
                <w:lang w:eastAsia="en-US"/>
              </w:rPr>
            </w:pPr>
            <w:r w:rsidRPr="002756C2">
              <w:rPr>
                <w:bCs/>
                <w:lang w:eastAsia="en-US"/>
              </w:rPr>
              <w:t>2021.</w:t>
            </w:r>
          </w:p>
        </w:tc>
      </w:tr>
      <w:tr w:rsidR="00BD5588" w:rsidRPr="002756C2" w14:paraId="366406CD" w14:textId="77777777" w:rsidTr="00BD5588">
        <w:trPr>
          <w:cantSplit/>
        </w:trPr>
        <w:tc>
          <w:tcPr>
            <w:tcW w:w="1997" w:type="dxa"/>
            <w:gridSpan w:val="2"/>
            <w:vMerge/>
            <w:shd w:val="clear" w:color="auto" w:fill="auto"/>
            <w:vAlign w:val="center"/>
            <w:hideMark/>
          </w:tcPr>
          <w:p w14:paraId="245F72A6" w14:textId="77777777" w:rsidR="00BD5588" w:rsidRPr="002756C2" w:rsidRDefault="00BD5588" w:rsidP="009E0502">
            <w:pPr>
              <w:jc w:val="center"/>
              <w:rPr>
                <w:b/>
                <w:bCs/>
                <w:lang w:eastAsia="en-US"/>
              </w:rPr>
            </w:pPr>
          </w:p>
        </w:tc>
        <w:tc>
          <w:tcPr>
            <w:tcW w:w="991" w:type="dxa"/>
            <w:shd w:val="clear" w:color="auto" w:fill="FFFFFF"/>
            <w:vAlign w:val="center"/>
            <w:hideMark/>
          </w:tcPr>
          <w:p w14:paraId="7CBE1D06" w14:textId="77777777" w:rsidR="00BD5588" w:rsidRPr="002756C2" w:rsidRDefault="00BD5588" w:rsidP="009E0502">
            <w:pPr>
              <w:jc w:val="center"/>
              <w:rPr>
                <w:lang w:eastAsia="en-US"/>
              </w:rPr>
            </w:pPr>
            <w:r w:rsidRPr="002756C2">
              <w:rPr>
                <w:lang w:eastAsia="en-US"/>
              </w:rPr>
              <w:t>saskaņā ar valsts budžetu kārtējam gadam</w:t>
            </w:r>
          </w:p>
        </w:tc>
        <w:tc>
          <w:tcPr>
            <w:tcW w:w="990" w:type="dxa"/>
            <w:shd w:val="clear" w:color="auto" w:fill="FFFFFF"/>
            <w:vAlign w:val="center"/>
            <w:hideMark/>
          </w:tcPr>
          <w:p w14:paraId="246C5D67" w14:textId="77777777" w:rsidR="00BD5588" w:rsidRPr="002756C2" w:rsidRDefault="00BD5588" w:rsidP="009E0502">
            <w:pPr>
              <w:jc w:val="center"/>
              <w:rPr>
                <w:lang w:eastAsia="en-US"/>
              </w:rPr>
            </w:pPr>
            <w:r w:rsidRPr="002756C2">
              <w:rPr>
                <w:lang w:eastAsia="en-US"/>
              </w:rPr>
              <w:t>izmaiņas kārtējā gadā, salīdzinot ar valsts budžetu kārtējam gadam</w:t>
            </w:r>
          </w:p>
        </w:tc>
        <w:tc>
          <w:tcPr>
            <w:tcW w:w="868" w:type="dxa"/>
            <w:shd w:val="clear" w:color="auto" w:fill="FFFFFF"/>
            <w:vAlign w:val="center"/>
            <w:hideMark/>
          </w:tcPr>
          <w:p w14:paraId="6C47F362" w14:textId="77777777" w:rsidR="00BD5588" w:rsidRPr="002756C2" w:rsidRDefault="00BD5588" w:rsidP="009E0502">
            <w:pPr>
              <w:jc w:val="center"/>
              <w:rPr>
                <w:lang w:eastAsia="en-US"/>
              </w:rPr>
            </w:pPr>
            <w:r w:rsidRPr="002756C2">
              <w:rPr>
                <w:lang w:eastAsia="en-US"/>
              </w:rPr>
              <w:t>saskaņā ar vidēja termiņa budžeta ietvaru</w:t>
            </w:r>
          </w:p>
        </w:tc>
        <w:tc>
          <w:tcPr>
            <w:tcW w:w="867" w:type="dxa"/>
            <w:shd w:val="clear" w:color="auto" w:fill="FFFFFF"/>
            <w:vAlign w:val="center"/>
            <w:hideMark/>
          </w:tcPr>
          <w:p w14:paraId="1F50F4EF" w14:textId="4ACA0CEC" w:rsidR="00BD5588" w:rsidRPr="002756C2" w:rsidRDefault="00BD5588" w:rsidP="009E0502">
            <w:pPr>
              <w:jc w:val="center"/>
              <w:rPr>
                <w:lang w:eastAsia="en-US"/>
              </w:rPr>
            </w:pPr>
            <w:r w:rsidRPr="002756C2">
              <w:rPr>
                <w:lang w:eastAsia="en-US"/>
              </w:rPr>
              <w:t>izmaiņas, salīdzinot ar vi</w:t>
            </w:r>
            <w:r w:rsidR="00683E0D">
              <w:rPr>
                <w:lang w:eastAsia="en-US"/>
              </w:rPr>
              <w:t>dēja termiņa budžeta ietvaru 2019</w:t>
            </w:r>
            <w:r w:rsidRPr="002756C2">
              <w:rPr>
                <w:lang w:eastAsia="en-US"/>
              </w:rPr>
              <w:t xml:space="preserve"> gadam</w:t>
            </w:r>
          </w:p>
        </w:tc>
        <w:tc>
          <w:tcPr>
            <w:tcW w:w="867" w:type="dxa"/>
            <w:shd w:val="clear" w:color="auto" w:fill="FFFFFF"/>
            <w:vAlign w:val="center"/>
            <w:hideMark/>
          </w:tcPr>
          <w:p w14:paraId="7FD131E3" w14:textId="77777777" w:rsidR="00BD5588" w:rsidRPr="002756C2" w:rsidRDefault="00BD5588" w:rsidP="009E0502">
            <w:pPr>
              <w:jc w:val="center"/>
              <w:rPr>
                <w:lang w:eastAsia="en-US"/>
              </w:rPr>
            </w:pPr>
            <w:r w:rsidRPr="002756C2">
              <w:rPr>
                <w:lang w:eastAsia="en-US"/>
              </w:rPr>
              <w:t>saskaņā ar vidēja termiņa budžeta ietvaru</w:t>
            </w:r>
          </w:p>
        </w:tc>
        <w:tc>
          <w:tcPr>
            <w:tcW w:w="867" w:type="dxa"/>
            <w:shd w:val="clear" w:color="auto" w:fill="FFFFFF"/>
            <w:vAlign w:val="center"/>
            <w:hideMark/>
          </w:tcPr>
          <w:p w14:paraId="1773D318" w14:textId="7C3355DB" w:rsidR="00BD5588" w:rsidRPr="002756C2" w:rsidRDefault="00BD5588" w:rsidP="009E0502">
            <w:pPr>
              <w:jc w:val="center"/>
              <w:rPr>
                <w:lang w:eastAsia="en-US"/>
              </w:rPr>
            </w:pPr>
            <w:r w:rsidRPr="002756C2">
              <w:rPr>
                <w:lang w:eastAsia="en-US"/>
              </w:rPr>
              <w:t>izmaiņas, salīdzinot ar vi</w:t>
            </w:r>
            <w:r w:rsidR="00683E0D">
              <w:rPr>
                <w:lang w:eastAsia="en-US"/>
              </w:rPr>
              <w:t>dēja termiņa budžeta ietvaru 2020</w:t>
            </w:r>
            <w:r w:rsidRPr="002756C2">
              <w:rPr>
                <w:lang w:eastAsia="en-US"/>
              </w:rPr>
              <w:t xml:space="preserve"> gadam</w:t>
            </w:r>
          </w:p>
        </w:tc>
        <w:tc>
          <w:tcPr>
            <w:tcW w:w="918" w:type="dxa"/>
            <w:shd w:val="clear" w:color="auto" w:fill="FFFFFF"/>
            <w:vAlign w:val="center"/>
            <w:hideMark/>
          </w:tcPr>
          <w:p w14:paraId="5175FC7C" w14:textId="76BFCDA3" w:rsidR="00BD5588" w:rsidRPr="002756C2" w:rsidRDefault="00BD5588" w:rsidP="009E0502">
            <w:pPr>
              <w:jc w:val="center"/>
              <w:rPr>
                <w:lang w:eastAsia="en-US"/>
              </w:rPr>
            </w:pPr>
            <w:r w:rsidRPr="002756C2">
              <w:rPr>
                <w:lang w:eastAsia="en-US"/>
              </w:rPr>
              <w:t>izmaiņas, salīdzinot ar vid</w:t>
            </w:r>
            <w:r w:rsidR="00683E0D">
              <w:rPr>
                <w:lang w:eastAsia="en-US"/>
              </w:rPr>
              <w:t xml:space="preserve">ēja termiņa budžeta ietvaru </w:t>
            </w:r>
            <w:r w:rsidR="00683E0D">
              <w:rPr>
                <w:lang w:eastAsia="en-US"/>
              </w:rPr>
              <w:br/>
              <w:t>202</w:t>
            </w:r>
            <w:r w:rsidR="00020771">
              <w:rPr>
                <w:lang w:eastAsia="en-US"/>
              </w:rPr>
              <w:t>0</w:t>
            </w:r>
            <w:r w:rsidRPr="002756C2">
              <w:rPr>
                <w:lang w:eastAsia="en-US"/>
              </w:rPr>
              <w:t xml:space="preserve"> gadam</w:t>
            </w:r>
          </w:p>
        </w:tc>
      </w:tr>
      <w:tr w:rsidR="00BD5588" w:rsidRPr="002756C2" w14:paraId="2EBF0796" w14:textId="77777777" w:rsidTr="00BD5588">
        <w:trPr>
          <w:cantSplit/>
        </w:trPr>
        <w:tc>
          <w:tcPr>
            <w:tcW w:w="1997" w:type="dxa"/>
            <w:gridSpan w:val="2"/>
            <w:shd w:val="clear" w:color="auto" w:fill="FFFFFF"/>
            <w:vAlign w:val="center"/>
            <w:hideMark/>
          </w:tcPr>
          <w:p w14:paraId="3665B393" w14:textId="77777777" w:rsidR="00BD5588" w:rsidRPr="002756C2" w:rsidRDefault="00BD5588" w:rsidP="009E0502">
            <w:pPr>
              <w:jc w:val="center"/>
              <w:rPr>
                <w:lang w:eastAsia="en-US"/>
              </w:rPr>
            </w:pPr>
            <w:r w:rsidRPr="002756C2">
              <w:rPr>
                <w:lang w:eastAsia="en-US"/>
              </w:rPr>
              <w:t>1</w:t>
            </w:r>
          </w:p>
        </w:tc>
        <w:tc>
          <w:tcPr>
            <w:tcW w:w="991" w:type="dxa"/>
            <w:shd w:val="clear" w:color="auto" w:fill="FFFFFF"/>
            <w:vAlign w:val="center"/>
            <w:hideMark/>
          </w:tcPr>
          <w:p w14:paraId="76A6E4B7" w14:textId="77777777" w:rsidR="00BD5588" w:rsidRPr="002756C2" w:rsidRDefault="00BD5588" w:rsidP="009E0502">
            <w:pPr>
              <w:jc w:val="center"/>
              <w:rPr>
                <w:lang w:eastAsia="en-US"/>
              </w:rPr>
            </w:pPr>
            <w:r w:rsidRPr="002756C2">
              <w:rPr>
                <w:lang w:eastAsia="en-US"/>
              </w:rPr>
              <w:t>2</w:t>
            </w:r>
          </w:p>
        </w:tc>
        <w:tc>
          <w:tcPr>
            <w:tcW w:w="990" w:type="dxa"/>
            <w:shd w:val="clear" w:color="auto" w:fill="FFFFFF"/>
            <w:vAlign w:val="center"/>
            <w:hideMark/>
          </w:tcPr>
          <w:p w14:paraId="7BA14A45" w14:textId="77777777" w:rsidR="00BD5588" w:rsidRPr="002756C2" w:rsidRDefault="00BD5588" w:rsidP="009E0502">
            <w:pPr>
              <w:jc w:val="center"/>
              <w:rPr>
                <w:lang w:eastAsia="en-US"/>
              </w:rPr>
            </w:pPr>
            <w:r w:rsidRPr="002756C2">
              <w:rPr>
                <w:lang w:eastAsia="en-US"/>
              </w:rPr>
              <w:t>3</w:t>
            </w:r>
          </w:p>
        </w:tc>
        <w:tc>
          <w:tcPr>
            <w:tcW w:w="868" w:type="dxa"/>
            <w:shd w:val="clear" w:color="auto" w:fill="FFFFFF"/>
            <w:vAlign w:val="center"/>
            <w:hideMark/>
          </w:tcPr>
          <w:p w14:paraId="75AB3AC4" w14:textId="77777777" w:rsidR="00BD5588" w:rsidRPr="002756C2" w:rsidRDefault="00BD5588" w:rsidP="009E0502">
            <w:pPr>
              <w:jc w:val="center"/>
              <w:rPr>
                <w:lang w:eastAsia="en-US"/>
              </w:rPr>
            </w:pPr>
            <w:r w:rsidRPr="002756C2">
              <w:rPr>
                <w:lang w:eastAsia="en-US"/>
              </w:rPr>
              <w:t>4</w:t>
            </w:r>
          </w:p>
        </w:tc>
        <w:tc>
          <w:tcPr>
            <w:tcW w:w="867" w:type="dxa"/>
            <w:shd w:val="clear" w:color="auto" w:fill="FFFFFF"/>
            <w:vAlign w:val="center"/>
            <w:hideMark/>
          </w:tcPr>
          <w:p w14:paraId="44FA5B3A" w14:textId="77777777" w:rsidR="00BD5588" w:rsidRPr="002756C2" w:rsidRDefault="00BD5588" w:rsidP="009E0502">
            <w:pPr>
              <w:jc w:val="center"/>
              <w:rPr>
                <w:lang w:eastAsia="en-US"/>
              </w:rPr>
            </w:pPr>
            <w:r w:rsidRPr="002756C2">
              <w:rPr>
                <w:lang w:eastAsia="en-US"/>
              </w:rPr>
              <w:t>5</w:t>
            </w:r>
          </w:p>
        </w:tc>
        <w:tc>
          <w:tcPr>
            <w:tcW w:w="867" w:type="dxa"/>
            <w:shd w:val="clear" w:color="auto" w:fill="FFFFFF"/>
            <w:vAlign w:val="center"/>
            <w:hideMark/>
          </w:tcPr>
          <w:p w14:paraId="538A9ACF" w14:textId="77777777" w:rsidR="00BD5588" w:rsidRPr="002756C2" w:rsidRDefault="00BD5588" w:rsidP="009E0502">
            <w:pPr>
              <w:jc w:val="center"/>
              <w:rPr>
                <w:lang w:eastAsia="en-US"/>
              </w:rPr>
            </w:pPr>
            <w:r w:rsidRPr="002756C2">
              <w:rPr>
                <w:lang w:eastAsia="en-US"/>
              </w:rPr>
              <w:t>6</w:t>
            </w:r>
          </w:p>
        </w:tc>
        <w:tc>
          <w:tcPr>
            <w:tcW w:w="867" w:type="dxa"/>
            <w:shd w:val="clear" w:color="auto" w:fill="FFFFFF"/>
            <w:vAlign w:val="center"/>
            <w:hideMark/>
          </w:tcPr>
          <w:p w14:paraId="0761CFC5" w14:textId="77777777" w:rsidR="00BD5588" w:rsidRPr="002756C2" w:rsidRDefault="00BD5588" w:rsidP="009E0502">
            <w:pPr>
              <w:jc w:val="center"/>
              <w:rPr>
                <w:lang w:eastAsia="en-US"/>
              </w:rPr>
            </w:pPr>
            <w:r w:rsidRPr="002756C2">
              <w:rPr>
                <w:lang w:eastAsia="en-US"/>
              </w:rPr>
              <w:t>7</w:t>
            </w:r>
          </w:p>
        </w:tc>
        <w:tc>
          <w:tcPr>
            <w:tcW w:w="918" w:type="dxa"/>
            <w:shd w:val="clear" w:color="auto" w:fill="FFFFFF"/>
            <w:vAlign w:val="center"/>
            <w:hideMark/>
          </w:tcPr>
          <w:p w14:paraId="4E6C6081" w14:textId="77777777" w:rsidR="00BD5588" w:rsidRPr="002756C2" w:rsidRDefault="00BD5588" w:rsidP="009E0502">
            <w:pPr>
              <w:jc w:val="center"/>
              <w:rPr>
                <w:lang w:eastAsia="en-US"/>
              </w:rPr>
            </w:pPr>
            <w:r w:rsidRPr="002756C2">
              <w:rPr>
                <w:lang w:eastAsia="en-US"/>
              </w:rPr>
              <w:t>8</w:t>
            </w:r>
          </w:p>
        </w:tc>
      </w:tr>
      <w:tr w:rsidR="00BD5588" w:rsidRPr="002756C2" w14:paraId="567801B6" w14:textId="77777777" w:rsidTr="00BD5588">
        <w:trPr>
          <w:cantSplit/>
        </w:trPr>
        <w:tc>
          <w:tcPr>
            <w:tcW w:w="1997" w:type="dxa"/>
            <w:gridSpan w:val="2"/>
            <w:shd w:val="clear" w:color="auto" w:fill="FFFFFF"/>
            <w:hideMark/>
          </w:tcPr>
          <w:p w14:paraId="7192CD59" w14:textId="77777777" w:rsidR="00BD5588" w:rsidRPr="002756C2" w:rsidRDefault="00BD5588" w:rsidP="009E0502">
            <w:pPr>
              <w:rPr>
                <w:lang w:eastAsia="en-US"/>
              </w:rPr>
            </w:pPr>
            <w:r w:rsidRPr="002756C2">
              <w:rPr>
                <w:lang w:eastAsia="en-US"/>
              </w:rPr>
              <w:t>1. Budžeta ieņēmumi</w:t>
            </w:r>
          </w:p>
        </w:tc>
        <w:tc>
          <w:tcPr>
            <w:tcW w:w="991" w:type="dxa"/>
            <w:shd w:val="clear" w:color="auto" w:fill="FFFFFF"/>
            <w:vAlign w:val="center"/>
            <w:hideMark/>
          </w:tcPr>
          <w:p w14:paraId="27DCB097" w14:textId="77777777" w:rsidR="00BD5588" w:rsidRPr="002756C2" w:rsidRDefault="00BD5588" w:rsidP="009E0502">
            <w:pPr>
              <w:jc w:val="center"/>
              <w:rPr>
                <w:lang w:eastAsia="en-US"/>
              </w:rPr>
            </w:pPr>
          </w:p>
        </w:tc>
        <w:tc>
          <w:tcPr>
            <w:tcW w:w="990" w:type="dxa"/>
            <w:shd w:val="clear" w:color="auto" w:fill="FFFFFF"/>
            <w:vAlign w:val="center"/>
            <w:hideMark/>
          </w:tcPr>
          <w:p w14:paraId="586F6200" w14:textId="77777777" w:rsidR="00BD5588" w:rsidRPr="002756C2" w:rsidRDefault="00BD5588" w:rsidP="009E0502">
            <w:pPr>
              <w:jc w:val="center"/>
              <w:rPr>
                <w:lang w:eastAsia="en-US"/>
              </w:rPr>
            </w:pPr>
          </w:p>
        </w:tc>
        <w:tc>
          <w:tcPr>
            <w:tcW w:w="868" w:type="dxa"/>
            <w:shd w:val="clear" w:color="auto" w:fill="FFFFFF"/>
            <w:vAlign w:val="center"/>
            <w:hideMark/>
          </w:tcPr>
          <w:p w14:paraId="440F8F56" w14:textId="77777777" w:rsidR="00BD5588" w:rsidRPr="002756C2" w:rsidRDefault="00BD5588" w:rsidP="009E0502">
            <w:pPr>
              <w:jc w:val="center"/>
              <w:rPr>
                <w:lang w:eastAsia="en-US"/>
              </w:rPr>
            </w:pPr>
          </w:p>
        </w:tc>
        <w:tc>
          <w:tcPr>
            <w:tcW w:w="867" w:type="dxa"/>
            <w:shd w:val="clear" w:color="auto" w:fill="FFFFFF"/>
            <w:vAlign w:val="center"/>
            <w:hideMark/>
          </w:tcPr>
          <w:p w14:paraId="23FAC151" w14:textId="77777777" w:rsidR="00BD5588" w:rsidRPr="002756C2" w:rsidRDefault="00BD5588" w:rsidP="009E0502">
            <w:pPr>
              <w:jc w:val="center"/>
              <w:rPr>
                <w:lang w:eastAsia="en-US"/>
              </w:rPr>
            </w:pPr>
          </w:p>
        </w:tc>
        <w:tc>
          <w:tcPr>
            <w:tcW w:w="867" w:type="dxa"/>
            <w:shd w:val="clear" w:color="auto" w:fill="FFFFFF"/>
            <w:vAlign w:val="center"/>
            <w:hideMark/>
          </w:tcPr>
          <w:p w14:paraId="65D7098E" w14:textId="77777777" w:rsidR="00BD5588" w:rsidRPr="002756C2" w:rsidRDefault="00BD5588" w:rsidP="009E0502">
            <w:pPr>
              <w:jc w:val="center"/>
              <w:rPr>
                <w:lang w:eastAsia="en-US"/>
              </w:rPr>
            </w:pPr>
          </w:p>
        </w:tc>
        <w:tc>
          <w:tcPr>
            <w:tcW w:w="867" w:type="dxa"/>
            <w:shd w:val="clear" w:color="auto" w:fill="FFFFFF"/>
            <w:vAlign w:val="center"/>
            <w:hideMark/>
          </w:tcPr>
          <w:p w14:paraId="05967138" w14:textId="77777777" w:rsidR="00BD5588" w:rsidRPr="002756C2" w:rsidRDefault="00BD5588" w:rsidP="009E0502">
            <w:pPr>
              <w:jc w:val="center"/>
              <w:rPr>
                <w:lang w:eastAsia="en-US"/>
              </w:rPr>
            </w:pPr>
          </w:p>
        </w:tc>
        <w:tc>
          <w:tcPr>
            <w:tcW w:w="918" w:type="dxa"/>
            <w:shd w:val="clear" w:color="auto" w:fill="FFFFFF"/>
            <w:vAlign w:val="center"/>
            <w:hideMark/>
          </w:tcPr>
          <w:p w14:paraId="778222A5" w14:textId="77777777" w:rsidR="00BD5588" w:rsidRPr="002756C2" w:rsidRDefault="00BD5588" w:rsidP="009E0502">
            <w:pPr>
              <w:jc w:val="center"/>
              <w:rPr>
                <w:lang w:eastAsia="en-US"/>
              </w:rPr>
            </w:pPr>
          </w:p>
        </w:tc>
      </w:tr>
      <w:tr w:rsidR="00BD5588" w:rsidRPr="002756C2" w14:paraId="19753A54" w14:textId="77777777" w:rsidTr="00BD5588">
        <w:trPr>
          <w:cantSplit/>
        </w:trPr>
        <w:tc>
          <w:tcPr>
            <w:tcW w:w="1997" w:type="dxa"/>
            <w:gridSpan w:val="2"/>
            <w:shd w:val="clear" w:color="auto" w:fill="auto"/>
            <w:hideMark/>
          </w:tcPr>
          <w:p w14:paraId="54E68100" w14:textId="77777777" w:rsidR="00BD5588" w:rsidRPr="002756C2" w:rsidRDefault="00BD5588" w:rsidP="009E0502">
            <w:pPr>
              <w:rPr>
                <w:lang w:eastAsia="en-US"/>
              </w:rPr>
            </w:pPr>
            <w:r w:rsidRPr="002756C2">
              <w:rPr>
                <w:lang w:eastAsia="en-US"/>
              </w:rPr>
              <w:t>1.1. valsts pamatbudžets, tai skaitā ieņēmumi no maksas pakalpojumiem un citi pašu ieņēmumi</w:t>
            </w:r>
          </w:p>
        </w:tc>
        <w:tc>
          <w:tcPr>
            <w:tcW w:w="991" w:type="dxa"/>
            <w:shd w:val="clear" w:color="auto" w:fill="auto"/>
            <w:vAlign w:val="center"/>
            <w:hideMark/>
          </w:tcPr>
          <w:p w14:paraId="29EFCDB2"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6FB2E055"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3C54FF56"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23D453CC"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239F6C83"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3612A84B"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04CF22C3" w14:textId="77777777" w:rsidR="00BD5588" w:rsidRPr="002756C2" w:rsidRDefault="00EB54BE" w:rsidP="009E0502">
            <w:pPr>
              <w:jc w:val="center"/>
              <w:rPr>
                <w:lang w:eastAsia="en-US"/>
              </w:rPr>
            </w:pPr>
            <w:r w:rsidRPr="002756C2">
              <w:rPr>
                <w:lang w:eastAsia="en-US"/>
              </w:rPr>
              <w:t>0</w:t>
            </w:r>
          </w:p>
        </w:tc>
      </w:tr>
      <w:tr w:rsidR="00BD5588" w:rsidRPr="002756C2" w14:paraId="26959691" w14:textId="77777777" w:rsidTr="00BD5588">
        <w:trPr>
          <w:cantSplit/>
        </w:trPr>
        <w:tc>
          <w:tcPr>
            <w:tcW w:w="1997" w:type="dxa"/>
            <w:gridSpan w:val="2"/>
            <w:shd w:val="clear" w:color="auto" w:fill="auto"/>
            <w:hideMark/>
          </w:tcPr>
          <w:p w14:paraId="414B77CA" w14:textId="77777777" w:rsidR="00BD5588" w:rsidRPr="002756C2" w:rsidRDefault="00BD5588" w:rsidP="009E0502">
            <w:pPr>
              <w:rPr>
                <w:lang w:eastAsia="en-US"/>
              </w:rPr>
            </w:pPr>
            <w:r w:rsidRPr="002756C2">
              <w:rPr>
                <w:lang w:eastAsia="en-US"/>
              </w:rPr>
              <w:t>1.2. valsts speciālais budžets</w:t>
            </w:r>
          </w:p>
        </w:tc>
        <w:tc>
          <w:tcPr>
            <w:tcW w:w="991" w:type="dxa"/>
            <w:shd w:val="clear" w:color="auto" w:fill="auto"/>
            <w:vAlign w:val="center"/>
            <w:hideMark/>
          </w:tcPr>
          <w:p w14:paraId="073F60F8"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2577C2BE"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7E76B2C9"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2AB5B8F7"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18859D98"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58FB9D18"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47C6897F" w14:textId="77777777" w:rsidR="00BD5588" w:rsidRPr="002756C2" w:rsidRDefault="00EB54BE" w:rsidP="009E0502">
            <w:pPr>
              <w:jc w:val="center"/>
              <w:rPr>
                <w:lang w:eastAsia="en-US"/>
              </w:rPr>
            </w:pPr>
            <w:r w:rsidRPr="002756C2">
              <w:rPr>
                <w:lang w:eastAsia="en-US"/>
              </w:rPr>
              <w:t>0</w:t>
            </w:r>
          </w:p>
        </w:tc>
      </w:tr>
      <w:tr w:rsidR="00BD5588" w:rsidRPr="002756C2" w14:paraId="48D7B0D5" w14:textId="77777777" w:rsidTr="00BD5588">
        <w:trPr>
          <w:cantSplit/>
        </w:trPr>
        <w:tc>
          <w:tcPr>
            <w:tcW w:w="1997" w:type="dxa"/>
            <w:gridSpan w:val="2"/>
            <w:shd w:val="clear" w:color="auto" w:fill="auto"/>
            <w:hideMark/>
          </w:tcPr>
          <w:p w14:paraId="53BE12D0" w14:textId="77777777" w:rsidR="00BD5588" w:rsidRPr="002756C2" w:rsidRDefault="00BD5588" w:rsidP="009E0502">
            <w:pPr>
              <w:rPr>
                <w:lang w:eastAsia="en-US"/>
              </w:rPr>
            </w:pPr>
            <w:r w:rsidRPr="002756C2">
              <w:rPr>
                <w:lang w:eastAsia="en-US"/>
              </w:rPr>
              <w:t>1.3. pašvaldību budžets</w:t>
            </w:r>
          </w:p>
        </w:tc>
        <w:tc>
          <w:tcPr>
            <w:tcW w:w="991" w:type="dxa"/>
            <w:shd w:val="clear" w:color="auto" w:fill="auto"/>
            <w:vAlign w:val="center"/>
            <w:hideMark/>
          </w:tcPr>
          <w:p w14:paraId="3DE4A31C"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07523215"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7757F8FC"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04F7E5F2"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353D14E9"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0357F7A1"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60C38BD1" w14:textId="77777777" w:rsidR="00BD5588" w:rsidRPr="002756C2" w:rsidRDefault="00EB54BE" w:rsidP="009E0502">
            <w:pPr>
              <w:jc w:val="center"/>
              <w:rPr>
                <w:lang w:eastAsia="en-US"/>
              </w:rPr>
            </w:pPr>
            <w:r w:rsidRPr="002756C2">
              <w:rPr>
                <w:lang w:eastAsia="en-US"/>
              </w:rPr>
              <w:t>0</w:t>
            </w:r>
          </w:p>
        </w:tc>
      </w:tr>
      <w:tr w:rsidR="00BD5588" w:rsidRPr="002756C2" w14:paraId="0F559CAC" w14:textId="77777777" w:rsidTr="00BD5588">
        <w:trPr>
          <w:cantSplit/>
        </w:trPr>
        <w:tc>
          <w:tcPr>
            <w:tcW w:w="1997" w:type="dxa"/>
            <w:gridSpan w:val="2"/>
            <w:shd w:val="clear" w:color="auto" w:fill="auto"/>
            <w:hideMark/>
          </w:tcPr>
          <w:p w14:paraId="15A7C867" w14:textId="77777777" w:rsidR="00BD5588" w:rsidRPr="002756C2" w:rsidRDefault="00BD5588" w:rsidP="009E0502">
            <w:pPr>
              <w:rPr>
                <w:lang w:eastAsia="en-US"/>
              </w:rPr>
            </w:pPr>
            <w:r w:rsidRPr="002756C2">
              <w:rPr>
                <w:lang w:eastAsia="en-US"/>
              </w:rPr>
              <w:t>2. Budžeta izdevumi</w:t>
            </w:r>
          </w:p>
        </w:tc>
        <w:tc>
          <w:tcPr>
            <w:tcW w:w="991" w:type="dxa"/>
            <w:shd w:val="clear" w:color="auto" w:fill="auto"/>
            <w:vAlign w:val="center"/>
            <w:hideMark/>
          </w:tcPr>
          <w:p w14:paraId="60BFD5E8" w14:textId="77777777" w:rsidR="00BD5588" w:rsidRPr="002756C2" w:rsidRDefault="00BD5588" w:rsidP="009E0502">
            <w:pPr>
              <w:jc w:val="center"/>
              <w:rPr>
                <w:lang w:eastAsia="en-US"/>
              </w:rPr>
            </w:pPr>
          </w:p>
        </w:tc>
        <w:tc>
          <w:tcPr>
            <w:tcW w:w="990" w:type="dxa"/>
            <w:shd w:val="clear" w:color="auto" w:fill="auto"/>
            <w:vAlign w:val="center"/>
            <w:hideMark/>
          </w:tcPr>
          <w:p w14:paraId="3A7E11DA" w14:textId="77777777" w:rsidR="00BD5588" w:rsidRPr="002756C2" w:rsidRDefault="00BD5588" w:rsidP="009E0502">
            <w:pPr>
              <w:jc w:val="center"/>
              <w:rPr>
                <w:lang w:eastAsia="en-US"/>
              </w:rPr>
            </w:pPr>
          </w:p>
        </w:tc>
        <w:tc>
          <w:tcPr>
            <w:tcW w:w="868" w:type="dxa"/>
            <w:shd w:val="clear" w:color="auto" w:fill="auto"/>
            <w:vAlign w:val="center"/>
            <w:hideMark/>
          </w:tcPr>
          <w:p w14:paraId="117FB99B" w14:textId="77777777" w:rsidR="00BD5588" w:rsidRPr="002756C2" w:rsidRDefault="00BD5588" w:rsidP="009E0502">
            <w:pPr>
              <w:jc w:val="center"/>
              <w:rPr>
                <w:lang w:eastAsia="en-US"/>
              </w:rPr>
            </w:pPr>
          </w:p>
        </w:tc>
        <w:tc>
          <w:tcPr>
            <w:tcW w:w="867" w:type="dxa"/>
            <w:shd w:val="clear" w:color="auto" w:fill="auto"/>
            <w:vAlign w:val="center"/>
            <w:hideMark/>
          </w:tcPr>
          <w:p w14:paraId="6C0027E1" w14:textId="77777777" w:rsidR="00BD5588" w:rsidRPr="002756C2" w:rsidRDefault="00BD5588" w:rsidP="009E0502">
            <w:pPr>
              <w:jc w:val="center"/>
              <w:rPr>
                <w:lang w:eastAsia="en-US"/>
              </w:rPr>
            </w:pPr>
          </w:p>
        </w:tc>
        <w:tc>
          <w:tcPr>
            <w:tcW w:w="867" w:type="dxa"/>
            <w:shd w:val="clear" w:color="auto" w:fill="auto"/>
            <w:vAlign w:val="center"/>
            <w:hideMark/>
          </w:tcPr>
          <w:p w14:paraId="5D06C1E5" w14:textId="77777777" w:rsidR="00BD5588" w:rsidRPr="002756C2" w:rsidRDefault="00BD5588" w:rsidP="009E0502">
            <w:pPr>
              <w:jc w:val="center"/>
              <w:rPr>
                <w:lang w:eastAsia="en-US"/>
              </w:rPr>
            </w:pPr>
          </w:p>
        </w:tc>
        <w:tc>
          <w:tcPr>
            <w:tcW w:w="867" w:type="dxa"/>
            <w:shd w:val="clear" w:color="auto" w:fill="auto"/>
            <w:vAlign w:val="center"/>
            <w:hideMark/>
          </w:tcPr>
          <w:p w14:paraId="67496267" w14:textId="77777777" w:rsidR="00BD5588" w:rsidRPr="002756C2" w:rsidRDefault="00BD5588" w:rsidP="009E0502">
            <w:pPr>
              <w:jc w:val="center"/>
              <w:rPr>
                <w:lang w:eastAsia="en-US"/>
              </w:rPr>
            </w:pPr>
          </w:p>
        </w:tc>
        <w:tc>
          <w:tcPr>
            <w:tcW w:w="918" w:type="dxa"/>
            <w:shd w:val="clear" w:color="auto" w:fill="auto"/>
            <w:vAlign w:val="center"/>
            <w:hideMark/>
          </w:tcPr>
          <w:p w14:paraId="0550FF0F" w14:textId="77777777" w:rsidR="00BD5588" w:rsidRPr="002756C2" w:rsidRDefault="00BD5588" w:rsidP="009E0502">
            <w:pPr>
              <w:jc w:val="center"/>
              <w:rPr>
                <w:lang w:eastAsia="en-US"/>
              </w:rPr>
            </w:pPr>
          </w:p>
        </w:tc>
      </w:tr>
      <w:tr w:rsidR="00BD5588" w:rsidRPr="002756C2" w14:paraId="2D688E14" w14:textId="77777777" w:rsidTr="00BD5588">
        <w:trPr>
          <w:cantSplit/>
        </w:trPr>
        <w:tc>
          <w:tcPr>
            <w:tcW w:w="1997" w:type="dxa"/>
            <w:gridSpan w:val="2"/>
            <w:shd w:val="clear" w:color="auto" w:fill="auto"/>
            <w:hideMark/>
          </w:tcPr>
          <w:p w14:paraId="62682B21" w14:textId="77777777" w:rsidR="00BD5588" w:rsidRPr="002756C2" w:rsidRDefault="00BD5588" w:rsidP="009E0502">
            <w:pPr>
              <w:rPr>
                <w:lang w:eastAsia="en-US"/>
              </w:rPr>
            </w:pPr>
            <w:r w:rsidRPr="002756C2">
              <w:rPr>
                <w:lang w:eastAsia="en-US"/>
              </w:rPr>
              <w:t>2.1. valsts pamatbudžets</w:t>
            </w:r>
          </w:p>
        </w:tc>
        <w:tc>
          <w:tcPr>
            <w:tcW w:w="991" w:type="dxa"/>
            <w:shd w:val="clear" w:color="auto" w:fill="auto"/>
            <w:vAlign w:val="center"/>
            <w:hideMark/>
          </w:tcPr>
          <w:p w14:paraId="514B771D"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5725837A"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5531C765"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71BB52FE"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3A6BCA4B"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543C6800"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2C6EB027" w14:textId="77777777" w:rsidR="00BD5588" w:rsidRPr="002756C2" w:rsidRDefault="00EB54BE" w:rsidP="009E0502">
            <w:pPr>
              <w:jc w:val="center"/>
              <w:rPr>
                <w:lang w:eastAsia="en-US"/>
              </w:rPr>
            </w:pPr>
            <w:r w:rsidRPr="002756C2">
              <w:rPr>
                <w:lang w:eastAsia="en-US"/>
              </w:rPr>
              <w:t>0</w:t>
            </w:r>
          </w:p>
        </w:tc>
      </w:tr>
      <w:tr w:rsidR="004F2A7E" w:rsidRPr="002756C2" w14:paraId="13E82E1B" w14:textId="77777777" w:rsidTr="00BD5588">
        <w:trPr>
          <w:cantSplit/>
        </w:trPr>
        <w:tc>
          <w:tcPr>
            <w:tcW w:w="1997" w:type="dxa"/>
            <w:gridSpan w:val="2"/>
            <w:shd w:val="clear" w:color="auto" w:fill="auto"/>
          </w:tcPr>
          <w:p w14:paraId="4182A354" w14:textId="3ED73D10" w:rsidR="004F2A7E" w:rsidRPr="002756C2" w:rsidRDefault="004F2A7E" w:rsidP="009E0502">
            <w:pPr>
              <w:rPr>
                <w:lang w:eastAsia="en-US"/>
              </w:rPr>
            </w:pPr>
            <w:r>
              <w:rPr>
                <w:lang w:eastAsia="en-US"/>
              </w:rPr>
              <w:t xml:space="preserve">26.04.00 </w:t>
            </w:r>
            <w:r w:rsidRPr="004F2A7E">
              <w:rPr>
                <w:lang w:eastAsia="en-US"/>
              </w:rPr>
              <w:t>Atbilstības novērtēšana un kvalitātes nodrošināšana</w:t>
            </w:r>
          </w:p>
        </w:tc>
        <w:tc>
          <w:tcPr>
            <w:tcW w:w="991" w:type="dxa"/>
            <w:shd w:val="clear" w:color="auto" w:fill="auto"/>
            <w:vAlign w:val="center"/>
          </w:tcPr>
          <w:p w14:paraId="4BC0A628" w14:textId="0A8AD49D" w:rsidR="004F2A7E" w:rsidRPr="002756C2" w:rsidRDefault="00A62C45" w:rsidP="009E0502">
            <w:pPr>
              <w:jc w:val="center"/>
              <w:rPr>
                <w:lang w:eastAsia="en-US"/>
              </w:rPr>
            </w:pPr>
            <w:r w:rsidRPr="002756C2">
              <w:rPr>
                <w:lang w:eastAsia="en-US"/>
              </w:rPr>
              <w:t>84 870</w:t>
            </w:r>
          </w:p>
        </w:tc>
        <w:tc>
          <w:tcPr>
            <w:tcW w:w="990" w:type="dxa"/>
            <w:shd w:val="clear" w:color="auto" w:fill="auto"/>
            <w:vAlign w:val="center"/>
          </w:tcPr>
          <w:p w14:paraId="38B321CD" w14:textId="1879FC93" w:rsidR="004F2A7E" w:rsidRPr="002756C2" w:rsidRDefault="004F2A7E" w:rsidP="009E0502">
            <w:pPr>
              <w:jc w:val="center"/>
              <w:rPr>
                <w:lang w:eastAsia="en-US"/>
              </w:rPr>
            </w:pPr>
            <w:r>
              <w:rPr>
                <w:lang w:eastAsia="en-US"/>
              </w:rPr>
              <w:t>-</w:t>
            </w:r>
            <w:r w:rsidR="007D3996">
              <w:t>5</w:t>
            </w:r>
            <w:r w:rsidR="008C751E">
              <w:t>0</w:t>
            </w:r>
            <w:r w:rsidR="007D3996">
              <w:t xml:space="preserve"> </w:t>
            </w:r>
            <w:r w:rsidR="008C751E">
              <w:t>258</w:t>
            </w:r>
          </w:p>
        </w:tc>
        <w:tc>
          <w:tcPr>
            <w:tcW w:w="868" w:type="dxa"/>
            <w:shd w:val="clear" w:color="auto" w:fill="auto"/>
            <w:vAlign w:val="center"/>
          </w:tcPr>
          <w:p w14:paraId="4B248412" w14:textId="6B30E470" w:rsidR="004F2A7E" w:rsidRPr="002756C2" w:rsidRDefault="00A62C45" w:rsidP="009E0502">
            <w:pPr>
              <w:jc w:val="center"/>
              <w:rPr>
                <w:lang w:eastAsia="en-US"/>
              </w:rPr>
            </w:pPr>
            <w:r>
              <w:rPr>
                <w:lang w:eastAsia="en-US"/>
              </w:rPr>
              <w:t>84 870</w:t>
            </w:r>
          </w:p>
        </w:tc>
        <w:tc>
          <w:tcPr>
            <w:tcW w:w="867" w:type="dxa"/>
            <w:shd w:val="clear" w:color="auto" w:fill="auto"/>
            <w:vAlign w:val="center"/>
          </w:tcPr>
          <w:p w14:paraId="52EB9522" w14:textId="5E52141E" w:rsidR="004F2A7E" w:rsidRPr="002756C2" w:rsidRDefault="008C751E" w:rsidP="009E0502">
            <w:pPr>
              <w:jc w:val="center"/>
              <w:rPr>
                <w:lang w:eastAsia="en-US"/>
              </w:rPr>
            </w:pPr>
            <w:r>
              <w:rPr>
                <w:lang w:eastAsia="en-US"/>
              </w:rPr>
              <w:t>-60</w:t>
            </w:r>
            <w:r w:rsidR="00A62C45">
              <w:rPr>
                <w:lang w:eastAsia="en-US"/>
              </w:rPr>
              <w:t xml:space="preserve"> 310</w:t>
            </w:r>
          </w:p>
        </w:tc>
        <w:tc>
          <w:tcPr>
            <w:tcW w:w="867" w:type="dxa"/>
            <w:shd w:val="clear" w:color="auto" w:fill="auto"/>
            <w:vAlign w:val="center"/>
          </w:tcPr>
          <w:p w14:paraId="32C51717" w14:textId="3AB0334F" w:rsidR="004F2A7E" w:rsidRPr="002756C2" w:rsidRDefault="00A62C45" w:rsidP="009E0502">
            <w:pPr>
              <w:jc w:val="center"/>
              <w:rPr>
                <w:lang w:eastAsia="en-US"/>
              </w:rPr>
            </w:pPr>
            <w:r>
              <w:rPr>
                <w:lang w:eastAsia="en-US"/>
              </w:rPr>
              <w:t>84870</w:t>
            </w:r>
          </w:p>
        </w:tc>
        <w:tc>
          <w:tcPr>
            <w:tcW w:w="867" w:type="dxa"/>
            <w:shd w:val="clear" w:color="auto" w:fill="auto"/>
            <w:vAlign w:val="center"/>
          </w:tcPr>
          <w:p w14:paraId="4E1389BF" w14:textId="097724B6" w:rsidR="004F2A7E" w:rsidRPr="002756C2" w:rsidRDefault="008C751E" w:rsidP="009E0502">
            <w:pPr>
              <w:jc w:val="center"/>
              <w:rPr>
                <w:lang w:eastAsia="en-US"/>
              </w:rPr>
            </w:pPr>
            <w:r>
              <w:rPr>
                <w:lang w:eastAsia="en-US"/>
              </w:rPr>
              <w:t xml:space="preserve">-60 </w:t>
            </w:r>
            <w:r w:rsidR="00A62C45">
              <w:rPr>
                <w:lang w:eastAsia="en-US"/>
              </w:rPr>
              <w:t>310</w:t>
            </w:r>
          </w:p>
        </w:tc>
        <w:tc>
          <w:tcPr>
            <w:tcW w:w="918" w:type="dxa"/>
            <w:shd w:val="clear" w:color="auto" w:fill="auto"/>
            <w:vAlign w:val="center"/>
          </w:tcPr>
          <w:p w14:paraId="5E984DA9" w14:textId="660C03A9" w:rsidR="004F2A7E" w:rsidRPr="002756C2" w:rsidRDefault="008C751E" w:rsidP="009E0502">
            <w:pPr>
              <w:jc w:val="center"/>
              <w:rPr>
                <w:lang w:eastAsia="en-US"/>
              </w:rPr>
            </w:pPr>
            <w:r>
              <w:rPr>
                <w:lang w:eastAsia="en-US"/>
              </w:rPr>
              <w:t xml:space="preserve">-60 </w:t>
            </w:r>
            <w:r w:rsidR="00A62C45">
              <w:rPr>
                <w:lang w:eastAsia="en-US"/>
              </w:rPr>
              <w:t>310</w:t>
            </w:r>
          </w:p>
        </w:tc>
      </w:tr>
      <w:tr w:rsidR="004F2A7E" w:rsidRPr="002756C2" w14:paraId="585B9634" w14:textId="77777777" w:rsidTr="00BD5588">
        <w:trPr>
          <w:cantSplit/>
        </w:trPr>
        <w:tc>
          <w:tcPr>
            <w:tcW w:w="1997" w:type="dxa"/>
            <w:gridSpan w:val="2"/>
            <w:shd w:val="clear" w:color="auto" w:fill="auto"/>
          </w:tcPr>
          <w:p w14:paraId="2D13A856" w14:textId="28EFA872" w:rsidR="004F2A7E" w:rsidRDefault="004F2A7E" w:rsidP="009E0502">
            <w:pPr>
              <w:rPr>
                <w:lang w:eastAsia="en-US"/>
              </w:rPr>
            </w:pPr>
            <w:r>
              <w:rPr>
                <w:lang w:eastAsia="en-US"/>
              </w:rPr>
              <w:t xml:space="preserve">97.00.00 </w:t>
            </w:r>
            <w:r w:rsidRPr="004F2A7E">
              <w:rPr>
                <w:lang w:eastAsia="en-US"/>
              </w:rPr>
              <w:t>Nozaru vadība un politikas plānošana</w:t>
            </w:r>
          </w:p>
        </w:tc>
        <w:tc>
          <w:tcPr>
            <w:tcW w:w="991" w:type="dxa"/>
            <w:shd w:val="clear" w:color="auto" w:fill="auto"/>
            <w:vAlign w:val="center"/>
          </w:tcPr>
          <w:p w14:paraId="662DC30E" w14:textId="17967434" w:rsidR="004F2A7E" w:rsidRPr="002756C2" w:rsidRDefault="004F2A7E" w:rsidP="009E0502">
            <w:pPr>
              <w:jc w:val="center"/>
              <w:rPr>
                <w:lang w:eastAsia="en-US"/>
              </w:rPr>
            </w:pPr>
            <w:r>
              <w:rPr>
                <w:lang w:eastAsia="en-US"/>
              </w:rPr>
              <w:t>0</w:t>
            </w:r>
          </w:p>
        </w:tc>
        <w:tc>
          <w:tcPr>
            <w:tcW w:w="990" w:type="dxa"/>
            <w:shd w:val="clear" w:color="auto" w:fill="auto"/>
            <w:vAlign w:val="center"/>
          </w:tcPr>
          <w:p w14:paraId="04A0EBCC" w14:textId="75490E25" w:rsidR="004F2A7E" w:rsidRPr="002756C2" w:rsidRDefault="00901E6D" w:rsidP="009E0502">
            <w:pPr>
              <w:jc w:val="center"/>
              <w:rPr>
                <w:lang w:eastAsia="en-US"/>
              </w:rPr>
            </w:pPr>
            <w:r>
              <w:rPr>
                <w:lang w:eastAsia="en-US"/>
              </w:rPr>
              <w:t>5</w:t>
            </w:r>
            <w:r w:rsidR="008C751E">
              <w:rPr>
                <w:lang w:eastAsia="en-US"/>
              </w:rPr>
              <w:t>0 258</w:t>
            </w:r>
          </w:p>
        </w:tc>
        <w:tc>
          <w:tcPr>
            <w:tcW w:w="868" w:type="dxa"/>
            <w:shd w:val="clear" w:color="auto" w:fill="auto"/>
            <w:vAlign w:val="center"/>
          </w:tcPr>
          <w:p w14:paraId="2C82A051" w14:textId="37B5A9B4" w:rsidR="004F2A7E" w:rsidRPr="002756C2" w:rsidRDefault="00A62C45" w:rsidP="009E0502">
            <w:pPr>
              <w:jc w:val="center"/>
              <w:rPr>
                <w:lang w:eastAsia="en-US"/>
              </w:rPr>
            </w:pPr>
            <w:r>
              <w:rPr>
                <w:lang w:eastAsia="en-US"/>
              </w:rPr>
              <w:t>0</w:t>
            </w:r>
          </w:p>
        </w:tc>
        <w:tc>
          <w:tcPr>
            <w:tcW w:w="867" w:type="dxa"/>
            <w:shd w:val="clear" w:color="auto" w:fill="auto"/>
            <w:vAlign w:val="center"/>
          </w:tcPr>
          <w:p w14:paraId="2A4D078A" w14:textId="7ADD5BBE" w:rsidR="004F2A7E" w:rsidRPr="002756C2" w:rsidRDefault="008C751E" w:rsidP="009E0502">
            <w:pPr>
              <w:jc w:val="center"/>
              <w:rPr>
                <w:lang w:eastAsia="en-US"/>
              </w:rPr>
            </w:pPr>
            <w:r>
              <w:rPr>
                <w:lang w:eastAsia="en-US"/>
              </w:rPr>
              <w:t>60</w:t>
            </w:r>
            <w:r w:rsidR="00A62C45">
              <w:rPr>
                <w:lang w:eastAsia="en-US"/>
              </w:rPr>
              <w:t xml:space="preserve"> 310</w:t>
            </w:r>
          </w:p>
        </w:tc>
        <w:tc>
          <w:tcPr>
            <w:tcW w:w="867" w:type="dxa"/>
            <w:shd w:val="clear" w:color="auto" w:fill="auto"/>
            <w:vAlign w:val="center"/>
          </w:tcPr>
          <w:p w14:paraId="6826F0E1" w14:textId="4F3C220D" w:rsidR="004F2A7E" w:rsidRPr="002756C2" w:rsidRDefault="00A62C45" w:rsidP="009E0502">
            <w:pPr>
              <w:jc w:val="center"/>
              <w:rPr>
                <w:lang w:eastAsia="en-US"/>
              </w:rPr>
            </w:pPr>
            <w:r>
              <w:rPr>
                <w:lang w:eastAsia="en-US"/>
              </w:rPr>
              <w:t>0</w:t>
            </w:r>
          </w:p>
        </w:tc>
        <w:tc>
          <w:tcPr>
            <w:tcW w:w="867" w:type="dxa"/>
            <w:shd w:val="clear" w:color="auto" w:fill="auto"/>
            <w:vAlign w:val="center"/>
          </w:tcPr>
          <w:p w14:paraId="38F3C6F9" w14:textId="039F7273" w:rsidR="004F2A7E" w:rsidRPr="002756C2" w:rsidRDefault="008C751E" w:rsidP="009E0502">
            <w:pPr>
              <w:jc w:val="center"/>
              <w:rPr>
                <w:lang w:eastAsia="en-US"/>
              </w:rPr>
            </w:pPr>
            <w:r>
              <w:rPr>
                <w:lang w:eastAsia="en-US"/>
              </w:rPr>
              <w:t>60</w:t>
            </w:r>
            <w:r w:rsidR="00A62C45">
              <w:rPr>
                <w:lang w:eastAsia="en-US"/>
              </w:rPr>
              <w:t xml:space="preserve"> 310</w:t>
            </w:r>
          </w:p>
        </w:tc>
        <w:tc>
          <w:tcPr>
            <w:tcW w:w="918" w:type="dxa"/>
            <w:shd w:val="clear" w:color="auto" w:fill="auto"/>
            <w:vAlign w:val="center"/>
          </w:tcPr>
          <w:p w14:paraId="7B25131F" w14:textId="155A4B84" w:rsidR="004F2A7E" w:rsidRPr="002756C2" w:rsidRDefault="008C751E" w:rsidP="009E0502">
            <w:pPr>
              <w:jc w:val="center"/>
              <w:rPr>
                <w:lang w:eastAsia="en-US"/>
              </w:rPr>
            </w:pPr>
            <w:r>
              <w:rPr>
                <w:lang w:eastAsia="en-US"/>
              </w:rPr>
              <w:t>60</w:t>
            </w:r>
            <w:r w:rsidR="00A62C45">
              <w:rPr>
                <w:lang w:eastAsia="en-US"/>
              </w:rPr>
              <w:t xml:space="preserve"> 310</w:t>
            </w:r>
          </w:p>
        </w:tc>
      </w:tr>
      <w:tr w:rsidR="00BD5588" w:rsidRPr="002756C2" w14:paraId="219FE8F0" w14:textId="77777777" w:rsidTr="00BD5588">
        <w:trPr>
          <w:cantSplit/>
        </w:trPr>
        <w:tc>
          <w:tcPr>
            <w:tcW w:w="1997" w:type="dxa"/>
            <w:gridSpan w:val="2"/>
            <w:shd w:val="clear" w:color="auto" w:fill="auto"/>
            <w:hideMark/>
          </w:tcPr>
          <w:p w14:paraId="1F1F5ACD" w14:textId="77777777" w:rsidR="00BD5588" w:rsidRPr="002756C2" w:rsidRDefault="00BD5588" w:rsidP="009E0502">
            <w:pPr>
              <w:rPr>
                <w:lang w:eastAsia="en-US"/>
              </w:rPr>
            </w:pPr>
            <w:r w:rsidRPr="002756C2">
              <w:rPr>
                <w:lang w:eastAsia="en-US"/>
              </w:rPr>
              <w:t>2.2. valsts speciālais budžets</w:t>
            </w:r>
          </w:p>
        </w:tc>
        <w:tc>
          <w:tcPr>
            <w:tcW w:w="991" w:type="dxa"/>
            <w:shd w:val="clear" w:color="auto" w:fill="auto"/>
            <w:vAlign w:val="center"/>
            <w:hideMark/>
          </w:tcPr>
          <w:p w14:paraId="10EB3388"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2A249FB4"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5A0F982D"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234DE3BF"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7E26D15A"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323A6807"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05B5919D" w14:textId="77777777" w:rsidR="00BD5588" w:rsidRPr="002756C2" w:rsidRDefault="00EB54BE" w:rsidP="009E0502">
            <w:pPr>
              <w:jc w:val="center"/>
              <w:rPr>
                <w:lang w:eastAsia="en-US"/>
              </w:rPr>
            </w:pPr>
            <w:r w:rsidRPr="002756C2">
              <w:rPr>
                <w:lang w:eastAsia="en-US"/>
              </w:rPr>
              <w:t>0</w:t>
            </w:r>
          </w:p>
        </w:tc>
      </w:tr>
      <w:tr w:rsidR="00BD5588" w:rsidRPr="002756C2" w14:paraId="73D954AC" w14:textId="77777777" w:rsidTr="00BD5588">
        <w:trPr>
          <w:cantSplit/>
        </w:trPr>
        <w:tc>
          <w:tcPr>
            <w:tcW w:w="1997" w:type="dxa"/>
            <w:gridSpan w:val="2"/>
            <w:shd w:val="clear" w:color="auto" w:fill="auto"/>
            <w:hideMark/>
          </w:tcPr>
          <w:p w14:paraId="0EB7FBCF" w14:textId="77777777" w:rsidR="00BD5588" w:rsidRPr="002756C2" w:rsidRDefault="00BD5588" w:rsidP="009E0502">
            <w:pPr>
              <w:rPr>
                <w:lang w:eastAsia="en-US"/>
              </w:rPr>
            </w:pPr>
            <w:r w:rsidRPr="002756C2">
              <w:rPr>
                <w:lang w:eastAsia="en-US"/>
              </w:rPr>
              <w:t>2.3. pašvaldību budžets</w:t>
            </w:r>
          </w:p>
        </w:tc>
        <w:tc>
          <w:tcPr>
            <w:tcW w:w="991" w:type="dxa"/>
            <w:shd w:val="clear" w:color="auto" w:fill="auto"/>
            <w:vAlign w:val="center"/>
            <w:hideMark/>
          </w:tcPr>
          <w:p w14:paraId="4343E5A7" w14:textId="77777777" w:rsidR="00BD5588" w:rsidRPr="002756C2" w:rsidRDefault="00EB54BE" w:rsidP="009E0502">
            <w:pPr>
              <w:jc w:val="center"/>
              <w:rPr>
                <w:lang w:eastAsia="en-US"/>
              </w:rPr>
            </w:pPr>
            <w:r w:rsidRPr="002756C2">
              <w:rPr>
                <w:lang w:eastAsia="en-US"/>
              </w:rPr>
              <w:t>0</w:t>
            </w:r>
          </w:p>
        </w:tc>
        <w:tc>
          <w:tcPr>
            <w:tcW w:w="990" w:type="dxa"/>
            <w:shd w:val="clear" w:color="auto" w:fill="auto"/>
            <w:vAlign w:val="center"/>
            <w:hideMark/>
          </w:tcPr>
          <w:p w14:paraId="1ECE0D03" w14:textId="77777777" w:rsidR="00BD5588" w:rsidRPr="002756C2" w:rsidRDefault="00EB54BE" w:rsidP="009E0502">
            <w:pPr>
              <w:jc w:val="center"/>
              <w:rPr>
                <w:lang w:eastAsia="en-US"/>
              </w:rPr>
            </w:pPr>
            <w:r w:rsidRPr="002756C2">
              <w:rPr>
                <w:lang w:eastAsia="en-US"/>
              </w:rPr>
              <w:t>0</w:t>
            </w:r>
          </w:p>
        </w:tc>
        <w:tc>
          <w:tcPr>
            <w:tcW w:w="868" w:type="dxa"/>
            <w:shd w:val="clear" w:color="auto" w:fill="auto"/>
            <w:vAlign w:val="center"/>
            <w:hideMark/>
          </w:tcPr>
          <w:p w14:paraId="61D601A8"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6A0A7481"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2E2456FA" w14:textId="77777777" w:rsidR="00BD5588" w:rsidRPr="002756C2" w:rsidRDefault="00EB54BE" w:rsidP="009E0502">
            <w:pPr>
              <w:jc w:val="center"/>
              <w:rPr>
                <w:lang w:eastAsia="en-US"/>
              </w:rPr>
            </w:pPr>
            <w:r w:rsidRPr="002756C2">
              <w:rPr>
                <w:lang w:eastAsia="en-US"/>
              </w:rPr>
              <w:t>0</w:t>
            </w:r>
          </w:p>
        </w:tc>
        <w:tc>
          <w:tcPr>
            <w:tcW w:w="867" w:type="dxa"/>
            <w:shd w:val="clear" w:color="auto" w:fill="auto"/>
            <w:vAlign w:val="center"/>
            <w:hideMark/>
          </w:tcPr>
          <w:p w14:paraId="43296DB1" w14:textId="77777777" w:rsidR="00BD5588" w:rsidRPr="002756C2" w:rsidRDefault="00EB54BE" w:rsidP="009E0502">
            <w:pPr>
              <w:jc w:val="center"/>
              <w:rPr>
                <w:lang w:eastAsia="en-US"/>
              </w:rPr>
            </w:pPr>
            <w:r w:rsidRPr="002756C2">
              <w:rPr>
                <w:lang w:eastAsia="en-US"/>
              </w:rPr>
              <w:t>0</w:t>
            </w:r>
          </w:p>
        </w:tc>
        <w:tc>
          <w:tcPr>
            <w:tcW w:w="918" w:type="dxa"/>
            <w:shd w:val="clear" w:color="auto" w:fill="auto"/>
            <w:vAlign w:val="center"/>
            <w:hideMark/>
          </w:tcPr>
          <w:p w14:paraId="2761F3F9" w14:textId="77777777" w:rsidR="00BD5588" w:rsidRPr="002756C2" w:rsidRDefault="00EB54BE" w:rsidP="009E0502">
            <w:pPr>
              <w:jc w:val="center"/>
              <w:rPr>
                <w:lang w:eastAsia="en-US"/>
              </w:rPr>
            </w:pPr>
            <w:r w:rsidRPr="002756C2">
              <w:rPr>
                <w:lang w:eastAsia="en-US"/>
              </w:rPr>
              <w:t>0</w:t>
            </w:r>
          </w:p>
        </w:tc>
      </w:tr>
      <w:tr w:rsidR="00BD5588" w:rsidRPr="002756C2" w14:paraId="2659DF1D" w14:textId="77777777" w:rsidTr="00BD5588">
        <w:trPr>
          <w:cantSplit/>
        </w:trPr>
        <w:tc>
          <w:tcPr>
            <w:tcW w:w="1997" w:type="dxa"/>
            <w:gridSpan w:val="2"/>
            <w:shd w:val="clear" w:color="auto" w:fill="auto"/>
            <w:hideMark/>
          </w:tcPr>
          <w:p w14:paraId="739233AE" w14:textId="77777777" w:rsidR="00BD5588" w:rsidRPr="002756C2" w:rsidRDefault="00BD5588" w:rsidP="009E0502">
            <w:pPr>
              <w:rPr>
                <w:lang w:eastAsia="en-US"/>
              </w:rPr>
            </w:pPr>
            <w:r w:rsidRPr="002756C2">
              <w:rPr>
                <w:lang w:eastAsia="en-US"/>
              </w:rPr>
              <w:t>3. Finansiālā ietekme</w:t>
            </w:r>
          </w:p>
        </w:tc>
        <w:tc>
          <w:tcPr>
            <w:tcW w:w="991" w:type="dxa"/>
            <w:shd w:val="clear" w:color="auto" w:fill="auto"/>
            <w:vAlign w:val="center"/>
            <w:hideMark/>
          </w:tcPr>
          <w:p w14:paraId="4AD59B50" w14:textId="77777777" w:rsidR="00BD5588" w:rsidRPr="002756C2" w:rsidRDefault="00BD5588" w:rsidP="009E0502">
            <w:pPr>
              <w:jc w:val="center"/>
              <w:rPr>
                <w:lang w:eastAsia="en-US"/>
              </w:rPr>
            </w:pPr>
          </w:p>
        </w:tc>
        <w:tc>
          <w:tcPr>
            <w:tcW w:w="990" w:type="dxa"/>
            <w:shd w:val="clear" w:color="auto" w:fill="auto"/>
            <w:vAlign w:val="center"/>
            <w:hideMark/>
          </w:tcPr>
          <w:p w14:paraId="7FB424B3" w14:textId="77777777" w:rsidR="00BD5588" w:rsidRPr="002756C2" w:rsidRDefault="00BD5588" w:rsidP="009E0502">
            <w:pPr>
              <w:jc w:val="center"/>
              <w:rPr>
                <w:lang w:eastAsia="en-US"/>
              </w:rPr>
            </w:pPr>
          </w:p>
        </w:tc>
        <w:tc>
          <w:tcPr>
            <w:tcW w:w="868" w:type="dxa"/>
            <w:shd w:val="clear" w:color="auto" w:fill="auto"/>
            <w:vAlign w:val="center"/>
            <w:hideMark/>
          </w:tcPr>
          <w:p w14:paraId="3CF0E2A9" w14:textId="77777777" w:rsidR="00BD5588" w:rsidRPr="002756C2" w:rsidRDefault="00BD5588" w:rsidP="009E0502">
            <w:pPr>
              <w:jc w:val="center"/>
              <w:rPr>
                <w:lang w:eastAsia="en-US"/>
              </w:rPr>
            </w:pPr>
          </w:p>
        </w:tc>
        <w:tc>
          <w:tcPr>
            <w:tcW w:w="867" w:type="dxa"/>
            <w:shd w:val="clear" w:color="auto" w:fill="auto"/>
            <w:vAlign w:val="center"/>
            <w:hideMark/>
          </w:tcPr>
          <w:p w14:paraId="00343C26" w14:textId="77777777" w:rsidR="00BD5588" w:rsidRPr="002756C2" w:rsidRDefault="00BD5588" w:rsidP="009E0502">
            <w:pPr>
              <w:jc w:val="center"/>
              <w:rPr>
                <w:lang w:eastAsia="en-US"/>
              </w:rPr>
            </w:pPr>
          </w:p>
        </w:tc>
        <w:tc>
          <w:tcPr>
            <w:tcW w:w="867" w:type="dxa"/>
            <w:shd w:val="clear" w:color="auto" w:fill="auto"/>
            <w:vAlign w:val="center"/>
            <w:hideMark/>
          </w:tcPr>
          <w:p w14:paraId="6EF42D9B" w14:textId="77777777" w:rsidR="00BD5588" w:rsidRPr="002756C2" w:rsidRDefault="00BD5588" w:rsidP="009E0502">
            <w:pPr>
              <w:jc w:val="center"/>
              <w:rPr>
                <w:lang w:eastAsia="en-US"/>
              </w:rPr>
            </w:pPr>
          </w:p>
        </w:tc>
        <w:tc>
          <w:tcPr>
            <w:tcW w:w="867" w:type="dxa"/>
            <w:shd w:val="clear" w:color="auto" w:fill="auto"/>
            <w:vAlign w:val="center"/>
            <w:hideMark/>
          </w:tcPr>
          <w:p w14:paraId="28868F2B" w14:textId="77777777" w:rsidR="00BD5588" w:rsidRPr="002756C2" w:rsidRDefault="00BD5588" w:rsidP="009E0502">
            <w:pPr>
              <w:jc w:val="center"/>
              <w:rPr>
                <w:lang w:eastAsia="en-US"/>
              </w:rPr>
            </w:pPr>
          </w:p>
        </w:tc>
        <w:tc>
          <w:tcPr>
            <w:tcW w:w="918" w:type="dxa"/>
            <w:shd w:val="clear" w:color="auto" w:fill="auto"/>
            <w:vAlign w:val="center"/>
            <w:hideMark/>
          </w:tcPr>
          <w:p w14:paraId="4D2F3039" w14:textId="77777777" w:rsidR="00BD5588" w:rsidRPr="002756C2" w:rsidRDefault="00BD5588" w:rsidP="009E0502">
            <w:pPr>
              <w:jc w:val="center"/>
              <w:rPr>
                <w:lang w:eastAsia="en-US"/>
              </w:rPr>
            </w:pPr>
          </w:p>
        </w:tc>
      </w:tr>
      <w:tr w:rsidR="00BD5588" w:rsidRPr="002756C2" w14:paraId="3541DC12" w14:textId="77777777" w:rsidTr="00BD5588">
        <w:trPr>
          <w:cantSplit/>
        </w:trPr>
        <w:tc>
          <w:tcPr>
            <w:tcW w:w="1997" w:type="dxa"/>
            <w:gridSpan w:val="2"/>
            <w:shd w:val="clear" w:color="auto" w:fill="auto"/>
            <w:hideMark/>
          </w:tcPr>
          <w:p w14:paraId="60D11E4B" w14:textId="77777777" w:rsidR="00BD5588" w:rsidRPr="002756C2" w:rsidRDefault="00BD5588" w:rsidP="009E0502">
            <w:pPr>
              <w:rPr>
                <w:lang w:eastAsia="en-US"/>
              </w:rPr>
            </w:pPr>
            <w:r w:rsidRPr="002756C2">
              <w:rPr>
                <w:lang w:eastAsia="en-US"/>
              </w:rPr>
              <w:t>3.1. valsts pamatbudžets</w:t>
            </w:r>
          </w:p>
        </w:tc>
        <w:tc>
          <w:tcPr>
            <w:tcW w:w="991" w:type="dxa"/>
            <w:shd w:val="clear" w:color="auto" w:fill="auto"/>
            <w:vAlign w:val="center"/>
            <w:hideMark/>
          </w:tcPr>
          <w:p w14:paraId="51841D61" w14:textId="77777777" w:rsidR="00BD5588" w:rsidRPr="002756C2" w:rsidRDefault="00225C76" w:rsidP="009E0502">
            <w:pPr>
              <w:jc w:val="center"/>
              <w:rPr>
                <w:lang w:eastAsia="en-US"/>
              </w:rPr>
            </w:pPr>
            <w:r w:rsidRPr="002756C2">
              <w:rPr>
                <w:lang w:eastAsia="en-US"/>
              </w:rPr>
              <w:t>0</w:t>
            </w:r>
          </w:p>
        </w:tc>
        <w:tc>
          <w:tcPr>
            <w:tcW w:w="990" w:type="dxa"/>
            <w:shd w:val="clear" w:color="auto" w:fill="auto"/>
            <w:vAlign w:val="center"/>
            <w:hideMark/>
          </w:tcPr>
          <w:p w14:paraId="5467EEEC" w14:textId="77777777" w:rsidR="00BD5588" w:rsidRPr="002756C2" w:rsidRDefault="00225C76" w:rsidP="009E0502">
            <w:pPr>
              <w:jc w:val="center"/>
              <w:rPr>
                <w:lang w:eastAsia="en-US"/>
              </w:rPr>
            </w:pPr>
            <w:r w:rsidRPr="002756C2">
              <w:rPr>
                <w:lang w:eastAsia="en-US"/>
              </w:rPr>
              <w:t>0</w:t>
            </w:r>
          </w:p>
        </w:tc>
        <w:tc>
          <w:tcPr>
            <w:tcW w:w="868" w:type="dxa"/>
            <w:shd w:val="clear" w:color="auto" w:fill="auto"/>
            <w:vAlign w:val="center"/>
            <w:hideMark/>
          </w:tcPr>
          <w:p w14:paraId="3245C806"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3A17646C"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2E745FB3"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41880F0C"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1BB621F8" w14:textId="77777777" w:rsidR="00BD5588" w:rsidRPr="002756C2" w:rsidRDefault="00225C76" w:rsidP="009E0502">
            <w:pPr>
              <w:jc w:val="center"/>
              <w:rPr>
                <w:lang w:eastAsia="en-US"/>
              </w:rPr>
            </w:pPr>
            <w:r w:rsidRPr="002756C2">
              <w:rPr>
                <w:lang w:eastAsia="en-US"/>
              </w:rPr>
              <w:t>0</w:t>
            </w:r>
          </w:p>
        </w:tc>
      </w:tr>
      <w:tr w:rsidR="00BD5588" w:rsidRPr="002756C2" w14:paraId="69FEB779" w14:textId="77777777" w:rsidTr="00BD5588">
        <w:trPr>
          <w:cantSplit/>
        </w:trPr>
        <w:tc>
          <w:tcPr>
            <w:tcW w:w="1997" w:type="dxa"/>
            <w:gridSpan w:val="2"/>
            <w:shd w:val="clear" w:color="auto" w:fill="auto"/>
            <w:hideMark/>
          </w:tcPr>
          <w:p w14:paraId="3AA46220" w14:textId="77777777" w:rsidR="00BD5588" w:rsidRPr="002756C2" w:rsidRDefault="00BD5588" w:rsidP="009E0502">
            <w:pPr>
              <w:rPr>
                <w:lang w:eastAsia="en-US"/>
              </w:rPr>
            </w:pPr>
            <w:r w:rsidRPr="002756C2">
              <w:rPr>
                <w:lang w:eastAsia="en-US"/>
              </w:rPr>
              <w:t>3.2. speciālais budžets</w:t>
            </w:r>
          </w:p>
        </w:tc>
        <w:tc>
          <w:tcPr>
            <w:tcW w:w="991" w:type="dxa"/>
            <w:shd w:val="clear" w:color="auto" w:fill="auto"/>
            <w:vAlign w:val="center"/>
            <w:hideMark/>
          </w:tcPr>
          <w:p w14:paraId="4F553952" w14:textId="77777777" w:rsidR="00BD5588" w:rsidRPr="002756C2" w:rsidRDefault="00225C76" w:rsidP="009E0502">
            <w:pPr>
              <w:jc w:val="center"/>
              <w:rPr>
                <w:lang w:eastAsia="en-US"/>
              </w:rPr>
            </w:pPr>
            <w:r w:rsidRPr="002756C2">
              <w:rPr>
                <w:lang w:eastAsia="en-US"/>
              </w:rPr>
              <w:t>0</w:t>
            </w:r>
          </w:p>
        </w:tc>
        <w:tc>
          <w:tcPr>
            <w:tcW w:w="990" w:type="dxa"/>
            <w:shd w:val="clear" w:color="auto" w:fill="auto"/>
            <w:vAlign w:val="center"/>
            <w:hideMark/>
          </w:tcPr>
          <w:p w14:paraId="1384D483" w14:textId="77777777" w:rsidR="00BD5588" w:rsidRPr="002756C2" w:rsidRDefault="00225C76" w:rsidP="009E0502">
            <w:pPr>
              <w:jc w:val="center"/>
              <w:rPr>
                <w:lang w:eastAsia="en-US"/>
              </w:rPr>
            </w:pPr>
            <w:r w:rsidRPr="002756C2">
              <w:rPr>
                <w:lang w:eastAsia="en-US"/>
              </w:rPr>
              <w:t>0</w:t>
            </w:r>
          </w:p>
        </w:tc>
        <w:tc>
          <w:tcPr>
            <w:tcW w:w="868" w:type="dxa"/>
            <w:shd w:val="clear" w:color="auto" w:fill="auto"/>
            <w:vAlign w:val="center"/>
            <w:hideMark/>
          </w:tcPr>
          <w:p w14:paraId="69D95145"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510FC04C"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64510397"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1303ABD9"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0EE45E34" w14:textId="77777777" w:rsidR="00BD5588" w:rsidRPr="002756C2" w:rsidRDefault="00225C76" w:rsidP="009E0502">
            <w:pPr>
              <w:jc w:val="center"/>
              <w:rPr>
                <w:lang w:eastAsia="en-US"/>
              </w:rPr>
            </w:pPr>
            <w:r w:rsidRPr="002756C2">
              <w:rPr>
                <w:lang w:eastAsia="en-US"/>
              </w:rPr>
              <w:t>0</w:t>
            </w:r>
          </w:p>
        </w:tc>
      </w:tr>
      <w:tr w:rsidR="00BD5588" w:rsidRPr="002756C2" w14:paraId="120B420E" w14:textId="77777777" w:rsidTr="00BD5588">
        <w:trPr>
          <w:cantSplit/>
        </w:trPr>
        <w:tc>
          <w:tcPr>
            <w:tcW w:w="1997" w:type="dxa"/>
            <w:gridSpan w:val="2"/>
            <w:shd w:val="clear" w:color="auto" w:fill="auto"/>
            <w:hideMark/>
          </w:tcPr>
          <w:p w14:paraId="6BD17AD7" w14:textId="77777777" w:rsidR="00BD5588" w:rsidRPr="002756C2" w:rsidRDefault="00BD5588" w:rsidP="009E0502">
            <w:pPr>
              <w:rPr>
                <w:lang w:eastAsia="en-US"/>
              </w:rPr>
            </w:pPr>
            <w:r w:rsidRPr="002756C2">
              <w:rPr>
                <w:lang w:eastAsia="en-US"/>
              </w:rPr>
              <w:lastRenderedPageBreak/>
              <w:t>3.3. pašvaldību budžets</w:t>
            </w:r>
          </w:p>
        </w:tc>
        <w:tc>
          <w:tcPr>
            <w:tcW w:w="991" w:type="dxa"/>
            <w:shd w:val="clear" w:color="auto" w:fill="auto"/>
            <w:vAlign w:val="center"/>
            <w:hideMark/>
          </w:tcPr>
          <w:p w14:paraId="5E627ACC" w14:textId="77777777" w:rsidR="00BD5588" w:rsidRPr="002756C2" w:rsidRDefault="00225C76" w:rsidP="009E0502">
            <w:pPr>
              <w:jc w:val="center"/>
              <w:rPr>
                <w:lang w:eastAsia="en-US"/>
              </w:rPr>
            </w:pPr>
            <w:r w:rsidRPr="002756C2">
              <w:rPr>
                <w:lang w:eastAsia="en-US"/>
              </w:rPr>
              <w:t>0</w:t>
            </w:r>
          </w:p>
        </w:tc>
        <w:tc>
          <w:tcPr>
            <w:tcW w:w="990" w:type="dxa"/>
            <w:shd w:val="clear" w:color="auto" w:fill="auto"/>
            <w:vAlign w:val="center"/>
            <w:hideMark/>
          </w:tcPr>
          <w:p w14:paraId="030DC525" w14:textId="77777777" w:rsidR="00BD5588" w:rsidRPr="002756C2" w:rsidRDefault="00225C76" w:rsidP="009E0502">
            <w:pPr>
              <w:jc w:val="center"/>
              <w:rPr>
                <w:lang w:eastAsia="en-US"/>
              </w:rPr>
            </w:pPr>
            <w:r w:rsidRPr="002756C2">
              <w:rPr>
                <w:lang w:eastAsia="en-US"/>
              </w:rPr>
              <w:t>0</w:t>
            </w:r>
          </w:p>
        </w:tc>
        <w:tc>
          <w:tcPr>
            <w:tcW w:w="868" w:type="dxa"/>
            <w:shd w:val="clear" w:color="auto" w:fill="auto"/>
            <w:vAlign w:val="center"/>
            <w:hideMark/>
          </w:tcPr>
          <w:p w14:paraId="4250D889"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328FCD2D"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51BEF3D0"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259C62CF"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7B87566B" w14:textId="77777777" w:rsidR="00BD5588" w:rsidRPr="002756C2" w:rsidRDefault="00225C76" w:rsidP="009E0502">
            <w:pPr>
              <w:jc w:val="center"/>
              <w:rPr>
                <w:lang w:eastAsia="en-US"/>
              </w:rPr>
            </w:pPr>
            <w:r w:rsidRPr="002756C2">
              <w:rPr>
                <w:lang w:eastAsia="en-US"/>
              </w:rPr>
              <w:t>0</w:t>
            </w:r>
          </w:p>
        </w:tc>
      </w:tr>
      <w:tr w:rsidR="00BD5588" w:rsidRPr="002756C2" w14:paraId="6460ACF8" w14:textId="77777777" w:rsidTr="00BD5588">
        <w:trPr>
          <w:cantSplit/>
        </w:trPr>
        <w:tc>
          <w:tcPr>
            <w:tcW w:w="1997" w:type="dxa"/>
            <w:gridSpan w:val="2"/>
            <w:shd w:val="clear" w:color="auto" w:fill="auto"/>
            <w:hideMark/>
          </w:tcPr>
          <w:p w14:paraId="54F1DE3D" w14:textId="77777777" w:rsidR="00BD5588" w:rsidRPr="002756C2" w:rsidRDefault="00BD5588" w:rsidP="009E0502">
            <w:pPr>
              <w:rPr>
                <w:lang w:eastAsia="en-US"/>
              </w:rPr>
            </w:pPr>
            <w:r w:rsidRPr="002756C2">
              <w:rPr>
                <w:lang w:eastAsia="en-US"/>
              </w:rPr>
              <w:t>4. Finanšu līdzekļi papildu izdevumu finansēšanai (kompensējošu izdevumu samazinājumu norāda ar "+" zīmi)</w:t>
            </w:r>
          </w:p>
        </w:tc>
        <w:tc>
          <w:tcPr>
            <w:tcW w:w="991" w:type="dxa"/>
            <w:shd w:val="clear" w:color="auto" w:fill="auto"/>
            <w:vAlign w:val="center"/>
            <w:hideMark/>
          </w:tcPr>
          <w:p w14:paraId="5DE7AB1E" w14:textId="77777777" w:rsidR="00BD5588" w:rsidRPr="002756C2" w:rsidRDefault="00225C76" w:rsidP="009E0502">
            <w:pPr>
              <w:jc w:val="center"/>
              <w:rPr>
                <w:lang w:eastAsia="en-US"/>
              </w:rPr>
            </w:pPr>
            <w:r w:rsidRPr="002756C2">
              <w:rPr>
                <w:lang w:eastAsia="en-US"/>
              </w:rPr>
              <w:t>X</w:t>
            </w:r>
          </w:p>
        </w:tc>
        <w:tc>
          <w:tcPr>
            <w:tcW w:w="990" w:type="dxa"/>
            <w:shd w:val="clear" w:color="auto" w:fill="auto"/>
            <w:vAlign w:val="center"/>
            <w:hideMark/>
          </w:tcPr>
          <w:p w14:paraId="1B9C7963" w14:textId="77777777" w:rsidR="00BD5588" w:rsidRPr="002756C2" w:rsidRDefault="00225C76" w:rsidP="009E0502">
            <w:pPr>
              <w:jc w:val="center"/>
              <w:rPr>
                <w:lang w:eastAsia="en-US"/>
              </w:rPr>
            </w:pPr>
            <w:r w:rsidRPr="002756C2">
              <w:rPr>
                <w:lang w:eastAsia="en-US"/>
              </w:rPr>
              <w:t>0</w:t>
            </w:r>
          </w:p>
        </w:tc>
        <w:tc>
          <w:tcPr>
            <w:tcW w:w="868" w:type="dxa"/>
            <w:shd w:val="clear" w:color="auto" w:fill="auto"/>
            <w:vAlign w:val="center"/>
            <w:hideMark/>
          </w:tcPr>
          <w:p w14:paraId="5CE99C7C" w14:textId="77777777" w:rsidR="00BD5588" w:rsidRPr="002756C2" w:rsidRDefault="00225C76" w:rsidP="009E0502">
            <w:pPr>
              <w:jc w:val="center"/>
              <w:rPr>
                <w:lang w:eastAsia="en-US"/>
              </w:rPr>
            </w:pPr>
            <w:r w:rsidRPr="002756C2">
              <w:rPr>
                <w:lang w:eastAsia="en-US"/>
              </w:rPr>
              <w:t>X</w:t>
            </w:r>
          </w:p>
        </w:tc>
        <w:tc>
          <w:tcPr>
            <w:tcW w:w="867" w:type="dxa"/>
            <w:shd w:val="clear" w:color="auto" w:fill="auto"/>
            <w:vAlign w:val="center"/>
            <w:hideMark/>
          </w:tcPr>
          <w:p w14:paraId="092532DE" w14:textId="77777777" w:rsidR="00BD5588" w:rsidRPr="002756C2" w:rsidRDefault="00225C76" w:rsidP="009E0502">
            <w:pPr>
              <w:jc w:val="center"/>
              <w:rPr>
                <w:lang w:eastAsia="en-US"/>
              </w:rPr>
            </w:pPr>
            <w:r w:rsidRPr="002756C2">
              <w:rPr>
                <w:lang w:eastAsia="en-US"/>
              </w:rPr>
              <w:t>0</w:t>
            </w:r>
          </w:p>
        </w:tc>
        <w:tc>
          <w:tcPr>
            <w:tcW w:w="867" w:type="dxa"/>
            <w:shd w:val="clear" w:color="auto" w:fill="auto"/>
            <w:vAlign w:val="center"/>
            <w:hideMark/>
          </w:tcPr>
          <w:p w14:paraId="731D1EC0" w14:textId="77777777" w:rsidR="00BD5588" w:rsidRPr="002756C2" w:rsidRDefault="00225C76" w:rsidP="009E0502">
            <w:pPr>
              <w:jc w:val="center"/>
              <w:rPr>
                <w:lang w:eastAsia="en-US"/>
              </w:rPr>
            </w:pPr>
            <w:r w:rsidRPr="002756C2">
              <w:rPr>
                <w:lang w:eastAsia="en-US"/>
              </w:rPr>
              <w:t>X</w:t>
            </w:r>
          </w:p>
        </w:tc>
        <w:tc>
          <w:tcPr>
            <w:tcW w:w="867" w:type="dxa"/>
            <w:shd w:val="clear" w:color="auto" w:fill="auto"/>
            <w:vAlign w:val="center"/>
            <w:hideMark/>
          </w:tcPr>
          <w:p w14:paraId="3F319D1E"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6D655AFE" w14:textId="77777777" w:rsidR="00BD5588" w:rsidRPr="002756C2" w:rsidRDefault="00225C76" w:rsidP="009E0502">
            <w:pPr>
              <w:jc w:val="center"/>
              <w:rPr>
                <w:lang w:eastAsia="en-US"/>
              </w:rPr>
            </w:pPr>
            <w:r w:rsidRPr="002756C2">
              <w:rPr>
                <w:lang w:eastAsia="en-US"/>
              </w:rPr>
              <w:t>0</w:t>
            </w:r>
          </w:p>
        </w:tc>
      </w:tr>
      <w:tr w:rsidR="00BD5588" w:rsidRPr="002756C2" w14:paraId="10B94106" w14:textId="77777777" w:rsidTr="00BD5588">
        <w:trPr>
          <w:cantSplit/>
        </w:trPr>
        <w:tc>
          <w:tcPr>
            <w:tcW w:w="1997" w:type="dxa"/>
            <w:gridSpan w:val="2"/>
            <w:shd w:val="clear" w:color="auto" w:fill="auto"/>
            <w:hideMark/>
          </w:tcPr>
          <w:p w14:paraId="6BD8991B" w14:textId="77777777" w:rsidR="00BD5588" w:rsidRPr="002756C2" w:rsidRDefault="00BD5588" w:rsidP="009E0502">
            <w:pPr>
              <w:rPr>
                <w:lang w:eastAsia="en-US"/>
              </w:rPr>
            </w:pPr>
            <w:r w:rsidRPr="002756C2">
              <w:rPr>
                <w:lang w:eastAsia="en-US"/>
              </w:rPr>
              <w:t>5. Precizēta finansiālā ietekme</w:t>
            </w:r>
          </w:p>
        </w:tc>
        <w:tc>
          <w:tcPr>
            <w:tcW w:w="991" w:type="dxa"/>
            <w:vMerge w:val="restart"/>
            <w:shd w:val="clear" w:color="auto" w:fill="auto"/>
            <w:vAlign w:val="center"/>
            <w:hideMark/>
          </w:tcPr>
          <w:p w14:paraId="6F769A0A" w14:textId="77777777" w:rsidR="00BD5588" w:rsidRPr="002756C2" w:rsidRDefault="00225C76" w:rsidP="009E0502">
            <w:pPr>
              <w:jc w:val="center"/>
              <w:rPr>
                <w:lang w:eastAsia="en-US"/>
              </w:rPr>
            </w:pPr>
            <w:r w:rsidRPr="002756C2">
              <w:rPr>
                <w:lang w:eastAsia="en-US"/>
              </w:rPr>
              <w:t>X</w:t>
            </w:r>
          </w:p>
        </w:tc>
        <w:tc>
          <w:tcPr>
            <w:tcW w:w="990" w:type="dxa"/>
            <w:shd w:val="clear" w:color="auto" w:fill="auto"/>
            <w:vAlign w:val="center"/>
            <w:hideMark/>
          </w:tcPr>
          <w:p w14:paraId="34006DF1" w14:textId="77777777" w:rsidR="00BD5588" w:rsidRPr="002756C2" w:rsidRDefault="00225C76" w:rsidP="009E0502">
            <w:pPr>
              <w:jc w:val="center"/>
              <w:rPr>
                <w:lang w:eastAsia="en-US"/>
              </w:rPr>
            </w:pPr>
            <w:r w:rsidRPr="002756C2">
              <w:rPr>
                <w:lang w:eastAsia="en-US"/>
              </w:rPr>
              <w:t>0</w:t>
            </w:r>
          </w:p>
        </w:tc>
        <w:tc>
          <w:tcPr>
            <w:tcW w:w="868" w:type="dxa"/>
            <w:vMerge w:val="restart"/>
            <w:shd w:val="clear" w:color="auto" w:fill="auto"/>
            <w:vAlign w:val="center"/>
            <w:hideMark/>
          </w:tcPr>
          <w:p w14:paraId="0F867738" w14:textId="77777777" w:rsidR="00BD5588" w:rsidRPr="002756C2" w:rsidRDefault="00225C76" w:rsidP="009E0502">
            <w:pPr>
              <w:jc w:val="center"/>
              <w:rPr>
                <w:lang w:eastAsia="en-US"/>
              </w:rPr>
            </w:pPr>
            <w:r w:rsidRPr="002756C2">
              <w:rPr>
                <w:lang w:eastAsia="en-US"/>
              </w:rPr>
              <w:t>X</w:t>
            </w:r>
          </w:p>
        </w:tc>
        <w:tc>
          <w:tcPr>
            <w:tcW w:w="867" w:type="dxa"/>
            <w:shd w:val="clear" w:color="auto" w:fill="auto"/>
            <w:vAlign w:val="center"/>
            <w:hideMark/>
          </w:tcPr>
          <w:p w14:paraId="34984974" w14:textId="77777777" w:rsidR="00BD5588" w:rsidRPr="002756C2" w:rsidRDefault="00225C76" w:rsidP="009E0502">
            <w:pPr>
              <w:jc w:val="center"/>
              <w:rPr>
                <w:lang w:eastAsia="en-US"/>
              </w:rPr>
            </w:pPr>
            <w:r w:rsidRPr="002756C2">
              <w:rPr>
                <w:lang w:eastAsia="en-US"/>
              </w:rPr>
              <w:t>0</w:t>
            </w:r>
          </w:p>
        </w:tc>
        <w:tc>
          <w:tcPr>
            <w:tcW w:w="867" w:type="dxa"/>
            <w:vMerge w:val="restart"/>
            <w:shd w:val="clear" w:color="auto" w:fill="auto"/>
            <w:vAlign w:val="center"/>
            <w:hideMark/>
          </w:tcPr>
          <w:p w14:paraId="5146C420" w14:textId="77777777" w:rsidR="00BD5588" w:rsidRPr="002756C2" w:rsidRDefault="00225C76" w:rsidP="009E0502">
            <w:pPr>
              <w:jc w:val="center"/>
              <w:rPr>
                <w:lang w:eastAsia="en-US"/>
              </w:rPr>
            </w:pPr>
            <w:r w:rsidRPr="002756C2">
              <w:rPr>
                <w:lang w:eastAsia="en-US"/>
              </w:rPr>
              <w:t>X</w:t>
            </w:r>
          </w:p>
        </w:tc>
        <w:tc>
          <w:tcPr>
            <w:tcW w:w="867" w:type="dxa"/>
            <w:shd w:val="clear" w:color="auto" w:fill="auto"/>
            <w:vAlign w:val="center"/>
            <w:hideMark/>
          </w:tcPr>
          <w:p w14:paraId="22DEE96D"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5CADC05B" w14:textId="77777777" w:rsidR="00BD5588" w:rsidRPr="002756C2" w:rsidRDefault="00225C76" w:rsidP="009E0502">
            <w:pPr>
              <w:jc w:val="center"/>
              <w:rPr>
                <w:lang w:eastAsia="en-US"/>
              </w:rPr>
            </w:pPr>
            <w:r w:rsidRPr="002756C2">
              <w:rPr>
                <w:lang w:eastAsia="en-US"/>
              </w:rPr>
              <w:t>0</w:t>
            </w:r>
          </w:p>
        </w:tc>
      </w:tr>
      <w:tr w:rsidR="00BD5588" w:rsidRPr="002756C2" w14:paraId="09548F22" w14:textId="77777777" w:rsidTr="00BD5588">
        <w:trPr>
          <w:cantSplit/>
        </w:trPr>
        <w:tc>
          <w:tcPr>
            <w:tcW w:w="1997" w:type="dxa"/>
            <w:gridSpan w:val="2"/>
            <w:shd w:val="clear" w:color="auto" w:fill="auto"/>
            <w:hideMark/>
          </w:tcPr>
          <w:p w14:paraId="2E002E1D" w14:textId="77777777" w:rsidR="00BD5588" w:rsidRPr="002756C2" w:rsidRDefault="00BD5588" w:rsidP="009E0502">
            <w:pPr>
              <w:rPr>
                <w:lang w:eastAsia="en-US"/>
              </w:rPr>
            </w:pPr>
            <w:r w:rsidRPr="002756C2">
              <w:rPr>
                <w:lang w:eastAsia="en-US"/>
              </w:rPr>
              <w:t>5.1. valsts pamatbudžets</w:t>
            </w:r>
          </w:p>
        </w:tc>
        <w:tc>
          <w:tcPr>
            <w:tcW w:w="991" w:type="dxa"/>
            <w:vMerge/>
            <w:shd w:val="clear" w:color="auto" w:fill="auto"/>
            <w:vAlign w:val="center"/>
            <w:hideMark/>
          </w:tcPr>
          <w:p w14:paraId="57F5EB72" w14:textId="77777777" w:rsidR="00BD5588" w:rsidRPr="002756C2" w:rsidRDefault="00BD5588" w:rsidP="009E0502">
            <w:pPr>
              <w:jc w:val="center"/>
              <w:rPr>
                <w:lang w:eastAsia="en-US"/>
              </w:rPr>
            </w:pPr>
          </w:p>
        </w:tc>
        <w:tc>
          <w:tcPr>
            <w:tcW w:w="990" w:type="dxa"/>
            <w:shd w:val="clear" w:color="auto" w:fill="auto"/>
            <w:vAlign w:val="center"/>
            <w:hideMark/>
          </w:tcPr>
          <w:p w14:paraId="1056573F" w14:textId="77777777" w:rsidR="00BD5588" w:rsidRPr="002756C2" w:rsidRDefault="00225C76" w:rsidP="009E0502">
            <w:pPr>
              <w:jc w:val="center"/>
              <w:rPr>
                <w:lang w:eastAsia="en-US"/>
              </w:rPr>
            </w:pPr>
            <w:r w:rsidRPr="002756C2">
              <w:rPr>
                <w:lang w:eastAsia="en-US"/>
              </w:rPr>
              <w:t>0</w:t>
            </w:r>
          </w:p>
        </w:tc>
        <w:tc>
          <w:tcPr>
            <w:tcW w:w="868" w:type="dxa"/>
            <w:vMerge/>
            <w:shd w:val="clear" w:color="auto" w:fill="auto"/>
            <w:vAlign w:val="center"/>
            <w:hideMark/>
          </w:tcPr>
          <w:p w14:paraId="5B5DD5C4" w14:textId="77777777" w:rsidR="00BD5588" w:rsidRPr="002756C2" w:rsidRDefault="00BD5588" w:rsidP="009E0502">
            <w:pPr>
              <w:jc w:val="center"/>
              <w:rPr>
                <w:lang w:eastAsia="en-US"/>
              </w:rPr>
            </w:pPr>
          </w:p>
        </w:tc>
        <w:tc>
          <w:tcPr>
            <w:tcW w:w="867" w:type="dxa"/>
            <w:shd w:val="clear" w:color="auto" w:fill="auto"/>
            <w:vAlign w:val="center"/>
            <w:hideMark/>
          </w:tcPr>
          <w:p w14:paraId="39DE9DCA" w14:textId="77777777" w:rsidR="00BD5588" w:rsidRPr="002756C2" w:rsidRDefault="00225C76" w:rsidP="009E0502">
            <w:pPr>
              <w:jc w:val="center"/>
              <w:rPr>
                <w:lang w:eastAsia="en-US"/>
              </w:rPr>
            </w:pPr>
            <w:r w:rsidRPr="002756C2">
              <w:rPr>
                <w:lang w:eastAsia="en-US"/>
              </w:rPr>
              <w:t>0</w:t>
            </w:r>
          </w:p>
        </w:tc>
        <w:tc>
          <w:tcPr>
            <w:tcW w:w="867" w:type="dxa"/>
            <w:vMerge/>
            <w:shd w:val="clear" w:color="auto" w:fill="auto"/>
            <w:vAlign w:val="center"/>
            <w:hideMark/>
          </w:tcPr>
          <w:p w14:paraId="2C582334" w14:textId="77777777" w:rsidR="00BD5588" w:rsidRPr="002756C2" w:rsidRDefault="00BD5588" w:rsidP="009E0502">
            <w:pPr>
              <w:jc w:val="center"/>
              <w:rPr>
                <w:lang w:eastAsia="en-US"/>
              </w:rPr>
            </w:pPr>
          </w:p>
        </w:tc>
        <w:tc>
          <w:tcPr>
            <w:tcW w:w="867" w:type="dxa"/>
            <w:shd w:val="clear" w:color="auto" w:fill="auto"/>
            <w:vAlign w:val="center"/>
            <w:hideMark/>
          </w:tcPr>
          <w:p w14:paraId="4C4B4D0B"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7FD77FF3" w14:textId="77777777" w:rsidR="00BD5588" w:rsidRPr="002756C2" w:rsidRDefault="00225C76" w:rsidP="009E0502">
            <w:pPr>
              <w:jc w:val="center"/>
              <w:rPr>
                <w:lang w:eastAsia="en-US"/>
              </w:rPr>
            </w:pPr>
            <w:r w:rsidRPr="002756C2">
              <w:rPr>
                <w:lang w:eastAsia="en-US"/>
              </w:rPr>
              <w:t>0</w:t>
            </w:r>
          </w:p>
        </w:tc>
      </w:tr>
      <w:tr w:rsidR="00BD5588" w:rsidRPr="002756C2" w14:paraId="3131E9FE" w14:textId="77777777" w:rsidTr="00BD5588">
        <w:trPr>
          <w:cantSplit/>
        </w:trPr>
        <w:tc>
          <w:tcPr>
            <w:tcW w:w="1997" w:type="dxa"/>
            <w:gridSpan w:val="2"/>
            <w:shd w:val="clear" w:color="auto" w:fill="auto"/>
            <w:hideMark/>
          </w:tcPr>
          <w:p w14:paraId="0C03B697" w14:textId="77777777" w:rsidR="00BD5588" w:rsidRPr="002756C2" w:rsidRDefault="00BD5588" w:rsidP="009E0502">
            <w:pPr>
              <w:rPr>
                <w:lang w:eastAsia="en-US"/>
              </w:rPr>
            </w:pPr>
            <w:r w:rsidRPr="002756C2">
              <w:rPr>
                <w:lang w:eastAsia="en-US"/>
              </w:rPr>
              <w:t>5.2. speciālais budžets</w:t>
            </w:r>
          </w:p>
        </w:tc>
        <w:tc>
          <w:tcPr>
            <w:tcW w:w="991" w:type="dxa"/>
            <w:vMerge/>
            <w:shd w:val="clear" w:color="auto" w:fill="auto"/>
            <w:vAlign w:val="center"/>
            <w:hideMark/>
          </w:tcPr>
          <w:p w14:paraId="05806AEB" w14:textId="77777777" w:rsidR="00BD5588" w:rsidRPr="002756C2" w:rsidRDefault="00BD5588" w:rsidP="009E0502">
            <w:pPr>
              <w:jc w:val="center"/>
              <w:rPr>
                <w:lang w:eastAsia="en-US"/>
              </w:rPr>
            </w:pPr>
          </w:p>
        </w:tc>
        <w:tc>
          <w:tcPr>
            <w:tcW w:w="990" w:type="dxa"/>
            <w:shd w:val="clear" w:color="auto" w:fill="auto"/>
            <w:vAlign w:val="center"/>
            <w:hideMark/>
          </w:tcPr>
          <w:p w14:paraId="2A92655B" w14:textId="77777777" w:rsidR="00BD5588" w:rsidRPr="002756C2" w:rsidRDefault="00225C76" w:rsidP="009E0502">
            <w:pPr>
              <w:jc w:val="center"/>
              <w:rPr>
                <w:lang w:eastAsia="en-US"/>
              </w:rPr>
            </w:pPr>
            <w:r w:rsidRPr="002756C2">
              <w:rPr>
                <w:lang w:eastAsia="en-US"/>
              </w:rPr>
              <w:t>0</w:t>
            </w:r>
          </w:p>
        </w:tc>
        <w:tc>
          <w:tcPr>
            <w:tcW w:w="868" w:type="dxa"/>
            <w:vMerge/>
            <w:shd w:val="clear" w:color="auto" w:fill="auto"/>
            <w:vAlign w:val="center"/>
            <w:hideMark/>
          </w:tcPr>
          <w:p w14:paraId="4D471F70" w14:textId="77777777" w:rsidR="00BD5588" w:rsidRPr="002756C2" w:rsidRDefault="00BD5588" w:rsidP="009E0502">
            <w:pPr>
              <w:jc w:val="center"/>
              <w:rPr>
                <w:lang w:eastAsia="en-US"/>
              </w:rPr>
            </w:pPr>
          </w:p>
        </w:tc>
        <w:tc>
          <w:tcPr>
            <w:tcW w:w="867" w:type="dxa"/>
            <w:shd w:val="clear" w:color="auto" w:fill="auto"/>
            <w:vAlign w:val="center"/>
            <w:hideMark/>
          </w:tcPr>
          <w:p w14:paraId="3C8DDB30" w14:textId="77777777" w:rsidR="00BD5588" w:rsidRPr="002756C2" w:rsidRDefault="00225C76" w:rsidP="009E0502">
            <w:pPr>
              <w:jc w:val="center"/>
              <w:rPr>
                <w:lang w:eastAsia="en-US"/>
              </w:rPr>
            </w:pPr>
            <w:r w:rsidRPr="002756C2">
              <w:rPr>
                <w:lang w:eastAsia="en-US"/>
              </w:rPr>
              <w:t>0</w:t>
            </w:r>
          </w:p>
        </w:tc>
        <w:tc>
          <w:tcPr>
            <w:tcW w:w="867" w:type="dxa"/>
            <w:vMerge/>
            <w:shd w:val="clear" w:color="auto" w:fill="auto"/>
            <w:vAlign w:val="center"/>
            <w:hideMark/>
          </w:tcPr>
          <w:p w14:paraId="291E8F90" w14:textId="77777777" w:rsidR="00BD5588" w:rsidRPr="002756C2" w:rsidRDefault="00BD5588" w:rsidP="009E0502">
            <w:pPr>
              <w:jc w:val="center"/>
              <w:rPr>
                <w:lang w:eastAsia="en-US"/>
              </w:rPr>
            </w:pPr>
          </w:p>
        </w:tc>
        <w:tc>
          <w:tcPr>
            <w:tcW w:w="867" w:type="dxa"/>
            <w:shd w:val="clear" w:color="auto" w:fill="auto"/>
            <w:vAlign w:val="center"/>
            <w:hideMark/>
          </w:tcPr>
          <w:p w14:paraId="147659F6"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1B65F342" w14:textId="77777777" w:rsidR="00BD5588" w:rsidRPr="002756C2" w:rsidRDefault="00225C76" w:rsidP="009E0502">
            <w:pPr>
              <w:jc w:val="center"/>
              <w:rPr>
                <w:lang w:eastAsia="en-US"/>
              </w:rPr>
            </w:pPr>
            <w:r w:rsidRPr="002756C2">
              <w:rPr>
                <w:lang w:eastAsia="en-US"/>
              </w:rPr>
              <w:t>0</w:t>
            </w:r>
          </w:p>
        </w:tc>
      </w:tr>
      <w:tr w:rsidR="00BD5588" w:rsidRPr="002756C2" w14:paraId="1BC1D488" w14:textId="77777777" w:rsidTr="00BD5588">
        <w:trPr>
          <w:cantSplit/>
        </w:trPr>
        <w:tc>
          <w:tcPr>
            <w:tcW w:w="1997" w:type="dxa"/>
            <w:gridSpan w:val="2"/>
            <w:shd w:val="clear" w:color="auto" w:fill="auto"/>
            <w:hideMark/>
          </w:tcPr>
          <w:p w14:paraId="62EA85E5" w14:textId="77777777" w:rsidR="00BD5588" w:rsidRPr="002756C2" w:rsidRDefault="00BD5588" w:rsidP="009E0502">
            <w:pPr>
              <w:rPr>
                <w:lang w:eastAsia="en-US"/>
              </w:rPr>
            </w:pPr>
            <w:r w:rsidRPr="002756C2">
              <w:rPr>
                <w:lang w:eastAsia="en-US"/>
              </w:rPr>
              <w:t>5.3. pašvaldību budžets</w:t>
            </w:r>
          </w:p>
        </w:tc>
        <w:tc>
          <w:tcPr>
            <w:tcW w:w="991" w:type="dxa"/>
            <w:vMerge/>
            <w:shd w:val="clear" w:color="auto" w:fill="auto"/>
            <w:vAlign w:val="center"/>
            <w:hideMark/>
          </w:tcPr>
          <w:p w14:paraId="5A1F8D1D" w14:textId="77777777" w:rsidR="00BD5588" w:rsidRPr="002756C2" w:rsidRDefault="00BD5588" w:rsidP="009E0502">
            <w:pPr>
              <w:jc w:val="center"/>
              <w:rPr>
                <w:lang w:eastAsia="en-US"/>
              </w:rPr>
            </w:pPr>
          </w:p>
        </w:tc>
        <w:tc>
          <w:tcPr>
            <w:tcW w:w="990" w:type="dxa"/>
            <w:shd w:val="clear" w:color="auto" w:fill="auto"/>
            <w:vAlign w:val="center"/>
            <w:hideMark/>
          </w:tcPr>
          <w:p w14:paraId="07757318" w14:textId="77777777" w:rsidR="00BD5588" w:rsidRPr="002756C2" w:rsidRDefault="00225C76" w:rsidP="009E0502">
            <w:pPr>
              <w:jc w:val="center"/>
              <w:rPr>
                <w:lang w:eastAsia="en-US"/>
              </w:rPr>
            </w:pPr>
            <w:r w:rsidRPr="002756C2">
              <w:rPr>
                <w:lang w:eastAsia="en-US"/>
              </w:rPr>
              <w:t>0</w:t>
            </w:r>
          </w:p>
        </w:tc>
        <w:tc>
          <w:tcPr>
            <w:tcW w:w="868" w:type="dxa"/>
            <w:vMerge/>
            <w:shd w:val="clear" w:color="auto" w:fill="auto"/>
            <w:vAlign w:val="center"/>
            <w:hideMark/>
          </w:tcPr>
          <w:p w14:paraId="3FCD263A" w14:textId="77777777" w:rsidR="00BD5588" w:rsidRPr="002756C2" w:rsidRDefault="00BD5588" w:rsidP="009E0502">
            <w:pPr>
              <w:jc w:val="center"/>
              <w:rPr>
                <w:lang w:eastAsia="en-US"/>
              </w:rPr>
            </w:pPr>
          </w:p>
        </w:tc>
        <w:tc>
          <w:tcPr>
            <w:tcW w:w="867" w:type="dxa"/>
            <w:shd w:val="clear" w:color="auto" w:fill="auto"/>
            <w:vAlign w:val="center"/>
            <w:hideMark/>
          </w:tcPr>
          <w:p w14:paraId="3C4055FD" w14:textId="77777777" w:rsidR="00BD5588" w:rsidRPr="002756C2" w:rsidRDefault="00225C76" w:rsidP="009E0502">
            <w:pPr>
              <w:jc w:val="center"/>
              <w:rPr>
                <w:lang w:eastAsia="en-US"/>
              </w:rPr>
            </w:pPr>
            <w:r w:rsidRPr="002756C2">
              <w:rPr>
                <w:lang w:eastAsia="en-US"/>
              </w:rPr>
              <w:t>0</w:t>
            </w:r>
          </w:p>
        </w:tc>
        <w:tc>
          <w:tcPr>
            <w:tcW w:w="867" w:type="dxa"/>
            <w:vMerge/>
            <w:shd w:val="clear" w:color="auto" w:fill="auto"/>
            <w:vAlign w:val="center"/>
            <w:hideMark/>
          </w:tcPr>
          <w:p w14:paraId="0B2F995D" w14:textId="77777777" w:rsidR="00BD5588" w:rsidRPr="002756C2" w:rsidRDefault="00BD5588" w:rsidP="009E0502">
            <w:pPr>
              <w:jc w:val="center"/>
              <w:rPr>
                <w:lang w:eastAsia="en-US"/>
              </w:rPr>
            </w:pPr>
          </w:p>
        </w:tc>
        <w:tc>
          <w:tcPr>
            <w:tcW w:w="867" w:type="dxa"/>
            <w:shd w:val="clear" w:color="auto" w:fill="auto"/>
            <w:vAlign w:val="center"/>
            <w:hideMark/>
          </w:tcPr>
          <w:p w14:paraId="3C1B3F14" w14:textId="77777777" w:rsidR="00BD5588" w:rsidRPr="002756C2" w:rsidRDefault="00225C76" w:rsidP="009E0502">
            <w:pPr>
              <w:jc w:val="center"/>
              <w:rPr>
                <w:lang w:eastAsia="en-US"/>
              </w:rPr>
            </w:pPr>
            <w:r w:rsidRPr="002756C2">
              <w:rPr>
                <w:lang w:eastAsia="en-US"/>
              </w:rPr>
              <w:t>0</w:t>
            </w:r>
          </w:p>
        </w:tc>
        <w:tc>
          <w:tcPr>
            <w:tcW w:w="918" w:type="dxa"/>
            <w:shd w:val="clear" w:color="auto" w:fill="auto"/>
            <w:vAlign w:val="center"/>
            <w:hideMark/>
          </w:tcPr>
          <w:p w14:paraId="7C4FC83D" w14:textId="77777777" w:rsidR="00BD5588" w:rsidRPr="002756C2" w:rsidRDefault="00225C76" w:rsidP="009E0502">
            <w:pPr>
              <w:jc w:val="center"/>
              <w:rPr>
                <w:lang w:eastAsia="en-US"/>
              </w:rPr>
            </w:pPr>
            <w:r w:rsidRPr="002756C2">
              <w:rPr>
                <w:lang w:eastAsia="en-US"/>
              </w:rPr>
              <w:t>0</w:t>
            </w:r>
          </w:p>
        </w:tc>
      </w:tr>
      <w:tr w:rsidR="00BD5588" w:rsidRPr="002756C2" w14:paraId="7CC407AA" w14:textId="77777777" w:rsidTr="00BD5588">
        <w:trPr>
          <w:cantSplit/>
        </w:trPr>
        <w:tc>
          <w:tcPr>
            <w:tcW w:w="1997" w:type="dxa"/>
            <w:gridSpan w:val="2"/>
            <w:shd w:val="clear" w:color="auto" w:fill="auto"/>
            <w:hideMark/>
          </w:tcPr>
          <w:p w14:paraId="76032F5C" w14:textId="77777777" w:rsidR="00BD5588" w:rsidRPr="002756C2" w:rsidRDefault="00BD5588" w:rsidP="009E0502">
            <w:pPr>
              <w:rPr>
                <w:lang w:eastAsia="en-US"/>
              </w:rPr>
            </w:pPr>
            <w:r w:rsidRPr="002756C2">
              <w:rPr>
                <w:lang w:eastAsia="en-US"/>
              </w:rPr>
              <w:t>6. Detalizēts ieņēmumu un izdevumu aprēķins (ja nepieciešams, detalizētu ieņēmumu un izdevumu aprēķinu var pievienot anotācijas pielikumā)</w:t>
            </w:r>
          </w:p>
        </w:tc>
        <w:tc>
          <w:tcPr>
            <w:tcW w:w="6368" w:type="dxa"/>
            <w:gridSpan w:val="7"/>
            <w:vMerge w:val="restart"/>
            <w:shd w:val="clear" w:color="auto" w:fill="auto"/>
            <w:vAlign w:val="center"/>
            <w:hideMark/>
          </w:tcPr>
          <w:p w14:paraId="733CC0F9" w14:textId="285695DE" w:rsidR="00BD5588" w:rsidRPr="00FC1D2C" w:rsidRDefault="00920219" w:rsidP="00861546">
            <w:pPr>
              <w:jc w:val="both"/>
              <w:rPr>
                <w:highlight w:val="yellow"/>
                <w:lang w:eastAsia="en-US"/>
              </w:rPr>
            </w:pPr>
            <w:r>
              <w:rPr>
                <w:lang w:eastAsia="en-US"/>
              </w:rPr>
              <w:t>Ekonomikas ministrija, sākot ar 2018.gada 1.</w:t>
            </w:r>
            <w:r w:rsidR="008C751E">
              <w:rPr>
                <w:lang w:eastAsia="en-US"/>
              </w:rPr>
              <w:t>martu</w:t>
            </w:r>
            <w:r>
              <w:rPr>
                <w:lang w:eastAsia="en-US"/>
              </w:rPr>
              <w:t xml:space="preserve">, kad darbu uzsāks </w:t>
            </w:r>
            <w:r w:rsidRPr="00E17E6A">
              <w:rPr>
                <w:lang w:eastAsia="en-US"/>
              </w:rPr>
              <w:t>valsts aģentūrai “Latvijas Nacionālais akreditācijas birojs</w:t>
            </w:r>
            <w:r w:rsidR="00901E6D">
              <w:rPr>
                <w:lang w:eastAsia="en-US"/>
              </w:rPr>
              <w:t>”</w:t>
            </w:r>
            <w:r>
              <w:rPr>
                <w:lang w:eastAsia="en-US"/>
              </w:rPr>
              <w:t>,</w:t>
            </w:r>
            <w:r w:rsidR="00894C85">
              <w:rPr>
                <w:lang w:eastAsia="en-US"/>
              </w:rPr>
              <w:t xml:space="preserve"> papildus saviem tiešajiem pienākumiem nodrošinās arī valsts aģentūras </w:t>
            </w:r>
            <w:r w:rsidR="008C751E">
              <w:rPr>
                <w:lang w:eastAsia="en-US"/>
              </w:rPr>
              <w:t>pamat</w:t>
            </w:r>
            <w:r w:rsidR="00BA0669">
              <w:rPr>
                <w:lang w:eastAsia="en-US"/>
              </w:rPr>
              <w:t>a</w:t>
            </w:r>
            <w:r w:rsidR="008C751E">
              <w:rPr>
                <w:lang w:eastAsia="en-US"/>
              </w:rPr>
              <w:t xml:space="preserve"> </w:t>
            </w:r>
            <w:r w:rsidR="00894C85">
              <w:rPr>
                <w:lang w:eastAsia="en-US"/>
              </w:rPr>
              <w:t>atbalsta un administratīvo funkciju</w:t>
            </w:r>
            <w:r w:rsidR="001C54BB">
              <w:rPr>
                <w:lang w:eastAsia="en-US"/>
              </w:rPr>
              <w:t xml:space="preserve"> (grāmatvedību, personāllietas, IT) izpildi</w:t>
            </w:r>
            <w:r w:rsidR="00901E6D">
              <w:rPr>
                <w:lang w:eastAsia="en-US"/>
              </w:rPr>
              <w:t xml:space="preserve">. </w:t>
            </w:r>
            <w:r w:rsidR="00894C85">
              <w:rPr>
                <w:lang w:eastAsia="en-US"/>
              </w:rPr>
              <w:t xml:space="preserve">Šo funkciju nodrošināšanai Ekonomikas ministrijai </w:t>
            </w:r>
            <w:r w:rsidR="00901E6D">
              <w:rPr>
                <w:lang w:eastAsia="en-US"/>
              </w:rPr>
              <w:t>2018.gadā radīsies papildus izd</w:t>
            </w:r>
            <w:r w:rsidR="008C751E">
              <w:rPr>
                <w:lang w:eastAsia="en-US"/>
              </w:rPr>
              <w:t>evumi 50 258</w:t>
            </w:r>
            <w:r w:rsidR="00901E6D">
              <w:rPr>
                <w:lang w:eastAsia="en-US"/>
              </w:rPr>
              <w:t xml:space="preserve"> euro, jo funkcijas būs jāpilda nepilnu ga</w:t>
            </w:r>
            <w:r w:rsidR="008C751E">
              <w:rPr>
                <w:lang w:eastAsia="en-US"/>
              </w:rPr>
              <w:t>du, savukārt turpmāk ik gadu  60</w:t>
            </w:r>
            <w:r w:rsidR="00901E6D">
              <w:rPr>
                <w:lang w:eastAsia="en-US"/>
              </w:rPr>
              <w:t xml:space="preserve"> 310 </w:t>
            </w:r>
            <w:proofErr w:type="spellStart"/>
            <w:r w:rsidR="00901E6D">
              <w:rPr>
                <w:lang w:eastAsia="en-US"/>
              </w:rPr>
              <w:t>euro</w:t>
            </w:r>
            <w:proofErr w:type="spellEnd"/>
            <w:r w:rsidR="00901E6D">
              <w:rPr>
                <w:lang w:eastAsia="en-US"/>
              </w:rPr>
              <w:t xml:space="preserve"> gadā. Šie izdevumi ir aprēķināti par pamatu ņemot pildāmo funkciju šī brīža izmaksas</w:t>
            </w:r>
            <w:r w:rsidR="00716A49">
              <w:rPr>
                <w:lang w:eastAsia="en-US"/>
              </w:rPr>
              <w:t xml:space="preserve">. </w:t>
            </w:r>
            <w:r w:rsidR="00FA5B21">
              <w:rPr>
                <w:lang w:eastAsia="en-US"/>
              </w:rPr>
              <w:t>Finansējums</w:t>
            </w:r>
            <w:r w:rsidR="00716A49">
              <w:rPr>
                <w:lang w:eastAsia="en-US"/>
              </w:rPr>
              <w:t xml:space="preserve"> ir </w:t>
            </w:r>
            <w:r w:rsidR="00FA5B21">
              <w:rPr>
                <w:lang w:eastAsia="en-US"/>
              </w:rPr>
              <w:t xml:space="preserve">paredzēts </w:t>
            </w:r>
            <w:r w:rsidR="00716A49">
              <w:rPr>
                <w:lang w:eastAsia="en-US"/>
              </w:rPr>
              <w:t xml:space="preserve">Ekonomikas ministrijas darbinieku, kas pildīs  </w:t>
            </w:r>
            <w:r w:rsidR="00716A49" w:rsidRPr="00E17E6A">
              <w:rPr>
                <w:lang w:eastAsia="en-US"/>
              </w:rPr>
              <w:t>valsts aģentūrai “Latvijas Nacionālais akreditācijas birojs</w:t>
            </w:r>
            <w:r w:rsidR="00716A49">
              <w:rPr>
                <w:lang w:eastAsia="en-US"/>
              </w:rPr>
              <w:t xml:space="preserve">” atbalsta un administratīvās funkcijas, atlīdzības nodrošināšanai. </w:t>
            </w:r>
            <w:r w:rsidR="00FA5B21">
              <w:rPr>
                <w:lang w:eastAsia="en-US"/>
              </w:rPr>
              <w:t>P</w:t>
            </w:r>
            <w:r w:rsidR="00716A49">
              <w:rPr>
                <w:lang w:eastAsia="en-US"/>
              </w:rPr>
              <w:t xml:space="preserve">lānots, ka papildus </w:t>
            </w:r>
            <w:r w:rsidR="00901E6D">
              <w:rPr>
                <w:lang w:eastAsia="en-US"/>
              </w:rPr>
              <w:t xml:space="preserve">funkciju izpildi Ekonomikas ministrija </w:t>
            </w:r>
            <w:r w:rsidR="00716A49">
              <w:rPr>
                <w:lang w:eastAsia="en-US"/>
              </w:rPr>
              <w:t xml:space="preserve">nodrošinās </w:t>
            </w:r>
            <w:r w:rsidR="00901E6D">
              <w:rPr>
                <w:lang w:eastAsia="en-US"/>
              </w:rPr>
              <w:t>esošo</w:t>
            </w:r>
            <w:r w:rsidR="00716A49">
              <w:rPr>
                <w:lang w:eastAsia="en-US"/>
              </w:rPr>
              <w:t xml:space="preserve"> darba spēka resursu ie</w:t>
            </w:r>
            <w:r w:rsidR="00280B4C">
              <w:rPr>
                <w:lang w:eastAsia="en-US"/>
              </w:rPr>
              <w:t>tvaros. Šobrīd ir identificēti 8</w:t>
            </w:r>
            <w:r w:rsidR="00716A49">
              <w:rPr>
                <w:lang w:eastAsia="en-US"/>
              </w:rPr>
              <w:t xml:space="preserve"> darbinieki, kuriem būs jāpilda papildus pienākumi, līdz ar to plānots, ka četriem darbiniekiem tiks palieli</w:t>
            </w:r>
            <w:r w:rsidR="00280B4C">
              <w:rPr>
                <w:lang w:eastAsia="en-US"/>
              </w:rPr>
              <w:t>nāta mēnešalga, savukārt četriem</w:t>
            </w:r>
            <w:r w:rsidR="00716A49">
              <w:rPr>
                <w:lang w:eastAsia="en-US"/>
              </w:rPr>
              <w:t xml:space="preserve"> darbiniekiem tiks noteikta piemaksa par papildus darbu.</w:t>
            </w:r>
            <w:r w:rsidR="00B5084C">
              <w:rPr>
                <w:lang w:eastAsia="en-US"/>
              </w:rPr>
              <w:t xml:space="preserve"> Mēnesī atalgojumam </w:t>
            </w:r>
            <w:r w:rsidR="00B5084C" w:rsidRPr="00280B4C">
              <w:rPr>
                <w:lang w:eastAsia="en-US"/>
              </w:rPr>
              <w:t xml:space="preserve">plānots </w:t>
            </w:r>
            <w:r w:rsidR="006908EB" w:rsidRPr="00280B4C">
              <w:rPr>
                <w:lang w:eastAsia="en-US"/>
              </w:rPr>
              <w:t>4 050</w:t>
            </w:r>
            <w:r w:rsidR="00A533BF" w:rsidRPr="00280B4C">
              <w:rPr>
                <w:lang w:eastAsia="en-US"/>
              </w:rPr>
              <w:t xml:space="preserve"> </w:t>
            </w:r>
            <w:r w:rsidR="00B5084C" w:rsidRPr="00280B4C">
              <w:rPr>
                <w:lang w:eastAsia="en-US"/>
              </w:rPr>
              <w:t xml:space="preserve">euro, valsts sociālās apdrošināšanas iemaksām </w:t>
            </w:r>
            <w:r w:rsidR="006908EB" w:rsidRPr="00280B4C">
              <w:rPr>
                <w:lang w:eastAsia="en-US"/>
              </w:rPr>
              <w:t>976</w:t>
            </w:r>
            <w:r w:rsidR="00FC1D2C" w:rsidRPr="00280B4C">
              <w:rPr>
                <w:lang w:eastAsia="en-US"/>
              </w:rPr>
              <w:t xml:space="preserve"> </w:t>
            </w:r>
            <w:proofErr w:type="spellStart"/>
            <w:r w:rsidR="00B92668" w:rsidRPr="00280B4C">
              <w:rPr>
                <w:lang w:eastAsia="en-US"/>
              </w:rPr>
              <w:t>euro</w:t>
            </w:r>
            <w:proofErr w:type="spellEnd"/>
            <w:r w:rsidR="00B92668" w:rsidRPr="00280B4C">
              <w:rPr>
                <w:lang w:eastAsia="en-US"/>
              </w:rPr>
              <w:t>. Kopā</w:t>
            </w:r>
            <w:r w:rsidR="0054157B" w:rsidRPr="00280B4C">
              <w:rPr>
                <w:lang w:eastAsia="en-US"/>
              </w:rPr>
              <w:t xml:space="preserve"> atlīdzībai</w:t>
            </w:r>
            <w:r w:rsidR="00B92668" w:rsidRPr="00280B4C">
              <w:rPr>
                <w:lang w:eastAsia="en-US"/>
              </w:rPr>
              <w:t xml:space="preserve"> mēnesī </w:t>
            </w:r>
            <w:r w:rsidR="00A533BF" w:rsidRPr="00280B4C">
              <w:rPr>
                <w:lang w:eastAsia="en-US"/>
              </w:rPr>
              <w:t>5</w:t>
            </w:r>
            <w:r w:rsidR="0054157B" w:rsidRPr="00280B4C">
              <w:rPr>
                <w:lang w:eastAsia="en-US"/>
              </w:rPr>
              <w:t> </w:t>
            </w:r>
            <w:r w:rsidR="006908EB" w:rsidRPr="00280B4C">
              <w:rPr>
                <w:lang w:eastAsia="en-US"/>
              </w:rPr>
              <w:t>026</w:t>
            </w:r>
            <w:r w:rsidR="0054157B" w:rsidRPr="00280B4C">
              <w:rPr>
                <w:lang w:eastAsia="en-US"/>
              </w:rPr>
              <w:t xml:space="preserve"> </w:t>
            </w:r>
            <w:r w:rsidR="00B92668" w:rsidRPr="00280B4C">
              <w:rPr>
                <w:lang w:eastAsia="en-US"/>
              </w:rPr>
              <w:t>euro</w:t>
            </w:r>
            <w:r w:rsidR="00280B4C" w:rsidRPr="00280B4C">
              <w:rPr>
                <w:lang w:eastAsia="en-US"/>
              </w:rPr>
              <w:t>, līdz ar to noapaļojot gadā 60 310</w:t>
            </w:r>
            <w:r w:rsidR="00B92668" w:rsidRPr="00280B4C">
              <w:rPr>
                <w:lang w:eastAsia="en-US"/>
              </w:rPr>
              <w:t xml:space="preserve"> </w:t>
            </w:r>
            <w:proofErr w:type="spellStart"/>
            <w:r w:rsidR="00B92668" w:rsidRPr="00280B4C">
              <w:rPr>
                <w:lang w:eastAsia="en-US"/>
              </w:rPr>
              <w:t>euro</w:t>
            </w:r>
            <w:proofErr w:type="spellEnd"/>
            <w:r w:rsidR="00B92668" w:rsidRPr="00280B4C">
              <w:rPr>
                <w:lang w:eastAsia="en-US"/>
              </w:rPr>
              <w:t>.</w:t>
            </w:r>
            <w:r w:rsidR="00B92668">
              <w:rPr>
                <w:lang w:eastAsia="en-US"/>
              </w:rPr>
              <w:t xml:space="preserve"> Ņemot vērā, ka Ekonomikas ministrija 2018.gadā pildīs papildus funkcijas nepilnu gadu, izmaksas saistībā ar funkciju</w:t>
            </w:r>
            <w:r w:rsidR="008C751E">
              <w:rPr>
                <w:lang w:eastAsia="en-US"/>
              </w:rPr>
              <w:t xml:space="preserve"> izpildi 2018.gadā veidos 50 258</w:t>
            </w:r>
            <w:r w:rsidR="00B92668">
              <w:rPr>
                <w:lang w:eastAsia="en-US"/>
              </w:rPr>
              <w:t xml:space="preserve"> </w:t>
            </w:r>
            <w:proofErr w:type="spellStart"/>
            <w:r w:rsidR="00B92668">
              <w:rPr>
                <w:lang w:eastAsia="en-US"/>
              </w:rPr>
              <w:t>euro</w:t>
            </w:r>
            <w:proofErr w:type="spellEnd"/>
            <w:r w:rsidR="00B92668">
              <w:rPr>
                <w:lang w:eastAsia="en-US"/>
              </w:rPr>
              <w:t>.</w:t>
            </w:r>
            <w:r w:rsidR="00716A49">
              <w:rPr>
                <w:lang w:eastAsia="en-US"/>
              </w:rPr>
              <w:t xml:space="preserve"> </w:t>
            </w:r>
          </w:p>
        </w:tc>
      </w:tr>
      <w:tr w:rsidR="00BD5588" w:rsidRPr="002756C2" w14:paraId="7CD44854" w14:textId="77777777" w:rsidTr="00BD5588">
        <w:trPr>
          <w:cantSplit/>
        </w:trPr>
        <w:tc>
          <w:tcPr>
            <w:tcW w:w="1997" w:type="dxa"/>
            <w:gridSpan w:val="2"/>
            <w:shd w:val="clear" w:color="auto" w:fill="auto"/>
            <w:hideMark/>
          </w:tcPr>
          <w:p w14:paraId="076704AA" w14:textId="6D6C4C4E" w:rsidR="00BD5588" w:rsidRPr="002756C2" w:rsidRDefault="00BD5588" w:rsidP="009E0502">
            <w:pPr>
              <w:rPr>
                <w:lang w:eastAsia="en-US"/>
              </w:rPr>
            </w:pPr>
            <w:r w:rsidRPr="002756C2">
              <w:rPr>
                <w:lang w:eastAsia="en-US"/>
              </w:rPr>
              <w:t>6.1. detalizēts ieņēmumu aprēķins</w:t>
            </w:r>
          </w:p>
        </w:tc>
        <w:tc>
          <w:tcPr>
            <w:tcW w:w="6368" w:type="dxa"/>
            <w:gridSpan w:val="7"/>
            <w:vMerge/>
            <w:shd w:val="clear" w:color="auto" w:fill="auto"/>
            <w:vAlign w:val="center"/>
            <w:hideMark/>
          </w:tcPr>
          <w:p w14:paraId="162AA3A2" w14:textId="77777777" w:rsidR="00BD5588" w:rsidRPr="002756C2" w:rsidRDefault="00BD5588" w:rsidP="009E0502">
            <w:pPr>
              <w:jc w:val="center"/>
              <w:rPr>
                <w:lang w:eastAsia="en-US"/>
              </w:rPr>
            </w:pPr>
          </w:p>
        </w:tc>
      </w:tr>
      <w:tr w:rsidR="00BD5588" w:rsidRPr="002756C2" w14:paraId="199EE070" w14:textId="77777777" w:rsidTr="00BD5588">
        <w:trPr>
          <w:cantSplit/>
        </w:trPr>
        <w:tc>
          <w:tcPr>
            <w:tcW w:w="1997" w:type="dxa"/>
            <w:gridSpan w:val="2"/>
            <w:shd w:val="clear" w:color="auto" w:fill="auto"/>
            <w:hideMark/>
          </w:tcPr>
          <w:p w14:paraId="76E7AD7B" w14:textId="77777777" w:rsidR="00BD5588" w:rsidRPr="002756C2" w:rsidRDefault="00BD5588" w:rsidP="009E0502">
            <w:pPr>
              <w:rPr>
                <w:lang w:eastAsia="en-US"/>
              </w:rPr>
            </w:pPr>
            <w:r w:rsidRPr="002756C2">
              <w:rPr>
                <w:lang w:eastAsia="en-US"/>
              </w:rPr>
              <w:t>6.2. detalizēts izdevumu aprēķins</w:t>
            </w:r>
          </w:p>
        </w:tc>
        <w:tc>
          <w:tcPr>
            <w:tcW w:w="6368" w:type="dxa"/>
            <w:gridSpan w:val="7"/>
            <w:vMerge/>
            <w:shd w:val="clear" w:color="auto" w:fill="auto"/>
            <w:vAlign w:val="center"/>
            <w:hideMark/>
          </w:tcPr>
          <w:p w14:paraId="30F74856" w14:textId="77777777" w:rsidR="00BD5588" w:rsidRPr="002756C2" w:rsidRDefault="00BD5588" w:rsidP="009E0502">
            <w:pPr>
              <w:jc w:val="center"/>
              <w:rPr>
                <w:lang w:eastAsia="en-US"/>
              </w:rPr>
            </w:pPr>
          </w:p>
        </w:tc>
      </w:tr>
      <w:tr w:rsidR="00BD5588" w:rsidRPr="002756C2" w14:paraId="7913B083" w14:textId="77777777" w:rsidTr="00BD5588">
        <w:trPr>
          <w:cantSplit/>
        </w:trPr>
        <w:tc>
          <w:tcPr>
            <w:tcW w:w="1997" w:type="dxa"/>
            <w:gridSpan w:val="2"/>
            <w:shd w:val="clear" w:color="auto" w:fill="auto"/>
            <w:hideMark/>
          </w:tcPr>
          <w:p w14:paraId="7F14F051" w14:textId="77777777" w:rsidR="00BD5588" w:rsidRPr="002756C2" w:rsidRDefault="00BD5588" w:rsidP="009E0502">
            <w:pPr>
              <w:rPr>
                <w:lang w:eastAsia="en-US"/>
              </w:rPr>
            </w:pPr>
            <w:r w:rsidRPr="002756C2">
              <w:rPr>
                <w:lang w:eastAsia="en-US"/>
              </w:rPr>
              <w:lastRenderedPageBreak/>
              <w:t>7. Amata vietu skaita izmaiņas</w:t>
            </w:r>
          </w:p>
        </w:tc>
        <w:tc>
          <w:tcPr>
            <w:tcW w:w="6368" w:type="dxa"/>
            <w:gridSpan w:val="7"/>
            <w:shd w:val="clear" w:color="auto" w:fill="auto"/>
            <w:hideMark/>
          </w:tcPr>
          <w:p w14:paraId="61544624" w14:textId="0AD40D4D" w:rsidR="00BD5588" w:rsidRPr="002756C2" w:rsidRDefault="00EA6DBE" w:rsidP="00A6619A">
            <w:pPr>
              <w:jc w:val="both"/>
              <w:rPr>
                <w:lang w:eastAsia="en-US"/>
              </w:rPr>
            </w:pPr>
            <w:r w:rsidRPr="002756C2">
              <w:rPr>
                <w:lang w:eastAsia="en-US"/>
              </w:rPr>
              <w:t>Amata vietu skaita vietu izmaiņas nav plānotas. Kopumā nacionālās akreditācijas institūcijas funkciju izpildi plānots nodrošināt ar 25 amata vietām</w:t>
            </w:r>
            <w:r w:rsidR="004C37DC" w:rsidRPr="002756C2">
              <w:rPr>
                <w:lang w:eastAsia="en-US"/>
              </w:rPr>
              <w:t xml:space="preserve">. No tām 20 amata vietas </w:t>
            </w:r>
            <w:r w:rsidR="001C54BB" w:rsidRPr="002756C2">
              <w:rPr>
                <w:lang w:eastAsia="en-US"/>
              </w:rPr>
              <w:t>tiks izveidotas valsts aģentūrā “Latvijas Nacionālais akreditācijas birojs”</w:t>
            </w:r>
            <w:r w:rsidR="001C54BB">
              <w:rPr>
                <w:lang w:eastAsia="en-US"/>
              </w:rPr>
              <w:t xml:space="preserve">. Tās būs saistītas ar </w:t>
            </w:r>
            <w:r w:rsidR="001C54BB" w:rsidRPr="002756C2">
              <w:rPr>
                <w:lang w:eastAsia="en-US"/>
              </w:rPr>
              <w:t>tiešo akreditācijas funkciju</w:t>
            </w:r>
            <w:r w:rsidR="001C54BB">
              <w:rPr>
                <w:lang w:eastAsia="en-US"/>
              </w:rPr>
              <w:t xml:space="preserve"> izpildi un pārējo atbalsta funkciju – dokumentu vadība, juridiskais atbalsts, kvalitātes vadība, iestādes vadība un citu nepieciešamo funkciju izpildi</w:t>
            </w:r>
            <w:r w:rsidR="005653D6">
              <w:rPr>
                <w:lang w:eastAsia="en-US"/>
              </w:rPr>
              <w:t>, kuru</w:t>
            </w:r>
            <w:r w:rsidR="001C54BB">
              <w:rPr>
                <w:lang w:eastAsia="en-US"/>
              </w:rPr>
              <w:t xml:space="preserve"> neveiks Ekonomikas ministrija</w:t>
            </w:r>
            <w:r w:rsidR="005653D6">
              <w:rPr>
                <w:lang w:eastAsia="en-US"/>
              </w:rPr>
              <w:t>.</w:t>
            </w:r>
            <w:r w:rsidR="001C54BB">
              <w:rPr>
                <w:lang w:eastAsia="en-US"/>
              </w:rPr>
              <w:t xml:space="preserve"> </w:t>
            </w:r>
            <w:r w:rsidR="00A6619A" w:rsidRPr="002756C2">
              <w:rPr>
                <w:lang w:eastAsia="en-US"/>
              </w:rPr>
              <w:t xml:space="preserve">Savukārt atlikušās 5 amata vietas būs saistītas ar </w:t>
            </w:r>
            <w:r w:rsidR="008C751E">
              <w:rPr>
                <w:lang w:eastAsia="en-US"/>
              </w:rPr>
              <w:t xml:space="preserve">pamata </w:t>
            </w:r>
            <w:r w:rsidR="00A6619A" w:rsidRPr="002756C2">
              <w:rPr>
                <w:lang w:eastAsia="en-US"/>
              </w:rPr>
              <w:t>atbalsta un administratīvo funkciju</w:t>
            </w:r>
            <w:r w:rsidR="008C751E">
              <w:rPr>
                <w:lang w:eastAsia="en-US"/>
              </w:rPr>
              <w:t xml:space="preserve"> (grāmatvedība, personāllietas, IT)</w:t>
            </w:r>
            <w:r w:rsidR="00A6619A" w:rsidRPr="002756C2">
              <w:rPr>
                <w:lang w:eastAsia="en-US"/>
              </w:rPr>
              <w:t xml:space="preserve"> izpildes nodrošināšanu, ko veiks Ekonomikas ministrija</w:t>
            </w:r>
            <w:r w:rsidR="00727553">
              <w:rPr>
                <w:lang w:eastAsia="en-US"/>
              </w:rPr>
              <w:t xml:space="preserve"> jau esošo darba spēka resursu ietvaros</w:t>
            </w:r>
            <w:r w:rsidR="00A6619A" w:rsidRPr="002756C2">
              <w:rPr>
                <w:lang w:eastAsia="en-US"/>
              </w:rPr>
              <w:t>.</w:t>
            </w:r>
          </w:p>
        </w:tc>
      </w:tr>
      <w:tr w:rsidR="00BD5588" w:rsidRPr="002756C2" w14:paraId="367A9159" w14:textId="77777777" w:rsidTr="004818B7">
        <w:tc>
          <w:tcPr>
            <w:tcW w:w="1997" w:type="dxa"/>
            <w:gridSpan w:val="2"/>
            <w:shd w:val="clear" w:color="auto" w:fill="auto"/>
            <w:hideMark/>
          </w:tcPr>
          <w:p w14:paraId="03677ED7" w14:textId="2BD6D5E6" w:rsidR="00BD5588" w:rsidRPr="002756C2" w:rsidRDefault="00BD5588" w:rsidP="009E0502">
            <w:pPr>
              <w:rPr>
                <w:lang w:eastAsia="en-US"/>
              </w:rPr>
            </w:pPr>
            <w:r w:rsidRPr="002756C2">
              <w:rPr>
                <w:lang w:eastAsia="en-US"/>
              </w:rPr>
              <w:t>8. Cita informācija</w:t>
            </w:r>
          </w:p>
        </w:tc>
        <w:tc>
          <w:tcPr>
            <w:tcW w:w="6368" w:type="dxa"/>
            <w:gridSpan w:val="7"/>
            <w:shd w:val="clear" w:color="auto" w:fill="auto"/>
            <w:hideMark/>
          </w:tcPr>
          <w:p w14:paraId="340ECA7B" w14:textId="53B28A77" w:rsidR="00BD5588" w:rsidRPr="002756C2" w:rsidRDefault="00EA6DBE" w:rsidP="00846D03">
            <w:pPr>
              <w:jc w:val="both"/>
              <w:rPr>
                <w:lang w:eastAsia="en-US"/>
              </w:rPr>
            </w:pPr>
            <w:r w:rsidRPr="002756C2">
              <w:rPr>
                <w:lang w:eastAsia="en-US"/>
              </w:rPr>
              <w:t>Rīkojuma projekts neietekmēs valsts budžeta izdevumus, jo valsts aģentūras finansēšanai nepieciešamie līdzekļi tiks iegūti sniedzot maksas publiskos pakalpojumus kā noteikts likumā “Par atbilstības novērtēšanu”.</w:t>
            </w:r>
            <w:r w:rsidR="00846D03">
              <w:rPr>
                <w:lang w:eastAsia="en-US"/>
              </w:rPr>
              <w:t xml:space="preserve"> </w:t>
            </w:r>
            <w:r w:rsidRPr="002756C2">
              <w:rPr>
                <w:lang w:eastAsia="en-US"/>
              </w:rPr>
              <w:t xml:space="preserve">Nacionālās akreditācijas institūcijas funkciju </w:t>
            </w:r>
            <w:r w:rsidR="00ED0901" w:rsidRPr="002756C2">
              <w:rPr>
                <w:lang w:eastAsia="en-US"/>
              </w:rPr>
              <w:t xml:space="preserve">izpildei </w:t>
            </w:r>
            <w:r w:rsidRPr="002756C2">
              <w:rPr>
                <w:lang w:eastAsia="en-US"/>
              </w:rPr>
              <w:t xml:space="preserve">Ekonomikas ministrijas budžeta apakšprogrammā 26.04.00 “Atbilstības novērtēšana un kvalitātes nodrošināšana” </w:t>
            </w:r>
            <w:r w:rsidR="00CE57EA" w:rsidRPr="002756C2">
              <w:rPr>
                <w:lang w:eastAsia="en-US"/>
              </w:rPr>
              <w:t>ir paredzēti 84 870</w:t>
            </w:r>
            <w:r w:rsidR="00ED0F1B" w:rsidRPr="002756C2">
              <w:rPr>
                <w:lang w:eastAsia="en-US"/>
              </w:rPr>
              <w:t xml:space="preserve"> euro</w:t>
            </w:r>
            <w:r w:rsidR="00ED0901" w:rsidRPr="002756C2">
              <w:rPr>
                <w:lang w:eastAsia="en-US"/>
              </w:rPr>
              <w:t>.</w:t>
            </w:r>
            <w:r w:rsidR="00AF224D" w:rsidRPr="002756C2">
              <w:rPr>
                <w:lang w:eastAsia="en-US"/>
              </w:rPr>
              <w:t xml:space="preserve"> </w:t>
            </w:r>
            <w:r w:rsidR="00846D03">
              <w:rPr>
                <w:lang w:eastAsia="en-US"/>
              </w:rPr>
              <w:t>L</w:t>
            </w:r>
            <w:r w:rsidR="00CE57EA" w:rsidRPr="002756C2">
              <w:rPr>
                <w:lang w:eastAsia="en-US"/>
              </w:rPr>
              <w:t xml:space="preserve">ai izvairītos no nelietderīgiem savstarpējiem naudas pārskaitījumiem starp Ekonomikas ministriju un valsts aģentūru “Latvijas Nacionālais akreditācijas birojs”, ir nepieciešams veikt </w:t>
            </w:r>
            <w:r w:rsidR="008C751E">
              <w:rPr>
                <w:lang w:eastAsia="en-US"/>
              </w:rPr>
              <w:t>apropriācijas pārdali 60</w:t>
            </w:r>
            <w:r w:rsidR="00FD12B1" w:rsidRPr="002756C2">
              <w:rPr>
                <w:lang w:eastAsia="en-US"/>
              </w:rPr>
              <w:t xml:space="preserve"> 310</w:t>
            </w:r>
            <w:r w:rsidR="00CE57EA" w:rsidRPr="002756C2">
              <w:rPr>
                <w:lang w:eastAsia="en-US"/>
              </w:rPr>
              <w:t xml:space="preserve"> </w:t>
            </w:r>
            <w:proofErr w:type="spellStart"/>
            <w:r w:rsidR="00CE57EA" w:rsidRPr="002756C2">
              <w:rPr>
                <w:lang w:eastAsia="en-US"/>
              </w:rPr>
              <w:t>euro</w:t>
            </w:r>
            <w:proofErr w:type="spellEnd"/>
            <w:r w:rsidR="00CE57EA" w:rsidRPr="002756C2">
              <w:rPr>
                <w:lang w:eastAsia="en-US"/>
              </w:rPr>
              <w:t xml:space="preserve"> apmērā no Ekonomikas ministrijas budžeta apakšprogrammā 26.04.00 “Atbilstības novērtēšana un kvalitātes nodrošināšana” piešķirtā finansējuma uz Ekonomikas ministrijas programmu 97.00.00. “Nozaru vadība un politikas plānošana” atlīdzībai valsts aģentūras “Latvijas Nacionālais akreditācijas birojs” atbalsta un administr</w:t>
            </w:r>
            <w:r w:rsidR="00846D03">
              <w:rPr>
                <w:lang w:eastAsia="en-US"/>
              </w:rPr>
              <w:t xml:space="preserve">atīvās funkciju nodrošināšanai. </w:t>
            </w:r>
            <w:r w:rsidR="00A51162">
              <w:rPr>
                <w:lang w:eastAsia="en-US"/>
              </w:rPr>
              <w:t>Tā kā plānots, ka valsts aģentūra</w:t>
            </w:r>
            <w:r w:rsidR="00A51162" w:rsidRPr="002756C2">
              <w:rPr>
                <w:lang w:eastAsia="en-US"/>
              </w:rPr>
              <w:t xml:space="preserve"> “Latvijas Nacionālais akreditācijas birojs”</w:t>
            </w:r>
            <w:r w:rsidR="00A51162">
              <w:rPr>
                <w:lang w:eastAsia="en-US"/>
              </w:rPr>
              <w:t xml:space="preserve"> darbību uzsāks ar 2018.gada 1.</w:t>
            </w:r>
            <w:r w:rsidR="008C751E">
              <w:rPr>
                <w:lang w:eastAsia="en-US"/>
              </w:rPr>
              <w:t>martu</w:t>
            </w:r>
            <w:r w:rsidR="00A51162">
              <w:rPr>
                <w:lang w:eastAsia="en-US"/>
              </w:rPr>
              <w:t>, tad apropriācijas pārda</w:t>
            </w:r>
            <w:r w:rsidR="00CA4348">
              <w:rPr>
                <w:lang w:eastAsia="en-US"/>
              </w:rPr>
              <w:t>li 2018.gadā b</w:t>
            </w:r>
            <w:r w:rsidR="008C751E">
              <w:rPr>
                <w:lang w:eastAsia="en-US"/>
              </w:rPr>
              <w:t>ūtu veicama 50 258 euro apmērā (60</w:t>
            </w:r>
            <w:r w:rsidR="00A51162">
              <w:rPr>
                <w:lang w:eastAsia="en-US"/>
              </w:rPr>
              <w:t xml:space="preserve"> 310 euro/12 mēneši), savukārt </w:t>
            </w:r>
            <w:r w:rsidR="008C751E">
              <w:rPr>
                <w:lang w:eastAsia="en-US"/>
              </w:rPr>
              <w:t>sākot ar 2019.gadu un turpmāk 60</w:t>
            </w:r>
            <w:r w:rsidR="00A51162">
              <w:rPr>
                <w:lang w:eastAsia="en-US"/>
              </w:rPr>
              <w:t xml:space="preserve"> 310 </w:t>
            </w:r>
            <w:proofErr w:type="spellStart"/>
            <w:r w:rsidR="00A51162">
              <w:rPr>
                <w:lang w:eastAsia="en-US"/>
              </w:rPr>
              <w:t>euro</w:t>
            </w:r>
            <w:proofErr w:type="spellEnd"/>
            <w:r w:rsidR="00A51162">
              <w:rPr>
                <w:lang w:eastAsia="en-US"/>
              </w:rPr>
              <w:t xml:space="preserve"> apmērā.</w:t>
            </w:r>
          </w:p>
        </w:tc>
      </w:tr>
      <w:tr w:rsidR="00BD5588" w:rsidRPr="002756C2" w14:paraId="479862D2" w14:textId="77777777" w:rsidTr="00BD5588">
        <w:tblPrEx>
          <w:tblCellMar>
            <w:top w:w="30" w:type="dxa"/>
            <w:left w:w="30" w:type="dxa"/>
            <w:bottom w:w="30" w:type="dxa"/>
            <w:right w:w="30" w:type="dxa"/>
          </w:tblCellMar>
        </w:tblPrEx>
        <w:trPr>
          <w:cantSplit/>
        </w:trPr>
        <w:tc>
          <w:tcPr>
            <w:tcW w:w="8365" w:type="dxa"/>
            <w:gridSpan w:val="9"/>
            <w:vAlign w:val="center"/>
            <w:hideMark/>
          </w:tcPr>
          <w:p w14:paraId="1726D3CF" w14:textId="77777777" w:rsidR="00BD5588" w:rsidRPr="002756C2" w:rsidRDefault="00BD5588" w:rsidP="009E0502">
            <w:pPr>
              <w:jc w:val="center"/>
              <w:rPr>
                <w:b/>
                <w:bCs/>
              </w:rPr>
            </w:pPr>
            <w:r w:rsidRPr="002756C2">
              <w:rPr>
                <w:b/>
                <w:bCs/>
              </w:rPr>
              <w:t>IV. Tiesību akta projekta ietekme uz spēkā esošo tiesību normu sistēmu</w:t>
            </w:r>
          </w:p>
        </w:tc>
      </w:tr>
      <w:tr w:rsidR="00BD5588" w:rsidRPr="002756C2" w14:paraId="7CBC5B6E" w14:textId="77777777" w:rsidTr="00BD5588">
        <w:tblPrEx>
          <w:tblCellMar>
            <w:top w:w="30" w:type="dxa"/>
            <w:left w:w="30" w:type="dxa"/>
            <w:bottom w:w="30" w:type="dxa"/>
            <w:right w:w="30" w:type="dxa"/>
          </w:tblCellMar>
        </w:tblPrEx>
        <w:trPr>
          <w:cantSplit/>
        </w:trPr>
        <w:tc>
          <w:tcPr>
            <w:tcW w:w="527" w:type="dxa"/>
            <w:hideMark/>
          </w:tcPr>
          <w:p w14:paraId="3C13FC17" w14:textId="77777777" w:rsidR="00BD5588" w:rsidRPr="002756C2" w:rsidRDefault="00BD5588" w:rsidP="009E0502">
            <w:pPr>
              <w:jc w:val="center"/>
            </w:pPr>
            <w:r w:rsidRPr="002756C2">
              <w:t>1.</w:t>
            </w:r>
          </w:p>
        </w:tc>
        <w:tc>
          <w:tcPr>
            <w:tcW w:w="2461" w:type="dxa"/>
            <w:gridSpan w:val="2"/>
            <w:hideMark/>
          </w:tcPr>
          <w:p w14:paraId="65BAC41D" w14:textId="77777777" w:rsidR="00BD5588" w:rsidRPr="002756C2" w:rsidRDefault="00BD5588" w:rsidP="009E0502">
            <w:r w:rsidRPr="002756C2">
              <w:t>Saistītie tiesību aktu projekti</w:t>
            </w:r>
          </w:p>
        </w:tc>
        <w:tc>
          <w:tcPr>
            <w:tcW w:w="5377" w:type="dxa"/>
            <w:gridSpan w:val="6"/>
            <w:hideMark/>
          </w:tcPr>
          <w:p w14:paraId="63F2EEA1" w14:textId="05A1483A" w:rsidR="007402C8" w:rsidRPr="002756C2" w:rsidRDefault="003046BD" w:rsidP="002121AA">
            <w:pPr>
              <w:jc w:val="both"/>
            </w:pPr>
            <w:r w:rsidRPr="002756C2">
              <w:t xml:space="preserve">Ministru kabineta noteikumu projekts “Valsts aģentūras “Latvijas Nacionālais akreditācijas centrs” </w:t>
            </w:r>
            <w:r w:rsidR="007402C8" w:rsidRPr="002756C2">
              <w:t xml:space="preserve">nolikums (izsludināti VSS </w:t>
            </w:r>
            <w:r w:rsidR="00062FA3" w:rsidRPr="002756C2">
              <w:t>19.10.2017. prot.Nr.41 5.§</w:t>
            </w:r>
            <w:r w:rsidR="007402C8" w:rsidRPr="002756C2">
              <w:t>), kas atcels Ministru kabineta 2010.gada 18.aprīļa noteikumus Nr.445 “Noteikumi par nacionālo akreditācijas institūciju”;</w:t>
            </w:r>
          </w:p>
          <w:p w14:paraId="3EC4ABB4" w14:textId="7AD6B553" w:rsidR="00BD5588" w:rsidRPr="002756C2" w:rsidRDefault="007402C8" w:rsidP="002121AA">
            <w:pPr>
              <w:jc w:val="both"/>
            </w:pPr>
            <w:r w:rsidRPr="002756C2">
              <w:t>Ministru kabineta noteikumu projekts “Noteikumi par valsts aģentūras “Latvijas Nacionālais akreditācijas centrs” sniegto publisko maksas pakalpojumu cenrādi (</w:t>
            </w:r>
            <w:r w:rsidR="00062FA3" w:rsidRPr="002756C2">
              <w:t>izsludināti VSS 30.11.2017. prot.Nr.47 4.§</w:t>
            </w:r>
            <w:r w:rsidRPr="002756C2">
              <w:t>)</w:t>
            </w:r>
            <w:r w:rsidR="00A6619A" w:rsidRPr="002756C2">
              <w:t>;</w:t>
            </w:r>
          </w:p>
          <w:p w14:paraId="49026A7F" w14:textId="3C628DD5" w:rsidR="00A6619A" w:rsidRPr="002756C2" w:rsidRDefault="00A6619A" w:rsidP="002121AA">
            <w:pPr>
              <w:jc w:val="both"/>
            </w:pPr>
            <w:r w:rsidRPr="002756C2">
              <w:t xml:space="preserve">Ministru kabineta rīkojuma projekts “Par valsts aģentūras “Latvijas Nacionālais akreditācijas birojs” 2018.gada budžeta apstiprināšanu”” (netiks izsludināts VSS, bet tiks virzīts kā MK lieta kopā ar šo projektu). </w:t>
            </w:r>
          </w:p>
        </w:tc>
      </w:tr>
      <w:tr w:rsidR="00BD5588" w:rsidRPr="002756C2" w14:paraId="3AFB9BBC" w14:textId="77777777" w:rsidTr="00BD5588">
        <w:tblPrEx>
          <w:tblCellMar>
            <w:top w:w="30" w:type="dxa"/>
            <w:left w:w="30" w:type="dxa"/>
            <w:bottom w:w="30" w:type="dxa"/>
            <w:right w:w="30" w:type="dxa"/>
          </w:tblCellMar>
        </w:tblPrEx>
        <w:trPr>
          <w:cantSplit/>
        </w:trPr>
        <w:tc>
          <w:tcPr>
            <w:tcW w:w="527" w:type="dxa"/>
            <w:hideMark/>
          </w:tcPr>
          <w:p w14:paraId="610C8E3C" w14:textId="77777777" w:rsidR="00BD5588" w:rsidRPr="002756C2" w:rsidRDefault="00BD5588" w:rsidP="009E0502">
            <w:pPr>
              <w:jc w:val="center"/>
            </w:pPr>
            <w:r w:rsidRPr="002756C2">
              <w:t>2.</w:t>
            </w:r>
          </w:p>
        </w:tc>
        <w:tc>
          <w:tcPr>
            <w:tcW w:w="2461" w:type="dxa"/>
            <w:gridSpan w:val="2"/>
            <w:hideMark/>
          </w:tcPr>
          <w:p w14:paraId="39B976A1" w14:textId="77777777" w:rsidR="00BD5588" w:rsidRPr="002756C2" w:rsidRDefault="00BD5588" w:rsidP="009E0502">
            <w:r w:rsidRPr="002756C2">
              <w:t>Atbildīgā institūcija</w:t>
            </w:r>
          </w:p>
        </w:tc>
        <w:tc>
          <w:tcPr>
            <w:tcW w:w="5377" w:type="dxa"/>
            <w:gridSpan w:val="6"/>
            <w:hideMark/>
          </w:tcPr>
          <w:p w14:paraId="1B08C85F" w14:textId="5543C200" w:rsidR="00BD5588" w:rsidRPr="002756C2" w:rsidRDefault="007402C8" w:rsidP="009E0502">
            <w:r w:rsidRPr="002756C2">
              <w:t xml:space="preserve">Ekonomikas ministrija </w:t>
            </w:r>
          </w:p>
        </w:tc>
      </w:tr>
      <w:tr w:rsidR="00BD5588" w:rsidRPr="002756C2" w14:paraId="036C3FB4" w14:textId="77777777" w:rsidTr="00BD5588">
        <w:tblPrEx>
          <w:tblCellMar>
            <w:top w:w="30" w:type="dxa"/>
            <w:left w:w="30" w:type="dxa"/>
            <w:bottom w:w="30" w:type="dxa"/>
            <w:right w:w="30" w:type="dxa"/>
          </w:tblCellMar>
        </w:tblPrEx>
        <w:trPr>
          <w:cantSplit/>
        </w:trPr>
        <w:tc>
          <w:tcPr>
            <w:tcW w:w="527" w:type="dxa"/>
            <w:hideMark/>
          </w:tcPr>
          <w:p w14:paraId="6192501D" w14:textId="77777777" w:rsidR="00BD5588" w:rsidRPr="002756C2" w:rsidRDefault="00BD5588" w:rsidP="009E0502">
            <w:pPr>
              <w:jc w:val="center"/>
            </w:pPr>
            <w:r w:rsidRPr="002756C2">
              <w:t>3.</w:t>
            </w:r>
          </w:p>
        </w:tc>
        <w:tc>
          <w:tcPr>
            <w:tcW w:w="2461" w:type="dxa"/>
            <w:gridSpan w:val="2"/>
            <w:hideMark/>
          </w:tcPr>
          <w:p w14:paraId="45185A0D" w14:textId="77777777" w:rsidR="00BD5588" w:rsidRPr="002756C2" w:rsidRDefault="00BD5588" w:rsidP="009E0502">
            <w:r w:rsidRPr="002756C2">
              <w:t>Cita informācija</w:t>
            </w:r>
          </w:p>
        </w:tc>
        <w:tc>
          <w:tcPr>
            <w:tcW w:w="5377" w:type="dxa"/>
            <w:gridSpan w:val="6"/>
            <w:hideMark/>
          </w:tcPr>
          <w:p w14:paraId="524385AE" w14:textId="69B07FC5" w:rsidR="00BD5588" w:rsidRPr="002756C2" w:rsidRDefault="00BD5588" w:rsidP="009E0502">
            <w:r w:rsidRPr="002756C2">
              <w:t>Nav</w:t>
            </w:r>
          </w:p>
        </w:tc>
      </w:tr>
    </w:tbl>
    <w:p w14:paraId="6AD4878C" w14:textId="77777777" w:rsidR="00BD5588" w:rsidRPr="002756C2"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4818B7" w14:paraId="010A7E65" w14:textId="77777777" w:rsidTr="009E0502">
        <w:trPr>
          <w:cantSplit/>
        </w:trPr>
        <w:tc>
          <w:tcPr>
            <w:tcW w:w="5000" w:type="pct"/>
            <w:vAlign w:val="center"/>
            <w:hideMark/>
          </w:tcPr>
          <w:p w14:paraId="7660F7AC" w14:textId="77777777" w:rsidR="00BD5588" w:rsidRPr="004818B7" w:rsidRDefault="00BD5588" w:rsidP="009E0502">
            <w:pPr>
              <w:jc w:val="center"/>
              <w:rPr>
                <w:b/>
                <w:bCs/>
              </w:rPr>
            </w:pPr>
            <w:r w:rsidRPr="004818B7">
              <w:rPr>
                <w:b/>
                <w:bCs/>
              </w:rPr>
              <w:lastRenderedPageBreak/>
              <w:t>V. Tiesību akta projekta atbilstība Latvijas Republikas starptautiskajām saistībām</w:t>
            </w:r>
          </w:p>
        </w:tc>
      </w:tr>
      <w:tr w:rsidR="00062FA3" w:rsidRPr="004818B7" w14:paraId="5C9F1100" w14:textId="77777777" w:rsidTr="00062FA3">
        <w:trPr>
          <w:cantSplit/>
          <w:trHeight w:val="226"/>
        </w:trPr>
        <w:tc>
          <w:tcPr>
            <w:tcW w:w="5000" w:type="pct"/>
            <w:vAlign w:val="center"/>
          </w:tcPr>
          <w:p w14:paraId="3D82C3D1" w14:textId="3E2244D3" w:rsidR="00062FA3" w:rsidRPr="004818B7" w:rsidRDefault="00062FA3" w:rsidP="009E0502">
            <w:pPr>
              <w:jc w:val="center"/>
              <w:rPr>
                <w:bCs/>
              </w:rPr>
            </w:pPr>
            <w:r w:rsidRPr="004818B7">
              <w:rPr>
                <w:bCs/>
              </w:rPr>
              <w:t>Projekts šo jomu neskar</w:t>
            </w:r>
          </w:p>
        </w:tc>
      </w:tr>
    </w:tbl>
    <w:p w14:paraId="10A47845" w14:textId="77777777" w:rsidR="00BD5588" w:rsidRPr="002756C2"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4818B7" w14:paraId="6617E4C0" w14:textId="77777777" w:rsidTr="009E0502">
        <w:trPr>
          <w:cantSplit/>
        </w:trPr>
        <w:tc>
          <w:tcPr>
            <w:tcW w:w="5000" w:type="pct"/>
            <w:vAlign w:val="center"/>
            <w:hideMark/>
          </w:tcPr>
          <w:p w14:paraId="10A6B26E" w14:textId="77777777" w:rsidR="00BD5588" w:rsidRPr="004818B7" w:rsidRDefault="00BD5588" w:rsidP="009E0502">
            <w:pPr>
              <w:jc w:val="center"/>
              <w:rPr>
                <w:b/>
                <w:bCs/>
              </w:rPr>
            </w:pPr>
            <w:r w:rsidRPr="004818B7">
              <w:rPr>
                <w:b/>
                <w:bCs/>
              </w:rPr>
              <w:t>VI. Sabiedrības līdzdalība un komunikācijas aktivitātes</w:t>
            </w:r>
          </w:p>
        </w:tc>
      </w:tr>
      <w:tr w:rsidR="002121AA" w:rsidRPr="004818B7" w14:paraId="26257B1D" w14:textId="77777777" w:rsidTr="009E0502">
        <w:trPr>
          <w:cantSplit/>
        </w:trPr>
        <w:tc>
          <w:tcPr>
            <w:tcW w:w="5000" w:type="pct"/>
            <w:vAlign w:val="center"/>
          </w:tcPr>
          <w:p w14:paraId="1A46B89F" w14:textId="0CF525C0" w:rsidR="002121AA" w:rsidRPr="004818B7" w:rsidRDefault="002121AA" w:rsidP="009E0502">
            <w:pPr>
              <w:jc w:val="center"/>
              <w:rPr>
                <w:bCs/>
              </w:rPr>
            </w:pPr>
            <w:r w:rsidRPr="004818B7">
              <w:rPr>
                <w:bCs/>
              </w:rPr>
              <w:t>Projekts šo jomu neskar</w:t>
            </w:r>
          </w:p>
        </w:tc>
      </w:tr>
    </w:tbl>
    <w:p w14:paraId="44047369" w14:textId="77777777" w:rsidR="00BD5588" w:rsidRPr="002756C2"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4818B7" w14:paraId="2FEFC308" w14:textId="77777777" w:rsidTr="009E0502">
        <w:trPr>
          <w:cantSplit/>
        </w:trPr>
        <w:tc>
          <w:tcPr>
            <w:tcW w:w="5000" w:type="pct"/>
            <w:gridSpan w:val="3"/>
            <w:vAlign w:val="center"/>
            <w:hideMark/>
          </w:tcPr>
          <w:p w14:paraId="79CC5BEE" w14:textId="77777777" w:rsidR="00BD5588" w:rsidRPr="004818B7" w:rsidRDefault="00BD5588" w:rsidP="009E0502">
            <w:pPr>
              <w:jc w:val="center"/>
              <w:rPr>
                <w:b/>
                <w:bCs/>
              </w:rPr>
            </w:pPr>
            <w:r w:rsidRPr="004818B7">
              <w:rPr>
                <w:b/>
                <w:bCs/>
              </w:rPr>
              <w:t>VII. Tiesību akta projekta izpildes nodrošināšana un tās ietekme uz institūcijām</w:t>
            </w:r>
          </w:p>
        </w:tc>
      </w:tr>
      <w:tr w:rsidR="00BD5588" w:rsidRPr="004818B7" w14:paraId="6D87719C" w14:textId="77777777" w:rsidTr="009E0502">
        <w:trPr>
          <w:cantSplit/>
        </w:trPr>
        <w:tc>
          <w:tcPr>
            <w:tcW w:w="311" w:type="pct"/>
            <w:hideMark/>
          </w:tcPr>
          <w:p w14:paraId="1C19D044" w14:textId="77777777" w:rsidR="00BD5588" w:rsidRPr="004818B7" w:rsidRDefault="00BD5588" w:rsidP="009E0502">
            <w:pPr>
              <w:jc w:val="center"/>
            </w:pPr>
            <w:r w:rsidRPr="004818B7">
              <w:t>1.</w:t>
            </w:r>
          </w:p>
        </w:tc>
        <w:tc>
          <w:tcPr>
            <w:tcW w:w="1479" w:type="pct"/>
            <w:hideMark/>
          </w:tcPr>
          <w:p w14:paraId="255789AF" w14:textId="77777777" w:rsidR="00BD5588" w:rsidRPr="004818B7" w:rsidRDefault="00BD5588" w:rsidP="009E0502">
            <w:r w:rsidRPr="004818B7">
              <w:t>Projekta izpildē iesaistītās institūcijas</w:t>
            </w:r>
          </w:p>
        </w:tc>
        <w:tc>
          <w:tcPr>
            <w:tcW w:w="3210" w:type="pct"/>
            <w:hideMark/>
          </w:tcPr>
          <w:p w14:paraId="2A49D545" w14:textId="7F4E4515" w:rsidR="00BD5588" w:rsidRPr="004818B7" w:rsidRDefault="00062FA3" w:rsidP="00125584">
            <w:pPr>
              <w:jc w:val="both"/>
            </w:pPr>
            <w:r w:rsidRPr="004818B7">
              <w:t xml:space="preserve">Ekonomikas ministrija un </w:t>
            </w:r>
            <w:r w:rsidR="00125584" w:rsidRPr="004818B7">
              <w:t>SIA</w:t>
            </w:r>
            <w:r w:rsidRPr="004818B7">
              <w:t xml:space="preserve">  “Latvijas Nacionālais akreditācijas birojs”</w:t>
            </w:r>
          </w:p>
        </w:tc>
      </w:tr>
      <w:tr w:rsidR="00BD5588" w:rsidRPr="004818B7" w14:paraId="4E32A558" w14:textId="77777777" w:rsidTr="009E0502">
        <w:trPr>
          <w:cantSplit/>
        </w:trPr>
        <w:tc>
          <w:tcPr>
            <w:tcW w:w="311" w:type="pct"/>
            <w:hideMark/>
          </w:tcPr>
          <w:p w14:paraId="001E5AB2" w14:textId="77777777" w:rsidR="00BD5588" w:rsidRPr="004818B7" w:rsidRDefault="00BD5588" w:rsidP="009E0502">
            <w:pPr>
              <w:jc w:val="center"/>
            </w:pPr>
            <w:r w:rsidRPr="004818B7">
              <w:t>2.</w:t>
            </w:r>
          </w:p>
        </w:tc>
        <w:tc>
          <w:tcPr>
            <w:tcW w:w="1479" w:type="pct"/>
            <w:hideMark/>
          </w:tcPr>
          <w:p w14:paraId="278A1D3B" w14:textId="77777777" w:rsidR="00BD5588" w:rsidRPr="004818B7" w:rsidRDefault="00BD5588" w:rsidP="009E0502">
            <w:r w:rsidRPr="004818B7">
              <w:t>Projekta izpildes ietekme uz pārvaldes funkcijām un institucionālo struktūru.</w:t>
            </w:r>
            <w:r w:rsidRPr="004818B7">
              <w:br/>
              <w:t>Jaunu institūciju izveide, esošu institūciju likvidācija vai reorganizācija, to ietekme uz institūcijas cilvēkresursiem</w:t>
            </w:r>
          </w:p>
        </w:tc>
        <w:tc>
          <w:tcPr>
            <w:tcW w:w="3210" w:type="pct"/>
            <w:hideMark/>
          </w:tcPr>
          <w:p w14:paraId="78902D9C" w14:textId="00B55BB8" w:rsidR="00BD5588" w:rsidRPr="004818B7" w:rsidRDefault="00125584" w:rsidP="00125584">
            <w:pPr>
              <w:jc w:val="both"/>
            </w:pPr>
            <w:r w:rsidRPr="004818B7">
              <w:t>SIA</w:t>
            </w:r>
            <w:r w:rsidR="002121AA" w:rsidRPr="004818B7">
              <w:t xml:space="preserve"> “Latvijas Nacionālais akreditācijas birojs” tiks pārveidots par ekonomikas ministra pārraudzībā esošu valsts aģentūru, kas pildīs likuma “Par atbilstības novērtēšanu” 14.panta pirmajā daļā noteiktās nacionālās akreditācijas institūcijas funkcijas un uzdevumus. Projekts neietekmē nacionālās akreditācijas institūcijas funkciju un uzdevumu apjomu. Pārveidošanas ietvaros nav plānota amata vietu samazināšana. </w:t>
            </w:r>
            <w:r w:rsidRPr="004818B7">
              <w:t>SIA</w:t>
            </w:r>
            <w:r w:rsidR="002121AA" w:rsidRPr="004818B7">
              <w:t xml:space="preserve"> “Latvijas Nacionālais akreditācijas birojs” valdes locekļa pilnvaras beigsies līdz ar </w:t>
            </w:r>
            <w:r w:rsidRPr="004818B7">
              <w:t>komercsabiedrības</w:t>
            </w:r>
            <w:r w:rsidR="002121AA" w:rsidRPr="004818B7">
              <w:t xml:space="preserve"> izslēgšanu no komercreģistra.</w:t>
            </w:r>
          </w:p>
        </w:tc>
      </w:tr>
      <w:tr w:rsidR="00BD5588" w:rsidRPr="004818B7" w14:paraId="77ACFBAB" w14:textId="77777777" w:rsidTr="009E0502">
        <w:trPr>
          <w:cantSplit/>
        </w:trPr>
        <w:tc>
          <w:tcPr>
            <w:tcW w:w="311" w:type="pct"/>
            <w:hideMark/>
          </w:tcPr>
          <w:p w14:paraId="07FDFB90" w14:textId="77777777" w:rsidR="00BD5588" w:rsidRPr="004818B7" w:rsidRDefault="00BD5588" w:rsidP="009E0502">
            <w:pPr>
              <w:jc w:val="center"/>
            </w:pPr>
            <w:r w:rsidRPr="004818B7">
              <w:t>3.</w:t>
            </w:r>
          </w:p>
        </w:tc>
        <w:tc>
          <w:tcPr>
            <w:tcW w:w="1479" w:type="pct"/>
            <w:hideMark/>
          </w:tcPr>
          <w:p w14:paraId="35A86794" w14:textId="77777777" w:rsidR="00BD5588" w:rsidRPr="004818B7" w:rsidRDefault="00BD5588" w:rsidP="009E0502">
            <w:r w:rsidRPr="004818B7">
              <w:t>Cita informācija</w:t>
            </w:r>
          </w:p>
        </w:tc>
        <w:tc>
          <w:tcPr>
            <w:tcW w:w="3210" w:type="pct"/>
            <w:hideMark/>
          </w:tcPr>
          <w:p w14:paraId="189A6F4F" w14:textId="058F120B" w:rsidR="00BD5588" w:rsidRPr="004818B7" w:rsidRDefault="002121AA" w:rsidP="002121AA">
            <w:r w:rsidRPr="004818B7">
              <w:t>Nav</w:t>
            </w:r>
          </w:p>
        </w:tc>
      </w:tr>
    </w:tbl>
    <w:p w14:paraId="4383CBFF" w14:textId="77777777" w:rsidR="002121AA" w:rsidRPr="002756C2" w:rsidRDefault="002121AA"/>
    <w:p w14:paraId="7BCF1DC2" w14:textId="77777777" w:rsidR="002121AA" w:rsidRPr="004818B7" w:rsidRDefault="002121AA" w:rsidP="002121AA">
      <w:pPr>
        <w:rPr>
          <w:sz w:val="26"/>
          <w:szCs w:val="26"/>
        </w:rPr>
      </w:pPr>
      <w:r w:rsidRPr="004818B7">
        <w:rPr>
          <w:sz w:val="26"/>
          <w:szCs w:val="26"/>
        </w:rPr>
        <w:t>Ministru prezidenta biedrs,</w:t>
      </w:r>
    </w:p>
    <w:p w14:paraId="53B58C3C" w14:textId="24CE9802" w:rsidR="002121AA" w:rsidRPr="004818B7" w:rsidRDefault="002121AA" w:rsidP="002121AA">
      <w:pPr>
        <w:rPr>
          <w:sz w:val="26"/>
          <w:szCs w:val="26"/>
        </w:rPr>
      </w:pPr>
      <w:r w:rsidRPr="004818B7">
        <w:rPr>
          <w:sz w:val="26"/>
          <w:szCs w:val="26"/>
        </w:rPr>
        <w:t>ekonomikas ministrs</w:t>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t>A. Ašeradens</w:t>
      </w:r>
    </w:p>
    <w:p w14:paraId="65BD07B2" w14:textId="77777777" w:rsidR="002121AA" w:rsidRPr="004818B7" w:rsidRDefault="002121AA" w:rsidP="002121AA">
      <w:pPr>
        <w:rPr>
          <w:sz w:val="26"/>
          <w:szCs w:val="26"/>
        </w:rPr>
      </w:pPr>
    </w:p>
    <w:p w14:paraId="1FDD2463" w14:textId="77777777" w:rsidR="002121AA" w:rsidRPr="004818B7" w:rsidRDefault="002121AA" w:rsidP="002121AA">
      <w:pPr>
        <w:rPr>
          <w:sz w:val="26"/>
          <w:szCs w:val="26"/>
        </w:rPr>
      </w:pPr>
      <w:r w:rsidRPr="004818B7">
        <w:rPr>
          <w:sz w:val="26"/>
          <w:szCs w:val="26"/>
        </w:rPr>
        <w:t>Vīza:</w:t>
      </w:r>
    </w:p>
    <w:p w14:paraId="01C9B2F3" w14:textId="3185B134" w:rsidR="002121AA" w:rsidRPr="004818B7" w:rsidRDefault="002121AA" w:rsidP="002121AA">
      <w:pPr>
        <w:rPr>
          <w:sz w:val="26"/>
          <w:szCs w:val="26"/>
        </w:rPr>
      </w:pPr>
      <w:r w:rsidRPr="004818B7">
        <w:rPr>
          <w:sz w:val="26"/>
          <w:szCs w:val="26"/>
        </w:rPr>
        <w:t>Valsts sekretārs</w:t>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r>
      <w:r w:rsidRPr="004818B7">
        <w:rPr>
          <w:sz w:val="26"/>
          <w:szCs w:val="26"/>
        </w:rPr>
        <w:tab/>
      </w:r>
      <w:proofErr w:type="spellStart"/>
      <w:r w:rsidRPr="004818B7">
        <w:rPr>
          <w:sz w:val="26"/>
          <w:szCs w:val="26"/>
        </w:rPr>
        <w:t>J.Stinka</w:t>
      </w:r>
      <w:proofErr w:type="spellEnd"/>
    </w:p>
    <w:p w14:paraId="00F5F052" w14:textId="77777777" w:rsidR="002121AA" w:rsidRPr="002756C2" w:rsidRDefault="002121AA" w:rsidP="002121AA"/>
    <w:p w14:paraId="1E2F41B3" w14:textId="77777777" w:rsidR="002121AA" w:rsidRPr="002756C2" w:rsidRDefault="002121AA" w:rsidP="002121AA">
      <w:pPr>
        <w:jc w:val="both"/>
        <w:rPr>
          <w:rFonts w:eastAsia="Calibri"/>
          <w:sz w:val="16"/>
          <w:szCs w:val="16"/>
          <w:lang w:eastAsia="en-US"/>
        </w:rPr>
      </w:pPr>
      <w:r w:rsidRPr="002756C2">
        <w:rPr>
          <w:rFonts w:eastAsia="Calibri"/>
          <w:bCs/>
          <w:sz w:val="16"/>
          <w:szCs w:val="16"/>
          <w:lang w:eastAsia="en-US"/>
        </w:rPr>
        <w:t xml:space="preserve">Šaicāns, </w:t>
      </w:r>
      <w:r w:rsidRPr="002756C2">
        <w:rPr>
          <w:rFonts w:eastAsia="Calibri"/>
          <w:sz w:val="16"/>
          <w:szCs w:val="16"/>
          <w:lang w:eastAsia="en-US"/>
        </w:rPr>
        <w:t>67013143</w:t>
      </w:r>
    </w:p>
    <w:p w14:paraId="3235D120" w14:textId="6D0C2B4C" w:rsidR="002121AA" w:rsidRPr="002756C2" w:rsidRDefault="00A52B10" w:rsidP="002121AA">
      <w:pPr>
        <w:jc w:val="both"/>
        <w:rPr>
          <w:rFonts w:eastAsia="Calibri"/>
          <w:sz w:val="16"/>
          <w:szCs w:val="16"/>
          <w:lang w:eastAsia="en-US"/>
        </w:rPr>
      </w:pPr>
      <w:hyperlink r:id="rId6" w:history="1">
        <w:r w:rsidR="002121AA" w:rsidRPr="002756C2">
          <w:rPr>
            <w:rFonts w:eastAsia="Calibri"/>
            <w:color w:val="0000FF"/>
            <w:sz w:val="16"/>
            <w:szCs w:val="16"/>
            <w:u w:val="single"/>
            <w:lang w:eastAsia="en-US"/>
          </w:rPr>
          <w:t>Edijs.Saicans@em.gov.lv</w:t>
        </w:r>
      </w:hyperlink>
      <w:r w:rsidR="002121AA" w:rsidRPr="002756C2">
        <w:rPr>
          <w:rFonts w:eastAsia="Calibri"/>
          <w:sz w:val="16"/>
          <w:szCs w:val="16"/>
          <w:lang w:eastAsia="en-US"/>
        </w:rPr>
        <w:t xml:space="preserve">  </w:t>
      </w:r>
    </w:p>
    <w:sectPr w:rsidR="002121AA" w:rsidRPr="002756C2" w:rsidSect="004818B7">
      <w:headerReference w:type="even" r:id="rId7"/>
      <w:headerReference w:type="default" r:id="rId8"/>
      <w:footerReference w:type="even" r:id="rId9"/>
      <w:footerReference w:type="default" r:id="rId10"/>
      <w:headerReference w:type="first" r:id="rId11"/>
      <w:footerReference w:type="first" r:id="rId12"/>
      <w:pgSz w:w="11906" w:h="16838"/>
      <w:pgMar w:top="1202" w:right="1800" w:bottom="96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4215" w14:textId="77777777" w:rsidR="00A52B10" w:rsidRDefault="00A52B10" w:rsidP="002121AA">
      <w:r>
        <w:separator/>
      </w:r>
    </w:p>
  </w:endnote>
  <w:endnote w:type="continuationSeparator" w:id="0">
    <w:p w14:paraId="42BA30AD" w14:textId="77777777" w:rsidR="00A52B10" w:rsidRDefault="00A52B10" w:rsidP="002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ABEC" w14:textId="77777777" w:rsidR="00DF02F6" w:rsidRDefault="00DF0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6DC7" w14:textId="182E536D" w:rsidR="002121AA" w:rsidRPr="002121AA" w:rsidRDefault="002121AA">
    <w:pPr>
      <w:pStyle w:val="Footer"/>
      <w:rPr>
        <w:sz w:val="20"/>
        <w:szCs w:val="20"/>
      </w:rPr>
    </w:pPr>
    <w:r w:rsidRPr="002121AA">
      <w:rPr>
        <w:sz w:val="20"/>
        <w:szCs w:val="20"/>
      </w:rPr>
      <w:t>E</w:t>
    </w:r>
    <w:r w:rsidR="00DF02F6">
      <w:rPr>
        <w:sz w:val="20"/>
        <w:szCs w:val="20"/>
      </w:rPr>
      <w:t>MAnot_0702</w:t>
    </w:r>
    <w:r w:rsidRPr="002121AA">
      <w:rPr>
        <w:sz w:val="20"/>
        <w:szCs w:val="20"/>
      </w:rPr>
      <w:t>2018_LATAK_reorg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4052" w14:textId="77777777" w:rsidR="00DF02F6" w:rsidRDefault="00DF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2C29" w14:textId="77777777" w:rsidR="00A52B10" w:rsidRDefault="00A52B10" w:rsidP="002121AA">
      <w:r>
        <w:separator/>
      </w:r>
    </w:p>
  </w:footnote>
  <w:footnote w:type="continuationSeparator" w:id="0">
    <w:p w14:paraId="142E4F74" w14:textId="77777777" w:rsidR="00A52B10" w:rsidRDefault="00A52B10" w:rsidP="002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F564" w14:textId="77777777" w:rsidR="00DF02F6" w:rsidRDefault="00DF0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B13B" w14:textId="77777777" w:rsidR="00DF02F6" w:rsidRDefault="00DF0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2CDD" w14:textId="77777777" w:rsidR="00DF02F6" w:rsidRDefault="00DF0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7D94"/>
    <w:rsid w:val="00020771"/>
    <w:rsid w:val="00034FBA"/>
    <w:rsid w:val="00062FA3"/>
    <w:rsid w:val="000A6D48"/>
    <w:rsid w:val="000C6051"/>
    <w:rsid w:val="00125584"/>
    <w:rsid w:val="0017060D"/>
    <w:rsid w:val="001C54BB"/>
    <w:rsid w:val="001E3837"/>
    <w:rsid w:val="001E7B39"/>
    <w:rsid w:val="001F2D94"/>
    <w:rsid w:val="002121AA"/>
    <w:rsid w:val="00225C76"/>
    <w:rsid w:val="0025611A"/>
    <w:rsid w:val="00263050"/>
    <w:rsid w:val="002756C2"/>
    <w:rsid w:val="002808BC"/>
    <w:rsid w:val="00280B4C"/>
    <w:rsid w:val="002D1338"/>
    <w:rsid w:val="003046BD"/>
    <w:rsid w:val="00310293"/>
    <w:rsid w:val="00382608"/>
    <w:rsid w:val="003C5FA3"/>
    <w:rsid w:val="003D6C8D"/>
    <w:rsid w:val="004138DB"/>
    <w:rsid w:val="0047234D"/>
    <w:rsid w:val="004818B7"/>
    <w:rsid w:val="004C37DC"/>
    <w:rsid w:val="004C7256"/>
    <w:rsid w:val="004F2A7E"/>
    <w:rsid w:val="0054157B"/>
    <w:rsid w:val="00554CEC"/>
    <w:rsid w:val="005653D6"/>
    <w:rsid w:val="0056780C"/>
    <w:rsid w:val="00576C84"/>
    <w:rsid w:val="00577D1B"/>
    <w:rsid w:val="00683E0D"/>
    <w:rsid w:val="006908EB"/>
    <w:rsid w:val="006A5765"/>
    <w:rsid w:val="00716A49"/>
    <w:rsid w:val="00727553"/>
    <w:rsid w:val="007402C8"/>
    <w:rsid w:val="00747E77"/>
    <w:rsid w:val="00784A51"/>
    <w:rsid w:val="007A5F7B"/>
    <w:rsid w:val="007D3996"/>
    <w:rsid w:val="007F4191"/>
    <w:rsid w:val="00835FF8"/>
    <w:rsid w:val="00846D03"/>
    <w:rsid w:val="00861546"/>
    <w:rsid w:val="00870E47"/>
    <w:rsid w:val="00894C85"/>
    <w:rsid w:val="008C751E"/>
    <w:rsid w:val="008F290B"/>
    <w:rsid w:val="00901E6D"/>
    <w:rsid w:val="00920219"/>
    <w:rsid w:val="0093340A"/>
    <w:rsid w:val="00945F40"/>
    <w:rsid w:val="009C396F"/>
    <w:rsid w:val="009E58D8"/>
    <w:rsid w:val="00A51162"/>
    <w:rsid w:val="00A52B10"/>
    <w:rsid w:val="00A533BF"/>
    <w:rsid w:val="00A62C45"/>
    <w:rsid w:val="00A6619A"/>
    <w:rsid w:val="00A67EAB"/>
    <w:rsid w:val="00A8544B"/>
    <w:rsid w:val="00A91997"/>
    <w:rsid w:val="00AA734A"/>
    <w:rsid w:val="00AD63E5"/>
    <w:rsid w:val="00AE177C"/>
    <w:rsid w:val="00AF224D"/>
    <w:rsid w:val="00B5084C"/>
    <w:rsid w:val="00B92668"/>
    <w:rsid w:val="00B94112"/>
    <w:rsid w:val="00BA0669"/>
    <w:rsid w:val="00BD5588"/>
    <w:rsid w:val="00BF2254"/>
    <w:rsid w:val="00BF2FDE"/>
    <w:rsid w:val="00C102A0"/>
    <w:rsid w:val="00C24318"/>
    <w:rsid w:val="00C433BE"/>
    <w:rsid w:val="00CA4348"/>
    <w:rsid w:val="00CC3E3E"/>
    <w:rsid w:val="00CD6812"/>
    <w:rsid w:val="00CE57EA"/>
    <w:rsid w:val="00CE7BF0"/>
    <w:rsid w:val="00CF398E"/>
    <w:rsid w:val="00CF4DEA"/>
    <w:rsid w:val="00CF6F91"/>
    <w:rsid w:val="00D12DA3"/>
    <w:rsid w:val="00D22144"/>
    <w:rsid w:val="00D469D0"/>
    <w:rsid w:val="00D74D25"/>
    <w:rsid w:val="00D85A52"/>
    <w:rsid w:val="00DC297B"/>
    <w:rsid w:val="00DF02F6"/>
    <w:rsid w:val="00E1115D"/>
    <w:rsid w:val="00E17E6A"/>
    <w:rsid w:val="00E44472"/>
    <w:rsid w:val="00E51C9F"/>
    <w:rsid w:val="00E64110"/>
    <w:rsid w:val="00E65FDE"/>
    <w:rsid w:val="00E66E5A"/>
    <w:rsid w:val="00E75AC4"/>
    <w:rsid w:val="00E91A84"/>
    <w:rsid w:val="00EA6DBE"/>
    <w:rsid w:val="00EB2631"/>
    <w:rsid w:val="00EB54BE"/>
    <w:rsid w:val="00ED0901"/>
    <w:rsid w:val="00ED0F1B"/>
    <w:rsid w:val="00F235EA"/>
    <w:rsid w:val="00FA5B21"/>
    <w:rsid w:val="00FC1D2C"/>
    <w:rsid w:val="00FD12B1"/>
    <w:rsid w:val="00FE5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9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Header">
    <w:name w:val="header"/>
    <w:basedOn w:val="Normal"/>
    <w:link w:val="HeaderChar"/>
    <w:uiPriority w:val="99"/>
    <w:unhideWhenUsed/>
    <w:rsid w:val="002121AA"/>
    <w:pPr>
      <w:tabs>
        <w:tab w:val="center" w:pos="4680"/>
        <w:tab w:val="right" w:pos="9360"/>
      </w:tabs>
    </w:pPr>
  </w:style>
  <w:style w:type="character" w:customStyle="1" w:styleId="HeaderChar">
    <w:name w:val="Header Char"/>
    <w:basedOn w:val="DefaultParagraphFont"/>
    <w:link w:val="Header"/>
    <w:uiPriority w:val="99"/>
    <w:rsid w:val="002121A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121AA"/>
    <w:pPr>
      <w:tabs>
        <w:tab w:val="center" w:pos="4680"/>
        <w:tab w:val="right" w:pos="9360"/>
      </w:tabs>
    </w:pPr>
  </w:style>
  <w:style w:type="character" w:customStyle="1" w:styleId="FooterChar">
    <w:name w:val="Footer Char"/>
    <w:basedOn w:val="DefaultParagraphFont"/>
    <w:link w:val="Footer"/>
    <w:uiPriority w:val="99"/>
    <w:rsid w:val="002121A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C1D2C"/>
    <w:rPr>
      <w:sz w:val="18"/>
      <w:szCs w:val="18"/>
    </w:rPr>
  </w:style>
  <w:style w:type="character" w:customStyle="1" w:styleId="BalloonTextChar">
    <w:name w:val="Balloon Text Char"/>
    <w:basedOn w:val="DefaultParagraphFont"/>
    <w:link w:val="BalloonText"/>
    <w:uiPriority w:val="99"/>
    <w:semiHidden/>
    <w:rsid w:val="00FC1D2C"/>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8120">
      <w:bodyDiv w:val="1"/>
      <w:marLeft w:val="0"/>
      <w:marRight w:val="0"/>
      <w:marTop w:val="0"/>
      <w:marBottom w:val="0"/>
      <w:divBdr>
        <w:top w:val="none" w:sz="0" w:space="0" w:color="auto"/>
        <w:left w:val="none" w:sz="0" w:space="0" w:color="auto"/>
        <w:bottom w:val="none" w:sz="0" w:space="0" w:color="auto"/>
        <w:right w:val="none" w:sz="0" w:space="0" w:color="auto"/>
      </w:divBdr>
    </w:div>
    <w:div w:id="214706241">
      <w:bodyDiv w:val="1"/>
      <w:marLeft w:val="0"/>
      <w:marRight w:val="0"/>
      <w:marTop w:val="0"/>
      <w:marBottom w:val="0"/>
      <w:divBdr>
        <w:top w:val="none" w:sz="0" w:space="0" w:color="auto"/>
        <w:left w:val="none" w:sz="0" w:space="0" w:color="auto"/>
        <w:bottom w:val="none" w:sz="0" w:space="0" w:color="auto"/>
        <w:right w:val="none" w:sz="0" w:space="0" w:color="auto"/>
      </w:divBdr>
    </w:div>
    <w:div w:id="236598689">
      <w:bodyDiv w:val="1"/>
      <w:marLeft w:val="0"/>
      <w:marRight w:val="0"/>
      <w:marTop w:val="0"/>
      <w:marBottom w:val="0"/>
      <w:divBdr>
        <w:top w:val="none" w:sz="0" w:space="0" w:color="auto"/>
        <w:left w:val="none" w:sz="0" w:space="0" w:color="auto"/>
        <w:bottom w:val="none" w:sz="0" w:space="0" w:color="auto"/>
        <w:right w:val="none" w:sz="0" w:space="0" w:color="auto"/>
      </w:divBdr>
    </w:div>
    <w:div w:id="865555093">
      <w:bodyDiv w:val="1"/>
      <w:marLeft w:val="0"/>
      <w:marRight w:val="0"/>
      <w:marTop w:val="0"/>
      <w:marBottom w:val="0"/>
      <w:divBdr>
        <w:top w:val="none" w:sz="0" w:space="0" w:color="auto"/>
        <w:left w:val="none" w:sz="0" w:space="0" w:color="auto"/>
        <w:bottom w:val="none" w:sz="0" w:space="0" w:color="auto"/>
        <w:right w:val="none" w:sz="0" w:space="0" w:color="auto"/>
      </w:divBdr>
    </w:div>
    <w:div w:id="869954277">
      <w:bodyDiv w:val="1"/>
      <w:marLeft w:val="0"/>
      <w:marRight w:val="0"/>
      <w:marTop w:val="0"/>
      <w:marBottom w:val="0"/>
      <w:divBdr>
        <w:top w:val="none" w:sz="0" w:space="0" w:color="auto"/>
        <w:left w:val="none" w:sz="0" w:space="0" w:color="auto"/>
        <w:bottom w:val="none" w:sz="0" w:space="0" w:color="auto"/>
        <w:right w:val="none" w:sz="0" w:space="0" w:color="auto"/>
      </w:divBdr>
    </w:div>
    <w:div w:id="1194541456">
      <w:bodyDiv w:val="1"/>
      <w:marLeft w:val="0"/>
      <w:marRight w:val="0"/>
      <w:marTop w:val="0"/>
      <w:marBottom w:val="0"/>
      <w:divBdr>
        <w:top w:val="none" w:sz="0" w:space="0" w:color="auto"/>
        <w:left w:val="none" w:sz="0" w:space="0" w:color="auto"/>
        <w:bottom w:val="none" w:sz="0" w:space="0" w:color="auto"/>
        <w:right w:val="none" w:sz="0" w:space="0" w:color="auto"/>
      </w:divBdr>
    </w:div>
    <w:div w:id="1204826736">
      <w:bodyDiv w:val="1"/>
      <w:marLeft w:val="0"/>
      <w:marRight w:val="0"/>
      <w:marTop w:val="0"/>
      <w:marBottom w:val="0"/>
      <w:divBdr>
        <w:top w:val="none" w:sz="0" w:space="0" w:color="auto"/>
        <w:left w:val="none" w:sz="0" w:space="0" w:color="auto"/>
        <w:bottom w:val="none" w:sz="0" w:space="0" w:color="auto"/>
        <w:right w:val="none" w:sz="0" w:space="0" w:color="auto"/>
      </w:divBdr>
    </w:div>
    <w:div w:id="1282029464">
      <w:bodyDiv w:val="1"/>
      <w:marLeft w:val="0"/>
      <w:marRight w:val="0"/>
      <w:marTop w:val="0"/>
      <w:marBottom w:val="0"/>
      <w:divBdr>
        <w:top w:val="none" w:sz="0" w:space="0" w:color="auto"/>
        <w:left w:val="none" w:sz="0" w:space="0" w:color="auto"/>
        <w:bottom w:val="none" w:sz="0" w:space="0" w:color="auto"/>
        <w:right w:val="none" w:sz="0" w:space="0" w:color="auto"/>
      </w:divBdr>
    </w:div>
    <w:div w:id="1508640603">
      <w:bodyDiv w:val="1"/>
      <w:marLeft w:val="0"/>
      <w:marRight w:val="0"/>
      <w:marTop w:val="0"/>
      <w:marBottom w:val="0"/>
      <w:divBdr>
        <w:top w:val="none" w:sz="0" w:space="0" w:color="auto"/>
        <w:left w:val="none" w:sz="0" w:space="0" w:color="auto"/>
        <w:bottom w:val="none" w:sz="0" w:space="0" w:color="auto"/>
        <w:right w:val="none" w:sz="0" w:space="0" w:color="auto"/>
      </w:divBdr>
    </w:div>
    <w:div w:id="1595629816">
      <w:bodyDiv w:val="1"/>
      <w:marLeft w:val="0"/>
      <w:marRight w:val="0"/>
      <w:marTop w:val="0"/>
      <w:marBottom w:val="0"/>
      <w:divBdr>
        <w:top w:val="none" w:sz="0" w:space="0" w:color="auto"/>
        <w:left w:val="none" w:sz="0" w:space="0" w:color="auto"/>
        <w:bottom w:val="none" w:sz="0" w:space="0" w:color="auto"/>
        <w:right w:val="none" w:sz="0" w:space="0" w:color="auto"/>
      </w:divBdr>
    </w:div>
    <w:div w:id="1845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js.Saicans@e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Edijs Šaicāns</cp:lastModifiedBy>
  <cp:revision>2</cp:revision>
  <dcterms:created xsi:type="dcterms:W3CDTF">2018-02-20T12:48:00Z</dcterms:created>
  <dcterms:modified xsi:type="dcterms:W3CDTF">2018-02-20T12:48:00Z</dcterms:modified>
</cp:coreProperties>
</file>