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952B3" w:rsidRPr="001351FC" w:rsidP="001351FC" w14:paraId="0E6DD95B" w14:textId="77777777">
      <w:pPr>
        <w:jc w:val="center"/>
        <w:rPr>
          <w:b/>
        </w:rPr>
      </w:pPr>
      <w:r w:rsidRPr="001351FC">
        <w:rPr>
          <w:b/>
        </w:rPr>
        <w:t>Ministru kabineta noteikumu projekta</w:t>
      </w:r>
    </w:p>
    <w:p w:rsidR="001351FC" w:rsidRPr="001351FC" w:rsidP="0015241F" w14:paraId="27383188" w14:textId="77777777">
      <w:pPr>
        <w:jc w:val="center"/>
        <w:rPr>
          <w:b/>
        </w:rPr>
      </w:pPr>
      <w:r w:rsidRPr="001351FC">
        <w:rPr>
          <w:rFonts w:eastAsia="Times New Roman"/>
          <w:b/>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Pr="001351FC">
        <w:rPr>
          <w:rFonts w:eastAsia="Times New Roman"/>
        </w:rPr>
        <w:t xml:space="preserve"> </w:t>
      </w:r>
      <w:r w:rsidRPr="001351FC" w:rsidR="000952B3">
        <w:rPr>
          <w:b/>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3"/>
        <w:gridCol w:w="5987"/>
      </w:tblGrid>
      <w:tr w14:paraId="374AF7B2" w14:textId="77777777" w:rsidTr="00DB3879">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B3" w:rsidRPr="001351FC" w:rsidP="001351FC" w14:paraId="31D0EE19" w14:textId="77777777">
            <w:pPr>
              <w:pStyle w:val="ListParagraph"/>
              <w:tabs>
                <w:tab w:val="left" w:pos="2268"/>
                <w:tab w:val="left" w:pos="2410"/>
              </w:tabs>
              <w:ind w:left="1080"/>
              <w:jc w:val="center"/>
              <w:rPr>
                <w:b/>
                <w:sz w:val="24"/>
                <w:szCs w:val="24"/>
                <w:lang w:eastAsia="en-US"/>
              </w:rPr>
            </w:pPr>
            <w:r w:rsidRPr="001351FC">
              <w:rPr>
                <w:b/>
                <w:bCs/>
                <w:sz w:val="24"/>
                <w:szCs w:val="24"/>
              </w:rPr>
              <w:t>Tiesību akta projekta anotācijas kopsavilkums</w:t>
            </w:r>
          </w:p>
        </w:tc>
      </w:tr>
      <w:tr w14:paraId="6457A4FB" w14:textId="77777777" w:rsidTr="00DB3879">
        <w:tblPrEx>
          <w:tblW w:w="9180" w:type="dxa"/>
          <w:tblLook w:val="04A0"/>
        </w:tblPrEx>
        <w:tc>
          <w:tcPr>
            <w:tcW w:w="3193"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520D2D7F" w14:textId="77777777">
            <w:pPr>
              <w:tabs>
                <w:tab w:val="left" w:pos="1904"/>
              </w:tabs>
              <w:rPr>
                <w:lang w:eastAsia="en-US"/>
              </w:rPr>
            </w:pPr>
            <w:r w:rsidRPr="001351FC">
              <w:t>Mērķis, risinājums u</w:t>
            </w:r>
            <w:r w:rsidRPr="001351FC" w:rsidR="004210D4">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442A7F" w:rsidRPr="001351FC" w:rsidP="001351FC" w14:paraId="5E974610" w14:textId="77777777">
            <w:pPr>
              <w:jc w:val="both"/>
              <w:rPr>
                <w:rFonts w:eastAsia="Times New Roman"/>
              </w:rPr>
            </w:pPr>
            <w:r w:rsidRPr="001351FC">
              <w:t>Ministru kabineta n</w:t>
            </w:r>
            <w:r w:rsidRPr="001351FC" w:rsidR="004A4EBE">
              <w:t>oteikumu projekta</w:t>
            </w:r>
            <w:r w:rsidRPr="001351FC" w:rsidR="004A4EBE">
              <w:rPr>
                <w:rFonts w:eastAsia="Times New Roman"/>
              </w:rPr>
              <w:t xml:space="preserve">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noteikumu projekts)</w:t>
            </w:r>
            <w:r w:rsidRPr="001351FC" w:rsidR="004A4EBE">
              <w:t xml:space="preserve"> mērķis ir sekmēt </w:t>
            </w:r>
            <w:r w:rsidRPr="001351FC" w:rsidR="00055596">
              <w:t xml:space="preserve">nepieciešamo </w:t>
            </w:r>
            <w:r w:rsidRPr="001351FC" w:rsidR="004A4EBE">
              <w:t>papildu darbību</w:t>
            </w:r>
            <w:r w:rsidRPr="001351FC">
              <w:t xml:space="preserve"> –</w:t>
            </w:r>
            <w:r w:rsidRPr="001351FC">
              <w:rPr>
                <w:rFonts w:eastAsia="Times New Roman"/>
              </w:rPr>
              <w:t xml:space="preserve"> mācību satura izstrāde vidējā izglītībā (mācību priekšmetu programmu izstrāde augstākajam līmenim) un </w:t>
            </w:r>
          </w:p>
          <w:p w:rsidR="000952B3" w:rsidRPr="001351FC" w:rsidP="006260FC" w14:paraId="6C67C759" w14:textId="17C0D2F0">
            <w:pPr>
              <w:jc w:val="both"/>
              <w:rPr>
                <w:rFonts w:eastAsia="Times New Roman"/>
              </w:rPr>
            </w:pPr>
            <w:r w:rsidRPr="001351FC">
              <w:rPr>
                <w:rFonts w:eastAsia="Times New Roman"/>
              </w:rPr>
              <w:t xml:space="preserve">pedagogu profesionālās kompetences pilnveide – </w:t>
            </w:r>
            <w:r w:rsidRPr="001351FC" w:rsidR="00055596">
              <w:t xml:space="preserve">ieviešanu </w:t>
            </w:r>
            <w:r w:rsidRPr="001351FC" w:rsidR="004A4EBE">
              <w:t>kompetenču  pieejā balstītas  vispārējās vidējās izglītības modeļa</w:t>
            </w:r>
            <w:r w:rsidRPr="001351FC" w:rsidR="00055596">
              <w:t xml:space="preserve"> īstenošanā un  nodrošināt atbilstošu </w:t>
            </w:r>
            <w:r w:rsidRPr="001351FC" w:rsidR="00C34D87">
              <w:t xml:space="preserve">finansējumu, pārdalot to </w:t>
            </w:r>
            <w:r w:rsidRPr="001351FC">
              <w:t xml:space="preserve">no </w:t>
            </w:r>
            <w:r w:rsidRPr="001351FC">
              <w:rPr>
                <w:bCs/>
              </w:rPr>
              <w:t>darbības programmā “Izaugsme un nodarbinātība”</w:t>
            </w:r>
            <w:r w:rsidRPr="001351FC" w:rsidR="00352BE9">
              <w:rPr>
                <w:bCs/>
              </w:rPr>
              <w:t xml:space="preserve"> paredzētajiem līdzekļiem </w:t>
            </w:r>
            <w:r w:rsidRPr="001351FC" w:rsidR="00352BE9">
              <w:t>8.3.3. specifiskā atbalsta mērķim</w:t>
            </w:r>
            <w:r w:rsidRPr="001351FC" w:rsidR="00C34D87">
              <w:t xml:space="preserve"> “</w:t>
            </w:r>
            <w:r w:rsidRPr="001351FC" w:rsidR="00C34D87">
              <w:rPr>
                <w:rFonts w:eastAsia="Times New Roman"/>
              </w:rPr>
              <w:t>Attīstīt NVA nereģistrēto NEET jauniešu prasmes un veicināt to iesaisti izglītībā, NVA īstenotajos pasākumos Jauniešu garantijas ietvaros un nevalstisko organizāciju vai jauniešu centru darbībā</w:t>
            </w:r>
            <w:r w:rsidRPr="001351FC" w:rsidR="00C34D87">
              <w:t xml:space="preserve">” </w:t>
            </w:r>
            <w:r w:rsidRPr="001351FC" w:rsidR="00AF60F9">
              <w:rPr>
                <w:rFonts w:eastAsia="Times New Roman"/>
              </w:rPr>
              <w:t>(turpmāk – 8.3.3</w:t>
            </w:r>
            <w:r w:rsidRPr="001351FC" w:rsidR="00C34D87">
              <w:rPr>
                <w:rFonts w:eastAsia="Times New Roman"/>
              </w:rPr>
              <w:t>.SAM)</w:t>
            </w:r>
            <w:r w:rsidRPr="001351FC" w:rsidR="00C34D87">
              <w:t xml:space="preserve"> un</w:t>
            </w:r>
            <w:r w:rsidRPr="001351FC" w:rsidR="00352BE9">
              <w:t xml:space="preserve"> 8.3.4.specifiskā atbalsta mērķim</w:t>
            </w:r>
            <w:r w:rsidRPr="001351FC" w:rsidR="00C34D87">
              <w:t xml:space="preserve"> </w:t>
            </w:r>
            <w:r w:rsidRPr="001351FC" w:rsidR="00C34D87">
              <w:rPr>
                <w:rFonts w:eastAsia="Times New Roman"/>
              </w:rPr>
              <w:t>“Samazināt priekšlaicīgu mācību pārtraukšanu, īstenojot preventīvus un intervences pasākumus” (turpmāk – 8.3.4.SAM)</w:t>
            </w:r>
            <w:r w:rsidRPr="001351FC" w:rsidR="00C34D87">
              <w:t>.</w:t>
            </w:r>
            <w:r w:rsidRPr="001351FC" w:rsidR="00055596">
              <w:t xml:space="preserve"> </w:t>
            </w:r>
            <w:r w:rsidRPr="001351FC" w:rsidR="00C34D87">
              <w:t>Noteikumu projekta</w:t>
            </w:r>
            <w:r w:rsidRPr="001351FC" w:rsidR="00055596">
              <w:t xml:space="preserve"> spēkā </w:t>
            </w:r>
            <w:r w:rsidRPr="001351FC" w:rsidR="00C34D87">
              <w:t xml:space="preserve">stāšanās laiks ir </w:t>
            </w:r>
            <w:r w:rsidRPr="001351FC" w:rsidR="00055596">
              <w:t xml:space="preserve">šā gada </w:t>
            </w:r>
            <w:r w:rsidR="006260FC">
              <w:t>marts</w:t>
            </w:r>
            <w:r w:rsidRPr="001351FC" w:rsidR="00055596">
              <w:t>.</w:t>
            </w:r>
          </w:p>
        </w:tc>
      </w:tr>
    </w:tbl>
    <w:p w:rsidR="000952B3" w:rsidRPr="001351FC" w:rsidP="001351FC" w14:paraId="11611092" w14:textId="77777777"/>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379"/>
        <w:gridCol w:w="5987"/>
      </w:tblGrid>
      <w:tr w14:paraId="57FE3E7E" w14:textId="77777777" w:rsidTr="00DB3879">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B3" w:rsidRPr="001351FC" w:rsidP="001351FC" w14:paraId="53C56D48" w14:textId="77777777">
            <w:pPr>
              <w:pStyle w:val="ListParagraph"/>
              <w:tabs>
                <w:tab w:val="left" w:pos="2268"/>
                <w:tab w:val="left" w:pos="2410"/>
              </w:tabs>
              <w:ind w:left="1080"/>
              <w:jc w:val="center"/>
              <w:rPr>
                <w:b/>
                <w:sz w:val="24"/>
                <w:szCs w:val="24"/>
                <w:lang w:eastAsia="en-US"/>
              </w:rPr>
            </w:pPr>
            <w:r w:rsidRPr="001351FC">
              <w:rPr>
                <w:b/>
                <w:bCs/>
                <w:sz w:val="24"/>
                <w:szCs w:val="24"/>
              </w:rPr>
              <w:t>I. Tiesību akta projekta izstrādes nepieciešamība</w:t>
            </w:r>
          </w:p>
        </w:tc>
      </w:tr>
      <w:tr w14:paraId="64D4EB35" w14:textId="77777777" w:rsidTr="00DB3879">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4FB051B9" w14:textId="77777777">
            <w:pPr>
              <w:jc w:val="center"/>
              <w:rPr>
                <w:lang w:eastAsia="en-US"/>
              </w:rPr>
            </w:pPr>
            <w:r w:rsidRPr="001351FC">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3A3BF9E7" w14:textId="77777777">
            <w:pPr>
              <w:tabs>
                <w:tab w:val="left" w:pos="1904"/>
              </w:tabs>
              <w:rPr>
                <w:lang w:eastAsia="en-US"/>
              </w:rPr>
            </w:pPr>
            <w:r w:rsidRPr="001351F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rsidR="00055596" w:rsidRPr="001351FC" w:rsidP="001351FC" w14:paraId="29EEE8A3" w14:textId="77777777">
            <w:pPr>
              <w:jc w:val="both"/>
              <w:rPr>
                <w:rFonts w:eastAsia="Times New Roman"/>
              </w:rPr>
            </w:pPr>
            <w:r w:rsidRPr="001351FC">
              <w:rPr>
                <w:rFonts w:eastAsia="Times New Roman"/>
              </w:rPr>
              <w:t>Eiropas Savienības struktūrfondu un Kohēzijas fonda 2014.-2020.gada plānošanas perioda vadības likuma 20.panta 6. un 13.punkts.</w:t>
            </w:r>
          </w:p>
          <w:p w:rsidR="000952B3" w:rsidRPr="001351FC" w:rsidP="001351FC" w14:paraId="4D5F8743" w14:textId="77777777">
            <w:pPr>
              <w:tabs>
                <w:tab w:val="left" w:pos="317"/>
              </w:tabs>
              <w:jc w:val="both"/>
            </w:pPr>
            <w:r w:rsidRPr="001351FC">
              <w:rPr>
                <w:rFonts w:eastAsia="Times New Roman"/>
              </w:rPr>
              <w:t xml:space="preserve">Informatīvais ziņojums “Par pāreju uz mācībām valsts valodā vispārējās izglītības iestādēs”  (Ministru kabineta 2017.gada 5.decembra sēdes </w:t>
            </w:r>
            <w:r w:rsidRPr="001351FC">
              <w:rPr>
                <w:rFonts w:eastAsia="Times New Roman"/>
              </w:rPr>
              <w:t>protokollēmuma</w:t>
            </w:r>
            <w:r w:rsidRPr="001351FC">
              <w:rPr>
                <w:rFonts w:eastAsia="Times New Roman"/>
              </w:rPr>
              <w:t xml:space="preserve"> Nr.60 </w:t>
            </w:r>
            <w:bookmarkStart w:id="0" w:name="35"/>
            <w:r w:rsidRPr="001351FC">
              <w:rPr>
                <w:rFonts w:eastAsia="Times New Roman"/>
              </w:rPr>
              <w:t>35.§</w:t>
            </w:r>
            <w:bookmarkEnd w:id="0"/>
            <w:r w:rsidRPr="001351FC">
              <w:rPr>
                <w:rFonts w:eastAsia="Times New Roman"/>
              </w:rPr>
              <w:t>).</w:t>
            </w:r>
          </w:p>
        </w:tc>
      </w:tr>
      <w:tr w14:paraId="0CFF28F5" w14:textId="77777777" w:rsidTr="00DB3879">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5750303C" w14:textId="77777777">
            <w:pPr>
              <w:jc w:val="center"/>
              <w:rPr>
                <w:lang w:eastAsia="en-US"/>
              </w:rPr>
            </w:pPr>
            <w:r w:rsidRPr="001351FC">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3A5761C9" w14:textId="77777777">
            <w:pPr>
              <w:jc w:val="both"/>
              <w:rPr>
                <w:lang w:eastAsia="en-US"/>
              </w:rPr>
            </w:pPr>
            <w:r w:rsidRPr="001351FC">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454F3CC1" w14:textId="77777777">
            <w:pPr>
              <w:jc w:val="both"/>
              <w:rPr>
                <w:rFonts w:eastAsia="Times New Roman"/>
              </w:rPr>
            </w:pPr>
            <w:r w:rsidRPr="001351FC">
              <w:rPr>
                <w:rFonts w:eastAsia="Times New Roman"/>
              </w:rPr>
              <w:t>Noteikumu projekts  paredz:</w:t>
            </w:r>
          </w:p>
          <w:p w:rsidR="00055596" w:rsidRPr="001351FC" w:rsidP="001351FC" w14:paraId="0BDA7EB3" w14:textId="77777777">
            <w:pPr>
              <w:numPr>
                <w:ilvl w:val="0"/>
                <w:numId w:val="6"/>
              </w:numPr>
              <w:tabs>
                <w:tab w:val="left" w:pos="238"/>
              </w:tabs>
              <w:ind w:left="-45" w:firstLine="0"/>
              <w:jc w:val="both"/>
              <w:rPr>
                <w:rFonts w:eastAsia="Times New Roman"/>
              </w:rPr>
            </w:pPr>
            <w:r w:rsidRPr="001351FC">
              <w:rPr>
                <w:rFonts w:eastAsia="Times New Roman"/>
              </w:rPr>
              <w:t>finansējuma apmēra palielināšanu papildu darbību veikšanai;</w:t>
            </w:r>
          </w:p>
          <w:p w:rsidR="00055596" w:rsidRPr="001351FC" w:rsidP="001351FC" w14:paraId="583B508C" w14:textId="77777777">
            <w:pPr>
              <w:numPr>
                <w:ilvl w:val="0"/>
                <w:numId w:val="6"/>
              </w:numPr>
              <w:ind w:left="238" w:hanging="283"/>
              <w:jc w:val="both"/>
              <w:rPr>
                <w:rFonts w:eastAsia="Times New Roman"/>
              </w:rPr>
            </w:pPr>
            <w:r w:rsidRPr="001351FC">
              <w:rPr>
                <w:rFonts w:eastAsia="Times New Roman"/>
              </w:rPr>
              <w:t>starpposma finanšu rādītāja palielināšanu;</w:t>
            </w:r>
          </w:p>
          <w:p w:rsidR="00055596" w:rsidRPr="001351FC" w:rsidP="001351FC" w14:paraId="768DFB8C" w14:textId="77777777">
            <w:pPr>
              <w:numPr>
                <w:ilvl w:val="0"/>
                <w:numId w:val="6"/>
              </w:numPr>
              <w:ind w:left="238" w:hanging="283"/>
              <w:jc w:val="both"/>
              <w:rPr>
                <w:rFonts w:eastAsia="Times New Roman"/>
              </w:rPr>
            </w:pPr>
            <w:r w:rsidRPr="001351FC">
              <w:rPr>
                <w:rFonts w:eastAsia="Times New Roman"/>
              </w:rPr>
              <w:t>jaunā satura ieviešanas grafika izmaiņas.</w:t>
            </w:r>
          </w:p>
          <w:p w:rsidR="00055596" w:rsidRPr="001351FC" w:rsidP="001351FC" w14:paraId="3FF83141" w14:textId="12D99350">
            <w:pPr>
              <w:jc w:val="both"/>
              <w:rPr>
                <w:rFonts w:eastAsia="Times New Roman"/>
              </w:rPr>
            </w:pPr>
            <w:r w:rsidRPr="001351FC">
              <w:rPr>
                <w:rFonts w:eastAsia="Times New Roman"/>
                <w:b/>
              </w:rPr>
              <w:t>1. Finansējuma apmēra palielināšana papildu darbību veikšanai.</w:t>
            </w:r>
            <w:r w:rsidRPr="001351FC">
              <w:rPr>
                <w:rFonts w:eastAsia="Times New Roman"/>
              </w:rPr>
              <w:t xml:space="preserve"> </w:t>
            </w:r>
            <w:r w:rsidRPr="00273E66" w:rsidR="001F097E">
              <w:rPr>
                <w:rFonts w:eastAsia="Times New Roman"/>
              </w:rPr>
              <w:t>No 2017.gada 25.septembra līdz 2018.gada 1.februārim</w:t>
            </w:r>
            <w:r w:rsidR="001F097E">
              <w:rPr>
                <w:rFonts w:eastAsia="Times New Roman"/>
              </w:rPr>
              <w:t xml:space="preserve"> </w:t>
            </w:r>
            <w:r w:rsidRPr="001351FC">
              <w:rPr>
                <w:rFonts w:eastAsia="Times New Roman"/>
              </w:rPr>
              <w:t xml:space="preserve">sabiedriskai apspriešanai tika nodots kompetenču pieejā balstītais vispārējās vidējās izglītības modelis. Jaunā satura izstrādes un sabiedriskās apspriešanas laikā ir konstatēta nepieciešamība veikt papildu darbības </w:t>
            </w:r>
            <w:r w:rsidRPr="001351FC">
              <w:rPr>
                <w:rFonts w:eastAsia="Times New Roman"/>
              </w:rPr>
              <w:t>8.3.1.specifiskā atbalsta mērķa “Attīstīt kompetenču pieejā balstītu vispārējās izglītības saturu” 8.3.1.1.pasākuma “Kompetenču pieejā balstīta vispārējās izglītības satura aprobācija un ieviešana” projekta “Kompetenču pieeja mācību saturā” (turpmāk – 8.3.1.SAM projekts) ietvaros:</w:t>
            </w:r>
          </w:p>
          <w:p w:rsidR="00055596" w:rsidRPr="00273E66" w:rsidP="001351FC" w14:paraId="2F866D25" w14:textId="77777777">
            <w:pPr>
              <w:jc w:val="both"/>
              <w:rPr>
                <w:rFonts w:eastAsia="Times New Roman"/>
              </w:rPr>
            </w:pPr>
            <w:r w:rsidRPr="001351FC">
              <w:rPr>
                <w:rFonts w:eastAsia="Times New Roman"/>
              </w:rPr>
              <w:t>1) mācību satura izstrādei vispārējā vidējā izglītībā mācību satura apguvei augstākajā līmenī, ņemot vērā, ka projekta ietvaros izstrādātais mācību saturs paredz iespēju vidējo izglītību apgūt trīs līmeņos: pamata, optimālajā un augstākajā līmenī. Šobrīd ir izstrādāts mācību saturs vidējās izglītības apguvei pamata un optimālajā līmenī. Mācību satura izstrādes laikā ar iesaistītajām pusēm ir apspriests vidējās izglītības organizācijas modelis, kas paredz, ka vidējās izglītības pakāpē notiek individualizēta iedziļināšanās šaurākā mācību jomu lokā, dodot iespēju skolēniem iedziļināties un specializēties, samazinot apgūsta</w:t>
            </w:r>
            <w:r w:rsidRPr="001351FC" w:rsidR="000F2179">
              <w:rPr>
                <w:rFonts w:eastAsia="Times New Roman"/>
              </w:rPr>
              <w:t>mo mācību priekšmetu skaitu, un apgūstot tos padziļināti</w:t>
            </w:r>
            <w:r w:rsidRPr="001351FC">
              <w:rPr>
                <w:rFonts w:eastAsia="Times New Roman"/>
              </w:rPr>
              <w:t xml:space="preserve"> atbilstoši savām interesēm un nākotnes iecerēm. Lai to nodrošinātu projekta ietvaros, kura rezultātā plānots apstiprināt jaunu vispārējās vidējās izglītības standartu, vidējās izglītības mācību satura izstrādei augstākajā līmenī ir nepieciešams </w:t>
            </w:r>
            <w:r w:rsidRPr="00273E66">
              <w:rPr>
                <w:rFonts w:eastAsia="Times New Roman"/>
              </w:rPr>
              <w:t>papildu finansējums</w:t>
            </w:r>
            <w:r w:rsidRPr="00273E66" w:rsidR="002C22BE">
              <w:rPr>
                <w:rFonts w:eastAsia="Times New Roman"/>
              </w:rPr>
              <w:t>,</w:t>
            </w:r>
            <w:r w:rsidRPr="00273E66" w:rsidR="00CF5953">
              <w:rPr>
                <w:rFonts w:eastAsia="Times New Roman"/>
              </w:rPr>
              <w:t xml:space="preserve"> indikatīvi 287 280 </w:t>
            </w:r>
            <w:r w:rsidRPr="00273E66" w:rsidR="00CF5953">
              <w:rPr>
                <w:rFonts w:eastAsia="Times New Roman"/>
                <w:i/>
              </w:rPr>
              <w:t>euro</w:t>
            </w:r>
            <w:r w:rsidRPr="00273E66" w:rsidR="00CF5953">
              <w:rPr>
                <w:rFonts w:eastAsia="Times New Roman"/>
              </w:rPr>
              <w:t xml:space="preserve"> apmērā</w:t>
            </w:r>
            <w:r w:rsidRPr="00273E66">
              <w:rPr>
                <w:rFonts w:eastAsia="Times New Roman"/>
              </w:rPr>
              <w:t>;</w:t>
            </w:r>
          </w:p>
          <w:p w:rsidR="00B77F99" w:rsidRPr="00273E66" w:rsidP="001351FC" w14:paraId="5315F8CF" w14:textId="77777777">
            <w:pPr>
              <w:jc w:val="both"/>
              <w:rPr>
                <w:rFonts w:eastAsia="Times New Roman"/>
              </w:rPr>
            </w:pPr>
            <w:r w:rsidRPr="00273E66">
              <w:rPr>
                <w:rFonts w:eastAsia="Times New Roman"/>
              </w:rPr>
              <w:t>2) pedagogu profesionālajai pilnveidei un sabiedrības informēšanas pasākumiem, lai nodrošinātu kompetenču pieejā veidotā mācību satura un pieejas ieviešanu pirm</w:t>
            </w:r>
            <w:r w:rsidRPr="00273E66">
              <w:rPr>
                <w:rFonts w:eastAsia="Times New Roman"/>
              </w:rPr>
              <w:t>sskolās un skolās visā Latvijā.</w:t>
            </w:r>
          </w:p>
          <w:p w:rsidR="00CF5953" w:rsidRPr="00273E66" w:rsidP="001351FC" w14:paraId="0CF70B46" w14:textId="77777777">
            <w:pPr>
              <w:jc w:val="both"/>
              <w:rPr>
                <w:rFonts w:eastAsia="Times New Roman"/>
              </w:rPr>
            </w:pPr>
            <w:r w:rsidRPr="00273E66">
              <w:rPr>
                <w:rFonts w:eastAsia="Times New Roman"/>
              </w:rPr>
              <w:t xml:space="preserve">Kopumā sabiedrības informēšanas pasākumu īstenošanai indikatīvi nepieciešamais finansējums ir 210 500 </w:t>
            </w:r>
            <w:r w:rsidRPr="00273E66">
              <w:rPr>
                <w:rFonts w:eastAsia="Times New Roman"/>
                <w:i/>
              </w:rPr>
              <w:t>euro</w:t>
            </w:r>
            <w:r w:rsidRPr="00273E66">
              <w:rPr>
                <w:rFonts w:eastAsia="Times New Roman"/>
              </w:rPr>
              <w:t xml:space="preserve">, paredzot gan publiskās apspriešanas papildu pasākumus izstrādātā mācību satura pilnveidei un iekļaušanai standartos, gan sabiedrības informēšanas kampaņas ar </w:t>
            </w:r>
            <w:r w:rsidRPr="00273E66" w:rsidR="00704DDD">
              <w:rPr>
                <w:rFonts w:eastAsia="Times New Roman"/>
              </w:rPr>
              <w:t>mediju</w:t>
            </w:r>
            <w:r w:rsidRPr="00273E66">
              <w:rPr>
                <w:rFonts w:eastAsia="Times New Roman"/>
              </w:rPr>
              <w:t xml:space="preserve"> iesaisti, tai skaitā izglītojošus un informatīvus pasākumus izglītojamo vecākiem mācību satura sekmīgai ieviešanas uzsākšanai, ņemot vērā, ka sabiedrības izpratnei par jauno saturu ir liela nozīme tā ieviešanai izglītības sistēmā un tās ietvaros arī 8.3.1.SAM projekta mērķu un definēto rādītāju sasniegšanā.</w:t>
            </w:r>
          </w:p>
          <w:p w:rsidR="00704DDD" w:rsidRPr="00273E66" w:rsidP="00B77F99" w14:paraId="7C782962" w14:textId="5493E493">
            <w:pPr>
              <w:jc w:val="both"/>
              <w:rPr>
                <w:rFonts w:eastAsia="Times New Roman"/>
              </w:rPr>
            </w:pPr>
            <w:r w:rsidRPr="00273E66">
              <w:rPr>
                <w:rFonts w:eastAsia="Times New Roman"/>
              </w:rPr>
              <w:t>Lai nodrošinātu vispārējās izglītības obligātā satura aprakstam atbilstošu mācību satura ieviešanu pirmsskolas izglītības, pamatizglītības un vidējās izglītības pakāpē, nepieciešams veidot skaidrojošus materiālus un īstenot daudzveidīgas informatīvas aktivitātes, tai skaitā, ar mediju iesaisti, iesaistītajām pusēm –</w:t>
            </w:r>
            <w:r w:rsidRPr="00273E66" w:rsidR="001F097E">
              <w:rPr>
                <w:rFonts w:eastAsia="Times New Roman"/>
              </w:rPr>
              <w:t xml:space="preserve"> izglītības iestāžu, tai skaitā pirmsskolas izglītības iestāžu,</w:t>
            </w:r>
            <w:r w:rsidRPr="00273E66">
              <w:rPr>
                <w:rFonts w:eastAsia="Times New Roman"/>
              </w:rPr>
              <w:t xml:space="preserve"> pedagogiem, vecākiem, augstskolām, darba devējiem, plašākai sabiedrībai. Kompetenču pieejā balstītas vispārējās izglītības satura </w:t>
            </w:r>
            <w:r w:rsidRPr="00273E66">
              <w:rPr>
                <w:rFonts w:eastAsia="Times New Roman"/>
              </w:rPr>
              <w:t xml:space="preserve">sekmīgai īstenošanai nepieciešams: (a) precīzi un atbilstīgi pedagogu mācību jomai un profilam skaidrot konkrētas atšķirības un uzsvarus pilnveidotajā saturā un pieejā, tai skaitā, demonstrējot labos piemērus tam, kā tas var izskatīties klasē; (b) bērnu un jauniešu vecākiem skaidrot satura izmaiņu nepieciešamību un konkrētās izmaiņas, ko piedzīvos viņu bērni mācībās; (c) informēt plašāku sabiedrību par izmaiņu nepieciešamību un pilnveidotā satura un pieejas būtību. </w:t>
            </w:r>
          </w:p>
          <w:p w:rsidR="00704DDD" w:rsidRPr="00273E66" w:rsidP="00B77F99" w14:paraId="28D89435" w14:textId="6616013C">
            <w:pPr>
              <w:jc w:val="both"/>
              <w:rPr>
                <w:rFonts w:eastAsia="Times New Roman"/>
              </w:rPr>
            </w:pPr>
            <w:r w:rsidRPr="00273E66">
              <w:rPr>
                <w:rFonts w:eastAsia="Times New Roman"/>
              </w:rPr>
              <w:t xml:space="preserve">Ņemot vērā minēto, papildu finansējums nepieciešams, lai (a) veidotu skaidrojošus materiālus un izplatītu labās prakses piemērus pedagogiem; (b) veidotu skaidrojošus materiālus vecākiem, kurus izplatītu gan ar mediju starpniecību, tai skaitā, sociālo mediju, gan </w:t>
            </w:r>
            <w:r w:rsidRPr="00273E66" w:rsidR="001F097E">
              <w:rPr>
                <w:rFonts w:eastAsia="Times New Roman"/>
              </w:rPr>
              <w:t xml:space="preserve">arī </w:t>
            </w:r>
            <w:r w:rsidRPr="00273E66">
              <w:rPr>
                <w:rFonts w:eastAsia="Times New Roman"/>
              </w:rPr>
              <w:t xml:space="preserve">caur </w:t>
            </w:r>
            <w:r w:rsidRPr="00273E66" w:rsidR="001F097E">
              <w:rPr>
                <w:rFonts w:eastAsia="Times New Roman"/>
              </w:rPr>
              <w:t>izglītības iestādēm</w:t>
            </w:r>
            <w:r w:rsidRPr="00273E66">
              <w:rPr>
                <w:rFonts w:eastAsia="Times New Roman"/>
              </w:rPr>
              <w:t xml:space="preserve"> pedagogu lietošanai un izskaidrojoša darba veikšanai; (c) īstenotu plašāku vecāku un sabiedrības informēšanas kampaņu ar mediju starpniecību, aktualizējot satura un pieejas izmaiņas jautājumus pirms katra jaunā mācību gada sākuma, uzsākot ieviešanu attiecīgajā izglītības pakāpē. </w:t>
            </w:r>
          </w:p>
          <w:p w:rsidR="00704DDD" w:rsidRPr="00273E66" w:rsidP="00B77F99" w14:paraId="17BA759F" w14:textId="71AE9AED">
            <w:pPr>
              <w:jc w:val="both"/>
              <w:rPr>
                <w:rFonts w:eastAsia="Times New Roman"/>
              </w:rPr>
            </w:pPr>
            <w:r w:rsidRPr="00273E66">
              <w:rPr>
                <w:rFonts w:eastAsia="Times New Roman"/>
              </w:rPr>
              <w:t xml:space="preserve">Lai veidotu iesaistīto pušu izpratni un atbalstu pārmaiņām, kā arī lai atbalstītu </w:t>
            </w:r>
            <w:r w:rsidRPr="00273E66" w:rsidR="001F097E">
              <w:rPr>
                <w:rFonts w:eastAsia="Times New Roman"/>
              </w:rPr>
              <w:t>izglītības iestādes, tai skaitā</w:t>
            </w:r>
            <w:r w:rsidRPr="00273E66">
              <w:rPr>
                <w:rFonts w:eastAsia="Times New Roman"/>
              </w:rPr>
              <w:t xml:space="preserve"> pirmsskolas </w:t>
            </w:r>
            <w:r w:rsidRPr="00273E66" w:rsidR="001F097E">
              <w:rPr>
                <w:rFonts w:eastAsia="Times New Roman"/>
              </w:rPr>
              <w:t xml:space="preserve">izglītības iestādes, </w:t>
            </w:r>
            <w:r w:rsidRPr="00273E66">
              <w:rPr>
                <w:rFonts w:eastAsia="Times New Roman"/>
              </w:rPr>
              <w:t xml:space="preserve">skaidrojoša darba veikšanā savu bērnu un </w:t>
            </w:r>
            <w:r w:rsidRPr="00273E66" w:rsidR="001F097E">
              <w:rPr>
                <w:rFonts w:eastAsia="Times New Roman"/>
              </w:rPr>
              <w:t>izglītojamo</w:t>
            </w:r>
            <w:r w:rsidRPr="00273E66">
              <w:rPr>
                <w:rFonts w:eastAsia="Times New Roman"/>
              </w:rPr>
              <w:t xml:space="preserve"> vecākiem, informācijas kampaņu nepieciešams īstenot divos posmos – 2018.gada laikā, jo no 2018.gada septembra sākas jaunā satura un pieejas pakāpeniska ieviešana pirmsskolā, un 2019.gada laikā, jo no 2019.gada septembra sākas tā pakāpeniska ieviešana skolās. </w:t>
            </w:r>
          </w:p>
          <w:p w:rsidR="00704DDD" w:rsidRPr="00273E66" w:rsidP="00B77F99" w14:paraId="673F095C" w14:textId="693B546B">
            <w:pPr>
              <w:jc w:val="both"/>
              <w:rPr>
                <w:rFonts w:eastAsia="Times New Roman"/>
              </w:rPr>
            </w:pPr>
            <w:r w:rsidRPr="00273E66">
              <w:rPr>
                <w:rFonts w:eastAsia="Times New Roman"/>
              </w:rPr>
              <w:t xml:space="preserve">Neveicot šādu skaidrojošu darbu, pastāv nozīmīgs risks, ka jaunais saturs un pieeja netiek sekmīgi ieviesta, jo to neizprot iesaistītās puses vai izprot tikai virspusēji, tādēļ īstenošanai nav plānotā efekta. Rezultātā bērniem un </w:t>
            </w:r>
            <w:r w:rsidRPr="00273E66" w:rsidR="001F097E">
              <w:rPr>
                <w:rFonts w:eastAsia="Times New Roman"/>
              </w:rPr>
              <w:t>izglītojamajiem</w:t>
            </w:r>
            <w:r w:rsidRPr="00273E66">
              <w:rPr>
                <w:rFonts w:eastAsia="Times New Roman"/>
              </w:rPr>
              <w:t xml:space="preserve"> netiek dotas pilnvērtīgas iespējas attīstīt nepieciešamās kompetences.</w:t>
            </w:r>
          </w:p>
          <w:p w:rsidR="00704DDD" w:rsidRPr="00273E66" w:rsidP="00B77F99" w14:paraId="7856FBE4" w14:textId="7102E285">
            <w:pPr>
              <w:jc w:val="both"/>
              <w:rPr>
                <w:rFonts w:eastAsia="Times New Roman"/>
              </w:rPr>
            </w:pPr>
            <w:r w:rsidRPr="00273E66">
              <w:rPr>
                <w:rFonts w:eastAsia="Times New Roman"/>
              </w:rPr>
              <w:t xml:space="preserve">Savukārt mācību satura publiskās apspriešanas pasākumi nepieciešami, lai uzklausītu dažādu izglītības saturā ieinteresēto pārstāvju - nevalstisko organizāciju, uzņēmēju, augstskolu docētāju, zinātnieku, </w:t>
            </w:r>
            <w:r w:rsidRPr="00273E66" w:rsidR="007B1CFF">
              <w:rPr>
                <w:rFonts w:eastAsia="Times New Roman"/>
              </w:rPr>
              <w:t>izglītojamo</w:t>
            </w:r>
            <w:r w:rsidRPr="00273E66">
              <w:rPr>
                <w:rFonts w:eastAsia="Times New Roman"/>
              </w:rPr>
              <w:t xml:space="preserve">, vecāku, u.c. - viedokļus par izstrādāto mācību saturu, priekšlikumus tā pilnveidei, kā arī dotu iespēju cilvēkiem ar dažādiem viedokļiem diskutēt par mācību saturu un kopīgi vienoties par labākajiem risinājumiem. Tā ir iespēja satura veidotājiem atbildēt uz konkrētiem jautājumiem par plānotajām izmaiņām mācību saturā un pieejām tā ieviešanā, forumu tematus izvēloties, ņemot vērā projektam uzdotos jautājumus, iesniegtos pretrunīgos priekšlikumus saistībā ar mācību saturu un daudzu interesentu aicinājumus uz tikšanos </w:t>
            </w:r>
            <w:r w:rsidRPr="00273E66">
              <w:rPr>
                <w:rFonts w:eastAsia="Times New Roman"/>
              </w:rPr>
              <w:t>dažādu organizāciju, uzņēmumu un institūciju organizētajos pasākumos.</w:t>
            </w:r>
          </w:p>
          <w:p w:rsidR="00055596" w:rsidRPr="00273E66" w:rsidP="001351FC" w14:paraId="3C0A4221" w14:textId="77777777">
            <w:pPr>
              <w:jc w:val="both"/>
              <w:rPr>
                <w:rFonts w:eastAsia="Times New Roman"/>
              </w:rPr>
            </w:pPr>
            <w:r w:rsidRPr="00273E66">
              <w:rPr>
                <w:rFonts w:eastAsia="Times New Roman"/>
              </w:rPr>
              <w:t>Esošā finansējuma ietvaros paredzēts profesionālo pilnveidi jaunā mācību satura ieviešanā nodrošināt kopā 6</w:t>
            </w:r>
            <w:r w:rsidRPr="00273E66" w:rsidR="000A7A0E">
              <w:rPr>
                <w:rFonts w:eastAsia="Times New Roman"/>
              </w:rPr>
              <w:t xml:space="preserve"> </w:t>
            </w:r>
            <w:r w:rsidRPr="00273E66">
              <w:rPr>
                <w:rFonts w:eastAsia="Times New Roman"/>
              </w:rPr>
              <w:t>000 pedagogu, taču jāņem vērā, ka kompetencēs balstīta pieeja mācībām ir jauna pieredze lielai daļai pedagogu, vienlaikus pedagogu gatavība pārmaiņām, pedagogu iepriekšējā pieredze mūsdienu mācību pieeju izmantošanā nozīmīgi atšķiras starp dažādām skolām, kā arī pašvaldību metodiskā atbalsta iespējas savām skolām un pirmsskolām ir ļoti atšķirīga gan resursu, gan kompetenču ziņā. Papildus projektā jau plānotajiem profesionālās kompetences pilnveides pasākumiem aprobācijas izglītības iestādēs atbalsts tiks sniegts pirmsskolas un sākumskolas pedagogu mācībām, kas strādās ar bērniem, kas uzsāks mācības 1.klasē sešu gadu vecumā, kā arī individuālu pedagogu profesionālajai pilnveidei mācību jomās (7 mācību jomas), paredzot profesionālās kompetences pilnveidi papildu 2 400 pedagogiem.</w:t>
            </w:r>
          </w:p>
          <w:p w:rsidR="00276D5D" w:rsidP="001351FC" w14:paraId="7097BFD5" w14:textId="77777777">
            <w:pPr>
              <w:jc w:val="both"/>
              <w:rPr>
                <w:rFonts w:eastAsia="Times New Roman"/>
              </w:rPr>
            </w:pPr>
            <w:r w:rsidRPr="00273E66">
              <w:rPr>
                <w:rFonts w:eastAsia="Times New Roman"/>
              </w:rPr>
              <w:t xml:space="preserve">Papildus tam, paužot viedokli par kompetenču pieejā balstīto vispārējās vidējās izglītības modeli, pedagogi ir norādījuši, ka šāda modeļa īstenošanai lingvistiski neviendabīgā vidē būtu vēlama papildu pedagogu profesionālās kompetences pilnveide. Jaunā mācību satura ieviešanā ļoti nozīmīgs ir arī metodiskais atbalsts un atbilstošu mācību līdzekļu pieejamība. Izstrādātie mācību un metodiskie līdzekļi pilnveidos pedagogu profesionālo kompetenci latviešu valodas kā instrumenta izmantošanai citu mācību priekšmetu satura apguvē un sekmēs skolotāju prasmi darbā ar bērniem, kuriem latviešu valoda nav dzimtā valoda. Minēto grozījumu nepieciešamība ir pamatota Izglītības un zinātnes ministrijas (turpmāk – IZM) informatīvajā ziņojumā “Par pāreju uz mācībām valsts valodā vispārējās izglītības iestādēs”  (Ministru kabineta 2017.gada 5.decembra sēdes </w:t>
            </w:r>
            <w:r w:rsidRPr="00273E66">
              <w:rPr>
                <w:rFonts w:eastAsia="Times New Roman"/>
              </w:rPr>
              <w:t>pro</w:t>
            </w:r>
            <w:r w:rsidRPr="00273E66" w:rsidR="000F2179">
              <w:rPr>
                <w:rFonts w:eastAsia="Times New Roman"/>
              </w:rPr>
              <w:t>tokollēmuma</w:t>
            </w:r>
            <w:r w:rsidRPr="00273E66" w:rsidR="000F2179">
              <w:rPr>
                <w:rFonts w:eastAsia="Times New Roman"/>
              </w:rPr>
              <w:t xml:space="preserve"> Nr.60 35.§). 8.3.1.</w:t>
            </w:r>
            <w:r w:rsidRPr="00273E66">
              <w:rPr>
                <w:rFonts w:eastAsia="Times New Roman"/>
              </w:rPr>
              <w:t>SAM projektā ar Eiropas Sociālā fonda atbalstu plānots pilnveidot profesionālo kompetenci vēl papildu 4 500 pedagogiem jaunā satura ieviešanai lingvistiski neviendabīgā vidē</w:t>
            </w:r>
            <w:r w:rsidRPr="00273E66" w:rsidR="00993742">
              <w:rPr>
                <w:rFonts w:eastAsia="Times New Roman"/>
              </w:rPr>
              <w:t>. K</w:t>
            </w:r>
            <w:r w:rsidRPr="00273E66">
              <w:rPr>
                <w:rFonts w:eastAsia="Times New Roman"/>
              </w:rPr>
              <w:t>op</w:t>
            </w:r>
            <w:r w:rsidRPr="00273E66" w:rsidR="00B15E8C">
              <w:rPr>
                <w:rFonts w:eastAsia="Times New Roman"/>
              </w:rPr>
              <w:t>umā</w:t>
            </w:r>
            <w:r w:rsidRPr="00273E66">
              <w:rPr>
                <w:rFonts w:eastAsia="Times New Roman"/>
              </w:rPr>
              <w:t xml:space="preserve"> papildu atbalsts pedagogu profesionālās kompetences pilnveidei tiks sniegts 6 900 pedagogiem</w:t>
            </w:r>
            <w:r w:rsidRPr="00273E66" w:rsidR="00993742">
              <w:rPr>
                <w:rFonts w:eastAsia="Times New Roman"/>
              </w:rPr>
              <w:t>, šim mērķim</w:t>
            </w:r>
            <w:r w:rsidRPr="00273E66" w:rsidR="00CF5953">
              <w:rPr>
                <w:rFonts w:eastAsia="Times New Roman"/>
              </w:rPr>
              <w:t xml:space="preserve"> paredzot </w:t>
            </w:r>
            <w:r w:rsidRPr="00273E66" w:rsidR="00993742">
              <w:rPr>
                <w:rFonts w:eastAsia="Times New Roman"/>
              </w:rPr>
              <w:t xml:space="preserve">papildu finansējumu </w:t>
            </w:r>
            <w:r w:rsidRPr="00273E66" w:rsidR="00B77F99">
              <w:rPr>
                <w:rFonts w:eastAsia="Times New Roman"/>
              </w:rPr>
              <w:t>indikatīvi 3 623</w:t>
            </w:r>
            <w:r w:rsidRPr="00273E66" w:rsidR="00CF5953">
              <w:rPr>
                <w:rFonts w:eastAsia="Times New Roman"/>
              </w:rPr>
              <w:t> </w:t>
            </w:r>
            <w:r w:rsidRPr="00273E66" w:rsidR="00B77F99">
              <w:rPr>
                <w:rFonts w:eastAsia="Times New Roman"/>
              </w:rPr>
              <w:t>521</w:t>
            </w:r>
            <w:r w:rsidRPr="00273E66" w:rsidR="00CF5953">
              <w:rPr>
                <w:rFonts w:eastAsia="Times New Roman"/>
              </w:rPr>
              <w:t xml:space="preserve"> </w:t>
            </w:r>
            <w:r w:rsidRPr="00273E66" w:rsidR="00CF5953">
              <w:rPr>
                <w:rFonts w:eastAsia="Times New Roman"/>
                <w:i/>
              </w:rPr>
              <w:t>euro</w:t>
            </w:r>
            <w:r w:rsidRPr="00273E66" w:rsidR="00993742">
              <w:rPr>
                <w:rFonts w:eastAsia="Times New Roman"/>
              </w:rPr>
              <w:t xml:space="preserve"> apmērā</w:t>
            </w:r>
            <w:r w:rsidRPr="00273E66">
              <w:rPr>
                <w:rFonts w:eastAsia="Times New Roman"/>
              </w:rPr>
              <w:t>.</w:t>
            </w:r>
          </w:p>
          <w:p w:rsidR="006E2626" w:rsidRPr="00C37BBD" w:rsidP="001351FC" w14:paraId="41165055" w14:textId="07B99BF5">
            <w:pPr>
              <w:jc w:val="both"/>
              <w:rPr>
                <w:rFonts w:eastAsia="Times New Roman"/>
              </w:rPr>
            </w:pPr>
            <w:r w:rsidRPr="00C37BBD">
              <w:rPr>
                <w:rFonts w:eastAsia="Times New Roman"/>
              </w:rPr>
              <w:t xml:space="preserve">Pārējo </w:t>
            </w:r>
            <w:r w:rsidRPr="00C37BBD" w:rsidR="00D71A77">
              <w:rPr>
                <w:rFonts w:eastAsia="Times New Roman"/>
              </w:rPr>
              <w:t xml:space="preserve">papildu </w:t>
            </w:r>
            <w:r w:rsidRPr="00C37BBD">
              <w:rPr>
                <w:rFonts w:eastAsia="Times New Roman"/>
              </w:rPr>
              <w:t>finans</w:t>
            </w:r>
            <w:r w:rsidRPr="00C37BBD" w:rsidR="00D71A77">
              <w:rPr>
                <w:rFonts w:eastAsia="Times New Roman"/>
              </w:rPr>
              <w:t>ējuma daļu</w:t>
            </w:r>
            <w:r w:rsidRPr="00C37BBD">
              <w:rPr>
                <w:rFonts w:eastAsia="Times New Roman"/>
              </w:rPr>
              <w:t xml:space="preserve"> 376 197 </w:t>
            </w:r>
            <w:r w:rsidRPr="00C37BBD">
              <w:rPr>
                <w:rFonts w:eastAsia="Times New Roman"/>
                <w:i/>
              </w:rPr>
              <w:t>euro</w:t>
            </w:r>
            <w:r w:rsidRPr="00C37BBD">
              <w:rPr>
                <w:rFonts w:eastAsia="Times New Roman"/>
              </w:rPr>
              <w:t xml:space="preserve"> apmērā veido projekta vadības izmaksas un netiešās izmaksas, kas saskaņ</w:t>
            </w:r>
            <w:r w:rsidRPr="00C37BBD" w:rsidR="00D71A77">
              <w:rPr>
                <w:rFonts w:eastAsia="Times New Roman"/>
              </w:rPr>
              <w:t>ā ar noteikumu</w:t>
            </w:r>
            <w:r w:rsidRPr="00C37BBD">
              <w:rPr>
                <w:rFonts w:eastAsia="Times New Roman"/>
              </w:rPr>
              <w:t xml:space="preserve"> Nr.670 </w:t>
            </w:r>
            <w:r w:rsidRPr="00C37BBD" w:rsidR="00D71A77">
              <w:rPr>
                <w:rFonts w:eastAsia="Times New Roman"/>
              </w:rPr>
              <w:t xml:space="preserve">28.punktu </w:t>
            </w:r>
            <w:r w:rsidRPr="00C37BBD">
              <w:rPr>
                <w:rFonts w:eastAsia="Times New Roman"/>
              </w:rPr>
              <w:t xml:space="preserve">veido 15% no projekta </w:t>
            </w:r>
            <w:r w:rsidRPr="00C37BBD" w:rsidR="00D71A77">
              <w:rPr>
                <w:rFonts w:eastAsia="Times New Roman"/>
              </w:rPr>
              <w:t>tiešajām attiecināmajām personāla atlīdzības izmaksām, kas veiktas, pamatojoties uz darba līgumu vai rīkojumu par iecelšanu</w:t>
            </w:r>
            <w:r w:rsidRPr="00C37BBD">
              <w:rPr>
                <w:rFonts w:eastAsia="Times New Roman"/>
              </w:rPr>
              <w:t>.</w:t>
            </w:r>
          </w:p>
          <w:p w:rsidR="00F07651" w:rsidRPr="00273E66" w:rsidP="006E6C0E" w14:paraId="4ADEE8BF" w14:textId="281B5C10">
            <w:pPr>
              <w:jc w:val="both"/>
              <w:rPr>
                <w:rFonts w:eastAsia="Times New Roman"/>
                <w:lang w:eastAsia="en-US"/>
              </w:rPr>
            </w:pPr>
            <w:r w:rsidRPr="00273E66">
              <w:rPr>
                <w:rFonts w:eastAsia="Times New Roman"/>
              </w:rPr>
              <w:t xml:space="preserve">Lai nodrošinātu 8.3.1.SAM projekta iznākuma un rezultāta rādītāja sasniegšanu </w:t>
            </w:r>
            <w:r w:rsidRPr="00273E66" w:rsidR="007164D3">
              <w:rPr>
                <w:rFonts w:eastAsia="Times New Roman"/>
              </w:rPr>
              <w:t>atbilstoši jaunā satura izstrādes un sabiedriskās apspriešanas rezultātā definētajiem mērķiem</w:t>
            </w:r>
            <w:r w:rsidRPr="00273E66" w:rsidR="00930F1B">
              <w:rPr>
                <w:rFonts w:eastAsia="Times New Roman"/>
              </w:rPr>
              <w:t xml:space="preserve"> un</w:t>
            </w:r>
            <w:r w:rsidRPr="00273E66" w:rsidR="007164D3">
              <w:rPr>
                <w:rFonts w:eastAsia="Times New Roman"/>
              </w:rPr>
              <w:t xml:space="preserve"> jaunā satura ieviešanas pakāpenisku uzsākšanu ar 2018.gada 1.septembri</w:t>
            </w:r>
            <w:r w:rsidRPr="00273E66" w:rsidR="00930F1B">
              <w:rPr>
                <w:rFonts w:eastAsia="Times New Roman"/>
              </w:rPr>
              <w:t>, kā arī lai</w:t>
            </w:r>
            <w:r w:rsidRPr="00273E66">
              <w:rPr>
                <w:rFonts w:eastAsia="Times New Roman"/>
              </w:rPr>
              <w:t xml:space="preserve"> </w:t>
            </w:r>
            <w:r w:rsidRPr="00273E66" w:rsidR="007164D3">
              <w:rPr>
                <w:rFonts w:eastAsia="Times New Roman"/>
              </w:rPr>
              <w:t xml:space="preserve">veicinātu </w:t>
            </w:r>
            <w:r w:rsidRPr="00273E66">
              <w:rPr>
                <w:rFonts w:eastAsia="Times New Roman"/>
              </w:rPr>
              <w:t>Eiropas Sociālā fonda apguvi, minētās</w:t>
            </w:r>
            <w:r w:rsidRPr="00273E66" w:rsidR="00055596">
              <w:rPr>
                <w:rFonts w:eastAsia="Times New Roman"/>
              </w:rPr>
              <w:t xml:space="preserve"> papildu darbības plānots īstenot četrus gadus no 2018.gada 1.janvāra</w:t>
            </w:r>
            <w:r w:rsidRPr="00273E66">
              <w:rPr>
                <w:rFonts w:eastAsia="Times New Roman"/>
              </w:rPr>
              <w:t xml:space="preserve"> līdz 8.3.1.SAM projekta īstenošanas beigām. </w:t>
            </w:r>
            <w:r w:rsidRPr="00273E66" w:rsidR="001B348C">
              <w:rPr>
                <w:rFonts w:eastAsia="Times New Roman"/>
              </w:rPr>
              <w:t>Ņ</w:t>
            </w:r>
            <w:r w:rsidRPr="00273E66" w:rsidR="00D27C0A">
              <w:rPr>
                <w:rFonts w:eastAsia="Times New Roman"/>
                <w:lang w:eastAsia="en-US"/>
              </w:rPr>
              <w:t>emot vērā, ka jaun</w:t>
            </w:r>
            <w:r w:rsidRPr="00273E66" w:rsidR="00E263CE">
              <w:rPr>
                <w:rFonts w:eastAsia="Times New Roman"/>
                <w:lang w:eastAsia="en-US"/>
              </w:rPr>
              <w:t>ais saturs tiks</w:t>
            </w:r>
            <w:r w:rsidRPr="00273E66" w:rsidR="00D27C0A">
              <w:rPr>
                <w:rFonts w:eastAsia="Times New Roman"/>
                <w:lang w:eastAsia="en-US"/>
              </w:rPr>
              <w:t xml:space="preserve"> iekļau</w:t>
            </w:r>
            <w:r w:rsidRPr="00273E66" w:rsidR="00E263CE">
              <w:rPr>
                <w:rFonts w:eastAsia="Times New Roman"/>
                <w:lang w:eastAsia="en-US"/>
              </w:rPr>
              <w:t>ts</w:t>
            </w:r>
            <w:r w:rsidRPr="00273E66" w:rsidR="00D27C0A">
              <w:rPr>
                <w:rFonts w:eastAsia="Times New Roman"/>
                <w:lang w:eastAsia="en-US"/>
              </w:rPr>
              <w:t xml:space="preserve"> </w:t>
            </w:r>
            <w:r w:rsidRPr="00273E66" w:rsidR="00297863">
              <w:rPr>
                <w:rFonts w:eastAsia="Times New Roman"/>
                <w:lang w:eastAsia="en-US"/>
              </w:rPr>
              <w:t>vispārējās izglītības s</w:t>
            </w:r>
            <w:r w:rsidRPr="00273E66" w:rsidR="00D27C0A">
              <w:rPr>
                <w:rFonts w:eastAsia="Times New Roman"/>
                <w:lang w:eastAsia="en-US"/>
              </w:rPr>
              <w:t xml:space="preserve">tandartos, kurus saskaņā ar </w:t>
            </w:r>
            <w:r w:rsidRPr="00273E66" w:rsidR="00297863">
              <w:rPr>
                <w:rFonts w:eastAsia="Times New Roman"/>
                <w:lang w:eastAsia="en-US"/>
              </w:rPr>
              <w:t xml:space="preserve">Ministru kabineta 2017.gada 5.decembra sēdes </w:t>
            </w:r>
            <w:r w:rsidRPr="00273E66" w:rsidR="00297863">
              <w:rPr>
                <w:rFonts w:eastAsia="Times New Roman"/>
                <w:lang w:eastAsia="en-US"/>
              </w:rPr>
              <w:t>protokollēmuma</w:t>
            </w:r>
            <w:r w:rsidRPr="00273E66" w:rsidR="00297863">
              <w:rPr>
                <w:rFonts w:eastAsia="Times New Roman"/>
                <w:lang w:eastAsia="en-US"/>
              </w:rPr>
              <w:t xml:space="preserve"> Nr.60 35.§ 3.punktu</w:t>
            </w:r>
            <w:r w:rsidRPr="00273E66" w:rsidR="00D27C0A">
              <w:rPr>
                <w:rFonts w:eastAsia="Times New Roman"/>
                <w:lang w:eastAsia="en-US"/>
              </w:rPr>
              <w:t xml:space="preserve"> plānots iesniegt Ministru kabinetā līdz 2018.gada 30.apr</w:t>
            </w:r>
            <w:r w:rsidRPr="00273E66" w:rsidR="001B348C">
              <w:rPr>
                <w:rFonts w:eastAsia="Times New Roman"/>
                <w:lang w:eastAsia="en-US"/>
              </w:rPr>
              <w:t xml:space="preserve">īlim, 2018.gada janvārī ir veikta mācību satura publiskās apspriešanas </w:t>
            </w:r>
            <w:r w:rsidRPr="00273E66" w:rsidR="00413BD9">
              <w:rPr>
                <w:rFonts w:eastAsia="Times New Roman"/>
                <w:lang w:eastAsia="en-US"/>
              </w:rPr>
              <w:t xml:space="preserve">papildu </w:t>
            </w:r>
            <w:r w:rsidRPr="00273E66" w:rsidR="001B348C">
              <w:rPr>
                <w:rFonts w:eastAsia="Times New Roman"/>
                <w:lang w:eastAsia="en-US"/>
              </w:rPr>
              <w:t>pasākumu organizēšana</w:t>
            </w:r>
            <w:r w:rsidRPr="00273E66" w:rsidR="00B77F99">
              <w:rPr>
                <w:rFonts w:eastAsia="Times New Roman"/>
                <w:lang w:eastAsia="en-US"/>
              </w:rPr>
              <w:t xml:space="preserve"> septiņu forumu ietvaros, kas organizēti vairākās jomās – par izglītību lietpratībai, </w:t>
            </w:r>
            <w:r w:rsidRPr="00273E66" w:rsidR="00017924">
              <w:rPr>
                <w:rFonts w:eastAsia="Times New Roman"/>
                <w:lang w:eastAsia="en-US"/>
              </w:rPr>
              <w:t xml:space="preserve">pirmsskolu un </w:t>
            </w:r>
            <w:r w:rsidRPr="00273E66" w:rsidR="00B77F99">
              <w:rPr>
                <w:rFonts w:eastAsia="Times New Roman"/>
                <w:lang w:eastAsia="en-US"/>
              </w:rPr>
              <w:t>sākumskolu, valodu mācību jomu, kultūras izpratnes un pašizpausmes mākslā mācību jomu, sociālo un pilsonisko mācību jomu, veselības un fiziskās aktivitātes mācību jomu, tehnoloģiju, dabaszinātņu un matemātikas mācību jomām -</w:t>
            </w:r>
            <w:r w:rsidRPr="00273E66" w:rsidR="001B348C">
              <w:rPr>
                <w:rFonts w:eastAsia="Times New Roman"/>
                <w:lang w:eastAsia="en-US"/>
              </w:rPr>
              <w:t xml:space="preserve">, kā arī uzsāktas darbības </w:t>
            </w:r>
            <w:r w:rsidRPr="00273E66" w:rsidR="00D06379">
              <w:rPr>
                <w:rFonts w:eastAsia="Times New Roman"/>
                <w:lang w:eastAsia="en-US"/>
              </w:rPr>
              <w:t xml:space="preserve">(1) informatīvo kampaņu īstenošanai, tai skaitā skaidrojošo materiālu izstrādei un publiskošanai, (2) </w:t>
            </w:r>
            <w:r w:rsidRPr="00273E66" w:rsidR="001B348C">
              <w:rPr>
                <w:rFonts w:eastAsia="Times New Roman"/>
                <w:lang w:eastAsia="en-US"/>
              </w:rPr>
              <w:t xml:space="preserve">mācību priekšmetu programmu izstrādei vidējās izglītības apguvei augstākajā līmenī un </w:t>
            </w:r>
            <w:r w:rsidRPr="00273E66" w:rsidR="00D06379">
              <w:rPr>
                <w:rFonts w:eastAsia="Times New Roman"/>
                <w:lang w:eastAsia="en-US"/>
              </w:rPr>
              <w:t xml:space="preserve">(3) </w:t>
            </w:r>
            <w:r w:rsidRPr="00273E66" w:rsidR="001B348C">
              <w:rPr>
                <w:rFonts w:eastAsia="Times New Roman"/>
                <w:lang w:eastAsia="en-US"/>
              </w:rPr>
              <w:t>pedagogu profesionālās kompetences pasākumiem pārejai uz mācībām valsts valodā</w:t>
            </w:r>
            <w:r w:rsidRPr="00273E66" w:rsidR="00D27C0A">
              <w:rPr>
                <w:rFonts w:eastAsia="Times New Roman"/>
                <w:lang w:eastAsia="en-US"/>
              </w:rPr>
              <w:t xml:space="preserve">, </w:t>
            </w:r>
            <w:r w:rsidRPr="00273E66" w:rsidR="00BC4492">
              <w:rPr>
                <w:rFonts w:eastAsia="Times New Roman"/>
                <w:lang w:eastAsia="en-US"/>
              </w:rPr>
              <w:t>tai skaitā</w:t>
            </w:r>
            <w:r w:rsidRPr="00273E66" w:rsidR="001B348C">
              <w:rPr>
                <w:rFonts w:eastAsia="Times New Roman"/>
                <w:lang w:eastAsia="en-US"/>
              </w:rPr>
              <w:t xml:space="preserve"> </w:t>
            </w:r>
            <w:r w:rsidRPr="00273E66" w:rsidR="00867D90">
              <w:rPr>
                <w:rFonts w:eastAsia="Times New Roman"/>
                <w:lang w:eastAsia="en-US"/>
              </w:rPr>
              <w:t>metodikas kursu sagatavo</w:t>
            </w:r>
            <w:r w:rsidRPr="00273E66" w:rsidR="00BC4492">
              <w:rPr>
                <w:rFonts w:eastAsia="Times New Roman"/>
                <w:lang w:eastAsia="en-US"/>
              </w:rPr>
              <w:t>šanai</w:t>
            </w:r>
            <w:r w:rsidRPr="00273E66" w:rsidR="00867D90">
              <w:rPr>
                <w:rFonts w:eastAsia="Times New Roman"/>
                <w:lang w:eastAsia="en-US"/>
              </w:rPr>
              <w:t>, mācību un metodisko līdzekļu izstr</w:t>
            </w:r>
            <w:r w:rsidRPr="00273E66" w:rsidR="00BC4492">
              <w:rPr>
                <w:rFonts w:eastAsia="Times New Roman"/>
                <w:lang w:eastAsia="en-US"/>
              </w:rPr>
              <w:t>ādei</w:t>
            </w:r>
            <w:r w:rsidRPr="00273E66" w:rsidR="00867D90">
              <w:rPr>
                <w:rFonts w:eastAsia="Times New Roman"/>
                <w:lang w:eastAsia="en-US"/>
              </w:rPr>
              <w:t xml:space="preserve"> </w:t>
            </w:r>
            <w:r w:rsidRPr="00273E66" w:rsidR="00D27C0A">
              <w:rPr>
                <w:rFonts w:eastAsia="Times New Roman"/>
                <w:lang w:eastAsia="en-US"/>
              </w:rPr>
              <w:t>un pedagogu profesionāl</w:t>
            </w:r>
            <w:r w:rsidRPr="00273E66" w:rsidR="00E263CE">
              <w:rPr>
                <w:rFonts w:eastAsia="Times New Roman"/>
                <w:lang w:eastAsia="en-US"/>
              </w:rPr>
              <w:t>ās kompetences pilnveide</w:t>
            </w:r>
            <w:r w:rsidRPr="00273E66" w:rsidR="001B348C">
              <w:rPr>
                <w:rFonts w:eastAsia="Times New Roman"/>
                <w:lang w:eastAsia="en-US"/>
              </w:rPr>
              <w:t>s īsteno</w:t>
            </w:r>
            <w:r w:rsidRPr="00273E66" w:rsidR="00BC4492">
              <w:rPr>
                <w:rFonts w:eastAsia="Times New Roman"/>
                <w:lang w:eastAsia="en-US"/>
              </w:rPr>
              <w:t>šanai</w:t>
            </w:r>
            <w:r w:rsidRPr="00273E66" w:rsidR="00E263CE">
              <w:rPr>
                <w:rFonts w:eastAsia="Times New Roman"/>
                <w:lang w:eastAsia="en-US"/>
              </w:rPr>
              <w:t>.</w:t>
            </w:r>
            <w:r w:rsidRPr="00273E66" w:rsidR="00D06379">
              <w:rPr>
                <w:rFonts w:eastAsia="Times New Roman"/>
                <w:lang w:eastAsia="en-US"/>
              </w:rPr>
              <w:t xml:space="preserve"> Lai </w:t>
            </w:r>
            <w:r w:rsidRPr="00273E66" w:rsidR="006E6C0E">
              <w:rPr>
                <w:rFonts w:eastAsia="Times New Roman"/>
                <w:lang w:eastAsia="en-US"/>
              </w:rPr>
              <w:t>nodrošinātu papildu veicamo darbību plānošanu un koordinēšanu</w:t>
            </w:r>
            <w:r w:rsidRPr="00273E66" w:rsidR="00D06379">
              <w:rPr>
                <w:rFonts w:eastAsia="Times New Roman"/>
                <w:lang w:eastAsia="en-US"/>
              </w:rPr>
              <w:t xml:space="preserve">, no 2018.gada 1.janvāra ir paredzēti </w:t>
            </w:r>
            <w:r w:rsidRPr="00273E66" w:rsidR="006E6C0E">
              <w:rPr>
                <w:rFonts w:eastAsia="Times New Roman"/>
                <w:lang w:eastAsia="en-US"/>
              </w:rPr>
              <w:t>atbilstoši</w:t>
            </w:r>
            <w:r w:rsidRPr="00273E66" w:rsidR="00D06379">
              <w:rPr>
                <w:rFonts w:eastAsia="Times New Roman"/>
                <w:lang w:eastAsia="en-US"/>
              </w:rPr>
              <w:t xml:space="preserve"> projekta vadības stiprināšanas pasākumi</w:t>
            </w:r>
            <w:r w:rsidRPr="00273E66" w:rsidR="00EC6C87">
              <w:rPr>
                <w:rFonts w:eastAsia="Times New Roman"/>
                <w:lang w:eastAsia="en-US"/>
              </w:rPr>
              <w:t xml:space="preserve">. </w:t>
            </w:r>
            <w:r w:rsidRPr="00273E66">
              <w:rPr>
                <w:rFonts w:eastAsia="Times New Roman"/>
              </w:rPr>
              <w:t>I</w:t>
            </w:r>
            <w:r w:rsidRPr="00273E66">
              <w:rPr>
                <w:rFonts w:eastAsia="Times New Roman"/>
                <w:lang w:eastAsia="en-US"/>
              </w:rPr>
              <w:t>zmaksas</w:t>
            </w:r>
            <w:r w:rsidRPr="00273E66">
              <w:rPr>
                <w:rFonts w:eastAsia="Times New Roman"/>
              </w:rPr>
              <w:t>, kas radušās</w:t>
            </w:r>
            <w:r w:rsidRPr="00273E66">
              <w:rPr>
                <w:rFonts w:eastAsia="Times New Roman"/>
                <w:lang w:eastAsia="en-US"/>
              </w:rPr>
              <w:t xml:space="preserve"> līdz </w:t>
            </w:r>
            <w:r w:rsidRPr="00273E66" w:rsidR="00E23120">
              <w:rPr>
                <w:rFonts w:eastAsia="Times New Roman"/>
                <w:lang w:eastAsia="en-US"/>
              </w:rPr>
              <w:t xml:space="preserve">grozījumiem </w:t>
            </w:r>
            <w:r w:rsidRPr="00273E66">
              <w:rPr>
                <w:rFonts w:eastAsia="Times New Roman"/>
                <w:lang w:eastAsia="en-US"/>
              </w:rPr>
              <w:t xml:space="preserve">vienošanās par projekta </w:t>
            </w:r>
            <w:r w:rsidRPr="00273E66" w:rsidR="00E23120">
              <w:rPr>
                <w:rFonts w:eastAsia="Times New Roman"/>
                <w:lang w:eastAsia="en-US"/>
              </w:rPr>
              <w:t>īstenošanu</w:t>
            </w:r>
            <w:r w:rsidRPr="00273E66">
              <w:rPr>
                <w:rFonts w:eastAsia="Times New Roman"/>
              </w:rPr>
              <w:t>,</w:t>
            </w:r>
            <w:r w:rsidRPr="00273E66">
              <w:rPr>
                <w:rFonts w:eastAsia="Times New Roman"/>
                <w:lang w:eastAsia="en-US"/>
              </w:rPr>
              <w:t xml:space="preserve"> paredzēts segt no apstiprinātā projekta līdzekļiem, plānojot tās atbilstoši Eiropas Savienības struktūrfondu izmaksu </w:t>
            </w:r>
            <w:r w:rsidRPr="00273E66">
              <w:rPr>
                <w:rFonts w:eastAsia="Times New Roman"/>
                <w:lang w:eastAsia="en-US"/>
              </w:rPr>
              <w:t>attiecināmības</w:t>
            </w:r>
            <w:r w:rsidRPr="00273E66">
              <w:rPr>
                <w:rFonts w:eastAsia="Times New Roman"/>
                <w:lang w:eastAsia="en-US"/>
              </w:rPr>
              <w:t xml:space="preserve"> pamatprincipiem.</w:t>
            </w:r>
          </w:p>
          <w:p w:rsidR="006C03A6" w:rsidRPr="00273E66" w:rsidP="006E6C0E" w14:paraId="44204453" w14:textId="6493D65B">
            <w:pPr>
              <w:jc w:val="both"/>
              <w:rPr>
                <w:rFonts w:eastAsia="Times New Roman"/>
              </w:rPr>
            </w:pPr>
            <w:r w:rsidRPr="00273E66">
              <w:rPr>
                <w:rFonts w:eastAsia="Times New Roman"/>
              </w:rPr>
              <w:t xml:space="preserve">Lai īstenotu papildu darbības nepieciešamajā apmērā un noteiktajā termiņā, noteikumu projekts paredz proporcionāli stiprināt projekta vadības kapacitāti, tai skaitā paredzot  projekta vadības izmaksas sadarbības partnerim – Latviešu valodas aģentūrai (turpmāk – LVA), ņemot vērā, ka 1) no kopējā papildu piešķiramā finansējuma 4 497 498 </w:t>
            </w:r>
            <w:r w:rsidRPr="00273E66">
              <w:rPr>
                <w:rFonts w:eastAsia="Times New Roman"/>
                <w:i/>
              </w:rPr>
              <w:t>euro</w:t>
            </w:r>
            <w:r w:rsidRPr="00273E66">
              <w:rPr>
                <w:rFonts w:eastAsia="Times New Roman"/>
              </w:rPr>
              <w:t xml:space="preserve"> apmērā projektā plānoto LVA darbību nodrošināšanai – mācību satura īstenošanai lingvistiski neviendabīgā vidē – paredzētais finansējums saskaņā ar </w:t>
            </w:r>
            <w:r w:rsidRPr="00273E66">
              <w:rPr>
                <w:rFonts w:eastAsia="Times New Roman" w:asciiTheme="minorHAnsi" w:hAnsiTheme="minorHAnsi" w:cstheme="minorBidi"/>
                <w:sz w:val="22"/>
                <w:szCs w:val="22"/>
                <w:lang w:eastAsia="en-US"/>
              </w:rPr>
              <w:t xml:space="preserve"> </w:t>
            </w:r>
            <w:r w:rsidRPr="00273E66">
              <w:rPr>
                <w:rFonts w:eastAsia="Times New Roman"/>
              </w:rPr>
              <w:t xml:space="preserve">IZM informatīvo ziņojumu “Par pāreju uz mācībām valsts valodā vispārējās izglītības iestādēs”  (Ministru kabineta 2017.gada 5.decembra sēdes </w:t>
            </w:r>
            <w:r w:rsidRPr="00273E66">
              <w:rPr>
                <w:rFonts w:eastAsia="Times New Roman"/>
              </w:rPr>
              <w:t>protokollēmuma</w:t>
            </w:r>
            <w:r w:rsidRPr="00273E66">
              <w:rPr>
                <w:rFonts w:eastAsia="Times New Roman"/>
              </w:rPr>
              <w:t xml:space="preserve"> Nr.60 35.§) ir 3 299 358 </w:t>
            </w:r>
            <w:r w:rsidRPr="00273E66">
              <w:rPr>
                <w:rFonts w:eastAsia="Times New Roman"/>
                <w:i/>
              </w:rPr>
              <w:t>euro</w:t>
            </w:r>
            <w:r w:rsidRPr="00273E66">
              <w:rPr>
                <w:rFonts w:eastAsia="Times New Roman"/>
              </w:rPr>
              <w:t xml:space="preserve">, kopā ar jau esošā projekta finansējuma daļu mācību satura un valodas integrētas apguves īstenošanai 179 444 </w:t>
            </w:r>
            <w:r w:rsidRPr="00273E66">
              <w:rPr>
                <w:rFonts w:eastAsia="Times New Roman"/>
                <w:i/>
              </w:rPr>
              <w:t>euro</w:t>
            </w:r>
            <w:r w:rsidRPr="00273E66">
              <w:rPr>
                <w:rFonts w:eastAsia="Times New Roman"/>
              </w:rPr>
              <w:t xml:space="preserve"> apmērā veidojot 3 478 802 </w:t>
            </w:r>
            <w:r w:rsidRPr="00273E66">
              <w:rPr>
                <w:rFonts w:eastAsia="Times New Roman"/>
                <w:i/>
              </w:rPr>
              <w:t>euro</w:t>
            </w:r>
            <w:r w:rsidRPr="00273E66">
              <w:rPr>
                <w:rFonts w:eastAsia="Times New Roman"/>
              </w:rPr>
              <w:t xml:space="preserve">; 2)  Ministru kabineta 2012.gada 18.decembra noteikumos Nr.938 “Latviešu valodas aģentūras nolikums” kā viens no LVA uzdevumiem ir noteikta projektu (semināru, kursu pedagogu tālākizglītībai) plānošana, ieviešana un vadīšana latviešu valodas apguves, mācīšanas metodikas un </w:t>
            </w:r>
            <w:r w:rsidRPr="00273E66">
              <w:rPr>
                <w:rFonts w:eastAsia="Times New Roman"/>
              </w:rPr>
              <w:t>starpkultūru</w:t>
            </w:r>
            <w:r w:rsidRPr="00273E66">
              <w:rPr>
                <w:rFonts w:eastAsia="Times New Roman"/>
              </w:rPr>
              <w:t xml:space="preserve"> komunikācijas jomā.</w:t>
            </w:r>
          </w:p>
          <w:p w:rsidR="00055596" w:rsidRPr="00273E66" w:rsidP="001351FC" w14:paraId="11374D3A" w14:textId="77777777">
            <w:pPr>
              <w:jc w:val="both"/>
              <w:rPr>
                <w:rFonts w:eastAsia="Times New Roman"/>
              </w:rPr>
            </w:pPr>
            <w:r w:rsidRPr="00273E66">
              <w:rPr>
                <w:rFonts w:eastAsia="Times New Roman"/>
              </w:rPr>
              <w:t xml:space="preserve">Kopējais papildu finansējums 8.3.1.SAM projektam ir paredzēts </w:t>
            </w:r>
            <w:r w:rsidRPr="00273E66">
              <w:rPr>
                <w:rFonts w:eastAsia="Times New Roman"/>
                <w:lang w:bidi="lo-LA"/>
              </w:rPr>
              <w:t xml:space="preserve">4 497 498 </w:t>
            </w:r>
            <w:r w:rsidRPr="00273E66">
              <w:rPr>
                <w:rFonts w:eastAsia="Times New Roman"/>
                <w:i/>
                <w:lang w:bidi="lo-LA"/>
              </w:rPr>
              <w:t>euro</w:t>
            </w:r>
            <w:r w:rsidRPr="00273E66">
              <w:rPr>
                <w:rFonts w:eastAsia="Times New Roman"/>
                <w:lang w:bidi="lo-LA"/>
              </w:rPr>
              <w:t xml:space="preserve"> apmērā</w:t>
            </w:r>
            <w:r w:rsidRPr="00273E66">
              <w:rPr>
                <w:rFonts w:eastAsia="Times New Roman"/>
                <w:i/>
                <w:lang w:bidi="lo-LA"/>
              </w:rPr>
              <w:t>.</w:t>
            </w:r>
            <w:r w:rsidRPr="00273E66">
              <w:rPr>
                <w:rFonts w:eastAsia="Times New Roman"/>
                <w:lang w:bidi="lo-LA"/>
              </w:rPr>
              <w:t xml:space="preserve"> </w:t>
            </w:r>
            <w:r w:rsidRPr="00273E66">
              <w:rPr>
                <w:rFonts w:eastAsia="Times New Roman"/>
              </w:rPr>
              <w:t>Finansējums minēto papildu pasākumu īstenošanai tiks nodrošināts, veicot finansējuma pārdali no</w:t>
            </w:r>
            <w:r w:rsidRPr="00273E66" w:rsidR="00442A7F">
              <w:rPr>
                <w:rFonts w:eastAsia="Times New Roman"/>
              </w:rPr>
              <w:t xml:space="preserve"> 8.3.3.SAM</w:t>
            </w:r>
            <w:r w:rsidRPr="00273E66">
              <w:rPr>
                <w:rFonts w:eastAsia="Times New Roman"/>
              </w:rPr>
              <w:t xml:space="preserve"> (2,2 milj. </w:t>
            </w:r>
            <w:r w:rsidRPr="00273E66">
              <w:rPr>
                <w:rFonts w:eastAsia="Times New Roman"/>
                <w:i/>
              </w:rPr>
              <w:t>euro</w:t>
            </w:r>
            <w:r w:rsidRPr="00273E66">
              <w:rPr>
                <w:rFonts w:eastAsia="Times New Roman"/>
              </w:rPr>
              <w:t xml:space="preserve">) un no </w:t>
            </w:r>
            <w:r w:rsidRPr="00273E66" w:rsidR="00442A7F">
              <w:rPr>
                <w:rFonts w:eastAsia="Times New Roman"/>
              </w:rPr>
              <w:t>8.3.4.SAM</w:t>
            </w:r>
            <w:r w:rsidRPr="00273E66">
              <w:rPr>
                <w:rFonts w:eastAsia="Times New Roman"/>
              </w:rPr>
              <w:t xml:space="preserve"> (2,3 milj. </w:t>
            </w:r>
            <w:r w:rsidRPr="00273E66">
              <w:rPr>
                <w:rFonts w:eastAsia="Times New Roman"/>
                <w:i/>
              </w:rPr>
              <w:t>euro</w:t>
            </w:r>
            <w:r w:rsidRPr="00273E66">
              <w:rPr>
                <w:rFonts w:eastAsia="Times New Roman"/>
              </w:rPr>
              <w:t>):</w:t>
            </w:r>
          </w:p>
          <w:p w:rsidR="00055596" w:rsidRPr="00273E66" w:rsidP="001351FC" w14:paraId="119A6844" w14:textId="12C657D9">
            <w:pPr>
              <w:pStyle w:val="ListParagraph"/>
              <w:numPr>
                <w:ilvl w:val="0"/>
                <w:numId w:val="10"/>
              </w:numPr>
              <w:tabs>
                <w:tab w:val="left" w:pos="238"/>
              </w:tabs>
              <w:ind w:left="0" w:firstLine="0"/>
              <w:jc w:val="both"/>
              <w:rPr>
                <w:sz w:val="24"/>
                <w:szCs w:val="24"/>
              </w:rPr>
            </w:pPr>
            <w:r w:rsidRPr="00273E66">
              <w:rPr>
                <w:sz w:val="24"/>
                <w:szCs w:val="24"/>
              </w:rPr>
              <w:t>f</w:t>
            </w:r>
            <w:r w:rsidRPr="00273E66">
              <w:rPr>
                <w:sz w:val="24"/>
                <w:szCs w:val="24"/>
              </w:rPr>
              <w:t xml:space="preserve">inansējumu 2 300 000 </w:t>
            </w:r>
            <w:r w:rsidRPr="00273E66">
              <w:rPr>
                <w:i/>
                <w:sz w:val="24"/>
                <w:szCs w:val="24"/>
              </w:rPr>
              <w:t>euro</w:t>
            </w:r>
            <w:r w:rsidRPr="00273E66">
              <w:rPr>
                <w:sz w:val="24"/>
                <w:szCs w:val="24"/>
              </w:rPr>
              <w:t xml:space="preserve"> apmērā IZM ierosina pārdalīt no 8.3.4.SAM, optimizējot šī projekta iekšējo finansējuma struktūru. Sākotnēji bija plānots, ka faktiskais atbalsts priekšlaicīgas mācību pamešanas (turpmāk – PMP) riska grupas bērniem tiks uzsākts ar 2017.gada septembri. Ņemot vērā to, ka lielākā daļa pašvaldību skolu individuālie atbalsta pasākumu plāni tika saskaņoti 2017.gada oktobrī, </w:t>
            </w:r>
            <w:r w:rsidRPr="00273E66" w:rsidR="001F097E">
              <w:rPr>
                <w:sz w:val="24"/>
                <w:szCs w:val="24"/>
              </w:rPr>
              <w:t>faktiskā atbalsta sniegšana sākā</w:t>
            </w:r>
            <w:r w:rsidRPr="00273E66">
              <w:rPr>
                <w:sz w:val="24"/>
                <w:szCs w:val="24"/>
              </w:rPr>
              <w:t xml:space="preserve">s ar 2017.gada novembri, veidojot attiecīgu izmaksu ietaupījumu. Papildus tam, ņemot vērā līdzšinējo Izglītības kvalitātes valsts dienesta (turpmāk – IKVD) kā 8.3.4.SAM finansējuma saņēmēja sadarbības pieredzi ar pašvaldībām un izglītības iestādēm, plānots optimizēt līdz projekta īstenošanas beigām plānoto finansējumu gan PMP risku novēršanas sistēmas izveidei, gan individuālā atbalsta sniegšanai izglītojamajiem atbilstoši pakāpeniskai izglītības iestāžu iesaistei projektā. Minētā pārdale neietekmē 8.3.4.SAM </w:t>
            </w:r>
            <w:r w:rsidRPr="00273E66" w:rsidR="000F2179">
              <w:rPr>
                <w:sz w:val="24"/>
                <w:szCs w:val="24"/>
              </w:rPr>
              <w:t xml:space="preserve">iznākuma un rezultāta </w:t>
            </w:r>
            <w:r w:rsidRPr="00273E66">
              <w:rPr>
                <w:sz w:val="24"/>
                <w:szCs w:val="24"/>
              </w:rPr>
              <w:t>rādītāju.</w:t>
            </w:r>
          </w:p>
          <w:p w:rsidR="00442A7F" w:rsidRPr="00273E66" w:rsidP="001351FC" w14:paraId="6B9EA309" w14:textId="77777777">
            <w:pPr>
              <w:jc w:val="both"/>
              <w:rPr>
                <w:rFonts w:eastAsia="Times New Roman"/>
              </w:rPr>
            </w:pPr>
            <w:r w:rsidRPr="00273E66">
              <w:rPr>
                <w:rFonts w:eastAsia="Times New Roman"/>
              </w:rPr>
              <w:t>2) f</w:t>
            </w:r>
            <w:r w:rsidRPr="00273E66" w:rsidR="00055596">
              <w:rPr>
                <w:rFonts w:eastAsia="Times New Roman"/>
              </w:rPr>
              <w:t xml:space="preserve">inansējumu 2 197 498 </w:t>
            </w:r>
            <w:r w:rsidRPr="00273E66" w:rsidR="00055596">
              <w:rPr>
                <w:rFonts w:eastAsia="Times New Roman"/>
                <w:i/>
              </w:rPr>
              <w:t>euro</w:t>
            </w:r>
            <w:r w:rsidRPr="00273E66" w:rsidR="00055596">
              <w:rPr>
                <w:rFonts w:eastAsia="Times New Roman"/>
              </w:rPr>
              <w:t xml:space="preserve"> apmērā IZM ierosina pārdalīt no 8.3.3.SAM. Ņemot vērā, ka ir vērojamas pozitīvas izmaiņas 8.3.3.SAM mērķa grupas (jaunietis, kas nav iesaistīts ne nodarbinātībā, ne izglītībā, ne mācībās) jauniešu statistikā un jauniešu situācijā darba tirgū, kā arī 8.3.3.SAM projekta ietvaros iesaistīto pašvaldību iesniegtās prognozes par projektā potenciāli iesaistāmo jauniešu skaitu, 8.3.3.SAM varētu izveidoties finansējuma atlikums  aptuveni 5,5 milj. </w:t>
            </w:r>
            <w:r w:rsidRPr="00273E66" w:rsidR="00055596">
              <w:rPr>
                <w:rFonts w:eastAsia="Times New Roman"/>
                <w:i/>
              </w:rPr>
              <w:t>euro</w:t>
            </w:r>
            <w:r w:rsidRPr="00273E66" w:rsidR="00055596">
              <w:rPr>
                <w:rFonts w:eastAsia="Times New Roman"/>
              </w:rPr>
              <w:t xml:space="preserve"> apmērā (61 % no kopējā 8.3.3.SAM finansējuma)</w:t>
            </w:r>
            <w:r w:rsidRPr="00273E66">
              <w:rPr>
                <w:rFonts w:eastAsia="Times New Roman"/>
              </w:rPr>
              <w:t>.</w:t>
            </w:r>
            <w:r w:rsidRPr="00273E66" w:rsidR="00055596">
              <w:rPr>
                <w:rFonts w:eastAsia="Times New Roman"/>
              </w:rPr>
              <w:t xml:space="preserve"> </w:t>
            </w:r>
          </w:p>
          <w:p w:rsidR="00055596" w:rsidRPr="001351FC" w:rsidP="001351FC" w14:paraId="3FE18229" w14:textId="7599F466">
            <w:pPr>
              <w:jc w:val="both"/>
              <w:rPr>
                <w:rFonts w:eastAsia="Times New Roman"/>
              </w:rPr>
            </w:pPr>
            <w:r w:rsidRPr="001351FC">
              <w:rPr>
                <w:rFonts w:eastAsia="Times New Roman"/>
                <w:b/>
              </w:rPr>
              <w:t>2. Starpposma finanšu rādītāja palielināšana.</w:t>
            </w:r>
            <w:r w:rsidRPr="001351FC">
              <w:rPr>
                <w:rFonts w:eastAsia="Times New Roman"/>
              </w:rPr>
              <w:t xml:space="preserve"> Ņemot vērā, ka 8.3.1. SAM </w:t>
            </w:r>
            <w:r w:rsidR="00BB4F00">
              <w:rPr>
                <w:rFonts w:eastAsia="Times New Roman"/>
              </w:rPr>
              <w:t xml:space="preserve">projekta </w:t>
            </w:r>
            <w:r w:rsidRPr="001351FC">
              <w:rPr>
                <w:rFonts w:eastAsia="Times New Roman"/>
              </w:rPr>
              <w:t>papild</w:t>
            </w:r>
            <w:r w:rsidRPr="001351FC" w:rsidR="000F2179">
              <w:rPr>
                <w:rFonts w:eastAsia="Times New Roman"/>
              </w:rPr>
              <w:t xml:space="preserve">u darbības tiek plānots uzsākt </w:t>
            </w:r>
            <w:r w:rsidRPr="001351FC">
              <w:rPr>
                <w:rFonts w:eastAsia="Times New Roman"/>
              </w:rPr>
              <w:t xml:space="preserve">no 2018. gada 1. janvāra un īstenot tās līdz 2022. gadam (4 gadi), tad finanšu rādītājā varēs tikt ieskaitīti izdevumi, kas veikti līdz 2018. gada 30. jūnijam (maksājumu </w:t>
            </w:r>
            <w:r w:rsidRPr="001351FC">
              <w:rPr>
                <w:rFonts w:eastAsia="Times New Roman"/>
              </w:rPr>
              <w:t xml:space="preserve">pieprasījumi, kas sadarbības iestādē iesniegti līdz 2018. gada 31. jūlijam). Līdz ar to, finanšu rādītājā </w:t>
            </w:r>
            <w:r w:rsidRPr="001351FC" w:rsidR="000F2179">
              <w:rPr>
                <w:rFonts w:eastAsia="Times New Roman"/>
              </w:rPr>
              <w:t>plānots iekļaut izdevumus</w:t>
            </w:r>
            <w:r w:rsidRPr="001351FC">
              <w:rPr>
                <w:rFonts w:eastAsia="Times New Roman"/>
              </w:rPr>
              <w:t xml:space="preserve"> 312 420 </w:t>
            </w:r>
            <w:r w:rsidRPr="001351FC">
              <w:rPr>
                <w:rFonts w:eastAsia="Times New Roman"/>
                <w:i/>
              </w:rPr>
              <w:t>euro</w:t>
            </w:r>
            <w:r w:rsidRPr="001351FC">
              <w:rPr>
                <w:rFonts w:eastAsia="Times New Roman"/>
              </w:rPr>
              <w:t>, par šādām papildu darbībām projektā:</w:t>
            </w:r>
          </w:p>
          <w:p w:rsidR="00055596" w:rsidRPr="001351FC" w:rsidP="001351FC" w14:paraId="494B3C54" w14:textId="52A9F9BC">
            <w:pPr>
              <w:jc w:val="both"/>
              <w:rPr>
                <w:rFonts w:eastAsia="Times New Roman"/>
              </w:rPr>
            </w:pPr>
            <w:r w:rsidRPr="001351FC">
              <w:rPr>
                <w:rFonts w:eastAsia="Times New Roman"/>
              </w:rPr>
              <w:t xml:space="preserve">1) mācību satura izstrāde vidējā izglītībā (mācību priekšmetu programmu izstrāde augstākajam līmenim) – 143 154 </w:t>
            </w:r>
            <w:r w:rsidRPr="001351FC">
              <w:rPr>
                <w:rFonts w:eastAsia="Times New Roman"/>
                <w:i/>
              </w:rPr>
              <w:t>euro</w:t>
            </w:r>
            <w:r w:rsidRPr="001351FC">
              <w:rPr>
                <w:rFonts w:eastAsia="Times New Roman"/>
              </w:rPr>
              <w:t xml:space="preserve"> (6 mēnešu izdevumi; šīs darbības kopējais</w:t>
            </w:r>
            <w:r w:rsidR="001D3C5A">
              <w:rPr>
                <w:rFonts w:eastAsia="Times New Roman"/>
              </w:rPr>
              <w:t xml:space="preserve"> plānotais</w:t>
            </w:r>
            <w:r w:rsidRPr="001351FC">
              <w:rPr>
                <w:rFonts w:eastAsia="Times New Roman"/>
              </w:rPr>
              <w:t xml:space="preserve"> īstenošanas termiņš </w:t>
            </w:r>
            <w:r w:rsidR="001D3C5A">
              <w:rPr>
                <w:rFonts w:eastAsia="Times New Roman"/>
              </w:rPr>
              <w:t>–</w:t>
            </w:r>
            <w:r w:rsidRPr="001351FC" w:rsidR="001D3C5A">
              <w:rPr>
                <w:rFonts w:eastAsia="Times New Roman"/>
              </w:rPr>
              <w:t xml:space="preserve"> </w:t>
            </w:r>
            <w:r w:rsidRPr="001351FC">
              <w:rPr>
                <w:rFonts w:eastAsia="Times New Roman"/>
              </w:rPr>
              <w:t>12 mēneš</w:t>
            </w:r>
            <w:r w:rsidR="001D3C5A">
              <w:rPr>
                <w:rFonts w:eastAsia="Times New Roman"/>
              </w:rPr>
              <w:t>i</w:t>
            </w:r>
            <w:r w:rsidRPr="001351FC">
              <w:rPr>
                <w:rFonts w:eastAsia="Times New Roman"/>
              </w:rPr>
              <w:t xml:space="preserve">); </w:t>
            </w:r>
          </w:p>
          <w:p w:rsidR="00055596" w:rsidP="001351FC" w14:paraId="66564FC2" w14:textId="5DDE8CBE">
            <w:pPr>
              <w:jc w:val="both"/>
              <w:rPr>
                <w:rFonts w:eastAsia="Times New Roman"/>
              </w:rPr>
            </w:pPr>
            <w:r w:rsidRPr="001351FC">
              <w:rPr>
                <w:rFonts w:eastAsia="Times New Roman"/>
              </w:rPr>
              <w:t xml:space="preserve">2) papildu pedagogu profesionālās kompetences pilnveide – 169 266 </w:t>
            </w:r>
            <w:r w:rsidRPr="001351FC">
              <w:rPr>
                <w:rFonts w:eastAsia="Times New Roman"/>
                <w:i/>
              </w:rPr>
              <w:t>euro</w:t>
            </w:r>
            <w:r w:rsidRPr="001351FC">
              <w:rPr>
                <w:rFonts w:eastAsia="Times New Roman"/>
              </w:rPr>
              <w:t xml:space="preserve"> (6 mēnešu izdevumi; šīs darbības kopējais </w:t>
            </w:r>
            <w:r w:rsidR="001D3C5A">
              <w:rPr>
                <w:rFonts w:eastAsia="Times New Roman"/>
              </w:rPr>
              <w:t xml:space="preserve">plānotais </w:t>
            </w:r>
            <w:r w:rsidRPr="001351FC">
              <w:rPr>
                <w:rFonts w:eastAsia="Times New Roman"/>
              </w:rPr>
              <w:t xml:space="preserve">īstenošanas termiņš </w:t>
            </w:r>
            <w:r w:rsidR="001D3C5A">
              <w:rPr>
                <w:rFonts w:eastAsia="Times New Roman"/>
              </w:rPr>
              <w:t>–</w:t>
            </w:r>
            <w:r w:rsidRPr="001351FC" w:rsidR="001D3C5A">
              <w:rPr>
                <w:rFonts w:eastAsia="Times New Roman"/>
              </w:rPr>
              <w:t xml:space="preserve"> </w:t>
            </w:r>
            <w:r w:rsidRPr="001351FC">
              <w:rPr>
                <w:rFonts w:eastAsia="Times New Roman"/>
              </w:rPr>
              <w:t>līdz 2022. gadam).</w:t>
            </w:r>
          </w:p>
          <w:p w:rsidR="00D47E43" w:rsidRPr="00273E66" w:rsidP="001351FC" w14:paraId="183EBF3D" w14:textId="77777777">
            <w:pPr>
              <w:jc w:val="both"/>
              <w:rPr>
                <w:rFonts w:eastAsia="Times New Roman"/>
              </w:rPr>
            </w:pPr>
            <w:r w:rsidRPr="00273E66">
              <w:rPr>
                <w:rFonts w:eastAsia="Times New Roman"/>
              </w:rPr>
              <w:t xml:space="preserve">8.3.1.SAM projekta finanšu rādītāja palielinājums proporcionāli papildu plānotajām darbībām nav saistīts ar citu darbības programmas „Izaugsme un nodarbinātība” 8.prioritārā virziena </w:t>
            </w:r>
            <w:r w:rsidRPr="00273E66">
              <w:rPr>
                <w:rFonts w:eastAsia="Times New Roman"/>
                <w:color w:val="000000"/>
              </w:rPr>
              <w:t xml:space="preserve">“Izglītība, prasmes un mūžizglītība” specifisko atbalsta mērķu starpposma finanšu rādītāju </w:t>
            </w:r>
            <w:r w:rsidRPr="00273E66" w:rsidR="0017518B">
              <w:rPr>
                <w:rFonts w:eastAsia="Times New Roman"/>
                <w:color w:val="000000"/>
              </w:rPr>
              <w:t>izpildes</w:t>
            </w:r>
            <w:r w:rsidRPr="00273E66">
              <w:rPr>
                <w:rFonts w:eastAsia="Times New Roman"/>
                <w:color w:val="000000"/>
              </w:rPr>
              <w:t xml:space="preserve"> progresu. </w:t>
            </w:r>
            <w:r w:rsidRPr="00273E66" w:rsidR="000864C7">
              <w:rPr>
                <w:rFonts w:eastAsia="Times New Roman"/>
                <w:color w:val="000000"/>
              </w:rPr>
              <w:t>Informācija par f</w:t>
            </w:r>
            <w:r w:rsidRPr="00273E66">
              <w:rPr>
                <w:rFonts w:eastAsia="Times New Roman"/>
                <w:color w:val="000000"/>
              </w:rPr>
              <w:t>inanšu rādītāju vērtību izmai</w:t>
            </w:r>
            <w:r w:rsidRPr="00273E66" w:rsidR="000864C7">
              <w:rPr>
                <w:rFonts w:eastAsia="Times New Roman"/>
                <w:color w:val="000000"/>
              </w:rPr>
              <w:t>ņām</w:t>
            </w:r>
            <w:r w:rsidRPr="00273E66">
              <w:rPr>
                <w:rFonts w:eastAsia="Times New Roman"/>
                <w:color w:val="000000"/>
              </w:rPr>
              <w:t xml:space="preserve"> atbilstoši grozījumu priekšlikumam darbības programmā „Izaugsme un nodarbinātība” tiks </w:t>
            </w:r>
            <w:r w:rsidRPr="00273E66" w:rsidR="000864C7">
              <w:rPr>
                <w:rFonts w:eastAsia="Times New Roman"/>
                <w:color w:val="000000"/>
              </w:rPr>
              <w:t>sniegta</w:t>
            </w:r>
            <w:r w:rsidRPr="00273E66">
              <w:rPr>
                <w:rFonts w:eastAsia="Times New Roman"/>
                <w:color w:val="000000"/>
              </w:rPr>
              <w:t>, virzot attiecīgus grozījumus Ministru kabineta noteikumos par specifisko atbalsta mērķu īstenošanu.</w:t>
            </w:r>
          </w:p>
          <w:p w:rsidR="005C451C" w:rsidRPr="00273E66" w:rsidP="006C03A6" w14:paraId="3D86BFED" w14:textId="2EFB042E">
            <w:pPr>
              <w:jc w:val="both"/>
            </w:pPr>
            <w:r w:rsidRPr="00273E66">
              <w:rPr>
                <w:b/>
              </w:rPr>
              <w:t>3. J</w:t>
            </w:r>
            <w:r w:rsidRPr="00273E66">
              <w:rPr>
                <w:rFonts w:eastAsia="Times New Roman"/>
                <w:b/>
              </w:rPr>
              <w:t xml:space="preserve">aunā satura ieviešanas grafika izmaiņas. </w:t>
            </w:r>
            <w:r w:rsidRPr="00273E66">
              <w:rPr>
                <w:rFonts w:eastAsia="Times New Roman"/>
              </w:rPr>
              <w:t xml:space="preserve">Ministru kabineta 2015. gada 24. novembra noteikumu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noteikumi Nr.670) </w:t>
            </w:r>
            <w:r w:rsidRPr="00273E66">
              <w:t xml:space="preserve">33.punktā ir noteikts, ka jaunais saturs tiks pakāpeniski ieviests pirmsskolā un pamatizglītības 1.posmā (1.-6.klase) ar 2018.gada 1.septembri, pamatizglītības 2.posmā (7.-9.klase) un vidusskolā ar 2019.gada 1.septembri. Minētais laika grafiks atbilst </w:t>
            </w:r>
            <w:r w:rsidRPr="00273E66">
              <w:rPr>
                <w:rFonts w:eastAsia="Times New Roman"/>
              </w:rPr>
              <w:t>Izglītības attīstības pamatnostādnēm 2014. – 2020.gadam</w:t>
            </w:r>
            <w:r w:rsidRPr="00273E66">
              <w:t xml:space="preserve">, jaunā satura izveidē ietverot pamatizglītības uzsākšanu no sešu gadu vecuma. Šobrīd </w:t>
            </w:r>
            <w:r w:rsidRPr="00273E66">
              <w:rPr>
                <w:rFonts w:eastAsia="Times New Roman"/>
              </w:rPr>
              <w:t>Vispārējās izglītības likums paredz, ka pamatizglītību uzsāk no septiņu gadu vec</w:t>
            </w:r>
            <w:r w:rsidRPr="005C451C">
              <w:rPr>
                <w:rFonts w:eastAsia="Times New Roman"/>
              </w:rPr>
              <w:t xml:space="preserve">uma (Vispārējās izglītības likuma 32.panta 2.daļa). Ņemot vērā minēto, noteikumu projekts paredz, ka jaunā satura pakāpenisku ieviešanu pirmsskolas izglītībā uzsāks ar 2018.gada 1.septembri, savukārt pamatizglītībā un vidējā izglītībā – ar 2019.gada 1.septembri, nepagarinot sākotnēji plānoto projekta īstenošanas termiņu – līdz 2022.gada 31.maijam. </w:t>
            </w:r>
            <w:r w:rsidRPr="00273E66">
              <w:t xml:space="preserve">Lai gan ar noteikumu projektu tiek precizēts jaunā satura pakāpeniskas ieviešanas laika grafiks pamatizglītības pakāpē, tiek plānota darbības programmā „Izaugsme un nodarbinātība” un noteikumu Nr.670 </w:t>
            </w:r>
            <w:r w:rsidRPr="00273E66">
              <w:t xml:space="preserve">5.1.1.apakšpunktā noteiktā iznākuma rādītāja: „vadlīniju un valsts standartu skaits vispārējā izglītībā (valsts pirmsskolas izglītības vadlīnijas, valsts pamatizglītības standarts un valsts vispārējās vidējās izglītības standarts), kuru aprobācijai un ieviešanai saņemts Eiropas Sociālā fonda atbalsts, – trīs, tai skaitā līdz 2018. gada 31. decembrim – trīs” (turpmāk – rādītājs) izpilde. Finanšu ministrijas tīmekļa vietnē </w:t>
            </w:r>
            <w:r>
              <w:fldChar w:fldCharType="begin"/>
            </w:r>
            <w:r>
              <w:instrText xml:space="preserve"> HYPERLINK "http://www.esfondi.lv" </w:instrText>
            </w:r>
            <w:r>
              <w:fldChar w:fldCharType="separate"/>
            </w:r>
            <w:r w:rsidRPr="00273E66">
              <w:rPr>
                <w:color w:val="0563C1"/>
                <w:u w:val="single"/>
              </w:rPr>
              <w:t>esfondi.lv</w:t>
            </w:r>
            <w:r>
              <w:fldChar w:fldCharType="end"/>
            </w:r>
            <w:r w:rsidRPr="00273E66">
              <w:t xml:space="preserve"> pieejamā 8.3.1.specifiskā atbalsta mērķa „Attīstīt kompetenču pieejā balstītu vispārējās izglītības saturu” (turpmāk - 8.3.1. SAM) rādītāju noteikšanas aprakstā rādītāja uzskaites metodoloģija paredz, ka tas ietver metodikas un darba organizācijas modeļu izveidi, diagnostikas instrumentu izstrādi un pedagogu tālākizglītību jaunā satura aprobācijas īstenošanai un aprobācijā neiesaist</w:t>
            </w:r>
            <w:r w:rsidRPr="00273E66" w:rsidR="001F097E">
              <w:t>īto izglītības iestāžu pedagogu</w:t>
            </w:r>
            <w:r w:rsidRPr="00273E66">
              <w:t xml:space="preserve"> tālākizglītību jaunā satura ieviešanas nodrošināšanai. Ņemot vērā, ka 8.3.1.SAM projektā uzsāktās darbības visās izglītības pakāpēs – pirmsskolas izglītībā, pamatizglītībā un vidējā izglītībā – ir metodikas un darba organizācijas modeļu izveide un pedagogu tālākizglītība, tiks nodrošināta starpposma rādītāja izpilde 8.3.1.SAM rādītāju noteikšanas aprakstā sākotnēji noteiktajā apjomā - līdz 2018.gada beigām uzsākta visu trīs vadlīniju un standartu (valsts pirmsskolas izglītības vadlīnijas, valsts pamatizglītības standarts un valsts vispārējās vidējās izglītības standarts) aprobācija. Savukārt rādītāja izpilde pilnā apmērā tiks nodrošināta līdz 8.3.1.SAM projekta beigām, t.i., visās izglītības pakāpēs būs sniegts Eiropas Sociālā fonda atbalsts jaunā satura aprobācijai un ieviešanai.</w:t>
            </w:r>
          </w:p>
          <w:p w:rsidR="006B4F32" w:rsidRPr="006C03A6" w:rsidP="006C03A6" w14:paraId="208E4524" w14:textId="757DC02F">
            <w:pPr>
              <w:jc w:val="both"/>
            </w:pPr>
            <w:r w:rsidRPr="00273E66">
              <w:t xml:space="preserve">Papildus </w:t>
            </w:r>
            <w:r w:rsidRPr="00273E66" w:rsidR="008939F7">
              <w:t>ir konstatēta</w:t>
            </w:r>
            <w:r w:rsidRPr="00BE06CF" w:rsidR="008939F7">
              <w:t xml:space="preserve"> nepieciešamība veikt precizējumus</w:t>
            </w:r>
            <w:r w:rsidRPr="00BE06CF" w:rsidR="006C03A6">
              <w:t xml:space="preserve"> noteikumos Nr.670, paredzot, ka projekta ietvaros tiek pielāgoti mācību līdzekļi </w:t>
            </w:r>
            <w:r w:rsidRPr="00BE06CF" w:rsidR="006C03A6">
              <w:t>Braila</w:t>
            </w:r>
            <w:r w:rsidRPr="00BE06CF" w:rsidR="006C03A6">
              <w:t xml:space="preserve"> rakstā. Lai gan s</w:t>
            </w:r>
            <w:r w:rsidRPr="00BE06CF" w:rsidR="008939F7">
              <w:t xml:space="preserve">ākotnēji tika noteikts, ka </w:t>
            </w:r>
            <w:r w:rsidRPr="00BE06CF" w:rsidR="008939F7">
              <w:t>Braila</w:t>
            </w:r>
            <w:r w:rsidRPr="00BE06CF" w:rsidR="008939F7">
              <w:t xml:space="preserve"> rakstā </w:t>
            </w:r>
            <w:r w:rsidRPr="00BE06CF" w:rsidR="006C03A6">
              <w:t>tiks pielāgotas mācību grāmatas, p</w:t>
            </w:r>
            <w:r w:rsidRPr="00BE06CF" w:rsidR="008939F7">
              <w:t>rojekta ietvaros jaunā satura ieviešanai tiek veidoti mācību līdzekļi, kurus plānots izmantot arī darbā ar izglītojamajiem ar redzes traucējumiem, piemēram, kartes</w:t>
            </w:r>
            <w:r w:rsidRPr="00BE06CF" w:rsidR="00B94D4E">
              <w:t>.</w:t>
            </w:r>
          </w:p>
        </w:tc>
      </w:tr>
      <w:tr w14:paraId="516B9E37" w14:textId="77777777" w:rsidTr="00DB3879">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33D2FF4B" w14:textId="77777777">
            <w:pPr>
              <w:jc w:val="center"/>
              <w:rPr>
                <w:lang w:eastAsia="en-US"/>
              </w:rPr>
            </w:pPr>
            <w:r w:rsidRPr="001351FC">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4098B43E" w14:textId="77777777">
            <w:pPr>
              <w:rPr>
                <w:lang w:eastAsia="en-US"/>
              </w:rPr>
            </w:pPr>
            <w:r w:rsidRPr="001351F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3D4779C0" w14:textId="77777777">
            <w:pPr>
              <w:jc w:val="both"/>
              <w:rPr>
                <w:bCs/>
              </w:rPr>
            </w:pPr>
            <w:r w:rsidRPr="001351FC">
              <w:rPr>
                <w:bCs/>
              </w:rPr>
              <w:t>Noteikumu projekts šo jomu neskar.</w:t>
            </w:r>
          </w:p>
          <w:p w:rsidR="00055596" w:rsidRPr="001351FC" w:rsidP="001351FC" w14:paraId="7A16A2AC" w14:textId="77777777">
            <w:pPr>
              <w:ind w:left="66"/>
              <w:jc w:val="both"/>
              <w:rPr>
                <w:bCs/>
                <w:strike/>
              </w:rPr>
            </w:pPr>
          </w:p>
        </w:tc>
      </w:tr>
      <w:tr w14:paraId="67B406C4" w14:textId="77777777" w:rsidTr="00DB3879">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28A17607" w14:textId="77777777">
            <w:pPr>
              <w:jc w:val="center"/>
              <w:rPr>
                <w:lang w:eastAsia="en-US"/>
              </w:rPr>
            </w:pPr>
            <w:r w:rsidRPr="001351FC">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55596" w:rsidRPr="001351FC" w:rsidP="001351FC" w14:paraId="5539C069" w14:textId="77777777">
            <w:pPr>
              <w:rPr>
                <w:lang w:eastAsia="en-US"/>
              </w:rPr>
            </w:pPr>
            <w:r w:rsidRPr="001351F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BA7A9F" w:rsidRPr="00273E66" w:rsidP="001351FC" w14:paraId="23975C21" w14:textId="136BB245">
            <w:pPr>
              <w:pStyle w:val="Default"/>
              <w:jc w:val="both"/>
              <w:rPr>
                <w:bCs/>
              </w:rPr>
            </w:pPr>
            <w:r w:rsidRPr="001351FC">
              <w:rPr>
                <w:bCs/>
              </w:rPr>
              <w:t xml:space="preserve">Grozījumu priekšlikums par finansējuma pārdali darbības programmā “Izaugsme un </w:t>
            </w:r>
            <w:r w:rsidRPr="00273E66">
              <w:rPr>
                <w:bCs/>
              </w:rPr>
              <w:t>nodarbinātība” iesniegts Finanšu m</w:t>
            </w:r>
            <w:r w:rsidRPr="00273E66" w:rsidR="006C03A6">
              <w:rPr>
                <w:bCs/>
              </w:rPr>
              <w:t>inistrijā 2017.gada 21.decembrī un izskatīts Ministru kabineta 2018.gada 20.februāra sēdē.</w:t>
            </w:r>
          </w:p>
          <w:p w:rsidR="00055596" w:rsidRPr="001351FC" w:rsidP="002B0E96" w14:paraId="00B62B9E" w14:textId="77777777">
            <w:pPr>
              <w:pStyle w:val="Default"/>
              <w:jc w:val="both"/>
              <w:rPr>
                <w:rFonts w:eastAsia="Times New Roman"/>
                <w:lang w:bidi="lo-LA"/>
              </w:rPr>
            </w:pPr>
            <w:r w:rsidRPr="00273E66">
              <w:rPr>
                <w:bCs/>
              </w:rPr>
              <w:t xml:space="preserve">Ņemot vērā 8.3.1.SAM projekta </w:t>
            </w:r>
            <w:r w:rsidRPr="00273E66" w:rsidR="005464A0">
              <w:rPr>
                <w:bCs/>
              </w:rPr>
              <w:t>nozīmi</w:t>
            </w:r>
            <w:r w:rsidRPr="00273E66">
              <w:rPr>
                <w:bCs/>
              </w:rPr>
              <w:t xml:space="preserve"> izmaiņu ieviešanai izglītības sistēmā, </w:t>
            </w:r>
            <w:r w:rsidRPr="00273E66" w:rsidR="002B0E96">
              <w:rPr>
                <w:bCs/>
              </w:rPr>
              <w:t>tā</w:t>
            </w:r>
            <w:r w:rsidRPr="00273E66">
              <w:rPr>
                <w:bCs/>
              </w:rPr>
              <w:t xml:space="preserve"> ietvaros jaunā satura izstrādes gaitā radušās papildu nepieciešamās darb</w:t>
            </w:r>
            <w:r w:rsidRPr="00273E66" w:rsidR="005464A0">
              <w:rPr>
                <w:bCs/>
              </w:rPr>
              <w:t>ības sekmēs</w:t>
            </w:r>
            <w:r w:rsidRPr="00273E66">
              <w:rPr>
                <w:bCs/>
              </w:rPr>
              <w:t xml:space="preserve"> kvalitat</w:t>
            </w:r>
            <w:r w:rsidRPr="00273E66" w:rsidR="005464A0">
              <w:rPr>
                <w:bCs/>
              </w:rPr>
              <w:t>īvāku</w:t>
            </w:r>
            <w:r w:rsidRPr="00273E66">
              <w:rPr>
                <w:bCs/>
              </w:rPr>
              <w:t xml:space="preserve"> projekta rezultātu sasniegšanu. Ievērojot noteikto projekta īstenošanas termiņu</w:t>
            </w:r>
            <w:r w:rsidRPr="00273E66" w:rsidR="002B0E96">
              <w:rPr>
                <w:bCs/>
              </w:rPr>
              <w:t xml:space="preserve"> un plānoto jaunā </w:t>
            </w:r>
            <w:r w:rsidRPr="00273E66" w:rsidR="002B0E96">
              <w:rPr>
                <w:bCs/>
              </w:rPr>
              <w:t>satura pakāpenisk</w:t>
            </w:r>
            <w:r w:rsidRPr="00273E66" w:rsidR="00276D5D">
              <w:rPr>
                <w:bCs/>
              </w:rPr>
              <w:t>u ieviešanu no 2018.gada 1.sept</w:t>
            </w:r>
            <w:r w:rsidRPr="00273E66" w:rsidR="002B0E96">
              <w:rPr>
                <w:bCs/>
              </w:rPr>
              <w:t>e</w:t>
            </w:r>
            <w:r w:rsidRPr="00273E66" w:rsidR="00276D5D">
              <w:rPr>
                <w:bCs/>
              </w:rPr>
              <w:t>m</w:t>
            </w:r>
            <w:r w:rsidRPr="00273E66" w:rsidR="002B0E96">
              <w:rPr>
                <w:bCs/>
              </w:rPr>
              <w:t>bra</w:t>
            </w:r>
            <w:r w:rsidRPr="00273E66">
              <w:rPr>
                <w:bCs/>
              </w:rPr>
              <w:t xml:space="preserve">, papildu darbību iekļaušana 8.3.1.SAM projektā no 2018.gada 1.janvāra </w:t>
            </w:r>
            <w:r w:rsidRPr="00273E66" w:rsidR="005464A0">
              <w:rPr>
                <w:bCs/>
              </w:rPr>
              <w:t xml:space="preserve">veicinās to </w:t>
            </w:r>
            <w:r w:rsidRPr="00273E66" w:rsidR="00261E34">
              <w:rPr>
                <w:bCs/>
              </w:rPr>
              <w:t>sinerģiju ar projektā sākotnēji paredzētajām darbībām un laika grafiku</w:t>
            </w:r>
            <w:r w:rsidRPr="00273E66">
              <w:rPr>
                <w:bCs/>
              </w:rPr>
              <w:t xml:space="preserve">. </w:t>
            </w:r>
          </w:p>
        </w:tc>
      </w:tr>
    </w:tbl>
    <w:p w:rsidR="000952B3" w:rsidRPr="001351FC" w:rsidP="001351FC" w14:paraId="00747A27" w14:textId="77777777">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2689"/>
        <w:gridCol w:w="6095"/>
      </w:tblGrid>
      <w:tr w14:paraId="135CD9D9" w14:textId="77777777" w:rsidTr="00DB3879">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B3" w:rsidRPr="001351FC" w:rsidP="001351FC" w14:paraId="0F7EED28" w14:textId="77777777">
            <w:pPr>
              <w:pStyle w:val="ListParagraph"/>
              <w:tabs>
                <w:tab w:val="left" w:pos="2268"/>
                <w:tab w:val="left" w:pos="2410"/>
              </w:tabs>
              <w:ind w:left="1080"/>
              <w:jc w:val="center"/>
              <w:rPr>
                <w:b/>
                <w:sz w:val="24"/>
                <w:szCs w:val="24"/>
                <w:lang w:eastAsia="en-US"/>
              </w:rPr>
            </w:pPr>
            <w:r w:rsidRPr="001351FC">
              <w:rPr>
                <w:b/>
                <w:bCs/>
                <w:sz w:val="24"/>
                <w:szCs w:val="24"/>
              </w:rPr>
              <w:t>II. Tiesību akta projekta ietekme uz sabiedrību, tautsaimniecības attīstību un administratīvo slogu</w:t>
            </w:r>
          </w:p>
        </w:tc>
      </w:tr>
      <w:tr w14:paraId="30B0D353" w14:textId="77777777" w:rsidTr="000952B3">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0952B3" w:rsidRPr="001351FC" w:rsidP="001351FC" w14:paraId="6C1E0F4A" w14:textId="77777777">
            <w:pPr>
              <w:jc w:val="center"/>
              <w:rPr>
                <w:lang w:eastAsia="en-US"/>
              </w:rPr>
            </w:pPr>
            <w:r w:rsidRPr="001351FC">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952B3" w:rsidRPr="001351FC" w:rsidP="001351FC" w14:paraId="583D8DF1" w14:textId="77777777">
            <w:pPr>
              <w:rPr>
                <w:lang w:eastAsia="en-US"/>
              </w:rPr>
            </w:pPr>
            <w:r w:rsidRPr="001351FC">
              <w:t xml:space="preserve">Sabiedrības </w:t>
            </w:r>
            <w:r w:rsidRPr="001351FC">
              <w:t>mērķgrupas</w:t>
            </w:r>
            <w:r w:rsidRPr="001351FC">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E501E8" w14:paraId="4C7B491E" w14:textId="2FCD1906">
            <w:pPr>
              <w:pStyle w:val="ListParagraph"/>
              <w:tabs>
                <w:tab w:val="left" w:pos="317"/>
              </w:tabs>
              <w:ind w:left="-79"/>
              <w:jc w:val="both"/>
              <w:rPr>
                <w:bCs/>
                <w:sz w:val="24"/>
                <w:szCs w:val="24"/>
                <w:lang w:eastAsia="en-US"/>
              </w:rPr>
            </w:pPr>
            <w:r w:rsidRPr="001351FC">
              <w:rPr>
                <w:iCs/>
                <w:sz w:val="24"/>
                <w:szCs w:val="24"/>
              </w:rPr>
              <w:t xml:space="preserve">Tiesiskais regulējums ietekmē </w:t>
            </w:r>
            <w:r w:rsidRPr="001351FC" w:rsidR="00521075">
              <w:rPr>
                <w:iCs/>
                <w:sz w:val="24"/>
                <w:szCs w:val="24"/>
              </w:rPr>
              <w:t xml:space="preserve">atbildīgo iestādi </w:t>
            </w:r>
            <w:r w:rsidRPr="001351FC" w:rsidR="000F2179">
              <w:rPr>
                <w:iCs/>
                <w:sz w:val="24"/>
                <w:szCs w:val="24"/>
              </w:rPr>
              <w:t>–</w:t>
            </w:r>
            <w:r w:rsidRPr="001351FC" w:rsidR="00521075">
              <w:rPr>
                <w:iCs/>
                <w:sz w:val="24"/>
                <w:szCs w:val="24"/>
              </w:rPr>
              <w:t xml:space="preserve"> </w:t>
            </w:r>
            <w:r w:rsidRPr="001351FC">
              <w:rPr>
                <w:iCs/>
                <w:sz w:val="24"/>
                <w:szCs w:val="24"/>
              </w:rPr>
              <w:t xml:space="preserve">IZM, </w:t>
            </w:r>
            <w:r w:rsidRPr="001351FC" w:rsidR="00521075">
              <w:rPr>
                <w:iCs/>
                <w:sz w:val="24"/>
                <w:szCs w:val="24"/>
              </w:rPr>
              <w:t xml:space="preserve">sadarbības iestādi </w:t>
            </w:r>
            <w:r w:rsidRPr="001351FC" w:rsidR="000F2179">
              <w:rPr>
                <w:iCs/>
                <w:sz w:val="24"/>
                <w:szCs w:val="24"/>
              </w:rPr>
              <w:t>–</w:t>
            </w:r>
            <w:r w:rsidRPr="001351FC" w:rsidR="00521075">
              <w:rPr>
                <w:iCs/>
                <w:sz w:val="24"/>
                <w:szCs w:val="24"/>
              </w:rPr>
              <w:t xml:space="preserve"> </w:t>
            </w:r>
            <w:r w:rsidRPr="001351FC">
              <w:rPr>
                <w:iCs/>
                <w:sz w:val="24"/>
                <w:szCs w:val="24"/>
              </w:rPr>
              <w:t xml:space="preserve">Centrālo finanšu un līgumu aģentūru (turpmāk – CFLA), </w:t>
            </w:r>
            <w:r w:rsidRPr="001351FC" w:rsidR="00521075">
              <w:rPr>
                <w:iCs/>
                <w:sz w:val="24"/>
                <w:szCs w:val="24"/>
              </w:rPr>
              <w:t xml:space="preserve">8.3.1.SAM projekta finansējuma saņēmēju </w:t>
            </w:r>
            <w:r w:rsidRPr="001351FC" w:rsidR="000F2179">
              <w:rPr>
                <w:iCs/>
                <w:sz w:val="24"/>
                <w:szCs w:val="24"/>
              </w:rPr>
              <w:t>–</w:t>
            </w:r>
            <w:r w:rsidR="0023009A">
              <w:rPr>
                <w:iCs/>
                <w:sz w:val="24"/>
                <w:szCs w:val="24"/>
              </w:rPr>
              <w:t xml:space="preserve"> Valsts izglītības satura centru (turpmāk – </w:t>
            </w:r>
            <w:r w:rsidRPr="001351FC" w:rsidR="00521075">
              <w:rPr>
                <w:iCs/>
                <w:sz w:val="24"/>
                <w:szCs w:val="24"/>
              </w:rPr>
              <w:t>VISC</w:t>
            </w:r>
            <w:r w:rsidR="0023009A">
              <w:rPr>
                <w:iCs/>
                <w:sz w:val="24"/>
                <w:szCs w:val="24"/>
              </w:rPr>
              <w:t>)</w:t>
            </w:r>
            <w:r w:rsidRPr="001351FC" w:rsidR="00521075">
              <w:rPr>
                <w:iCs/>
                <w:sz w:val="24"/>
                <w:szCs w:val="24"/>
              </w:rPr>
              <w:t xml:space="preserve"> un</w:t>
            </w:r>
            <w:r w:rsidRPr="001351FC">
              <w:rPr>
                <w:iCs/>
                <w:sz w:val="24"/>
                <w:szCs w:val="24"/>
              </w:rPr>
              <w:t xml:space="preserve"> </w:t>
            </w:r>
            <w:r w:rsidRPr="001351FC" w:rsidR="00521075">
              <w:rPr>
                <w:iCs/>
                <w:sz w:val="24"/>
                <w:szCs w:val="24"/>
              </w:rPr>
              <w:t xml:space="preserve">sadarbības partneri </w:t>
            </w:r>
            <w:r w:rsidRPr="001351FC" w:rsidR="000F2179">
              <w:rPr>
                <w:iCs/>
                <w:sz w:val="24"/>
                <w:szCs w:val="24"/>
              </w:rPr>
              <w:t>–</w:t>
            </w:r>
            <w:r w:rsidRPr="001351FC" w:rsidR="00521075">
              <w:rPr>
                <w:iCs/>
                <w:sz w:val="24"/>
                <w:szCs w:val="24"/>
              </w:rPr>
              <w:t xml:space="preserve"> </w:t>
            </w:r>
            <w:r w:rsidRPr="001351FC">
              <w:rPr>
                <w:iCs/>
                <w:sz w:val="24"/>
                <w:szCs w:val="24"/>
              </w:rPr>
              <w:t xml:space="preserve">LVA, </w:t>
            </w:r>
            <w:r w:rsidRPr="001351FC" w:rsidR="00521075">
              <w:rPr>
                <w:iCs/>
                <w:sz w:val="24"/>
                <w:szCs w:val="24"/>
              </w:rPr>
              <w:t xml:space="preserve">8.3.4.SAM finansējuma saņēmēju </w:t>
            </w:r>
            <w:r w:rsidRPr="001351FC" w:rsidR="000F2179">
              <w:rPr>
                <w:iCs/>
                <w:sz w:val="24"/>
                <w:szCs w:val="24"/>
              </w:rPr>
              <w:t>–</w:t>
            </w:r>
            <w:r w:rsidRPr="001351FC" w:rsidR="00521075">
              <w:rPr>
                <w:iCs/>
                <w:sz w:val="24"/>
                <w:szCs w:val="24"/>
              </w:rPr>
              <w:t xml:space="preserve"> </w:t>
            </w:r>
            <w:r w:rsidRPr="001351FC" w:rsidR="000F2179">
              <w:rPr>
                <w:iCs/>
                <w:sz w:val="24"/>
                <w:szCs w:val="24"/>
              </w:rPr>
              <w:t>IKVD un</w:t>
            </w:r>
            <w:r w:rsidRPr="001351FC">
              <w:rPr>
                <w:iCs/>
                <w:sz w:val="24"/>
                <w:szCs w:val="24"/>
              </w:rPr>
              <w:t xml:space="preserve"> </w:t>
            </w:r>
            <w:r w:rsidRPr="001351FC" w:rsidR="00521075">
              <w:rPr>
                <w:iCs/>
                <w:sz w:val="24"/>
                <w:szCs w:val="24"/>
              </w:rPr>
              <w:t xml:space="preserve">8.3.3.SAM finansējuma saņēmēju </w:t>
            </w:r>
            <w:r w:rsidRPr="001351FC" w:rsidR="000F2179">
              <w:rPr>
                <w:iCs/>
                <w:sz w:val="24"/>
                <w:szCs w:val="24"/>
              </w:rPr>
              <w:t>–</w:t>
            </w:r>
            <w:r w:rsidRPr="001351FC">
              <w:rPr>
                <w:iCs/>
                <w:sz w:val="24"/>
                <w:szCs w:val="24"/>
              </w:rPr>
              <w:t>Jaunatnes starptautisko programmu aģentūru</w:t>
            </w:r>
            <w:r w:rsidRPr="001351FC">
              <w:rPr>
                <w:sz w:val="24"/>
                <w:szCs w:val="24"/>
              </w:rPr>
              <w:t>.</w:t>
            </w:r>
          </w:p>
        </w:tc>
      </w:tr>
      <w:tr w14:paraId="3EBB70B5" w14:textId="77777777" w:rsidTr="00DB3879">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0AA7DF50" w14:textId="77777777">
            <w:pPr>
              <w:jc w:val="center"/>
            </w:pPr>
            <w:r w:rsidRPr="001351FC">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652EB077" w14:textId="77777777">
            <w:pPr>
              <w:rPr>
                <w:color w:val="414142"/>
              </w:rPr>
            </w:pPr>
            <w:r w:rsidRPr="001351F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1351FC" w:rsidP="001351FC" w14:paraId="4B34AC1B" w14:textId="77777777">
            <w:pPr>
              <w:pStyle w:val="ListParagraph"/>
              <w:tabs>
                <w:tab w:val="left" w:pos="317"/>
              </w:tabs>
              <w:ind w:left="-79"/>
              <w:jc w:val="both"/>
              <w:rPr>
                <w:bCs/>
                <w:sz w:val="24"/>
                <w:szCs w:val="24"/>
                <w:lang w:eastAsia="en-US"/>
              </w:rPr>
            </w:pPr>
            <w:r w:rsidRPr="001351FC">
              <w:rPr>
                <w:sz w:val="24"/>
                <w:szCs w:val="24"/>
              </w:rPr>
              <w:t>Sabiedrības grupām un institūcijām projekta noteikumu tiesiskais regulējums nemaina tiesības un pienākumus, kā arī veicamās darbības.</w:t>
            </w:r>
          </w:p>
        </w:tc>
      </w:tr>
      <w:tr w14:paraId="07A1EA65" w14:textId="77777777" w:rsidTr="00DB3879">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37DFB4FC" w14:textId="77777777">
            <w:pPr>
              <w:jc w:val="center"/>
            </w:pPr>
            <w:r w:rsidRPr="001351FC">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1C2EEA3C" w14:textId="77777777">
            <w:pPr>
              <w:rPr>
                <w:color w:val="414142"/>
              </w:rPr>
            </w:pPr>
            <w:r w:rsidRPr="001351F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1351FC" w:rsidP="001351FC" w14:paraId="4EDCCC99" w14:textId="77777777">
            <w:pPr>
              <w:pStyle w:val="ListParagraph"/>
              <w:tabs>
                <w:tab w:val="left" w:pos="317"/>
              </w:tabs>
              <w:ind w:left="-79"/>
              <w:jc w:val="both"/>
              <w:rPr>
                <w:bCs/>
                <w:sz w:val="24"/>
                <w:szCs w:val="24"/>
                <w:lang w:eastAsia="en-US"/>
              </w:rPr>
            </w:pPr>
            <w:r w:rsidRPr="001351FC">
              <w:rPr>
                <w:sz w:val="24"/>
                <w:szCs w:val="24"/>
              </w:rPr>
              <w:t>Noteikumu projekts šo jomu neskar.</w:t>
            </w:r>
          </w:p>
        </w:tc>
      </w:tr>
      <w:tr w14:paraId="29EDAB30" w14:textId="77777777" w:rsidTr="00DB3879">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69A9CBE0" w14:textId="77777777">
            <w:pPr>
              <w:jc w:val="center"/>
            </w:pPr>
            <w:r w:rsidRPr="001351FC">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31FF5081" w14:textId="77777777">
            <w:r w:rsidRPr="001351FC">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1351FC" w:rsidP="001351FC" w14:paraId="2AC02F92" w14:textId="77777777">
            <w:pPr>
              <w:pStyle w:val="ListParagraph"/>
              <w:tabs>
                <w:tab w:val="left" w:pos="317"/>
              </w:tabs>
              <w:ind w:left="-79"/>
              <w:jc w:val="both"/>
              <w:rPr>
                <w:bCs/>
                <w:sz w:val="24"/>
                <w:szCs w:val="24"/>
                <w:lang w:eastAsia="en-US"/>
              </w:rPr>
            </w:pPr>
            <w:r w:rsidRPr="001351FC">
              <w:rPr>
                <w:sz w:val="24"/>
                <w:szCs w:val="24"/>
              </w:rPr>
              <w:t>Noteikumu projekts šo jomu neskar.</w:t>
            </w:r>
          </w:p>
        </w:tc>
      </w:tr>
      <w:tr w14:paraId="5109668B" w14:textId="77777777" w:rsidTr="00DB3879">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1DCD1E4A" w14:textId="77777777">
            <w:pPr>
              <w:jc w:val="center"/>
            </w:pPr>
            <w:r w:rsidRPr="001351FC">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952B3" w:rsidRPr="001351FC" w:rsidP="001351FC" w14:paraId="610FCC28" w14:textId="77777777">
            <w:pPr>
              <w:rPr>
                <w:color w:val="414142"/>
              </w:rPr>
            </w:pPr>
            <w:r w:rsidRPr="001351F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952B3" w:rsidRPr="001351FC" w:rsidP="001351FC" w14:paraId="3617FB1D" w14:textId="77777777">
            <w:pPr>
              <w:pStyle w:val="ListParagraph"/>
              <w:tabs>
                <w:tab w:val="left" w:pos="317"/>
              </w:tabs>
              <w:ind w:left="-79"/>
              <w:jc w:val="both"/>
              <w:rPr>
                <w:bCs/>
                <w:sz w:val="24"/>
                <w:szCs w:val="24"/>
                <w:lang w:eastAsia="en-US"/>
              </w:rPr>
            </w:pPr>
            <w:r w:rsidRPr="001351FC">
              <w:rPr>
                <w:bCs/>
                <w:sz w:val="24"/>
                <w:szCs w:val="24"/>
                <w:lang w:eastAsia="en-US"/>
              </w:rPr>
              <w:t>Nav</w:t>
            </w:r>
            <w:r w:rsidRPr="001351FC" w:rsidR="00352BE9">
              <w:rPr>
                <w:bCs/>
                <w:sz w:val="24"/>
                <w:szCs w:val="24"/>
                <w:lang w:eastAsia="en-US"/>
              </w:rPr>
              <w:t>.</w:t>
            </w:r>
          </w:p>
        </w:tc>
      </w:tr>
    </w:tbl>
    <w:p w:rsidR="004D2E35" w:rsidRPr="001351FC" w:rsidP="001351FC" w14:paraId="70AFC89F" w14:textId="77777777"/>
    <w:tbl>
      <w:tblPr>
        <w:tblpPr w:leftFromText="180" w:rightFromText="180"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0"/>
        <w:gridCol w:w="1554"/>
        <w:gridCol w:w="1616"/>
        <w:gridCol w:w="1616"/>
        <w:gridCol w:w="1616"/>
        <w:gridCol w:w="1137"/>
      </w:tblGrid>
      <w:tr w14:paraId="6520C09D" w14:textId="77777777" w:rsidTr="008772B7">
        <w:tblPrEx>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rsidR="004D2E35" w:rsidRPr="001351FC" w:rsidP="001351FC" w14:paraId="22B06BB5" w14:textId="77777777">
            <w:pPr>
              <w:pStyle w:val="ListParagraph"/>
              <w:tabs>
                <w:tab w:val="left" w:pos="317"/>
              </w:tabs>
              <w:ind w:left="0"/>
              <w:jc w:val="center"/>
              <w:rPr>
                <w:bCs/>
                <w:sz w:val="24"/>
                <w:szCs w:val="24"/>
                <w:lang w:eastAsia="en-US"/>
              </w:rPr>
            </w:pPr>
            <w:r w:rsidRPr="001351FC">
              <w:rPr>
                <w:b/>
                <w:bCs/>
                <w:sz w:val="24"/>
                <w:szCs w:val="24"/>
                <w:lang w:eastAsia="ja-JP"/>
              </w:rPr>
              <w:t>III. Tiesību akta projekta ietekme uz valsts budžetu un pašvaldību budžetiem</w:t>
            </w:r>
          </w:p>
        </w:tc>
      </w:tr>
      <w:tr w14:paraId="38B869EA" w14:textId="77777777" w:rsidTr="008772B7">
        <w:tblPrEx>
          <w:tblW w:w="9209" w:type="dxa"/>
          <w:tblLayout w:type="fixed"/>
          <w:tblLook w:val="04A0"/>
        </w:tblPrEx>
        <w:tc>
          <w:tcPr>
            <w:tcW w:w="1670" w:type="dxa"/>
            <w:vMerge w:val="restart"/>
            <w:tcBorders>
              <w:top w:val="single" w:sz="4" w:space="0" w:color="auto"/>
              <w:left w:val="single" w:sz="4" w:space="0" w:color="auto"/>
              <w:right w:val="single" w:sz="4" w:space="0" w:color="auto"/>
            </w:tcBorders>
            <w:shd w:val="clear" w:color="auto" w:fill="auto"/>
          </w:tcPr>
          <w:p w:rsidR="004D2E35" w:rsidRPr="001351FC" w:rsidP="001351FC" w14:paraId="348A3A47" w14:textId="77777777">
            <w:pPr>
              <w:jc w:val="center"/>
              <w:rPr>
                <w:rFonts w:eastAsia="Times New Roman"/>
                <w:b/>
                <w:bCs/>
                <w:lang w:eastAsia="ja-JP"/>
              </w:rPr>
            </w:pPr>
          </w:p>
          <w:p w:rsidR="004D2E35" w:rsidRPr="001351FC" w:rsidP="001351FC" w14:paraId="35EA7735" w14:textId="77777777">
            <w:pPr>
              <w:jc w:val="center"/>
              <w:rPr>
                <w:rFonts w:eastAsia="Times New Roman"/>
                <w:b/>
                <w:bCs/>
                <w:lang w:eastAsia="ja-JP"/>
              </w:rPr>
            </w:pPr>
          </w:p>
          <w:p w:rsidR="004D2E35" w:rsidRPr="001351FC" w:rsidP="001351FC" w14:paraId="7EEBF5AE" w14:textId="77777777">
            <w:pPr>
              <w:jc w:val="center"/>
              <w:rPr>
                <w:rFonts w:eastAsia="Times New Roman"/>
                <w:b/>
                <w:bCs/>
                <w:lang w:eastAsia="ja-JP"/>
              </w:rPr>
            </w:pPr>
          </w:p>
          <w:p w:rsidR="004D2E35" w:rsidRPr="001351FC" w:rsidP="001351FC" w14:paraId="3D3D14B7" w14:textId="77777777">
            <w:pPr>
              <w:jc w:val="center"/>
              <w:rPr>
                <w:rFonts w:eastAsia="Times New Roman"/>
                <w:b/>
                <w:bCs/>
                <w:lang w:eastAsia="ja-JP"/>
              </w:rPr>
            </w:pPr>
          </w:p>
          <w:p w:rsidR="004D2E35" w:rsidRPr="001351FC" w:rsidP="001351FC" w14:paraId="6B5077BC" w14:textId="77777777">
            <w:pPr>
              <w:jc w:val="center"/>
              <w:rPr>
                <w:rFonts w:eastAsia="Times New Roman"/>
                <w:b/>
                <w:bCs/>
                <w:lang w:eastAsia="ja-JP"/>
              </w:rPr>
            </w:pPr>
          </w:p>
          <w:p w:rsidR="004D2E35" w:rsidRPr="001351FC" w:rsidP="001351FC" w14:paraId="090E5D8A" w14:textId="77777777">
            <w:pPr>
              <w:jc w:val="center"/>
            </w:pPr>
            <w:r w:rsidRPr="001351FC">
              <w:rPr>
                <w:rFonts w:eastAsia="Times New Roman"/>
                <w:b/>
                <w:bCs/>
                <w:lang w:eastAsia="ja-JP"/>
              </w:rPr>
              <w:t>Rādītāji</w:t>
            </w:r>
          </w:p>
        </w:tc>
        <w:tc>
          <w:tcPr>
            <w:tcW w:w="3170" w:type="dxa"/>
            <w:gridSpan w:val="2"/>
            <w:vMerge w:val="restart"/>
            <w:tcBorders>
              <w:top w:val="single" w:sz="4" w:space="0" w:color="auto"/>
              <w:left w:val="single" w:sz="4" w:space="0" w:color="auto"/>
              <w:right w:val="single" w:sz="4" w:space="0" w:color="auto"/>
            </w:tcBorders>
            <w:shd w:val="clear" w:color="auto" w:fill="auto"/>
          </w:tcPr>
          <w:p w:rsidR="004D2E35" w:rsidRPr="001351FC" w:rsidP="001351FC" w14:paraId="07271C87" w14:textId="77777777">
            <w:pPr>
              <w:pStyle w:val="ListParagraph"/>
              <w:tabs>
                <w:tab w:val="left" w:pos="317"/>
              </w:tabs>
              <w:ind w:left="34"/>
              <w:jc w:val="center"/>
              <w:rPr>
                <w:bCs/>
                <w:sz w:val="24"/>
                <w:szCs w:val="24"/>
                <w:lang w:eastAsia="en-US"/>
              </w:rPr>
            </w:pPr>
            <w:r w:rsidRPr="001351FC">
              <w:rPr>
                <w:b/>
                <w:bCs/>
                <w:sz w:val="24"/>
                <w:szCs w:val="24"/>
                <w:lang w:eastAsia="ja-JP"/>
              </w:rPr>
              <w:t>2018.gads</w:t>
            </w:r>
          </w:p>
        </w:tc>
        <w:tc>
          <w:tcPr>
            <w:tcW w:w="4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027E0CA9" w14:textId="77777777">
            <w:pPr>
              <w:jc w:val="center"/>
              <w:rPr>
                <w:rFonts w:eastAsia="Times New Roman"/>
                <w:lang w:eastAsia="ja-JP"/>
              </w:rPr>
            </w:pPr>
            <w:r w:rsidRPr="001351FC">
              <w:rPr>
                <w:rFonts w:eastAsia="Times New Roman"/>
                <w:lang w:eastAsia="ja-JP"/>
              </w:rPr>
              <w:t>Turpmākie trīs gadi (</w:t>
            </w:r>
            <w:r w:rsidRPr="001351FC">
              <w:rPr>
                <w:rFonts w:eastAsia="Times New Roman"/>
                <w:i/>
                <w:iCs/>
                <w:lang w:eastAsia="ja-JP"/>
              </w:rPr>
              <w:t>euro</w:t>
            </w:r>
            <w:r w:rsidRPr="001351FC">
              <w:rPr>
                <w:rFonts w:eastAsia="Times New Roman"/>
                <w:lang w:eastAsia="ja-JP"/>
              </w:rPr>
              <w:t>)</w:t>
            </w:r>
          </w:p>
        </w:tc>
      </w:tr>
      <w:tr w14:paraId="3C85B4E6" w14:textId="77777777" w:rsidTr="008772B7">
        <w:tblPrEx>
          <w:tblW w:w="9209" w:type="dxa"/>
          <w:tblLayout w:type="fixed"/>
          <w:tblLook w:val="04A0"/>
        </w:tblPrEx>
        <w:tc>
          <w:tcPr>
            <w:tcW w:w="1670" w:type="dxa"/>
            <w:vMerge/>
            <w:tcBorders>
              <w:left w:val="single" w:sz="4" w:space="0" w:color="auto"/>
              <w:right w:val="single" w:sz="4" w:space="0" w:color="auto"/>
            </w:tcBorders>
            <w:shd w:val="clear" w:color="auto" w:fill="auto"/>
          </w:tcPr>
          <w:p w:rsidR="004D2E35" w:rsidRPr="001351FC" w:rsidP="001351FC" w14:paraId="15C40A88" w14:textId="77777777">
            <w:pPr>
              <w:jc w:val="center"/>
            </w:pPr>
          </w:p>
        </w:tc>
        <w:tc>
          <w:tcPr>
            <w:tcW w:w="3170" w:type="dxa"/>
            <w:gridSpan w:val="2"/>
            <w:vMerge/>
            <w:tcBorders>
              <w:left w:val="single" w:sz="4" w:space="0" w:color="auto"/>
              <w:bottom w:val="single" w:sz="4" w:space="0" w:color="auto"/>
              <w:right w:val="single" w:sz="4" w:space="0" w:color="auto"/>
            </w:tcBorders>
            <w:shd w:val="clear" w:color="auto" w:fill="auto"/>
          </w:tcPr>
          <w:p w:rsidR="004D2E35" w:rsidRPr="001351FC" w:rsidP="001351FC" w14:paraId="1CD4C9B1" w14:textId="77777777">
            <w:pPr>
              <w:pStyle w:val="ListParagraph"/>
              <w:tabs>
                <w:tab w:val="left" w:pos="317"/>
              </w:tabs>
              <w:ind w:left="34"/>
              <w:jc w:val="center"/>
              <w:rPr>
                <w:bCs/>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2A4A4D50" w14:textId="77777777">
            <w:pPr>
              <w:jc w:val="center"/>
              <w:rPr>
                <w:rFonts w:eastAsia="Times New Roman"/>
                <w:b/>
                <w:bCs/>
                <w:lang w:eastAsia="ja-JP"/>
              </w:rPr>
            </w:pPr>
            <w:r w:rsidRPr="001351FC">
              <w:rPr>
                <w:rFonts w:eastAsia="Times New Roman"/>
                <w:b/>
                <w:bCs/>
                <w:lang w:eastAsia="ja-JP"/>
              </w:rPr>
              <w:t>2019.</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7F84D0DF" w14:textId="77777777">
            <w:pPr>
              <w:jc w:val="center"/>
              <w:rPr>
                <w:rFonts w:eastAsia="Times New Roman"/>
                <w:b/>
                <w:bCs/>
                <w:lang w:eastAsia="ja-JP"/>
              </w:rPr>
            </w:pPr>
            <w:r w:rsidRPr="001351FC">
              <w:rPr>
                <w:rFonts w:eastAsia="Times New Roman"/>
                <w:b/>
                <w:bCs/>
                <w:lang w:eastAsia="ja-JP"/>
              </w:rPr>
              <w:t>2020.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254E00E9" w14:textId="77777777">
            <w:pPr>
              <w:jc w:val="center"/>
              <w:rPr>
                <w:rFonts w:eastAsia="Times New Roman"/>
                <w:b/>
                <w:bCs/>
                <w:lang w:eastAsia="ja-JP"/>
              </w:rPr>
            </w:pPr>
            <w:r w:rsidRPr="001351FC">
              <w:rPr>
                <w:rFonts w:eastAsia="Times New Roman"/>
                <w:b/>
                <w:bCs/>
                <w:lang w:eastAsia="ja-JP"/>
              </w:rPr>
              <w:t>2021.</w:t>
            </w:r>
          </w:p>
        </w:tc>
      </w:tr>
      <w:tr w14:paraId="3C6FE6F1" w14:textId="77777777" w:rsidTr="008772B7">
        <w:tblPrEx>
          <w:tblW w:w="9209" w:type="dxa"/>
          <w:tblLayout w:type="fixed"/>
          <w:tblLook w:val="04A0"/>
        </w:tblPrEx>
        <w:tc>
          <w:tcPr>
            <w:tcW w:w="1670" w:type="dxa"/>
            <w:vMerge/>
            <w:tcBorders>
              <w:left w:val="single" w:sz="4" w:space="0" w:color="auto"/>
              <w:bottom w:val="single" w:sz="4" w:space="0" w:color="auto"/>
              <w:right w:val="single" w:sz="4" w:space="0" w:color="auto"/>
            </w:tcBorders>
            <w:shd w:val="clear" w:color="auto" w:fill="auto"/>
          </w:tcPr>
          <w:p w:rsidR="004D2E35" w:rsidRPr="001351FC" w:rsidP="001351FC" w14:paraId="7079B59E" w14:textId="77777777">
            <w:pPr>
              <w:jc w:val="cente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083954FB" w14:textId="77777777">
            <w:pPr>
              <w:jc w:val="center"/>
              <w:rPr>
                <w:rFonts w:eastAsia="Times New Roman"/>
                <w:lang w:eastAsia="ja-JP"/>
              </w:rPr>
            </w:pPr>
            <w:r w:rsidRPr="001351FC">
              <w:rPr>
                <w:rFonts w:eastAsia="Times New Roman"/>
                <w:lang w:eastAsia="ja-JP"/>
              </w:rPr>
              <w:t>saskaņā ar valsts budžetu kārtējam gadam</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1A7DC7ED" w14:textId="77777777">
            <w:pPr>
              <w:jc w:val="center"/>
              <w:rPr>
                <w:rFonts w:eastAsia="Times New Roman"/>
                <w:lang w:eastAsia="ja-JP"/>
              </w:rPr>
            </w:pPr>
            <w:r w:rsidRPr="001351FC">
              <w:rPr>
                <w:rFonts w:eastAsia="Times New Roman"/>
                <w:lang w:eastAsia="ja-JP"/>
              </w:rPr>
              <w:t>izmaiņas kārtējā gadā, salīdzinot ar valsts budžetu kārtējam gadam</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666B7F0D" w14:textId="77777777">
            <w:pPr>
              <w:jc w:val="center"/>
              <w:rPr>
                <w:rFonts w:eastAsia="Times New Roman"/>
                <w:lang w:eastAsia="ja-JP"/>
              </w:rPr>
            </w:pPr>
            <w:r w:rsidRPr="001351FC">
              <w:rPr>
                <w:rFonts w:eastAsia="Times New Roman"/>
                <w:lang w:eastAsia="ja-JP"/>
              </w:rPr>
              <w:t>izmaiņas, salīdzinot ar kārtējo (n) gadu</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44F5F927" w14:textId="77777777">
            <w:pPr>
              <w:jc w:val="center"/>
              <w:rPr>
                <w:rFonts w:eastAsia="Times New Roman"/>
                <w:lang w:eastAsia="ja-JP"/>
              </w:rPr>
            </w:pPr>
            <w:r w:rsidRPr="001351FC">
              <w:rPr>
                <w:rFonts w:eastAsia="Times New Roman"/>
                <w:lang w:eastAsia="ja-JP"/>
              </w:rPr>
              <w:t>izmaiņas, salīdzinot ar kārtējo (n) gadu</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2B64286F" w14:textId="77777777">
            <w:pPr>
              <w:jc w:val="center"/>
              <w:rPr>
                <w:rFonts w:eastAsia="Times New Roman"/>
                <w:lang w:eastAsia="ja-JP"/>
              </w:rPr>
            </w:pPr>
            <w:r w:rsidRPr="001351FC">
              <w:rPr>
                <w:rFonts w:eastAsia="Times New Roman"/>
                <w:lang w:eastAsia="ja-JP"/>
              </w:rPr>
              <w:t>izmaiņas, salīdzinot ar kārtējo (n) gadu</w:t>
            </w:r>
          </w:p>
        </w:tc>
      </w:tr>
      <w:tr w14:paraId="5C266AFD"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D2E35" w:rsidRPr="001351FC" w:rsidP="001351FC" w14:paraId="2BFB835E" w14:textId="77777777">
            <w:pPr>
              <w:jc w:val="center"/>
            </w:pPr>
            <w:r w:rsidRPr="001351FC">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D2E35" w:rsidRPr="001351FC" w:rsidP="001351FC" w14:paraId="6AEB827D" w14:textId="77777777">
            <w:pPr>
              <w:jc w:val="center"/>
            </w:pPr>
            <w:r w:rsidRPr="001351FC">
              <w:t>2</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67F9F157" w14:textId="77777777">
            <w:pPr>
              <w:pStyle w:val="ListParagraph"/>
              <w:tabs>
                <w:tab w:val="left" w:pos="317"/>
              </w:tabs>
              <w:ind w:left="34"/>
              <w:jc w:val="center"/>
              <w:rPr>
                <w:bCs/>
                <w:sz w:val="24"/>
                <w:szCs w:val="24"/>
                <w:lang w:eastAsia="en-US"/>
              </w:rPr>
            </w:pPr>
            <w:r w:rsidRPr="001351FC">
              <w:rPr>
                <w:bCs/>
                <w:sz w:val="24"/>
                <w:szCs w:val="24"/>
                <w:lang w:eastAsia="en-US"/>
              </w:rPr>
              <w:t>3</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7AAC813A" w14:textId="77777777">
            <w:pPr>
              <w:pStyle w:val="ListParagraph"/>
              <w:tabs>
                <w:tab w:val="left" w:pos="317"/>
              </w:tabs>
              <w:ind w:left="34"/>
              <w:jc w:val="center"/>
              <w:rPr>
                <w:bCs/>
                <w:sz w:val="24"/>
                <w:szCs w:val="24"/>
                <w:lang w:eastAsia="en-US"/>
              </w:rPr>
            </w:pPr>
            <w:r w:rsidRPr="001351FC">
              <w:rPr>
                <w:bCs/>
                <w:sz w:val="24"/>
                <w:szCs w:val="24"/>
                <w:lang w:eastAsia="en-US"/>
              </w:rPr>
              <w:t>4</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46E67A1E" w14:textId="77777777">
            <w:pPr>
              <w:pStyle w:val="ListParagraph"/>
              <w:tabs>
                <w:tab w:val="left" w:pos="317"/>
              </w:tabs>
              <w:ind w:left="34"/>
              <w:jc w:val="center"/>
              <w:rPr>
                <w:bCs/>
                <w:sz w:val="24"/>
                <w:szCs w:val="24"/>
                <w:lang w:eastAsia="en-US"/>
              </w:rPr>
            </w:pPr>
            <w:r w:rsidRPr="001351FC">
              <w:rPr>
                <w:bCs/>
                <w:sz w:val="24"/>
                <w:szCs w:val="24"/>
                <w:lang w:eastAsia="en-US"/>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4D2E35" w:rsidRPr="001351FC" w:rsidP="001351FC" w14:paraId="12E7A80B" w14:textId="77777777">
            <w:pPr>
              <w:pStyle w:val="ListParagraph"/>
              <w:tabs>
                <w:tab w:val="left" w:pos="317"/>
              </w:tabs>
              <w:ind w:left="34"/>
              <w:jc w:val="center"/>
              <w:rPr>
                <w:bCs/>
                <w:sz w:val="24"/>
                <w:szCs w:val="24"/>
                <w:lang w:eastAsia="en-US"/>
              </w:rPr>
            </w:pPr>
            <w:r w:rsidRPr="001351FC">
              <w:rPr>
                <w:bCs/>
                <w:sz w:val="24"/>
                <w:szCs w:val="24"/>
                <w:lang w:eastAsia="en-US"/>
              </w:rPr>
              <w:t>6</w:t>
            </w:r>
          </w:p>
        </w:tc>
      </w:tr>
      <w:tr w14:paraId="1B714C91"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48E34034" w14:textId="77777777">
            <w:pPr>
              <w:rPr>
                <w:rFonts w:eastAsia="Times New Roman"/>
                <w:lang w:eastAsia="ja-JP"/>
              </w:rPr>
            </w:pPr>
            <w:r w:rsidRPr="001351FC">
              <w:rPr>
                <w:rFonts w:eastAsia="Times New Roman"/>
                <w:lang w:eastAsia="ja-JP"/>
              </w:rPr>
              <w:t>1. Budžeta ieņēmumi:</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5122F1FE" w14:textId="77777777">
            <w:pPr>
              <w:jc w:val="center"/>
              <w:rPr>
                <w:rFonts w:eastAsia="Arial Unicode MS"/>
              </w:rPr>
            </w:pPr>
            <w:r w:rsidRPr="001351FC">
              <w:rPr>
                <w:rFonts w:eastAsia="Arial Unicode MS"/>
              </w:rPr>
              <w:t xml:space="preserve">3 782 369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44AA74B7" w14:textId="32BDFA31">
            <w:pPr>
              <w:jc w:val="center"/>
              <w:rPr>
                <w:rFonts w:eastAsia="Arial Unicode MS"/>
              </w:rPr>
            </w:pPr>
            <w:r w:rsidRPr="00C37BBD">
              <w:t>1 032 023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A4C6958" w14:textId="77777777">
            <w:pPr>
              <w:jc w:val="center"/>
              <w:rPr>
                <w:rFonts w:eastAsia="Times New Roman"/>
                <w:lang w:eastAsia="ja-JP"/>
              </w:rPr>
            </w:pPr>
            <w:r w:rsidRPr="00C37BBD">
              <w:t>1 213 057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40723F24" w14:textId="4A4A49DA">
            <w:pPr>
              <w:jc w:val="center"/>
              <w:rPr>
                <w:rFonts w:eastAsia="Times New Roman"/>
                <w:lang w:eastAsia="ja-JP"/>
              </w:rPr>
            </w:pPr>
            <w:r w:rsidRPr="00C37BBD">
              <w:t>1 003 324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79ED30AD" w14:textId="5DFFEFEF">
            <w:pPr>
              <w:jc w:val="center"/>
              <w:rPr>
                <w:rFonts w:eastAsia="Times New Roman"/>
                <w:lang w:eastAsia="ja-JP"/>
              </w:rPr>
            </w:pPr>
            <w:r w:rsidRPr="00C37BBD">
              <w:t>574 469</w:t>
            </w:r>
          </w:p>
        </w:tc>
      </w:tr>
      <w:tr w14:paraId="2E5C47C0"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649329EB" w14:textId="77777777">
            <w:pPr>
              <w:jc w:val="both"/>
              <w:rPr>
                <w:rFonts w:eastAsia="Arial Unicode MS"/>
              </w:rPr>
            </w:pPr>
            <w:r w:rsidRPr="001351FC">
              <w:rPr>
                <w:rFonts w:eastAsia="Arial Unicode MS"/>
              </w:rPr>
              <w:t>1.1. valsts pamatbudžets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7CBC1501" w14:textId="77777777">
            <w:pPr>
              <w:jc w:val="center"/>
              <w:rPr>
                <w:rFonts w:eastAsia="Arial Unicode MS"/>
              </w:rPr>
            </w:pPr>
            <w:r w:rsidRPr="001351FC">
              <w:rPr>
                <w:rFonts w:eastAsia="Arial Unicode MS"/>
              </w:rPr>
              <w:t>3 782 369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67EB223" w14:textId="0F70FCC5">
            <w:pPr>
              <w:jc w:val="center"/>
              <w:rPr>
                <w:rFonts w:eastAsia="Arial Unicode MS"/>
              </w:rPr>
            </w:pPr>
            <w:r w:rsidRPr="00C37BBD">
              <w:t>1 032 023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584BC69" w14:textId="77777777">
            <w:pPr>
              <w:jc w:val="center"/>
              <w:rPr>
                <w:rFonts w:eastAsia="Times New Roman"/>
                <w:lang w:eastAsia="ja-JP"/>
              </w:rPr>
            </w:pPr>
            <w:r w:rsidRPr="00C37BBD">
              <w:t>1 213 057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603CDDDC" w14:textId="609C00C8">
            <w:pPr>
              <w:jc w:val="center"/>
              <w:rPr>
                <w:rFonts w:eastAsia="Times New Roman"/>
                <w:lang w:eastAsia="ja-JP"/>
              </w:rPr>
            </w:pPr>
            <w:r w:rsidRPr="00C37BBD">
              <w:t>1 003 324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A183956" w14:textId="48DA2465">
            <w:pPr>
              <w:jc w:val="center"/>
              <w:rPr>
                <w:rFonts w:eastAsia="Times New Roman"/>
                <w:lang w:eastAsia="ja-JP"/>
              </w:rPr>
            </w:pPr>
            <w:r w:rsidRPr="00C37BBD">
              <w:t>574 469</w:t>
            </w:r>
          </w:p>
        </w:tc>
      </w:tr>
      <w:tr w14:paraId="6CA15E93"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25394A5F" w14:textId="77777777">
            <w:pPr>
              <w:jc w:val="both"/>
              <w:rPr>
                <w:rFonts w:eastAsia="Arial Unicode MS"/>
              </w:rPr>
            </w:pPr>
            <w:r w:rsidRPr="001351FC">
              <w:rPr>
                <w:rFonts w:eastAsia="Arial Unicode MS"/>
              </w:rPr>
              <w:t>1.2. valsts speciālais 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21E6EC24" w14:textId="77777777">
            <w:pPr>
              <w:jc w:val="center"/>
              <w:rPr>
                <w:rFonts w:eastAsia="Arial Unicode MS"/>
              </w:rPr>
            </w:pPr>
            <w:r w:rsidRPr="001351FC">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32FDDB73" w14:textId="77777777">
            <w:pPr>
              <w:jc w:val="center"/>
              <w:rPr>
                <w:rFonts w:eastAsia="Arial Unicode MS"/>
              </w:rPr>
            </w:pPr>
            <w:r w:rsidRPr="00C37BBD">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4FD8915C" w14:textId="77777777">
            <w:pPr>
              <w:jc w:val="center"/>
              <w:rPr>
                <w:rFonts w:eastAsia="Times New Roman"/>
                <w:lang w:eastAsia="ja-JP"/>
              </w:rPr>
            </w:pPr>
            <w:r w:rsidRPr="00C37BBD">
              <w:rPr>
                <w:rFonts w:eastAsia="Times New Roman"/>
                <w:lang w:eastAsia="ja-JP"/>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424D544F" w14:textId="77777777">
            <w:pPr>
              <w:jc w:val="center"/>
              <w:rPr>
                <w:rFonts w:eastAsia="Times New Roman"/>
                <w:lang w:eastAsia="ja-JP"/>
              </w:rPr>
            </w:pPr>
            <w:r w:rsidRPr="00C37BBD">
              <w:rPr>
                <w:rFonts w:eastAsia="Times New Roman"/>
                <w:lang w:eastAsia="ja-JP"/>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2BA82508" w14:textId="77777777">
            <w:pPr>
              <w:jc w:val="center"/>
              <w:rPr>
                <w:rFonts w:eastAsia="Times New Roman"/>
                <w:lang w:eastAsia="ja-JP"/>
              </w:rPr>
            </w:pPr>
            <w:r w:rsidRPr="00C37BBD">
              <w:rPr>
                <w:rFonts w:eastAsia="Times New Roman"/>
                <w:lang w:eastAsia="ja-JP"/>
              </w:rPr>
              <w:t>0</w:t>
            </w:r>
          </w:p>
        </w:tc>
      </w:tr>
      <w:tr w14:paraId="26D0F4E1"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05B60FDD" w14:textId="77777777">
            <w:pPr>
              <w:jc w:val="both"/>
              <w:rPr>
                <w:rFonts w:eastAsia="Arial Unicode MS"/>
              </w:rPr>
            </w:pPr>
            <w:r w:rsidRPr="001351FC">
              <w:rPr>
                <w:rFonts w:eastAsia="Arial Unicode MS"/>
              </w:rPr>
              <w:t>1.3. pašvaldību 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348B3879" w14:textId="77777777">
            <w:pPr>
              <w:jc w:val="center"/>
            </w:pPr>
            <w:r w:rsidRPr="001351FC">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C0253B8" w14:textId="77777777">
            <w:pPr>
              <w:jc w:val="center"/>
            </w:pPr>
            <w:r w:rsidRPr="00C37BBD">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6052AAE9" w14:textId="77777777">
            <w:pPr>
              <w:jc w:val="center"/>
              <w:rPr>
                <w:rFonts w:eastAsia="Times New Roman"/>
                <w:lang w:eastAsia="ja-JP"/>
              </w:rPr>
            </w:pPr>
            <w:r w:rsidRPr="00C37BBD">
              <w:rPr>
                <w:rFonts w:eastAsia="Times New Roman"/>
                <w:lang w:eastAsia="ja-JP"/>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E738A27" w14:textId="77777777">
            <w:pPr>
              <w:jc w:val="center"/>
              <w:rPr>
                <w:rFonts w:eastAsia="Times New Roman"/>
                <w:lang w:eastAsia="ja-JP"/>
              </w:rPr>
            </w:pPr>
            <w:r w:rsidRPr="00C37BBD">
              <w:rPr>
                <w:rFonts w:eastAsia="Times New Roman"/>
                <w:lang w:eastAsia="ja-JP"/>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187EE63" w14:textId="77777777">
            <w:pPr>
              <w:jc w:val="center"/>
              <w:rPr>
                <w:rFonts w:eastAsia="Times New Roman"/>
                <w:lang w:eastAsia="ja-JP"/>
              </w:rPr>
            </w:pPr>
            <w:r w:rsidRPr="00C37BBD">
              <w:rPr>
                <w:rFonts w:eastAsia="Times New Roman"/>
                <w:lang w:eastAsia="ja-JP"/>
              </w:rPr>
              <w:t>0</w:t>
            </w:r>
          </w:p>
        </w:tc>
      </w:tr>
      <w:tr w14:paraId="01C9A265"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394F15F5" w14:textId="77777777">
            <w:pPr>
              <w:rPr>
                <w:rFonts w:eastAsia="Times New Roman"/>
                <w:lang w:eastAsia="ja-JP"/>
              </w:rPr>
            </w:pPr>
            <w:r w:rsidRPr="001351FC">
              <w:rPr>
                <w:rFonts w:eastAsia="Times New Roman"/>
                <w:lang w:eastAsia="ja-JP"/>
              </w:rPr>
              <w:t>2. Budžeta izdevumi:</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2A0A3704" w14:textId="77777777">
            <w:pPr>
              <w:jc w:val="center"/>
              <w:rPr>
                <w:rFonts w:eastAsia="Arial Unicode MS"/>
              </w:rPr>
            </w:pPr>
            <w:r w:rsidRPr="001351FC">
              <w:rPr>
                <w:rFonts w:eastAsia="Arial Unicode MS"/>
              </w:rPr>
              <w:t>4 449 846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64ED5437" w14:textId="77777777">
            <w:pPr>
              <w:jc w:val="center"/>
              <w:rPr>
                <w:rFonts w:eastAsia="Arial Unicode MS"/>
              </w:rPr>
            </w:pPr>
            <w:r w:rsidRPr="00C37BBD">
              <w:t>1 214 143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7FC4B1EB" w14:textId="77777777">
            <w:pPr>
              <w:jc w:val="center"/>
              <w:rPr>
                <w:rFonts w:eastAsia="Times New Roman"/>
                <w:lang w:eastAsia="ja-JP"/>
              </w:rPr>
            </w:pPr>
            <w:r w:rsidRPr="00C37BBD">
              <w:t>1 427 126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37EA92D0" w14:textId="77777777">
            <w:pPr>
              <w:jc w:val="center"/>
              <w:rPr>
                <w:rFonts w:eastAsia="Times New Roman"/>
                <w:lang w:eastAsia="ja-JP"/>
              </w:rPr>
            </w:pPr>
            <w:r w:rsidRPr="00C37BBD">
              <w:t>1 180 382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3D0EF494" w14:textId="77777777">
            <w:pPr>
              <w:jc w:val="center"/>
              <w:rPr>
                <w:rFonts w:eastAsia="Times New Roman"/>
                <w:lang w:eastAsia="ja-JP"/>
              </w:rPr>
            </w:pPr>
            <w:r w:rsidRPr="00C37BBD">
              <w:t>675 847</w:t>
            </w:r>
          </w:p>
        </w:tc>
      </w:tr>
      <w:tr w14:paraId="3E4A46DC"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2F679AE4" w14:textId="77777777">
            <w:pPr>
              <w:rPr>
                <w:rFonts w:eastAsia="Times New Roman"/>
              </w:rPr>
            </w:pPr>
            <w:r w:rsidRPr="001351FC">
              <w:rPr>
                <w:rFonts w:eastAsia="Times New Roman"/>
              </w:rPr>
              <w:t>2.1. valsts pamatbudžets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34ADD806" w14:textId="77777777">
            <w:pPr>
              <w:jc w:val="center"/>
            </w:pPr>
            <w:r w:rsidRPr="001351FC">
              <w:rPr>
                <w:rFonts w:eastAsia="Arial Unicode MS"/>
              </w:rPr>
              <w:t>4 449 846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0C453BB2" w14:textId="77777777">
            <w:pPr>
              <w:jc w:val="center"/>
            </w:pPr>
            <w:r w:rsidRPr="00C37BBD">
              <w:t>1 214 143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70FC326" w14:textId="77777777">
            <w:pPr>
              <w:jc w:val="center"/>
              <w:rPr>
                <w:rFonts w:eastAsia="Times New Roman"/>
                <w:lang w:eastAsia="ja-JP"/>
              </w:rPr>
            </w:pPr>
            <w:r w:rsidRPr="00C37BBD">
              <w:t>1 427 126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2BE7E72" w14:textId="77777777">
            <w:pPr>
              <w:jc w:val="center"/>
              <w:rPr>
                <w:rFonts w:eastAsia="Times New Roman"/>
                <w:lang w:eastAsia="ja-JP"/>
              </w:rPr>
            </w:pPr>
            <w:r w:rsidRPr="00C37BBD">
              <w:t>1 180 382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310595A2" w14:textId="77777777">
            <w:pPr>
              <w:jc w:val="center"/>
              <w:rPr>
                <w:rFonts w:eastAsia="Times New Roman"/>
                <w:lang w:eastAsia="ja-JP"/>
              </w:rPr>
            </w:pPr>
            <w:r w:rsidRPr="00C37BBD">
              <w:t>675 847</w:t>
            </w:r>
          </w:p>
        </w:tc>
      </w:tr>
      <w:tr w14:paraId="4D06CB9E"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428D4C0D" w14:textId="77777777">
            <w:pPr>
              <w:rPr>
                <w:rFonts w:eastAsia="Times New Roman"/>
              </w:rPr>
            </w:pPr>
            <w:r w:rsidRPr="001351FC">
              <w:rPr>
                <w:rFonts w:eastAsia="Times New Roman"/>
              </w:rPr>
              <w:t>2.2. valsts speciālais 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41AB584D" w14:textId="77777777">
            <w:pPr>
              <w:jc w:val="center"/>
            </w:pPr>
            <w:r w:rsidRPr="001351FC">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65676A0C" w14:textId="77777777">
            <w:pPr>
              <w:jc w:val="center"/>
            </w:pPr>
            <w:r w:rsidRPr="00C37BBD">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4B5C33A9" w14:textId="77777777">
            <w:pPr>
              <w:jc w:val="center"/>
              <w:rPr>
                <w:rFonts w:eastAsia="Times New Roman"/>
                <w:lang w:eastAsia="ja-JP"/>
              </w:rPr>
            </w:pPr>
            <w:r w:rsidRPr="00C37BBD">
              <w:rPr>
                <w:rFonts w:eastAsia="Times New Roman"/>
                <w:lang w:eastAsia="ja-JP"/>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2B36CA6A" w14:textId="77777777">
            <w:pPr>
              <w:jc w:val="center"/>
              <w:rPr>
                <w:rFonts w:eastAsia="Times New Roman"/>
                <w:lang w:eastAsia="ja-JP"/>
              </w:rPr>
            </w:pPr>
            <w:r w:rsidRPr="00C37BBD">
              <w:rPr>
                <w:rFonts w:eastAsia="Times New Roman"/>
                <w:lang w:eastAsia="ja-JP"/>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70000D30" w14:textId="77777777">
            <w:pPr>
              <w:jc w:val="center"/>
              <w:rPr>
                <w:rFonts w:eastAsia="Times New Roman"/>
                <w:lang w:eastAsia="ja-JP"/>
              </w:rPr>
            </w:pPr>
            <w:r w:rsidRPr="00C37BBD">
              <w:rPr>
                <w:rFonts w:eastAsia="Times New Roman"/>
                <w:lang w:eastAsia="ja-JP"/>
              </w:rPr>
              <w:t>0</w:t>
            </w:r>
          </w:p>
        </w:tc>
      </w:tr>
      <w:tr w14:paraId="5831F6A1"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18BE5CDE" w14:textId="77777777">
            <w:pPr>
              <w:rPr>
                <w:rFonts w:eastAsia="Times New Roman"/>
              </w:rPr>
            </w:pPr>
            <w:r w:rsidRPr="001351FC">
              <w:rPr>
                <w:rFonts w:eastAsia="Times New Roman"/>
              </w:rPr>
              <w:t>2.3. pašvaldību 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59FD7CC6" w14:textId="77777777">
            <w:pPr>
              <w:jc w:val="center"/>
            </w:pPr>
            <w:r w:rsidRPr="001351FC">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6CA8A6BF" w14:textId="77777777">
            <w:pPr>
              <w:jc w:val="center"/>
            </w:pPr>
            <w:r w:rsidRPr="00C37BBD">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D11E008" w14:textId="77777777">
            <w:pPr>
              <w:jc w:val="center"/>
              <w:rPr>
                <w:rFonts w:eastAsia="Times New Roman"/>
                <w:lang w:eastAsia="ja-JP"/>
              </w:rPr>
            </w:pPr>
            <w:r w:rsidRPr="00C37BBD">
              <w:rPr>
                <w:rFonts w:eastAsia="Times New Roman"/>
                <w:lang w:eastAsia="ja-JP"/>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51CC4316" w14:textId="77777777">
            <w:pPr>
              <w:jc w:val="center"/>
              <w:rPr>
                <w:rFonts w:eastAsia="Times New Roman"/>
                <w:lang w:eastAsia="ja-JP"/>
              </w:rPr>
            </w:pPr>
            <w:r w:rsidRPr="00C37BBD">
              <w:rPr>
                <w:rFonts w:eastAsia="Times New Roman"/>
                <w:lang w:eastAsia="ja-JP"/>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243674F7" w14:textId="77777777">
            <w:pPr>
              <w:jc w:val="center"/>
              <w:rPr>
                <w:rFonts w:eastAsia="Times New Roman"/>
                <w:lang w:eastAsia="ja-JP"/>
              </w:rPr>
            </w:pPr>
            <w:r w:rsidRPr="00C37BBD">
              <w:rPr>
                <w:rFonts w:eastAsia="Times New Roman"/>
                <w:lang w:eastAsia="ja-JP"/>
              </w:rPr>
              <w:t>0</w:t>
            </w:r>
          </w:p>
        </w:tc>
      </w:tr>
      <w:tr w14:paraId="6095BD9C"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0FCF6299" w14:textId="77777777">
            <w:pPr>
              <w:rPr>
                <w:rFonts w:eastAsia="Times New Roman"/>
                <w:lang w:eastAsia="ja-JP"/>
              </w:rPr>
            </w:pPr>
            <w:r w:rsidRPr="001351FC">
              <w:rPr>
                <w:rFonts w:eastAsia="Times New Roman"/>
                <w:lang w:eastAsia="ja-JP"/>
              </w:rPr>
              <w:t>3. Finansiālā ietekme: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85612F" w:rsidRPr="001351FC" w:rsidP="001351FC" w14:paraId="22062E79" w14:textId="77777777">
            <w:pPr>
              <w:jc w:val="center"/>
              <w:rPr>
                <w:rFonts w:eastAsia="Arial Unicode MS"/>
              </w:rPr>
            </w:pPr>
            <w:r w:rsidRPr="001351FC">
              <w:rPr>
                <w:rFonts w:eastAsia="Arial Unicode MS"/>
              </w:rPr>
              <w:t>667 477</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5612F" w:rsidRPr="00C37BBD" w:rsidP="001351FC" w14:paraId="623195D9" w14:textId="4E042CFE">
            <w:pPr>
              <w:jc w:val="center"/>
              <w:rPr>
                <w:rFonts w:eastAsia="Arial Unicode MS"/>
              </w:rPr>
            </w:pPr>
            <w:r w:rsidRPr="00C37BBD">
              <w:t>-</w:t>
            </w:r>
            <w:r w:rsidRPr="00C37BBD" w:rsidR="00C55E67">
              <w:t>182 120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234E8106" w14:textId="77777777">
            <w:pPr>
              <w:jc w:val="center"/>
              <w:rPr>
                <w:rFonts w:eastAsia="Times New Roman"/>
                <w:lang w:eastAsia="ja-JP"/>
              </w:rPr>
            </w:pPr>
            <w:r w:rsidRPr="00C37BBD">
              <w:t>-</w:t>
            </w:r>
            <w:r w:rsidRPr="00C37BBD" w:rsidR="00F31CB6">
              <w:t>214 069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5B878D5" w14:textId="6074E8D6">
            <w:pPr>
              <w:jc w:val="center"/>
              <w:rPr>
                <w:rFonts w:eastAsia="Times New Roman"/>
                <w:lang w:eastAsia="ja-JP"/>
              </w:rPr>
            </w:pPr>
            <w:r w:rsidRPr="00C37BBD">
              <w:t>-</w:t>
            </w:r>
            <w:r w:rsidRPr="00C37BBD" w:rsidR="00C55E67">
              <w:t>177 058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610038F3" w14:textId="35A55910">
            <w:pPr>
              <w:jc w:val="center"/>
              <w:rPr>
                <w:rFonts w:eastAsia="Times New Roman"/>
                <w:lang w:eastAsia="ja-JP"/>
              </w:rPr>
            </w:pPr>
            <w:r w:rsidRPr="00C37BBD">
              <w:t>-</w:t>
            </w:r>
            <w:r w:rsidRPr="00C37BBD" w:rsidR="00C55E67">
              <w:t>101 378</w:t>
            </w:r>
          </w:p>
        </w:tc>
      </w:tr>
      <w:tr w14:paraId="3B4F0247"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6B97E2C2" w14:textId="77777777">
            <w:pPr>
              <w:rPr>
                <w:rFonts w:eastAsia="Times New Roman"/>
              </w:rPr>
            </w:pPr>
            <w:r w:rsidRPr="001351FC">
              <w:rPr>
                <w:rFonts w:eastAsia="Times New Roman"/>
              </w:rPr>
              <w:t>3.1. valsts pamatbudžets</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85612F" w:rsidRPr="001351FC" w:rsidP="001351FC" w14:paraId="3CE32B8E" w14:textId="77777777">
            <w:pPr>
              <w:jc w:val="center"/>
              <w:rPr>
                <w:rFonts w:eastAsia="Arial Unicode MS"/>
              </w:rPr>
            </w:pPr>
            <w:r w:rsidRPr="001351FC">
              <w:rPr>
                <w:rFonts w:eastAsia="Arial Unicode MS"/>
              </w:rPr>
              <w:t>667 477</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5612F" w:rsidRPr="00C37BBD" w:rsidP="001351FC" w14:paraId="720AC2D2" w14:textId="350EB835">
            <w:pPr>
              <w:jc w:val="center"/>
              <w:rPr>
                <w:rFonts w:eastAsia="Arial Unicode MS"/>
              </w:rPr>
            </w:pPr>
            <w:r w:rsidRPr="00C37BBD">
              <w:t>-</w:t>
            </w:r>
            <w:r w:rsidRPr="00C37BBD" w:rsidR="00C55E67">
              <w:t>182 120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21E0E322" w14:textId="77777777">
            <w:pPr>
              <w:jc w:val="center"/>
            </w:pPr>
            <w:r w:rsidRPr="00C37BBD">
              <w:t>-</w:t>
            </w:r>
            <w:r w:rsidRPr="00C37BBD" w:rsidR="00F31CB6">
              <w:t>214 069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4B76581B" w14:textId="486E6C8B">
            <w:pPr>
              <w:jc w:val="center"/>
            </w:pPr>
            <w:r w:rsidRPr="00C37BBD">
              <w:t>-</w:t>
            </w:r>
            <w:r w:rsidRPr="00C37BBD" w:rsidR="00C55E67">
              <w:t>177 058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61EEBF6" w14:textId="4D018BC9">
            <w:pPr>
              <w:jc w:val="center"/>
            </w:pPr>
            <w:r w:rsidRPr="00C37BBD">
              <w:t>-</w:t>
            </w:r>
            <w:r w:rsidRPr="00C37BBD" w:rsidR="00C55E67">
              <w:t>101 378</w:t>
            </w:r>
          </w:p>
        </w:tc>
      </w:tr>
      <w:tr w14:paraId="387DAD35"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61172353" w14:textId="77777777">
            <w:pPr>
              <w:rPr>
                <w:rFonts w:eastAsia="Times New Roman"/>
              </w:rPr>
            </w:pPr>
            <w:r w:rsidRPr="001351FC">
              <w:rPr>
                <w:rFonts w:eastAsia="Times New Roman"/>
              </w:rPr>
              <w:t>3.2. speciālais 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4FB31692" w14:textId="77777777">
            <w:pPr>
              <w:jc w:val="center"/>
            </w:pPr>
            <w:r w:rsidRPr="001351FC">
              <w:rPr>
                <w:rFonts w:eastAsia="Arial Unicode MS"/>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2475BCB4" w14:textId="77777777">
            <w:pPr>
              <w:jc w:val="center"/>
            </w:pPr>
            <w:r w:rsidRPr="00C37BBD">
              <w:rPr>
                <w:rFonts w:eastAsia="Arial Unicode MS"/>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F31CB6" w14:paraId="53D4FAD0" w14:textId="77777777">
            <w:pPr>
              <w:jc w:val="center"/>
              <w:rPr>
                <w:rFonts w:eastAsia="Times New Roman"/>
              </w:rPr>
            </w:pPr>
            <w:r w:rsidRPr="00C37BBD">
              <w:rPr>
                <w:rFonts w:eastAsia="Times New Roman"/>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F31CB6" w14:paraId="2CA6EAF6" w14:textId="77777777">
            <w:pPr>
              <w:jc w:val="center"/>
              <w:rPr>
                <w:rFonts w:eastAsia="Times New Roman"/>
              </w:rPr>
            </w:pPr>
            <w:r w:rsidRPr="00C37BBD">
              <w:rPr>
                <w:rFonts w:eastAsia="Times New Roman"/>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F31CB6" w14:paraId="1A909A57" w14:textId="77777777">
            <w:pPr>
              <w:jc w:val="center"/>
              <w:rPr>
                <w:rFonts w:eastAsia="Times New Roman"/>
              </w:rPr>
            </w:pPr>
            <w:r w:rsidRPr="00C37BBD">
              <w:rPr>
                <w:rFonts w:eastAsia="Times New Roman"/>
              </w:rPr>
              <w:t>0</w:t>
            </w:r>
          </w:p>
        </w:tc>
      </w:tr>
      <w:tr w14:paraId="583F220D"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486AAD89" w14:textId="77777777">
            <w:pPr>
              <w:rPr>
                <w:rFonts w:eastAsia="Times New Roman"/>
              </w:rPr>
            </w:pPr>
            <w:r w:rsidRPr="001351FC">
              <w:rPr>
                <w:rFonts w:eastAsia="Times New Roman"/>
              </w:rPr>
              <w:t>3.3. pašvaldību budžets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5612F" w:rsidRPr="001351FC" w:rsidP="001351FC" w14:paraId="3F902E19" w14:textId="77777777">
            <w:pPr>
              <w:jc w:val="center"/>
            </w:pPr>
            <w:r w:rsidRPr="001351FC">
              <w:rPr>
                <w:rFonts w:eastAsia="Arial Unicode MS"/>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1351FC" w14:paraId="194539F2" w14:textId="77777777">
            <w:pPr>
              <w:jc w:val="center"/>
            </w:pPr>
            <w:r w:rsidRPr="00C37BBD">
              <w:rPr>
                <w:rFonts w:eastAsia="Arial Unicode MS"/>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F31CB6" w14:paraId="0FCCA99F" w14:textId="77777777">
            <w:pPr>
              <w:jc w:val="center"/>
              <w:rPr>
                <w:rFonts w:eastAsia="Times New Roman"/>
              </w:rPr>
            </w:pPr>
            <w:r w:rsidRPr="00C37BBD">
              <w:rPr>
                <w:rFonts w:eastAsia="Times New Roman"/>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F31CB6" w14:paraId="3993EEC9" w14:textId="77777777">
            <w:pPr>
              <w:jc w:val="center"/>
              <w:rPr>
                <w:rFonts w:eastAsia="Times New Roman"/>
              </w:rPr>
            </w:pPr>
            <w:r w:rsidRPr="00C37BBD">
              <w:rPr>
                <w:rFonts w:eastAsia="Times New Roman"/>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5612F" w:rsidRPr="00C37BBD" w:rsidP="00F31CB6" w14:paraId="7B3C6D6E" w14:textId="77777777">
            <w:pPr>
              <w:jc w:val="center"/>
              <w:rPr>
                <w:rFonts w:eastAsia="Times New Roman"/>
              </w:rPr>
            </w:pPr>
            <w:r w:rsidRPr="00C37BBD">
              <w:rPr>
                <w:rFonts w:eastAsia="Times New Roman"/>
              </w:rPr>
              <w:t>0</w:t>
            </w:r>
          </w:p>
        </w:tc>
      </w:tr>
      <w:tr w14:paraId="4741CEC7"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090A27C4" w14:textId="77777777">
            <w:pPr>
              <w:rPr>
                <w:rFonts w:eastAsia="Times New Roman"/>
                <w:lang w:eastAsia="ja-JP"/>
              </w:rPr>
            </w:pPr>
            <w:r w:rsidRPr="001351FC">
              <w:rPr>
                <w:rFonts w:eastAsia="Times New Roman"/>
                <w:lang w:eastAsia="ja-JP"/>
              </w:rPr>
              <w:t>4. Finanšu līdzekļi papildu izdevumu finansēšanai (kompensējošu izdevumu samazinājumu norāda ar "+" zīmi)</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65A431EA" w14:textId="77777777">
            <w:pPr>
              <w:jc w:val="center"/>
              <w:rPr>
                <w:rFonts w:eastAsia="Arial Unicode MS"/>
              </w:rPr>
            </w:pPr>
            <w:r w:rsidRPr="001351FC">
              <w:rPr>
                <w:rFonts w:eastAsia="Arial Unicode MS"/>
              </w:rPr>
              <w:t>N/A</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1305A" w:rsidRPr="00C37BBD" w:rsidP="001351FC" w14:paraId="671BC22F" w14:textId="5615622A">
            <w:pPr>
              <w:jc w:val="center"/>
              <w:rPr>
                <w:rFonts w:eastAsia="Arial Unicode MS"/>
              </w:rPr>
            </w:pPr>
            <w:r w:rsidRPr="00C37BBD">
              <w:t>+</w:t>
            </w:r>
            <w:r w:rsidRPr="00C37BBD" w:rsidR="00C55E67">
              <w:t>182 120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1305A" w:rsidRPr="00C37BBD" w:rsidP="001351FC" w14:paraId="2EF57FA9" w14:textId="77777777">
            <w:pPr>
              <w:ind w:left="-30"/>
              <w:jc w:val="center"/>
              <w:rPr>
                <w:rFonts w:eastAsia="Times New Roman"/>
              </w:rPr>
            </w:pPr>
            <w:r w:rsidRPr="00C37BBD">
              <w:t>+</w:t>
            </w:r>
            <w:r w:rsidRPr="00C37BBD" w:rsidR="00F31CB6">
              <w:t>214 069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1305A" w:rsidRPr="00C37BBD" w:rsidP="001351FC" w14:paraId="1B2F302B" w14:textId="6D4B538D">
            <w:pPr>
              <w:ind w:left="-30"/>
              <w:jc w:val="center"/>
              <w:rPr>
                <w:rFonts w:eastAsia="Times New Roman"/>
              </w:rPr>
            </w:pPr>
            <w:r w:rsidRPr="00C37BBD">
              <w:t>+</w:t>
            </w:r>
            <w:r w:rsidRPr="00C37BBD" w:rsidR="00C55E67">
              <w:t>177 058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41305A" w:rsidRPr="00C37BBD" w:rsidP="001351FC" w14:paraId="7C5796D1" w14:textId="2ACDB4D1">
            <w:pPr>
              <w:ind w:left="-30"/>
              <w:jc w:val="center"/>
              <w:rPr>
                <w:rFonts w:eastAsia="Times New Roman"/>
              </w:rPr>
            </w:pPr>
            <w:r w:rsidRPr="00C37BBD">
              <w:t>+</w:t>
            </w:r>
            <w:r w:rsidRPr="00C37BBD" w:rsidR="00C55E67">
              <w:t>101 378</w:t>
            </w:r>
          </w:p>
        </w:tc>
      </w:tr>
      <w:tr w14:paraId="6B97E8D1"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42A69610" w14:textId="77777777">
            <w:pPr>
              <w:rPr>
                <w:rFonts w:eastAsia="Times New Roman"/>
                <w:lang w:eastAsia="ja-JP"/>
              </w:rPr>
            </w:pPr>
            <w:r w:rsidRPr="001351FC">
              <w:rPr>
                <w:rFonts w:eastAsia="Times New Roman"/>
                <w:lang w:eastAsia="ja-JP"/>
              </w:rPr>
              <w:t>5. Precizēta finansiālā ietekme:</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0BD7C1A0" w14:textId="77777777">
            <w:pPr>
              <w:jc w:val="center"/>
              <w:rPr>
                <w:rFonts w:eastAsia="Arial Unicode MS"/>
              </w:rPr>
            </w:pPr>
            <w:r w:rsidRPr="001351FC">
              <w:rPr>
                <w:rFonts w:eastAsia="Arial Unicode MS"/>
              </w:rPr>
              <w:t>N/A</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1305A" w:rsidRPr="00273E66" w:rsidP="001351FC" w14:paraId="6F2BDA7C" w14:textId="77777777">
            <w:pPr>
              <w:jc w:val="center"/>
              <w:rPr>
                <w:rFonts w:eastAsia="Arial Unicode MS"/>
              </w:rPr>
            </w:pPr>
            <w:r w:rsidRPr="00273E66">
              <w:t>N/A</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1305A" w:rsidRPr="00273E66" w:rsidP="001351FC" w14:paraId="0069AC34" w14:textId="77777777">
            <w:pPr>
              <w:jc w:val="center"/>
              <w:rPr>
                <w:rFonts w:eastAsia="Times New Roman"/>
              </w:rPr>
            </w:pPr>
            <w:r w:rsidRPr="00273E66">
              <w:t>N/A</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41305A" w:rsidRPr="00273E66" w:rsidP="001351FC" w14:paraId="710002C1" w14:textId="77777777">
            <w:pPr>
              <w:jc w:val="center"/>
              <w:rPr>
                <w:rFonts w:eastAsia="Times New Roman"/>
              </w:rPr>
            </w:pPr>
            <w:r w:rsidRPr="00273E66">
              <w:t>N/A</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41305A" w:rsidRPr="00273E66" w:rsidP="001351FC" w14:paraId="2876AB57" w14:textId="77777777">
            <w:pPr>
              <w:jc w:val="center"/>
              <w:rPr>
                <w:rFonts w:eastAsia="Times New Roman"/>
              </w:rPr>
            </w:pPr>
            <w:r w:rsidRPr="00273E66">
              <w:rPr>
                <w:rFonts w:eastAsia="Times New Roman"/>
              </w:rPr>
              <w:t>N/A</w:t>
            </w:r>
          </w:p>
        </w:tc>
      </w:tr>
      <w:tr w14:paraId="721E694C"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3DCB8D51" w14:textId="77777777">
            <w:pPr>
              <w:rPr>
                <w:rFonts w:eastAsia="Times New Roman"/>
                <w:lang w:eastAsia="ja-JP"/>
              </w:rPr>
            </w:pPr>
            <w:r w:rsidRPr="001351FC">
              <w:rPr>
                <w:rFonts w:eastAsia="Times New Roman"/>
                <w:lang w:eastAsia="ja-JP"/>
              </w:rPr>
              <w:t>6. Detalizēts ieņēmumu un izdevumu aprēķins (ja nepieciešams, detalizētu ieņēmumu un izdevumu aprēķinu var pievienot anotācijas pielikumā):</w:t>
            </w:r>
          </w:p>
        </w:tc>
        <w:tc>
          <w:tcPr>
            <w:tcW w:w="7539" w:type="dxa"/>
            <w:gridSpan w:val="5"/>
            <w:vMerge w:val="restart"/>
            <w:tcBorders>
              <w:top w:val="single" w:sz="4" w:space="0" w:color="auto"/>
              <w:left w:val="single" w:sz="4" w:space="0" w:color="auto"/>
              <w:right w:val="single" w:sz="4" w:space="0" w:color="auto"/>
            </w:tcBorders>
            <w:shd w:val="clear" w:color="auto" w:fill="auto"/>
          </w:tcPr>
          <w:p w:rsidR="0034796B" w:rsidP="004040B1" w14:paraId="2611327C" w14:textId="02AA9194">
            <w:pPr>
              <w:ind w:left="-54"/>
              <w:jc w:val="both"/>
              <w:rPr>
                <w:rFonts w:eastAsia="Times New Roman"/>
                <w:lang w:bidi="lo-LA"/>
              </w:rPr>
            </w:pPr>
            <w:r w:rsidRPr="001351FC">
              <w:rPr>
                <w:rFonts w:eastAsia="Times New Roman"/>
                <w:lang w:bidi="lo-LA"/>
              </w:rPr>
              <w:t>Saskaņā ar noteikumu projektu 8.3.1.</w:t>
            </w:r>
            <w:r w:rsidRPr="001351FC" w:rsidR="00521075">
              <w:rPr>
                <w:rFonts w:eastAsia="Times New Roman"/>
                <w:lang w:bidi="lo-LA"/>
              </w:rPr>
              <w:t>SAM projektam</w:t>
            </w:r>
            <w:r w:rsidRPr="001351FC">
              <w:rPr>
                <w:rFonts w:eastAsia="Times New Roman"/>
                <w:lang w:bidi="lo-LA"/>
              </w:rPr>
              <w:t xml:space="preserve"> p</w:t>
            </w:r>
            <w:r w:rsidRPr="001351FC">
              <w:t>ieejamais kopējais attiecināmais finansējums ir 18 458 382</w:t>
            </w:r>
            <w:r w:rsidRPr="001351FC">
              <w:rPr>
                <w:bCs/>
                <w:i/>
              </w:rPr>
              <w:t xml:space="preserve"> </w:t>
            </w:r>
            <w:r w:rsidRPr="001351FC">
              <w:rPr>
                <w:bCs/>
                <w:i/>
              </w:rPr>
              <w:t>euro</w:t>
            </w:r>
            <w:r w:rsidRPr="001351FC">
              <w:t xml:space="preserve">, tai skaitā </w:t>
            </w:r>
            <w:r w:rsidRPr="001351FC">
              <w:rPr>
                <w:bCs/>
              </w:rPr>
              <w:t xml:space="preserve">Eiropas Sociālā fonda </w:t>
            </w:r>
            <w:r w:rsidR="00DB3879">
              <w:rPr>
                <w:bCs/>
              </w:rPr>
              <w:t xml:space="preserve">(turpmāk – ESF) </w:t>
            </w:r>
            <w:r w:rsidR="00F27283">
              <w:t>finansējums – 15 689 624</w:t>
            </w:r>
            <w:r w:rsidRPr="001351FC">
              <w:t> </w:t>
            </w:r>
            <w:r w:rsidRPr="001351FC">
              <w:rPr>
                <w:bCs/>
                <w:i/>
              </w:rPr>
              <w:t>euro</w:t>
            </w:r>
            <w:r w:rsidRPr="001351FC">
              <w:t xml:space="preserve"> un valsts budžeta </w:t>
            </w:r>
            <w:r w:rsidR="00DB3879">
              <w:t xml:space="preserve">(turpmāk – budžeta) </w:t>
            </w:r>
            <w:r w:rsidR="00F27283">
              <w:t>līdzfinansējums – 2 768 758</w:t>
            </w:r>
            <w:r w:rsidRPr="001351FC">
              <w:t xml:space="preserve"> </w:t>
            </w:r>
            <w:r w:rsidRPr="001351FC">
              <w:rPr>
                <w:bCs/>
                <w:i/>
              </w:rPr>
              <w:t>euro</w:t>
            </w:r>
            <w:r w:rsidRPr="001351FC">
              <w:rPr>
                <w:rFonts w:eastAsia="Times New Roman"/>
                <w:lang w:bidi="lo-LA"/>
              </w:rPr>
              <w:t>. Minētajā kopē</w:t>
            </w:r>
            <w:r w:rsidR="00913D6E">
              <w:rPr>
                <w:rFonts w:eastAsia="Times New Roman"/>
                <w:lang w:bidi="lo-LA"/>
              </w:rPr>
              <w:t>jā finansējumā ietilpst papildu</w:t>
            </w:r>
            <w:r w:rsidRPr="001351FC">
              <w:rPr>
                <w:rFonts w:eastAsia="Times New Roman"/>
                <w:lang w:bidi="lo-LA"/>
              </w:rPr>
              <w:t xml:space="preserve"> finansējums 4 497 498 </w:t>
            </w:r>
            <w:r w:rsidRPr="001351FC">
              <w:rPr>
                <w:rFonts w:eastAsia="Times New Roman"/>
                <w:i/>
                <w:lang w:bidi="lo-LA"/>
              </w:rPr>
              <w:t>euro</w:t>
            </w:r>
            <w:r w:rsidRPr="001351FC">
              <w:rPr>
                <w:rFonts w:eastAsia="Times New Roman"/>
                <w:lang w:bidi="lo-LA"/>
              </w:rPr>
              <w:t xml:space="preserve"> apmērā, tai skaitā </w:t>
            </w:r>
            <w:r w:rsidR="00DB3879">
              <w:rPr>
                <w:bCs/>
              </w:rPr>
              <w:t>ESF</w:t>
            </w:r>
            <w:r w:rsidRPr="001351FC">
              <w:rPr>
                <w:bCs/>
              </w:rPr>
              <w:t xml:space="preserve"> </w:t>
            </w:r>
            <w:r w:rsidRPr="001351FC">
              <w:t xml:space="preserve">finansējums </w:t>
            </w:r>
            <w:r w:rsidRPr="001351FC" w:rsidR="00521075">
              <w:t>–</w:t>
            </w:r>
            <w:r w:rsidRPr="001351FC">
              <w:t xml:space="preserve"> </w:t>
            </w:r>
            <w:r w:rsidRPr="001351FC">
              <w:rPr>
                <w:rFonts w:eastAsia="Times New Roman"/>
                <w:lang w:bidi="lo-LA"/>
              </w:rPr>
              <w:t xml:space="preserve">3 822 873 </w:t>
            </w:r>
            <w:r w:rsidRPr="001351FC">
              <w:rPr>
                <w:rFonts w:eastAsia="Times New Roman"/>
                <w:i/>
                <w:lang w:bidi="lo-LA"/>
              </w:rPr>
              <w:t>euro</w:t>
            </w:r>
            <w:r w:rsidRPr="001351FC">
              <w:rPr>
                <w:rFonts w:eastAsia="Times New Roman"/>
                <w:lang w:bidi="lo-LA"/>
              </w:rPr>
              <w:t xml:space="preserve"> un budžeta līdzfinansējums – 674 625 </w:t>
            </w:r>
            <w:r w:rsidRPr="001351FC">
              <w:rPr>
                <w:rFonts w:eastAsia="Times New Roman"/>
                <w:i/>
                <w:lang w:bidi="lo-LA"/>
              </w:rPr>
              <w:t>euro</w:t>
            </w:r>
            <w:r w:rsidRPr="001351FC">
              <w:rPr>
                <w:rFonts w:eastAsia="Times New Roman"/>
                <w:lang w:bidi="lo-LA"/>
              </w:rPr>
              <w:t>.</w:t>
            </w:r>
          </w:p>
          <w:p w:rsidR="00BE06CF" w:rsidRPr="004040B1" w:rsidP="004040B1" w14:paraId="78B1F0C1" w14:textId="77777777">
            <w:pPr>
              <w:ind w:left="-54"/>
              <w:jc w:val="both"/>
              <w:rPr>
                <w:rFonts w:eastAsia="Times New Roman"/>
                <w:lang w:bidi="lo-LA"/>
              </w:rPr>
            </w:pPr>
          </w:p>
          <w:p w:rsidR="00C4035B" w:rsidRPr="00C37BBD" w:rsidP="00C4035B" w14:paraId="7CCA7391" w14:textId="40014650">
            <w:pPr>
              <w:rPr>
                <w:rFonts w:eastAsiaTheme="minorHAnsi"/>
                <w:lang w:eastAsia="en-US"/>
              </w:rPr>
            </w:pPr>
            <w:r w:rsidRPr="00C37BBD">
              <w:rPr>
                <w:rFonts w:eastAsiaTheme="minorHAnsi"/>
                <w:lang w:eastAsia="en-US"/>
              </w:rPr>
              <w:t>F</w:t>
            </w:r>
            <w:r w:rsidRPr="00C37BBD">
              <w:rPr>
                <w:rFonts w:eastAsiaTheme="minorHAnsi"/>
                <w:lang w:eastAsia="en-US"/>
              </w:rPr>
              <w:t>inan</w:t>
            </w:r>
            <w:r w:rsidRPr="00C37BBD" w:rsidR="001E2C60">
              <w:rPr>
                <w:rFonts w:eastAsiaTheme="minorHAnsi"/>
                <w:lang w:eastAsia="en-US"/>
              </w:rPr>
              <w:t xml:space="preserve">sējuma sadalījums pa gadiem, </w:t>
            </w:r>
            <w:r w:rsidRPr="00C37BBD" w:rsidR="001E2C60">
              <w:rPr>
                <w:rFonts w:eastAsiaTheme="minorHAnsi"/>
                <w:i/>
                <w:lang w:eastAsia="en-US"/>
              </w:rPr>
              <w:t>euro</w:t>
            </w:r>
          </w:p>
          <w:tbl>
            <w:tblPr>
              <w:tblStyle w:val="TableGrid"/>
              <w:tblW w:w="4815" w:type="dxa"/>
              <w:tblLayout w:type="fixed"/>
              <w:tblLook w:val="04A0"/>
            </w:tblPr>
            <w:tblGrid>
              <w:gridCol w:w="960"/>
              <w:gridCol w:w="1729"/>
              <w:gridCol w:w="2126"/>
            </w:tblGrid>
            <w:tr w14:paraId="60D9E8EA" w14:textId="77777777" w:rsidTr="0027782F">
              <w:tblPrEx>
                <w:tblW w:w="4815" w:type="dxa"/>
                <w:tblLayout w:type="fixed"/>
                <w:tblLook w:val="04A0"/>
              </w:tblPrEx>
              <w:trPr>
                <w:trHeight w:val="315"/>
              </w:trPr>
              <w:tc>
                <w:tcPr>
                  <w:tcW w:w="960" w:type="dxa"/>
                  <w:hideMark/>
                </w:tcPr>
                <w:p w:rsidR="004040B1" w:rsidRPr="00273E66" w:rsidP="00B53338" w14:paraId="392E75AE" w14:textId="77777777">
                  <w:pPr>
                    <w:framePr w:hSpace="180" w:wrap="around" w:vAnchor="text" w:hAnchor="text" w:y="1"/>
                    <w:suppressOverlap/>
                  </w:pPr>
                  <w:r w:rsidRPr="00273E66">
                    <w:t>Gadi</w:t>
                  </w:r>
                </w:p>
              </w:tc>
              <w:tc>
                <w:tcPr>
                  <w:tcW w:w="1729" w:type="dxa"/>
                  <w:noWrap/>
                  <w:hideMark/>
                </w:tcPr>
                <w:p w:rsidR="004040B1" w:rsidRPr="00273E66" w:rsidP="00B53338" w14:paraId="466558EC" w14:textId="77777777">
                  <w:pPr>
                    <w:framePr w:hSpace="180" w:wrap="around" w:vAnchor="text" w:hAnchor="text" w:y="1"/>
                    <w:suppressOverlap/>
                  </w:pPr>
                  <w:r w:rsidRPr="00273E66">
                    <w:t>Kopējais finansējums</w:t>
                  </w:r>
                </w:p>
              </w:tc>
              <w:tc>
                <w:tcPr>
                  <w:tcW w:w="2126" w:type="dxa"/>
                  <w:noWrap/>
                  <w:hideMark/>
                </w:tcPr>
                <w:p w:rsidR="004040B1" w:rsidRPr="00273E66" w:rsidP="00B53338" w14:paraId="39111EDD" w14:textId="77777777">
                  <w:pPr>
                    <w:framePr w:hSpace="180" w:wrap="around" w:vAnchor="text" w:hAnchor="text" w:y="1"/>
                    <w:suppressOverlap/>
                  </w:pPr>
                  <w:r w:rsidRPr="00273E66">
                    <w:t>Tai skaitā papildu finansējums</w:t>
                  </w:r>
                </w:p>
              </w:tc>
            </w:tr>
            <w:tr w14:paraId="690AABF5" w14:textId="77777777" w:rsidTr="0027782F">
              <w:tblPrEx>
                <w:tblW w:w="4815" w:type="dxa"/>
                <w:tblLayout w:type="fixed"/>
                <w:tblLook w:val="04A0"/>
              </w:tblPrEx>
              <w:trPr>
                <w:trHeight w:val="315"/>
              </w:trPr>
              <w:tc>
                <w:tcPr>
                  <w:tcW w:w="960" w:type="dxa"/>
                  <w:noWrap/>
                  <w:hideMark/>
                </w:tcPr>
                <w:p w:rsidR="004040B1" w:rsidRPr="00273E66" w:rsidP="00B53338" w14:paraId="22C930AD" w14:textId="77777777">
                  <w:pPr>
                    <w:framePr w:hSpace="180" w:wrap="around" w:vAnchor="text" w:hAnchor="text" w:y="1"/>
                    <w:suppressOverlap/>
                  </w:pPr>
                  <w:r w:rsidRPr="00273E66">
                    <w:t>2016</w:t>
                  </w:r>
                </w:p>
              </w:tc>
              <w:tc>
                <w:tcPr>
                  <w:tcW w:w="1729" w:type="dxa"/>
                  <w:noWrap/>
                  <w:hideMark/>
                </w:tcPr>
                <w:p w:rsidR="004040B1" w:rsidRPr="00273E66" w:rsidP="00B53338" w14:paraId="1B5D2442" w14:textId="77777777">
                  <w:pPr>
                    <w:framePr w:hSpace="180" w:wrap="around" w:vAnchor="text" w:hAnchor="text" w:y="1"/>
                    <w:suppressOverlap/>
                  </w:pPr>
                  <w:r w:rsidRPr="00273E66">
                    <w:t xml:space="preserve"> 208 834 </w:t>
                  </w:r>
                </w:p>
              </w:tc>
              <w:tc>
                <w:tcPr>
                  <w:tcW w:w="2126" w:type="dxa"/>
                  <w:noWrap/>
                  <w:hideMark/>
                </w:tcPr>
                <w:p w:rsidR="004040B1" w:rsidRPr="00273E66" w:rsidP="00B53338" w14:paraId="5F44AF6C" w14:textId="77777777">
                  <w:pPr>
                    <w:framePr w:hSpace="180" w:wrap="around" w:vAnchor="text" w:hAnchor="text" w:y="1"/>
                    <w:suppressOverlap/>
                  </w:pPr>
                  <w:r w:rsidRPr="00273E66">
                    <w:t xml:space="preserve"> - </w:t>
                  </w:r>
                </w:p>
              </w:tc>
            </w:tr>
            <w:tr w14:paraId="77DBB96F" w14:textId="77777777" w:rsidTr="0027782F">
              <w:tblPrEx>
                <w:tblW w:w="4815" w:type="dxa"/>
                <w:tblLayout w:type="fixed"/>
                <w:tblLook w:val="04A0"/>
              </w:tblPrEx>
              <w:trPr>
                <w:trHeight w:val="315"/>
              </w:trPr>
              <w:tc>
                <w:tcPr>
                  <w:tcW w:w="960" w:type="dxa"/>
                  <w:noWrap/>
                  <w:hideMark/>
                </w:tcPr>
                <w:p w:rsidR="004040B1" w:rsidRPr="00273E66" w:rsidP="00B53338" w14:paraId="5973BB28" w14:textId="77777777">
                  <w:pPr>
                    <w:framePr w:hSpace="180" w:wrap="around" w:vAnchor="text" w:hAnchor="text" w:y="1"/>
                    <w:suppressOverlap/>
                  </w:pPr>
                  <w:r w:rsidRPr="00273E66">
                    <w:t>2017</w:t>
                  </w:r>
                </w:p>
              </w:tc>
              <w:tc>
                <w:tcPr>
                  <w:tcW w:w="1729" w:type="dxa"/>
                  <w:noWrap/>
                  <w:hideMark/>
                </w:tcPr>
                <w:p w:rsidR="004040B1" w:rsidRPr="00273E66" w:rsidP="00B53338" w14:paraId="47DFCF9D" w14:textId="77777777">
                  <w:pPr>
                    <w:framePr w:hSpace="180" w:wrap="around" w:vAnchor="text" w:hAnchor="text" w:y="1"/>
                    <w:suppressOverlap/>
                  </w:pPr>
                  <w:r w:rsidRPr="00273E66">
                    <w:t xml:space="preserve"> 2 867 445 </w:t>
                  </w:r>
                </w:p>
              </w:tc>
              <w:tc>
                <w:tcPr>
                  <w:tcW w:w="2126" w:type="dxa"/>
                  <w:noWrap/>
                  <w:hideMark/>
                </w:tcPr>
                <w:p w:rsidR="004040B1" w:rsidRPr="00273E66" w:rsidP="00B53338" w14:paraId="702C8AF5" w14:textId="77777777">
                  <w:pPr>
                    <w:framePr w:hSpace="180" w:wrap="around" w:vAnchor="text" w:hAnchor="text" w:y="1"/>
                    <w:suppressOverlap/>
                  </w:pPr>
                  <w:r w:rsidRPr="00273E66">
                    <w:t xml:space="preserve"> - </w:t>
                  </w:r>
                </w:p>
              </w:tc>
            </w:tr>
            <w:tr w14:paraId="1F82FB9C" w14:textId="77777777" w:rsidTr="0027782F">
              <w:tblPrEx>
                <w:tblW w:w="4815" w:type="dxa"/>
                <w:tblLayout w:type="fixed"/>
                <w:tblLook w:val="04A0"/>
              </w:tblPrEx>
              <w:trPr>
                <w:trHeight w:val="315"/>
              </w:trPr>
              <w:tc>
                <w:tcPr>
                  <w:tcW w:w="960" w:type="dxa"/>
                  <w:noWrap/>
                  <w:hideMark/>
                </w:tcPr>
                <w:p w:rsidR="004040B1" w:rsidRPr="00273E66" w:rsidP="00B53338" w14:paraId="4365CED6" w14:textId="77777777">
                  <w:pPr>
                    <w:framePr w:hSpace="180" w:wrap="around" w:vAnchor="text" w:hAnchor="text" w:y="1"/>
                    <w:suppressOverlap/>
                  </w:pPr>
                  <w:r w:rsidRPr="00273E66">
                    <w:t>2018</w:t>
                  </w:r>
                </w:p>
              </w:tc>
              <w:tc>
                <w:tcPr>
                  <w:tcW w:w="1729" w:type="dxa"/>
                  <w:noWrap/>
                  <w:hideMark/>
                </w:tcPr>
                <w:p w:rsidR="004040B1" w:rsidRPr="00273E66" w:rsidP="00B53338" w14:paraId="33BCB6CB" w14:textId="77777777">
                  <w:pPr>
                    <w:framePr w:hSpace="180" w:wrap="around" w:vAnchor="text" w:hAnchor="text" w:y="1"/>
                    <w:suppressOverlap/>
                  </w:pPr>
                  <w:r w:rsidRPr="00273E66">
                    <w:t xml:space="preserve"> 6 226 095 </w:t>
                  </w:r>
                </w:p>
              </w:tc>
              <w:tc>
                <w:tcPr>
                  <w:tcW w:w="2126" w:type="dxa"/>
                  <w:noWrap/>
                  <w:hideMark/>
                </w:tcPr>
                <w:p w:rsidR="004040B1" w:rsidRPr="00273E66" w:rsidP="00B53338" w14:paraId="69BD556C" w14:textId="77777777">
                  <w:pPr>
                    <w:framePr w:hSpace="180" w:wrap="around" w:vAnchor="text" w:hAnchor="text" w:y="1"/>
                    <w:suppressOverlap/>
                  </w:pPr>
                  <w:r w:rsidRPr="00273E66">
                    <w:t>1 214 143</w:t>
                  </w:r>
                </w:p>
              </w:tc>
            </w:tr>
            <w:tr w14:paraId="294AC96D" w14:textId="77777777" w:rsidTr="0027782F">
              <w:tblPrEx>
                <w:tblW w:w="4815" w:type="dxa"/>
                <w:tblLayout w:type="fixed"/>
                <w:tblLook w:val="04A0"/>
              </w:tblPrEx>
              <w:trPr>
                <w:trHeight w:val="315"/>
              </w:trPr>
              <w:tc>
                <w:tcPr>
                  <w:tcW w:w="960" w:type="dxa"/>
                  <w:noWrap/>
                  <w:hideMark/>
                </w:tcPr>
                <w:p w:rsidR="004040B1" w:rsidRPr="00273E66" w:rsidP="00B53338" w14:paraId="7EFB4E4F" w14:textId="77777777">
                  <w:pPr>
                    <w:framePr w:hSpace="180" w:wrap="around" w:vAnchor="text" w:hAnchor="text" w:y="1"/>
                    <w:suppressOverlap/>
                  </w:pPr>
                  <w:r w:rsidRPr="00273E66">
                    <w:t>2019</w:t>
                  </w:r>
                </w:p>
              </w:tc>
              <w:tc>
                <w:tcPr>
                  <w:tcW w:w="1729" w:type="dxa"/>
                  <w:noWrap/>
                  <w:hideMark/>
                </w:tcPr>
                <w:p w:rsidR="004040B1" w:rsidRPr="00273E66" w:rsidP="00B53338" w14:paraId="09F82736" w14:textId="77777777">
                  <w:pPr>
                    <w:framePr w:hSpace="180" w:wrap="around" w:vAnchor="text" w:hAnchor="text" w:y="1"/>
                    <w:suppressOverlap/>
                  </w:pPr>
                  <w:r w:rsidRPr="00273E66">
                    <w:t xml:space="preserve"> 6 088 126 </w:t>
                  </w:r>
                </w:p>
              </w:tc>
              <w:tc>
                <w:tcPr>
                  <w:tcW w:w="2126" w:type="dxa"/>
                  <w:noWrap/>
                  <w:hideMark/>
                </w:tcPr>
                <w:p w:rsidR="004040B1" w:rsidRPr="00273E66" w:rsidP="00B53338" w14:paraId="1004F57F" w14:textId="77777777">
                  <w:pPr>
                    <w:framePr w:hSpace="180" w:wrap="around" w:vAnchor="text" w:hAnchor="text" w:y="1"/>
                    <w:suppressOverlap/>
                  </w:pPr>
                  <w:r w:rsidRPr="00273E66">
                    <w:t>1 427 126</w:t>
                  </w:r>
                </w:p>
              </w:tc>
            </w:tr>
            <w:tr w14:paraId="6FCB51F8" w14:textId="77777777" w:rsidTr="0027782F">
              <w:tblPrEx>
                <w:tblW w:w="4815" w:type="dxa"/>
                <w:tblLayout w:type="fixed"/>
                <w:tblLook w:val="04A0"/>
              </w:tblPrEx>
              <w:trPr>
                <w:trHeight w:val="315"/>
              </w:trPr>
              <w:tc>
                <w:tcPr>
                  <w:tcW w:w="960" w:type="dxa"/>
                  <w:noWrap/>
                  <w:hideMark/>
                </w:tcPr>
                <w:p w:rsidR="004040B1" w:rsidRPr="00273E66" w:rsidP="00B53338" w14:paraId="351E2E98" w14:textId="77777777">
                  <w:pPr>
                    <w:framePr w:hSpace="180" w:wrap="around" w:vAnchor="text" w:hAnchor="text" w:y="1"/>
                    <w:suppressOverlap/>
                  </w:pPr>
                  <w:r w:rsidRPr="00273E66">
                    <w:t>2020</w:t>
                  </w:r>
                </w:p>
              </w:tc>
              <w:tc>
                <w:tcPr>
                  <w:tcW w:w="1729" w:type="dxa"/>
                  <w:noWrap/>
                  <w:hideMark/>
                </w:tcPr>
                <w:p w:rsidR="004040B1" w:rsidRPr="00273E66" w:rsidP="00B53338" w14:paraId="61EE4872" w14:textId="77777777">
                  <w:pPr>
                    <w:framePr w:hSpace="180" w:wrap="around" w:vAnchor="text" w:hAnchor="text" w:y="1"/>
                    <w:suppressOverlap/>
                  </w:pPr>
                  <w:r w:rsidRPr="00273E66">
                    <w:t xml:space="preserve"> 2 102 293 </w:t>
                  </w:r>
                </w:p>
              </w:tc>
              <w:tc>
                <w:tcPr>
                  <w:tcW w:w="2126" w:type="dxa"/>
                  <w:noWrap/>
                  <w:hideMark/>
                </w:tcPr>
                <w:p w:rsidR="004040B1" w:rsidRPr="00273E66" w:rsidP="00B53338" w14:paraId="0D5E2558" w14:textId="77777777">
                  <w:pPr>
                    <w:framePr w:hSpace="180" w:wrap="around" w:vAnchor="text" w:hAnchor="text" w:y="1"/>
                    <w:suppressOverlap/>
                  </w:pPr>
                  <w:r w:rsidRPr="00273E66">
                    <w:t>1 180 382</w:t>
                  </w:r>
                </w:p>
              </w:tc>
            </w:tr>
            <w:tr w14:paraId="3F18C47B" w14:textId="77777777" w:rsidTr="0027782F">
              <w:tblPrEx>
                <w:tblW w:w="4815" w:type="dxa"/>
                <w:tblLayout w:type="fixed"/>
                <w:tblLook w:val="04A0"/>
              </w:tblPrEx>
              <w:trPr>
                <w:trHeight w:val="315"/>
              </w:trPr>
              <w:tc>
                <w:tcPr>
                  <w:tcW w:w="960" w:type="dxa"/>
                  <w:noWrap/>
                  <w:hideMark/>
                </w:tcPr>
                <w:p w:rsidR="004040B1" w:rsidRPr="00273E66" w:rsidP="00B53338" w14:paraId="66148F5A" w14:textId="77777777">
                  <w:pPr>
                    <w:framePr w:hSpace="180" w:wrap="around" w:vAnchor="text" w:hAnchor="text" w:y="1"/>
                    <w:suppressOverlap/>
                  </w:pPr>
                  <w:r w:rsidRPr="00273E66">
                    <w:t>2021</w:t>
                  </w:r>
                </w:p>
              </w:tc>
              <w:tc>
                <w:tcPr>
                  <w:tcW w:w="1729" w:type="dxa"/>
                  <w:noWrap/>
                  <w:hideMark/>
                </w:tcPr>
                <w:p w:rsidR="004040B1" w:rsidRPr="00273E66" w:rsidP="00B53338" w14:paraId="3DCC5E11" w14:textId="77777777">
                  <w:pPr>
                    <w:framePr w:hSpace="180" w:wrap="around" w:vAnchor="text" w:hAnchor="text" w:y="1"/>
                    <w:suppressOverlap/>
                  </w:pPr>
                  <w:r w:rsidRPr="00273E66">
                    <w:t xml:space="preserve"> 965 589 </w:t>
                  </w:r>
                </w:p>
              </w:tc>
              <w:tc>
                <w:tcPr>
                  <w:tcW w:w="2126" w:type="dxa"/>
                  <w:noWrap/>
                  <w:hideMark/>
                </w:tcPr>
                <w:p w:rsidR="004040B1" w:rsidRPr="00273E66" w:rsidP="00B53338" w14:paraId="64417B01" w14:textId="77777777">
                  <w:pPr>
                    <w:framePr w:hSpace="180" w:wrap="around" w:vAnchor="text" w:hAnchor="text" w:y="1"/>
                    <w:suppressOverlap/>
                  </w:pPr>
                  <w:r w:rsidRPr="00273E66">
                    <w:t xml:space="preserve"> 675 847</w:t>
                  </w:r>
                </w:p>
              </w:tc>
            </w:tr>
            <w:tr w14:paraId="4CE830F2" w14:textId="77777777" w:rsidTr="0027782F">
              <w:tblPrEx>
                <w:tblW w:w="4815" w:type="dxa"/>
                <w:tblLayout w:type="fixed"/>
                <w:tblLook w:val="04A0"/>
              </w:tblPrEx>
              <w:trPr>
                <w:trHeight w:val="315"/>
              </w:trPr>
              <w:tc>
                <w:tcPr>
                  <w:tcW w:w="960" w:type="dxa"/>
                  <w:noWrap/>
                  <w:hideMark/>
                </w:tcPr>
                <w:p w:rsidR="004040B1" w:rsidRPr="00273E66" w:rsidP="00B53338" w14:paraId="34368AD6" w14:textId="77777777">
                  <w:pPr>
                    <w:framePr w:hSpace="180" w:wrap="around" w:vAnchor="text" w:hAnchor="text" w:y="1"/>
                    <w:suppressOverlap/>
                  </w:pPr>
                  <w:r w:rsidRPr="00273E66">
                    <w:t>Kopā:</w:t>
                  </w:r>
                </w:p>
              </w:tc>
              <w:tc>
                <w:tcPr>
                  <w:tcW w:w="1729" w:type="dxa"/>
                  <w:noWrap/>
                  <w:hideMark/>
                </w:tcPr>
                <w:p w:rsidR="004040B1" w:rsidRPr="00273E66" w:rsidP="00B53338" w14:paraId="2B78F9A7" w14:textId="77777777">
                  <w:pPr>
                    <w:framePr w:hSpace="180" w:wrap="around" w:vAnchor="text" w:hAnchor="text" w:y="1"/>
                    <w:suppressOverlap/>
                  </w:pPr>
                  <w:r w:rsidRPr="00273E66">
                    <w:t xml:space="preserve"> 18 458 382 </w:t>
                  </w:r>
                </w:p>
              </w:tc>
              <w:tc>
                <w:tcPr>
                  <w:tcW w:w="2126" w:type="dxa"/>
                  <w:noWrap/>
                  <w:hideMark/>
                </w:tcPr>
                <w:p w:rsidR="004040B1" w:rsidRPr="00273E66" w:rsidP="00B53338" w14:paraId="5B0E4133" w14:textId="77777777">
                  <w:pPr>
                    <w:framePr w:hSpace="180" w:wrap="around" w:vAnchor="text" w:hAnchor="text" w:y="1"/>
                    <w:suppressOverlap/>
                  </w:pPr>
                  <w:r w:rsidRPr="00273E66">
                    <w:t xml:space="preserve">  4 497 498</w:t>
                  </w:r>
                </w:p>
              </w:tc>
            </w:tr>
          </w:tbl>
          <w:p w:rsidR="00EF1CC5" w:rsidRPr="00C00421" w:rsidP="00DB3879" w14:paraId="324A940C" w14:textId="77777777">
            <w:pPr>
              <w:jc w:val="both"/>
              <w:rPr>
                <w:bCs/>
              </w:rPr>
            </w:pPr>
          </w:p>
        </w:tc>
      </w:tr>
      <w:tr w14:paraId="183823E8"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13BA79C1" w14:textId="77777777">
            <w:pPr>
              <w:rPr>
                <w:rFonts w:eastAsia="Times New Roman"/>
                <w:lang w:eastAsia="ja-JP"/>
              </w:rPr>
            </w:pPr>
            <w:r w:rsidRPr="001351FC">
              <w:rPr>
                <w:rFonts w:eastAsia="Times New Roman"/>
                <w:lang w:eastAsia="ja-JP"/>
              </w:rPr>
              <w:t>6.1. detalizēts ieņēmumu aprēķins</w:t>
            </w:r>
          </w:p>
        </w:tc>
        <w:tc>
          <w:tcPr>
            <w:tcW w:w="7539" w:type="dxa"/>
            <w:gridSpan w:val="5"/>
            <w:vMerge/>
            <w:tcBorders>
              <w:left w:val="single" w:sz="4" w:space="0" w:color="auto"/>
              <w:right w:val="single" w:sz="4" w:space="0" w:color="auto"/>
            </w:tcBorders>
            <w:shd w:val="clear" w:color="auto" w:fill="auto"/>
          </w:tcPr>
          <w:p w:rsidR="0041305A" w:rsidRPr="001351FC" w:rsidP="001351FC" w14:paraId="73DD9F60" w14:textId="77777777">
            <w:pPr>
              <w:pStyle w:val="ListParagraph"/>
              <w:tabs>
                <w:tab w:val="left" w:pos="317"/>
              </w:tabs>
              <w:ind w:left="34"/>
              <w:jc w:val="both"/>
              <w:rPr>
                <w:bCs/>
                <w:sz w:val="24"/>
                <w:szCs w:val="24"/>
                <w:lang w:eastAsia="en-US"/>
              </w:rPr>
            </w:pPr>
          </w:p>
        </w:tc>
      </w:tr>
      <w:tr w14:paraId="7C6957E3"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3CC642D7" w14:textId="77777777">
            <w:pPr>
              <w:rPr>
                <w:rFonts w:eastAsia="Times New Roman"/>
                <w:lang w:eastAsia="ja-JP"/>
              </w:rPr>
            </w:pPr>
            <w:r w:rsidRPr="001351FC">
              <w:rPr>
                <w:rFonts w:eastAsia="Times New Roman"/>
                <w:lang w:eastAsia="ja-JP"/>
              </w:rPr>
              <w:t>6.2. detalizēts izdevumu aprēķins</w:t>
            </w:r>
          </w:p>
        </w:tc>
        <w:tc>
          <w:tcPr>
            <w:tcW w:w="7539" w:type="dxa"/>
            <w:gridSpan w:val="5"/>
            <w:vMerge/>
            <w:tcBorders>
              <w:left w:val="single" w:sz="4" w:space="0" w:color="auto"/>
              <w:bottom w:val="single" w:sz="4" w:space="0" w:color="auto"/>
              <w:right w:val="single" w:sz="4" w:space="0" w:color="auto"/>
            </w:tcBorders>
            <w:shd w:val="clear" w:color="auto" w:fill="auto"/>
          </w:tcPr>
          <w:p w:rsidR="0041305A" w:rsidRPr="001351FC" w:rsidP="001351FC" w14:paraId="1CFEF77E" w14:textId="77777777">
            <w:pPr>
              <w:pStyle w:val="ListParagraph"/>
              <w:tabs>
                <w:tab w:val="left" w:pos="317"/>
              </w:tabs>
              <w:ind w:left="34"/>
              <w:jc w:val="both"/>
              <w:rPr>
                <w:bCs/>
                <w:sz w:val="24"/>
                <w:szCs w:val="24"/>
                <w:lang w:eastAsia="en-US"/>
              </w:rPr>
            </w:pPr>
          </w:p>
        </w:tc>
      </w:tr>
      <w:tr w14:paraId="0015C19D"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705DABBA" w14:textId="77777777">
            <w:pPr>
              <w:rPr>
                <w:rFonts w:eastAsia="Times New Roman"/>
                <w:lang w:eastAsia="ja-JP"/>
              </w:rPr>
            </w:pPr>
            <w:r w:rsidRPr="001351FC">
              <w:rPr>
                <w:rFonts w:eastAsia="Times New Roman"/>
                <w:lang w:eastAsia="ja-JP"/>
              </w:rPr>
              <w:t>7. Amata vietu skaita izmaiņas</w:t>
            </w:r>
          </w:p>
        </w:tc>
        <w:tc>
          <w:tcPr>
            <w:tcW w:w="7539" w:type="dxa"/>
            <w:gridSpan w:val="5"/>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5491FFF8" w14:textId="77777777">
            <w:pPr>
              <w:ind w:left="-54"/>
              <w:jc w:val="both"/>
              <w:rPr>
                <w:rFonts w:eastAsia="Times New Roman"/>
                <w:lang w:eastAsia="ja-JP"/>
              </w:rPr>
            </w:pPr>
            <w:r w:rsidRPr="001351FC">
              <w:rPr>
                <w:iCs/>
                <w:color w:val="000000"/>
              </w:rPr>
              <w:t>Noteikumu projekts šo jomu neskar.</w:t>
            </w:r>
          </w:p>
        </w:tc>
      </w:tr>
      <w:tr w14:paraId="5F4268CB" w14:textId="77777777" w:rsidTr="008772B7">
        <w:tblPrEx>
          <w:tblW w:w="9209" w:type="dxa"/>
          <w:tblLayout w:type="fixed"/>
          <w:tblLook w:val="04A0"/>
        </w:tblPrEx>
        <w:tc>
          <w:tcPr>
            <w:tcW w:w="1670" w:type="dxa"/>
            <w:tcBorders>
              <w:top w:val="single" w:sz="4" w:space="0" w:color="auto"/>
              <w:left w:val="single" w:sz="4" w:space="0" w:color="auto"/>
              <w:bottom w:val="single" w:sz="4" w:space="0" w:color="auto"/>
              <w:right w:val="single" w:sz="4" w:space="0" w:color="auto"/>
            </w:tcBorders>
            <w:shd w:val="clear" w:color="auto" w:fill="auto"/>
          </w:tcPr>
          <w:p w:rsidR="0041305A" w:rsidRPr="001351FC" w:rsidP="001351FC" w14:paraId="5DB14274" w14:textId="77777777">
            <w:pPr>
              <w:rPr>
                <w:rFonts w:eastAsia="Times New Roman"/>
                <w:lang w:eastAsia="ja-JP"/>
              </w:rPr>
            </w:pPr>
            <w:r w:rsidRPr="001351FC">
              <w:rPr>
                <w:rFonts w:eastAsia="Times New Roman"/>
                <w:lang w:eastAsia="ja-JP"/>
              </w:rPr>
              <w:t>8. Cita informācija</w:t>
            </w:r>
          </w:p>
        </w:tc>
        <w:tc>
          <w:tcPr>
            <w:tcW w:w="7539" w:type="dxa"/>
            <w:gridSpan w:val="5"/>
            <w:tcBorders>
              <w:top w:val="single" w:sz="4" w:space="0" w:color="auto"/>
              <w:left w:val="single" w:sz="4" w:space="0" w:color="auto"/>
              <w:bottom w:val="single" w:sz="4" w:space="0" w:color="auto"/>
              <w:right w:val="single" w:sz="4" w:space="0" w:color="auto"/>
            </w:tcBorders>
            <w:shd w:val="clear" w:color="auto" w:fill="auto"/>
          </w:tcPr>
          <w:p w:rsidR="0067518D" w:rsidP="00477435" w14:paraId="744F529A" w14:textId="77777777">
            <w:pPr>
              <w:ind w:left="-54" w:right="57"/>
              <w:jc w:val="both"/>
              <w:rPr>
                <w:rFonts w:eastAsia="Times New Roman"/>
              </w:rPr>
            </w:pPr>
            <w:r w:rsidRPr="001351FC">
              <w:rPr>
                <w:rFonts w:eastAsia="Times New Roman"/>
                <w:lang w:bidi="lo-LA"/>
              </w:rPr>
              <w:t>Finansējuma sadalījums pa gadiem norādīts indikatīvi.</w:t>
            </w:r>
            <w:r w:rsidR="006E48A2">
              <w:rPr>
                <w:rFonts w:eastAsia="Times New Roman"/>
                <w:lang w:bidi="lo-LA"/>
              </w:rPr>
              <w:t xml:space="preserve"> </w:t>
            </w:r>
          </w:p>
          <w:p w:rsidR="0041305A" w:rsidRPr="00273E66" w:rsidP="00477435" w14:paraId="2220CC18" w14:textId="77777777">
            <w:pPr>
              <w:ind w:right="57"/>
              <w:jc w:val="both"/>
              <w:rPr>
                <w:rFonts w:eastAsia="Times New Roman"/>
                <w:lang w:eastAsia="ja-JP"/>
              </w:rPr>
            </w:pPr>
            <w:r w:rsidRPr="00273E66">
              <w:rPr>
                <w:rFonts w:eastAsia="Times New Roman"/>
              </w:rPr>
              <w:t xml:space="preserve">Finansējums minēto papildu pasākumu īstenošanai </w:t>
            </w:r>
            <w:r w:rsidRPr="00273E66">
              <w:rPr>
                <w:rFonts w:eastAsia="Times New Roman"/>
                <w:lang w:bidi="lo-LA"/>
              </w:rPr>
              <w:t xml:space="preserve">4 497 498 </w:t>
            </w:r>
            <w:r w:rsidRPr="00273E66">
              <w:rPr>
                <w:rFonts w:eastAsia="Times New Roman"/>
                <w:i/>
                <w:lang w:bidi="lo-LA"/>
              </w:rPr>
              <w:t>euro</w:t>
            </w:r>
            <w:r w:rsidRPr="00273E66">
              <w:rPr>
                <w:rFonts w:eastAsia="Times New Roman"/>
                <w:lang w:bidi="lo-LA"/>
              </w:rPr>
              <w:t xml:space="preserve"> apmērā</w:t>
            </w:r>
            <w:r w:rsidRPr="00273E66" w:rsidR="00DB3879">
              <w:rPr>
                <w:rFonts w:eastAsia="Times New Roman"/>
                <w:lang w:bidi="lo-LA"/>
              </w:rPr>
              <w:t xml:space="preserve"> (tai skaitā ESF </w:t>
            </w:r>
            <w:r w:rsidRPr="00273E66" w:rsidR="00DB3879">
              <w:rPr>
                <w:rFonts w:eastAsia="Times New Roman"/>
              </w:rPr>
              <w:t xml:space="preserve">3 822 873 </w:t>
            </w:r>
            <w:r w:rsidRPr="00273E66" w:rsidR="00DB3879">
              <w:rPr>
                <w:rFonts w:eastAsia="Times New Roman"/>
                <w:i/>
              </w:rPr>
              <w:t>euro</w:t>
            </w:r>
            <w:r w:rsidRPr="00273E66" w:rsidR="00DB3879">
              <w:rPr>
                <w:rFonts w:eastAsia="Times New Roman"/>
              </w:rPr>
              <w:t xml:space="preserve"> un budžeta līdzfinansējums 674 625 </w:t>
            </w:r>
            <w:r w:rsidRPr="00273E66" w:rsidR="00DB3879">
              <w:rPr>
                <w:rFonts w:eastAsia="Times New Roman"/>
                <w:i/>
              </w:rPr>
              <w:t>euro</w:t>
            </w:r>
            <w:r w:rsidRPr="00273E66" w:rsidR="00DB3879">
              <w:rPr>
                <w:rFonts w:eastAsia="Times New Roman"/>
              </w:rPr>
              <w:t>)</w:t>
            </w:r>
            <w:r w:rsidRPr="00273E66" w:rsidR="0067518D">
              <w:rPr>
                <w:rFonts w:eastAsia="Times New Roman"/>
              </w:rPr>
              <w:t xml:space="preserve"> </w:t>
            </w:r>
            <w:r w:rsidRPr="00273E66">
              <w:rPr>
                <w:rFonts w:eastAsia="Times New Roman"/>
              </w:rPr>
              <w:t xml:space="preserve">tiks nodrošināts, veicot finansējuma pārdali no 8.3.3.SAM (2 197 498 </w:t>
            </w:r>
            <w:r w:rsidRPr="00273E66">
              <w:rPr>
                <w:rFonts w:eastAsia="Times New Roman"/>
                <w:i/>
              </w:rPr>
              <w:t>euro</w:t>
            </w:r>
            <w:r w:rsidRPr="00273E66" w:rsidR="00DB3879">
              <w:rPr>
                <w:rFonts w:eastAsia="Times New Roman"/>
              </w:rPr>
              <w:t>, tai skaitā ESF 1 867 873</w:t>
            </w:r>
            <w:r w:rsidRPr="00273E66" w:rsidR="00DB3879">
              <w:rPr>
                <w:rFonts w:ascii="Calibri" w:eastAsia="Times New Roman" w:hAnsi="Calibri"/>
                <w:color w:val="000000"/>
                <w:sz w:val="22"/>
                <w:szCs w:val="22"/>
              </w:rPr>
              <w:t xml:space="preserve"> </w:t>
            </w:r>
            <w:r w:rsidRPr="00273E66" w:rsidR="00DB3879">
              <w:rPr>
                <w:rFonts w:eastAsia="Times New Roman"/>
                <w:i/>
                <w:color w:val="000000"/>
              </w:rPr>
              <w:t>euro</w:t>
            </w:r>
            <w:r w:rsidRPr="00273E66" w:rsidR="00DB3879">
              <w:rPr>
                <w:rFonts w:ascii="Calibri" w:eastAsia="Times New Roman" w:hAnsi="Calibri"/>
                <w:color w:val="000000"/>
                <w:sz w:val="22"/>
                <w:szCs w:val="22"/>
              </w:rPr>
              <w:t xml:space="preserve"> </w:t>
            </w:r>
            <w:r w:rsidRPr="00273E66" w:rsidR="00DB3879">
              <w:rPr>
                <w:rFonts w:eastAsia="Times New Roman"/>
              </w:rPr>
              <w:t xml:space="preserve">un budžeta līdzfinansējums 329 625 </w:t>
            </w:r>
            <w:r w:rsidRPr="00273E66" w:rsidR="00DB3879">
              <w:rPr>
                <w:rFonts w:eastAsia="Times New Roman"/>
                <w:i/>
              </w:rPr>
              <w:t>euro</w:t>
            </w:r>
            <w:r w:rsidRPr="00273E66">
              <w:rPr>
                <w:rFonts w:eastAsia="Times New Roman"/>
              </w:rPr>
              <w:t>) un no 8.3.4.SAM (</w:t>
            </w:r>
            <w:r w:rsidRPr="00273E66">
              <w:t xml:space="preserve">2 300 000 </w:t>
            </w:r>
            <w:r w:rsidRPr="00273E66">
              <w:rPr>
                <w:i/>
              </w:rPr>
              <w:t>euro</w:t>
            </w:r>
            <w:r w:rsidRPr="00273E66" w:rsidR="00DB3879">
              <w:t>, tai skaitā ESF 1</w:t>
            </w:r>
            <w:r w:rsidRPr="00273E66" w:rsidR="004C4068">
              <w:t xml:space="preserve"> </w:t>
            </w:r>
            <w:r w:rsidRPr="00273E66" w:rsidR="00DB3879">
              <w:t>955</w:t>
            </w:r>
            <w:r w:rsidRPr="00273E66" w:rsidR="004C4068">
              <w:t xml:space="preserve"> </w:t>
            </w:r>
            <w:r w:rsidRPr="00273E66" w:rsidR="00DB3879">
              <w:t>000</w:t>
            </w:r>
            <w:r w:rsidRPr="00273E66" w:rsidR="004C4068">
              <w:t xml:space="preserve"> </w:t>
            </w:r>
            <w:r w:rsidRPr="00273E66" w:rsidR="004C4068">
              <w:rPr>
                <w:i/>
              </w:rPr>
              <w:t>euro</w:t>
            </w:r>
            <w:r w:rsidRPr="00273E66" w:rsidR="004C4068">
              <w:t xml:space="preserve"> un budžeta līdzfinansējums 345 000 </w:t>
            </w:r>
            <w:r w:rsidRPr="00273E66" w:rsidR="004C4068">
              <w:rPr>
                <w:i/>
              </w:rPr>
              <w:t>euro</w:t>
            </w:r>
            <w:r w:rsidRPr="00273E66">
              <w:t>).</w:t>
            </w:r>
          </w:p>
        </w:tc>
      </w:tr>
    </w:tbl>
    <w:p w:rsidR="000952B3" w:rsidRPr="001351FC" w:rsidP="001351FC" w14:paraId="11BB16CE" w14:textId="77777777"/>
    <w:tbl>
      <w:tblPr>
        <w:tblStyle w:val="TableGrid"/>
        <w:tblW w:w="9209" w:type="dxa"/>
        <w:tblLook w:val="04A0"/>
      </w:tblPr>
      <w:tblGrid>
        <w:gridCol w:w="396"/>
        <w:gridCol w:w="1865"/>
        <w:gridCol w:w="6948"/>
      </w:tblGrid>
      <w:tr w14:paraId="6778D632" w14:textId="77777777" w:rsidTr="00DB3879">
        <w:tblPrEx>
          <w:tblW w:w="9209" w:type="dxa"/>
          <w:tblLook w:val="04A0"/>
        </w:tblPrEx>
        <w:tc>
          <w:tcPr>
            <w:tcW w:w="9209" w:type="dxa"/>
            <w:gridSpan w:val="3"/>
          </w:tcPr>
          <w:p w:rsidR="003C2699" w:rsidRPr="001351FC" w:rsidP="001351FC" w14:paraId="51669542" w14:textId="77777777">
            <w:pPr>
              <w:jc w:val="center"/>
              <w:rPr>
                <w:b/>
              </w:rPr>
            </w:pPr>
            <w:r w:rsidRPr="001351FC">
              <w:rPr>
                <w:b/>
              </w:rPr>
              <w:t>IV.</w:t>
            </w:r>
            <w:r w:rsidRPr="001351FC">
              <w:t xml:space="preserve"> </w:t>
            </w:r>
            <w:r w:rsidRPr="001351FC">
              <w:rPr>
                <w:b/>
              </w:rPr>
              <w:t>Tiesību akta projekta ietekme uz spēkā esošo tiesību normu sistēmu</w:t>
            </w:r>
          </w:p>
        </w:tc>
      </w:tr>
      <w:tr w14:paraId="1C078EE5" w14:textId="77777777" w:rsidTr="001522EB">
        <w:tblPrEx>
          <w:tblW w:w="9209" w:type="dxa"/>
          <w:tblLook w:val="04A0"/>
        </w:tblPrEx>
        <w:tc>
          <w:tcPr>
            <w:tcW w:w="396" w:type="dxa"/>
          </w:tcPr>
          <w:p w:rsidR="00DF4080" w:rsidRPr="001351FC" w:rsidP="001351FC" w14:paraId="21BE3879" w14:textId="77777777">
            <w:r w:rsidRPr="001351FC">
              <w:t>1.</w:t>
            </w:r>
          </w:p>
        </w:tc>
        <w:tc>
          <w:tcPr>
            <w:tcW w:w="1865" w:type="dxa"/>
          </w:tcPr>
          <w:p w:rsidR="00DF4080" w:rsidRPr="001351FC" w:rsidP="001351FC" w14:paraId="19893A8C" w14:textId="77777777">
            <w:r w:rsidRPr="001351FC">
              <w:t>Nepieciešamie saistītie tiesību aktu projekti</w:t>
            </w:r>
          </w:p>
        </w:tc>
        <w:tc>
          <w:tcPr>
            <w:tcW w:w="6948" w:type="dxa"/>
          </w:tcPr>
          <w:p w:rsidR="00DF4080" w:rsidRPr="0099780F" w:rsidP="00C37BBD" w14:paraId="4097D65D" w14:textId="328492CB">
            <w:pPr>
              <w:jc w:val="both"/>
              <w:rPr>
                <w:rFonts w:ascii="Calibri" w:hAnsi="Calibri"/>
                <w:color w:val="1F497D"/>
                <w:sz w:val="22"/>
                <w:szCs w:val="22"/>
                <w:lang w:eastAsia="en-US"/>
              </w:rPr>
            </w:pPr>
            <w:r w:rsidRPr="0099780F">
              <w:t xml:space="preserve">Lai neradītu negatīvu ietekmi uz valsts budžetu, IZM nodrošinās, ka finansējuma apmēra palielināšana 8.3.1.specifiskā atbalsta mērķa “Attīstīt kompetenču pieejā balstītu vispārējās izglītības saturu” 8.3.1.1.pasākuma “Kompetenču pieejā balstīta vispārējās izglītības satura aprobācija un ieviešana” ietvaros par 4 497 498 </w:t>
            </w:r>
            <w:r w:rsidRPr="0099780F">
              <w:rPr>
                <w:i/>
              </w:rPr>
              <w:t>euro</w:t>
            </w:r>
            <w:r w:rsidRPr="0099780F">
              <w:t xml:space="preserve"> stāsies spēkā brīdī, kad tiks apstiprināti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un Ministru kabineta 2016. gada 12. jūlija noteikumos Nr. 460 “Darbības programmas “Izaugsme un nodarbinātība” 8.3.4. specifiskā atbalsta mērķa “Samazināt priekšlaicīgu mācību pārtraukšanu, īstenojot preventīvus un intervences pasākumus” īstenošanas noteikumi” -  virzot saistītos Ministru kabineta noteikumu grozījumu projektus izskatīšanai Ministru kabineta sēdē vienlaicīgi vai secīgi pirms šī noteikumu projekta.</w:t>
            </w:r>
          </w:p>
        </w:tc>
      </w:tr>
      <w:tr w14:paraId="50FD0331" w14:textId="77777777" w:rsidTr="001522EB">
        <w:tblPrEx>
          <w:tblW w:w="9209" w:type="dxa"/>
          <w:tblLook w:val="04A0"/>
        </w:tblPrEx>
        <w:tc>
          <w:tcPr>
            <w:tcW w:w="396" w:type="dxa"/>
          </w:tcPr>
          <w:p w:rsidR="00DF4080" w:rsidRPr="001351FC" w:rsidP="001351FC" w14:paraId="6901AA40" w14:textId="77777777">
            <w:r w:rsidRPr="001351FC">
              <w:t>2.</w:t>
            </w:r>
          </w:p>
        </w:tc>
        <w:tc>
          <w:tcPr>
            <w:tcW w:w="1865" w:type="dxa"/>
          </w:tcPr>
          <w:p w:rsidR="00DF4080" w:rsidRPr="001351FC" w:rsidP="001351FC" w14:paraId="7FED48E4" w14:textId="77777777">
            <w:r w:rsidRPr="001351FC">
              <w:t>Atbildīgā institūcija</w:t>
            </w:r>
          </w:p>
        </w:tc>
        <w:tc>
          <w:tcPr>
            <w:tcW w:w="6948" w:type="dxa"/>
          </w:tcPr>
          <w:p w:rsidR="00DF4080" w:rsidRPr="001351FC" w:rsidP="001351FC" w14:paraId="4D124565" w14:textId="77777777">
            <w:r w:rsidRPr="001351FC">
              <w:t>IZM</w:t>
            </w:r>
            <w:r w:rsidRPr="001351FC" w:rsidR="000F2179">
              <w:t>.</w:t>
            </w:r>
          </w:p>
        </w:tc>
      </w:tr>
      <w:tr w14:paraId="31A9F9CF" w14:textId="77777777" w:rsidTr="001522EB">
        <w:tblPrEx>
          <w:tblW w:w="9209" w:type="dxa"/>
          <w:tblLook w:val="04A0"/>
        </w:tblPrEx>
        <w:tc>
          <w:tcPr>
            <w:tcW w:w="396" w:type="dxa"/>
          </w:tcPr>
          <w:p w:rsidR="00DF4080" w:rsidRPr="001351FC" w:rsidP="001351FC" w14:paraId="15703DEE" w14:textId="77777777">
            <w:r w:rsidRPr="001351FC">
              <w:t>3.</w:t>
            </w:r>
          </w:p>
        </w:tc>
        <w:tc>
          <w:tcPr>
            <w:tcW w:w="1865" w:type="dxa"/>
          </w:tcPr>
          <w:p w:rsidR="00DF4080" w:rsidRPr="001351FC" w:rsidP="001351FC" w14:paraId="0E047FBF" w14:textId="77777777">
            <w:r w:rsidRPr="001351FC">
              <w:t>Cita informācija</w:t>
            </w:r>
          </w:p>
        </w:tc>
        <w:tc>
          <w:tcPr>
            <w:tcW w:w="6948" w:type="dxa"/>
          </w:tcPr>
          <w:p w:rsidR="00DF4080" w:rsidRPr="001351FC" w:rsidP="00C37BBD" w14:paraId="5DA58346" w14:textId="5A6EB28C">
            <w:pPr>
              <w:jc w:val="both"/>
            </w:pPr>
            <w:r w:rsidRPr="001351FC">
              <w:t>Saistīto Ministru kabineta noteikumu g</w:t>
            </w:r>
            <w:r w:rsidR="00376346">
              <w:t xml:space="preserve">rozījumu projekti ir izstrādāti </w:t>
            </w:r>
            <w:r w:rsidRPr="00C37BBD" w:rsidR="00376346">
              <w:t>un tiks virzīti izskatīšanai Ministru kabineta sēdē vienlaicīgi vai secīgi pirms šī noteikumu projekta.</w:t>
            </w:r>
          </w:p>
        </w:tc>
      </w:tr>
    </w:tbl>
    <w:p w:rsidR="00DF4080" w:rsidRPr="001351FC" w:rsidP="001351FC" w14:paraId="60E14AD2" w14:textId="7777777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2B6C0A2D" w14:textId="77777777" w:rsidTr="001351FC">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vAlign w:val="center"/>
          </w:tcPr>
          <w:p w:rsidR="000952B3" w:rsidRPr="001351FC" w:rsidP="001351FC" w14:paraId="3E004536" w14:textId="77777777">
            <w:pPr>
              <w:pStyle w:val="naisnod"/>
              <w:spacing w:before="0" w:beforeAutospacing="0" w:after="0" w:afterAutospacing="0"/>
              <w:ind w:left="57" w:right="57"/>
              <w:jc w:val="center"/>
            </w:pPr>
            <w:r w:rsidRPr="001351FC">
              <w:rPr>
                <w:b/>
              </w:rPr>
              <w:t xml:space="preserve">V. </w:t>
            </w:r>
            <w:r w:rsidRPr="001351FC">
              <w:rPr>
                <w:b/>
                <w:color w:val="000000"/>
              </w:rPr>
              <w:t>Tiesību akta projekta atbilstība Latvijas Republikas starptautiskajām saistībām</w:t>
            </w:r>
          </w:p>
        </w:tc>
      </w:tr>
      <w:tr w14:paraId="2812767A" w14:textId="77777777" w:rsidTr="001351FC">
        <w:tblPrEx>
          <w:tblW w:w="9214" w:type="dxa"/>
          <w:tblInd w:w="-5" w:type="dxa"/>
          <w:tblCellMar>
            <w:left w:w="0" w:type="dxa"/>
            <w:right w:w="0" w:type="dxa"/>
          </w:tblCellMar>
          <w:tblLook w:val="0000"/>
        </w:tblPrEx>
        <w:trPr>
          <w:trHeight w:val="421"/>
        </w:trPr>
        <w:tc>
          <w:tcPr>
            <w:tcW w:w="9214" w:type="dxa"/>
            <w:vAlign w:val="center"/>
          </w:tcPr>
          <w:p w:rsidR="00DF4080" w:rsidRPr="001351FC" w:rsidP="001351FC" w14:paraId="6ACF26DA" w14:textId="77777777">
            <w:pPr>
              <w:pStyle w:val="naisnod"/>
              <w:spacing w:before="0" w:beforeAutospacing="0" w:after="0" w:afterAutospacing="0"/>
              <w:ind w:left="57" w:right="57"/>
              <w:jc w:val="center"/>
            </w:pPr>
            <w:r w:rsidRPr="001351FC">
              <w:t>Noteikumu projekts šo jomu neskar.</w:t>
            </w:r>
          </w:p>
        </w:tc>
      </w:tr>
    </w:tbl>
    <w:p w:rsidR="000952B3" w:rsidRPr="001351FC" w:rsidP="001351FC" w14:paraId="6757F4C5" w14:textId="77777777">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842"/>
        <w:gridCol w:w="6189"/>
      </w:tblGrid>
      <w:tr w14:paraId="63D312AF" w14:textId="77777777" w:rsidTr="00477F62">
        <w:tblPrEx>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46" w:type="dxa"/>
            <w:gridSpan w:val="3"/>
            <w:vAlign w:val="center"/>
          </w:tcPr>
          <w:p w:rsidR="000952B3" w:rsidRPr="001351FC" w:rsidP="001351FC" w14:paraId="34560A3A" w14:textId="77777777">
            <w:pPr>
              <w:pStyle w:val="naisnod"/>
              <w:spacing w:before="0" w:beforeAutospacing="0" w:after="0" w:afterAutospacing="0"/>
              <w:ind w:left="57" w:right="57"/>
              <w:jc w:val="center"/>
            </w:pPr>
            <w:r w:rsidRPr="001351FC">
              <w:rPr>
                <w:b/>
              </w:rPr>
              <w:t>VI. Sabiedrības līdzdalība un komunikācijas aktivitātes</w:t>
            </w:r>
          </w:p>
        </w:tc>
      </w:tr>
      <w:tr w14:paraId="708744C5" w14:textId="77777777" w:rsidTr="00477F62">
        <w:tblPrEx>
          <w:tblW w:w="9346" w:type="dxa"/>
          <w:tblInd w:w="-137" w:type="dxa"/>
          <w:tblCellMar>
            <w:left w:w="0" w:type="dxa"/>
            <w:right w:w="0" w:type="dxa"/>
          </w:tblCellMar>
          <w:tblLook w:val="0000"/>
        </w:tblPrEx>
        <w:trPr>
          <w:trHeight w:val="553"/>
        </w:trPr>
        <w:tc>
          <w:tcPr>
            <w:tcW w:w="315" w:type="dxa"/>
          </w:tcPr>
          <w:p w:rsidR="004D5248" w:rsidRPr="001351FC" w:rsidP="001351FC" w14:paraId="3380A595" w14:textId="77777777">
            <w:pPr>
              <w:ind w:left="57" w:right="57"/>
              <w:jc w:val="both"/>
              <w:rPr>
                <w:bCs/>
              </w:rPr>
            </w:pPr>
            <w:r w:rsidRPr="001351FC">
              <w:rPr>
                <w:bCs/>
              </w:rPr>
              <w:t>1.</w:t>
            </w:r>
          </w:p>
        </w:tc>
        <w:tc>
          <w:tcPr>
            <w:tcW w:w="2842" w:type="dxa"/>
          </w:tcPr>
          <w:p w:rsidR="004D5248" w:rsidRPr="001351FC" w:rsidP="001351FC" w14:paraId="695D0F15" w14:textId="77777777">
            <w:pPr>
              <w:tabs>
                <w:tab w:val="left" w:pos="170"/>
              </w:tabs>
              <w:ind w:left="57" w:right="57"/>
            </w:pPr>
            <w:r w:rsidRPr="001351FC">
              <w:t xml:space="preserve">Plānotās sabiedrības līdzdalības un </w:t>
            </w:r>
            <w:r w:rsidRPr="001351FC">
              <w:t>komunikācijas aktivitātes saistībā ar projektu</w:t>
            </w:r>
          </w:p>
        </w:tc>
        <w:tc>
          <w:tcPr>
            <w:tcW w:w="6189" w:type="dxa"/>
          </w:tcPr>
          <w:p w:rsidR="004D5248" w:rsidRPr="001351FC" w14:paraId="32187D2F" w14:textId="4FFEBDB2">
            <w:pPr>
              <w:ind w:left="94" w:right="142"/>
              <w:jc w:val="both"/>
            </w:pPr>
            <w:bookmarkStart w:id="1" w:name="p61"/>
            <w:bookmarkEnd w:id="1"/>
            <w:r w:rsidRPr="001351FC">
              <w:rPr>
                <w:bCs/>
              </w:rPr>
              <w:t>Sabiedrības līdzdalība noteikumu projekt</w:t>
            </w:r>
            <w:r w:rsidRPr="001351FC" w:rsidR="00FE414E">
              <w:rPr>
                <w:bCs/>
              </w:rPr>
              <w:t>a</w:t>
            </w:r>
            <w:r w:rsidRPr="001351FC">
              <w:rPr>
                <w:bCs/>
              </w:rPr>
              <w:t xml:space="preserve"> izstrādē t</w:t>
            </w:r>
            <w:r w:rsidRPr="001351FC" w:rsidR="00D83AB0">
              <w:rPr>
                <w:bCs/>
              </w:rPr>
              <w:t>iek</w:t>
            </w:r>
            <w:r w:rsidRPr="001351FC">
              <w:rPr>
                <w:bCs/>
              </w:rPr>
              <w:t xml:space="preserve"> nodrošināta,</w:t>
            </w:r>
            <w:r w:rsidRPr="001351FC">
              <w:t xml:space="preserve"> </w:t>
            </w:r>
            <w:r w:rsidRPr="001351FC">
              <w:rPr>
                <w:bCs/>
              </w:rPr>
              <w:t>ievietojot informāciju par noteikumu projekt</w:t>
            </w:r>
            <w:r w:rsidRPr="001351FC" w:rsidR="00FE414E">
              <w:rPr>
                <w:bCs/>
              </w:rPr>
              <w:t>u</w:t>
            </w:r>
            <w:r w:rsidRPr="001351FC">
              <w:rPr>
                <w:bCs/>
              </w:rPr>
              <w:t xml:space="preserve"> </w:t>
            </w:r>
            <w:r w:rsidRPr="001351FC">
              <w:rPr>
                <w:bCs/>
              </w:rPr>
              <w:t xml:space="preserve">tīmekļa vietnē </w:t>
            </w:r>
            <w:r>
              <w:fldChar w:fldCharType="begin"/>
            </w:r>
            <w:r>
              <w:instrText xml:space="preserve"> HYPERLINK "http://www.izm.gov.lv" </w:instrText>
            </w:r>
            <w:r>
              <w:fldChar w:fldCharType="separate"/>
            </w:r>
            <w:r w:rsidRPr="001351FC">
              <w:rPr>
                <w:bCs/>
                <w:color w:val="0000FF"/>
                <w:u w:val="single"/>
              </w:rPr>
              <w:t>www.izm.gov.lv</w:t>
            </w:r>
            <w:r>
              <w:fldChar w:fldCharType="end"/>
            </w:r>
            <w:r w:rsidRPr="001351FC">
              <w:rPr>
                <w:bCs/>
              </w:rPr>
              <w:t xml:space="preserve"> un aicinot sabiedrības pārstāvjus rakstiski sniegt viedokli par noteikumu projekt</w:t>
            </w:r>
            <w:r w:rsidRPr="001351FC" w:rsidR="00FE414E">
              <w:rPr>
                <w:bCs/>
              </w:rPr>
              <w:t>u</w:t>
            </w:r>
            <w:r w:rsidRPr="001351FC">
              <w:rPr>
                <w:bCs/>
              </w:rPr>
              <w:t xml:space="preserve"> </w:t>
            </w:r>
            <w:r w:rsidRPr="001351FC" w:rsidR="00F86F16">
              <w:rPr>
                <w:bCs/>
              </w:rPr>
              <w:t>t</w:t>
            </w:r>
            <w:r w:rsidR="00F86F16">
              <w:rPr>
                <w:bCs/>
              </w:rPr>
              <w:t>ā</w:t>
            </w:r>
            <w:r w:rsidRPr="001351FC" w:rsidR="00F86F16">
              <w:rPr>
                <w:bCs/>
              </w:rPr>
              <w:t xml:space="preserve"> </w:t>
            </w:r>
            <w:r w:rsidRPr="001351FC">
              <w:rPr>
                <w:bCs/>
              </w:rPr>
              <w:t xml:space="preserve">izstrādes stadijā – nosūtot elektroniski uz </w:t>
            </w:r>
            <w:r w:rsidRPr="001351FC">
              <w:t>elektronisko pasta adresi</w:t>
            </w:r>
            <w:r w:rsidRPr="001351FC">
              <w:rPr>
                <w:bCs/>
              </w:rPr>
              <w:t xml:space="preserve">: </w:t>
            </w:r>
            <w:r>
              <w:fldChar w:fldCharType="begin"/>
            </w:r>
            <w:r>
              <w:instrText xml:space="preserve"> HYPERLINK "mailto:pasts@izm.gov.lv" </w:instrText>
            </w:r>
            <w:r>
              <w:fldChar w:fldCharType="separate"/>
            </w:r>
            <w:r w:rsidRPr="001351FC">
              <w:rPr>
                <w:bCs/>
                <w:color w:val="0000FF"/>
                <w:u w:val="single"/>
              </w:rPr>
              <w:t>pasts@izm.gov.lv</w:t>
            </w:r>
            <w:r>
              <w:fldChar w:fldCharType="end"/>
            </w:r>
            <w:r w:rsidRPr="001351FC">
              <w:rPr>
                <w:bCs/>
              </w:rPr>
              <w:t>, vai sniedzot viedokli klātienē.</w:t>
            </w:r>
            <w:r w:rsidRPr="001351FC">
              <w:t xml:space="preserve"> Sabiedrības pārstāvji varēs līdzdarboties noteikumu projekt</w:t>
            </w:r>
            <w:r w:rsidRPr="001351FC" w:rsidR="00FE414E">
              <w:t>a</w:t>
            </w:r>
            <w:r w:rsidRPr="001351FC">
              <w:t xml:space="preserve"> izstrādē, sniedzot atzinumu un viedokli par noteikumu projekt</w:t>
            </w:r>
            <w:r w:rsidRPr="001351FC" w:rsidR="00FE414E">
              <w:t>u</w:t>
            </w:r>
            <w:r w:rsidRPr="001351FC">
              <w:t>.</w:t>
            </w:r>
          </w:p>
        </w:tc>
      </w:tr>
      <w:tr w14:paraId="68BD6DB8" w14:textId="77777777" w:rsidTr="00477F62">
        <w:tblPrEx>
          <w:tblW w:w="9346" w:type="dxa"/>
          <w:tblInd w:w="-137" w:type="dxa"/>
          <w:tblCellMar>
            <w:left w:w="0" w:type="dxa"/>
            <w:right w:w="0" w:type="dxa"/>
          </w:tblCellMar>
          <w:tblLook w:val="0000"/>
        </w:tblPrEx>
        <w:trPr>
          <w:trHeight w:val="339"/>
        </w:trPr>
        <w:tc>
          <w:tcPr>
            <w:tcW w:w="315" w:type="dxa"/>
          </w:tcPr>
          <w:p w:rsidR="004D5248" w:rsidRPr="001351FC" w:rsidP="001351FC" w14:paraId="10662B76" w14:textId="77777777">
            <w:pPr>
              <w:ind w:left="57" w:right="57"/>
              <w:jc w:val="both"/>
              <w:rPr>
                <w:bCs/>
              </w:rPr>
            </w:pPr>
            <w:r w:rsidRPr="001351FC">
              <w:rPr>
                <w:bCs/>
              </w:rPr>
              <w:t>2.</w:t>
            </w:r>
          </w:p>
        </w:tc>
        <w:tc>
          <w:tcPr>
            <w:tcW w:w="2842" w:type="dxa"/>
          </w:tcPr>
          <w:p w:rsidR="004D5248" w:rsidRPr="001351FC" w:rsidP="001351FC" w14:paraId="3A9E04F1" w14:textId="77777777">
            <w:pPr>
              <w:ind w:left="57" w:right="57"/>
            </w:pPr>
            <w:r w:rsidRPr="001351FC">
              <w:t>Sabiedrības līdzdalība projekta izstrādē</w:t>
            </w:r>
          </w:p>
        </w:tc>
        <w:tc>
          <w:tcPr>
            <w:tcW w:w="6189" w:type="dxa"/>
          </w:tcPr>
          <w:p w:rsidR="004D5248" w:rsidRPr="001351FC" w:rsidP="001351FC" w14:paraId="5B30586E" w14:textId="77777777">
            <w:pPr>
              <w:shd w:val="clear" w:color="auto" w:fill="FFFFFF"/>
              <w:ind w:left="94" w:right="57"/>
              <w:jc w:val="both"/>
              <w:rPr>
                <w:rFonts w:eastAsia="Times New Roman"/>
                <w:b/>
                <w:iCs/>
              </w:rPr>
            </w:pPr>
            <w:bookmarkStart w:id="2" w:name="p62"/>
            <w:bookmarkEnd w:id="2"/>
            <w:r w:rsidRPr="001351FC">
              <w:t>Sabiedrības grupām projektu tiesiskais regulējums pēc būtības nemaina to tiesības un pienākumus.</w:t>
            </w:r>
          </w:p>
        </w:tc>
      </w:tr>
      <w:tr w14:paraId="2CF4B141" w14:textId="77777777" w:rsidTr="00477F62">
        <w:tblPrEx>
          <w:tblW w:w="9346" w:type="dxa"/>
          <w:tblInd w:w="-137" w:type="dxa"/>
          <w:tblCellMar>
            <w:left w:w="0" w:type="dxa"/>
            <w:right w:w="0" w:type="dxa"/>
          </w:tblCellMar>
          <w:tblLook w:val="0000"/>
        </w:tblPrEx>
        <w:trPr>
          <w:trHeight w:val="476"/>
        </w:trPr>
        <w:tc>
          <w:tcPr>
            <w:tcW w:w="315" w:type="dxa"/>
          </w:tcPr>
          <w:p w:rsidR="004D5248" w:rsidRPr="001351FC" w:rsidP="001351FC" w14:paraId="46270C0D" w14:textId="77777777">
            <w:pPr>
              <w:ind w:left="57" w:right="57"/>
              <w:jc w:val="both"/>
              <w:rPr>
                <w:bCs/>
              </w:rPr>
            </w:pPr>
            <w:r w:rsidRPr="001351FC">
              <w:rPr>
                <w:bCs/>
              </w:rPr>
              <w:t>3.</w:t>
            </w:r>
          </w:p>
        </w:tc>
        <w:tc>
          <w:tcPr>
            <w:tcW w:w="2842" w:type="dxa"/>
          </w:tcPr>
          <w:p w:rsidR="004D5248" w:rsidRPr="001351FC" w:rsidP="001351FC" w14:paraId="63063140" w14:textId="77777777">
            <w:pPr>
              <w:ind w:left="57" w:right="57"/>
            </w:pPr>
            <w:r w:rsidRPr="001351FC">
              <w:t>Sabiedrības līdzdalības rezultāti</w:t>
            </w:r>
          </w:p>
        </w:tc>
        <w:tc>
          <w:tcPr>
            <w:tcW w:w="6189" w:type="dxa"/>
          </w:tcPr>
          <w:p w:rsidR="004D5248" w:rsidRPr="001351FC" w:rsidP="001351FC" w14:paraId="7F9C5EFB" w14:textId="77777777">
            <w:pPr>
              <w:shd w:val="clear" w:color="auto" w:fill="FFFFFF"/>
              <w:tabs>
                <w:tab w:val="left" w:pos="878"/>
              </w:tabs>
              <w:ind w:left="94" w:right="57"/>
              <w:jc w:val="both"/>
            </w:pPr>
            <w:r w:rsidRPr="001351FC">
              <w:t>Noteikumu projekts šo jomu neskar.</w:t>
            </w:r>
          </w:p>
        </w:tc>
      </w:tr>
      <w:tr w14:paraId="73E5606D" w14:textId="77777777" w:rsidTr="00477F62">
        <w:tblPrEx>
          <w:tblW w:w="9346" w:type="dxa"/>
          <w:tblInd w:w="-137" w:type="dxa"/>
          <w:tblCellMar>
            <w:left w:w="0" w:type="dxa"/>
            <w:right w:w="0" w:type="dxa"/>
          </w:tblCellMar>
          <w:tblLook w:val="0000"/>
        </w:tblPrEx>
        <w:trPr>
          <w:trHeight w:val="205"/>
        </w:trPr>
        <w:tc>
          <w:tcPr>
            <w:tcW w:w="315" w:type="dxa"/>
          </w:tcPr>
          <w:p w:rsidR="004D5248" w:rsidRPr="001351FC" w:rsidP="001351FC" w14:paraId="4240DE02" w14:textId="77777777">
            <w:pPr>
              <w:ind w:left="57" w:right="57"/>
              <w:jc w:val="both"/>
              <w:rPr>
                <w:bCs/>
              </w:rPr>
            </w:pPr>
            <w:r w:rsidRPr="001351FC">
              <w:rPr>
                <w:bCs/>
              </w:rPr>
              <w:t>4.</w:t>
            </w:r>
          </w:p>
        </w:tc>
        <w:tc>
          <w:tcPr>
            <w:tcW w:w="2842" w:type="dxa"/>
          </w:tcPr>
          <w:p w:rsidR="004D5248" w:rsidRPr="001351FC" w:rsidP="001351FC" w14:paraId="4D91D2EF" w14:textId="77777777">
            <w:pPr>
              <w:ind w:left="57" w:right="57"/>
            </w:pPr>
            <w:r w:rsidRPr="001351FC">
              <w:t>Cita informācija</w:t>
            </w:r>
          </w:p>
        </w:tc>
        <w:tc>
          <w:tcPr>
            <w:tcW w:w="6189" w:type="dxa"/>
          </w:tcPr>
          <w:p w:rsidR="004D5248" w:rsidRPr="001351FC" w:rsidP="001351FC" w14:paraId="6E55FD5A" w14:textId="77777777">
            <w:pPr>
              <w:ind w:left="57" w:right="113" w:firstLine="37"/>
              <w:jc w:val="both"/>
            </w:pPr>
            <w:r w:rsidRPr="001351FC">
              <w:t>Nav.</w:t>
            </w:r>
          </w:p>
        </w:tc>
      </w:tr>
    </w:tbl>
    <w:p w:rsidR="000952B3" w:rsidRPr="001351FC" w:rsidP="001351FC" w14:paraId="41B123D1" w14:textId="77777777">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3201"/>
        <w:gridCol w:w="5812"/>
      </w:tblGrid>
      <w:tr w14:paraId="01A2BDF2" w14:textId="77777777" w:rsidTr="00477F62">
        <w:tblPrEx>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346" w:type="dxa"/>
            <w:gridSpan w:val="3"/>
            <w:vAlign w:val="center"/>
          </w:tcPr>
          <w:p w:rsidR="000952B3" w:rsidRPr="001351FC" w:rsidP="001351FC" w14:paraId="43B7EA42" w14:textId="77777777">
            <w:pPr>
              <w:pStyle w:val="naisnod"/>
              <w:spacing w:before="0" w:beforeAutospacing="0" w:after="0" w:afterAutospacing="0"/>
              <w:ind w:left="57" w:right="57"/>
              <w:jc w:val="center"/>
            </w:pPr>
            <w:r w:rsidRPr="001351FC">
              <w:rPr>
                <w:b/>
              </w:rPr>
              <w:t>VII. Tiesību akta projekta izpildes nodrošināšana un tās ietekme uz institūcijām</w:t>
            </w:r>
          </w:p>
        </w:tc>
      </w:tr>
      <w:tr w14:paraId="4802C351" w14:textId="77777777" w:rsidTr="00AF0818">
        <w:tblPrEx>
          <w:tblW w:w="9346" w:type="dxa"/>
          <w:tblInd w:w="-137" w:type="dxa"/>
          <w:tblCellMar>
            <w:left w:w="0" w:type="dxa"/>
            <w:right w:w="0" w:type="dxa"/>
          </w:tblCellMar>
          <w:tblLook w:val="0000"/>
        </w:tblPrEx>
        <w:trPr>
          <w:trHeight w:val="553"/>
        </w:trPr>
        <w:tc>
          <w:tcPr>
            <w:tcW w:w="333" w:type="dxa"/>
          </w:tcPr>
          <w:p w:rsidR="000952B3" w:rsidRPr="001351FC" w:rsidP="001351FC" w14:paraId="5B5DA9D4" w14:textId="77777777">
            <w:pPr>
              <w:ind w:left="57" w:right="57"/>
              <w:jc w:val="both"/>
              <w:rPr>
                <w:bCs/>
              </w:rPr>
            </w:pPr>
            <w:r w:rsidRPr="001351FC">
              <w:rPr>
                <w:bCs/>
              </w:rPr>
              <w:t>1.</w:t>
            </w:r>
          </w:p>
        </w:tc>
        <w:tc>
          <w:tcPr>
            <w:tcW w:w="3201" w:type="dxa"/>
          </w:tcPr>
          <w:p w:rsidR="000952B3" w:rsidRPr="001351FC" w:rsidP="001351FC" w14:paraId="33491DB5" w14:textId="77777777">
            <w:pPr>
              <w:ind w:left="57" w:right="57"/>
            </w:pPr>
            <w:r w:rsidRPr="001351FC">
              <w:t>Projekta izpildē iesaistītās institūcijas</w:t>
            </w:r>
          </w:p>
        </w:tc>
        <w:tc>
          <w:tcPr>
            <w:tcW w:w="5812" w:type="dxa"/>
          </w:tcPr>
          <w:p w:rsidR="000952B3" w:rsidRPr="001351FC" w:rsidP="001351FC" w14:paraId="17057914" w14:textId="77777777">
            <w:pPr>
              <w:shd w:val="clear" w:color="auto" w:fill="FFFFFF"/>
              <w:ind w:left="57" w:right="113"/>
              <w:jc w:val="both"/>
            </w:pPr>
            <w:r w:rsidRPr="001351FC">
              <w:t>IZM</w:t>
            </w:r>
            <w:r w:rsidRPr="001351FC">
              <w:t>,</w:t>
            </w:r>
            <w:r w:rsidRPr="001351FC">
              <w:t xml:space="preserve"> CFLA, </w:t>
            </w:r>
            <w:r w:rsidRPr="001351FC">
              <w:rPr>
                <w:rFonts w:eastAsia="Times New Roman"/>
              </w:rPr>
              <w:t xml:space="preserve">VISC </w:t>
            </w:r>
            <w:r w:rsidRPr="001351FC" w:rsidR="00521075">
              <w:rPr>
                <w:rFonts w:eastAsia="Times New Roman"/>
              </w:rPr>
              <w:t>un LVA.</w:t>
            </w:r>
          </w:p>
        </w:tc>
      </w:tr>
      <w:tr w14:paraId="4F24F579" w14:textId="77777777" w:rsidTr="00AF0818">
        <w:tblPrEx>
          <w:tblW w:w="9346" w:type="dxa"/>
          <w:tblInd w:w="-137" w:type="dxa"/>
          <w:tblCellMar>
            <w:left w:w="0" w:type="dxa"/>
            <w:right w:w="0" w:type="dxa"/>
          </w:tblCellMar>
          <w:tblLook w:val="0000"/>
        </w:tblPrEx>
        <w:trPr>
          <w:trHeight w:val="339"/>
        </w:trPr>
        <w:tc>
          <w:tcPr>
            <w:tcW w:w="333" w:type="dxa"/>
          </w:tcPr>
          <w:p w:rsidR="000952B3" w:rsidRPr="001351FC" w:rsidP="001351FC" w14:paraId="2D0BC61B" w14:textId="77777777">
            <w:pPr>
              <w:ind w:left="57" w:right="57"/>
              <w:jc w:val="both"/>
              <w:rPr>
                <w:bCs/>
              </w:rPr>
            </w:pPr>
            <w:r w:rsidRPr="001351FC">
              <w:rPr>
                <w:bCs/>
              </w:rPr>
              <w:t>2.</w:t>
            </w:r>
          </w:p>
        </w:tc>
        <w:tc>
          <w:tcPr>
            <w:tcW w:w="3201" w:type="dxa"/>
          </w:tcPr>
          <w:p w:rsidR="000952B3" w:rsidRPr="001351FC" w:rsidP="001351FC" w14:paraId="37BBBED2" w14:textId="77777777">
            <w:pPr>
              <w:ind w:left="57" w:right="57"/>
            </w:pPr>
            <w:r w:rsidRPr="001351FC">
              <w:t xml:space="preserve">Projekta izpildes ietekme uz pārvaldes funkcijām un institucionālo struktūru. </w:t>
            </w:r>
          </w:p>
          <w:p w:rsidR="000952B3" w:rsidRPr="001351FC" w:rsidP="001351FC" w14:paraId="38943CEE" w14:textId="77777777">
            <w:pPr>
              <w:ind w:left="57" w:right="57"/>
            </w:pPr>
            <w:r w:rsidRPr="001351FC">
              <w:t>Jaunu institūciju izveide, esošu institūciju likvidācija vai reorganizācija, to ietekme uz institūcijas cilvēkresursiem</w:t>
            </w:r>
          </w:p>
        </w:tc>
        <w:tc>
          <w:tcPr>
            <w:tcW w:w="5812" w:type="dxa"/>
          </w:tcPr>
          <w:p w:rsidR="000952B3" w:rsidRPr="001351FC" w:rsidP="001351FC" w14:paraId="29F24A9B" w14:textId="77777777">
            <w:pPr>
              <w:shd w:val="clear" w:color="auto" w:fill="FFFFFF"/>
              <w:ind w:left="57" w:right="113"/>
              <w:jc w:val="both"/>
              <w:rPr>
                <w:kern w:val="24"/>
              </w:rPr>
            </w:pPr>
            <w:r w:rsidRPr="001351FC">
              <w:t>Nav plānota jaunu institūciju izveide, esošu ins</w:t>
            </w:r>
            <w:r w:rsidRPr="001351FC" w:rsidR="007A045B">
              <w:t>titūciju likvidācija vai reorga</w:t>
            </w:r>
            <w:r w:rsidRPr="001351FC">
              <w:t>nizācija.</w:t>
            </w:r>
          </w:p>
        </w:tc>
      </w:tr>
      <w:tr w14:paraId="48A2FB66" w14:textId="77777777" w:rsidTr="00AF0818">
        <w:tblPrEx>
          <w:tblW w:w="9346" w:type="dxa"/>
          <w:tblInd w:w="-137" w:type="dxa"/>
          <w:tblCellMar>
            <w:left w:w="0" w:type="dxa"/>
            <w:right w:w="0" w:type="dxa"/>
          </w:tblCellMar>
          <w:tblLook w:val="0000"/>
        </w:tblPrEx>
        <w:trPr>
          <w:trHeight w:val="476"/>
        </w:trPr>
        <w:tc>
          <w:tcPr>
            <w:tcW w:w="333" w:type="dxa"/>
          </w:tcPr>
          <w:p w:rsidR="000952B3" w:rsidRPr="001351FC" w:rsidP="001351FC" w14:paraId="57EA02A4" w14:textId="77777777">
            <w:pPr>
              <w:ind w:left="57" w:right="57"/>
              <w:jc w:val="both"/>
              <w:rPr>
                <w:bCs/>
              </w:rPr>
            </w:pPr>
            <w:r w:rsidRPr="001351FC">
              <w:rPr>
                <w:bCs/>
              </w:rPr>
              <w:t>3.</w:t>
            </w:r>
          </w:p>
        </w:tc>
        <w:tc>
          <w:tcPr>
            <w:tcW w:w="3201" w:type="dxa"/>
          </w:tcPr>
          <w:p w:rsidR="000952B3" w:rsidRPr="001351FC" w:rsidP="001351FC" w14:paraId="477425B2" w14:textId="77777777">
            <w:pPr>
              <w:ind w:left="57" w:right="57"/>
            </w:pPr>
            <w:r w:rsidRPr="001351FC">
              <w:t>Cita informācija</w:t>
            </w:r>
          </w:p>
        </w:tc>
        <w:tc>
          <w:tcPr>
            <w:tcW w:w="5812" w:type="dxa"/>
          </w:tcPr>
          <w:p w:rsidR="000952B3" w:rsidRPr="001351FC" w:rsidP="001351FC" w14:paraId="4DD6E884" w14:textId="77777777">
            <w:pPr>
              <w:shd w:val="clear" w:color="auto" w:fill="FFFFFF"/>
              <w:ind w:left="57" w:right="113"/>
              <w:jc w:val="both"/>
            </w:pPr>
            <w:r w:rsidRPr="001351FC">
              <w:t>Nepieciešami grozījumi finansējuma saņēmēja noslēgtajā vienošanās par projekta īstenošanu ar CFLA.</w:t>
            </w:r>
          </w:p>
        </w:tc>
      </w:tr>
    </w:tbl>
    <w:p w:rsidR="007A045B" w:rsidP="001351FC" w14:paraId="2F936407" w14:textId="77777777">
      <w:pPr>
        <w:rPr>
          <w:b/>
        </w:rPr>
      </w:pPr>
    </w:p>
    <w:p w:rsidR="00AF0818" w:rsidRPr="001351FC" w:rsidP="001351FC" w14:paraId="44713091" w14:textId="77777777"/>
    <w:tbl>
      <w:tblPr>
        <w:tblW w:w="0" w:type="auto"/>
        <w:tblLook w:val="04A0"/>
      </w:tblPr>
      <w:tblGrid>
        <w:gridCol w:w="5767"/>
        <w:gridCol w:w="3304"/>
      </w:tblGrid>
      <w:tr w14:paraId="5834315E" w14:textId="77777777" w:rsidTr="00EA151B">
        <w:tblPrEx>
          <w:tblW w:w="0" w:type="auto"/>
          <w:tblLook w:val="04A0"/>
        </w:tblPrEx>
        <w:tc>
          <w:tcPr>
            <w:tcW w:w="5767" w:type="dxa"/>
          </w:tcPr>
          <w:p w:rsidR="007A045B" w:rsidRPr="001351FC" w:rsidP="001351FC" w14:paraId="45610437" w14:textId="77777777">
            <w:pPr>
              <w:tabs>
                <w:tab w:val="left" w:pos="4320"/>
              </w:tabs>
            </w:pPr>
            <w:r w:rsidRPr="001351FC">
              <w:t>Izglītības un zinātnes ministrs</w:t>
            </w:r>
          </w:p>
        </w:tc>
        <w:tc>
          <w:tcPr>
            <w:tcW w:w="3304" w:type="dxa"/>
          </w:tcPr>
          <w:p w:rsidR="007A045B" w:rsidRPr="001351FC" w:rsidP="001351FC" w14:paraId="35EB8E25" w14:textId="62E69CD9">
            <w:pPr>
              <w:tabs>
                <w:tab w:val="left" w:pos="4320"/>
              </w:tabs>
              <w:jc w:val="center"/>
            </w:pPr>
            <w:r>
              <w:t xml:space="preserve">                       Kārlis </w:t>
            </w:r>
            <w:r w:rsidRPr="001351FC">
              <w:t>Šadurskis</w:t>
            </w:r>
          </w:p>
          <w:p w:rsidR="007A045B" w:rsidRPr="001351FC" w:rsidP="001351FC" w14:paraId="28B8E4F4" w14:textId="77777777">
            <w:pPr>
              <w:tabs>
                <w:tab w:val="left" w:pos="4320"/>
              </w:tabs>
              <w:jc w:val="right"/>
            </w:pPr>
          </w:p>
        </w:tc>
      </w:tr>
      <w:tr w14:paraId="184E6440" w14:textId="77777777" w:rsidTr="00EA151B">
        <w:tblPrEx>
          <w:tblW w:w="0" w:type="auto"/>
          <w:tblLook w:val="04A0"/>
        </w:tblPrEx>
        <w:tc>
          <w:tcPr>
            <w:tcW w:w="5767" w:type="dxa"/>
          </w:tcPr>
          <w:p w:rsidR="007A045B" w:rsidRPr="001351FC" w:rsidP="001351FC" w14:paraId="6556BCFC" w14:textId="77777777">
            <w:pPr>
              <w:pStyle w:val="NormalWeb"/>
              <w:spacing w:before="0" w:beforeAutospacing="0" w:after="0" w:afterAutospacing="0"/>
            </w:pPr>
          </w:p>
          <w:p w:rsidR="007A045B" w:rsidRPr="001351FC" w:rsidP="00EA151B" w14:paraId="4B9D0795" w14:textId="2B799526">
            <w:pPr>
              <w:pStyle w:val="NormalWeb"/>
              <w:spacing w:before="0" w:beforeAutospacing="0" w:after="0" w:afterAutospacing="0"/>
            </w:pPr>
            <w:r w:rsidRPr="001351FC">
              <w:t>Vizē:</w:t>
            </w:r>
            <w:r w:rsidRPr="001351FC">
              <w:tab/>
            </w:r>
          </w:p>
        </w:tc>
        <w:tc>
          <w:tcPr>
            <w:tcW w:w="3304" w:type="dxa"/>
          </w:tcPr>
          <w:p w:rsidR="007A045B" w:rsidRPr="001351FC" w:rsidP="001351FC" w14:paraId="6238B884" w14:textId="77777777">
            <w:pPr>
              <w:tabs>
                <w:tab w:val="left" w:pos="4320"/>
              </w:tabs>
              <w:jc w:val="right"/>
            </w:pPr>
          </w:p>
          <w:p w:rsidR="007A045B" w:rsidRPr="001351FC" w:rsidP="001351FC" w14:paraId="350B948B" w14:textId="0FC3E964">
            <w:pPr>
              <w:tabs>
                <w:tab w:val="left" w:pos="4320"/>
              </w:tabs>
              <w:jc w:val="center"/>
            </w:pPr>
          </w:p>
        </w:tc>
      </w:tr>
    </w:tbl>
    <w:p w:rsidR="00EA151B" w:rsidRPr="00EA151B" w:rsidP="00EA151B" w14:paraId="1D91FA56" w14:textId="77777777">
      <w:pPr>
        <w:tabs>
          <w:tab w:val="left" w:pos="4020"/>
        </w:tabs>
        <w:ind w:left="709" w:hanging="567"/>
        <w:rPr>
          <w:rFonts w:eastAsia="Times New Roman"/>
        </w:rPr>
      </w:pPr>
      <w:r w:rsidRPr="00EA151B">
        <w:rPr>
          <w:rFonts w:eastAsia="Times New Roman"/>
        </w:rPr>
        <w:t xml:space="preserve">Valsts sekretāra vietniece – </w:t>
      </w:r>
    </w:p>
    <w:p w:rsidR="00EA151B" w:rsidRPr="00EA151B" w:rsidP="00EA151B" w14:paraId="043D77EF" w14:textId="77777777">
      <w:pPr>
        <w:tabs>
          <w:tab w:val="left" w:pos="4020"/>
        </w:tabs>
        <w:ind w:left="709" w:hanging="567"/>
        <w:rPr>
          <w:rFonts w:eastAsia="Times New Roman"/>
        </w:rPr>
      </w:pPr>
      <w:r w:rsidRPr="00EA151B">
        <w:t>Politikas iniciatīvu un attīstības departamenta direktore</w:t>
      </w:r>
      <w:r w:rsidRPr="00EA151B">
        <w:rPr>
          <w:rFonts w:eastAsia="Times New Roman"/>
        </w:rPr>
        <w:t>,</w:t>
      </w:r>
    </w:p>
    <w:p w:rsidR="00EA151B" w:rsidRPr="00EA151B" w:rsidP="00EA151B" w14:paraId="452EB243" w14:textId="0387B0AB">
      <w:pPr>
        <w:tabs>
          <w:tab w:val="left" w:pos="4020"/>
        </w:tabs>
        <w:ind w:left="709" w:hanging="567"/>
      </w:pPr>
      <w:r w:rsidRPr="00EA151B">
        <w:rPr>
          <w:rFonts w:eastAsia="Times New Roman"/>
        </w:rPr>
        <w:t xml:space="preserve">valsts sekretāra pienākumu izpildītāja                      </w:t>
      </w:r>
      <w:r w:rsidRPr="00EA151B">
        <w:rPr>
          <w:rFonts w:eastAsia="Times New Roman"/>
        </w:rPr>
        <w:tab/>
        <w:t xml:space="preserve">                </w:t>
      </w:r>
      <w:r w:rsidR="00B53338">
        <w:rPr>
          <w:rFonts w:eastAsia="Times New Roman"/>
        </w:rPr>
        <w:t xml:space="preserve">                </w:t>
      </w:r>
      <w:bookmarkStart w:id="3" w:name="_GoBack"/>
      <w:bookmarkEnd w:id="3"/>
      <w:r w:rsidR="00B53338">
        <w:rPr>
          <w:rFonts w:eastAsia="Times New Roman"/>
        </w:rPr>
        <w:t xml:space="preserve">Gunta </w:t>
      </w:r>
      <w:r w:rsidRPr="00EA151B">
        <w:rPr>
          <w:rFonts w:eastAsia="Times New Roman"/>
        </w:rPr>
        <w:t>Arāja</w:t>
      </w:r>
    </w:p>
    <w:p w:rsidR="007A045B" w:rsidRPr="001351FC" w:rsidP="001351FC" w14:paraId="1268B73B" w14:textId="77777777"/>
    <w:sectPr w:rsidSect="003B01C6">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FE5" w14:paraId="68E04F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879" w:rsidRPr="006D4F7C" w:rsidP="0052108D" w14:paraId="6AFCAA6C" w14:textId="72AC39AF">
    <w:pPr>
      <w:pStyle w:val="Footer"/>
      <w:tabs>
        <w:tab w:val="clear" w:pos="8306"/>
      </w:tabs>
      <w:jc w:val="both"/>
      <w:rPr>
        <w:noProof/>
        <w:sz w:val="20"/>
        <w:szCs w:val="20"/>
      </w:rPr>
    </w:pPr>
    <w:r>
      <w:rPr>
        <w:noProof/>
        <w:sz w:val="20"/>
        <w:szCs w:val="20"/>
      </w:rPr>
      <w:t>IZMAnot_28</w:t>
    </w:r>
    <w:r w:rsidR="00AF0818">
      <w:rPr>
        <w:noProof/>
        <w:sz w:val="20"/>
        <w:szCs w:val="20"/>
      </w:rPr>
      <w:t>02</w:t>
    </w:r>
    <w:r>
      <w:rPr>
        <w:noProof/>
        <w:sz w:val="20"/>
        <w:szCs w:val="20"/>
      </w:rPr>
      <w:t>18_8311</w:t>
    </w:r>
    <w:r w:rsidRPr="00B4020C">
      <w:rPr>
        <w:sz w:val="20"/>
        <w:szCs w:val="20"/>
      </w:rPr>
      <w:t xml:space="preserve">; </w:t>
    </w:r>
    <w:r w:rsidRPr="006C4B7C">
      <w:rPr>
        <w:noProof/>
        <w:sz w:val="20"/>
        <w:szCs w:val="20"/>
      </w:rPr>
      <w:t>Ministru kabineta noteikumu</w:t>
    </w:r>
    <w:r>
      <w:rPr>
        <w:noProof/>
        <w:sz w:val="20"/>
        <w:szCs w:val="20"/>
      </w:rPr>
      <w:t xml:space="preserve"> projekta </w:t>
    </w:r>
    <w:r w:rsidRPr="006C4B7C">
      <w:rPr>
        <w:noProof/>
        <w:sz w:val="20"/>
        <w:szCs w:val="20"/>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projekta sākotnējās ietekmes novērtējuma ziņojums (anotācija)</w:t>
    </w:r>
  </w:p>
  <w:p w:rsidR="00DB3879" w14:paraId="7A22D868" w14:textId="77777777">
    <w:pPr>
      <w:pStyle w:val="Footer"/>
    </w:pPr>
  </w:p>
  <w:p w:rsidR="00DB3879" w14:paraId="25D512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879" w:rsidRPr="00521075" w:rsidP="00521075" w14:paraId="658418D3" w14:textId="3719D569">
    <w:pPr>
      <w:pStyle w:val="Footer"/>
      <w:tabs>
        <w:tab w:val="clear" w:pos="8306"/>
      </w:tabs>
      <w:jc w:val="both"/>
      <w:rPr>
        <w:noProof/>
        <w:sz w:val="20"/>
        <w:szCs w:val="20"/>
      </w:rPr>
    </w:pPr>
    <w:r>
      <w:rPr>
        <w:noProof/>
        <w:sz w:val="20"/>
        <w:szCs w:val="20"/>
      </w:rPr>
      <w:t>IZMAnot_28</w:t>
    </w:r>
    <w:r w:rsidR="00AF0818">
      <w:rPr>
        <w:noProof/>
        <w:sz w:val="20"/>
        <w:szCs w:val="20"/>
      </w:rPr>
      <w:t>02</w:t>
    </w:r>
    <w:r>
      <w:rPr>
        <w:noProof/>
        <w:sz w:val="20"/>
        <w:szCs w:val="20"/>
      </w:rPr>
      <w:t>18_8311</w:t>
    </w:r>
    <w:r w:rsidRPr="00B4020C">
      <w:rPr>
        <w:sz w:val="20"/>
        <w:szCs w:val="20"/>
      </w:rPr>
      <w:t xml:space="preserve">; </w:t>
    </w:r>
    <w:r w:rsidRPr="006C4B7C">
      <w:rPr>
        <w:noProof/>
        <w:sz w:val="20"/>
        <w:szCs w:val="20"/>
      </w:rPr>
      <w:t>Ministru kabineta noteikumu</w:t>
    </w:r>
    <w:r>
      <w:rPr>
        <w:noProof/>
        <w:sz w:val="20"/>
        <w:szCs w:val="20"/>
      </w:rPr>
      <w:t xml:space="preserve"> projekta </w:t>
    </w:r>
    <w:r w:rsidRPr="006C4B7C">
      <w:rPr>
        <w:noProof/>
        <w:sz w:val="20"/>
        <w:szCs w:val="20"/>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projekta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FE5" w14:paraId="755C3C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58740153"/>
      <w:docPartObj>
        <w:docPartGallery w:val="Page Numbers (Top of Page)"/>
        <w:docPartUnique/>
      </w:docPartObj>
    </w:sdtPr>
    <w:sdtEndPr>
      <w:rPr>
        <w:noProof/>
      </w:rPr>
    </w:sdtEndPr>
    <w:sdtContent>
      <w:p w:rsidR="00DB3879" w14:paraId="7D8F98E8" w14:textId="77777777">
        <w:pPr>
          <w:pStyle w:val="Header"/>
          <w:jc w:val="center"/>
        </w:pPr>
        <w:r>
          <w:fldChar w:fldCharType="begin"/>
        </w:r>
        <w:r>
          <w:instrText xml:space="preserve"> PAGE   \* MERGEFORMAT </w:instrText>
        </w:r>
        <w:r>
          <w:fldChar w:fldCharType="separate"/>
        </w:r>
        <w:r w:rsidR="00B53338">
          <w:rPr>
            <w:noProof/>
          </w:rPr>
          <w:t>12</w:t>
        </w:r>
        <w:r>
          <w:rPr>
            <w:noProof/>
          </w:rPr>
          <w:fldChar w:fldCharType="end"/>
        </w:r>
      </w:p>
    </w:sdtContent>
  </w:sdt>
  <w:p w:rsidR="00DB3879" w:rsidP="0052108D" w14:paraId="08EA0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2FE5" w14:paraId="3303B2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0F621C"/>
    <w:multiLevelType w:val="hybridMultilevel"/>
    <w:tmpl w:val="98D49D5C"/>
    <w:lvl w:ilvl="0">
      <w:start w:val="1"/>
      <w:numFmt w:val="bullet"/>
      <w:lvlText w:val=""/>
      <w:lvlJc w:val="left"/>
      <w:pPr>
        <w:ind w:left="754" w:hanging="360"/>
      </w:pPr>
      <w:rPr>
        <w:rFonts w:ascii="Symbol" w:hAnsi="Symbol" w:hint="default"/>
      </w:rPr>
    </w:lvl>
    <w:lvl w:ilvl="1" w:tentative="1">
      <w:start w:val="1"/>
      <w:numFmt w:val="bullet"/>
      <w:lvlText w:val="o"/>
      <w:lvlJc w:val="left"/>
      <w:pPr>
        <w:ind w:left="1474" w:hanging="360"/>
      </w:pPr>
      <w:rPr>
        <w:rFonts w:ascii="Courier New" w:hAnsi="Courier New" w:cs="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cs="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cs="Courier New" w:hint="default"/>
      </w:rPr>
    </w:lvl>
    <w:lvl w:ilvl="8" w:tentative="1">
      <w:start w:val="1"/>
      <w:numFmt w:val="bullet"/>
      <w:lvlText w:val=""/>
      <w:lvlJc w:val="left"/>
      <w:pPr>
        <w:ind w:left="6514" w:hanging="360"/>
      </w:pPr>
      <w:rPr>
        <w:rFonts w:ascii="Wingdings" w:hAnsi="Wingdings" w:hint="default"/>
      </w:rPr>
    </w:lvl>
  </w:abstractNum>
  <w:abstractNum w:abstractNumId="1" w15:restartNumberingAfterBreak="1">
    <w:nsid w:val="0D133711"/>
    <w:multiLevelType w:val="hybridMultilevel"/>
    <w:tmpl w:val="6EE004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D4C5E04"/>
    <w:multiLevelType w:val="hybridMultilevel"/>
    <w:tmpl w:val="2BA6FE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A5903C8"/>
    <w:multiLevelType w:val="hybridMultilevel"/>
    <w:tmpl w:val="95543244"/>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4" w15:restartNumberingAfterBreak="1">
    <w:nsid w:val="47821293"/>
    <w:multiLevelType w:val="hybridMultilevel"/>
    <w:tmpl w:val="91F851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41915C6"/>
    <w:multiLevelType w:val="hybridMultilevel"/>
    <w:tmpl w:val="C360BDB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2186FD9"/>
    <w:multiLevelType w:val="hybridMultilevel"/>
    <w:tmpl w:val="2CB0A9C2"/>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7" w15:restartNumberingAfterBreak="1">
    <w:nsid w:val="71C26178"/>
    <w:multiLevelType w:val="hybridMultilevel"/>
    <w:tmpl w:val="9FBED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74F8102F"/>
    <w:multiLevelType w:val="hybridMultilevel"/>
    <w:tmpl w:val="A48283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7F7619F5"/>
    <w:multiLevelType w:val="hybridMultilevel"/>
    <w:tmpl w:val="C758ED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7924"/>
    <w:rsid w:val="00044224"/>
    <w:rsid w:val="00047A59"/>
    <w:rsid w:val="00055596"/>
    <w:rsid w:val="00055FF5"/>
    <w:rsid w:val="000726BF"/>
    <w:rsid w:val="000864C7"/>
    <w:rsid w:val="000952B3"/>
    <w:rsid w:val="000A4EDF"/>
    <w:rsid w:val="000A7A0E"/>
    <w:rsid w:val="000D24CB"/>
    <w:rsid w:val="000F01C5"/>
    <w:rsid w:val="000F2179"/>
    <w:rsid w:val="000F796B"/>
    <w:rsid w:val="001226BE"/>
    <w:rsid w:val="001273A7"/>
    <w:rsid w:val="001351FC"/>
    <w:rsid w:val="001435F6"/>
    <w:rsid w:val="001522EB"/>
    <w:rsid w:val="0015241F"/>
    <w:rsid w:val="00162663"/>
    <w:rsid w:val="00173A4C"/>
    <w:rsid w:val="001740A1"/>
    <w:rsid w:val="0017518B"/>
    <w:rsid w:val="001930D7"/>
    <w:rsid w:val="0019383F"/>
    <w:rsid w:val="001A037F"/>
    <w:rsid w:val="001B348C"/>
    <w:rsid w:val="001C0AEA"/>
    <w:rsid w:val="001C0C9B"/>
    <w:rsid w:val="001D3C5A"/>
    <w:rsid w:val="001E2C60"/>
    <w:rsid w:val="001F097E"/>
    <w:rsid w:val="001F3907"/>
    <w:rsid w:val="0023009A"/>
    <w:rsid w:val="00254E50"/>
    <w:rsid w:val="00261E34"/>
    <w:rsid w:val="00273E66"/>
    <w:rsid w:val="00276D5D"/>
    <w:rsid w:val="00277223"/>
    <w:rsid w:val="00297863"/>
    <w:rsid w:val="002A0265"/>
    <w:rsid w:val="002B0E96"/>
    <w:rsid w:val="002C22BE"/>
    <w:rsid w:val="00301E2B"/>
    <w:rsid w:val="0034707A"/>
    <w:rsid w:val="0034796B"/>
    <w:rsid w:val="00352BE9"/>
    <w:rsid w:val="00364B5A"/>
    <w:rsid w:val="00376346"/>
    <w:rsid w:val="003A21D1"/>
    <w:rsid w:val="003B01C6"/>
    <w:rsid w:val="003C2699"/>
    <w:rsid w:val="004040B1"/>
    <w:rsid w:val="00407F82"/>
    <w:rsid w:val="0041305A"/>
    <w:rsid w:val="00413BD9"/>
    <w:rsid w:val="004210D4"/>
    <w:rsid w:val="004219C7"/>
    <w:rsid w:val="00442A7F"/>
    <w:rsid w:val="004622C3"/>
    <w:rsid w:val="00465C98"/>
    <w:rsid w:val="00477435"/>
    <w:rsid w:val="00477F62"/>
    <w:rsid w:val="004A4EBE"/>
    <w:rsid w:val="004C4068"/>
    <w:rsid w:val="004D2E35"/>
    <w:rsid w:val="004D5248"/>
    <w:rsid w:val="00510199"/>
    <w:rsid w:val="00521075"/>
    <w:rsid w:val="0052108D"/>
    <w:rsid w:val="0053202D"/>
    <w:rsid w:val="005464A0"/>
    <w:rsid w:val="00553EFC"/>
    <w:rsid w:val="005C451C"/>
    <w:rsid w:val="006130EC"/>
    <w:rsid w:val="00621927"/>
    <w:rsid w:val="006260FC"/>
    <w:rsid w:val="0067518D"/>
    <w:rsid w:val="006B4F32"/>
    <w:rsid w:val="006C03A6"/>
    <w:rsid w:val="006C4B7C"/>
    <w:rsid w:val="006D1EAD"/>
    <w:rsid w:val="006D231B"/>
    <w:rsid w:val="006D4F7C"/>
    <w:rsid w:val="006E2626"/>
    <w:rsid w:val="006E48A2"/>
    <w:rsid w:val="006E6C0E"/>
    <w:rsid w:val="00704DDD"/>
    <w:rsid w:val="007164D3"/>
    <w:rsid w:val="0072528C"/>
    <w:rsid w:val="007257CB"/>
    <w:rsid w:val="00745F7A"/>
    <w:rsid w:val="007660C6"/>
    <w:rsid w:val="00780E7D"/>
    <w:rsid w:val="00781529"/>
    <w:rsid w:val="00782FE5"/>
    <w:rsid w:val="007A045B"/>
    <w:rsid w:val="007B1CFF"/>
    <w:rsid w:val="00814195"/>
    <w:rsid w:val="0083701C"/>
    <w:rsid w:val="008542CA"/>
    <w:rsid w:val="0085612F"/>
    <w:rsid w:val="008573E5"/>
    <w:rsid w:val="008605BD"/>
    <w:rsid w:val="00867D90"/>
    <w:rsid w:val="008772B7"/>
    <w:rsid w:val="008939F7"/>
    <w:rsid w:val="00895249"/>
    <w:rsid w:val="00896040"/>
    <w:rsid w:val="008A0436"/>
    <w:rsid w:val="008B392D"/>
    <w:rsid w:val="00913D6E"/>
    <w:rsid w:val="0092196F"/>
    <w:rsid w:val="00930F1B"/>
    <w:rsid w:val="0098188F"/>
    <w:rsid w:val="00993742"/>
    <w:rsid w:val="009966FA"/>
    <w:rsid w:val="00997420"/>
    <w:rsid w:val="0099780F"/>
    <w:rsid w:val="009B1E75"/>
    <w:rsid w:val="009F0CDF"/>
    <w:rsid w:val="00A262E5"/>
    <w:rsid w:val="00AE008E"/>
    <w:rsid w:val="00AE0688"/>
    <w:rsid w:val="00AE0973"/>
    <w:rsid w:val="00AF0818"/>
    <w:rsid w:val="00AF60F9"/>
    <w:rsid w:val="00B15E8C"/>
    <w:rsid w:val="00B17F1A"/>
    <w:rsid w:val="00B25163"/>
    <w:rsid w:val="00B4020C"/>
    <w:rsid w:val="00B53338"/>
    <w:rsid w:val="00B6710B"/>
    <w:rsid w:val="00B77F99"/>
    <w:rsid w:val="00B94D4E"/>
    <w:rsid w:val="00BA020E"/>
    <w:rsid w:val="00BA7A9F"/>
    <w:rsid w:val="00BB4F00"/>
    <w:rsid w:val="00BC0E04"/>
    <w:rsid w:val="00BC4492"/>
    <w:rsid w:val="00BE06CF"/>
    <w:rsid w:val="00C00421"/>
    <w:rsid w:val="00C11118"/>
    <w:rsid w:val="00C20D0C"/>
    <w:rsid w:val="00C232D2"/>
    <w:rsid w:val="00C3351F"/>
    <w:rsid w:val="00C34D87"/>
    <w:rsid w:val="00C37BBD"/>
    <w:rsid w:val="00C4035B"/>
    <w:rsid w:val="00C46410"/>
    <w:rsid w:val="00C53C73"/>
    <w:rsid w:val="00C55E67"/>
    <w:rsid w:val="00C722A7"/>
    <w:rsid w:val="00CF5953"/>
    <w:rsid w:val="00D019DA"/>
    <w:rsid w:val="00D06379"/>
    <w:rsid w:val="00D15822"/>
    <w:rsid w:val="00D15CDC"/>
    <w:rsid w:val="00D26436"/>
    <w:rsid w:val="00D27C0A"/>
    <w:rsid w:val="00D47E43"/>
    <w:rsid w:val="00D6166B"/>
    <w:rsid w:val="00D63F38"/>
    <w:rsid w:val="00D645B5"/>
    <w:rsid w:val="00D71A77"/>
    <w:rsid w:val="00D83AB0"/>
    <w:rsid w:val="00D85B21"/>
    <w:rsid w:val="00D872A3"/>
    <w:rsid w:val="00DA1882"/>
    <w:rsid w:val="00DB3879"/>
    <w:rsid w:val="00DD69D9"/>
    <w:rsid w:val="00DF3C5B"/>
    <w:rsid w:val="00DF4080"/>
    <w:rsid w:val="00E23120"/>
    <w:rsid w:val="00E24D2C"/>
    <w:rsid w:val="00E263CE"/>
    <w:rsid w:val="00E501E8"/>
    <w:rsid w:val="00E5666D"/>
    <w:rsid w:val="00E645DB"/>
    <w:rsid w:val="00EA151B"/>
    <w:rsid w:val="00EC6C87"/>
    <w:rsid w:val="00EF1CC5"/>
    <w:rsid w:val="00F07651"/>
    <w:rsid w:val="00F14906"/>
    <w:rsid w:val="00F27283"/>
    <w:rsid w:val="00F31CB6"/>
    <w:rsid w:val="00F4193B"/>
    <w:rsid w:val="00F77D07"/>
    <w:rsid w:val="00F8323A"/>
    <w:rsid w:val="00F863D0"/>
    <w:rsid w:val="00F86F16"/>
    <w:rsid w:val="00FA699C"/>
    <w:rsid w:val="00FB6A69"/>
    <w:rsid w:val="00FE414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B453-81AB-4B1C-9430-71017430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17800</Words>
  <Characters>10147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Ķīse</dc:creator>
  <cp:lastModifiedBy>Aija Spriņķe</cp:lastModifiedBy>
  <cp:revision>25</cp:revision>
  <cp:lastPrinted>2018-02-22T07:31:00Z</cp:lastPrinted>
  <dcterms:created xsi:type="dcterms:W3CDTF">2018-02-21T10:50:00Z</dcterms:created>
  <dcterms:modified xsi:type="dcterms:W3CDTF">2018-03-06T06:11:00Z</dcterms:modified>
</cp:coreProperties>
</file>