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style1.xml" ContentType="application/vnd.ms-office.chartstyle+xml"/>
  <Override PartName="/word/charts/chart1.xml" ContentType="application/vnd.openxmlformats-officedocument.drawingml.chart+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B4AB9" w:rsidRPr="000908E3" w:rsidP="000908E3">
      <w:pPr>
        <w:spacing w:before="120" w:after="120"/>
        <w:ind w:left="6237"/>
        <w:jc w:val="right"/>
        <w:rPr>
          <w:rFonts w:ascii="Candara" w:hAnsi="Candara"/>
          <w:b/>
        </w:rPr>
      </w:pPr>
      <w:bookmarkStart w:id="0" w:name="_GoBack"/>
      <w:bookmarkEnd w:id="0"/>
      <w:r w:rsidRPr="00B534D0">
        <w:rPr>
          <w:rFonts w:ascii="Candara" w:hAnsi="Candara"/>
        </w:rPr>
        <w:t>Informatīvā ziņojuma “</w:t>
      </w:r>
      <w:r>
        <w:rPr>
          <w:rFonts w:ascii="Candara" w:hAnsi="Candara"/>
        </w:rPr>
        <w:t>Viedās specializācijas stratēģijas monitorings</w:t>
      </w:r>
      <w:r w:rsidRPr="00B534D0">
        <w:rPr>
          <w:rFonts w:ascii="Candara" w:hAnsi="Candara"/>
        </w:rPr>
        <w:t xml:space="preserve">” </w:t>
      </w:r>
      <w:r>
        <w:rPr>
          <w:rFonts w:ascii="Candara" w:hAnsi="Candara"/>
        </w:rPr>
        <w:t>5</w:t>
      </w:r>
      <w:r w:rsidRPr="00B534D0">
        <w:rPr>
          <w:rFonts w:ascii="Candara" w:hAnsi="Candara"/>
        </w:rPr>
        <w:t>. pielikums</w:t>
      </w:r>
    </w:p>
    <w:p w:rsidR="002B6191" w:rsidRPr="003E0E3E" w:rsidP="003E0E3E">
      <w:pPr>
        <w:pStyle w:val="Heading1"/>
        <w:shd w:val="clear" w:color="auto" w:fill="2F5496" w:themeFill="accent1" w:themeFillShade="BF"/>
        <w:spacing w:before="0" w:line="240" w:lineRule="auto"/>
        <w:jc w:val="center"/>
        <w:rPr>
          <w:rFonts w:ascii="Candara" w:eastAsia="Times New Roman" w:hAnsi="Candara"/>
          <w:b/>
          <w:color w:val="FFFFFF" w:themeColor="background1"/>
          <w:lang w:eastAsia="lv-LV"/>
        </w:rPr>
      </w:pPr>
      <w:r w:rsidRPr="003E0E3E">
        <w:rPr>
          <w:rFonts w:ascii="Candara" w:eastAsia="Times New Roman" w:hAnsi="Candara"/>
          <w:b/>
          <w:color w:val="FFFFFF" w:themeColor="background1"/>
          <w:lang w:eastAsia="lv-LV"/>
        </w:rPr>
        <w:t>EIROPAS INOVĀCIJAS REZULTĀTU PĀRSKATS</w:t>
      </w:r>
    </w:p>
    <w:p w:rsidR="002B6191" w:rsidRPr="0025220B" w:rsidP="002B6191">
      <w:pPr>
        <w:spacing w:after="40" w:line="240" w:lineRule="auto"/>
        <w:jc w:val="both"/>
        <w:rPr>
          <w:rFonts w:ascii="Candara" w:hAnsi="Candara"/>
          <w:b/>
        </w:rPr>
      </w:pPr>
    </w:p>
    <w:p w:rsidR="002B6191" w:rsidRPr="0025220B" w:rsidP="008B4AB9">
      <w:pPr>
        <w:spacing w:after="40" w:line="240" w:lineRule="auto"/>
        <w:jc w:val="both"/>
        <w:rPr>
          <w:rFonts w:ascii="Candara" w:hAnsi="Candara"/>
        </w:rPr>
      </w:pPr>
      <w:r w:rsidRPr="0025220B">
        <w:rPr>
          <w:rFonts w:ascii="Candara" w:hAnsi="Candara"/>
        </w:rPr>
        <w:t>Valstu inovācijas spējas savstarpējai salīdzināšanai tiek lietoti dažādi pārskati un indeksi, kurus izstrādā starptautiskās organizācijas, kā arī dažādas konsultāciju un finanšu institūcijas. Daži no tiem ir Globālais Inovācijas indekss (Global Innovation Index)</w:t>
      </w:r>
      <w:r>
        <w:rPr>
          <w:rFonts w:ascii="Candara" w:hAnsi="Candara"/>
          <w:vertAlign w:val="superscript"/>
        </w:rPr>
        <w:footnoteReference w:id="2"/>
      </w:r>
      <w:r w:rsidRPr="0025220B">
        <w:rPr>
          <w:rFonts w:ascii="Candara" w:hAnsi="Candara"/>
        </w:rPr>
        <w:t>, Bloomeberg Inovācijas indekss (Bloomberg Innovation Index)</w:t>
      </w:r>
      <w:r>
        <w:rPr>
          <w:rFonts w:ascii="Candara" w:hAnsi="Candara"/>
          <w:vertAlign w:val="superscript"/>
        </w:rPr>
        <w:footnoteReference w:id="3"/>
      </w:r>
      <w:r w:rsidRPr="0025220B">
        <w:rPr>
          <w:rFonts w:ascii="Candara" w:hAnsi="Candara"/>
        </w:rPr>
        <w:t>, kā arī Eiropas Inovācijas rezultātu pārskats (European Innovation Scoreboard).</w:t>
      </w:r>
      <w:r>
        <w:rPr>
          <w:rFonts w:ascii="Candara" w:hAnsi="Candara"/>
          <w:vertAlign w:val="superscript"/>
        </w:rPr>
        <w:footnoteReference w:id="4"/>
      </w:r>
    </w:p>
    <w:p w:rsidR="002B6191" w:rsidRPr="0025220B" w:rsidP="002B6191">
      <w:pPr>
        <w:spacing w:after="40" w:line="240" w:lineRule="auto"/>
        <w:jc w:val="both"/>
        <w:rPr>
          <w:rFonts w:ascii="Candara" w:hAnsi="Candara"/>
        </w:rPr>
      </w:pPr>
      <w:r w:rsidRPr="0025220B">
        <w:rPr>
          <w:rFonts w:ascii="Candara" w:hAnsi="Candara"/>
        </w:rPr>
        <w:t>Eiropas Savienības (ES) un tās dalībvalstu, t.sk. Latvijas inovācijas spējas salīdzināšanas rīks, kas sniedz novērtējumu par šo valstu inovācijas jomas attīstības tendencēm, t.sk. salīdzinājumā ar galvenajiem ES starptautiskajiem konkurentiem, ir Eiropas Komisijas (EK) ikgadēji publicētais Eiropas Inovācijas rezultātu pārskats (EIS).</w:t>
      </w:r>
    </w:p>
    <w:p w:rsidR="002B6191" w:rsidRPr="0025220B" w:rsidP="002B6191">
      <w:pPr>
        <w:spacing w:after="40" w:line="240" w:lineRule="auto"/>
        <w:jc w:val="both"/>
        <w:rPr>
          <w:rFonts w:ascii="Candara" w:hAnsi="Candara"/>
        </w:rPr>
      </w:pPr>
      <w:r w:rsidRPr="0025220B">
        <w:rPr>
          <w:rFonts w:ascii="Candara" w:hAnsi="Candara"/>
        </w:rPr>
        <w:t>EIS ietver detalizētu analīzi un informāciju par 25 rādītājiem, norādot uz ES dalībvalstu stiprajām un vājajām vietām, balstoties uz būtisku inovācijas virzītājspēku novērtējumu – sākot no pētniecības sistēmas efektivitātes un valsts/ privātā sektora investīcijām pētniecībā un attīstībā (P&amp;A), beidzot ar intelektuālā īpašuma jomas sekmības salīdzinājumu, kā arī ekonomiskajiem efektiem un atdevi, kas raksturo valsts inovācijas potenciālu.</w:t>
      </w:r>
    </w:p>
    <w:p w:rsidR="002B6191" w:rsidRPr="0025220B" w:rsidP="002B6191">
      <w:pPr>
        <w:spacing w:after="40" w:line="240" w:lineRule="auto"/>
        <w:jc w:val="both"/>
        <w:rPr>
          <w:rFonts w:ascii="Candara" w:hAnsi="Candara"/>
        </w:rPr>
      </w:pPr>
      <w:r w:rsidRPr="0025220B">
        <w:rPr>
          <w:rFonts w:ascii="Candara" w:hAnsi="Candara"/>
        </w:rPr>
        <w:t>EIS 2016.gada pārskatā (sagatavots par 2015.gadu), Latvija pirmo reizi iekļauta “vidējo inovatoru” (moderate innovators) valstu grupā, kas apliecina, ka šo valstu sniegums inovācijas jomā ir 50-90% no ES 28 valstu (ES-28) vidējā līmeņa. Pārskatā aplūkotajā periodā par 2008.-2015.gadu Latvija ir uzrādījusi visaugstāko inovācijas izaugsmes ikgadējo pieaugumu starp visām ES dalībvalstīm, sasniedzot 4% (ES vidējais pieaugums – 0,74%).</w:t>
      </w:r>
    </w:p>
    <w:p w:rsidR="00CB2800" w:rsidRPr="002445A6" w:rsidP="002B6191">
      <w:pPr>
        <w:spacing w:after="0" w:line="240" w:lineRule="auto"/>
        <w:jc w:val="right"/>
        <w:rPr>
          <w:rFonts w:ascii="Candara" w:hAnsi="Candara"/>
          <w:i/>
          <w:sz w:val="8"/>
          <w:szCs w:val="8"/>
        </w:rPr>
      </w:pPr>
    </w:p>
    <w:p w:rsidR="002B6191" w:rsidRPr="0025220B" w:rsidP="002B6191">
      <w:pPr>
        <w:spacing w:after="0" w:line="240" w:lineRule="auto"/>
        <w:jc w:val="right"/>
        <w:rPr>
          <w:rFonts w:ascii="Candara" w:hAnsi="Candara"/>
          <w:i/>
        </w:rPr>
      </w:pPr>
      <w:r w:rsidRPr="0025220B">
        <w:rPr>
          <w:rFonts w:ascii="Candara" w:hAnsi="Candara"/>
          <w:i/>
        </w:rPr>
        <w:t>Attēls Nr.1: European Innovation Scoreboard 2016</w:t>
      </w:r>
    </w:p>
    <w:p w:rsidR="002B6191" w:rsidRPr="0025220B" w:rsidP="002B6191">
      <w:pPr>
        <w:spacing w:after="0" w:line="240" w:lineRule="auto"/>
        <w:jc w:val="center"/>
        <w:rPr>
          <w:rFonts w:ascii="Candara" w:hAnsi="Candara"/>
        </w:rPr>
      </w:pPr>
      <w:r w:rsidRPr="0025220B">
        <w:rPr>
          <w:noProof/>
          <w:lang w:eastAsia="lv-LV"/>
        </w:rPr>
        <w:drawing>
          <wp:inline distT="0" distB="0" distL="0" distR="0">
            <wp:extent cx="45339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B589B" w:rsidP="00FB589B">
      <w:pPr>
        <w:spacing w:after="40" w:line="240" w:lineRule="auto"/>
        <w:jc w:val="both"/>
        <w:rPr>
          <w:rFonts w:ascii="Candara" w:hAnsi="Candara"/>
        </w:rPr>
      </w:pPr>
      <w:r w:rsidRPr="0025220B">
        <w:rPr>
          <w:rFonts w:ascii="Candara" w:hAnsi="Candara"/>
        </w:rPr>
        <w:t>Analizējot Pārskata komponentes (sk. attēlu Nr.1) secināms, ka salīdzinoši labāki rādītāji Latvijai ir cilvēkresursu attīstības (augstāko izglītību ieguvušo iedzīvotāju skaits, augstākā līmeņa vidējo izglītību ieguvušo jauniešu skaits), piesaistītās riska kapitāla investīcijas, kā arī rādītājs, kas raksturo tos uzņēmumu izdevumus inovācijai, kas nav P&amp;A. Savukārt vājāki rezultāti novērojami tādos Pārskatā ietvertajos indikatoros kā: uzņēmumu izdevumi P&amp;A; inovatīvi mazie un vidējie uzņēmumi (MVU), kas sadarbojas ar citiem; strauji augoši inovatīvi uzņēmumi; publiskā un privātā sektora kopīgi sagatavotās publikācijas. Zem ES vidējā līmeņa ir arī rādītāji, kas raksturo publisko un privāto zinātnisko publikāciju skaitu; doktorantūras studentu skaitu ārpus ES; ieņēmumus no licencēm un patentiem ārzemēs; kā arī uzņēmumu izdevumus P&amp;A.</w:t>
      </w:r>
    </w:p>
    <w:p w:rsidR="002B6191" w:rsidRPr="0025220B" w:rsidP="00FB589B">
      <w:pPr>
        <w:spacing w:after="40" w:line="240" w:lineRule="auto"/>
        <w:jc w:val="both"/>
        <w:rPr>
          <w:rFonts w:ascii="Candara" w:hAnsi="Candara"/>
        </w:rPr>
      </w:pPr>
      <w:r w:rsidRPr="0025220B">
        <w:rPr>
          <w:rFonts w:ascii="Candara" w:hAnsi="Candara"/>
        </w:rPr>
        <w:t>Latvijas sniegums EIS kopumā ir uzlabojies – 2016.gada Pārskatā par 2015.gadu Latvija visos rādītājos kopā sasniedza 54% no ES dalībvalstu vidējā rādītāja (2008.gadā – 43%). Tomēr Latvijas veiktspēja lielākajā daļā EIS indikatoru saglabājās zem vidējā ES valstu līmeņa, sevišķi tādos rādītājos kā: Publisko un privāto zinātnisko publikāciju skaits (1%), Ārpussavienības doktorantūras studenti (16%), Ieņēmumi no licencēm un patentiem ārzemēs (3%), Uzņēmumu izdevumi P&amp;A (19%). Latvijas relatīvi stiprās puses identificējams divos rādītājos: Uzņēmumu investīciju rādītājā vērtētais apakšrādītājs – Izdevumi inovācijai, kas nav P&amp;A (201%) un (Finanšu un atbalsta rādītājā vērtētais apakšrādītājs – Riska kapitāla investīciju apjoms no IKP (155%).</w:t>
      </w:r>
    </w:p>
    <w:p w:rsidR="002B6191" w:rsidRPr="0025220B" w:rsidP="002B6191">
      <w:pPr>
        <w:spacing w:after="120" w:line="240" w:lineRule="auto"/>
        <w:jc w:val="both"/>
        <w:rPr>
          <w:rFonts w:ascii="Candara" w:hAnsi="Candara"/>
        </w:rPr>
      </w:pPr>
      <w:r w:rsidRPr="0025220B">
        <w:rPr>
          <w:rFonts w:ascii="Candara" w:hAnsi="Candara"/>
        </w:rPr>
        <w:t>2016.gada Pārskatā kāpums ir novērojams vairākos indikatoros, piemēram, Ārpussavienības doktorantūras studenti (+40%), Kopienas preču zīmes (+12%), Jauni doktorantūras studiju beidzēji (+9,4%). Savukārt vislielākais kritums novērojams šādos indikatoros: Publiskā un privātā sektora kopīgi izstrādātas publikācijas (-14%), Ieņēmumi no licencēm un patentiem ārzemēs (-12%), kā arī Starptautiskie patentu pieteikumi (PCT) sociālo izaicinājumu jomā (-6,2%) (sk. Tabulu Nr.1)</w:t>
      </w:r>
    </w:p>
    <w:tbl>
      <w:tblPr>
        <w:tblStyle w:val="TableGrid"/>
        <w:tblW w:w="5000" w:type="pct"/>
        <w:tblLook w:val="04A0"/>
      </w:tblPr>
      <w:tblGrid>
        <w:gridCol w:w="4876"/>
        <w:gridCol w:w="1331"/>
        <w:gridCol w:w="1184"/>
        <w:gridCol w:w="887"/>
        <w:gridCol w:w="889"/>
        <w:gridCol w:w="887"/>
      </w:tblGrid>
      <w:tr w:rsidTr="008B4AB9">
        <w:tblPrEx>
          <w:tblW w:w="5000" w:type="pct"/>
          <w:tblLook w:val="04A0"/>
        </w:tblPrEx>
        <w:trPr>
          <w:trHeight w:val="408"/>
        </w:trPr>
        <w:tc>
          <w:tcPr>
            <w:tcW w:w="2425" w:type="pct"/>
            <w:vMerge w:val="restart"/>
            <w:vAlign w:val="center"/>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Rādītāji</w:t>
            </w:r>
          </w:p>
          <w:p w:rsidR="002B6191" w:rsidRPr="0025220B" w:rsidP="00FB4A1B">
            <w:pPr>
              <w:autoSpaceDE w:val="0"/>
              <w:autoSpaceDN w:val="0"/>
              <w:adjustRightInd w:val="0"/>
              <w:jc w:val="center"/>
              <w:rPr>
                <w:rFonts w:ascii="Candara" w:hAnsi="Candara" w:cs="Times New Roman"/>
                <w:b/>
                <w:sz w:val="18"/>
                <w:szCs w:val="18"/>
              </w:rPr>
            </w:pPr>
          </w:p>
        </w:tc>
        <w:tc>
          <w:tcPr>
            <w:tcW w:w="662" w:type="pct"/>
            <w:vMerge w:val="restart"/>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Laika periods, kura dati tiek izmantoti</w:t>
            </w:r>
          </w:p>
        </w:tc>
        <w:tc>
          <w:tcPr>
            <w:tcW w:w="589" w:type="pct"/>
            <w:vMerge w:val="restart"/>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LV izmaiņas pret iepriekšējo gadu (%)</w:t>
            </w:r>
          </w:p>
        </w:tc>
        <w:tc>
          <w:tcPr>
            <w:tcW w:w="1324" w:type="pct"/>
            <w:gridSpan w:val="3"/>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 no ES-28 rādītāja, IUS2016</w:t>
            </w:r>
          </w:p>
        </w:tc>
      </w:tr>
      <w:tr w:rsidTr="008B4AB9">
        <w:tblPrEx>
          <w:tblW w:w="5000" w:type="pct"/>
          <w:tblLook w:val="04A0"/>
        </w:tblPrEx>
        <w:trPr>
          <w:trHeight w:val="408"/>
        </w:trPr>
        <w:tc>
          <w:tcPr>
            <w:tcW w:w="2425" w:type="pct"/>
            <w:vMerge/>
          </w:tcPr>
          <w:p w:rsidR="002B6191" w:rsidRPr="00782877" w:rsidP="00FB4A1B">
            <w:pPr>
              <w:autoSpaceDE w:val="0"/>
              <w:autoSpaceDN w:val="0"/>
              <w:adjustRightInd w:val="0"/>
              <w:rPr>
                <w:rFonts w:ascii="Candara" w:hAnsi="Candara" w:cs="Times New Roman"/>
                <w:sz w:val="18"/>
                <w:szCs w:val="18"/>
              </w:rPr>
            </w:pPr>
          </w:p>
        </w:tc>
        <w:tc>
          <w:tcPr>
            <w:tcW w:w="662" w:type="pct"/>
            <w:vMerge/>
          </w:tcPr>
          <w:p w:rsidR="002B6191" w:rsidRPr="00782877" w:rsidP="00FB4A1B">
            <w:pPr>
              <w:autoSpaceDE w:val="0"/>
              <w:autoSpaceDN w:val="0"/>
              <w:adjustRightInd w:val="0"/>
              <w:jc w:val="center"/>
              <w:rPr>
                <w:rFonts w:ascii="Candara" w:hAnsi="Candara" w:cs="Times New Roman"/>
                <w:b/>
                <w:sz w:val="18"/>
                <w:szCs w:val="18"/>
              </w:rPr>
            </w:pPr>
          </w:p>
        </w:tc>
        <w:tc>
          <w:tcPr>
            <w:tcW w:w="589" w:type="pct"/>
            <w:vMerge/>
          </w:tcPr>
          <w:p w:rsidR="002B6191" w:rsidRPr="00782877" w:rsidP="00FB4A1B">
            <w:pPr>
              <w:autoSpaceDE w:val="0"/>
              <w:autoSpaceDN w:val="0"/>
              <w:adjustRightInd w:val="0"/>
              <w:jc w:val="center"/>
              <w:rPr>
                <w:rFonts w:ascii="Candara" w:hAnsi="Candara" w:cs="Times New Roman"/>
                <w:b/>
                <w:sz w:val="18"/>
                <w:szCs w:val="18"/>
              </w:rPr>
            </w:pPr>
          </w:p>
        </w:tc>
        <w:tc>
          <w:tcPr>
            <w:tcW w:w="441" w:type="pct"/>
          </w:tcPr>
          <w:p w:rsidR="002B6191" w:rsidRPr="00782877" w:rsidP="00FB4A1B">
            <w:pPr>
              <w:autoSpaceDE w:val="0"/>
              <w:autoSpaceDN w:val="0"/>
              <w:adjustRightInd w:val="0"/>
              <w:jc w:val="center"/>
              <w:rPr>
                <w:rFonts w:ascii="Candara" w:hAnsi="Candara" w:cs="Times New Roman"/>
                <w:b/>
                <w:sz w:val="18"/>
                <w:szCs w:val="18"/>
              </w:rPr>
            </w:pPr>
            <w:r w:rsidRPr="00782877">
              <w:rPr>
                <w:rFonts w:ascii="Candara" w:hAnsi="Candara" w:cs="Times New Roman"/>
                <w:b/>
                <w:sz w:val="18"/>
                <w:szCs w:val="18"/>
              </w:rPr>
              <w:t>LV</w:t>
            </w:r>
          </w:p>
        </w:tc>
        <w:tc>
          <w:tcPr>
            <w:tcW w:w="442" w:type="pct"/>
          </w:tcPr>
          <w:p w:rsidR="002B6191" w:rsidRPr="00782877" w:rsidP="00FB4A1B">
            <w:pPr>
              <w:autoSpaceDE w:val="0"/>
              <w:autoSpaceDN w:val="0"/>
              <w:adjustRightInd w:val="0"/>
              <w:jc w:val="center"/>
              <w:rPr>
                <w:rFonts w:ascii="Candara" w:hAnsi="Candara" w:cs="Times New Roman"/>
                <w:b/>
                <w:sz w:val="18"/>
                <w:szCs w:val="18"/>
              </w:rPr>
            </w:pPr>
            <w:r w:rsidRPr="00782877">
              <w:rPr>
                <w:rFonts w:ascii="Candara" w:hAnsi="Candara" w:cs="Times New Roman"/>
                <w:b/>
                <w:sz w:val="18"/>
                <w:szCs w:val="18"/>
              </w:rPr>
              <w:t>LT</w:t>
            </w:r>
          </w:p>
        </w:tc>
        <w:tc>
          <w:tcPr>
            <w:tcW w:w="441" w:type="pct"/>
          </w:tcPr>
          <w:p w:rsidR="002B6191" w:rsidRPr="00782877" w:rsidP="00FB4A1B">
            <w:pPr>
              <w:autoSpaceDE w:val="0"/>
              <w:autoSpaceDN w:val="0"/>
              <w:adjustRightInd w:val="0"/>
              <w:jc w:val="center"/>
              <w:rPr>
                <w:rFonts w:ascii="Candara" w:hAnsi="Candara" w:cs="Times New Roman"/>
                <w:b/>
                <w:sz w:val="18"/>
                <w:szCs w:val="18"/>
              </w:rPr>
            </w:pPr>
            <w:r w:rsidRPr="00782877">
              <w:rPr>
                <w:rFonts w:ascii="Candara" w:hAnsi="Candara" w:cs="Times New Roman"/>
                <w:b/>
                <w:sz w:val="18"/>
                <w:szCs w:val="18"/>
              </w:rPr>
              <w:t>EE</w:t>
            </w:r>
          </w:p>
        </w:tc>
      </w:tr>
      <w:tr w:rsidTr="008B4AB9">
        <w:tblPrEx>
          <w:tblW w:w="5000" w:type="pct"/>
          <w:tblLook w:val="04A0"/>
        </w:tblPrEx>
        <w:tc>
          <w:tcPr>
            <w:tcW w:w="2425" w:type="pct"/>
            <w:shd w:val="clear" w:color="auto" w:fill="D9D9D9" w:themeFill="background1" w:themeFillShade="D9"/>
          </w:tcPr>
          <w:p w:rsidR="002B6191" w:rsidRPr="0025220B" w:rsidP="00FB4A1B">
            <w:pPr>
              <w:autoSpaceDE w:val="0"/>
              <w:autoSpaceDN w:val="0"/>
              <w:adjustRightInd w:val="0"/>
              <w:rPr>
                <w:rFonts w:ascii="Candara" w:hAnsi="Candara" w:cs="Times New Roman"/>
                <w:b/>
                <w:sz w:val="18"/>
                <w:szCs w:val="18"/>
              </w:rPr>
            </w:pPr>
            <w:r w:rsidRPr="0025220B">
              <w:rPr>
                <w:rFonts w:ascii="Candara" w:hAnsi="Candara" w:cs="Times New Roman"/>
                <w:b/>
                <w:sz w:val="18"/>
                <w:szCs w:val="18"/>
              </w:rPr>
              <w:t>Cilvēkresursi</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5,6</w:t>
            </w:r>
          </w:p>
        </w:tc>
        <w:tc>
          <w:tcPr>
            <w:tcW w:w="441"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93</w:t>
            </w:r>
          </w:p>
        </w:tc>
        <w:tc>
          <w:tcPr>
            <w:tcW w:w="442"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121</w:t>
            </w:r>
          </w:p>
        </w:tc>
        <w:tc>
          <w:tcPr>
            <w:tcW w:w="441"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96</w:t>
            </w:r>
          </w:p>
        </w:tc>
      </w:tr>
      <w:tr w:rsidTr="008B4AB9">
        <w:tblPrEx>
          <w:tblW w:w="5000" w:type="pct"/>
          <w:tblLook w:val="04A0"/>
        </w:tblPrEx>
        <w:tc>
          <w:tcPr>
            <w:tcW w:w="2425" w:type="pct"/>
          </w:tcPr>
          <w:p w:rsidR="002B6191" w:rsidRPr="0025220B" w:rsidP="00FB4A1B">
            <w:pPr>
              <w:autoSpaceDE w:val="0"/>
              <w:autoSpaceDN w:val="0"/>
              <w:adjustRightInd w:val="0"/>
              <w:rPr>
                <w:rFonts w:ascii="Candara" w:hAnsi="Candara" w:cs="Times New Roman"/>
                <w:sz w:val="18"/>
                <w:szCs w:val="18"/>
              </w:rPr>
            </w:pPr>
            <w:r w:rsidRPr="0025220B">
              <w:rPr>
                <w:rFonts w:ascii="Candara" w:hAnsi="Candara" w:cs="Times New Roman"/>
                <w:sz w:val="18"/>
                <w:szCs w:val="18"/>
              </w:rPr>
              <w:t>Jauni doktorantūras studiju beidzēji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2007-2014</w:t>
            </w:r>
          </w:p>
        </w:tc>
        <w:tc>
          <w:tcPr>
            <w:tcW w:w="589" w:type="pct"/>
          </w:tcPr>
          <w:p w:rsidR="002B6191" w:rsidRPr="0025220B" w:rsidP="00FB4A1B">
            <w:pPr>
              <w:jc w:val="center"/>
              <w:rPr>
                <w:rFonts w:ascii="Candara" w:hAnsi="Candara" w:cs="Times New Roman"/>
                <w:color w:val="00B050"/>
                <w:sz w:val="18"/>
                <w:szCs w:val="18"/>
              </w:rPr>
            </w:pPr>
            <w:r w:rsidRPr="0025220B">
              <w:rPr>
                <w:rFonts w:ascii="Candara" w:hAnsi="Candara" w:cs="Times New Roman"/>
                <w:b/>
                <w:color w:val="00B050"/>
                <w:sz w:val="18"/>
                <w:szCs w:val="18"/>
              </w:rPr>
              <w:t>9,4</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51</w:t>
            </w:r>
          </w:p>
        </w:tc>
        <w:tc>
          <w:tcPr>
            <w:tcW w:w="442"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60</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61</w:t>
            </w:r>
          </w:p>
        </w:tc>
      </w:tr>
      <w:tr w:rsidTr="008B4AB9">
        <w:tblPrEx>
          <w:tblW w:w="5000" w:type="pct"/>
          <w:tblLook w:val="04A0"/>
        </w:tblPrEx>
        <w:tc>
          <w:tcPr>
            <w:tcW w:w="2425" w:type="pct"/>
          </w:tcPr>
          <w:p w:rsidR="002B6191" w:rsidRPr="0025220B" w:rsidP="00FB4A1B">
            <w:pPr>
              <w:autoSpaceDE w:val="0"/>
              <w:autoSpaceDN w:val="0"/>
              <w:adjustRightInd w:val="0"/>
              <w:rPr>
                <w:rFonts w:ascii="Candara" w:hAnsi="Candara" w:cs="Times New Roman"/>
                <w:sz w:val="18"/>
                <w:szCs w:val="18"/>
              </w:rPr>
            </w:pPr>
            <w:r w:rsidRPr="0025220B">
              <w:rPr>
                <w:rFonts w:ascii="Candara" w:hAnsi="Candara" w:cs="Times New Roman"/>
                <w:sz w:val="18"/>
                <w:szCs w:val="18"/>
              </w:rPr>
              <w:t>Augstāko izglītību ieguvušie iedzīvotāji (30-34.g.vec.)</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autoSpaceDE w:val="0"/>
              <w:autoSpaceDN w:val="0"/>
              <w:adjustRightInd w:val="0"/>
              <w:jc w:val="center"/>
              <w:rPr>
                <w:rFonts w:ascii="Candara" w:hAnsi="Candara" w:cs="Times New Roman"/>
                <w:b/>
                <w:color w:val="00B050"/>
                <w:sz w:val="18"/>
                <w:szCs w:val="18"/>
              </w:rPr>
            </w:pPr>
            <w:r w:rsidRPr="0025220B">
              <w:rPr>
                <w:rFonts w:ascii="Candara" w:hAnsi="Candara" w:cs="Times New Roman"/>
                <w:sz w:val="18"/>
                <w:szCs w:val="18"/>
              </w:rPr>
              <w:t>6,5</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106</w:t>
            </w:r>
          </w:p>
        </w:tc>
        <w:tc>
          <w:tcPr>
            <w:tcW w:w="442"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146</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117</w:t>
            </w:r>
          </w:p>
        </w:tc>
      </w:tr>
      <w:tr w:rsidTr="008B4AB9">
        <w:tblPrEx>
          <w:tblW w:w="5000" w:type="pct"/>
          <w:tblLook w:val="04A0"/>
        </w:tblPrEx>
        <w:tc>
          <w:tcPr>
            <w:tcW w:w="2425" w:type="pct"/>
          </w:tcPr>
          <w:p w:rsidR="002B6191" w:rsidRPr="0025220B" w:rsidP="00FB4A1B">
            <w:pPr>
              <w:autoSpaceDE w:val="0"/>
              <w:autoSpaceDN w:val="0"/>
              <w:adjustRightInd w:val="0"/>
              <w:rPr>
                <w:rFonts w:ascii="Candara" w:hAnsi="Candara" w:cs="Times New Roman"/>
                <w:color w:val="FF0000"/>
                <w:sz w:val="18"/>
                <w:szCs w:val="18"/>
              </w:rPr>
            </w:pPr>
            <w:r w:rsidRPr="0025220B">
              <w:rPr>
                <w:rFonts w:ascii="Candara" w:hAnsi="Candara" w:cs="Times New Roman"/>
                <w:color w:val="FF0000"/>
                <w:sz w:val="18"/>
                <w:szCs w:val="18"/>
              </w:rPr>
              <w:t>Augstākā līmeņa vidējo izglītību ieguvušie jaunieši</w:t>
            </w:r>
          </w:p>
        </w:tc>
        <w:tc>
          <w:tcPr>
            <w:tcW w:w="662" w:type="pct"/>
            <w:vAlign w:val="center"/>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2008-2015</w:t>
            </w:r>
          </w:p>
        </w:tc>
        <w:tc>
          <w:tcPr>
            <w:tcW w:w="589" w:type="pct"/>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1,1</w:t>
            </w:r>
          </w:p>
        </w:tc>
        <w:tc>
          <w:tcPr>
            <w:tcW w:w="441" w:type="pct"/>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104</w:t>
            </w:r>
          </w:p>
        </w:tc>
        <w:tc>
          <w:tcPr>
            <w:tcW w:w="442" w:type="pct"/>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111</w:t>
            </w:r>
          </w:p>
        </w:tc>
        <w:tc>
          <w:tcPr>
            <w:tcW w:w="441" w:type="pct"/>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100</w:t>
            </w:r>
          </w:p>
        </w:tc>
      </w:tr>
      <w:tr w:rsidTr="008B4AB9">
        <w:tblPrEx>
          <w:tblW w:w="5000" w:type="pct"/>
          <w:tblLook w:val="04A0"/>
        </w:tblPrEx>
        <w:tc>
          <w:tcPr>
            <w:tcW w:w="2425" w:type="pct"/>
            <w:shd w:val="clear" w:color="auto" w:fill="D9D9D9" w:themeFill="background1" w:themeFillShade="D9"/>
          </w:tcPr>
          <w:p w:rsidR="002B6191" w:rsidRPr="0025220B" w:rsidP="00FB4A1B">
            <w:pPr>
              <w:autoSpaceDE w:val="0"/>
              <w:autoSpaceDN w:val="0"/>
              <w:adjustRightInd w:val="0"/>
              <w:rPr>
                <w:rFonts w:ascii="Candara" w:hAnsi="Candara" w:cs="Times New Roman"/>
                <w:b/>
                <w:sz w:val="18"/>
                <w:szCs w:val="18"/>
              </w:rPr>
            </w:pPr>
            <w:r w:rsidRPr="0025220B">
              <w:rPr>
                <w:rFonts w:ascii="Candara" w:hAnsi="Candara" w:cs="Times New Roman"/>
                <w:b/>
                <w:sz w:val="18"/>
                <w:szCs w:val="18"/>
              </w:rPr>
              <w:t>Atvērta, izcila, pievilcīga pētniecības sistēma</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17</w:t>
            </w:r>
          </w:p>
        </w:tc>
        <w:tc>
          <w:tcPr>
            <w:tcW w:w="441"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36</w:t>
            </w:r>
          </w:p>
        </w:tc>
        <w:tc>
          <w:tcPr>
            <w:tcW w:w="442"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29</w:t>
            </w:r>
          </w:p>
        </w:tc>
        <w:tc>
          <w:tcPr>
            <w:tcW w:w="441" w:type="pct"/>
            <w:shd w:val="clear" w:color="auto" w:fill="D9D9D9" w:themeFill="background1" w:themeFillShade="D9"/>
          </w:tcPr>
          <w:p w:rsidR="002B6191" w:rsidRPr="0025220B" w:rsidP="00FB4A1B">
            <w:pPr>
              <w:autoSpaceDE w:val="0"/>
              <w:autoSpaceDN w:val="0"/>
              <w:adjustRightInd w:val="0"/>
              <w:jc w:val="center"/>
              <w:rPr>
                <w:rFonts w:ascii="Candara" w:hAnsi="Candara" w:cs="Times New Roman"/>
                <w:b/>
                <w:sz w:val="18"/>
                <w:szCs w:val="18"/>
              </w:rPr>
            </w:pPr>
            <w:r w:rsidRPr="0025220B">
              <w:rPr>
                <w:rFonts w:ascii="Candara" w:hAnsi="Candara" w:cs="Times New Roman"/>
                <w:b/>
                <w:sz w:val="18"/>
                <w:szCs w:val="18"/>
              </w:rPr>
              <w:t>73</w:t>
            </w:r>
          </w:p>
        </w:tc>
      </w:tr>
      <w:tr w:rsidTr="008B4AB9">
        <w:tblPrEx>
          <w:tblW w:w="5000" w:type="pct"/>
          <w:tblLook w:val="04A0"/>
        </w:tblPrEx>
        <w:trPr>
          <w:trHeight w:val="70"/>
        </w:trPr>
        <w:tc>
          <w:tcPr>
            <w:tcW w:w="2425" w:type="pct"/>
          </w:tcPr>
          <w:p w:rsidR="002B6191" w:rsidRPr="0025220B" w:rsidP="00FB4A1B">
            <w:pPr>
              <w:autoSpaceDE w:val="0"/>
              <w:autoSpaceDN w:val="0"/>
              <w:adjustRightInd w:val="0"/>
              <w:rPr>
                <w:rFonts w:ascii="Candara" w:hAnsi="Candara" w:cs="Times New Roman"/>
                <w:sz w:val="18"/>
                <w:szCs w:val="18"/>
              </w:rPr>
            </w:pPr>
            <w:r w:rsidRPr="0025220B">
              <w:rPr>
                <w:rFonts w:ascii="Candara" w:hAnsi="Candara" w:cs="Times New Roman"/>
                <w:sz w:val="18"/>
                <w:szCs w:val="18"/>
              </w:rPr>
              <w:t>Zinātnisku publikāciju līdzautori starptautiskos izdevumos, publikāciju skaits uz 1 milj. iedz.</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9,3</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48</w:t>
            </w:r>
          </w:p>
        </w:tc>
        <w:tc>
          <w:tcPr>
            <w:tcW w:w="442"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77</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198</w:t>
            </w:r>
          </w:p>
        </w:tc>
      </w:tr>
      <w:tr w:rsidTr="008B4AB9">
        <w:tblPrEx>
          <w:tblW w:w="5000" w:type="pct"/>
          <w:tblLook w:val="04A0"/>
        </w:tblPrEx>
        <w:tc>
          <w:tcPr>
            <w:tcW w:w="2425" w:type="pct"/>
          </w:tcPr>
          <w:p w:rsidR="002B6191" w:rsidRPr="0025220B" w:rsidP="00FB4A1B">
            <w:pPr>
              <w:autoSpaceDE w:val="0"/>
              <w:autoSpaceDN w:val="0"/>
              <w:adjustRightInd w:val="0"/>
              <w:rPr>
                <w:rFonts w:ascii="Candara" w:hAnsi="Candara" w:cs="Times New Roman"/>
                <w:sz w:val="18"/>
                <w:szCs w:val="18"/>
              </w:rPr>
            </w:pPr>
            <w:r w:rsidRPr="0025220B">
              <w:rPr>
                <w:rFonts w:ascii="Candara" w:hAnsi="Candara" w:cs="Times New Roman"/>
                <w:color w:val="000000"/>
                <w:sz w:val="18"/>
                <w:szCs w:val="18"/>
              </w:rPr>
              <w:t>10 % zinātniskās publikācijas, uz kurām visvairāk atsaucas pasaulē, % no kopējo zinātnisko publikāciju skaita valstī</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2006-2013</w:t>
            </w:r>
          </w:p>
        </w:tc>
        <w:tc>
          <w:tcPr>
            <w:tcW w:w="589"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3,8</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60</w:t>
            </w:r>
          </w:p>
        </w:tc>
        <w:tc>
          <w:tcPr>
            <w:tcW w:w="442"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43</w:t>
            </w:r>
          </w:p>
        </w:tc>
        <w:tc>
          <w:tcPr>
            <w:tcW w:w="441" w:type="pct"/>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69</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color w:val="000000"/>
                <w:sz w:val="18"/>
                <w:szCs w:val="18"/>
              </w:rPr>
              <w:t>Ārpussavienības doktorantūras studenti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2007-2014</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b/>
                <w:color w:val="00B050"/>
                <w:sz w:val="18"/>
                <w:szCs w:val="18"/>
              </w:rPr>
              <w:t>40,0</w:t>
            </w:r>
          </w:p>
        </w:tc>
        <w:tc>
          <w:tcPr>
            <w:tcW w:w="441" w:type="pct"/>
          </w:tcPr>
          <w:p w:rsidR="002B6191" w:rsidRPr="0025220B" w:rsidP="00FB4A1B">
            <w:pPr>
              <w:jc w:val="center"/>
              <w:rPr>
                <w:rFonts w:ascii="Candara" w:hAnsi="Candara" w:cs="Times New Roman"/>
                <w:b/>
                <w:sz w:val="18"/>
                <w:szCs w:val="18"/>
              </w:rPr>
            </w:pPr>
            <w:r w:rsidRPr="0025220B">
              <w:rPr>
                <w:rFonts w:ascii="Candara" w:hAnsi="Candara" w:cs="Times New Roman"/>
                <w:b/>
                <w:color w:val="FF0000"/>
                <w:sz w:val="18"/>
                <w:szCs w:val="18"/>
              </w:rPr>
              <w:t>16</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8</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25</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Finanses un atbalsts</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5,4</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87</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110</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148</w:t>
            </w:r>
          </w:p>
        </w:tc>
      </w:tr>
      <w:tr w:rsidTr="008B4AB9">
        <w:tblPrEx>
          <w:tblW w:w="5000" w:type="pct"/>
          <w:tblLook w:val="04A0"/>
        </w:tblPrEx>
        <w:tc>
          <w:tcPr>
            <w:tcW w:w="2425" w:type="pct"/>
          </w:tcPr>
          <w:p w:rsidR="002B6191" w:rsidRPr="0025220B" w:rsidP="00FB4A1B">
            <w:pPr>
              <w:rPr>
                <w:rFonts w:ascii="Candara" w:hAnsi="Candara" w:cs="Times New Roman"/>
                <w:b/>
                <w:sz w:val="18"/>
                <w:szCs w:val="18"/>
              </w:rPr>
            </w:pPr>
            <w:r w:rsidRPr="0025220B">
              <w:rPr>
                <w:rFonts w:ascii="Candara" w:hAnsi="Candara" w:cs="Times New Roman"/>
                <w:sz w:val="18"/>
                <w:szCs w:val="18"/>
              </w:rPr>
              <w:t>Publiskā sektora izdevumi P&amp;A, % no IKP</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2007-2014</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2,8</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63</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100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111</w:t>
            </w:r>
          </w:p>
        </w:tc>
      </w:tr>
      <w:tr w:rsidTr="008B4AB9">
        <w:tblPrEx>
          <w:tblW w:w="5000" w:type="pct"/>
          <w:tblLook w:val="04A0"/>
        </w:tblPrEx>
        <w:tc>
          <w:tcPr>
            <w:tcW w:w="2425" w:type="pct"/>
          </w:tcPr>
          <w:p w:rsidR="002B6191" w:rsidRPr="0025220B" w:rsidP="00FB4A1B">
            <w:pPr>
              <w:rPr>
                <w:rFonts w:ascii="Candara" w:hAnsi="Candara" w:cs="Times New Roman"/>
                <w:b/>
                <w:sz w:val="18"/>
                <w:szCs w:val="18"/>
              </w:rPr>
            </w:pPr>
            <w:r w:rsidRPr="0025220B">
              <w:rPr>
                <w:rFonts w:ascii="Candara" w:hAnsi="Candara" w:cs="Times New Roman"/>
                <w:sz w:val="18"/>
                <w:szCs w:val="18"/>
              </w:rPr>
              <w:t>Riska kapitāls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8,0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b/>
                <w:color w:val="00B050"/>
                <w:sz w:val="18"/>
                <w:szCs w:val="18"/>
              </w:rPr>
              <w:t>155</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130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217</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Uzņēmumu investīcijas</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3,4</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100</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83</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130</w:t>
            </w:r>
          </w:p>
        </w:tc>
      </w:tr>
      <w:tr w:rsidTr="008B4AB9">
        <w:tblPrEx>
          <w:tblW w:w="5000" w:type="pct"/>
          <w:tblLook w:val="04A0"/>
        </w:tblPrEx>
        <w:tc>
          <w:tcPr>
            <w:tcW w:w="2425" w:type="pct"/>
          </w:tcPr>
          <w:p w:rsidR="002B6191" w:rsidRPr="0025220B" w:rsidP="00FB4A1B">
            <w:pPr>
              <w:rPr>
                <w:rFonts w:ascii="Candara" w:hAnsi="Candara" w:cs="Times New Roman"/>
                <w:b/>
                <w:sz w:val="18"/>
                <w:szCs w:val="18"/>
              </w:rPr>
            </w:pPr>
            <w:r w:rsidRPr="0025220B">
              <w:rPr>
                <w:rFonts w:ascii="Candara" w:hAnsi="Candara" w:cs="Times New Roman"/>
                <w:sz w:val="18"/>
                <w:szCs w:val="18"/>
              </w:rPr>
              <w:t>Uzņēmumu izdevumi P&amp;A, % no IKP</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2007-2014</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4,8</w:t>
            </w:r>
          </w:p>
        </w:tc>
        <w:tc>
          <w:tcPr>
            <w:tcW w:w="441" w:type="pct"/>
          </w:tcPr>
          <w:p w:rsidR="002B6191" w:rsidRPr="0025220B" w:rsidP="00FB4A1B">
            <w:pPr>
              <w:jc w:val="center"/>
              <w:rPr>
                <w:rFonts w:ascii="Candara" w:hAnsi="Candara" w:cs="Times New Roman"/>
                <w:b/>
                <w:sz w:val="18"/>
                <w:szCs w:val="18"/>
              </w:rPr>
            </w:pPr>
            <w:r w:rsidRPr="0025220B">
              <w:rPr>
                <w:rFonts w:ascii="Candara" w:hAnsi="Candara" w:cs="Times New Roman"/>
                <w:b/>
                <w:color w:val="FF0000"/>
                <w:sz w:val="18"/>
                <w:szCs w:val="18"/>
              </w:rPr>
              <w:t>19</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23</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48</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Izdevumi inovācijai, kas nav P&amp;A, % no apgrozījuma</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b/>
                <w:color w:val="00B050"/>
                <w:sz w:val="18"/>
                <w:szCs w:val="18"/>
              </w:rPr>
              <w:t>201</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160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227</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Sadarbība un uzņēmējdarbība</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-14</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22</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35</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96</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MVU iekšējas inovācijas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-0,6</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48</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48</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96</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Inovatīvi MVU, kas sadarbojas ar citiem</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-3,0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44</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73</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153</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Publiskā un privātā sektora kopīgi izstrādātas publikācijas, publikāciju skaits uz 1 milj. iedz.</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2008-2014</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color w:val="FF0000"/>
                <w:sz w:val="18"/>
                <w:szCs w:val="18"/>
              </w:rPr>
              <w:t>-14</w:t>
            </w:r>
          </w:p>
        </w:tc>
        <w:tc>
          <w:tcPr>
            <w:tcW w:w="441" w:type="pct"/>
          </w:tcPr>
          <w:p w:rsidR="002B6191" w:rsidRPr="0025220B" w:rsidP="00FB4A1B">
            <w:pPr>
              <w:jc w:val="center"/>
              <w:rPr>
                <w:rFonts w:ascii="Candara" w:hAnsi="Candara" w:cs="Times New Roman"/>
                <w:b/>
                <w:sz w:val="18"/>
                <w:szCs w:val="18"/>
              </w:rPr>
            </w:pPr>
            <w:r w:rsidRPr="0025220B">
              <w:rPr>
                <w:rFonts w:ascii="Candara" w:hAnsi="Candara" w:cs="Times New Roman"/>
                <w:b/>
                <w:color w:val="FF0000"/>
                <w:sz w:val="18"/>
                <w:szCs w:val="18"/>
              </w:rPr>
              <w:t>1</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5</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20</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Intelektuālais īpašums</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2,6</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59</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46</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77</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PCT patentu pieteikumi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2006-2013</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-0,2</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23</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17</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28</w:t>
            </w:r>
          </w:p>
        </w:tc>
      </w:tr>
      <w:tr w:rsidTr="008B4AB9">
        <w:tblPrEx>
          <w:tblW w:w="5000" w:type="pct"/>
          <w:tblLook w:val="04A0"/>
        </w:tblPrEx>
        <w:tc>
          <w:tcPr>
            <w:tcW w:w="2425" w:type="pct"/>
          </w:tcPr>
          <w:p w:rsidR="002B6191" w:rsidRPr="0025220B" w:rsidP="00FB4A1B">
            <w:pPr>
              <w:rPr>
                <w:rFonts w:ascii="Candara" w:hAnsi="Candara" w:cs="Times New Roman"/>
                <w:color w:val="FF0000"/>
                <w:sz w:val="18"/>
                <w:szCs w:val="18"/>
              </w:rPr>
            </w:pPr>
            <w:r w:rsidRPr="0025220B">
              <w:rPr>
                <w:rFonts w:ascii="Candara" w:hAnsi="Candara" w:cs="Times New Roman"/>
                <w:color w:val="FF0000"/>
                <w:sz w:val="18"/>
                <w:szCs w:val="18"/>
              </w:rPr>
              <w:t>PCT patentu pieteikumi sociālo problēmu jomā</w:t>
            </w:r>
          </w:p>
        </w:tc>
        <w:tc>
          <w:tcPr>
            <w:tcW w:w="662" w:type="pct"/>
            <w:vAlign w:val="center"/>
          </w:tcPr>
          <w:p w:rsidR="002B6191" w:rsidRPr="0025220B" w:rsidP="00FB4A1B">
            <w:pPr>
              <w:autoSpaceDE w:val="0"/>
              <w:autoSpaceDN w:val="0"/>
              <w:adjustRightInd w:val="0"/>
              <w:jc w:val="center"/>
              <w:rPr>
                <w:rFonts w:ascii="Candara" w:hAnsi="Candara" w:cs="Times New Roman"/>
                <w:color w:val="FF0000"/>
                <w:sz w:val="18"/>
                <w:szCs w:val="18"/>
              </w:rPr>
            </w:pPr>
            <w:r w:rsidRPr="0025220B">
              <w:rPr>
                <w:rFonts w:ascii="Candara" w:hAnsi="Candara" w:cs="Times New Roman"/>
                <w:color w:val="FF0000"/>
                <w:sz w:val="18"/>
                <w:szCs w:val="18"/>
              </w:rPr>
              <w:t>2005-2012</w:t>
            </w:r>
          </w:p>
        </w:tc>
        <w:tc>
          <w:tcPr>
            <w:tcW w:w="589" w:type="pct"/>
          </w:tcPr>
          <w:p w:rsidR="002B6191" w:rsidRPr="0025220B" w:rsidP="00FB4A1B">
            <w:pPr>
              <w:jc w:val="center"/>
              <w:rPr>
                <w:rFonts w:ascii="Candara" w:hAnsi="Candara" w:cs="Times New Roman"/>
                <w:color w:val="FF0000"/>
                <w:sz w:val="18"/>
                <w:szCs w:val="18"/>
              </w:rPr>
            </w:pPr>
            <w:r w:rsidRPr="0025220B">
              <w:rPr>
                <w:rFonts w:ascii="Candara" w:hAnsi="Candara" w:cs="Times New Roman"/>
                <w:color w:val="FF0000"/>
                <w:sz w:val="18"/>
                <w:szCs w:val="18"/>
              </w:rPr>
              <w:t>-6,2</w:t>
            </w:r>
          </w:p>
        </w:tc>
        <w:tc>
          <w:tcPr>
            <w:tcW w:w="441" w:type="pct"/>
          </w:tcPr>
          <w:p w:rsidR="002B6191" w:rsidRPr="0025220B" w:rsidP="00FB4A1B">
            <w:pPr>
              <w:jc w:val="center"/>
              <w:rPr>
                <w:rFonts w:ascii="Candara" w:hAnsi="Candara" w:cs="Times New Roman"/>
                <w:color w:val="FF0000"/>
                <w:sz w:val="18"/>
                <w:szCs w:val="18"/>
              </w:rPr>
            </w:pPr>
            <w:r w:rsidRPr="0025220B">
              <w:rPr>
                <w:rFonts w:ascii="Candara" w:hAnsi="Candara" w:cs="Times New Roman"/>
                <w:color w:val="FF0000"/>
                <w:sz w:val="18"/>
                <w:szCs w:val="18"/>
              </w:rPr>
              <w:t>27</w:t>
            </w:r>
          </w:p>
        </w:tc>
        <w:tc>
          <w:tcPr>
            <w:tcW w:w="442" w:type="pct"/>
          </w:tcPr>
          <w:p w:rsidR="002B6191" w:rsidRPr="0025220B" w:rsidP="00FB4A1B">
            <w:pPr>
              <w:jc w:val="center"/>
              <w:rPr>
                <w:rFonts w:ascii="Candara" w:hAnsi="Candara" w:cs="Times New Roman"/>
                <w:color w:val="FF0000"/>
                <w:sz w:val="18"/>
                <w:szCs w:val="18"/>
              </w:rPr>
            </w:pPr>
            <w:r w:rsidRPr="0025220B">
              <w:rPr>
                <w:rFonts w:ascii="Candara" w:hAnsi="Candara" w:cs="Times New Roman"/>
                <w:color w:val="FF0000"/>
                <w:sz w:val="18"/>
                <w:szCs w:val="18"/>
              </w:rPr>
              <w:t>12</w:t>
            </w:r>
          </w:p>
        </w:tc>
        <w:tc>
          <w:tcPr>
            <w:tcW w:w="441" w:type="pct"/>
          </w:tcPr>
          <w:p w:rsidR="002B6191" w:rsidRPr="0025220B" w:rsidP="00FB4A1B">
            <w:pPr>
              <w:jc w:val="center"/>
              <w:rPr>
                <w:rFonts w:ascii="Candara" w:hAnsi="Candara" w:cs="Times New Roman"/>
                <w:color w:val="FF0000"/>
                <w:sz w:val="18"/>
                <w:szCs w:val="18"/>
              </w:rPr>
            </w:pPr>
            <w:r w:rsidRPr="0025220B">
              <w:rPr>
                <w:rFonts w:ascii="Candara" w:hAnsi="Candara" w:cs="Times New Roman"/>
                <w:color w:val="FF0000"/>
                <w:sz w:val="18"/>
                <w:szCs w:val="18"/>
              </w:rPr>
              <w:t>20</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Kopienas preču zīmes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jc w:val="center"/>
              <w:rPr>
                <w:rFonts w:ascii="Candara" w:hAnsi="Candara" w:cs="Times New Roman"/>
                <w:b/>
                <w:color w:val="00B050"/>
                <w:sz w:val="18"/>
                <w:szCs w:val="18"/>
              </w:rPr>
            </w:pPr>
            <w:r w:rsidRPr="0025220B">
              <w:rPr>
                <w:rFonts w:ascii="Candara" w:hAnsi="Candara" w:cs="Times New Roman"/>
                <w:b/>
                <w:color w:val="00B050"/>
                <w:sz w:val="18"/>
                <w:szCs w:val="18"/>
              </w:rPr>
              <w:t>12,0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73</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65</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190</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Kopienas dizainparaugi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pStyle w:val="NoSpacing"/>
              <w:jc w:val="center"/>
              <w:rPr>
                <w:rFonts w:ascii="Candara" w:hAnsi="Candara" w:cs="Times New Roman"/>
                <w:b/>
                <w:color w:val="00B050"/>
                <w:sz w:val="18"/>
                <w:szCs w:val="18"/>
                <w:lang w:val="lv-LV"/>
              </w:rPr>
            </w:pPr>
            <w:r w:rsidRPr="0025220B">
              <w:rPr>
                <w:rFonts w:ascii="Candara" w:hAnsi="Candara" w:cs="Times New Roman"/>
                <w:sz w:val="18"/>
                <w:szCs w:val="18"/>
                <w:lang w:val="lv-LV"/>
              </w:rPr>
              <w:t>6,0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51</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29</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69</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Inovatīvie uzņēmumi</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2,3</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22</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21</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80</w:t>
            </w:r>
          </w:p>
        </w:tc>
      </w:tr>
      <w:tr w:rsidTr="008B4AB9">
        <w:tblPrEx>
          <w:tblW w:w="5000" w:type="pct"/>
          <w:tblLook w:val="04A0"/>
        </w:tblPrEx>
        <w:tc>
          <w:tcPr>
            <w:tcW w:w="2425" w:type="pct"/>
          </w:tcPr>
          <w:p w:rsidR="002B6191" w:rsidRPr="0025220B" w:rsidP="00FB4A1B">
            <w:pPr>
              <w:pStyle w:val="NoSpacing"/>
              <w:rPr>
                <w:rFonts w:ascii="Candara" w:hAnsi="Candara" w:cs="Times New Roman"/>
                <w:sz w:val="18"/>
                <w:szCs w:val="18"/>
                <w:lang w:val="lv-LV"/>
              </w:rPr>
            </w:pPr>
            <w:r w:rsidRPr="0025220B">
              <w:rPr>
                <w:rFonts w:ascii="Candara" w:hAnsi="Candara" w:cs="Times New Roman"/>
                <w:sz w:val="18"/>
                <w:szCs w:val="18"/>
                <w:lang w:val="lv-LV"/>
              </w:rPr>
              <w:t>MVU, kas ievieš izstrādājumu vai procesu inovācijas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1,2</w:t>
            </w:r>
          </w:p>
        </w:tc>
        <w:tc>
          <w:tcPr>
            <w:tcW w:w="441"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51</w:t>
            </w:r>
          </w:p>
        </w:tc>
        <w:tc>
          <w:tcPr>
            <w:tcW w:w="442"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53</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108</w:t>
            </w:r>
          </w:p>
        </w:tc>
      </w:tr>
      <w:tr w:rsidTr="008B4AB9">
        <w:tblPrEx>
          <w:tblW w:w="5000" w:type="pct"/>
          <w:tblLook w:val="04A0"/>
        </w:tblPrEx>
        <w:tc>
          <w:tcPr>
            <w:tcW w:w="2425" w:type="pct"/>
          </w:tcPr>
          <w:p w:rsidR="002B6191" w:rsidRPr="0025220B" w:rsidP="00FB4A1B">
            <w:pPr>
              <w:pStyle w:val="NoSpacing"/>
              <w:rPr>
                <w:rFonts w:ascii="Candara" w:hAnsi="Candara" w:cs="Times New Roman"/>
                <w:sz w:val="18"/>
                <w:szCs w:val="18"/>
                <w:lang w:val="lv-LV"/>
              </w:rPr>
            </w:pPr>
            <w:r w:rsidRPr="0025220B">
              <w:rPr>
                <w:rFonts w:ascii="Candara" w:hAnsi="Candara" w:cs="Times New Roman"/>
                <w:sz w:val="18"/>
                <w:szCs w:val="18"/>
                <w:lang w:val="lv-LV"/>
              </w:rPr>
              <w:t>MVU, kas ievieš tirgvedības vai organizācijas inovācijas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7,5</w:t>
            </w:r>
          </w:p>
        </w:tc>
        <w:tc>
          <w:tcPr>
            <w:tcW w:w="441"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64</w:t>
            </w:r>
          </w:p>
        </w:tc>
        <w:tc>
          <w:tcPr>
            <w:tcW w:w="442" w:type="pct"/>
          </w:tcPr>
          <w:p w:rsidR="002B6191" w:rsidRPr="0025220B" w:rsidP="00FB4A1B">
            <w:pPr>
              <w:pStyle w:val="NoSpacing"/>
              <w:jc w:val="center"/>
              <w:rPr>
                <w:rFonts w:ascii="Candara" w:hAnsi="Candara" w:cs="Times New Roman"/>
                <w:sz w:val="18"/>
                <w:szCs w:val="18"/>
                <w:lang w:val="lv-LV"/>
              </w:rPr>
            </w:pPr>
            <w:r w:rsidRPr="0025220B">
              <w:rPr>
                <w:rFonts w:ascii="Candara" w:hAnsi="Candara" w:cs="Times New Roman"/>
                <w:sz w:val="18"/>
                <w:szCs w:val="18"/>
                <w:lang w:val="lv-LV"/>
              </w:rPr>
              <w:t>70</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86</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Strauji augoši inovatīvi uzņēmumi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2010-2013</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-1,7</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66</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62</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85</w:t>
            </w:r>
          </w:p>
        </w:tc>
      </w:tr>
      <w:tr w:rsidTr="008B4AB9">
        <w:tblPrEx>
          <w:tblW w:w="5000" w:type="pct"/>
          <w:tblLook w:val="04A0"/>
        </w:tblPrEx>
        <w:tc>
          <w:tcPr>
            <w:tcW w:w="2425" w:type="pct"/>
            <w:shd w:val="clear" w:color="auto" w:fill="D9D9D9" w:themeFill="background1" w:themeFillShade="D9"/>
          </w:tcPr>
          <w:p w:rsidR="002B6191" w:rsidRPr="0025220B" w:rsidP="00FB4A1B">
            <w:pPr>
              <w:rPr>
                <w:rFonts w:ascii="Candara" w:hAnsi="Candara" w:cs="Times New Roman"/>
                <w:b/>
                <w:sz w:val="18"/>
                <w:szCs w:val="18"/>
              </w:rPr>
            </w:pPr>
            <w:r w:rsidRPr="0025220B">
              <w:rPr>
                <w:rFonts w:ascii="Candara" w:hAnsi="Candara" w:cs="Times New Roman"/>
                <w:b/>
                <w:sz w:val="18"/>
                <w:szCs w:val="18"/>
              </w:rPr>
              <w:t>Ekonomiskie efekti/rezultāti</w:t>
            </w:r>
          </w:p>
        </w:tc>
        <w:tc>
          <w:tcPr>
            <w:tcW w:w="662" w:type="pct"/>
            <w:shd w:val="clear" w:color="auto" w:fill="D9D9D9" w:themeFill="background1" w:themeFillShade="D9"/>
            <w:vAlign w:val="center"/>
          </w:tcPr>
          <w:p w:rsidR="002B6191" w:rsidRPr="0025220B" w:rsidP="00FB4A1B">
            <w:pPr>
              <w:autoSpaceDE w:val="0"/>
              <w:autoSpaceDN w:val="0"/>
              <w:adjustRightInd w:val="0"/>
              <w:jc w:val="center"/>
              <w:rPr>
                <w:rFonts w:ascii="Candara" w:hAnsi="Candara" w:cs="Times New Roman"/>
                <w:b/>
                <w:sz w:val="18"/>
                <w:szCs w:val="18"/>
              </w:rPr>
            </w:pPr>
          </w:p>
        </w:tc>
        <w:tc>
          <w:tcPr>
            <w:tcW w:w="589"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-0,7</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44</w:t>
            </w:r>
          </w:p>
        </w:tc>
        <w:tc>
          <w:tcPr>
            <w:tcW w:w="442"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29</w:t>
            </w:r>
          </w:p>
        </w:tc>
        <w:tc>
          <w:tcPr>
            <w:tcW w:w="441" w:type="pct"/>
            <w:shd w:val="clear" w:color="auto" w:fill="D9D9D9" w:themeFill="background1" w:themeFillShade="D9"/>
          </w:tcPr>
          <w:p w:rsidR="002B6191" w:rsidRPr="0025220B" w:rsidP="00FB4A1B">
            <w:pPr>
              <w:jc w:val="center"/>
              <w:rPr>
                <w:rFonts w:ascii="Candara" w:hAnsi="Candara" w:cs="Times New Roman"/>
                <w:b/>
                <w:sz w:val="18"/>
                <w:szCs w:val="18"/>
              </w:rPr>
            </w:pPr>
            <w:r w:rsidRPr="0025220B">
              <w:rPr>
                <w:rFonts w:ascii="Candara" w:hAnsi="Candara" w:cs="Times New Roman"/>
                <w:b/>
                <w:sz w:val="18"/>
                <w:szCs w:val="18"/>
              </w:rPr>
              <w:t>56</w:t>
            </w:r>
          </w:p>
        </w:tc>
      </w:tr>
      <w:tr w:rsidTr="008B4AB9">
        <w:tblPrEx>
          <w:tblW w:w="5000" w:type="pct"/>
          <w:tblLook w:val="04A0"/>
        </w:tblPrEx>
        <w:tc>
          <w:tcPr>
            <w:tcW w:w="2425" w:type="pct"/>
          </w:tcPr>
          <w:p w:rsidR="002B6191" w:rsidRPr="0025220B" w:rsidP="00FB4A1B">
            <w:pPr>
              <w:pStyle w:val="NoSpacing"/>
              <w:rPr>
                <w:rFonts w:ascii="Candara" w:hAnsi="Candara" w:cs="Times New Roman"/>
                <w:sz w:val="18"/>
                <w:szCs w:val="18"/>
                <w:lang w:val="lv-LV"/>
              </w:rPr>
            </w:pPr>
            <w:r w:rsidRPr="0025220B">
              <w:rPr>
                <w:rFonts w:ascii="Candara" w:hAnsi="Candara" w:cs="Times New Roman"/>
                <w:sz w:val="18"/>
                <w:szCs w:val="18"/>
                <w:lang w:val="lv-LV"/>
              </w:rPr>
              <w:t>Nodarbinātība zinātnes ietilpīgās aktivitātēs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2008-2014</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4,3</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78</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63</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82</w:t>
            </w:r>
          </w:p>
        </w:tc>
      </w:tr>
      <w:tr w:rsidTr="008B4AB9">
        <w:tblPrEx>
          <w:tblW w:w="5000" w:type="pct"/>
          <w:tblLook w:val="04A0"/>
        </w:tblPrEx>
        <w:tc>
          <w:tcPr>
            <w:tcW w:w="2425" w:type="pct"/>
          </w:tcPr>
          <w:p w:rsidR="002B6191" w:rsidRPr="0025220B" w:rsidP="00FB4A1B">
            <w:pPr>
              <w:pStyle w:val="NoSpacing"/>
              <w:rPr>
                <w:rFonts w:ascii="Candara" w:hAnsi="Candara" w:cs="Times New Roman"/>
                <w:sz w:val="18"/>
                <w:szCs w:val="18"/>
                <w:lang w:val="lv-LV"/>
              </w:rPr>
            </w:pPr>
            <w:r w:rsidRPr="0025220B">
              <w:rPr>
                <w:rFonts w:ascii="Candara" w:hAnsi="Candara" w:cs="Times New Roman"/>
                <w:sz w:val="18"/>
                <w:szCs w:val="18"/>
                <w:lang w:val="lv-LV"/>
              </w:rPr>
              <w:t>Vidēji augsto un augsto tehnoloģiju produktu eksporta īpatsvars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2008-2015</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0,2</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57</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61</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76</w:t>
            </w:r>
          </w:p>
        </w:tc>
      </w:tr>
      <w:tr w:rsidTr="008B4AB9">
        <w:tblPrEx>
          <w:tblW w:w="5000" w:type="pct"/>
          <w:tblLook w:val="04A0"/>
        </w:tblPrEx>
        <w:tc>
          <w:tcPr>
            <w:tcW w:w="2425" w:type="pct"/>
          </w:tcPr>
          <w:p w:rsidR="002B6191" w:rsidRPr="0025220B" w:rsidP="00FB4A1B">
            <w:pPr>
              <w:rPr>
                <w:rFonts w:ascii="Candara" w:hAnsi="Candara" w:cs="Times New Roman"/>
                <w:sz w:val="18"/>
                <w:szCs w:val="18"/>
              </w:rPr>
            </w:pPr>
            <w:r w:rsidRPr="0025220B">
              <w:rPr>
                <w:rFonts w:ascii="Candara" w:hAnsi="Candara" w:cs="Times New Roman"/>
                <w:sz w:val="18"/>
                <w:szCs w:val="18"/>
              </w:rPr>
              <w:t>Zināšanu ietilpīgu pakalpojumu eksports</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2010-2013</w:t>
            </w:r>
          </w:p>
        </w:tc>
        <w:tc>
          <w:tcPr>
            <w:tcW w:w="589"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-1,1</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79</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29</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70</w:t>
            </w:r>
          </w:p>
        </w:tc>
      </w:tr>
      <w:tr w:rsidTr="008B4AB9">
        <w:tblPrEx>
          <w:tblW w:w="5000" w:type="pct"/>
          <w:tblLook w:val="04A0"/>
        </w:tblPrEx>
        <w:tc>
          <w:tcPr>
            <w:tcW w:w="2425" w:type="pct"/>
          </w:tcPr>
          <w:p w:rsidR="002B6191" w:rsidRPr="0025220B" w:rsidP="00FB4A1B">
            <w:pPr>
              <w:pStyle w:val="NoSpacing"/>
              <w:rPr>
                <w:rFonts w:ascii="Candara" w:hAnsi="Candara" w:cs="Times New Roman"/>
                <w:sz w:val="18"/>
                <w:szCs w:val="18"/>
                <w:lang w:val="lv-LV"/>
              </w:rPr>
            </w:pPr>
            <w:r w:rsidRPr="0025220B">
              <w:rPr>
                <w:rFonts w:ascii="Candara" w:hAnsi="Candara" w:cs="Times New Roman"/>
                <w:sz w:val="18"/>
                <w:szCs w:val="18"/>
                <w:lang w:val="lv-LV"/>
              </w:rPr>
              <w:t>Tirgum jaunu un uzņēmumam jaunu inovāciju pārdevumi</w:t>
            </w:r>
          </w:p>
        </w:tc>
        <w:tc>
          <w:tcPr>
            <w:tcW w:w="662" w:type="pct"/>
            <w:vAlign w:val="center"/>
          </w:tcPr>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2006, 2008,</w:t>
            </w:r>
          </w:p>
          <w:p w:rsidR="002B6191" w:rsidRPr="0025220B" w:rsidP="00FB4A1B">
            <w:pPr>
              <w:autoSpaceDE w:val="0"/>
              <w:autoSpaceDN w:val="0"/>
              <w:adjustRightInd w:val="0"/>
              <w:jc w:val="center"/>
              <w:rPr>
                <w:rFonts w:ascii="Candara" w:hAnsi="Candara" w:cs="Times New Roman"/>
                <w:sz w:val="18"/>
                <w:szCs w:val="18"/>
              </w:rPr>
            </w:pPr>
            <w:r w:rsidRPr="0025220B">
              <w:rPr>
                <w:rFonts w:ascii="Candara" w:hAnsi="Candara" w:cs="Times New Roman"/>
                <w:sz w:val="18"/>
                <w:szCs w:val="18"/>
              </w:rPr>
              <w:t>2010, 2012</w:t>
            </w:r>
          </w:p>
        </w:tc>
        <w:tc>
          <w:tcPr>
            <w:tcW w:w="589" w:type="pct"/>
          </w:tcPr>
          <w:p w:rsidR="002B6191" w:rsidRPr="0025220B" w:rsidP="00FB4A1B">
            <w:pPr>
              <w:jc w:val="center"/>
              <w:rPr>
                <w:rFonts w:ascii="Candara" w:hAnsi="Candara" w:cs="Times New Roman"/>
                <w:color w:val="FF0000"/>
                <w:sz w:val="18"/>
                <w:szCs w:val="18"/>
              </w:rPr>
            </w:pPr>
            <w:r w:rsidRPr="0025220B">
              <w:rPr>
                <w:rFonts w:ascii="Candara" w:hAnsi="Candara" w:cs="Times New Roman"/>
                <w:sz w:val="18"/>
                <w:szCs w:val="18"/>
              </w:rPr>
              <w:t>5,9</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40</w:t>
            </w:r>
          </w:p>
        </w:tc>
        <w:tc>
          <w:tcPr>
            <w:tcW w:w="442"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44</w:t>
            </w:r>
          </w:p>
        </w:tc>
        <w:tc>
          <w:tcPr>
            <w:tcW w:w="441" w:type="pct"/>
          </w:tcPr>
          <w:p w:rsidR="002B6191" w:rsidRPr="0025220B" w:rsidP="00FB4A1B">
            <w:pPr>
              <w:jc w:val="center"/>
              <w:rPr>
                <w:rFonts w:ascii="Candara" w:hAnsi="Candara" w:cs="Times New Roman"/>
                <w:sz w:val="18"/>
                <w:szCs w:val="18"/>
              </w:rPr>
            </w:pPr>
            <w:r w:rsidRPr="0025220B">
              <w:rPr>
                <w:rFonts w:ascii="Candara" w:hAnsi="Candara" w:cs="Times New Roman"/>
                <w:sz w:val="18"/>
                <w:szCs w:val="18"/>
              </w:rPr>
              <w:t>63</w:t>
            </w:r>
          </w:p>
        </w:tc>
      </w:tr>
      <w:tr w:rsidTr="008B4AB9">
        <w:tblPrEx>
          <w:tblW w:w="5000" w:type="pct"/>
          <w:tblLook w:val="04A0"/>
        </w:tblPrEx>
        <w:tc>
          <w:tcPr>
            <w:tcW w:w="2425" w:type="pct"/>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Ieņēmumi no licencēm un patentiem ārzemēs, % no IKP</w:t>
            </w:r>
          </w:p>
        </w:tc>
        <w:tc>
          <w:tcPr>
            <w:tcW w:w="662" w:type="pct"/>
            <w:vAlign w:val="center"/>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2007-2014</w:t>
            </w:r>
          </w:p>
        </w:tc>
        <w:tc>
          <w:tcPr>
            <w:tcW w:w="589" w:type="pct"/>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-12</w:t>
            </w:r>
          </w:p>
        </w:tc>
        <w:tc>
          <w:tcPr>
            <w:tcW w:w="441" w:type="pct"/>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3</w:t>
            </w:r>
          </w:p>
        </w:tc>
        <w:tc>
          <w:tcPr>
            <w:tcW w:w="442" w:type="pct"/>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10</w:t>
            </w:r>
          </w:p>
        </w:tc>
        <w:tc>
          <w:tcPr>
            <w:tcW w:w="441" w:type="pct"/>
          </w:tcPr>
          <w:p w:rsidR="002B6191" w:rsidRPr="00FB589B" w:rsidP="00FB589B">
            <w:pPr>
              <w:rPr>
                <w:rFonts w:ascii="Candara" w:hAnsi="Candara" w:cs="Times New Roman"/>
                <w:color w:val="FF0000"/>
                <w:sz w:val="18"/>
                <w:szCs w:val="18"/>
              </w:rPr>
            </w:pPr>
            <w:r w:rsidRPr="00FB589B">
              <w:rPr>
                <w:rFonts w:ascii="Candara" w:hAnsi="Candara" w:cs="Times New Roman"/>
                <w:color w:val="FF0000"/>
                <w:sz w:val="18"/>
                <w:szCs w:val="18"/>
              </w:rPr>
              <w:t>8</w:t>
            </w:r>
          </w:p>
        </w:tc>
      </w:tr>
    </w:tbl>
    <w:p w:rsidR="00617D95"/>
    <w:sectPr w:rsidSect="008B4AB9">
      <w:footerReference w:type="default" r:id="rId6"/>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andara" w:hAnsi="Candara"/>
        <w:sz w:val="18"/>
        <w:szCs w:val="18"/>
      </w:rPr>
      <w:id w:val="1535425680"/>
      <w:docPartObj>
        <w:docPartGallery w:val="Page Numbers (Bottom of Page)"/>
        <w:docPartUnique/>
      </w:docPartObj>
    </w:sdtPr>
    <w:sdtEndPr>
      <w:rPr>
        <w:noProof/>
      </w:rPr>
    </w:sdtEndPr>
    <w:sdtContent>
      <w:p w:rsidR="00FB589B" w:rsidRPr="00A77172" w:rsidP="002445A6">
        <w:pPr>
          <w:pStyle w:val="Footer"/>
          <w:spacing w:before="60"/>
          <w:jc w:val="both"/>
          <w:rPr>
            <w:rFonts w:ascii="Candara" w:hAnsi="Candara"/>
            <w:sz w:val="18"/>
            <w:szCs w:val="18"/>
          </w:rPr>
        </w:pPr>
        <w:r w:rsidRPr="00A77172">
          <w:rPr>
            <w:rFonts w:ascii="Candara" w:hAnsi="Candara"/>
            <w:sz w:val="18"/>
            <w:szCs w:val="18"/>
          </w:rPr>
          <w:t>IZMunEMZino_</w:t>
        </w:r>
        <w:r w:rsidR="003E339E">
          <w:rPr>
            <w:rFonts w:ascii="Candara" w:hAnsi="Candara"/>
            <w:sz w:val="18"/>
            <w:szCs w:val="18"/>
          </w:rPr>
          <w:t>01022018</w:t>
        </w:r>
        <w:r w:rsidRPr="00A77172" w:rsidR="000908E3">
          <w:rPr>
            <w:rFonts w:ascii="Candara" w:hAnsi="Candara"/>
            <w:sz w:val="18"/>
            <w:szCs w:val="18"/>
          </w:rPr>
          <w:t>_</w:t>
        </w:r>
        <w:r w:rsidRPr="00A77172">
          <w:rPr>
            <w:rFonts w:ascii="Candara" w:hAnsi="Candara"/>
            <w:sz w:val="18"/>
            <w:szCs w:val="18"/>
          </w:rPr>
          <w:t>RIS3progress</w:t>
        </w:r>
        <w:r w:rsidRPr="00A77172" w:rsidR="00D06300">
          <w:rPr>
            <w:rFonts w:ascii="Candara" w:hAnsi="Candara"/>
            <w:sz w:val="18"/>
            <w:szCs w:val="18"/>
          </w:rPr>
          <w:t>_</w:t>
        </w:r>
        <w:r w:rsidRPr="00A77172" w:rsidR="000908E3">
          <w:rPr>
            <w:rFonts w:ascii="Candara" w:hAnsi="Candara"/>
            <w:sz w:val="18"/>
            <w:szCs w:val="18"/>
          </w:rPr>
          <w:t>PielikumsNr5</w:t>
        </w:r>
        <w:r w:rsidRPr="00A77172">
          <w:rPr>
            <w:rFonts w:ascii="Candara" w:hAnsi="Candara"/>
            <w:sz w:val="18"/>
            <w:szCs w:val="18"/>
          </w:rPr>
          <w:t>; Informatīvā ziņojuma “Viedās specializācijas stratēģijas monitorings” pielikums Nr.5 “Eiropas inovācijas rezultātu pārskats”</w:t>
        </w:r>
      </w:p>
      <w:p w:rsidR="00FB589B" w:rsidRPr="00A77172">
        <w:pPr>
          <w:pStyle w:val="Footer"/>
          <w:jc w:val="center"/>
          <w:rPr>
            <w:rFonts w:ascii="Candara" w:hAnsi="Candara"/>
            <w:sz w:val="18"/>
            <w:szCs w:val="18"/>
          </w:rPr>
        </w:pPr>
        <w:r w:rsidRPr="00A77172">
          <w:rPr>
            <w:rFonts w:ascii="Candara" w:hAnsi="Candara"/>
            <w:sz w:val="18"/>
            <w:szCs w:val="18"/>
          </w:rPr>
          <w:fldChar w:fldCharType="begin"/>
        </w:r>
        <w:r w:rsidRPr="00A77172">
          <w:rPr>
            <w:rFonts w:ascii="Candara" w:hAnsi="Candara"/>
            <w:sz w:val="18"/>
            <w:szCs w:val="18"/>
          </w:rPr>
          <w:instrText xml:space="preserve"> PAGE   \* MERGEFORMAT </w:instrText>
        </w:r>
        <w:r w:rsidRPr="00A77172">
          <w:rPr>
            <w:rFonts w:ascii="Candara" w:hAnsi="Candara"/>
            <w:sz w:val="18"/>
            <w:szCs w:val="18"/>
          </w:rPr>
          <w:fldChar w:fldCharType="separate"/>
        </w:r>
        <w:r w:rsidR="00F851F4">
          <w:rPr>
            <w:rFonts w:ascii="Candara" w:hAnsi="Candara"/>
            <w:noProof/>
            <w:sz w:val="18"/>
            <w:szCs w:val="18"/>
          </w:rPr>
          <w:t>2</w:t>
        </w:r>
        <w:r w:rsidRPr="00A77172">
          <w:rPr>
            <w:rFonts w:ascii="Candara" w:hAnsi="Candar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994" w:rsidP="002B6191">
      <w:pPr>
        <w:spacing w:after="0" w:line="240" w:lineRule="auto"/>
      </w:pPr>
      <w:r>
        <w:separator/>
      </w:r>
    </w:p>
  </w:footnote>
  <w:footnote w:type="continuationSeparator" w:id="1">
    <w:p w:rsidR="009F0994" w:rsidP="002B6191">
      <w:pPr>
        <w:spacing w:after="0" w:line="240" w:lineRule="auto"/>
      </w:pPr>
      <w:r>
        <w:continuationSeparator/>
      </w:r>
    </w:p>
  </w:footnote>
  <w:footnote w:id="2">
    <w:p w:rsidR="002B6191" w:rsidRPr="00D3252B" w:rsidP="002B6191">
      <w:pPr>
        <w:pStyle w:val="FootnoteText"/>
        <w:rPr>
          <w:sz w:val="18"/>
        </w:rPr>
      </w:pPr>
      <w:r w:rsidRPr="00D3252B">
        <w:rPr>
          <w:rStyle w:val="FootnoteReference"/>
          <w:sz w:val="18"/>
        </w:rPr>
        <w:footnoteRef/>
      </w:r>
      <w:r w:rsidRPr="00D3252B">
        <w:rPr>
          <w:sz w:val="18"/>
        </w:rPr>
        <w:t xml:space="preserve"> </w:t>
      </w:r>
      <w:r>
        <w:fldChar w:fldCharType="begin"/>
      </w:r>
      <w:r>
        <w:instrText xml:space="preserve"> HYPERLINK "https://www.globalinnovationindex.org/gii-2016-report" </w:instrText>
      </w:r>
      <w:r>
        <w:fldChar w:fldCharType="separate"/>
      </w:r>
      <w:r w:rsidRPr="00D3252B">
        <w:rPr>
          <w:rStyle w:val="Hyperlink"/>
          <w:sz w:val="18"/>
        </w:rPr>
        <w:t>https://www.globalinnovationindex.org/gii-2016-report</w:t>
      </w:r>
      <w:r>
        <w:fldChar w:fldCharType="end"/>
      </w:r>
      <w:r w:rsidRPr="00D3252B">
        <w:rPr>
          <w:sz w:val="18"/>
        </w:rPr>
        <w:t xml:space="preserve"> </w:t>
      </w:r>
    </w:p>
  </w:footnote>
  <w:footnote w:id="3">
    <w:p w:rsidR="002B6191" w:rsidRPr="00D3252B" w:rsidP="002B6191">
      <w:pPr>
        <w:pStyle w:val="FootnoteText"/>
        <w:rPr>
          <w:sz w:val="18"/>
        </w:rPr>
      </w:pPr>
      <w:r w:rsidRPr="00D3252B">
        <w:rPr>
          <w:rStyle w:val="FootnoteReference"/>
          <w:sz w:val="18"/>
        </w:rPr>
        <w:footnoteRef/>
      </w:r>
      <w:r w:rsidRPr="00D3252B">
        <w:rPr>
          <w:sz w:val="18"/>
        </w:rPr>
        <w:t xml:space="preserve"> </w:t>
      </w:r>
      <w:r>
        <w:fldChar w:fldCharType="begin"/>
      </w:r>
      <w:r>
        <w:instrText xml:space="preserve"> HYPERLINK "https://www.bloomberg.com/graphics/2015-innovative-countries/" </w:instrText>
      </w:r>
      <w:r>
        <w:fldChar w:fldCharType="separate"/>
      </w:r>
      <w:r w:rsidRPr="00D3252B">
        <w:rPr>
          <w:rStyle w:val="Hyperlink"/>
          <w:sz w:val="18"/>
        </w:rPr>
        <w:t>https://www.bloomberg.com/graphics/2015-innovative-countries/</w:t>
      </w:r>
      <w:r>
        <w:fldChar w:fldCharType="end"/>
      </w:r>
      <w:r w:rsidRPr="00D3252B">
        <w:rPr>
          <w:sz w:val="18"/>
        </w:rPr>
        <w:t xml:space="preserve"> </w:t>
      </w:r>
    </w:p>
  </w:footnote>
  <w:footnote w:id="4">
    <w:p w:rsidR="002B6191" w:rsidRPr="00D3252B" w:rsidP="002B6191">
      <w:pPr>
        <w:pStyle w:val="FootnoteText"/>
        <w:rPr>
          <w:sz w:val="18"/>
        </w:rPr>
      </w:pPr>
      <w:r w:rsidRPr="00D3252B">
        <w:rPr>
          <w:rStyle w:val="FootnoteReference"/>
          <w:sz w:val="18"/>
        </w:rPr>
        <w:footnoteRef/>
      </w:r>
      <w:r w:rsidRPr="00D3252B">
        <w:rPr>
          <w:sz w:val="18"/>
        </w:rPr>
        <w:t xml:space="preserve"> </w:t>
      </w:r>
      <w:r>
        <w:fldChar w:fldCharType="begin"/>
      </w:r>
      <w:r>
        <w:instrText xml:space="preserve"> HYPERLINK "http://ec.europa.eu/growth/industry/innovation/facts-figures/scoreboards_lv" </w:instrText>
      </w:r>
      <w:r>
        <w:fldChar w:fldCharType="separate"/>
      </w:r>
      <w:r w:rsidRPr="00D3252B">
        <w:rPr>
          <w:rStyle w:val="Hyperlink"/>
          <w:sz w:val="18"/>
        </w:rPr>
        <w:t>http://ec.europa.eu/growth/industry/innovation/facts-figures/scoreboards_lv</w:t>
      </w:r>
      <w:r>
        <w:fldChar w:fldCharType="end"/>
      </w:r>
      <w:r w:rsidRPr="00D3252B">
        <w:rPr>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91"/>
    <w:rsid w:val="000054D3"/>
    <w:rsid w:val="00051B8E"/>
    <w:rsid w:val="000908E3"/>
    <w:rsid w:val="002445A6"/>
    <w:rsid w:val="0025220B"/>
    <w:rsid w:val="00274120"/>
    <w:rsid w:val="002B6191"/>
    <w:rsid w:val="002C3D37"/>
    <w:rsid w:val="002C7290"/>
    <w:rsid w:val="003521C9"/>
    <w:rsid w:val="003E0E3E"/>
    <w:rsid w:val="003E339E"/>
    <w:rsid w:val="004F2259"/>
    <w:rsid w:val="00542913"/>
    <w:rsid w:val="00617D95"/>
    <w:rsid w:val="00700122"/>
    <w:rsid w:val="00782877"/>
    <w:rsid w:val="008B4AB9"/>
    <w:rsid w:val="0090600F"/>
    <w:rsid w:val="009A0156"/>
    <w:rsid w:val="009F0994"/>
    <w:rsid w:val="00A21996"/>
    <w:rsid w:val="00A77172"/>
    <w:rsid w:val="00B534D0"/>
    <w:rsid w:val="00BB63B2"/>
    <w:rsid w:val="00CB2800"/>
    <w:rsid w:val="00CE438E"/>
    <w:rsid w:val="00D06300"/>
    <w:rsid w:val="00D3252B"/>
    <w:rsid w:val="00DB6263"/>
    <w:rsid w:val="00E214A9"/>
    <w:rsid w:val="00E31AF8"/>
    <w:rsid w:val="00EE3A1F"/>
    <w:rsid w:val="00EE6276"/>
    <w:rsid w:val="00F851F4"/>
    <w:rsid w:val="00FA071D"/>
    <w:rsid w:val="00FB0591"/>
    <w:rsid w:val="00FB4A1B"/>
    <w:rsid w:val="00FB589B"/>
    <w:rsid w:val="00FD3C6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E64E141-EF82-47A0-A9A1-1D36D571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91"/>
  </w:style>
  <w:style w:type="paragraph" w:styleId="Heading1">
    <w:name w:val="heading 1"/>
    <w:basedOn w:val="Normal"/>
    <w:next w:val="Normal"/>
    <w:link w:val="Heading1Char"/>
    <w:qFormat/>
    <w:rsid w:val="008B4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61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6191"/>
    <w:rPr>
      <w:rFonts w:eastAsiaTheme="minorEastAsia"/>
      <w:lang w:val="en-US"/>
    </w:rPr>
  </w:style>
  <w:style w:type="character" w:styleId="Hyperlink">
    <w:name w:val="Hyperlink"/>
    <w:basedOn w:val="DefaultParagraphFont"/>
    <w:uiPriority w:val="99"/>
    <w:unhideWhenUsed/>
    <w:rsid w:val="002B6191"/>
    <w:rPr>
      <w:color w:val="0563C1" w:themeColor="hyperlink"/>
      <w:u w:val="single"/>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2B6191"/>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2B6191"/>
    <w:rPr>
      <w:rFonts w:ascii="Calibri" w:eastAsia="Calibri" w:hAnsi="Calibri"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2B6191"/>
    <w:rPr>
      <w:vertAlign w:val="superscript"/>
    </w:rPr>
  </w:style>
  <w:style w:type="paragraph" w:customStyle="1" w:styleId="CharCharCharChar">
    <w:name w:val="Char Char Char Char"/>
    <w:aliases w:val="Char2"/>
    <w:basedOn w:val="Normal"/>
    <w:next w:val="Normal"/>
    <w:link w:val="FootnoteReference"/>
    <w:uiPriority w:val="99"/>
    <w:rsid w:val="002B6191"/>
    <w:pPr>
      <w:spacing w:line="240" w:lineRule="exact"/>
      <w:jc w:val="both"/>
      <w:textAlignment w:val="baseline"/>
    </w:pPr>
    <w:rPr>
      <w:vertAlign w:val="superscript"/>
    </w:rPr>
  </w:style>
  <w:style w:type="character" w:customStyle="1" w:styleId="Heading1Char">
    <w:name w:val="Heading 1 Char"/>
    <w:basedOn w:val="DefaultParagraphFont"/>
    <w:link w:val="Heading1"/>
    <w:rsid w:val="008B4AB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B58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589B"/>
  </w:style>
  <w:style w:type="paragraph" w:styleId="Footer">
    <w:name w:val="footer"/>
    <w:basedOn w:val="Normal"/>
    <w:link w:val="FooterChar"/>
    <w:uiPriority w:val="99"/>
    <w:unhideWhenUsed/>
    <w:rsid w:val="00FB58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charts/_rels/chart1.xml.rels>&#65279;<?xml version="1.0" encoding="utf-8" standalone="yes"?><Relationships xmlns="http://schemas.openxmlformats.org/package/2006/relationships"><Relationship Id="rId1" Type="http://schemas.openxmlformats.org/officeDocument/2006/relationships/oleObject" Target="../embeddings/OleObject1.bin"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953349348066376"/>
          <c:y val="0.14089056145794082"/>
          <c:w val="0.33399174489174888"/>
          <c:h val="0.58714220697552655"/>
        </c:manualLayout>
      </c:layout>
      <c:radarChart>
        <c:radarStyle val="marker"/>
        <c:varyColors val="0"/>
        <c:ser>
          <c:idx val="0"/>
          <c:order val="0"/>
          <c:tx>
            <c:strRef>
              <c:f>'2016 LVvsEU'!$A$2</c:f>
              <c:strCache>
                <c:ptCount val="1"/>
                <c:pt idx="0">
                  <c:v>Latvija</c:v>
                </c:pt>
              </c:strCache>
            </c:strRef>
          </c:tx>
          <c:spPr>
            <a:ln w="50800" cap="rnd">
              <a:solidFill>
                <a:srgbClr val="C00000"/>
              </a:solidFill>
              <a:round/>
            </a:ln>
            <a:effectLst>
              <a:outerShdw blurRad="40000" dist="23000" dir="5400000" sx="100000" sy="100000" kx="0" ky="0" algn="b" rotWithShape="0">
                <a:srgbClr val="000000">
                  <a:alpha val="35000"/>
                </a:srgbClr>
              </a:outerShdw>
            </a:effectLst>
          </c:spPr>
          <c:marker>
            <c:symbol val="circle"/>
            <c:size val="6"/>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00">
                <a:solidFill>
                  <a:schemeClr val="lt2"/>
                </a:solidFill>
                <a:round/>
              </a:ln>
              <a:effectLst>
                <a:outerShdw blurRad="40000" dist="23000" dir="5400000" sx="100000" sy="100000" kx="0" ky="0" algn="b" rotWithShape="0">
                  <a:srgbClr val="000000">
                    <a:alpha val="35000"/>
                  </a:srgbClr>
                </a:outerShdw>
              </a:effectLst>
            </c:spPr>
          </c:marker>
          <c:cat>
            <c:strRef>
              <c:f>'2016 LVvsEU'!$B$1:$I$1</c:f>
              <c:strCache>
                <c:ptCount val="8"/>
                <c:pt idx="0">
                  <c:v>Cilvēkresursi</c:v>
                </c:pt>
                <c:pt idx="1">
                  <c:v>Atvērta, izcila, pievilcīga pētniecības sistēma</c:v>
                </c:pt>
                <c:pt idx="2">
                  <c:v>Finansējums un atbalsts</c:v>
                </c:pt>
                <c:pt idx="3">
                  <c:v>Uzņēmumu investīcijas</c:v>
                </c:pt>
                <c:pt idx="4">
                  <c:v>Sadarbība un uzņēmējdarbība</c:v>
                </c:pt>
                <c:pt idx="5">
                  <c:v>Intelektuālais īpašums</c:v>
                </c:pt>
                <c:pt idx="6">
                  <c:v>Inovatīvie uzņēmumi</c:v>
                </c:pt>
                <c:pt idx="7">
                  <c:v>Ekonomiskie efekti / rezultāti</c:v>
                </c:pt>
              </c:strCache>
            </c:strRef>
          </c:cat>
          <c:val>
            <c:numRef>
              <c:f>'2016 LVvsEU'!$B$2:$I$2</c:f>
              <c:numCache>
                <c:formatCode>General</c:formatCode>
                <c:ptCount val="8"/>
                <c:pt idx="0">
                  <c:v>0.534</c:v>
                </c:pt>
                <c:pt idx="1">
                  <c:v>0.168</c:v>
                </c:pt>
                <c:pt idx="2">
                  <c:v>0.424</c:v>
                </c:pt>
                <c:pt idx="3">
                  <c:v>0.426</c:v>
                </c:pt>
                <c:pt idx="4">
                  <c:v>0.105</c:v>
                </c:pt>
                <c:pt idx="5">
                  <c:v>0.326</c:v>
                </c:pt>
                <c:pt idx="6">
                  <c:v>0.113</c:v>
                </c:pt>
                <c:pt idx="7">
                  <c:v>0.255</c:v>
                </c:pt>
              </c:numCache>
            </c:numRef>
          </c:val>
          <c:extLst>
            <c:ext xmlns:c="http://schemas.openxmlformats.org/drawingml/2006/chart" xmlns:c16="http://schemas.microsoft.com/office/drawing/2014/chart" uri="{C3380CC4-5D6E-409C-BE32-E72D297353CC}">
              <c16:uniqueId val="{00000000-A96B-47FC-8EFB-89A5AB422467}"/>
            </c:ext>
          </c:extLst>
        </c:ser>
        <c:ser>
          <c:idx val="3"/>
          <c:order val="1"/>
          <c:tx>
            <c:strRef>
              <c:f>'2016 LVvsEU'!$A$3</c:f>
              <c:strCache>
                <c:ptCount val="1"/>
                <c:pt idx="0">
                  <c:v>ES vidēji</c:v>
                </c:pt>
              </c:strCache>
            </c:strRef>
          </c:tx>
          <c:spPr>
            <a:ln w="50800" cap="rnd">
              <a:solidFill>
                <a:srgbClr val="00B0F0"/>
              </a:solidFill>
              <a:round/>
            </a:ln>
            <a:effectLst>
              <a:outerShdw blurRad="40000" dist="23000" dir="5400000" sx="100000" sy="100000" kx="0" ky="0" algn="b" rotWithShape="0">
                <a:srgbClr val="000000">
                  <a:alpha val="35000"/>
                </a:srgbClr>
              </a:outerShdw>
            </a:effectLst>
          </c:spPr>
          <c:marker>
            <c:symbol val="circle"/>
            <c:size val="6"/>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12700">
                <a:solidFill>
                  <a:schemeClr val="lt2"/>
                </a:solidFill>
                <a:round/>
              </a:ln>
              <a:effectLst>
                <a:outerShdw blurRad="40000" dist="23000" dir="5400000" sx="100000" sy="100000" kx="0" ky="0" algn="b" rotWithShape="0">
                  <a:srgbClr val="000000">
                    <a:alpha val="35000"/>
                  </a:srgbClr>
                </a:outerShdw>
              </a:effectLst>
            </c:spPr>
          </c:marker>
          <c:cat>
            <c:strRef>
              <c:f>'2016 LVvsEU'!$B$1:$I$1</c:f>
              <c:strCache>
                <c:ptCount val="8"/>
                <c:pt idx="0">
                  <c:v>Cilvēkresursi</c:v>
                </c:pt>
                <c:pt idx="1">
                  <c:v>Atvērta, izcila, pievilcīga pētniecības sistēma</c:v>
                </c:pt>
                <c:pt idx="2">
                  <c:v>Finansējums un atbalsts</c:v>
                </c:pt>
                <c:pt idx="3">
                  <c:v>Uzņēmumu investīcijas</c:v>
                </c:pt>
                <c:pt idx="4">
                  <c:v>Sadarbība un uzņēmējdarbība</c:v>
                </c:pt>
                <c:pt idx="5">
                  <c:v>Intelektuālais īpašums</c:v>
                </c:pt>
                <c:pt idx="6">
                  <c:v>Inovatīvie uzņēmumi</c:v>
                </c:pt>
                <c:pt idx="7">
                  <c:v>Ekonomiskie efekti / rezultāti</c:v>
                </c:pt>
              </c:strCache>
            </c:strRef>
          </c:cat>
          <c:val>
            <c:numRef>
              <c:f>'2016 LVvsEU'!$B$3:$I$3</c:f>
              <c:numCache>
                <c:formatCode>General</c:formatCode>
                <c:ptCount val="8"/>
                <c:pt idx="0">
                  <c:v>0.575</c:v>
                </c:pt>
                <c:pt idx="1">
                  <c:v>0.466</c:v>
                </c:pt>
                <c:pt idx="2">
                  <c:v>0.49</c:v>
                </c:pt>
                <c:pt idx="3">
                  <c:v>0.426</c:v>
                </c:pt>
                <c:pt idx="4">
                  <c:v>0.473</c:v>
                </c:pt>
                <c:pt idx="5">
                  <c:v>0.556</c:v>
                </c:pt>
                <c:pt idx="6">
                  <c:v>0.526</c:v>
                </c:pt>
                <c:pt idx="7">
                  <c:v>0.573</c:v>
                </c:pt>
              </c:numCache>
            </c:numRef>
          </c:val>
          <c:extLst>
            <c:ext xmlns:c="http://schemas.openxmlformats.org/drawingml/2006/chart" xmlns:c16="http://schemas.microsoft.com/office/drawing/2014/chart" uri="{C3380CC4-5D6E-409C-BE32-E72D297353CC}">
              <c16:uniqueId val="{00000001-A96B-47FC-8EFB-89A5AB422467}"/>
            </c:ext>
          </c:extLst>
        </c:ser>
        <c:dLbls>
          <c:showLegendKey val="0"/>
          <c:showVal val="0"/>
          <c:showCatName val="0"/>
          <c:showSerName val="0"/>
          <c:showPercent val="0"/>
          <c:showBubbleSize val="0"/>
        </c:dLbls>
        <c:axId val="395554560"/>
        <c:axId val="395553384"/>
      </c:radarChart>
      <c:catAx>
        <c:axId val="395554560"/>
        <c:scaling>
          <c:orientation val="minMax"/>
        </c:scaling>
        <c:delete val="0"/>
        <c:axPos val="b"/>
        <c:numFmt formatCode="General" sourceLinked="0"/>
        <c:majorTickMark val="none"/>
        <c:minorTickMark val="none"/>
        <c:tickLblPos val="nextTo"/>
        <c:spPr>
          <a:noFill/>
          <a:ln w="9525">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Candara" panose="020E0502030303020204" pitchFamily="34" charset="0"/>
                <a:ea typeface="+mn-ea"/>
                <a:cs typeface="+mn-cs"/>
              </a:defRPr>
            </a:pPr>
            <a:endParaRPr lang="lv-LV"/>
          </a:p>
        </c:txPr>
        <c:crossAx val="395553384"/>
        <c:crosses val="autoZero"/>
        <c:auto val="1"/>
        <c:lblAlgn val="ctr"/>
        <c:lblOffset val="100"/>
        <c:noMultiLvlLbl val="0"/>
      </c:catAx>
      <c:valAx>
        <c:axId val="395553384"/>
        <c:scaling>
          <c:orientation val="minMax"/>
        </c:scaling>
        <c:delete val="1"/>
        <c:axPos val="l"/>
        <c:majorGridlines>
          <c:spPr>
            <a:ln w="9525">
              <a:solidFill>
                <a:schemeClr val="tx2">
                  <a:lumMod val="15000"/>
                  <a:lumOff val="85000"/>
                </a:schemeClr>
              </a:solidFill>
              <a:round/>
            </a:ln>
            <a:effectLst/>
          </c:spPr>
        </c:majorGridlines>
        <c:numFmt formatCode="General" sourceLinked="1"/>
        <c:majorTickMark val="none"/>
        <c:minorTickMark val="none"/>
        <c:tickLblPos val="nextTo"/>
        <c:crossAx val="395554560"/>
        <c:crosses val="autoZero"/>
        <c:crossBetween val="between"/>
      </c:valAx>
      <c:spPr>
        <a:noFill/>
        <a:ln>
          <a:noFill/>
        </a:ln>
        <a:effectLst/>
      </c:spPr>
    </c:plotArea>
    <c:legend>
      <c:legendPos val="b"/>
      <c:layout>
        <c:manualLayout>
          <c:xMode val="edge"/>
          <c:yMode val="edge"/>
          <c:x val="0.33465135723914591"/>
          <c:y val="0.84961396606033324"/>
          <c:w val="0.33551308133196572"/>
          <c:h val="0.07994890943169083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Candara" panose="020E0502030303020204" pitchFamily="34" charset="0"/>
              <a:ea typeface="+mn-ea"/>
              <a:cs typeface="+mn-cs"/>
            </a:defRPr>
          </a:pPr>
          <a:endParaRPr lang="lv-LV"/>
        </a:p>
      </c:txPr>
    </c:legend>
    <c:plotVisOnly val="1"/>
    <c:dispBlanksAs val="gap"/>
    <c:showDLblsOverMax val="0"/>
  </c:chart>
  <c:spPr>
    <a:solidFill>
      <a:schemeClr val="bg1"/>
    </a:solidFill>
    <a:ln w="9525">
      <a:solidFill>
        <a:schemeClr val="bg1"/>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Pages>
  <Words>3959</Words>
  <Characters>2258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Salmiņš</dc:creator>
  <cp:lastModifiedBy>Atis Migals</cp:lastModifiedBy>
  <cp:revision>8</cp:revision>
  <dcterms:created xsi:type="dcterms:W3CDTF">2017-06-06T12:37:00Z</dcterms:created>
  <dcterms:modified xsi:type="dcterms:W3CDTF">2018-02-02T07:50:00Z</dcterms:modified>
</cp:coreProperties>
</file>