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B213D" w:rsidRPr="00887719" w:rsidP="00211A3D" w14:paraId="2598206F" w14:textId="1EC944E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2638425</wp:posOffset>
                </wp:positionH>
                <wp:positionV relativeFrom="paragraph">
                  <wp:posOffset>-409575</wp:posOffset>
                </wp:positionV>
                <wp:extent cx="457200" cy="276225"/>
                <wp:effectExtent l="0" t="0" r="0" b="9525"/>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457200"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 o:spid="_x0000_s1025" style="width:36pt;height:21.75pt;margin-top:-32.25pt;margin-left:207.75pt;mso-wrap-distance-bottom:0;mso-wrap-distance-left:9pt;mso-wrap-distance-right:9pt;mso-wrap-distance-top:0;mso-wrap-style:square;position:absolute;visibility:visible;v-text-anchor:middle;z-index:251659264" fillcolor="white" stroked="f" strokeweight="1pt"/>
            </w:pict>
          </mc:Fallback>
        </mc:AlternateContent>
      </w:r>
      <w:r w:rsidRPr="00887719" w:rsidR="00312EE5">
        <w:rPr>
          <w:rFonts w:ascii="Times New Roman" w:hAnsi="Times New Roman" w:cs="Times New Roman"/>
          <w:b/>
          <w:sz w:val="24"/>
          <w:szCs w:val="24"/>
        </w:rPr>
        <w:t xml:space="preserve">Informatīvais </w:t>
      </w:r>
      <w:r w:rsidR="00564297">
        <w:rPr>
          <w:rFonts w:ascii="Times New Roman" w:hAnsi="Times New Roman" w:cs="Times New Roman"/>
          <w:b/>
          <w:sz w:val="24"/>
          <w:szCs w:val="24"/>
        </w:rPr>
        <w:t xml:space="preserve">ziņojums </w:t>
      </w:r>
      <w:r w:rsidRPr="00BD102E" w:rsidR="00BD102E">
        <w:rPr>
          <w:rFonts w:ascii="Times New Roman" w:hAnsi="Times New Roman" w:cs="Times New Roman"/>
          <w:b/>
          <w:sz w:val="24"/>
          <w:szCs w:val="24"/>
        </w:rPr>
        <w:t>“Par Latvijas dalības maksas EQAR un Latvijas akreditācijas aģentūras dalības maksas ENQA un EQAR segšanai nepieciešamo ikgadējo finansējumu”</w:t>
      </w:r>
    </w:p>
    <w:p w:rsidR="00312EE5" w:rsidP="00211A3D" w14:paraId="58211365" w14:textId="77777777">
      <w:pPr>
        <w:spacing w:after="0" w:line="240" w:lineRule="auto"/>
        <w:jc w:val="both"/>
        <w:rPr>
          <w:b/>
          <w:sz w:val="24"/>
          <w:szCs w:val="24"/>
        </w:rPr>
      </w:pPr>
    </w:p>
    <w:p w:rsidR="007457C9" w:rsidRPr="004B7EAB" w:rsidP="007457C9" w14:paraId="3FC51960" w14:textId="77777777">
      <w:pPr>
        <w:pStyle w:val="Default"/>
        <w:ind w:firstLine="567"/>
        <w:jc w:val="both"/>
      </w:pPr>
      <w:r w:rsidRPr="006F7A5B">
        <w:t>Ziņojuma mērķis ir paredzēt Izglītības un zinātnes ministrijas (turpmāk</w:t>
      </w:r>
      <w:r>
        <w:t xml:space="preserve"> </w:t>
      </w:r>
      <w:r w:rsidRPr="006F7A5B">
        <w:t xml:space="preserve">- ministrija) bāzes izdevumu budžetā iekļaut valsts budžeta finansējumu </w:t>
      </w:r>
      <w:r>
        <w:t xml:space="preserve">Latvijas </w:t>
      </w:r>
      <w:r w:rsidRPr="006F7A5B">
        <w:t>ikgadējās dalības maksas Eiropas augstākās izglītības kvalitātes nodrošināšanas reģistrā (</w:t>
      </w:r>
      <w:r>
        <w:t xml:space="preserve">turpmāk - </w:t>
      </w:r>
      <w:r w:rsidRPr="006F7A5B">
        <w:t xml:space="preserve">EQAR) segšanai, sākot no 2019. gada </w:t>
      </w:r>
      <w:r>
        <w:t>un</w:t>
      </w:r>
      <w:r w:rsidRPr="006F7A5B">
        <w:t xml:space="preserve"> Latvijas akreditācijas aģentūras</w:t>
      </w:r>
      <w:r>
        <w:t xml:space="preserve"> </w:t>
      </w:r>
      <w:r>
        <w:rPr>
          <w:rFonts w:eastAsia="Times New Roman"/>
        </w:rPr>
        <w:t>(turpmāk – aģentūra)</w:t>
      </w:r>
      <w:r w:rsidRPr="0013768A">
        <w:rPr>
          <w:rFonts w:eastAsia="Times New Roman"/>
        </w:rPr>
        <w:t xml:space="preserve"> </w:t>
      </w:r>
      <w:r>
        <w:t xml:space="preserve">dalības maksas segšanai </w:t>
      </w:r>
      <w:r w:rsidRPr="00887719">
        <w:t>Eiropas augstākās izglītības kvali</w:t>
      </w:r>
      <w:r>
        <w:t>tātes nodrošināšanas asociācijā (turpmāk - ENQA) un</w:t>
      </w:r>
      <w:r w:rsidRPr="006F7A5B">
        <w:t xml:space="preserve"> EQAR</w:t>
      </w:r>
      <w:r>
        <w:t>, sākot  no 2020. gada.</w:t>
      </w:r>
    </w:p>
    <w:p w:rsidR="007457C9" w:rsidRPr="0013768A" w:rsidP="007457C9" w14:paraId="076B45BB" w14:textId="77777777">
      <w:pPr>
        <w:pStyle w:val="Default"/>
        <w:ind w:firstLine="567"/>
        <w:jc w:val="both"/>
      </w:pPr>
      <w:r>
        <w:rPr>
          <w:rFonts w:eastAsia="Times New Roman"/>
        </w:rPr>
        <w:t>A</w:t>
      </w:r>
      <w:r w:rsidRPr="0013768A">
        <w:rPr>
          <w:rFonts w:eastAsia="Times New Roman"/>
        </w:rPr>
        <w:t>ģentūras</w:t>
      </w:r>
      <w:r>
        <w:rPr>
          <w:rFonts w:eastAsia="Times New Roman"/>
        </w:rPr>
        <w:t xml:space="preserve"> </w:t>
      </w:r>
      <w:r w:rsidRPr="006F7A5B">
        <w:t>dalība EQAR ir īpaši nozīmīga Latvijas augstākās izglītības attīstībā</w:t>
      </w:r>
      <w:r w:rsidRPr="004B7EAB">
        <w:t xml:space="preserve">, jo nodrošinās profesionālu </w:t>
      </w:r>
      <w:r w:rsidRPr="004B7EAB">
        <w:rPr>
          <w:bCs/>
          <w:noProof/>
        </w:rPr>
        <w:t xml:space="preserve">augstākās izglītības kvalitātes novērtēšanu un regulāru monitoringu, </w:t>
      </w:r>
      <w:r w:rsidRPr="004B7EAB">
        <w:t xml:space="preserve">veicinās augstākās izglītības kvalitātes kultūras </w:t>
      </w:r>
      <w:r w:rsidRPr="0059349F">
        <w:t xml:space="preserve">atbilstību </w:t>
      </w:r>
      <w:r w:rsidRPr="00887719">
        <w:rPr>
          <w:color w:val="auto"/>
        </w:rPr>
        <w:t>Ei</w:t>
      </w:r>
      <w:r>
        <w:rPr>
          <w:color w:val="auto"/>
        </w:rPr>
        <w:t>ropas augstākās izglītības telpā (turpmāk – EAIT)</w:t>
      </w:r>
      <w:r w:rsidRPr="0059349F">
        <w:t xml:space="preserve"> </w:t>
      </w:r>
      <w:r>
        <w:t xml:space="preserve">noteiktajiem vienotajiem </w:t>
      </w:r>
      <w:r w:rsidRPr="0059349F">
        <w:t xml:space="preserve">standartiem, vienlaikus palielinās uzticamību Latvijas augstākajai izglītībai un </w:t>
      </w:r>
      <w:r w:rsidRPr="00320A30">
        <w:t>Latvijā</w:t>
      </w:r>
      <w:r w:rsidRPr="00BC65E8">
        <w:t xml:space="preserve"> </w:t>
      </w:r>
      <w:r w:rsidRPr="004803A9">
        <w:t>iegūtajiem diplomiem, kā arī palīdzēs veidot kontaktus ar partneriem ārvalstīs, tādē</w:t>
      </w:r>
      <w:r w:rsidRPr="0036228F">
        <w:t xml:space="preserve">jādi sekmējot studiju </w:t>
      </w:r>
      <w:r w:rsidRPr="0013768A">
        <w:t>internacionalizāciju, augstākās izglītības eksportu un starptautisko sadarbību.</w:t>
      </w:r>
    </w:p>
    <w:p w:rsidR="007457C9" w:rsidP="007457C9" w14:paraId="395EBFD8" w14:textId="77777777">
      <w:pPr>
        <w:pStyle w:val="Default"/>
        <w:ind w:firstLine="567"/>
        <w:jc w:val="both"/>
      </w:pPr>
      <w:r w:rsidRPr="00887719">
        <w:t xml:space="preserve">Augstākās izglītības sistēmas </w:t>
      </w:r>
      <w:r>
        <w:t>kvalitāte</w:t>
      </w:r>
      <w:r w:rsidRPr="00887719">
        <w:t xml:space="preserve"> ir izšķirošs Latvijas konkurētspējas faktors, kas uzsvērts vairākos attīstības plānošanas dokumentos </w:t>
      </w:r>
      <w:r w:rsidRPr="00887719">
        <w:rPr>
          <w:color w:val="auto"/>
        </w:rPr>
        <w:t xml:space="preserve">(Ilgtspējīgas attīstības stratēģijā "Latvija 2030", Nacionālajā attīstības plānā 2014-2020). </w:t>
      </w:r>
      <w:r>
        <w:t>S</w:t>
      </w:r>
      <w:r w:rsidRPr="00887719">
        <w:t>tarptautiski konkurētspējīgas un pētniecībā balstītas augstākās izglītības, ko īsteno efektīvi pārvaldītas institūcijas ar konsolidētiem resursiem, nodrošināšana un i</w:t>
      </w:r>
      <w:r w:rsidRPr="00887719">
        <w:rPr>
          <w:bCs/>
        </w:rPr>
        <w:t>zglītības kvalitātes monitoringa sistēmas pilnveide</w:t>
      </w:r>
      <w:r w:rsidRPr="00887719">
        <w:t xml:space="preserve"> ir viens no ministrijas uzdevumiem, kura īstenošanu paredz Izglītības attīstības pamatnostādnes 2014.–</w:t>
      </w:r>
      <w:r>
        <w:t>2</w:t>
      </w:r>
      <w:r w:rsidRPr="00887719">
        <w:t xml:space="preserve">020.gadam un kas ietverts arī </w:t>
      </w:r>
      <w:r>
        <w:t xml:space="preserve">Eiropas Savienības </w:t>
      </w:r>
      <w:r w:rsidRPr="00887719">
        <w:t>Padomes 2013.</w:t>
      </w:r>
      <w:r>
        <w:t> </w:t>
      </w:r>
      <w:r w:rsidRPr="00887719">
        <w:t>gada un 2014.</w:t>
      </w:r>
      <w:r>
        <w:t xml:space="preserve"> </w:t>
      </w:r>
      <w:r w:rsidRPr="00887719">
        <w:t>gada rekomendācijās par</w:t>
      </w:r>
      <w:r>
        <w:t xml:space="preserve"> augstākās izglītības reformām.</w:t>
      </w:r>
    </w:p>
    <w:p w:rsidR="007457C9" w:rsidP="007457C9" w14:paraId="02F2A20E" w14:textId="77777777">
      <w:pPr>
        <w:pStyle w:val="Default"/>
        <w:ind w:firstLine="567"/>
        <w:jc w:val="both"/>
      </w:pPr>
      <w:r w:rsidRPr="00887719">
        <w:t xml:space="preserve">Viens no augstākās izglītības kvalitātes nodrošināšanas nosacījumiem ir augstskolu un koledžu (turpmāk arī augstākās izglītības institūcijas) un to īstenoto studiju programmu (studiju virzienu) kvalitātes </w:t>
      </w:r>
      <w:r>
        <w:t>novērtēšana</w:t>
      </w:r>
      <w:r w:rsidRPr="00887719">
        <w:t xml:space="preserve"> (akreditācija), kuru organizē institūcija, kuras darbība atbilst „Standartiem un vadlīnijām kvalitātes nodrošināšanai Eiropas augstākās izglītības </w:t>
      </w:r>
      <w:r w:rsidRPr="0003183B">
        <w:t>telpā” (</w:t>
      </w:r>
      <w:r w:rsidRPr="0003183B">
        <w:rPr>
          <w:i/>
          <w:color w:val="333333"/>
        </w:rPr>
        <w:t>European</w:t>
      </w:r>
      <w:r w:rsidRPr="0003183B">
        <w:rPr>
          <w:i/>
          <w:color w:val="333333"/>
        </w:rPr>
        <w:t xml:space="preserve"> </w:t>
      </w:r>
      <w:r w:rsidRPr="0003183B">
        <w:rPr>
          <w:i/>
          <w:color w:val="333333"/>
        </w:rPr>
        <w:t>Standards</w:t>
      </w:r>
      <w:r w:rsidRPr="0003183B">
        <w:rPr>
          <w:i/>
          <w:color w:val="333333"/>
        </w:rPr>
        <w:t xml:space="preserve"> </w:t>
      </w:r>
      <w:r w:rsidRPr="0003183B">
        <w:rPr>
          <w:i/>
          <w:color w:val="333333"/>
        </w:rPr>
        <w:t>and</w:t>
      </w:r>
      <w:r w:rsidRPr="0003183B">
        <w:rPr>
          <w:i/>
          <w:color w:val="333333"/>
        </w:rPr>
        <w:t xml:space="preserve"> </w:t>
      </w:r>
      <w:r w:rsidRPr="0003183B">
        <w:rPr>
          <w:i/>
          <w:color w:val="333333"/>
        </w:rPr>
        <w:t>Guidelines</w:t>
      </w:r>
      <w:r w:rsidRPr="0003183B">
        <w:rPr>
          <w:i/>
          <w:color w:val="333333"/>
        </w:rPr>
        <w:t xml:space="preserve"> </w:t>
      </w:r>
      <w:r w:rsidRPr="0003183B">
        <w:rPr>
          <w:i/>
          <w:color w:val="333333"/>
        </w:rPr>
        <w:t>for</w:t>
      </w:r>
      <w:r w:rsidRPr="0003183B">
        <w:rPr>
          <w:i/>
          <w:color w:val="333333"/>
        </w:rPr>
        <w:t xml:space="preserve"> </w:t>
      </w:r>
      <w:r w:rsidRPr="0003183B">
        <w:rPr>
          <w:i/>
          <w:color w:val="333333"/>
        </w:rPr>
        <w:t>Quality</w:t>
      </w:r>
      <w:r w:rsidRPr="0003183B">
        <w:rPr>
          <w:i/>
          <w:color w:val="333333"/>
        </w:rPr>
        <w:t xml:space="preserve"> </w:t>
      </w:r>
      <w:r w:rsidRPr="0003183B">
        <w:rPr>
          <w:i/>
          <w:color w:val="333333"/>
        </w:rPr>
        <w:t>Assurance</w:t>
      </w:r>
      <w:r w:rsidRPr="0003183B">
        <w:rPr>
          <w:color w:val="333333"/>
        </w:rPr>
        <w:t xml:space="preserve">) (turpmāk arī </w:t>
      </w:r>
      <w:r w:rsidRPr="0003183B">
        <w:t>ESG)</w:t>
      </w:r>
      <w:r>
        <w:rPr>
          <w:rStyle w:val="FootnoteReference"/>
        </w:rPr>
        <w:footnoteReference w:id="3"/>
      </w:r>
      <w:r w:rsidRPr="0003183B">
        <w:t>,</w:t>
      </w:r>
      <w:r w:rsidRPr="00887719">
        <w:t xml:space="preserve"> kas </w:t>
      </w:r>
      <w:r w:rsidRPr="00887719">
        <w:rPr>
          <w:color w:val="auto"/>
        </w:rPr>
        <w:t xml:space="preserve">ir galvenais kvalitātes procesu vērtēšanā izmantojamais dokuments </w:t>
      </w:r>
      <w:r>
        <w:rPr>
          <w:color w:val="auto"/>
        </w:rPr>
        <w:t>EAIT.</w:t>
      </w:r>
      <w:r w:rsidRPr="00887719">
        <w:rPr>
          <w:color w:val="auto"/>
        </w:rPr>
        <w:t xml:space="preserve"> </w:t>
      </w:r>
      <w:r>
        <w:rPr>
          <w:color w:val="auto"/>
        </w:rPr>
        <w:t>Kvalitātes novērtēšanas</w:t>
      </w:r>
      <w:r w:rsidRPr="00887719">
        <w:rPr>
          <w:color w:val="auto"/>
        </w:rPr>
        <w:t xml:space="preserve"> institūcijas, kuru darbība </w:t>
      </w:r>
      <w:r>
        <w:rPr>
          <w:color w:val="auto"/>
        </w:rPr>
        <w:t>atbilst</w:t>
      </w:r>
      <w:r w:rsidRPr="00887719">
        <w:rPr>
          <w:color w:val="auto"/>
        </w:rPr>
        <w:t xml:space="preserve"> </w:t>
      </w:r>
      <w:r>
        <w:t>ENQA</w:t>
      </w:r>
      <w:r w:rsidRPr="00887719">
        <w:t xml:space="preserve"> izstrādātajiem standartiem un vadlīnijām augstākās izglītības kvalitātes nodrošināšanai </w:t>
      </w:r>
      <w:r w:rsidRPr="00887719">
        <w:rPr>
          <w:bCs/>
          <w:noProof/>
        </w:rPr>
        <w:t>EAIT</w:t>
      </w:r>
      <w:r w:rsidRPr="00887719">
        <w:rPr>
          <w:color w:val="auto"/>
        </w:rPr>
        <w:t xml:space="preserve">, </w:t>
      </w:r>
      <w:r>
        <w:rPr>
          <w:color w:val="auto"/>
        </w:rPr>
        <w:t>var tikt uzņemtas ENQA pilntiesīga biedra statusā un tikt</w:t>
      </w:r>
      <w:r w:rsidRPr="00887719">
        <w:rPr>
          <w:color w:val="auto"/>
        </w:rPr>
        <w:t xml:space="preserve"> iekļautas </w:t>
      </w:r>
      <w:r w:rsidRPr="00887719">
        <w:t>EQAR.</w:t>
      </w:r>
    </w:p>
    <w:p w:rsidR="007457C9" w:rsidP="007457C9" w14:paraId="313FABBC" w14:textId="77777777">
      <w:pPr>
        <w:pStyle w:val="Default"/>
        <w:ind w:firstLine="567"/>
        <w:jc w:val="both"/>
        <w:rPr>
          <w:bCs/>
          <w:noProof/>
        </w:rPr>
      </w:pPr>
      <w:r w:rsidRPr="00887719">
        <w:rPr>
          <w:iCs/>
        </w:rPr>
        <w:t>Latvijā augstskolu, koledžu un studiju programmu novērtēšanu la</w:t>
      </w:r>
      <w:r>
        <w:rPr>
          <w:iCs/>
        </w:rPr>
        <w:t>ika posmā no 1996. gada līdz 2013</w:t>
      </w:r>
      <w:r w:rsidRPr="00887719">
        <w:rPr>
          <w:iCs/>
        </w:rPr>
        <w:t>.</w:t>
      </w:r>
      <w:r>
        <w:rPr>
          <w:iCs/>
        </w:rPr>
        <w:t> </w:t>
      </w:r>
      <w:r w:rsidRPr="00887719">
        <w:rPr>
          <w:iCs/>
        </w:rPr>
        <w:t xml:space="preserve">gadam organizēja Augstākās izglītības kvalitātes novērtēšanas centrs (turpmāk – AIKNC), pamatojoties uz Deleģēšanas līgumu ar </w:t>
      </w:r>
      <w:r>
        <w:rPr>
          <w:iCs/>
        </w:rPr>
        <w:t>ministriju</w:t>
      </w:r>
      <w:r w:rsidRPr="00887719">
        <w:rPr>
          <w:iCs/>
        </w:rPr>
        <w:t xml:space="preserve">. </w:t>
      </w:r>
      <w:r w:rsidRPr="00887719">
        <w:t>2010.gadā tika veikts AIKNC darbības starptautisks izvērtējums</w:t>
      </w:r>
      <w:r>
        <w:t xml:space="preserve"> ar mērķi kļūt par pilntiesīgu ENQA biedru</w:t>
      </w:r>
      <w:r w:rsidRPr="00887719">
        <w:rPr>
          <w:iCs/>
        </w:rPr>
        <w:t>, kura rezultātā tika</w:t>
      </w:r>
      <w:r w:rsidRPr="00887719">
        <w:t xml:space="preserve"> atzīts, ka AIKNC pilnībā izpilda tikai 2 no 8 izvirzītajiem kritērijiem</w:t>
      </w:r>
      <w:r>
        <w:rPr>
          <w:rStyle w:val="FootnoteReference"/>
        </w:rPr>
        <w:footnoteReference w:id="4"/>
      </w:r>
      <w:r w:rsidRPr="00887719">
        <w:t xml:space="preserve">, līdz ar to EQAR reģistrā tas netika iekļauts, kā galveno trūkumu norādot finanšu un cilvēkresursu nepietiekamību. Jāatzīmē, ka </w:t>
      </w:r>
      <w:r w:rsidRPr="00887719">
        <w:rPr>
          <w:bCs/>
          <w:noProof/>
        </w:rPr>
        <w:t>Latvijā valsts finansējums ārējās kvalitātes nodrošināšanas aģentūrai netika piešķirts, līdz ar to AIKNC darbība bija atkarīga tikai no augstskolu un koledžu finansējuma.</w:t>
      </w:r>
    </w:p>
    <w:p w:rsidR="007457C9" w:rsidP="007457C9" w14:paraId="72AC0B0F" w14:textId="77777777">
      <w:pPr>
        <w:pStyle w:val="Default"/>
        <w:ind w:firstLine="567"/>
        <w:jc w:val="both"/>
        <w:rPr>
          <w:bCs/>
          <w:noProof/>
        </w:rPr>
      </w:pPr>
      <w:r w:rsidRPr="00196B55">
        <w:rPr>
          <w:bCs/>
          <w:noProof/>
        </w:rPr>
        <w:t xml:space="preserve">Laika posmā no  2013. gada līdz 2015. gada 1. jūlijam augstākās izglītības institūciju, studiju virzienu akreditāciju un studiju programmu licencēšanu organizēja ministrija. 2015.gada 1.jūlijā stājās spēkā 2014.gada 17.decembrī Saeimā pieņemtie “Grozījumi Augstskolu likumā”, </w:t>
      </w:r>
      <w:r w:rsidRPr="00196B55">
        <w:rPr>
          <w:bCs/>
          <w:noProof/>
        </w:rPr>
        <w:t xml:space="preserve">kas paredzēja, ka augstākās izglītības institūciju, studiju virzienu akreditāciju un studiju programmu licencēšanu organizē </w:t>
      </w:r>
      <w:r>
        <w:rPr>
          <w:bCs/>
          <w:noProof/>
        </w:rPr>
        <w:t>Akadēmiskās informācijas centrs (turpmāk – AIC).</w:t>
      </w:r>
    </w:p>
    <w:p w:rsidR="007457C9" w:rsidRPr="0013768A" w:rsidP="007457C9" w14:paraId="4D314565" w14:textId="77777777">
      <w:pPr>
        <w:pStyle w:val="Default"/>
        <w:ind w:firstLine="567"/>
        <w:jc w:val="both"/>
      </w:pPr>
      <w:r w:rsidRPr="0013768A">
        <w:t>2014.</w:t>
      </w:r>
      <w:r>
        <w:t> </w:t>
      </w:r>
      <w:r w:rsidRPr="0013768A">
        <w:t>gada 20.</w:t>
      </w:r>
      <w:r>
        <w:t> </w:t>
      </w:r>
      <w:r w:rsidRPr="0013768A">
        <w:t>jūnijā Eiropas Komisijas apstiprinātais Latvijas Partnerības līgums Eiropas Savienības investīciju fondu 2014. - 2020.</w:t>
      </w:r>
      <w:r>
        <w:t> </w:t>
      </w:r>
      <w:r w:rsidRPr="0013768A">
        <w:t xml:space="preserve">gada plānošanas periodam (turpmāk – Partnerības līgums) </w:t>
      </w:r>
      <w:r w:rsidRPr="0013768A">
        <w:rPr>
          <w:bCs/>
          <w:noProof/>
        </w:rPr>
        <w:t>nosaka, ka: “(170)... Nacionālo aģentūru plānots izveidot 2015.gadā, izveides izmaksas sedzot no valsts budžeta līdzekļiem”, taču finansējums dalības nodrošināšanai ENQA un EQAR netika paredzēts.</w:t>
      </w:r>
    </w:p>
    <w:p w:rsidR="007457C9" w:rsidRPr="0099208E" w:rsidP="007457C9" w14:paraId="764012C6" w14:textId="77777777">
      <w:pPr>
        <w:pStyle w:val="Default"/>
        <w:ind w:firstLine="567"/>
        <w:jc w:val="both"/>
      </w:pPr>
      <w:r>
        <w:t>Kopš 2015. </w:t>
      </w:r>
      <w:r w:rsidRPr="00BF782E">
        <w:t xml:space="preserve">gada aprīļa </w:t>
      </w:r>
      <w:r>
        <w:t xml:space="preserve">AIC kā aģentūra ir ENQA </w:t>
      </w:r>
      <w:r>
        <w:t>afiliētais</w:t>
      </w:r>
      <w:r>
        <w:t xml:space="preserve"> biedrs un š</w:t>
      </w:r>
      <w:r w:rsidRPr="00BF7DBB">
        <w:t>obrīd ir vienīgā neatkarīgā akreditācijas institūcija Latvijā, kura savu darbību organizē saskaņā ar ESG.</w:t>
      </w:r>
      <w:r>
        <w:t xml:space="preserve"> Lai varētu pretendēt uz uzņemšanu ENQA pilntiesīga biedra statusā un iekļaušanu EQAR, aģentūrai ir jāizpilda vairākas prasības, tajā skaitā jāizpilda nosacījums par diviem aktīvas darbības gadiem kopš darbības uzsākšanas, kā arī jādemonstrē pieredze ārējās kvalitātes novērtēšanas procesu organizēšanā. </w:t>
      </w:r>
      <w:r w:rsidRPr="0013768A">
        <w:t>Pašlaik AIC īsteno Eiropas Sociālā fonda (</w:t>
      </w:r>
      <w:r>
        <w:t xml:space="preserve">turpmāk - </w:t>
      </w:r>
      <w:r w:rsidRPr="0013768A">
        <w:t xml:space="preserve">ESF) projektu </w:t>
      </w:r>
      <w:r w:rsidRPr="004B7EAB">
        <w:rPr>
          <w:bCs/>
        </w:rPr>
        <w:t>“Atbalsts</w:t>
      </w:r>
      <w:r w:rsidRPr="00BF782E">
        <w:rPr>
          <w:bCs/>
        </w:rPr>
        <w:t xml:space="preserve"> EQAR aģent</w:t>
      </w:r>
      <w:r>
        <w:rPr>
          <w:bCs/>
        </w:rPr>
        <w:t>ūrai izvirzīto prasību izpildei</w:t>
      </w:r>
      <w:r w:rsidRPr="00E903E5">
        <w:t>”</w:t>
      </w:r>
      <w:r>
        <w:t>, lai pilnveidotu savu darbību un nodrošinātu iekļaušanu EQAR reģistrā.</w:t>
      </w:r>
    </w:p>
    <w:p w:rsidR="007457C9" w:rsidP="007457C9" w14:paraId="131D2307" w14:textId="77777777">
      <w:pPr>
        <w:pStyle w:val="Default"/>
        <w:ind w:firstLine="567"/>
        <w:jc w:val="both"/>
      </w:pPr>
      <w:r w:rsidRPr="0013768A">
        <w:t xml:space="preserve">2017. gadā AIC ESF projekta ietvaros veica </w:t>
      </w:r>
      <w:r w:rsidRPr="0013768A">
        <w:t>pilotakreditācijas</w:t>
      </w:r>
      <w:r w:rsidRPr="0013768A">
        <w:t xml:space="preserve"> 12 studiju virzieniem, kā arī 11 studiju virzieniem saskaņā ar standarta novērtēšanas ciklu</w:t>
      </w:r>
      <w:r>
        <w:t xml:space="preserve"> (kārtējā akreditācija</w:t>
      </w:r>
      <w:r w:rsidRPr="0013768A">
        <w:t>), kas kopumā demonstrē nepieciešamo pieredzi, lai varētu pieteikties uzņemšanai ENQA un reģistrācijai EQAR. Laika periodā no 2017. gada augusta līdz 2018. gada jūlijam tiks veikts ENQA koordinēts AIC izvērtējums</w:t>
      </w:r>
      <w:r>
        <w:t>,</w:t>
      </w:r>
      <w:r w:rsidRPr="0013768A">
        <w:t xml:space="preserve"> un uz šī </w:t>
      </w:r>
      <w:r w:rsidRPr="0013768A">
        <w:t>izvērtējuma</w:t>
      </w:r>
      <w:r w:rsidRPr="0013768A">
        <w:t xml:space="preserve"> pamata līdz 2018. gada decembrim EQAR Reģistra komiteja pieņems lēmumu par AIC iekļaušanu EQAR.</w:t>
      </w:r>
      <w:r>
        <w:t xml:space="preserve"> </w:t>
      </w:r>
    </w:p>
    <w:p w:rsidR="007457C9" w:rsidRPr="004B4964" w:rsidP="007457C9" w14:paraId="5FD58900" w14:textId="77777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w:t>
      </w:r>
      <w:r w:rsidRPr="0013768A">
        <w:rPr>
          <w:rFonts w:ascii="Times New Roman" w:hAnsi="Times New Roman" w:cs="Times New Roman"/>
          <w:sz w:val="24"/>
          <w:szCs w:val="24"/>
        </w:rPr>
        <w:t xml:space="preserve">ai nodrošinātu Latvijas dalību EQAR ir nepieciešams finansējums ikgadējās dalības maksas segšanai un tās apjoms tiek noteikts </w:t>
      </w:r>
      <w:r>
        <w:rPr>
          <w:rFonts w:ascii="Times New Roman" w:hAnsi="Times New Roman" w:cs="Times New Roman"/>
          <w:sz w:val="24"/>
          <w:szCs w:val="24"/>
        </w:rPr>
        <w:t>reizi četros</w:t>
      </w:r>
      <w:r w:rsidRPr="0013768A">
        <w:rPr>
          <w:rFonts w:ascii="Times New Roman" w:hAnsi="Times New Roman" w:cs="Times New Roman"/>
          <w:sz w:val="24"/>
          <w:szCs w:val="24"/>
        </w:rPr>
        <w:t xml:space="preserve">, ņemot vērā valsts iekšzemes kopprodukta lielumu. </w:t>
      </w:r>
      <w:r w:rsidRPr="004B4964">
        <w:rPr>
          <w:rFonts w:ascii="Times New Roman" w:hAnsi="Times New Roman" w:cs="Times New Roman"/>
          <w:sz w:val="24"/>
          <w:szCs w:val="24"/>
        </w:rPr>
        <w:t xml:space="preserve">Sākot no 2018. gada līdz 2021. gadam iemaksājamās dalības maksas apmērs Latvijai būs 6 636 </w:t>
      </w:r>
      <w:r w:rsidRPr="004B4964">
        <w:rPr>
          <w:rFonts w:ascii="Times New Roman" w:hAnsi="Times New Roman" w:cs="Times New Roman"/>
          <w:i/>
          <w:sz w:val="24"/>
          <w:szCs w:val="24"/>
        </w:rPr>
        <w:t>euro</w:t>
      </w:r>
      <w:r w:rsidRPr="004B4964">
        <w:rPr>
          <w:rFonts w:ascii="Times New Roman" w:hAnsi="Times New Roman" w:cs="Times New Roman"/>
          <w:sz w:val="24"/>
          <w:szCs w:val="24"/>
        </w:rPr>
        <w:t xml:space="preserve"> gadā.</w:t>
      </w:r>
    </w:p>
    <w:p w:rsidR="007457C9" w:rsidRPr="004B4964" w:rsidP="007457C9" w14:paraId="1DF5AD74" w14:textId="77777777">
      <w:pPr>
        <w:spacing w:after="0" w:line="240" w:lineRule="auto"/>
        <w:ind w:firstLine="567"/>
        <w:jc w:val="both"/>
        <w:rPr>
          <w:rFonts w:ascii="Times New Roman" w:hAnsi="Times New Roman" w:cs="Times New Roman"/>
          <w:sz w:val="24"/>
          <w:szCs w:val="24"/>
        </w:rPr>
      </w:pPr>
      <w:r w:rsidRPr="004B4964">
        <w:rPr>
          <w:rFonts w:ascii="Times New Roman" w:eastAsia="Times New Roman" w:hAnsi="Times New Roman" w:cs="Times New Roman"/>
          <w:sz w:val="24"/>
          <w:szCs w:val="24"/>
          <w:lang w:eastAsia="en-GB"/>
        </w:rPr>
        <w:t xml:space="preserve">2018. gada beigās </w:t>
      </w:r>
      <w:r>
        <w:rPr>
          <w:rFonts w:ascii="Times New Roman" w:eastAsia="Times New Roman" w:hAnsi="Times New Roman" w:cs="Times New Roman"/>
          <w:sz w:val="24"/>
          <w:szCs w:val="24"/>
          <w:lang w:eastAsia="en-GB"/>
        </w:rPr>
        <w:t>ir sagaidāms</w:t>
      </w:r>
      <w:r w:rsidRPr="004B496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ka</w:t>
      </w:r>
      <w:r w:rsidRPr="004B4964">
        <w:rPr>
          <w:rFonts w:ascii="Times New Roman" w:eastAsia="Times New Roman" w:hAnsi="Times New Roman" w:cs="Times New Roman"/>
          <w:sz w:val="24"/>
          <w:szCs w:val="24"/>
          <w:lang w:eastAsia="en-GB"/>
        </w:rPr>
        <w:t xml:space="preserve"> AIC kļūs par ENQA pilntiesīgu biedru. 2019. gadā AIC ir ieplānots finansējums ESF projektā (4 635 </w:t>
      </w:r>
      <w:r w:rsidRPr="004B4964">
        <w:rPr>
          <w:rFonts w:ascii="Times New Roman" w:eastAsia="Times New Roman" w:hAnsi="Times New Roman" w:cs="Times New Roman"/>
          <w:i/>
          <w:sz w:val="24"/>
          <w:szCs w:val="24"/>
          <w:lang w:eastAsia="en-GB"/>
        </w:rPr>
        <w:t>euro</w:t>
      </w:r>
      <w:r w:rsidRPr="004B4964">
        <w:rPr>
          <w:rFonts w:ascii="Times New Roman" w:eastAsia="Times New Roman" w:hAnsi="Times New Roman" w:cs="Times New Roman"/>
          <w:sz w:val="24"/>
          <w:szCs w:val="24"/>
          <w:lang w:eastAsia="en-GB"/>
        </w:rPr>
        <w:t xml:space="preserve">) dalības maksai ENQA pilntiesīga biedra statusā. Pašlaik </w:t>
      </w:r>
      <w:r w:rsidRPr="004B4964">
        <w:rPr>
          <w:rFonts w:ascii="Times New Roman" w:hAnsi="Times New Roman" w:cs="Times New Roman"/>
          <w:sz w:val="24"/>
          <w:szCs w:val="24"/>
        </w:rPr>
        <w:t>AIC nemaksā dalības maksu EQAR, jo nav iekļauts EQAR reģistrā.</w:t>
      </w:r>
    </w:p>
    <w:p w:rsidR="007457C9" w:rsidRPr="004B4964" w:rsidP="007457C9" w14:paraId="750BF68E" w14:textId="77777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Pr="0013768A">
        <w:rPr>
          <w:rFonts w:ascii="Times New Roman" w:hAnsi="Times New Roman" w:cs="Times New Roman"/>
          <w:sz w:val="24"/>
          <w:szCs w:val="24"/>
        </w:rPr>
        <w:t xml:space="preserve">inistrijas ieskatā </w:t>
      </w:r>
      <w:r>
        <w:rPr>
          <w:rFonts w:ascii="Times New Roman" w:hAnsi="Times New Roman" w:cs="Times New Roman"/>
          <w:sz w:val="24"/>
          <w:szCs w:val="24"/>
        </w:rPr>
        <w:t>Latvijas</w:t>
      </w:r>
      <w:r w:rsidRPr="0013768A">
        <w:rPr>
          <w:rFonts w:ascii="Times New Roman" w:hAnsi="Times New Roman" w:cs="Times New Roman"/>
          <w:sz w:val="24"/>
          <w:szCs w:val="24"/>
        </w:rPr>
        <w:t xml:space="preserve"> ikgadējās dalības maksas EQAR segšana būtu īstenojama, </w:t>
      </w:r>
      <w:r w:rsidRPr="0013768A">
        <w:rPr>
          <w:rFonts w:ascii="Times New Roman" w:hAnsi="Times New Roman" w:cs="Times New Roman"/>
          <w:b/>
          <w:sz w:val="24"/>
          <w:szCs w:val="24"/>
        </w:rPr>
        <w:t xml:space="preserve">paredzot ministrijas bāzes izdevumu budžeta apakšprogrammā </w:t>
      </w:r>
      <w:r>
        <w:rPr>
          <w:rFonts w:ascii="Times New Roman" w:hAnsi="Times New Roman" w:cs="Times New Roman"/>
          <w:b/>
          <w:sz w:val="24"/>
          <w:szCs w:val="24"/>
        </w:rPr>
        <w:t>03.13.00</w:t>
      </w:r>
      <w:r w:rsidRPr="0013768A">
        <w:rPr>
          <w:rFonts w:ascii="Times New Roman" w:hAnsi="Times New Roman" w:cs="Times New Roman"/>
          <w:b/>
          <w:sz w:val="24"/>
          <w:szCs w:val="24"/>
        </w:rPr>
        <w:t xml:space="preserve">  “</w:t>
      </w:r>
      <w:r>
        <w:rPr>
          <w:rFonts w:ascii="Times New Roman" w:hAnsi="Times New Roman" w:cs="Times New Roman"/>
          <w:b/>
          <w:sz w:val="24"/>
          <w:szCs w:val="24"/>
        </w:rPr>
        <w:t>Studiju virzienu akreditācija</w:t>
      </w:r>
      <w:r w:rsidRPr="0013768A">
        <w:rPr>
          <w:rFonts w:ascii="Times New Roman" w:hAnsi="Times New Roman" w:cs="Times New Roman"/>
          <w:b/>
          <w:sz w:val="24"/>
          <w:szCs w:val="24"/>
        </w:rPr>
        <w:t xml:space="preserve">” papildu valsts budžeta finansējumu 6 636 </w:t>
      </w:r>
      <w:r w:rsidRPr="0013768A">
        <w:rPr>
          <w:rFonts w:ascii="Times New Roman" w:hAnsi="Times New Roman" w:cs="Times New Roman"/>
          <w:b/>
          <w:i/>
          <w:sz w:val="24"/>
          <w:szCs w:val="24"/>
        </w:rPr>
        <w:t>euro</w:t>
      </w:r>
      <w:r w:rsidRPr="0013768A">
        <w:rPr>
          <w:rFonts w:ascii="Times New Roman" w:hAnsi="Times New Roman" w:cs="Times New Roman"/>
          <w:b/>
          <w:i/>
          <w:sz w:val="24"/>
          <w:szCs w:val="24"/>
        </w:rPr>
        <w:t xml:space="preserve"> </w:t>
      </w:r>
      <w:r w:rsidRPr="0013768A">
        <w:rPr>
          <w:rFonts w:ascii="Times New Roman" w:hAnsi="Times New Roman" w:cs="Times New Roman"/>
          <w:b/>
          <w:sz w:val="24"/>
          <w:szCs w:val="24"/>
        </w:rPr>
        <w:t>apmērā, sākot no 2019. gada</w:t>
      </w:r>
      <w:r w:rsidRPr="0013768A">
        <w:rPr>
          <w:rFonts w:ascii="Times New Roman" w:hAnsi="Times New Roman" w:cs="Times New Roman"/>
          <w:sz w:val="24"/>
          <w:szCs w:val="24"/>
        </w:rPr>
        <w:t xml:space="preserve"> līdz 2021. gadam</w:t>
      </w:r>
      <w:r>
        <w:rPr>
          <w:rFonts w:ascii="Times New Roman" w:hAnsi="Times New Roman" w:cs="Times New Roman"/>
          <w:sz w:val="24"/>
          <w:szCs w:val="24"/>
        </w:rPr>
        <w:t>. T</w:t>
      </w:r>
      <w:r w:rsidRPr="0013768A">
        <w:rPr>
          <w:rFonts w:ascii="Times New Roman" w:hAnsi="Times New Roman" w:cs="Times New Roman"/>
          <w:sz w:val="24"/>
          <w:szCs w:val="24"/>
        </w:rPr>
        <w:t>urpmākajam četru gadu posmam</w:t>
      </w:r>
      <w:r>
        <w:rPr>
          <w:rFonts w:ascii="Times New Roman" w:hAnsi="Times New Roman" w:cs="Times New Roman"/>
          <w:sz w:val="24"/>
          <w:szCs w:val="24"/>
        </w:rPr>
        <w:t xml:space="preserve"> apjoms tiks </w:t>
      </w:r>
      <w:r w:rsidRPr="0013768A">
        <w:rPr>
          <w:rFonts w:ascii="Times New Roman" w:hAnsi="Times New Roman" w:cs="Times New Roman"/>
          <w:sz w:val="24"/>
          <w:szCs w:val="24"/>
        </w:rPr>
        <w:t>precizē</w:t>
      </w:r>
      <w:r>
        <w:rPr>
          <w:rFonts w:ascii="Times New Roman" w:hAnsi="Times New Roman" w:cs="Times New Roman"/>
          <w:sz w:val="24"/>
          <w:szCs w:val="24"/>
        </w:rPr>
        <w:t>ts</w:t>
      </w:r>
      <w:r w:rsidRPr="0013768A">
        <w:rPr>
          <w:rFonts w:ascii="Times New Roman" w:hAnsi="Times New Roman" w:cs="Times New Roman"/>
          <w:sz w:val="24"/>
          <w:szCs w:val="24"/>
        </w:rPr>
        <w:t xml:space="preserve"> attiecīgajā vidējā termiņa budžeta likumprojektā atbilstoši iema</w:t>
      </w:r>
      <w:r>
        <w:rPr>
          <w:rFonts w:ascii="Times New Roman" w:hAnsi="Times New Roman" w:cs="Times New Roman"/>
          <w:sz w:val="24"/>
          <w:szCs w:val="24"/>
        </w:rPr>
        <w:t xml:space="preserve">ksājamās dalības maksas apjomam </w:t>
      </w:r>
      <w:r w:rsidRPr="0013768A">
        <w:rPr>
          <w:rFonts w:ascii="Times New Roman" w:hAnsi="Times New Roman" w:cs="Times New Roman"/>
          <w:sz w:val="24"/>
          <w:szCs w:val="24"/>
        </w:rPr>
        <w:t>atkarībā no izmaiņām iekšzemes kopprodukta apmērā.</w:t>
      </w:r>
      <w:r>
        <w:rPr>
          <w:rFonts w:ascii="Times New Roman" w:hAnsi="Times New Roman" w:cs="Times New Roman"/>
          <w:sz w:val="24"/>
          <w:szCs w:val="24"/>
        </w:rPr>
        <w:t xml:space="preserve"> </w:t>
      </w:r>
      <w:r w:rsidRPr="004B4964">
        <w:rPr>
          <w:rFonts w:ascii="Times New Roman" w:hAnsi="Times New Roman" w:cs="Times New Roman"/>
          <w:sz w:val="24"/>
          <w:szCs w:val="24"/>
        </w:rPr>
        <w:t xml:space="preserve">Papildus tam, lai nodrošinātu aģentūras dalību ENQA (pilntiesīga biedra statusā) un EQAR, </w:t>
      </w:r>
      <w:r w:rsidRPr="004B4964">
        <w:rPr>
          <w:rFonts w:ascii="Times New Roman" w:hAnsi="Times New Roman" w:cs="Times New Roman"/>
          <w:b/>
          <w:sz w:val="24"/>
          <w:szCs w:val="24"/>
        </w:rPr>
        <w:t xml:space="preserve">sākot ar 2020. gadu, ir nepieciešams paredzēt </w:t>
      </w:r>
      <w:r>
        <w:rPr>
          <w:rFonts w:ascii="Times New Roman" w:hAnsi="Times New Roman" w:cs="Times New Roman"/>
          <w:b/>
          <w:sz w:val="24"/>
          <w:szCs w:val="24"/>
        </w:rPr>
        <w:t xml:space="preserve">papildu </w:t>
      </w:r>
      <w:r w:rsidRPr="004B4964">
        <w:rPr>
          <w:rFonts w:ascii="Times New Roman" w:hAnsi="Times New Roman" w:cs="Times New Roman"/>
          <w:b/>
          <w:sz w:val="24"/>
          <w:szCs w:val="24"/>
        </w:rPr>
        <w:t xml:space="preserve">valsts budžeta līdzekļus arī </w:t>
      </w:r>
      <w:r w:rsidRPr="00777E81">
        <w:rPr>
          <w:rFonts w:ascii="Times New Roman" w:hAnsi="Times New Roman" w:cs="Times New Roman"/>
          <w:b/>
          <w:sz w:val="24"/>
          <w:szCs w:val="24"/>
        </w:rPr>
        <w:t xml:space="preserve">aģentūras </w:t>
      </w:r>
      <w:r w:rsidRPr="004B4964">
        <w:rPr>
          <w:rFonts w:ascii="Times New Roman" w:hAnsi="Times New Roman" w:cs="Times New Roman"/>
          <w:b/>
          <w:sz w:val="24"/>
          <w:szCs w:val="24"/>
        </w:rPr>
        <w:t xml:space="preserve">dalības maksas segšanai ENQA  -  </w:t>
      </w:r>
      <w:r w:rsidRPr="004B4964">
        <w:rPr>
          <w:rFonts w:ascii="Times New Roman" w:eastAsia="Times New Roman" w:hAnsi="Times New Roman" w:cs="Times New Roman"/>
          <w:b/>
          <w:sz w:val="24"/>
          <w:szCs w:val="24"/>
          <w:lang w:eastAsia="en-GB"/>
        </w:rPr>
        <w:t xml:space="preserve">4 635 </w:t>
      </w:r>
      <w:r w:rsidRPr="004B4964">
        <w:rPr>
          <w:rFonts w:ascii="Times New Roman" w:eastAsia="Times New Roman" w:hAnsi="Times New Roman" w:cs="Times New Roman"/>
          <w:b/>
          <w:i/>
          <w:sz w:val="24"/>
          <w:szCs w:val="24"/>
          <w:lang w:eastAsia="en-GB"/>
        </w:rPr>
        <w:t>euro</w:t>
      </w:r>
      <w:r w:rsidRPr="004B4964">
        <w:rPr>
          <w:rFonts w:ascii="Times New Roman" w:eastAsia="Times New Roman" w:hAnsi="Times New Roman" w:cs="Times New Roman"/>
          <w:b/>
          <w:sz w:val="24"/>
          <w:szCs w:val="24"/>
          <w:lang w:eastAsia="en-GB"/>
        </w:rPr>
        <w:t xml:space="preserve"> gadā </w:t>
      </w:r>
      <w:r w:rsidRPr="004B4964">
        <w:rPr>
          <w:rFonts w:ascii="Times New Roman" w:hAnsi="Times New Roman" w:cs="Times New Roman"/>
          <w:b/>
          <w:sz w:val="24"/>
          <w:szCs w:val="24"/>
        </w:rPr>
        <w:t xml:space="preserve">un dalības maksas segšanai EQAR </w:t>
      </w:r>
      <w:r>
        <w:rPr>
          <w:rFonts w:ascii="Times New Roman" w:hAnsi="Times New Roman" w:cs="Times New Roman"/>
          <w:b/>
          <w:sz w:val="24"/>
          <w:szCs w:val="24"/>
        </w:rPr>
        <w:t>–</w:t>
      </w:r>
      <w:r w:rsidRPr="004B4964">
        <w:rPr>
          <w:rFonts w:ascii="Times New Roman" w:hAnsi="Times New Roman" w:cs="Times New Roman"/>
          <w:b/>
          <w:sz w:val="24"/>
          <w:szCs w:val="24"/>
        </w:rPr>
        <w:t xml:space="preserve"> </w:t>
      </w:r>
      <w:r w:rsidRPr="004B4964">
        <w:rPr>
          <w:rFonts w:ascii="Times New Roman" w:eastAsia="Times New Roman" w:hAnsi="Times New Roman" w:cs="Times New Roman"/>
          <w:b/>
          <w:sz w:val="24"/>
          <w:szCs w:val="24"/>
          <w:lang w:eastAsia="en-GB"/>
        </w:rPr>
        <w:t>1</w:t>
      </w:r>
      <w:r>
        <w:rPr>
          <w:rFonts w:ascii="Times New Roman" w:eastAsia="Times New Roman" w:hAnsi="Times New Roman" w:cs="Times New Roman"/>
          <w:b/>
          <w:sz w:val="24"/>
          <w:szCs w:val="24"/>
          <w:lang w:eastAsia="en-GB"/>
        </w:rPr>
        <w:t xml:space="preserve"> </w:t>
      </w:r>
      <w:r w:rsidRPr="004B4964">
        <w:rPr>
          <w:rFonts w:ascii="Times New Roman" w:eastAsia="Times New Roman" w:hAnsi="Times New Roman" w:cs="Times New Roman"/>
          <w:b/>
          <w:sz w:val="24"/>
          <w:szCs w:val="24"/>
          <w:lang w:eastAsia="en-GB"/>
        </w:rPr>
        <w:t xml:space="preserve">248,72 </w:t>
      </w:r>
      <w:r w:rsidRPr="004B4964">
        <w:rPr>
          <w:rFonts w:ascii="Times New Roman" w:eastAsia="Times New Roman" w:hAnsi="Times New Roman" w:cs="Times New Roman"/>
          <w:b/>
          <w:i/>
          <w:sz w:val="24"/>
          <w:szCs w:val="24"/>
          <w:lang w:eastAsia="en-GB"/>
        </w:rPr>
        <w:t>euro</w:t>
      </w:r>
      <w:r w:rsidRPr="004B4964">
        <w:rPr>
          <w:rFonts w:ascii="Times New Roman" w:eastAsia="Times New Roman" w:hAnsi="Times New Roman" w:cs="Times New Roman"/>
          <w:b/>
          <w:i/>
          <w:sz w:val="24"/>
          <w:szCs w:val="24"/>
          <w:lang w:eastAsia="en-GB"/>
        </w:rPr>
        <w:t xml:space="preserve"> </w:t>
      </w:r>
      <w:r w:rsidRPr="004B4964">
        <w:rPr>
          <w:rFonts w:ascii="Times New Roman" w:eastAsia="Times New Roman" w:hAnsi="Times New Roman" w:cs="Times New Roman"/>
          <w:b/>
          <w:sz w:val="24"/>
          <w:szCs w:val="24"/>
          <w:lang w:eastAsia="en-GB"/>
        </w:rPr>
        <w:t>gadā</w:t>
      </w:r>
      <w:r>
        <w:rPr>
          <w:rFonts w:ascii="Times New Roman" w:eastAsia="Times New Roman" w:hAnsi="Times New Roman" w:cs="Times New Roman"/>
          <w:b/>
          <w:sz w:val="24"/>
          <w:szCs w:val="24"/>
          <w:lang w:eastAsia="en-GB"/>
        </w:rPr>
        <w:t xml:space="preserve"> </w:t>
      </w:r>
      <w:r w:rsidRPr="004B4964">
        <w:rPr>
          <w:rFonts w:ascii="Times New Roman" w:hAnsi="Times New Roman" w:cs="Times New Roman"/>
          <w:sz w:val="24"/>
          <w:szCs w:val="24"/>
        </w:rPr>
        <w:t xml:space="preserve">ministrijas bāzes izdevumu budžeta apakšprogrammā </w:t>
      </w:r>
      <w:r w:rsidRPr="00336867">
        <w:rPr>
          <w:rFonts w:ascii="Times New Roman" w:hAnsi="Times New Roman" w:cs="Times New Roman"/>
          <w:b/>
          <w:sz w:val="24"/>
          <w:szCs w:val="24"/>
        </w:rPr>
        <w:t>03.13.00  “Studiju virzienu akreditācija”</w:t>
      </w:r>
      <w:r w:rsidRPr="004B4964">
        <w:rPr>
          <w:rFonts w:ascii="Times New Roman" w:eastAsia="Times New Roman" w:hAnsi="Times New Roman" w:cs="Times New Roman"/>
          <w:sz w:val="24"/>
          <w:szCs w:val="24"/>
          <w:lang w:eastAsia="en-GB"/>
        </w:rPr>
        <w:t>.</w:t>
      </w:r>
      <w:r w:rsidRPr="004B4964">
        <w:rPr>
          <w:rFonts w:ascii="Times New Roman" w:hAnsi="Times New Roman" w:cs="Times New Roman"/>
          <w:sz w:val="24"/>
          <w:szCs w:val="24"/>
        </w:rPr>
        <w:t xml:space="preserve"> Dalības maksa aģentūrai ir fiksēta un nav atkarīga no </w:t>
      </w:r>
      <w:r>
        <w:rPr>
          <w:rFonts w:ascii="Times New Roman" w:hAnsi="Times New Roman" w:cs="Times New Roman"/>
          <w:sz w:val="24"/>
          <w:szCs w:val="24"/>
        </w:rPr>
        <w:t>iekšzemes kopprodukta izmaiņām.</w:t>
      </w:r>
    </w:p>
    <w:p w:rsidR="007457C9" w:rsidP="007457C9" w14:paraId="66FEA75C" w14:textId="77777777">
      <w:pPr>
        <w:spacing w:after="0" w:line="240" w:lineRule="auto"/>
        <w:ind w:firstLine="567"/>
        <w:jc w:val="both"/>
        <w:rPr>
          <w:sz w:val="24"/>
          <w:szCs w:val="24"/>
        </w:rPr>
      </w:pPr>
    </w:p>
    <w:p w:rsidR="007457C9" w:rsidP="007457C9" w14:paraId="52676557" w14:textId="77777777">
      <w:pPr>
        <w:spacing w:after="0" w:line="240" w:lineRule="auto"/>
        <w:ind w:firstLine="397"/>
        <w:jc w:val="both"/>
        <w:rPr>
          <w:rFonts w:ascii="Times New Roman" w:hAnsi="Times New Roman" w:cs="Times New Roman"/>
          <w:sz w:val="24"/>
          <w:szCs w:val="28"/>
        </w:rPr>
      </w:pPr>
    </w:p>
    <w:p w:rsidR="007457C9" w:rsidRPr="000B45B9" w:rsidP="007457C9" w14:paraId="63A78A2D" w14:textId="77777777">
      <w:pPr>
        <w:spacing w:after="0" w:line="240" w:lineRule="auto"/>
        <w:ind w:firstLine="397"/>
        <w:jc w:val="both"/>
        <w:rPr>
          <w:rFonts w:ascii="Times New Roman" w:hAnsi="Times New Roman" w:cs="Times New Roman"/>
          <w:sz w:val="24"/>
          <w:szCs w:val="28"/>
        </w:rPr>
      </w:pPr>
      <w:r w:rsidRPr="000B45B9">
        <w:rPr>
          <w:rFonts w:ascii="Times New Roman" w:hAnsi="Times New Roman" w:cs="Times New Roman"/>
          <w:sz w:val="24"/>
          <w:szCs w:val="28"/>
        </w:rPr>
        <w:t>Iesniedzējs:</w:t>
      </w:r>
    </w:p>
    <w:p w:rsidR="007457C9" w:rsidRPr="000B45B9" w:rsidP="007457C9" w14:paraId="2D6CDCCE" w14:textId="77777777">
      <w:pPr>
        <w:spacing w:after="0" w:line="240" w:lineRule="auto"/>
        <w:ind w:firstLine="397"/>
        <w:jc w:val="both"/>
        <w:rPr>
          <w:rFonts w:ascii="Times New Roman" w:hAnsi="Times New Roman" w:cs="Times New Roman"/>
          <w:sz w:val="24"/>
          <w:szCs w:val="28"/>
        </w:rPr>
      </w:pPr>
      <w:r w:rsidRPr="000B45B9">
        <w:rPr>
          <w:rFonts w:ascii="Times New Roman" w:hAnsi="Times New Roman" w:cs="Times New Roman"/>
          <w:sz w:val="24"/>
          <w:szCs w:val="28"/>
        </w:rPr>
        <w:t>Izglītības un zinātnes ministrs</w:t>
      </w:r>
      <w:r w:rsidRPr="000B45B9">
        <w:rPr>
          <w:rFonts w:ascii="Times New Roman" w:hAnsi="Times New Roman" w:cs="Times New Roman"/>
          <w:sz w:val="24"/>
          <w:szCs w:val="28"/>
        </w:rPr>
        <w:tab/>
      </w:r>
      <w:r w:rsidRPr="000B45B9">
        <w:rPr>
          <w:rFonts w:ascii="Times New Roman" w:hAnsi="Times New Roman" w:cs="Times New Roman"/>
          <w:sz w:val="24"/>
          <w:szCs w:val="28"/>
        </w:rPr>
        <w:tab/>
      </w:r>
      <w:r w:rsidRPr="000B45B9">
        <w:rPr>
          <w:rFonts w:ascii="Times New Roman" w:hAnsi="Times New Roman" w:cs="Times New Roman"/>
          <w:sz w:val="24"/>
          <w:szCs w:val="28"/>
        </w:rPr>
        <w:tab/>
        <w:t xml:space="preserve"> </w:t>
      </w:r>
      <w:r w:rsidRPr="000B45B9">
        <w:rPr>
          <w:rFonts w:ascii="Times New Roman" w:hAnsi="Times New Roman" w:cs="Times New Roman"/>
          <w:sz w:val="24"/>
          <w:szCs w:val="28"/>
        </w:rPr>
        <w:tab/>
        <w:t xml:space="preserve">  </w:t>
      </w:r>
      <w:r w:rsidRPr="000B45B9">
        <w:rPr>
          <w:rFonts w:ascii="Times New Roman" w:hAnsi="Times New Roman" w:cs="Times New Roman"/>
          <w:sz w:val="24"/>
          <w:szCs w:val="28"/>
        </w:rPr>
        <w:tab/>
        <w:t>Kārlis Šadurskis</w:t>
      </w:r>
    </w:p>
    <w:p w:rsidR="007457C9" w:rsidRPr="000B45B9" w:rsidP="007457C9" w14:paraId="445F995C" w14:textId="77777777">
      <w:pPr>
        <w:spacing w:after="0" w:line="240" w:lineRule="auto"/>
        <w:jc w:val="both"/>
        <w:rPr>
          <w:rFonts w:ascii="Times New Roman" w:hAnsi="Times New Roman" w:cs="Times New Roman"/>
          <w:sz w:val="24"/>
          <w:szCs w:val="28"/>
        </w:rPr>
      </w:pPr>
    </w:p>
    <w:p w:rsidR="007457C9" w:rsidRPr="000B45B9" w:rsidP="007457C9" w14:paraId="228B460D" w14:textId="77777777">
      <w:pPr>
        <w:spacing w:after="0" w:line="240" w:lineRule="auto"/>
        <w:jc w:val="center"/>
        <w:rPr>
          <w:rFonts w:ascii="Times New Roman" w:hAnsi="Times New Roman" w:cs="Times New Roman"/>
          <w:sz w:val="24"/>
          <w:szCs w:val="28"/>
        </w:rPr>
      </w:pPr>
    </w:p>
    <w:p w:rsidR="007457C9" w:rsidRPr="000B45B9" w:rsidP="007457C9" w14:paraId="540B1C37" w14:textId="77777777">
      <w:pPr>
        <w:spacing w:after="0" w:line="240" w:lineRule="auto"/>
        <w:ind w:firstLine="397"/>
        <w:jc w:val="both"/>
        <w:rPr>
          <w:rFonts w:ascii="Times New Roman" w:hAnsi="Times New Roman" w:cs="Times New Roman"/>
          <w:sz w:val="24"/>
          <w:szCs w:val="28"/>
        </w:rPr>
      </w:pPr>
      <w:r w:rsidRPr="000B45B9">
        <w:rPr>
          <w:rFonts w:ascii="Times New Roman" w:hAnsi="Times New Roman" w:cs="Times New Roman"/>
          <w:sz w:val="24"/>
          <w:szCs w:val="28"/>
        </w:rPr>
        <w:t xml:space="preserve">Vīza: </w:t>
      </w:r>
    </w:p>
    <w:p w:rsidR="007457C9" w:rsidRPr="000B45B9" w:rsidP="007457C9" w14:paraId="49464C5C" w14:textId="77777777">
      <w:pPr>
        <w:spacing w:after="0" w:line="240" w:lineRule="auto"/>
        <w:ind w:firstLine="397"/>
        <w:jc w:val="both"/>
        <w:rPr>
          <w:rFonts w:ascii="Times New Roman" w:hAnsi="Times New Roman" w:cs="Times New Roman"/>
          <w:sz w:val="24"/>
          <w:szCs w:val="28"/>
        </w:rPr>
      </w:pPr>
      <w:r w:rsidRPr="000B45B9">
        <w:rPr>
          <w:rFonts w:ascii="Times New Roman" w:hAnsi="Times New Roman" w:cs="Times New Roman"/>
          <w:sz w:val="24"/>
          <w:szCs w:val="28"/>
        </w:rPr>
        <w:t xml:space="preserve">Valsts sekretāre </w:t>
      </w:r>
      <w:r w:rsidRPr="000B45B9">
        <w:rPr>
          <w:rFonts w:ascii="Times New Roman" w:hAnsi="Times New Roman" w:cs="Times New Roman"/>
          <w:sz w:val="24"/>
          <w:szCs w:val="28"/>
        </w:rPr>
        <w:tab/>
      </w:r>
      <w:r w:rsidRPr="000B45B9">
        <w:rPr>
          <w:rFonts w:ascii="Times New Roman" w:hAnsi="Times New Roman" w:cs="Times New Roman"/>
          <w:sz w:val="24"/>
          <w:szCs w:val="28"/>
        </w:rPr>
        <w:tab/>
      </w:r>
      <w:r w:rsidRPr="000B45B9">
        <w:rPr>
          <w:rFonts w:ascii="Times New Roman" w:hAnsi="Times New Roman" w:cs="Times New Roman"/>
          <w:sz w:val="24"/>
          <w:szCs w:val="28"/>
        </w:rPr>
        <w:tab/>
      </w:r>
      <w:r w:rsidRPr="000B45B9">
        <w:rPr>
          <w:rFonts w:ascii="Times New Roman" w:hAnsi="Times New Roman" w:cs="Times New Roman"/>
          <w:sz w:val="24"/>
          <w:szCs w:val="28"/>
        </w:rPr>
        <w:tab/>
      </w:r>
      <w:r w:rsidRPr="000B45B9">
        <w:rPr>
          <w:rFonts w:ascii="Times New Roman" w:hAnsi="Times New Roman" w:cs="Times New Roman"/>
          <w:sz w:val="24"/>
          <w:szCs w:val="28"/>
        </w:rPr>
        <w:tab/>
        <w:t xml:space="preserve"> </w:t>
      </w:r>
      <w:r w:rsidRPr="000B45B9">
        <w:rPr>
          <w:rFonts w:ascii="Times New Roman" w:hAnsi="Times New Roman" w:cs="Times New Roman"/>
          <w:sz w:val="24"/>
          <w:szCs w:val="28"/>
        </w:rPr>
        <w:tab/>
      </w:r>
      <w:r w:rsidRPr="000B45B9">
        <w:rPr>
          <w:rFonts w:ascii="Times New Roman" w:hAnsi="Times New Roman" w:cs="Times New Roman"/>
          <w:sz w:val="24"/>
          <w:szCs w:val="28"/>
        </w:rPr>
        <w:tab/>
        <w:t>Līga Lejiņa</w:t>
      </w:r>
    </w:p>
    <w:p w:rsidR="007457C9" w:rsidP="007457C9" w14:paraId="28EC5238" w14:textId="77777777">
      <w:pPr>
        <w:spacing w:after="0" w:line="276" w:lineRule="auto"/>
        <w:ind w:firstLine="567"/>
        <w:jc w:val="both"/>
        <w:rPr>
          <w:sz w:val="24"/>
          <w:szCs w:val="24"/>
        </w:rPr>
      </w:pPr>
    </w:p>
    <w:p w:rsidR="007457C9" w:rsidRPr="00616408" w:rsidP="007457C9" w14:paraId="0D1AFE4C" w14:textId="77777777">
      <w:pPr>
        <w:spacing w:after="0" w:line="276" w:lineRule="auto"/>
        <w:jc w:val="both"/>
        <w:rPr>
          <w:rFonts w:ascii="Times New Roman" w:hAnsi="Times New Roman" w:cs="Times New Roman"/>
          <w:sz w:val="20"/>
          <w:szCs w:val="20"/>
        </w:rPr>
      </w:pPr>
    </w:p>
    <w:p w:rsidR="007457C9" w:rsidRPr="00616408" w:rsidP="007457C9" w14:paraId="5F9A55D1" w14:textId="77777777">
      <w:pPr>
        <w:spacing w:after="0" w:line="240" w:lineRule="auto"/>
        <w:jc w:val="both"/>
        <w:rPr>
          <w:rFonts w:ascii="Times New Roman" w:hAnsi="Times New Roman" w:cs="Times New Roman"/>
          <w:sz w:val="20"/>
          <w:szCs w:val="20"/>
        </w:rPr>
      </w:pPr>
      <w:r w:rsidRPr="00616408">
        <w:rPr>
          <w:rFonts w:ascii="Times New Roman" w:hAnsi="Times New Roman" w:cs="Times New Roman"/>
          <w:sz w:val="20"/>
          <w:szCs w:val="20"/>
        </w:rPr>
        <w:t>K. Krumberga, 67047981</w:t>
      </w:r>
    </w:p>
    <w:p w:rsidR="00616408" w:rsidRPr="007457C9" w:rsidP="007457C9" w14:paraId="0BEEC04F" w14:textId="2F0D6F8C">
      <w:pPr>
        <w:spacing w:after="0" w:line="240" w:lineRule="auto"/>
        <w:jc w:val="both"/>
        <w:rPr>
          <w:rFonts w:ascii="Times New Roman" w:hAnsi="Times New Roman" w:cs="Times New Roman"/>
          <w:sz w:val="20"/>
          <w:szCs w:val="20"/>
        </w:rPr>
      </w:pPr>
      <w:r w:rsidRPr="00616408">
        <w:rPr>
          <w:rFonts w:ascii="Times New Roman" w:hAnsi="Times New Roman" w:cs="Times New Roman"/>
          <w:sz w:val="20"/>
          <w:szCs w:val="20"/>
        </w:rPr>
        <w:t>Kristine.Krumberga@izm.gov.lv</w:t>
      </w:r>
      <w:bookmarkStart w:id="0" w:name="_GoBack"/>
      <w:bookmarkEnd w:id="0"/>
    </w:p>
    <w:sectPr w:rsidSect="007457C9">
      <w:headerReference w:type="default" r:id="rId6"/>
      <w:footerReference w:type="default" r:id="rId7"/>
      <w:pgSz w:w="11906" w:h="16838"/>
      <w:pgMar w:top="1134"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7DA" w14:paraId="1A9293A6" w14:textId="2A2B6F98">
    <w:pPr>
      <w:pStyle w:val="Footer"/>
      <w:jc w:val="center"/>
    </w:pPr>
  </w:p>
  <w:p w:rsidR="003337DA" w14:paraId="0436F6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59E0" w:rsidP="006C170D" w14:paraId="2ABFB592" w14:textId="77777777">
      <w:pPr>
        <w:spacing w:after="0" w:line="240" w:lineRule="auto"/>
      </w:pPr>
      <w:r>
        <w:separator/>
      </w:r>
    </w:p>
  </w:footnote>
  <w:footnote w:type="continuationSeparator" w:id="1">
    <w:p w:rsidR="007659E0" w:rsidP="006C170D" w14:paraId="40B10DE1" w14:textId="77777777">
      <w:pPr>
        <w:spacing w:after="0" w:line="240" w:lineRule="auto"/>
      </w:pPr>
      <w:r>
        <w:continuationSeparator/>
      </w:r>
    </w:p>
  </w:footnote>
  <w:footnote w:type="continuationNotice" w:id="2">
    <w:p w:rsidR="007659E0" w14:paraId="18276D57" w14:textId="77777777">
      <w:pPr>
        <w:spacing w:after="0" w:line="240" w:lineRule="auto"/>
      </w:pPr>
    </w:p>
  </w:footnote>
  <w:footnote w:id="3">
    <w:p w:rsidR="007457C9" w:rsidRPr="00B24501" w:rsidP="007457C9" w14:paraId="757CC1C0" w14:textId="77777777">
      <w:pPr>
        <w:pStyle w:val="FootnoteText"/>
      </w:pPr>
      <w:r w:rsidRPr="00B24501">
        <w:rPr>
          <w:rStyle w:val="FootnoteReference"/>
        </w:rPr>
        <w:footnoteRef/>
      </w:r>
      <w:r w:rsidRPr="00B24501">
        <w:t xml:space="preserve"> Pieņemti </w:t>
      </w:r>
      <w:r>
        <w:t xml:space="preserve">par augstāko izglītību atbildīgo </w:t>
      </w:r>
      <w:r w:rsidRPr="00B24501">
        <w:t>ministru samitā, 2005.gadā, Bergenā, Norvēģijā un tos izstrādāja darba grupa, kuras sastāvā ir pārstāvji no Eiropas asociācijas kvalitātes nodrošināšanai augstākajā izglītībā (ENQA), Eiropas studentu apvienības (ESU), Eiropas universitāšu asociācijas (EUA), Eiropas augstākās izglītības institūciju asociācijas (EURASHE)</w:t>
      </w:r>
      <w:r>
        <w:t xml:space="preserve">. Dokuments pieejams: </w:t>
      </w:r>
      <w:r w:rsidRPr="00EA4E86">
        <w:t>http://www.enqa.eu/wp-content/uploads/2013/06/ESG_3edition-2.pdf</w:t>
      </w:r>
    </w:p>
  </w:footnote>
  <w:footnote w:id="4">
    <w:p w:rsidR="007457C9" w:rsidP="007457C9" w14:paraId="4E21D95C" w14:textId="77777777">
      <w:pPr>
        <w:pStyle w:val="FootnoteText"/>
      </w:pPr>
      <w:r w:rsidRPr="0033312F">
        <w:rPr>
          <w:rStyle w:val="FootnoteReference"/>
        </w:rPr>
        <w:footnoteRef/>
      </w:r>
      <w:r w:rsidRPr="0033312F">
        <w:t xml:space="preserve"> </w:t>
      </w:r>
      <w:r w:rsidRPr="0033312F">
        <w:rPr>
          <w:lang w:val="en-US"/>
        </w:rPr>
        <w:t>Report of the Panel of the external review of</w:t>
      </w:r>
      <w:r w:rsidRPr="0033312F">
        <w:t xml:space="preserve"> </w:t>
      </w:r>
      <w:r w:rsidRPr="0033312F">
        <w:rPr>
          <w:lang w:val="en-US"/>
        </w:rPr>
        <w:t>Latvian Foundation “</w:t>
      </w:r>
      <w:r w:rsidRPr="0033312F">
        <w:t>HIGHER EDUCATION QUALITY EVALUATION CENTRE” (AIKNC): http://www.aiknc.lv/lv/kopmat/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05488148"/>
      <w:docPartObj>
        <w:docPartGallery w:val="Page Numbers (Top of Page)"/>
        <w:docPartUnique/>
      </w:docPartObj>
    </w:sdtPr>
    <w:sdtEndPr>
      <w:rPr>
        <w:rFonts w:ascii="Times New Roman" w:hAnsi="Times New Roman" w:cs="Times New Roman"/>
        <w:noProof/>
        <w:sz w:val="24"/>
        <w:szCs w:val="24"/>
      </w:rPr>
    </w:sdtEndPr>
    <w:sdtContent>
      <w:p w:rsidR="00924187" w:rsidRPr="00924187" w14:paraId="29A0E263" w14:textId="2126BAA0">
        <w:pPr>
          <w:pStyle w:val="Header"/>
          <w:jc w:val="center"/>
          <w:rPr>
            <w:rFonts w:ascii="Times New Roman" w:hAnsi="Times New Roman" w:cs="Times New Roman"/>
            <w:sz w:val="24"/>
            <w:szCs w:val="24"/>
          </w:rPr>
        </w:pPr>
        <w:r w:rsidRPr="00924187">
          <w:rPr>
            <w:rFonts w:ascii="Times New Roman" w:hAnsi="Times New Roman" w:cs="Times New Roman"/>
            <w:sz w:val="24"/>
            <w:szCs w:val="24"/>
          </w:rPr>
          <w:fldChar w:fldCharType="begin"/>
        </w:r>
        <w:r w:rsidRPr="00924187">
          <w:rPr>
            <w:rFonts w:ascii="Times New Roman" w:hAnsi="Times New Roman" w:cs="Times New Roman"/>
            <w:sz w:val="24"/>
            <w:szCs w:val="24"/>
          </w:rPr>
          <w:instrText xml:space="preserve"> PAGE   \* MERGEFORMAT </w:instrText>
        </w:r>
        <w:r w:rsidRPr="00924187">
          <w:rPr>
            <w:rFonts w:ascii="Times New Roman" w:hAnsi="Times New Roman" w:cs="Times New Roman"/>
            <w:sz w:val="24"/>
            <w:szCs w:val="24"/>
          </w:rPr>
          <w:fldChar w:fldCharType="separate"/>
        </w:r>
        <w:r w:rsidR="007457C9">
          <w:rPr>
            <w:rFonts w:ascii="Times New Roman" w:hAnsi="Times New Roman" w:cs="Times New Roman"/>
            <w:noProof/>
            <w:sz w:val="24"/>
            <w:szCs w:val="24"/>
          </w:rPr>
          <w:t>2</w:t>
        </w:r>
        <w:r w:rsidRPr="00924187">
          <w:rPr>
            <w:rFonts w:ascii="Times New Roman" w:hAnsi="Times New Roman" w:cs="Times New Roman"/>
            <w:noProof/>
            <w:sz w:val="24"/>
            <w:szCs w:val="24"/>
          </w:rPr>
          <w:fldChar w:fldCharType="end"/>
        </w:r>
      </w:p>
    </w:sdtContent>
  </w:sdt>
  <w:p w:rsidR="00A446F5" w:rsidRPr="00A446F5" w:rsidP="00A446F5" w14:paraId="56C36585" w14:textId="09C41A47">
    <w:pPr>
      <w:pStyle w:val="Header"/>
      <w:jc w:val="right"/>
      <w:rPr>
        <w:rFonts w:ascii="Times New Roman" w:hAnsi="Times New Roman" w:cs="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9955FE"/>
    <w:multiLevelType w:val="hybridMultilevel"/>
    <w:tmpl w:val="E7C62C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67456EA"/>
    <w:multiLevelType w:val="hybridMultilevel"/>
    <w:tmpl w:val="6A40AA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69A079A3"/>
    <w:multiLevelType w:val="hybridMultilevel"/>
    <w:tmpl w:val="7C7AF6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2B"/>
    <w:rsid w:val="0003183B"/>
    <w:rsid w:val="00041306"/>
    <w:rsid w:val="000A598D"/>
    <w:rsid w:val="000B4329"/>
    <w:rsid w:val="000B45B9"/>
    <w:rsid w:val="000C1DF3"/>
    <w:rsid w:val="000D0348"/>
    <w:rsid w:val="00135E4C"/>
    <w:rsid w:val="00136500"/>
    <w:rsid w:val="0013768A"/>
    <w:rsid w:val="00195F59"/>
    <w:rsid w:val="00196B55"/>
    <w:rsid w:val="001D4BB0"/>
    <w:rsid w:val="001D7E0B"/>
    <w:rsid w:val="002054B5"/>
    <w:rsid w:val="00211A3D"/>
    <w:rsid w:val="00217951"/>
    <w:rsid w:val="002317B1"/>
    <w:rsid w:val="00250934"/>
    <w:rsid w:val="00253943"/>
    <w:rsid w:val="0026596F"/>
    <w:rsid w:val="00271BFF"/>
    <w:rsid w:val="002871E1"/>
    <w:rsid w:val="002E57C5"/>
    <w:rsid w:val="00312EE5"/>
    <w:rsid w:val="00317340"/>
    <w:rsid w:val="00320A30"/>
    <w:rsid w:val="00321E9E"/>
    <w:rsid w:val="00326F4B"/>
    <w:rsid w:val="0033312F"/>
    <w:rsid w:val="003337DA"/>
    <w:rsid w:val="00336867"/>
    <w:rsid w:val="00350827"/>
    <w:rsid w:val="0036228F"/>
    <w:rsid w:val="00362F9D"/>
    <w:rsid w:val="003751CB"/>
    <w:rsid w:val="003D401E"/>
    <w:rsid w:val="003D5F58"/>
    <w:rsid w:val="004015E8"/>
    <w:rsid w:val="00415879"/>
    <w:rsid w:val="004644BC"/>
    <w:rsid w:val="004737F9"/>
    <w:rsid w:val="004803A9"/>
    <w:rsid w:val="004B4964"/>
    <w:rsid w:val="004B7EAB"/>
    <w:rsid w:val="00537D02"/>
    <w:rsid w:val="00551BA5"/>
    <w:rsid w:val="00555A59"/>
    <w:rsid w:val="00564297"/>
    <w:rsid w:val="005743EE"/>
    <w:rsid w:val="0059349F"/>
    <w:rsid w:val="005B75F5"/>
    <w:rsid w:val="005C43E1"/>
    <w:rsid w:val="005E5E14"/>
    <w:rsid w:val="005F5BAA"/>
    <w:rsid w:val="00616408"/>
    <w:rsid w:val="00645B8E"/>
    <w:rsid w:val="00660828"/>
    <w:rsid w:val="006632CB"/>
    <w:rsid w:val="0068204E"/>
    <w:rsid w:val="006B655F"/>
    <w:rsid w:val="006C170D"/>
    <w:rsid w:val="006D2A01"/>
    <w:rsid w:val="006D439B"/>
    <w:rsid w:val="006F7A5B"/>
    <w:rsid w:val="00713EF6"/>
    <w:rsid w:val="00716BEE"/>
    <w:rsid w:val="00745640"/>
    <w:rsid w:val="007457C9"/>
    <w:rsid w:val="00755619"/>
    <w:rsid w:val="007659E0"/>
    <w:rsid w:val="00777E81"/>
    <w:rsid w:val="00786971"/>
    <w:rsid w:val="007B1E46"/>
    <w:rsid w:val="007C70AA"/>
    <w:rsid w:val="007F78D0"/>
    <w:rsid w:val="00814818"/>
    <w:rsid w:val="008420A0"/>
    <w:rsid w:val="00861E0F"/>
    <w:rsid w:val="008778A2"/>
    <w:rsid w:val="00882501"/>
    <w:rsid w:val="00887719"/>
    <w:rsid w:val="0089564B"/>
    <w:rsid w:val="008A63A5"/>
    <w:rsid w:val="008C762B"/>
    <w:rsid w:val="008D0C8C"/>
    <w:rsid w:val="008D379A"/>
    <w:rsid w:val="008E5538"/>
    <w:rsid w:val="008F544A"/>
    <w:rsid w:val="008F6C67"/>
    <w:rsid w:val="00924187"/>
    <w:rsid w:val="00930218"/>
    <w:rsid w:val="009323B8"/>
    <w:rsid w:val="00942327"/>
    <w:rsid w:val="00965209"/>
    <w:rsid w:val="0098348B"/>
    <w:rsid w:val="0099208E"/>
    <w:rsid w:val="0099473F"/>
    <w:rsid w:val="009A0AED"/>
    <w:rsid w:val="009A6736"/>
    <w:rsid w:val="009A73BB"/>
    <w:rsid w:val="009B213D"/>
    <w:rsid w:val="009C2E90"/>
    <w:rsid w:val="009C7367"/>
    <w:rsid w:val="009D6742"/>
    <w:rsid w:val="009E6569"/>
    <w:rsid w:val="009F0535"/>
    <w:rsid w:val="009F1491"/>
    <w:rsid w:val="00A2563E"/>
    <w:rsid w:val="00A446F5"/>
    <w:rsid w:val="00A4609E"/>
    <w:rsid w:val="00A463D2"/>
    <w:rsid w:val="00A63368"/>
    <w:rsid w:val="00A64128"/>
    <w:rsid w:val="00A66BD8"/>
    <w:rsid w:val="00A804E3"/>
    <w:rsid w:val="00A92543"/>
    <w:rsid w:val="00A96550"/>
    <w:rsid w:val="00AA774F"/>
    <w:rsid w:val="00AF6251"/>
    <w:rsid w:val="00B03CD6"/>
    <w:rsid w:val="00B14900"/>
    <w:rsid w:val="00B24501"/>
    <w:rsid w:val="00B307CF"/>
    <w:rsid w:val="00B334E3"/>
    <w:rsid w:val="00B34C4D"/>
    <w:rsid w:val="00B46F0B"/>
    <w:rsid w:val="00B97DEC"/>
    <w:rsid w:val="00BC65E8"/>
    <w:rsid w:val="00BD102E"/>
    <w:rsid w:val="00BF0006"/>
    <w:rsid w:val="00BF782E"/>
    <w:rsid w:val="00BF7DBB"/>
    <w:rsid w:val="00C000FF"/>
    <w:rsid w:val="00C0702B"/>
    <w:rsid w:val="00C12DE7"/>
    <w:rsid w:val="00C24980"/>
    <w:rsid w:val="00C37F5C"/>
    <w:rsid w:val="00C40984"/>
    <w:rsid w:val="00C50BEB"/>
    <w:rsid w:val="00C94C24"/>
    <w:rsid w:val="00CD3AC5"/>
    <w:rsid w:val="00D05F51"/>
    <w:rsid w:val="00D128DC"/>
    <w:rsid w:val="00D165E1"/>
    <w:rsid w:val="00D26B0D"/>
    <w:rsid w:val="00D73A4C"/>
    <w:rsid w:val="00D97BE7"/>
    <w:rsid w:val="00DA3551"/>
    <w:rsid w:val="00DC0422"/>
    <w:rsid w:val="00DE7D0A"/>
    <w:rsid w:val="00DE7E26"/>
    <w:rsid w:val="00E05891"/>
    <w:rsid w:val="00E1142A"/>
    <w:rsid w:val="00E37EBE"/>
    <w:rsid w:val="00E57F5D"/>
    <w:rsid w:val="00E67BC1"/>
    <w:rsid w:val="00E83D30"/>
    <w:rsid w:val="00E903E5"/>
    <w:rsid w:val="00EA18B6"/>
    <w:rsid w:val="00EA4E86"/>
    <w:rsid w:val="00EC4438"/>
    <w:rsid w:val="00EC609C"/>
    <w:rsid w:val="00ED1328"/>
    <w:rsid w:val="00ED403B"/>
    <w:rsid w:val="00EE0F88"/>
    <w:rsid w:val="00F815FD"/>
    <w:rsid w:val="00F93686"/>
    <w:rsid w:val="00F9447B"/>
    <w:rsid w:val="00FA5635"/>
    <w:rsid w:val="00FA6DCD"/>
    <w:rsid w:val="00FB446F"/>
    <w:rsid w:val="00FB7495"/>
    <w:rsid w:val="00FD218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FABA5DC9-DD58-43AA-BB19-64E8C66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E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6C170D"/>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Char Char,Char Rakstz. Rakstz. Rakstz. Rakstz. Rakstz. Rakstz. Char,Char Rakstz. Rakstz. Rakstz. Rakstz. Rakstz. Rakstz. Rakstz. Char,Footnote Char,Fußnote Char,single spa Char"/>
    <w:basedOn w:val="DefaultParagraphFont"/>
    <w:link w:val="FootnoteText"/>
    <w:uiPriority w:val="99"/>
    <w:rsid w:val="006C170D"/>
    <w:rPr>
      <w:rFonts w:ascii="Times New Roman" w:eastAsia="Times New Roman" w:hAnsi="Times New Roman"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rsid w:val="006C170D"/>
    <w:rPr>
      <w:rFonts w:ascii="Times New Roman" w:hAnsi="Times New Roman"/>
      <w:vertAlign w:val="superscript"/>
    </w:rPr>
  </w:style>
  <w:style w:type="paragraph" w:customStyle="1" w:styleId="CharCharCharChar">
    <w:name w:val="Char Char Char Char"/>
    <w:aliases w:val="Char2"/>
    <w:basedOn w:val="Normal"/>
    <w:next w:val="Normal"/>
    <w:link w:val="FootnoteReference"/>
    <w:uiPriority w:val="99"/>
    <w:rsid w:val="006C170D"/>
    <w:pPr>
      <w:spacing w:line="240" w:lineRule="exact"/>
      <w:jc w:val="both"/>
      <w:textAlignment w:val="baseline"/>
    </w:pPr>
    <w:rPr>
      <w:rFonts w:ascii="Times New Roman" w:hAnsi="Times New Roman"/>
      <w:vertAlign w:val="superscript"/>
    </w:rPr>
  </w:style>
  <w:style w:type="paragraph" w:styleId="ListParagraph">
    <w:name w:val="List Paragraph"/>
    <w:basedOn w:val="Normal"/>
    <w:uiPriority w:val="34"/>
    <w:qFormat/>
    <w:rsid w:val="007C70AA"/>
    <w:pPr>
      <w:spacing w:after="0" w:line="240" w:lineRule="auto"/>
      <w:ind w:left="720"/>
      <w:contextualSpacing/>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337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37DA"/>
  </w:style>
  <w:style w:type="paragraph" w:styleId="Footer">
    <w:name w:val="footer"/>
    <w:basedOn w:val="Normal"/>
    <w:link w:val="FooterChar"/>
    <w:uiPriority w:val="99"/>
    <w:unhideWhenUsed/>
    <w:rsid w:val="003337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37DA"/>
  </w:style>
  <w:style w:type="paragraph" w:styleId="BalloonText">
    <w:name w:val="Balloon Text"/>
    <w:basedOn w:val="Normal"/>
    <w:link w:val="BalloonTextChar"/>
    <w:uiPriority w:val="99"/>
    <w:semiHidden/>
    <w:unhideWhenUsed/>
    <w:rsid w:val="00682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04E"/>
    <w:rPr>
      <w:rFonts w:ascii="Segoe UI" w:hAnsi="Segoe UI" w:cs="Segoe UI"/>
      <w:sz w:val="18"/>
      <w:szCs w:val="18"/>
    </w:rPr>
  </w:style>
  <w:style w:type="character" w:styleId="CommentReference">
    <w:name w:val="annotation reference"/>
    <w:basedOn w:val="DefaultParagraphFont"/>
    <w:uiPriority w:val="99"/>
    <w:semiHidden/>
    <w:unhideWhenUsed/>
    <w:rsid w:val="00C24980"/>
    <w:rPr>
      <w:sz w:val="16"/>
      <w:szCs w:val="16"/>
    </w:rPr>
  </w:style>
  <w:style w:type="paragraph" w:styleId="CommentText">
    <w:name w:val="annotation text"/>
    <w:basedOn w:val="Normal"/>
    <w:link w:val="CommentTextChar"/>
    <w:uiPriority w:val="99"/>
    <w:unhideWhenUsed/>
    <w:rsid w:val="00C24980"/>
    <w:pPr>
      <w:spacing w:line="240" w:lineRule="auto"/>
    </w:pPr>
    <w:rPr>
      <w:sz w:val="20"/>
      <w:szCs w:val="20"/>
    </w:rPr>
  </w:style>
  <w:style w:type="character" w:customStyle="1" w:styleId="CommentTextChar">
    <w:name w:val="Comment Text Char"/>
    <w:basedOn w:val="DefaultParagraphFont"/>
    <w:link w:val="CommentText"/>
    <w:uiPriority w:val="99"/>
    <w:rsid w:val="00C24980"/>
    <w:rPr>
      <w:sz w:val="20"/>
      <w:szCs w:val="20"/>
    </w:rPr>
  </w:style>
  <w:style w:type="paragraph" w:styleId="CommentSubject">
    <w:name w:val="annotation subject"/>
    <w:basedOn w:val="CommentText"/>
    <w:next w:val="CommentText"/>
    <w:link w:val="CommentSubjectChar"/>
    <w:uiPriority w:val="99"/>
    <w:semiHidden/>
    <w:unhideWhenUsed/>
    <w:rsid w:val="00C24980"/>
    <w:rPr>
      <w:b/>
      <w:bCs/>
    </w:rPr>
  </w:style>
  <w:style w:type="character" w:customStyle="1" w:styleId="CommentSubjectChar">
    <w:name w:val="Comment Subject Char"/>
    <w:basedOn w:val="CommentTextChar"/>
    <w:link w:val="CommentSubject"/>
    <w:uiPriority w:val="99"/>
    <w:semiHidden/>
    <w:rsid w:val="00C24980"/>
    <w:rPr>
      <w:b/>
      <w:bCs/>
      <w:sz w:val="20"/>
      <w:szCs w:val="20"/>
    </w:rPr>
  </w:style>
  <w:style w:type="paragraph" w:styleId="Revision">
    <w:name w:val="Revision"/>
    <w:hidden/>
    <w:uiPriority w:val="99"/>
    <w:semiHidden/>
    <w:rsid w:val="001376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E088B-D4C6-4DAA-9091-FCF9AAA4B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4517</Words>
  <Characters>2575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Krumberga</dc:creator>
  <cp:lastModifiedBy>Kristīne Krumberga</cp:lastModifiedBy>
  <cp:revision>36</cp:revision>
  <cp:lastPrinted>2017-10-17T11:56:00Z</cp:lastPrinted>
  <dcterms:created xsi:type="dcterms:W3CDTF">2017-10-27T08:03:00Z</dcterms:created>
  <dcterms:modified xsi:type="dcterms:W3CDTF">2018-02-28T11:56:00Z</dcterms:modified>
</cp:coreProperties>
</file>