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FD" w:rsidRPr="00796E81" w:rsidRDefault="005E59FD" w:rsidP="00A0648A">
      <w:pPr>
        <w:spacing w:before="240"/>
        <w:jc w:val="center"/>
        <w:rPr>
          <w:b/>
        </w:rPr>
      </w:pPr>
      <w:bookmarkStart w:id="0" w:name="_GoBack"/>
      <w:bookmarkEnd w:id="0"/>
      <w:r w:rsidRPr="00796E81">
        <w:rPr>
          <w:b/>
        </w:rPr>
        <w:t>INFORMATĪVAIS ZIŅOJUMS</w:t>
      </w:r>
    </w:p>
    <w:p w:rsidR="005E59FD" w:rsidRPr="00796E81" w:rsidRDefault="005E59FD" w:rsidP="00A418B3">
      <w:pPr>
        <w:pStyle w:val="BodyText"/>
        <w:rPr>
          <w:szCs w:val="24"/>
        </w:rPr>
      </w:pPr>
      <w:r w:rsidRPr="00796E81">
        <w:rPr>
          <w:szCs w:val="24"/>
        </w:rPr>
        <w:t xml:space="preserve">par Eiropas Savienības Konkurētspējas </w:t>
      </w:r>
      <w:r w:rsidR="002D3677" w:rsidRPr="00796E81">
        <w:rPr>
          <w:szCs w:val="24"/>
        </w:rPr>
        <w:t>ministru padomes 201</w:t>
      </w:r>
      <w:r w:rsidR="00CE119F">
        <w:rPr>
          <w:szCs w:val="24"/>
        </w:rPr>
        <w:t>8</w:t>
      </w:r>
      <w:r w:rsidR="002D3677" w:rsidRPr="00796E81">
        <w:rPr>
          <w:szCs w:val="24"/>
        </w:rPr>
        <w:t xml:space="preserve">. gada </w:t>
      </w:r>
      <w:r w:rsidR="00CE119F">
        <w:rPr>
          <w:szCs w:val="24"/>
        </w:rPr>
        <w:t>12</w:t>
      </w:r>
      <w:r w:rsidR="00BC7469" w:rsidRPr="00796E81">
        <w:rPr>
          <w:szCs w:val="24"/>
        </w:rPr>
        <w:t>.</w:t>
      </w:r>
      <w:r w:rsidR="00CE119F">
        <w:rPr>
          <w:szCs w:val="24"/>
        </w:rPr>
        <w:t>marta</w:t>
      </w:r>
      <w:r w:rsidRPr="00796E81">
        <w:rPr>
          <w:szCs w:val="24"/>
        </w:rPr>
        <w:t xml:space="preserve"> sanāksmē izskatāmajiem jautājumiem</w:t>
      </w:r>
    </w:p>
    <w:p w:rsidR="005E59FD" w:rsidRDefault="002D3677" w:rsidP="005E59FD">
      <w:pPr>
        <w:keepNext/>
        <w:keepLines/>
      </w:pPr>
      <w:r w:rsidRPr="00796E81">
        <w:t>201</w:t>
      </w:r>
      <w:r w:rsidR="00CE119F">
        <w:t>8</w:t>
      </w:r>
      <w:r w:rsidRPr="00796E81">
        <w:t xml:space="preserve">. gada </w:t>
      </w:r>
      <w:r w:rsidR="00CE119F">
        <w:t>12.martā</w:t>
      </w:r>
      <w:r w:rsidR="005E59FD" w:rsidRPr="00796E81">
        <w:t xml:space="preserve"> Briselē (Beļģijā) notiks kārtējā Eiropas Savienības (turpmāk – ES) Konkurētspējas ministru padomes sanāksme iekšējā tirgus un rūpniecības jautājumos. Sanāksmē tiks izskatīti šādi </w:t>
      </w:r>
      <w:r w:rsidR="00CE119F">
        <w:t xml:space="preserve">Ekonomikas ministrijas </w:t>
      </w:r>
      <w:r w:rsidR="005E59FD" w:rsidRPr="00796E81">
        <w:t>kompetencē esoši jautājumi:</w:t>
      </w:r>
    </w:p>
    <w:p w:rsidR="00393BE0" w:rsidRPr="00796E81" w:rsidRDefault="00393BE0" w:rsidP="005E59FD">
      <w:pPr>
        <w:keepNext/>
        <w:keepLines/>
      </w:pPr>
    </w:p>
    <w:p w:rsidR="004900E8" w:rsidRPr="00796E81" w:rsidRDefault="00CE119F" w:rsidP="00796E81">
      <w:pPr>
        <w:pStyle w:val="ListParagraph"/>
        <w:numPr>
          <w:ilvl w:val="0"/>
          <w:numId w:val="22"/>
        </w:numPr>
        <w:tabs>
          <w:tab w:val="left" w:pos="709"/>
        </w:tabs>
        <w:ind w:left="567" w:hanging="567"/>
        <w:rPr>
          <w:b/>
        </w:rPr>
      </w:pPr>
      <w:r>
        <w:rPr>
          <w:b/>
        </w:rPr>
        <w:t xml:space="preserve">Eiropas Semestris 2018: ES ekonomikas digitalizācija </w:t>
      </w:r>
    </w:p>
    <w:p w:rsidR="007F593C" w:rsidRPr="00796E81" w:rsidRDefault="007F593C" w:rsidP="00796E81">
      <w:pPr>
        <w:pStyle w:val="DashEqual1"/>
        <w:numPr>
          <w:ilvl w:val="0"/>
          <w:numId w:val="0"/>
        </w:numPr>
        <w:ind w:firstLine="567"/>
        <w:rPr>
          <w:i/>
          <w:lang w:val="lv-LV"/>
        </w:rPr>
      </w:pPr>
      <w:r w:rsidRPr="00796E81">
        <w:rPr>
          <w:i/>
          <w:lang w:val="lv-LV"/>
        </w:rPr>
        <w:t xml:space="preserve">= </w:t>
      </w:r>
      <w:r w:rsidR="00CE119F">
        <w:rPr>
          <w:i/>
          <w:lang w:val="lv-LV"/>
        </w:rPr>
        <w:t>Viedokļu apmaiņa</w:t>
      </w:r>
    </w:p>
    <w:p w:rsidR="003C0C79" w:rsidRDefault="003C0C79" w:rsidP="003C0C79">
      <w:pPr>
        <w:spacing w:before="120"/>
      </w:pPr>
      <w:r>
        <w:t xml:space="preserve">Eiropas Komisija (turpmāk </w:t>
      </w:r>
      <w:r w:rsidR="00AE4F2E">
        <w:t>–</w:t>
      </w:r>
      <w:r>
        <w:t xml:space="preserve"> EK) 2017.gada 16.novembrī ir publicējusi </w:t>
      </w:r>
      <w:r w:rsidR="00AE4F2E">
        <w:t xml:space="preserve">tā saukto Eiropas Semestra pakotni, kas sevī ietver </w:t>
      </w:r>
      <w:r>
        <w:t xml:space="preserve">2018.gada Izaugsmes ziņojumu </w:t>
      </w:r>
      <w:r w:rsidRPr="000E5C26">
        <w:rPr>
          <w:i/>
        </w:rPr>
        <w:t>(2018 Annual Growth Survey)</w:t>
      </w:r>
      <w:r>
        <w:t xml:space="preserve">, Priekšlikumus ES Padomes rekomendācijām par </w:t>
      </w:r>
      <w:r>
        <w:rPr>
          <w:i/>
        </w:rPr>
        <w:t>euro</w:t>
      </w:r>
      <w:r>
        <w:t xml:space="preserve"> zonas ekonomikas politiku </w:t>
      </w:r>
      <w:r>
        <w:rPr>
          <w:i/>
        </w:rPr>
        <w:t>(</w:t>
      </w:r>
      <w:r w:rsidRPr="003C0C79">
        <w:rPr>
          <w:i/>
        </w:rPr>
        <w:t>Council recommendation on the economic policy for the euro area</w:t>
      </w:r>
      <w:r>
        <w:rPr>
          <w:i/>
        </w:rPr>
        <w:t>)</w:t>
      </w:r>
      <w:r>
        <w:t xml:space="preserve">, Agrās brīdināšanas mehānisma ziņojumu </w:t>
      </w:r>
      <w:r w:rsidRPr="003C0C79">
        <w:rPr>
          <w:i/>
        </w:rPr>
        <w:t>(Alert Mechanism Report 2018</w:t>
      </w:r>
      <w:r>
        <w:rPr>
          <w:i/>
        </w:rPr>
        <w:t>),</w:t>
      </w:r>
      <w:r>
        <w:t xml:space="preserve"> Vienotu nodarbinātības ziņojumu </w:t>
      </w:r>
      <w:r w:rsidRPr="003C0C79">
        <w:rPr>
          <w:i/>
        </w:rPr>
        <w:t xml:space="preserve">(Joint Employment Report 2018), </w:t>
      </w:r>
      <w:r>
        <w:t>priekšlikumu grozījumiem Nodarbinātības politikas pamatnostādnēs</w:t>
      </w:r>
      <w:r>
        <w:rPr>
          <w:i/>
        </w:rPr>
        <w:t xml:space="preserve"> (Proposal for the Amendment of Employment Guidelines)</w:t>
      </w:r>
      <w:r>
        <w:t xml:space="preserve"> un E</w:t>
      </w:r>
      <w:r w:rsidR="002007B9">
        <w:t>K</w:t>
      </w:r>
      <w:r>
        <w:t xml:space="preserve"> novērtējumu par </w:t>
      </w:r>
      <w:r>
        <w:rPr>
          <w:i/>
        </w:rPr>
        <w:t>euro</w:t>
      </w:r>
      <w:r>
        <w:t xml:space="preserve"> zonas valstu budžeta plānu projektiem 2018.gadam </w:t>
      </w:r>
      <w:r>
        <w:rPr>
          <w:i/>
        </w:rPr>
        <w:t>(Assessment of euro area Member States' 2018 Draft Budgetary Plans)</w:t>
      </w:r>
      <w:r>
        <w:t>.</w:t>
      </w:r>
    </w:p>
    <w:p w:rsidR="003C0C79" w:rsidRDefault="003C0C79" w:rsidP="003C0C79">
      <w:pPr>
        <w:spacing w:before="120"/>
        <w:rPr>
          <w:u w:val="single"/>
        </w:rPr>
      </w:pPr>
      <w:r>
        <w:rPr>
          <w:color w:val="000000"/>
        </w:rPr>
        <w:t xml:space="preserve">Ar </w:t>
      </w:r>
      <w:r>
        <w:t>Eiropas Semestra pakotnes</w:t>
      </w:r>
      <w:r>
        <w:rPr>
          <w:color w:val="000000"/>
        </w:rPr>
        <w:t xml:space="preserve"> publicēšanu ir uzsākts 2018.gada Eiropas ekonomiskās politikas koordinācijas un uzraudzības cikls jeb Eiropas semestris, </w:t>
      </w:r>
      <w:r>
        <w:rPr>
          <w:shd w:val="clear" w:color="auto" w:fill="FFFFFF"/>
        </w:rPr>
        <w:t>kas nodrošina ES dalībvalstu ekonomikas politiku koordināciju ar nolūku veicināt izaugsmi un darbavietu izveidi.</w:t>
      </w:r>
    </w:p>
    <w:p w:rsidR="003C0C79" w:rsidRDefault="003C0C79" w:rsidP="003C0C79">
      <w:pPr>
        <w:spacing w:before="120"/>
        <w:rPr>
          <w:u w:val="single"/>
        </w:rPr>
      </w:pPr>
      <w:r>
        <w:rPr>
          <w:u w:val="single"/>
        </w:rPr>
        <w:t>2018.gada Izaugsmes ziņojums</w:t>
      </w:r>
    </w:p>
    <w:p w:rsidR="003C0C79" w:rsidRDefault="003C0C79" w:rsidP="003C0C79">
      <w:r>
        <w:rPr>
          <w:shd w:val="clear" w:color="auto" w:fill="FFFFFF"/>
        </w:rPr>
        <w:t xml:space="preserve">Ziņojumā ir apskatīta ekonomikas un sociālā situācija ES dalībvalstīs kopumā un izklāstītas svarīgākās ekonomikas un sociālās prioritātes, kurām nākamajos mēnešos būs jāpievērš ES un </w:t>
      </w:r>
      <w:r w:rsidR="0009394F">
        <w:rPr>
          <w:shd w:val="clear" w:color="auto" w:fill="FFFFFF"/>
        </w:rPr>
        <w:t xml:space="preserve">ES </w:t>
      </w:r>
      <w:r>
        <w:rPr>
          <w:shd w:val="clear" w:color="auto" w:fill="FFFFFF"/>
        </w:rPr>
        <w:t>dalībvalstu galvenā uzmanība.</w:t>
      </w:r>
      <w:r>
        <w:t xml:space="preserve">  </w:t>
      </w:r>
    </w:p>
    <w:p w:rsidR="003C0C79" w:rsidRDefault="003C0C79" w:rsidP="003C0C79">
      <w:r>
        <w:rPr>
          <w:shd w:val="clear" w:color="auto" w:fill="FFFFFF"/>
        </w:rPr>
        <w:t>Ziņojumā norādīts, ka Eiropas ekonomika kļūst stiprāka: turpinās izaugsme, samazinās bezdarbs, atjaunojas investīciju pieaugums un uzlabojas ES dalībvalstu publisko finanšu stāvoklis</w:t>
      </w:r>
      <w:r>
        <w:t>. Tāpēc būtu nepieciešams izmantot esošo labvēlīgo situāciju turpmākās ekonomikas un sociālās konverģences pastiprināšanai. Nepieciešams turpināt uzsākto reformu īstenošanu, lai padarītu Eiropas ekonomiku vēl stabilāku, iekļaujošāku, produktīvāku un noturīgāku. Fiskālajai politikai jābūt līdzsvarā starp publisko finanšu ilgtspējas nodrošināšanu un valdības parādu mazināšanu no vienas puses un ekonomikas atveseļošanās veicināšanu no otras puses. Ekonomiskā krīze parādīja, ka nepieciešams uzlabot un pilnveidot Ekonomikas un monetārās savienības uzbūvi.</w:t>
      </w:r>
    </w:p>
    <w:p w:rsidR="003C0C79" w:rsidRPr="003C0C79" w:rsidRDefault="003C0C79" w:rsidP="003C0C79">
      <w:r w:rsidRPr="003C0C79">
        <w:t>Ziņojumā uzsvērts, ka iepriekš noteiktās prioritātes joprojām ir aktuālas – investīciju veicināšana, strukturālo reformu turpināšana un atbildīgās fiskālās politikas īstenošana.</w:t>
      </w:r>
    </w:p>
    <w:p w:rsidR="002D3677" w:rsidRPr="00796E81" w:rsidRDefault="002D3677" w:rsidP="00796E81">
      <w:pPr>
        <w:keepNext/>
        <w:keepLines/>
        <w:shd w:val="clear" w:color="auto" w:fill="FFFFFF"/>
        <w:spacing w:before="120"/>
        <w:rPr>
          <w:color w:val="000000"/>
        </w:rPr>
      </w:pPr>
      <w:r w:rsidRPr="00796E81">
        <w:rPr>
          <w:b/>
          <w:color w:val="000000"/>
          <w:u w:val="single"/>
        </w:rPr>
        <w:t>Latvijas nostāja:</w:t>
      </w:r>
    </w:p>
    <w:p w:rsidR="003C0C79" w:rsidRDefault="003C0C79" w:rsidP="003C0C79">
      <w:pPr>
        <w:spacing w:before="120"/>
      </w:pPr>
      <w:r>
        <w:t>2018.gada 19.janvārī Saeimas Eiropas lietu komisijā tika skatīta un 2018.gada 22.janvārī Ministru kabineta apstiprināta Latvijas nacionālā pozīcija</w:t>
      </w:r>
      <w:r w:rsidR="00AE4F2E">
        <w:t xml:space="preserve"> Nr.1</w:t>
      </w:r>
      <w:r>
        <w:t>: “</w:t>
      </w:r>
      <w:r w:rsidRPr="003C0C79">
        <w:rPr>
          <w:i/>
        </w:rPr>
        <w:t>2018.gada Eiropas semestris: Padomes secinājumi par Ikgadējo izaugsmes ziņojumu, Agrās brīdināšanas mehānisma ziņojumu un ES Padomes rekomendācijas Euro zonas ekonomikas politikai</w:t>
      </w:r>
      <w:r>
        <w:t>”.</w:t>
      </w:r>
    </w:p>
    <w:p w:rsidR="00AE4F2E" w:rsidRDefault="0092522A" w:rsidP="0092522A">
      <w:pPr>
        <w:pStyle w:val="DashEqual1"/>
        <w:numPr>
          <w:ilvl w:val="0"/>
          <w:numId w:val="0"/>
        </w:numPr>
        <w:ind w:firstLine="567"/>
        <w:rPr>
          <w:lang w:val="lv-LV"/>
        </w:rPr>
      </w:pPr>
      <w:r w:rsidRPr="0092522A">
        <w:rPr>
          <w:lang w:val="lv-LV"/>
        </w:rPr>
        <w:t>Latvija uzs</w:t>
      </w:r>
      <w:r w:rsidR="00AE4F2E">
        <w:rPr>
          <w:lang w:val="lv-LV"/>
        </w:rPr>
        <w:t>kata,</w:t>
      </w:r>
      <w:r w:rsidRPr="0092522A">
        <w:rPr>
          <w:lang w:val="lv-LV"/>
        </w:rPr>
        <w:t xml:space="preserve"> </w:t>
      </w:r>
      <w:r w:rsidR="00AE4F2E">
        <w:rPr>
          <w:lang w:val="lv-LV"/>
        </w:rPr>
        <w:t>ka k</w:t>
      </w:r>
      <w:r w:rsidR="00AE4F2E" w:rsidRPr="0092522A">
        <w:rPr>
          <w:lang w:val="lv-LV"/>
        </w:rPr>
        <w:t xml:space="preserve">opējā ES un katras ES dalībvalsts attīstībā </w:t>
      </w:r>
      <w:r w:rsidR="00AE4F2E">
        <w:rPr>
          <w:lang w:val="lv-LV"/>
        </w:rPr>
        <w:t xml:space="preserve">īpaši nozīmīga ir sekmīga </w:t>
      </w:r>
      <w:r w:rsidRPr="0092522A">
        <w:rPr>
          <w:lang w:val="lv-LV"/>
        </w:rPr>
        <w:t>ES Vienotā tirgus, t.sk. Digitālā vienotā tirgus</w:t>
      </w:r>
      <w:r w:rsidR="00AE4F2E">
        <w:rPr>
          <w:lang w:val="lv-LV"/>
        </w:rPr>
        <w:t>, funkcionēšana.</w:t>
      </w:r>
      <w:r w:rsidRPr="0092522A">
        <w:rPr>
          <w:lang w:val="lv-LV"/>
        </w:rPr>
        <w:t xml:space="preserve"> </w:t>
      </w:r>
      <w:r w:rsidR="00AE4F2E">
        <w:rPr>
          <w:lang w:val="lv-LV"/>
        </w:rPr>
        <w:t>T</w:t>
      </w:r>
      <w:r w:rsidRPr="0092522A">
        <w:rPr>
          <w:lang w:val="lv-LV"/>
        </w:rPr>
        <w:t xml:space="preserve">āpēc </w:t>
      </w:r>
      <w:r w:rsidR="00AE4F2E" w:rsidRPr="0092522A">
        <w:rPr>
          <w:lang w:val="lv-LV"/>
        </w:rPr>
        <w:t xml:space="preserve">Latvija </w:t>
      </w:r>
      <w:r w:rsidRPr="0092522A">
        <w:rPr>
          <w:lang w:val="lv-LV"/>
        </w:rPr>
        <w:t>atbalst</w:t>
      </w:r>
      <w:r w:rsidR="00AE4F2E">
        <w:rPr>
          <w:lang w:val="lv-LV"/>
        </w:rPr>
        <w:t>a</w:t>
      </w:r>
      <w:r w:rsidRPr="0092522A">
        <w:rPr>
          <w:lang w:val="lv-LV"/>
        </w:rPr>
        <w:t xml:space="preserve"> </w:t>
      </w:r>
      <w:r w:rsidRPr="0092522A">
        <w:rPr>
          <w:lang w:val="lv-LV"/>
        </w:rPr>
        <w:lastRenderedPageBreak/>
        <w:t xml:space="preserve">nepieciešamību turpmāk attīstīt ES Vienoto tirgu, novēršot vēl joprojām pastāvošos šķēršļus brīvai preču, pakalpojumu, kapitāla un darbaspēka kustībai. </w:t>
      </w:r>
      <w:r w:rsidR="0009394F">
        <w:rPr>
          <w:lang w:val="lv-LV"/>
        </w:rPr>
        <w:t>Uzskatām, ka integrēts ES Vienotais tirgus ir būtisks ES konkurētspējai un izaugsmei. Mums ir svarīga ES Vienotā tirgus integritāte un ilgtspēja, kohēzijas un sociālekonomikas konverģencei.</w:t>
      </w:r>
    </w:p>
    <w:p w:rsidR="00AE4F2E" w:rsidRDefault="0092522A" w:rsidP="0092522A">
      <w:pPr>
        <w:pStyle w:val="DashEqual1"/>
        <w:numPr>
          <w:ilvl w:val="0"/>
          <w:numId w:val="0"/>
        </w:numPr>
        <w:ind w:firstLine="567"/>
        <w:rPr>
          <w:rFonts w:eastAsia="Times New Roman"/>
          <w:lang w:val="lv-LV"/>
        </w:rPr>
      </w:pPr>
      <w:r w:rsidRPr="0092522A">
        <w:rPr>
          <w:lang w:val="lv-LV"/>
        </w:rPr>
        <w:t>Latvija uzsver, ka īpaši svarīgi ES Vienotā tirgus darbības kontekstā lielāku uzmanību pievērst darbaspēka mobilitātei ES, kas negatīvi ietekmē vājāk attīstīto ES reģionu attīstību, kuros notiek depopulācija. Tāpat ir būtiski sekmēt nodarbinātību, veicinot darbaspēka iekšējo ģeogrāfisko un sociāli ekonomisko mobilitāti, t.sk. izstrādājot mājokļu politiku, padarot to pieejamāku Latvijas iedzīvotājiem.</w:t>
      </w:r>
    </w:p>
    <w:p w:rsidR="002B1FC9" w:rsidRDefault="001E4A15" w:rsidP="0092522A">
      <w:pPr>
        <w:pStyle w:val="DashEqual1"/>
        <w:numPr>
          <w:ilvl w:val="0"/>
          <w:numId w:val="0"/>
        </w:numPr>
        <w:ind w:firstLine="567"/>
        <w:rPr>
          <w:rFonts w:eastAsia="Times New Roman"/>
          <w:lang w:val="lv-LV"/>
        </w:rPr>
      </w:pPr>
      <w:r>
        <w:rPr>
          <w:rFonts w:eastAsia="Times New Roman"/>
          <w:lang w:val="lv-LV"/>
        </w:rPr>
        <w:t xml:space="preserve">Savukārt, digitālā vienotā tirgus kontekstā Latvija norāda, ka </w:t>
      </w:r>
      <w:r w:rsidRPr="00ED68E0">
        <w:rPr>
          <w:rFonts w:eastAsia="Times New Roman"/>
          <w:lang w:val="lv-LV"/>
        </w:rPr>
        <w:t>ES konkurētspēja būs</w:t>
      </w:r>
      <w:r>
        <w:rPr>
          <w:rFonts w:eastAsia="Times New Roman"/>
          <w:lang w:val="lv-LV"/>
        </w:rPr>
        <w:t xml:space="preserve"> būtiski atkarīga no spējas</w:t>
      </w:r>
      <w:r w:rsidRPr="00ED68E0">
        <w:rPr>
          <w:rFonts w:eastAsia="Times New Roman"/>
          <w:lang w:val="lv-LV"/>
        </w:rPr>
        <w:t xml:space="preserve"> izma</w:t>
      </w:r>
      <w:r>
        <w:rPr>
          <w:rFonts w:eastAsia="Times New Roman"/>
          <w:lang w:val="lv-LV"/>
        </w:rPr>
        <w:t xml:space="preserve">ntot digitālo tehnoloģiju radītās priekšrocības. To pilnīgai izmantošanai nepieciešams </w:t>
      </w:r>
      <w:r w:rsidRPr="00F90BE1">
        <w:rPr>
          <w:rFonts w:eastAsia="Times New Roman"/>
          <w:lang w:val="lv-LV"/>
        </w:rPr>
        <w:t>kvalificēts un prasmīgs darbaspēks, kam ir atbilstošas digitālās prasmes.</w:t>
      </w:r>
    </w:p>
    <w:p w:rsidR="008B0A2B" w:rsidRPr="0092522A" w:rsidRDefault="008B0A2B" w:rsidP="0092522A">
      <w:pPr>
        <w:pStyle w:val="DashEqual1"/>
        <w:numPr>
          <w:ilvl w:val="0"/>
          <w:numId w:val="0"/>
        </w:numPr>
        <w:ind w:firstLine="567"/>
        <w:rPr>
          <w:i/>
          <w:lang w:val="lv-LV"/>
        </w:rPr>
      </w:pPr>
    </w:p>
    <w:p w:rsidR="002B1FC9" w:rsidRPr="00642F24" w:rsidRDefault="00F13B57" w:rsidP="00642F24">
      <w:pPr>
        <w:pStyle w:val="DashEqual1"/>
        <w:numPr>
          <w:ilvl w:val="0"/>
          <w:numId w:val="22"/>
        </w:numPr>
        <w:ind w:left="567" w:hanging="567"/>
        <w:rPr>
          <w:b/>
          <w:lang w:val="lv-LV"/>
        </w:rPr>
      </w:pPr>
      <w:r w:rsidRPr="00796E81">
        <w:rPr>
          <w:b/>
          <w:lang w:val="lv-LV"/>
        </w:rPr>
        <w:t>ES Padomes secinājumi par</w:t>
      </w:r>
      <w:r>
        <w:rPr>
          <w:b/>
          <w:lang w:val="lv-LV"/>
        </w:rPr>
        <w:t xml:space="preserve"> ES rūpniecības politikas stratēģiju konkurētspējai, izaugsmei un inovācijām</w:t>
      </w:r>
    </w:p>
    <w:p w:rsidR="001A2487" w:rsidRDefault="001A2487" w:rsidP="00D47A68">
      <w:pPr>
        <w:pStyle w:val="DashEqual1"/>
        <w:numPr>
          <w:ilvl w:val="0"/>
          <w:numId w:val="0"/>
        </w:numPr>
        <w:spacing w:after="0"/>
        <w:ind w:left="567"/>
        <w:rPr>
          <w:i/>
          <w:lang w:val="lv-LV"/>
        </w:rPr>
      </w:pPr>
      <w:r w:rsidRPr="00796E81">
        <w:rPr>
          <w:i/>
          <w:lang w:val="lv-LV"/>
        </w:rPr>
        <w:t>= Apstiprināšana</w:t>
      </w:r>
    </w:p>
    <w:p w:rsidR="00F13B57" w:rsidRDefault="00F13B57" w:rsidP="00F13B57">
      <w:pPr>
        <w:pStyle w:val="DashEqual1"/>
        <w:numPr>
          <w:ilvl w:val="0"/>
          <w:numId w:val="0"/>
        </w:numPr>
        <w:ind w:left="567"/>
        <w:rPr>
          <w:i/>
          <w:lang w:val="lv-LV"/>
        </w:rPr>
      </w:pPr>
      <w:r w:rsidRPr="00796E81">
        <w:rPr>
          <w:i/>
          <w:lang w:val="lv-LV"/>
        </w:rPr>
        <w:t xml:space="preserve">= </w:t>
      </w:r>
      <w:r>
        <w:rPr>
          <w:i/>
          <w:lang w:val="lv-LV"/>
        </w:rPr>
        <w:t>Viedokļu apmaiņa</w:t>
      </w:r>
    </w:p>
    <w:p w:rsidR="00A24E21" w:rsidRPr="00796E81" w:rsidRDefault="00A24E21" w:rsidP="00796E81">
      <w:r w:rsidRPr="00796E81">
        <w:t xml:space="preserve">2017.gada 13.septembrī </w:t>
      </w:r>
      <w:r w:rsidR="005674D1" w:rsidRPr="00796E81">
        <w:t>EK</w:t>
      </w:r>
      <w:r w:rsidRPr="00796E81">
        <w:t xml:space="preserve"> pēc vairākkārtējiem aicinājumiem no ES Padomes, Eiropas Parlamenta, kā arī nozaru pārstāvošo uzņēmēju un asociāciju puses, publicēja paziņojumu "Atjaunotā ES rūpniecības stratēģija". Paziņojums sniedz pārskatu par visiem pasākumiem, kas sniedz ieguldījumu gudras, inovatīvas un ilgtspējīgas rūpniecības attīstībai ES.</w:t>
      </w:r>
    </w:p>
    <w:p w:rsidR="00A24E21" w:rsidRPr="00796E81" w:rsidRDefault="00A24E21" w:rsidP="00796E81">
      <w:r w:rsidRPr="00796E81">
        <w:t xml:space="preserve">Minētais paziņojums ietver tādus elementus kā </w:t>
      </w:r>
      <w:r w:rsidR="005511DC">
        <w:t xml:space="preserve">ES </w:t>
      </w:r>
      <w:r w:rsidRPr="00796E81">
        <w:t xml:space="preserve">Vienotais tirgus, digitālā transformācija, pāreja uz ekonomiku ar zemu oglekļa dioksīda emisiju līmeni un aprites ekonomika, rūpnieciskās inovācijas, investīcijas un starptautiskā konkurētspēja. Tas vēlreiz apstiprina </w:t>
      </w:r>
      <w:r w:rsidR="005674D1" w:rsidRPr="00796E81">
        <w:t>EK</w:t>
      </w:r>
      <w:r w:rsidRPr="00796E81">
        <w:t xml:space="preserve"> centienus līdz 2020.</w:t>
      </w:r>
      <w:r w:rsidR="00682D1B">
        <w:t> </w:t>
      </w:r>
      <w:r w:rsidRPr="00796E81">
        <w:t>gadam panākt rūpniecības daļas pieaugumu</w:t>
      </w:r>
      <w:r w:rsidR="00055B42">
        <w:t xml:space="preserve"> E</w:t>
      </w:r>
      <w:r w:rsidR="00F123C9">
        <w:t>S iekšzemes kopprodukt</w:t>
      </w:r>
      <w:r w:rsidR="00055B42">
        <w:t>ā</w:t>
      </w:r>
      <w:r w:rsidR="00F123C9">
        <w:t xml:space="preserve"> </w:t>
      </w:r>
      <w:r w:rsidRPr="00796E81">
        <w:t>līdz 20%.</w:t>
      </w:r>
    </w:p>
    <w:p w:rsidR="007F37DA" w:rsidRPr="00796E81" w:rsidRDefault="00A24E21" w:rsidP="007F37DA">
      <w:r w:rsidRPr="00796E81">
        <w:t xml:space="preserve">Par </w:t>
      </w:r>
      <w:r w:rsidR="00F1788C">
        <w:t>EK</w:t>
      </w:r>
      <w:r w:rsidRPr="00796E81">
        <w:t xml:space="preserve"> paziņojumu vairākos ES Padomes darba grupu formātos un augsta līmeņa grupās ir aizvadītas diskusijas. Igaunijas prezidentūra</w:t>
      </w:r>
      <w:r w:rsidR="00F13B57">
        <w:t xml:space="preserve">s laikā tika 2017.gada 30.novembrī ES Konkurētspējas ministru padomē tika </w:t>
      </w:r>
      <w:r w:rsidR="000442B9">
        <w:t>apstiprināti</w:t>
      </w:r>
      <w:r w:rsidR="00F13B57">
        <w:t xml:space="preserve"> </w:t>
      </w:r>
      <w:r w:rsidR="00F13B57" w:rsidRPr="007F37DA">
        <w:t>padomes secinājumi, kuri apkopoja šo diskusiju rezultātus</w:t>
      </w:r>
      <w:r w:rsidRPr="007F37DA">
        <w:t xml:space="preserve"> </w:t>
      </w:r>
      <w:r w:rsidR="00F13B57" w:rsidRPr="007F37DA">
        <w:t xml:space="preserve">un </w:t>
      </w:r>
      <w:r w:rsidRPr="007F37DA">
        <w:t>snie</w:t>
      </w:r>
      <w:r w:rsidR="00F13B57" w:rsidRPr="007F37DA">
        <w:t>dza</w:t>
      </w:r>
      <w:r w:rsidRPr="007F37DA">
        <w:t xml:space="preserve"> procesuālu ievirzi turpmākajam </w:t>
      </w:r>
      <w:r w:rsidR="005674D1" w:rsidRPr="007F37DA">
        <w:t>EK</w:t>
      </w:r>
      <w:r w:rsidRPr="007F37DA">
        <w:t xml:space="preserve"> darbam.</w:t>
      </w:r>
      <w:r w:rsidR="00F13B57" w:rsidRPr="007F37DA">
        <w:t xml:space="preserve"> Bulgārijas prezidentūra ir turpinājusi iesākto darbu un </w:t>
      </w:r>
      <w:r w:rsidR="00233E52" w:rsidRPr="007F37DA">
        <w:t xml:space="preserve">sagatavojusi padomes secinājumu projektu, kas iekļauj </w:t>
      </w:r>
      <w:r w:rsidR="007F37DA" w:rsidRPr="007F37DA">
        <w:t>stratēģiskos virzienus, kurus tiek rekomendēts EK ņemt vērā, izstrādājot</w:t>
      </w:r>
      <w:r w:rsidR="007F37DA">
        <w:t xml:space="preserve"> vidēja un ilgtermiņa stratēģiju. Minētie stratēģiskie virzieni un akcenti ietver iekšējās tirgus nozīmību, globālo dimensiju, tirdzniecības politiku, labāka regulējuma izstrādi, digitālo aktivitāšu sekmēšanu, klasteru politiku, publisko iepirkumu un tehnoloģiju akcentus.</w:t>
      </w:r>
    </w:p>
    <w:p w:rsidR="00076E90" w:rsidRPr="00796E81" w:rsidRDefault="00076E90" w:rsidP="00076E90">
      <w:pPr>
        <w:pStyle w:val="DashEqual1"/>
        <w:numPr>
          <w:ilvl w:val="0"/>
          <w:numId w:val="0"/>
        </w:numPr>
        <w:ind w:left="567"/>
        <w:rPr>
          <w:color w:val="000000"/>
          <w:lang w:val="lv-LV"/>
        </w:rPr>
      </w:pPr>
      <w:r w:rsidRPr="00796E81">
        <w:rPr>
          <w:b/>
          <w:color w:val="000000"/>
          <w:u w:val="single"/>
          <w:lang w:val="lv-LV"/>
        </w:rPr>
        <w:t>Latvijas nostāja:</w:t>
      </w:r>
    </w:p>
    <w:p w:rsidR="00A24E21" w:rsidRPr="00796E81" w:rsidRDefault="00F123C9" w:rsidP="00796E81">
      <w:r>
        <w:t xml:space="preserve">Latvijas Republikas </w:t>
      </w:r>
      <w:r w:rsidR="00BF042C">
        <w:t xml:space="preserve">nacionālā </w:t>
      </w:r>
      <w:r w:rsidR="00DB73CF">
        <w:t>pozīcija</w:t>
      </w:r>
      <w:r w:rsidR="00A24E21" w:rsidRPr="00796E81">
        <w:t xml:space="preserve"> Nr.1 </w:t>
      </w:r>
      <w:r w:rsidR="00A24E21" w:rsidRPr="00796E81">
        <w:rPr>
          <w:i/>
        </w:rPr>
        <w:t>"Komisijas ziņojums Eiropas Parlamentam, Eiropadomei, Padomei, Eiropas Ekonomikas un sociālo lietu komitejai, Reģionu Komitejai un Eiropas Investīciju bankai "Ieguldījumi gudrā, inovatīvā un ilgtspējīgā rūpniecības attīstībā. Atjaunotā ES rūpniecības politikas stratēģija""</w:t>
      </w:r>
      <w:r w:rsidR="00DB73CF">
        <w:rPr>
          <w:i/>
        </w:rPr>
        <w:t xml:space="preserve"> </w:t>
      </w:r>
      <w:r w:rsidR="00DB73CF">
        <w:t>ir apstiprināta 201</w:t>
      </w:r>
      <w:r w:rsidR="000442B9">
        <w:t>7</w:t>
      </w:r>
      <w:r w:rsidR="00DB73CF">
        <w:t>.gada 28.novembra Ministru kabineta sēdē</w:t>
      </w:r>
      <w:r w:rsidR="008C2AEA">
        <w:t xml:space="preserve"> un izskatīta 2017.gada 29.novevembra Saeimas Eiropas lietu komisijā</w:t>
      </w:r>
      <w:r w:rsidR="00A24E21" w:rsidRPr="00796E81">
        <w:t>.</w:t>
      </w:r>
    </w:p>
    <w:p w:rsidR="00A24E21" w:rsidRPr="00796E81" w:rsidRDefault="00F123C9" w:rsidP="00A24E21">
      <w:pPr>
        <w:spacing w:before="120"/>
        <w:rPr>
          <w:bCs/>
        </w:rPr>
      </w:pPr>
      <w:r>
        <w:t>Kopumā</w:t>
      </w:r>
      <w:r w:rsidRPr="00796E81">
        <w:t xml:space="preserve"> </w:t>
      </w:r>
      <w:r w:rsidR="00A24E21" w:rsidRPr="00796E81">
        <w:t xml:space="preserve">Latvija atzinīgi vērtē </w:t>
      </w:r>
      <w:r w:rsidR="005511DC">
        <w:t xml:space="preserve">EK </w:t>
      </w:r>
      <w:r w:rsidR="00A24E21" w:rsidRPr="00796E81">
        <w:t xml:space="preserve">publicēto paziņojumu un uzskata, ka paziņojumā ietvertie modernizācijas pasākumi un izvirzītās prioritātes ir būtiskas arī Latvijas rūpniecības konkurētspējas paaugstināšanai. Latvijas skatījumā ES rūpniecības politikas prioritātes saskan </w:t>
      </w:r>
      <w:r w:rsidR="00A24E21" w:rsidRPr="00796E81">
        <w:lastRenderedPageBreak/>
        <w:t xml:space="preserve">ar galvenajiem rīcības virzieniem, kas noteikti Latvijas Nacionālās industriālās politikas </w:t>
      </w:r>
      <w:r w:rsidR="00705CC4">
        <w:t>pamatnostād</w:t>
      </w:r>
      <w:r w:rsidR="008B0A2B">
        <w:t>nēs</w:t>
      </w:r>
      <w:r w:rsidR="00705CC4">
        <w:t xml:space="preserve"> 2014.-2020.gadam</w:t>
      </w:r>
      <w:r w:rsidR="00A24E21" w:rsidRPr="00796E81">
        <w:t>, tostarp mērķi – līdz 2020.</w:t>
      </w:r>
      <w:r w:rsidR="00705CC4">
        <w:t> </w:t>
      </w:r>
      <w:r w:rsidR="00A24E21" w:rsidRPr="00796E81">
        <w:t xml:space="preserve">gadam palielināt apstrādes rūpniecības īpatsvaru </w:t>
      </w:r>
      <w:r>
        <w:t>Latvijas iekšzemes kopproduktā</w:t>
      </w:r>
      <w:r w:rsidRPr="00796E81">
        <w:t xml:space="preserve"> </w:t>
      </w:r>
      <w:r w:rsidR="00A24E21" w:rsidRPr="00796E81">
        <w:t>līdz 20%.</w:t>
      </w:r>
    </w:p>
    <w:p w:rsidR="005511DC" w:rsidRPr="008B0A2B" w:rsidRDefault="005511DC" w:rsidP="008B0A2B">
      <w:pPr>
        <w:spacing w:before="120"/>
      </w:pPr>
      <w:r w:rsidRPr="007F37DA">
        <w:rPr>
          <w:bCs/>
        </w:rPr>
        <w:t xml:space="preserve">Latvija uzskata, ka būtu nepieciešams noteikt arī ilgtermiņa rūpniecības mērķus un vīziju, kuriem ir jābūt </w:t>
      </w:r>
      <w:r w:rsidRPr="008B0A2B">
        <w:t>vērstiem uz augstas pievienotās vērtības produktu ražošanu un produktivitātes paaugstināšanu gan ražošanas, gan pakalpojumu sektorā.</w:t>
      </w:r>
    </w:p>
    <w:p w:rsidR="000442B9" w:rsidRPr="007F37DA" w:rsidRDefault="000442B9" w:rsidP="008B0A2B">
      <w:pPr>
        <w:spacing w:before="120"/>
        <w:rPr>
          <w:bCs/>
        </w:rPr>
      </w:pPr>
      <w:r w:rsidRPr="008B0A2B">
        <w:t>Uzskatām, ka jāveicina kapitāl</w:t>
      </w:r>
      <w:r w:rsidR="00BF042C" w:rsidRPr="008B0A2B">
        <w:t>a</w:t>
      </w:r>
      <w:r w:rsidRPr="008B0A2B">
        <w:t xml:space="preserve"> ieguldījum</w:t>
      </w:r>
      <w:r w:rsidR="00216232" w:rsidRPr="008B0A2B">
        <w:t xml:space="preserve">i, </w:t>
      </w:r>
      <w:r w:rsidRPr="008B0A2B">
        <w:t>inovāciju attīst</w:t>
      </w:r>
      <w:r w:rsidR="00216232" w:rsidRPr="008B0A2B">
        <w:t>ība un</w:t>
      </w:r>
      <w:r w:rsidRPr="008B0A2B">
        <w:t xml:space="preserve"> jānodrošina labvēlīgāka </w:t>
      </w:r>
      <w:r w:rsidR="00216232" w:rsidRPr="008B0A2B">
        <w:t>vide uzņēmējdarbība</w:t>
      </w:r>
      <w:r w:rsidR="004912E1" w:rsidRPr="008B0A2B">
        <w:t>i</w:t>
      </w:r>
      <w:r w:rsidR="00216232">
        <w:rPr>
          <w:bCs/>
        </w:rPr>
        <w:t>, īpaši skatoties uz jaunuzņēmumu (start-up), mazo un vidējo uzņēmēju (MVU) attīstību, t.sk. aizsardzības jomā.</w:t>
      </w:r>
    </w:p>
    <w:p w:rsidR="00A24E21" w:rsidRPr="00796E81" w:rsidRDefault="00A24E21" w:rsidP="00A24E21">
      <w:pPr>
        <w:spacing w:before="120"/>
        <w:rPr>
          <w:bCs/>
        </w:rPr>
      </w:pPr>
      <w:r w:rsidRPr="007F37DA">
        <w:rPr>
          <w:bCs/>
        </w:rPr>
        <w:t>Latvija atbalsta Padomes secinājumu pieņemšanu ES Konkurētspējas ministru padomē</w:t>
      </w:r>
      <w:r w:rsidR="007F37DA" w:rsidRPr="007F37DA">
        <w:rPr>
          <w:bCs/>
        </w:rPr>
        <w:t>.</w:t>
      </w:r>
      <w:r w:rsidR="00EB29A3" w:rsidRPr="007F37DA">
        <w:rPr>
          <w:bCs/>
        </w:rPr>
        <w:t xml:space="preserve"> </w:t>
      </w:r>
      <w:r w:rsidR="007F37DA">
        <w:rPr>
          <w:bCs/>
        </w:rPr>
        <w:t>Identificētie darbības virzieni ir sinerģijā ar EK jau izstrādātajām politikām enerģētika, klimata, aprites ekonomikas, digitālā vienotā tirgus un citu politiku jomās būtu pamats spēcīgai un uz nākotni virzītai rūpniecības politikai</w:t>
      </w:r>
      <w:r w:rsidR="008B0A2B">
        <w:rPr>
          <w:bCs/>
        </w:rPr>
        <w:t>.</w:t>
      </w:r>
    </w:p>
    <w:p w:rsidR="008D22FE" w:rsidRPr="00796E81" w:rsidRDefault="008D22FE" w:rsidP="00AB2522">
      <w:pPr>
        <w:pStyle w:val="DashEqual1"/>
        <w:numPr>
          <w:ilvl w:val="0"/>
          <w:numId w:val="0"/>
        </w:numPr>
        <w:rPr>
          <w:i/>
          <w:lang w:val="lv-LV"/>
        </w:rPr>
      </w:pPr>
    </w:p>
    <w:p w:rsidR="00DB73CF" w:rsidRPr="00642F24" w:rsidRDefault="00595F0F" w:rsidP="00DB73CF">
      <w:pPr>
        <w:pStyle w:val="DashEqual1"/>
        <w:numPr>
          <w:ilvl w:val="0"/>
          <w:numId w:val="22"/>
        </w:numPr>
        <w:ind w:left="567" w:hanging="567"/>
        <w:rPr>
          <w:b/>
          <w:lang w:val="lv-LV"/>
        </w:rPr>
      </w:pPr>
      <w:r>
        <w:rPr>
          <w:b/>
          <w:lang w:val="lv-LV"/>
        </w:rPr>
        <w:t xml:space="preserve">ES </w:t>
      </w:r>
      <w:r w:rsidR="00DB73CF">
        <w:rPr>
          <w:b/>
          <w:lang w:val="lv-LV"/>
        </w:rPr>
        <w:t>Vienotajam tirgum</w:t>
      </w:r>
      <w:r>
        <w:rPr>
          <w:b/>
          <w:lang w:val="lv-LV"/>
        </w:rPr>
        <w:t xml:space="preserve"> </w:t>
      </w:r>
      <w:r w:rsidR="008B0A2B">
        <w:rPr>
          <w:b/>
          <w:lang w:val="lv-LV"/>
        </w:rPr>
        <w:t>25 gadi</w:t>
      </w:r>
    </w:p>
    <w:p w:rsidR="00DB73CF" w:rsidRDefault="00DB73CF" w:rsidP="00D47A68">
      <w:pPr>
        <w:pStyle w:val="DashEqual1"/>
        <w:numPr>
          <w:ilvl w:val="0"/>
          <w:numId w:val="0"/>
        </w:numPr>
        <w:spacing w:after="0"/>
        <w:ind w:left="567"/>
        <w:rPr>
          <w:i/>
          <w:lang w:val="lv-LV"/>
        </w:rPr>
      </w:pPr>
      <w:r w:rsidRPr="00796E81">
        <w:rPr>
          <w:i/>
          <w:lang w:val="lv-LV"/>
        </w:rPr>
        <w:t xml:space="preserve">= </w:t>
      </w:r>
      <w:r w:rsidR="00595F0F">
        <w:rPr>
          <w:i/>
          <w:lang w:val="lv-LV"/>
        </w:rPr>
        <w:t>EK sniegta prezentācija</w:t>
      </w:r>
    </w:p>
    <w:p w:rsidR="00DB73CF" w:rsidRDefault="00DB73CF" w:rsidP="00DB73CF">
      <w:pPr>
        <w:pStyle w:val="DashEqual1"/>
        <w:numPr>
          <w:ilvl w:val="0"/>
          <w:numId w:val="0"/>
        </w:numPr>
        <w:ind w:left="567"/>
        <w:rPr>
          <w:i/>
          <w:lang w:val="lv-LV"/>
        </w:rPr>
      </w:pPr>
      <w:r w:rsidRPr="00796E81">
        <w:rPr>
          <w:i/>
          <w:lang w:val="lv-LV"/>
        </w:rPr>
        <w:t xml:space="preserve">= </w:t>
      </w:r>
      <w:r>
        <w:rPr>
          <w:i/>
          <w:lang w:val="lv-LV"/>
        </w:rPr>
        <w:t>Viedokļu apmaiņa</w:t>
      </w:r>
    </w:p>
    <w:p w:rsidR="00077601" w:rsidRPr="00B51DB3" w:rsidRDefault="00077601" w:rsidP="00077601">
      <w:pPr>
        <w:pStyle w:val="NormalWeb"/>
        <w:spacing w:before="0" w:beforeAutospacing="0" w:afterLines="50" w:after="120" w:afterAutospacing="0"/>
        <w:rPr>
          <w:lang w:val="lv-LV"/>
        </w:rPr>
      </w:pPr>
      <w:r w:rsidRPr="00B51DB3">
        <w:rPr>
          <w:lang w:val="lv-LV"/>
        </w:rPr>
        <w:t>Plānots, ka šajā jautājumā EK sniegs savu novērtējumu par sasniegto progresu attiecībā uz ES Vienotā tirgus efektīvas darbības nodrošināšanu, kur preču, pakalpojumu, personu un kapitāla brīva kustība ir centrālās prioritātes ES dienaskārtībā pēdējo 25 gadu laikā. Dziļāka un taisnīgāka Vienotā tirgus sasniegšana ir viena no galvenajām EK politiskajām prioritātēm</w:t>
      </w:r>
      <w:r>
        <w:rPr>
          <w:lang w:val="lv-LV"/>
        </w:rPr>
        <w:t xml:space="preserve">, </w:t>
      </w:r>
      <w:r w:rsidRPr="00B51DB3">
        <w:rPr>
          <w:lang w:val="lv-LV"/>
        </w:rPr>
        <w:t xml:space="preserve">savukārt Vienotā tirgus stratēģijas īstenošana un modernizācija kļuva par 2017.gada EK Darba </w:t>
      </w:r>
      <w:r w:rsidR="008B0A2B">
        <w:rPr>
          <w:lang w:val="lv-LV"/>
        </w:rPr>
        <w:t>p</w:t>
      </w:r>
      <w:r w:rsidRPr="00B51DB3">
        <w:rPr>
          <w:lang w:val="lv-LV"/>
        </w:rPr>
        <w:t>rogrammas galveno mērķi</w:t>
      </w:r>
      <w:r w:rsidRPr="00B51DB3">
        <w:rPr>
          <w:rStyle w:val="FootnoteReference"/>
        </w:rPr>
        <w:footnoteReference w:id="2"/>
      </w:r>
      <w:r w:rsidR="008B0A2B">
        <w:rPr>
          <w:lang w:val="lv-LV"/>
        </w:rPr>
        <w:t>.</w:t>
      </w:r>
      <w:r w:rsidRPr="00B51DB3">
        <w:rPr>
          <w:lang w:val="lv-LV"/>
        </w:rPr>
        <w:t xml:space="preserve"> Vienotā tirgus ietvaros preču brīva aprite ir visattīstītākā no četrām pamatbrīvībām un veido apmēram 25% no ES IKP un 75% no ES iekšējās tirdzniecības, kas 2016.gadā sasniedza 3 110 miljardu </w:t>
      </w:r>
      <w:r w:rsidRPr="00B51DB3">
        <w:rPr>
          <w:i/>
          <w:lang w:val="lv-LV"/>
        </w:rPr>
        <w:t>euro</w:t>
      </w:r>
      <w:r w:rsidRPr="00B51DB3">
        <w:rPr>
          <w:rStyle w:val="FootnoteReference"/>
        </w:rPr>
        <w:footnoteReference w:id="3"/>
      </w:r>
      <w:r w:rsidR="008B0A2B">
        <w:rPr>
          <w:lang w:val="lv-LV"/>
        </w:rPr>
        <w:t>.</w:t>
      </w:r>
    </w:p>
    <w:p w:rsidR="00077601" w:rsidRPr="00B51DB3" w:rsidRDefault="00077601" w:rsidP="00077601">
      <w:pPr>
        <w:pStyle w:val="CommentText"/>
        <w:spacing w:afterLines="50"/>
        <w:rPr>
          <w:rFonts w:eastAsia="Calibri"/>
          <w:sz w:val="24"/>
          <w:szCs w:val="24"/>
        </w:rPr>
      </w:pPr>
      <w:r w:rsidRPr="00B51DB3">
        <w:rPr>
          <w:sz w:val="24"/>
          <w:szCs w:val="24"/>
        </w:rPr>
        <w:t>Taču, lai arī cik liels progress attiecībā uz ES Vienotā tirgus īstenošanu ir panākts, joprojām uzņēmēji un iedzīvotāji ikdienā saskaras ar dažādiem administratīviem, regulatīviem un neregulatīviem šķēršļiem, kas liedz pilnībā izmantot ES Vienotā tirgus sniegtās priekšrocības. Minētie šķēršļi nemotivē pakalpojumu sniedzējus attīstīt to darbību, jo īpaši pārrobežu kontekstā, ņemot vērā ar to saistītās augstās izmaksas.</w:t>
      </w:r>
      <w:r>
        <w:rPr>
          <w:sz w:val="24"/>
          <w:szCs w:val="24"/>
        </w:rPr>
        <w:t xml:space="preserve"> Rezultātā tas </w:t>
      </w:r>
      <w:r w:rsidRPr="00B51DB3">
        <w:rPr>
          <w:sz w:val="24"/>
          <w:szCs w:val="24"/>
        </w:rPr>
        <w:t>n</w:t>
      </w:r>
      <w:r w:rsidRPr="00B51DB3">
        <w:rPr>
          <w:rFonts w:eastAsia="Calibri"/>
          <w:sz w:val="24"/>
          <w:szCs w:val="24"/>
        </w:rPr>
        <w:t xml:space="preserve">egatīvi ietekmē ES ekonomikas produktivitāti, efektivitāti un konkurētspēju. </w:t>
      </w:r>
    </w:p>
    <w:p w:rsidR="00077601" w:rsidRPr="00B51DB3" w:rsidRDefault="0009394F" w:rsidP="00077601">
      <w:pPr>
        <w:pStyle w:val="NormalWeb"/>
        <w:spacing w:before="0" w:beforeAutospacing="0" w:afterLines="50" w:after="120" w:afterAutospacing="0"/>
        <w:rPr>
          <w:lang w:val="lv-LV"/>
        </w:rPr>
      </w:pPr>
      <w:r>
        <w:rPr>
          <w:lang w:val="lv-LV"/>
        </w:rPr>
        <w:t xml:space="preserve">ES </w:t>
      </w:r>
      <w:r w:rsidR="00077601" w:rsidRPr="00B51DB3">
        <w:rPr>
          <w:lang w:val="lv-LV"/>
        </w:rPr>
        <w:t>Vienotā tirgus pilnīgas integrācijas un efektīvas darbības nodrošināšanas nol</w:t>
      </w:r>
      <w:r w:rsidR="00077601">
        <w:rPr>
          <w:lang w:val="lv-LV"/>
        </w:rPr>
        <w:t>ūkos 25 gadu laikā vairākkārt tika</w:t>
      </w:r>
      <w:r w:rsidR="00077601" w:rsidRPr="00B51DB3">
        <w:rPr>
          <w:lang w:val="lv-LV"/>
        </w:rPr>
        <w:t xml:space="preserve"> </w:t>
      </w:r>
      <w:r w:rsidR="00077601">
        <w:rPr>
          <w:lang w:val="lv-LV"/>
        </w:rPr>
        <w:t>apskatītas likumdošanas pilnveidošanas iespējas un reformas</w:t>
      </w:r>
      <w:r w:rsidR="00077601" w:rsidRPr="00B51DB3">
        <w:rPr>
          <w:lang w:val="lv-LV"/>
        </w:rPr>
        <w:t xml:space="preserve">. </w:t>
      </w:r>
      <w:r w:rsidR="00077601">
        <w:rPr>
          <w:lang w:val="lv-LV"/>
        </w:rPr>
        <w:t>Aktuālākie EK centieni</w:t>
      </w:r>
      <w:r w:rsidR="00077601" w:rsidRPr="00B51DB3">
        <w:rPr>
          <w:lang w:val="lv-LV"/>
        </w:rPr>
        <w:t xml:space="preserve"> uzlabot Vienotā tirgus darbību ir </w:t>
      </w:r>
      <w:r w:rsidR="008B0A2B">
        <w:rPr>
          <w:lang w:val="lv-LV"/>
        </w:rPr>
        <w:t>rezultējušies</w:t>
      </w:r>
      <w:r w:rsidR="00077601" w:rsidRPr="00B51DB3">
        <w:rPr>
          <w:lang w:val="lv-LV"/>
        </w:rPr>
        <w:t xml:space="preserve"> ar Vienotā tirgus un </w:t>
      </w:r>
      <w:r w:rsidR="00077601" w:rsidRPr="00B51DB3">
        <w:rPr>
          <w:lang w:val="lv-LV"/>
        </w:rPr>
        <w:lastRenderedPageBreak/>
        <w:t>Digitālā Vienotā tirgus stratēģij</w:t>
      </w:r>
      <w:r w:rsidR="008B0A2B">
        <w:rPr>
          <w:lang w:val="lv-LV"/>
        </w:rPr>
        <w:t>u</w:t>
      </w:r>
      <w:r w:rsidR="00077601">
        <w:rPr>
          <w:rStyle w:val="FootnoteReference"/>
          <w:lang w:val="lv-LV"/>
        </w:rPr>
        <w:footnoteReference w:id="4"/>
      </w:r>
      <w:r w:rsidR="008B0A2B">
        <w:rPr>
          <w:lang w:val="lv-LV"/>
        </w:rPr>
        <w:t xml:space="preserve"> publicēšanu</w:t>
      </w:r>
      <w:r w:rsidR="00077601" w:rsidRPr="00B51DB3">
        <w:rPr>
          <w:lang w:val="lv-LV"/>
        </w:rPr>
        <w:t>, kas paredz virkni jaunu likumdošanas priekšlikumu un aktivitāšu Vienot</w:t>
      </w:r>
      <w:r w:rsidR="00077601">
        <w:rPr>
          <w:lang w:val="lv-LV"/>
        </w:rPr>
        <w:t xml:space="preserve">ā tirgus darbības stiprināšanai, </w:t>
      </w:r>
      <w:r w:rsidR="00077601" w:rsidRPr="00B51DB3">
        <w:rPr>
          <w:lang w:val="lv-LV"/>
        </w:rPr>
        <w:t xml:space="preserve">uzņēmējdarbības vides pilnveidošanai </w:t>
      </w:r>
      <w:r w:rsidR="00077601">
        <w:rPr>
          <w:lang w:val="lv-LV"/>
        </w:rPr>
        <w:t xml:space="preserve">un </w:t>
      </w:r>
      <w:r w:rsidR="00077601" w:rsidRPr="00B51DB3">
        <w:rPr>
          <w:lang w:val="lv-LV"/>
        </w:rPr>
        <w:t>ekonomiskās aktivitātes stimulēšanai starp ES dalībvalstīm, lai veicinātu pārrobežu pre</w:t>
      </w:r>
      <w:r w:rsidR="00077601">
        <w:rPr>
          <w:lang w:val="lv-LV"/>
        </w:rPr>
        <w:t>ču un pakalpojumu tirdzniecību.</w:t>
      </w:r>
    </w:p>
    <w:p w:rsidR="00077601" w:rsidRPr="00D548D8" w:rsidRDefault="00077601" w:rsidP="00077601">
      <w:pPr>
        <w:pStyle w:val="NormalWeb"/>
        <w:spacing w:before="0" w:beforeAutospacing="0" w:afterLines="50" w:after="120" w:afterAutospacing="0"/>
        <w:rPr>
          <w:lang w:val="lv-LV"/>
        </w:rPr>
      </w:pPr>
      <w:r w:rsidRPr="00D548D8">
        <w:rPr>
          <w:lang w:val="lv-LV"/>
        </w:rPr>
        <w:t xml:space="preserve">Šajā kontekstā Latvijai svarīga ir sekmīga iniciatīvu virzība Pakalpojumu pakotnes un </w:t>
      </w:r>
      <w:r w:rsidR="008B0A2B">
        <w:rPr>
          <w:lang w:val="lv-LV"/>
        </w:rPr>
        <w:t>P</w:t>
      </w:r>
      <w:r w:rsidRPr="00D548D8">
        <w:rPr>
          <w:lang w:val="lv-LV"/>
        </w:rPr>
        <w:t xml:space="preserve">reču pakotnes ietvaros, </w:t>
      </w:r>
      <w:r w:rsidR="008B0A2B">
        <w:rPr>
          <w:lang w:val="lv-LV"/>
        </w:rPr>
        <w:t xml:space="preserve">kā arī </w:t>
      </w:r>
      <w:r w:rsidR="00AE705E">
        <w:rPr>
          <w:lang w:val="lv-LV"/>
        </w:rPr>
        <w:t>ES Alternatīvā strīdus risināšanas mehānisma (</w:t>
      </w:r>
      <w:r w:rsidRPr="00D548D8">
        <w:rPr>
          <w:lang w:val="lv-LV"/>
        </w:rPr>
        <w:t>SOLVIT</w:t>
      </w:r>
      <w:r w:rsidR="00AE705E">
        <w:rPr>
          <w:lang w:val="lv-LV"/>
        </w:rPr>
        <w:t>)</w:t>
      </w:r>
      <w:r w:rsidRPr="00D548D8">
        <w:rPr>
          <w:lang w:val="lv-LV"/>
        </w:rPr>
        <w:t xml:space="preserve"> un </w:t>
      </w:r>
      <w:r w:rsidRPr="00D548D8">
        <w:rPr>
          <w:bCs/>
          <w:lang w:val="lv-LV"/>
        </w:rPr>
        <w:t>Vienotās digitālas vārtejas priekšlikumu konteks</w:t>
      </w:r>
      <w:r>
        <w:rPr>
          <w:bCs/>
          <w:lang w:val="lv-LV"/>
        </w:rPr>
        <w:t>tā</w:t>
      </w:r>
      <w:r>
        <w:rPr>
          <w:rStyle w:val="FootnoteReference"/>
          <w:bCs/>
          <w:lang w:val="lv-LV"/>
        </w:rPr>
        <w:footnoteReference w:id="5"/>
      </w:r>
      <w:r w:rsidR="008B0A2B">
        <w:rPr>
          <w:bCs/>
          <w:lang w:val="lv-LV"/>
        </w:rPr>
        <w:t>.</w:t>
      </w:r>
      <w:r w:rsidRPr="00D548D8">
        <w:rPr>
          <w:lang w:val="lv-LV"/>
        </w:rPr>
        <w:t xml:space="preserve"> </w:t>
      </w:r>
    </w:p>
    <w:p w:rsidR="00077601" w:rsidRDefault="00077601" w:rsidP="00077601">
      <w:pPr>
        <w:pStyle w:val="NormalWeb"/>
        <w:spacing w:before="0" w:beforeAutospacing="0" w:afterLines="50" w:after="120" w:afterAutospacing="0"/>
        <w:rPr>
          <w:bCs/>
          <w:lang w:val="lv-LV"/>
        </w:rPr>
      </w:pPr>
      <w:r w:rsidRPr="00B51DB3">
        <w:rPr>
          <w:bCs/>
          <w:lang w:val="lv-LV"/>
        </w:rPr>
        <w:t>Pa</w:t>
      </w:r>
      <w:r w:rsidR="00246C9C">
        <w:rPr>
          <w:bCs/>
          <w:lang w:val="lv-LV"/>
        </w:rPr>
        <w:t>pildus</w:t>
      </w:r>
      <w:r w:rsidRPr="00B51DB3">
        <w:rPr>
          <w:bCs/>
          <w:lang w:val="lv-LV"/>
        </w:rPr>
        <w:t xml:space="preserve"> iepriekš</w:t>
      </w:r>
      <w:r w:rsidR="00246C9C">
        <w:rPr>
          <w:bCs/>
          <w:lang w:val="lv-LV"/>
        </w:rPr>
        <w:t xml:space="preserve"> </w:t>
      </w:r>
      <w:r w:rsidRPr="00B51DB3">
        <w:rPr>
          <w:bCs/>
          <w:lang w:val="lv-LV"/>
        </w:rPr>
        <w:t>minēt</w:t>
      </w:r>
      <w:r w:rsidR="00246C9C">
        <w:rPr>
          <w:bCs/>
          <w:lang w:val="lv-LV"/>
        </w:rPr>
        <w:t>ajam</w:t>
      </w:r>
      <w:r>
        <w:rPr>
          <w:bCs/>
          <w:lang w:val="lv-LV"/>
        </w:rPr>
        <w:t xml:space="preserve"> ir </w:t>
      </w:r>
      <w:r w:rsidRPr="00B51DB3">
        <w:rPr>
          <w:bCs/>
          <w:lang w:val="lv-LV"/>
        </w:rPr>
        <w:t>jāņem vērā, ka EK</w:t>
      </w:r>
      <w:r>
        <w:rPr>
          <w:bCs/>
          <w:lang w:val="lv-LV"/>
        </w:rPr>
        <w:t xml:space="preserve"> </w:t>
      </w:r>
      <w:r w:rsidR="00246C9C">
        <w:rPr>
          <w:bCs/>
          <w:lang w:val="lv-LV"/>
        </w:rPr>
        <w:t xml:space="preserve">arvien vairāk centienus velta </w:t>
      </w:r>
      <w:r w:rsidRPr="00B51DB3">
        <w:rPr>
          <w:bCs/>
          <w:lang w:val="lv-LV"/>
        </w:rPr>
        <w:t>pa</w:t>
      </w:r>
      <w:r>
        <w:rPr>
          <w:bCs/>
          <w:lang w:val="lv-LV"/>
        </w:rPr>
        <w:t xml:space="preserve">kalpojumu </w:t>
      </w:r>
      <w:r w:rsidR="00246C9C">
        <w:rPr>
          <w:bCs/>
          <w:lang w:val="lv-LV"/>
        </w:rPr>
        <w:t>tirdzniecības sekmēšanai</w:t>
      </w:r>
      <w:r>
        <w:rPr>
          <w:bCs/>
          <w:lang w:val="lv-LV"/>
        </w:rPr>
        <w:t xml:space="preserve">, kur </w:t>
      </w:r>
      <w:r w:rsidRPr="00B51DB3">
        <w:rPr>
          <w:bCs/>
          <w:lang w:val="lv-LV"/>
        </w:rPr>
        <w:t xml:space="preserve">svarīga </w:t>
      </w:r>
      <w:r>
        <w:rPr>
          <w:bCs/>
          <w:lang w:val="lv-LV"/>
        </w:rPr>
        <w:t>arī s</w:t>
      </w:r>
      <w:r w:rsidRPr="00B51DB3">
        <w:rPr>
          <w:bCs/>
          <w:lang w:val="lv-LV"/>
        </w:rPr>
        <w:t xml:space="preserve">tarptautiskā konkurētspējas dimensija ar diviem būtiskiem faktoriem. Pirmkārt, pakalpojumu daļa ekonomikā arvien vairāk ir atkarīga gan no gala patērētāju pieprasījuma, gan citu pakalpojumu un ražošanas nozaru pieprasījuma. Otrkārt, pēc ilgstošas stagnācijas pakalpojumu produktivitātes pieaugums vispirms palielinājās ASV, bet </w:t>
      </w:r>
      <w:r w:rsidR="00246C9C">
        <w:rPr>
          <w:bCs/>
          <w:lang w:val="lv-LV"/>
        </w:rPr>
        <w:t xml:space="preserve">tikai </w:t>
      </w:r>
      <w:r w:rsidRPr="00B51DB3">
        <w:rPr>
          <w:bCs/>
          <w:lang w:val="lv-LV"/>
        </w:rPr>
        <w:t>vēlāk arī Eiropā. Šīs tendences galvenais virzītājspēks bija investīcijas informācijas un sakaru tehnoloģijā</w:t>
      </w:r>
      <w:r>
        <w:rPr>
          <w:bCs/>
          <w:lang w:val="lv-LV"/>
        </w:rPr>
        <w:t xml:space="preserve">s (IKT) pakalpojumu nozarēs, jo </w:t>
      </w:r>
      <w:r w:rsidRPr="00B51DB3">
        <w:rPr>
          <w:bCs/>
          <w:lang w:val="lv-LV"/>
        </w:rPr>
        <w:t xml:space="preserve">īpaši mazumtirdzniecībā, loģistikā, transportā un finanšu pakalpojumos. Līdz ar to </w:t>
      </w:r>
      <w:r w:rsidR="00246C9C">
        <w:rPr>
          <w:bCs/>
          <w:lang w:val="lv-LV"/>
        </w:rPr>
        <w:t xml:space="preserve">gaidāmajā ministru sanāksmē </w:t>
      </w:r>
      <w:r w:rsidRPr="00B51DB3">
        <w:rPr>
          <w:bCs/>
          <w:lang w:val="lv-LV"/>
        </w:rPr>
        <w:t>diskusijas var tikt virzītas arī par nepieciešamajām kopīgajām akt</w:t>
      </w:r>
      <w:r>
        <w:rPr>
          <w:bCs/>
          <w:lang w:val="lv-LV"/>
        </w:rPr>
        <w:t>ivitātēm un rīcības virzieniem</w:t>
      </w:r>
      <w:r w:rsidRPr="00B51DB3">
        <w:rPr>
          <w:bCs/>
          <w:lang w:val="lv-LV"/>
        </w:rPr>
        <w:t>, lai veicinātu vēl ciešāku un efektīvāku sadarbību ES Vienotā tirgus stiprināšana</w:t>
      </w:r>
      <w:r w:rsidR="00246C9C">
        <w:rPr>
          <w:bCs/>
          <w:lang w:val="lv-LV"/>
        </w:rPr>
        <w:t>i</w:t>
      </w:r>
      <w:r w:rsidRPr="00B51DB3">
        <w:rPr>
          <w:bCs/>
          <w:lang w:val="lv-LV"/>
        </w:rPr>
        <w:t>, tādejādi nostiprino</w:t>
      </w:r>
      <w:r>
        <w:rPr>
          <w:bCs/>
          <w:lang w:val="lv-LV"/>
        </w:rPr>
        <w:t xml:space="preserve">t konkurētspējas veikumu </w:t>
      </w:r>
      <w:r w:rsidRPr="00B51DB3">
        <w:rPr>
          <w:bCs/>
          <w:lang w:val="lv-LV"/>
        </w:rPr>
        <w:t>starptautisk</w:t>
      </w:r>
      <w:r>
        <w:rPr>
          <w:bCs/>
          <w:lang w:val="lv-LV"/>
        </w:rPr>
        <w:t>aj</w:t>
      </w:r>
      <w:r w:rsidRPr="00B51DB3">
        <w:rPr>
          <w:bCs/>
          <w:lang w:val="lv-LV"/>
        </w:rPr>
        <w:t>ā arēnā.</w:t>
      </w:r>
    </w:p>
    <w:p w:rsidR="00595F0F" w:rsidRPr="007435C1" w:rsidRDefault="00595F0F" w:rsidP="00595F0F">
      <w:r w:rsidRPr="007435C1">
        <w:rPr>
          <w:b/>
          <w:color w:val="000000"/>
          <w:u w:val="single"/>
        </w:rPr>
        <w:t>Latvijas nostāja:</w:t>
      </w:r>
    </w:p>
    <w:p w:rsidR="005704E4" w:rsidRDefault="00077601" w:rsidP="00077601">
      <w:pPr>
        <w:pStyle w:val="BodyText"/>
        <w:spacing w:afterLines="50"/>
        <w:jc w:val="both"/>
        <w:rPr>
          <w:b w:val="0"/>
        </w:rPr>
      </w:pPr>
      <w:r>
        <w:rPr>
          <w:b w:val="0"/>
          <w:szCs w:val="24"/>
        </w:rPr>
        <w:t xml:space="preserve">Latvija </w:t>
      </w:r>
      <w:r w:rsidRPr="00B51DB3">
        <w:rPr>
          <w:b w:val="0"/>
          <w:szCs w:val="24"/>
        </w:rPr>
        <w:t xml:space="preserve">atzinīgi vērtē ES </w:t>
      </w:r>
      <w:r w:rsidR="0009394F">
        <w:rPr>
          <w:b w:val="0"/>
          <w:szCs w:val="24"/>
        </w:rPr>
        <w:t>V</w:t>
      </w:r>
      <w:r w:rsidRPr="00B51DB3">
        <w:rPr>
          <w:b w:val="0"/>
          <w:szCs w:val="24"/>
        </w:rPr>
        <w:t xml:space="preserve">ienotā tirgus izveidi, kas sniedz </w:t>
      </w:r>
      <w:r>
        <w:rPr>
          <w:b w:val="0"/>
          <w:szCs w:val="24"/>
        </w:rPr>
        <w:t xml:space="preserve">ievērojamu ieguldījumu katram sabiedrības loceklim un uzņēmējiem. Vienlaikus </w:t>
      </w:r>
      <w:r w:rsidRPr="00B51DB3">
        <w:rPr>
          <w:b w:val="0"/>
          <w:szCs w:val="24"/>
        </w:rPr>
        <w:t>piekrītam novērtējumam par to, ka ES Vienotais tirgus nav pilnīgs un pastāv pietiekami daudz administratīvu, regulatoru un ne regulatoru šķēršļu uzņēmējdarbības attīstībai pārrobežu kontekstā, jo īpaši pakalpojumu sniegšanas kontekstā, kas liedz pilnībā izmantot ES Vienotā tirgus sniegtās iespē</w:t>
      </w:r>
      <w:r>
        <w:rPr>
          <w:b w:val="0"/>
          <w:szCs w:val="24"/>
        </w:rPr>
        <w:t xml:space="preserve">jas uzņēmējiem un iedzīvotājiem. </w:t>
      </w:r>
      <w:r w:rsidRPr="00B51DB3">
        <w:rPr>
          <w:b w:val="0"/>
          <w:szCs w:val="24"/>
        </w:rPr>
        <w:t>Tas ietekmē arī ES kopējo sniegumu salīdzinājumā ar trešajām valstīm.</w:t>
      </w:r>
      <w:r w:rsidR="00725761">
        <w:rPr>
          <w:b w:val="0"/>
          <w:szCs w:val="24"/>
        </w:rPr>
        <w:t xml:space="preserve"> </w:t>
      </w:r>
      <w:r w:rsidR="00725761" w:rsidRPr="00725761">
        <w:rPr>
          <w:b w:val="0"/>
        </w:rPr>
        <w:t>Latvijas skatījumā ES ilgtermiņā būs ieguvēja no ES Vienotā tirgus stiprināšanas, nevis protekcionisma politikas īstenošanas nacionālā līmenī.</w:t>
      </w:r>
    </w:p>
    <w:p w:rsidR="00077601" w:rsidRPr="00B51DB3" w:rsidRDefault="00725761" w:rsidP="00077601">
      <w:pPr>
        <w:pStyle w:val="BodyText"/>
        <w:spacing w:afterLines="50"/>
        <w:jc w:val="both"/>
        <w:rPr>
          <w:b w:val="0"/>
          <w:szCs w:val="24"/>
        </w:rPr>
      </w:pPr>
      <w:r w:rsidRPr="00725761">
        <w:rPr>
          <w:b w:val="0"/>
        </w:rPr>
        <w:t>ES Vienotā tirgus darboties spēja un integritātes saglabāšana i</w:t>
      </w:r>
      <w:r w:rsidR="00085098">
        <w:rPr>
          <w:b w:val="0"/>
        </w:rPr>
        <w:t>r</w:t>
      </w:r>
      <w:r w:rsidRPr="00725761">
        <w:rPr>
          <w:b w:val="0"/>
        </w:rPr>
        <w:t xml:space="preserve"> būtisk</w:t>
      </w:r>
      <w:r w:rsidR="00085098">
        <w:rPr>
          <w:b w:val="0"/>
        </w:rPr>
        <w:t>a</w:t>
      </w:r>
      <w:r w:rsidRPr="00725761">
        <w:rPr>
          <w:b w:val="0"/>
        </w:rPr>
        <w:t xml:space="preserve"> Latvijas sociālekonomiskai konverģencei. Saredzam, ka sociālo aspektu kontekstā, svarīgi sekmēt sociāli atbildīgu uzņēmējdarbību, vienlaikus strādājot pie konkurences veicināšanas un t</w:t>
      </w:r>
      <w:r w:rsidR="00085098">
        <w:rPr>
          <w:b w:val="0"/>
        </w:rPr>
        <w:t>u</w:t>
      </w:r>
      <w:r w:rsidRPr="00725761">
        <w:rPr>
          <w:b w:val="0"/>
        </w:rPr>
        <w:t>rpinot šķēršļu novēršanu uzņēmējdarbībā (piemēram, cīnoties pret dažādām negodīgām praksēm kā “pastkastīšu uzņēmumi”, nodokļu krāpniecīb</w:t>
      </w:r>
      <w:r w:rsidR="005704E4">
        <w:rPr>
          <w:b w:val="0"/>
        </w:rPr>
        <w:t>a</w:t>
      </w:r>
      <w:r w:rsidRPr="00725761">
        <w:rPr>
          <w:b w:val="0"/>
        </w:rPr>
        <w:t>, nedeklarēt</w:t>
      </w:r>
      <w:r w:rsidR="005704E4">
        <w:rPr>
          <w:b w:val="0"/>
        </w:rPr>
        <w:t>ais</w:t>
      </w:r>
      <w:r w:rsidRPr="00725761">
        <w:rPr>
          <w:b w:val="0"/>
        </w:rPr>
        <w:t xml:space="preserve"> darb</w:t>
      </w:r>
      <w:r w:rsidR="005704E4">
        <w:rPr>
          <w:b w:val="0"/>
        </w:rPr>
        <w:t>s</w:t>
      </w:r>
      <w:r w:rsidRPr="00725761">
        <w:rPr>
          <w:b w:val="0"/>
        </w:rPr>
        <w:t>).</w:t>
      </w:r>
    </w:p>
    <w:p w:rsidR="00077601" w:rsidRPr="00B51DB3" w:rsidRDefault="00077601" w:rsidP="00077601">
      <w:pPr>
        <w:spacing w:afterLines="50"/>
      </w:pPr>
      <w:r>
        <w:t>Latvija atzinīgi vērtē</w:t>
      </w:r>
      <w:r w:rsidRPr="00B51DB3">
        <w:t xml:space="preserve"> </w:t>
      </w:r>
      <w:r w:rsidR="005704E4">
        <w:t>EK</w:t>
      </w:r>
      <w:r w:rsidR="005704E4" w:rsidRPr="00B51DB3">
        <w:t xml:space="preserve"> </w:t>
      </w:r>
      <w:r w:rsidRPr="00B51DB3">
        <w:t xml:space="preserve">paveikto un </w:t>
      </w:r>
      <w:r>
        <w:t>atbalsta</w:t>
      </w:r>
      <w:r w:rsidRPr="00B51DB3">
        <w:t xml:space="preserve"> tālāko darbu pie </w:t>
      </w:r>
      <w:r w:rsidR="005704E4">
        <w:t>P</w:t>
      </w:r>
      <w:r w:rsidRPr="00B51DB3">
        <w:t>akalpojumu pak</w:t>
      </w:r>
      <w:r>
        <w:t xml:space="preserve">otnes </w:t>
      </w:r>
      <w:r w:rsidRPr="00B51DB3">
        <w:t xml:space="preserve">iniciatīvām un </w:t>
      </w:r>
      <w:r w:rsidR="005704E4">
        <w:t>P</w:t>
      </w:r>
      <w:r w:rsidRPr="00B51DB3">
        <w:t xml:space="preserve">reču </w:t>
      </w:r>
      <w:r>
        <w:t>pakotnes</w:t>
      </w:r>
      <w:r w:rsidRPr="00B51DB3">
        <w:t xml:space="preserve"> priekšlikumu apstiprināšanas. </w:t>
      </w:r>
    </w:p>
    <w:p w:rsidR="00077601" w:rsidRPr="00D90E35" w:rsidRDefault="00077601" w:rsidP="005704E4">
      <w:pPr>
        <w:spacing w:afterLines="50"/>
      </w:pPr>
      <w:r w:rsidRPr="00B51DB3">
        <w:t>Vienlaikus Latvijas ieskatā ir svarīgi panākt politikas iniciatīvu saprotamību un vienādu piemērošanu visās ES dalībvalstīs, tādejādi izvairoties no atšķirīgām interp</w:t>
      </w:r>
      <w:r>
        <w:t xml:space="preserve">retācijas iespējām, kas varētu </w:t>
      </w:r>
      <w:r w:rsidRPr="00B51DB3">
        <w:t>negatīvi ietekmē</w:t>
      </w:r>
      <w:r>
        <w:t>t</w:t>
      </w:r>
      <w:r w:rsidRPr="00B51DB3">
        <w:t xml:space="preserve"> ES Vienotā tirgus darbību.</w:t>
      </w:r>
      <w:r w:rsidR="005704E4">
        <w:t xml:space="preserve"> </w:t>
      </w:r>
      <w:r>
        <w:t xml:space="preserve">Latvija vislielāko ieguvumu </w:t>
      </w:r>
      <w:r w:rsidR="0009394F">
        <w:t>ES</w:t>
      </w:r>
      <w:r>
        <w:t xml:space="preserve"> Vienotā tirgus </w:t>
      </w:r>
      <w:r w:rsidRPr="00B51DB3">
        <w:t xml:space="preserve">attīstībā saskata </w:t>
      </w:r>
      <w:r>
        <w:t>iniciatīvās</w:t>
      </w:r>
      <w:r w:rsidRPr="00B51DB3">
        <w:t xml:space="preserve"> pakalpojumu jomas pilnveidošanai un savstarpējās atzīšanas principa ievērošanas uzla</w:t>
      </w:r>
      <w:r>
        <w:t>bošanai.</w:t>
      </w:r>
    </w:p>
    <w:p w:rsidR="000D62AE" w:rsidRDefault="000D62AE" w:rsidP="000D62AE">
      <w:pPr>
        <w:pStyle w:val="BodyText"/>
        <w:jc w:val="both"/>
        <w:rPr>
          <w:b w:val="0"/>
        </w:rPr>
      </w:pPr>
    </w:p>
    <w:p w:rsidR="00595F0F" w:rsidRDefault="009E0ACC" w:rsidP="00642F24">
      <w:pPr>
        <w:pStyle w:val="DashEqual1"/>
        <w:keepNext/>
        <w:keepLines/>
        <w:numPr>
          <w:ilvl w:val="0"/>
          <w:numId w:val="22"/>
        </w:numPr>
        <w:ind w:left="567" w:hanging="567"/>
        <w:rPr>
          <w:b/>
          <w:lang w:val="lv-LV"/>
        </w:rPr>
      </w:pPr>
      <w:r>
        <w:rPr>
          <w:b/>
          <w:lang w:val="lv-LV"/>
        </w:rPr>
        <w:t>Konkurētspējas pārbaude</w:t>
      </w:r>
    </w:p>
    <w:p w:rsidR="009E0ACC" w:rsidRDefault="009E0ACC" w:rsidP="00D47A68">
      <w:pPr>
        <w:pStyle w:val="DashEqual1"/>
        <w:numPr>
          <w:ilvl w:val="0"/>
          <w:numId w:val="0"/>
        </w:numPr>
        <w:spacing w:after="0"/>
        <w:ind w:left="360"/>
        <w:rPr>
          <w:i/>
          <w:lang w:val="lv-LV"/>
        </w:rPr>
      </w:pPr>
      <w:r w:rsidRPr="00796E81">
        <w:rPr>
          <w:i/>
          <w:lang w:val="lv-LV"/>
        </w:rPr>
        <w:t xml:space="preserve">= </w:t>
      </w:r>
      <w:r>
        <w:rPr>
          <w:i/>
          <w:lang w:val="lv-LV"/>
        </w:rPr>
        <w:t>EK sniegta prezentācija</w:t>
      </w:r>
    </w:p>
    <w:p w:rsidR="009E0ACC" w:rsidRDefault="009E0ACC" w:rsidP="009E0ACC">
      <w:pPr>
        <w:pStyle w:val="DashEqual1"/>
        <w:numPr>
          <w:ilvl w:val="0"/>
          <w:numId w:val="0"/>
        </w:numPr>
        <w:ind w:left="360"/>
        <w:rPr>
          <w:i/>
          <w:lang w:val="lv-LV"/>
        </w:rPr>
      </w:pPr>
      <w:r w:rsidRPr="00796E81">
        <w:rPr>
          <w:i/>
          <w:lang w:val="lv-LV"/>
        </w:rPr>
        <w:t xml:space="preserve">= </w:t>
      </w:r>
      <w:r>
        <w:rPr>
          <w:i/>
          <w:lang w:val="lv-LV"/>
        </w:rPr>
        <w:t>Viedokļu apmaiņa</w:t>
      </w:r>
    </w:p>
    <w:p w:rsidR="009E0ACC" w:rsidRDefault="009E0ACC" w:rsidP="005704E4">
      <w:pPr>
        <w:pStyle w:val="DashEqual1"/>
        <w:numPr>
          <w:ilvl w:val="0"/>
          <w:numId w:val="0"/>
        </w:numPr>
        <w:ind w:firstLine="567"/>
        <w:rPr>
          <w:lang w:val="lv-LV"/>
        </w:rPr>
      </w:pPr>
      <w:r>
        <w:rPr>
          <w:lang w:val="lv-LV"/>
        </w:rPr>
        <w:t>Indikatīvi diskusijās par E</w:t>
      </w:r>
      <w:r w:rsidR="00087137">
        <w:rPr>
          <w:lang w:val="lv-LV"/>
        </w:rPr>
        <w:t>S</w:t>
      </w:r>
      <w:r w:rsidRPr="00A40642">
        <w:rPr>
          <w:lang w:val="lv-LV"/>
        </w:rPr>
        <w:t xml:space="preserve"> </w:t>
      </w:r>
      <w:r>
        <w:rPr>
          <w:lang w:val="lv-LV"/>
        </w:rPr>
        <w:t>V</w:t>
      </w:r>
      <w:r w:rsidRPr="00A40642">
        <w:rPr>
          <w:lang w:val="lv-LV"/>
        </w:rPr>
        <w:t>ienotā tirgus sniegumu</w:t>
      </w:r>
      <w:r>
        <w:rPr>
          <w:lang w:val="lv-LV"/>
        </w:rPr>
        <w:t xml:space="preserve"> tiks vērtēta pakalpojumu sektoru regulējum</w:t>
      </w:r>
      <w:r w:rsidR="00CA6ED7">
        <w:rPr>
          <w:lang w:val="lv-LV"/>
        </w:rPr>
        <w:t>a</w:t>
      </w:r>
      <w:r>
        <w:rPr>
          <w:lang w:val="lv-LV"/>
        </w:rPr>
        <w:t xml:space="preserve"> ietekme uz rūpniecību.</w:t>
      </w:r>
    </w:p>
    <w:p w:rsidR="009E0ACC" w:rsidRDefault="00CA6ED7" w:rsidP="005704E4">
      <w:pPr>
        <w:pStyle w:val="DashEqual1"/>
        <w:numPr>
          <w:ilvl w:val="0"/>
          <w:numId w:val="0"/>
        </w:numPr>
        <w:ind w:firstLine="567"/>
        <w:rPr>
          <w:lang w:val="lv-LV"/>
        </w:rPr>
      </w:pPr>
      <w:r>
        <w:rPr>
          <w:lang w:val="lv-LV"/>
        </w:rPr>
        <w:t>EK</w:t>
      </w:r>
      <w:r w:rsidR="009E0ACC">
        <w:rPr>
          <w:lang w:val="lv-LV"/>
        </w:rPr>
        <w:t xml:space="preserve"> analīzes mērķis ir izvērtēt negatīvās sekas, ko rada nevajadzīgi ierobežojumi pakalpojumu tirgū</w:t>
      </w:r>
      <w:r w:rsidR="005704E4">
        <w:rPr>
          <w:lang w:val="lv-LV"/>
        </w:rPr>
        <w:t>,</w:t>
      </w:r>
      <w:r w:rsidR="009E0ACC">
        <w:rPr>
          <w:lang w:val="lv-LV"/>
        </w:rPr>
        <w:t xml:space="preserve"> un potenciālos ieguvumus, no tiem atbrīvojoties. </w:t>
      </w:r>
      <w:r w:rsidR="005377A0">
        <w:rPr>
          <w:lang w:val="lv-LV"/>
        </w:rPr>
        <w:t>EK analīze liecina</w:t>
      </w:r>
      <w:r w:rsidR="009E0ACC">
        <w:rPr>
          <w:lang w:val="lv-LV"/>
        </w:rPr>
        <w:t xml:space="preserve">, ka pakalpojuma sektors ir ne vien nozīmīgs </w:t>
      </w:r>
      <w:r w:rsidR="005704E4">
        <w:rPr>
          <w:lang w:val="lv-LV"/>
        </w:rPr>
        <w:t>tautsaimniecībai kopumā</w:t>
      </w:r>
      <w:r w:rsidR="009E0ACC">
        <w:rPr>
          <w:lang w:val="lv-LV"/>
        </w:rPr>
        <w:t xml:space="preserve">, bet </w:t>
      </w:r>
      <w:r w:rsidR="005704E4">
        <w:rPr>
          <w:lang w:val="lv-LV"/>
        </w:rPr>
        <w:t xml:space="preserve">atstāj </w:t>
      </w:r>
      <w:r w:rsidR="009E0ACC">
        <w:rPr>
          <w:lang w:val="lv-LV"/>
        </w:rPr>
        <w:t>būtisk</w:t>
      </w:r>
      <w:r w:rsidR="005704E4">
        <w:rPr>
          <w:lang w:val="lv-LV"/>
        </w:rPr>
        <w:t>u</w:t>
      </w:r>
      <w:r w:rsidR="009E0ACC">
        <w:rPr>
          <w:lang w:val="lv-LV"/>
        </w:rPr>
        <w:t xml:space="preserve"> ietekm</w:t>
      </w:r>
      <w:r w:rsidR="005704E4">
        <w:rPr>
          <w:lang w:val="lv-LV"/>
        </w:rPr>
        <w:t>i</w:t>
      </w:r>
      <w:r w:rsidR="009E0ACC">
        <w:rPr>
          <w:lang w:val="lv-LV"/>
        </w:rPr>
        <w:t xml:space="preserve"> uz ražošanu.</w:t>
      </w:r>
    </w:p>
    <w:p w:rsidR="009E0ACC" w:rsidRDefault="00BB2998" w:rsidP="005704E4">
      <w:pPr>
        <w:pStyle w:val="DashEqual1"/>
        <w:numPr>
          <w:ilvl w:val="0"/>
          <w:numId w:val="0"/>
        </w:numPr>
        <w:ind w:firstLine="567"/>
        <w:rPr>
          <w:lang w:val="lv-LV"/>
        </w:rPr>
      </w:pPr>
      <w:r>
        <w:rPr>
          <w:lang w:val="lv-LV"/>
        </w:rPr>
        <w:t>Ierobežojoša r</w:t>
      </w:r>
      <w:r w:rsidR="006F3230">
        <w:rPr>
          <w:lang w:val="lv-LV"/>
        </w:rPr>
        <w:t xml:space="preserve">egulējuma samazināšana </w:t>
      </w:r>
      <w:r w:rsidR="009E0ACC">
        <w:rPr>
          <w:lang w:val="lv-LV"/>
        </w:rPr>
        <w:t>pakalpojumu sektor</w:t>
      </w:r>
      <w:r>
        <w:rPr>
          <w:lang w:val="lv-LV"/>
        </w:rPr>
        <w:t>ā</w:t>
      </w:r>
      <w:r w:rsidR="009E0ACC">
        <w:rPr>
          <w:lang w:val="lv-LV"/>
        </w:rPr>
        <w:t xml:space="preserve"> </w:t>
      </w:r>
      <w:r w:rsidR="0009394F">
        <w:rPr>
          <w:lang w:val="lv-LV"/>
        </w:rPr>
        <w:t xml:space="preserve">ES </w:t>
      </w:r>
      <w:r w:rsidR="009E0ACC">
        <w:rPr>
          <w:lang w:val="lv-LV"/>
        </w:rPr>
        <w:t xml:space="preserve">Vienotā tirgus ietvaros var tikt izcelta kā viena no ES prioritātēm. Pēc progresa, kas ticis panākts preču Vienotā tirgus izveidē, arvien lielāka uzmanība tikusi pievērsta pakalpojumu </w:t>
      </w:r>
      <w:r>
        <w:rPr>
          <w:lang w:val="lv-LV"/>
        </w:rPr>
        <w:t xml:space="preserve">savstarpējai </w:t>
      </w:r>
      <w:r w:rsidR="009E0ACC">
        <w:rPr>
          <w:lang w:val="lv-LV"/>
        </w:rPr>
        <w:t xml:space="preserve">tirgu integrācijai. </w:t>
      </w:r>
      <w:r>
        <w:rPr>
          <w:lang w:val="lv-LV"/>
        </w:rPr>
        <w:t>2006. gadā</w:t>
      </w:r>
      <w:r w:rsidR="009E0ACC">
        <w:rPr>
          <w:lang w:val="lv-LV"/>
        </w:rPr>
        <w:t xml:space="preserve"> </w:t>
      </w:r>
      <w:r>
        <w:rPr>
          <w:lang w:val="lv-LV"/>
        </w:rPr>
        <w:t xml:space="preserve">tika pieņemta ES </w:t>
      </w:r>
      <w:r w:rsidR="009E0ACC">
        <w:rPr>
          <w:lang w:val="lv-LV"/>
        </w:rPr>
        <w:t xml:space="preserve">Pakalpojumu direktīva. </w:t>
      </w:r>
    </w:p>
    <w:p w:rsidR="009E0ACC" w:rsidRDefault="00CA6ED7" w:rsidP="005704E4">
      <w:pPr>
        <w:pStyle w:val="DashEqual1"/>
        <w:numPr>
          <w:ilvl w:val="0"/>
          <w:numId w:val="0"/>
        </w:numPr>
        <w:ind w:firstLine="567"/>
        <w:rPr>
          <w:lang w:val="lv-LV"/>
        </w:rPr>
      </w:pPr>
      <w:r>
        <w:rPr>
          <w:lang w:val="lv-LV"/>
        </w:rPr>
        <w:t xml:space="preserve">EK </w:t>
      </w:r>
      <w:r w:rsidR="005377A0">
        <w:rPr>
          <w:lang w:val="lv-LV"/>
        </w:rPr>
        <w:t xml:space="preserve">analīzē </w:t>
      </w:r>
      <w:r w:rsidR="00BC6CF3">
        <w:rPr>
          <w:lang w:val="lv-LV"/>
        </w:rPr>
        <w:t xml:space="preserve">ir izgaismots </w:t>
      </w:r>
      <w:r w:rsidR="005377A0">
        <w:rPr>
          <w:lang w:val="lv-LV"/>
        </w:rPr>
        <w:t>m</w:t>
      </w:r>
      <w:r w:rsidR="009E0ACC" w:rsidRPr="00707651">
        <w:rPr>
          <w:lang w:val="lv-LV"/>
        </w:rPr>
        <w:t>azum</w:t>
      </w:r>
      <w:r w:rsidR="009E0ACC">
        <w:rPr>
          <w:lang w:val="lv-LV"/>
        </w:rPr>
        <w:t>tirdzniecības sektors</w:t>
      </w:r>
      <w:r w:rsidR="00BC6CF3">
        <w:rPr>
          <w:lang w:val="lv-LV"/>
        </w:rPr>
        <w:t xml:space="preserve">, kas ir </w:t>
      </w:r>
      <w:r w:rsidR="009E0ACC">
        <w:rPr>
          <w:lang w:val="lv-LV"/>
        </w:rPr>
        <w:t xml:space="preserve">specifisks ar to, ka </w:t>
      </w:r>
      <w:r w:rsidR="00BC6CF3">
        <w:rPr>
          <w:lang w:val="lv-LV"/>
        </w:rPr>
        <w:t xml:space="preserve">kā </w:t>
      </w:r>
      <w:r w:rsidR="009E0ACC" w:rsidRPr="00707651">
        <w:rPr>
          <w:lang w:val="lv-LV"/>
        </w:rPr>
        <w:t>tautsaimniecības sektors ar zemu pievienoto vērtību</w:t>
      </w:r>
      <w:r w:rsidR="00BC6CF3">
        <w:rPr>
          <w:lang w:val="lv-LV"/>
        </w:rPr>
        <w:t xml:space="preserve"> </w:t>
      </w:r>
      <w:r w:rsidR="009E0ACC">
        <w:rPr>
          <w:lang w:val="lv-LV"/>
        </w:rPr>
        <w:t xml:space="preserve">nodrošina </w:t>
      </w:r>
      <w:r w:rsidR="00BC6CF3">
        <w:rPr>
          <w:lang w:val="lv-LV"/>
        </w:rPr>
        <w:t xml:space="preserve">kā būtiskus </w:t>
      </w:r>
      <w:r w:rsidR="009E0ACC" w:rsidRPr="00707651">
        <w:rPr>
          <w:lang w:val="lv-LV"/>
        </w:rPr>
        <w:t>tiešos</w:t>
      </w:r>
      <w:r w:rsidR="009E0ACC">
        <w:rPr>
          <w:lang w:val="lv-LV"/>
        </w:rPr>
        <w:t xml:space="preserve"> ieguvumus </w:t>
      </w:r>
      <w:r w:rsidR="00BC6CF3">
        <w:rPr>
          <w:lang w:val="lv-LV"/>
        </w:rPr>
        <w:t xml:space="preserve">attiecībā uz </w:t>
      </w:r>
      <w:r w:rsidR="009E0ACC">
        <w:rPr>
          <w:lang w:val="lv-LV"/>
        </w:rPr>
        <w:t>nodarbinātīb</w:t>
      </w:r>
      <w:r w:rsidR="00BC6CF3">
        <w:rPr>
          <w:lang w:val="lv-LV"/>
        </w:rPr>
        <w:t>u</w:t>
      </w:r>
      <w:r w:rsidR="009E0ACC">
        <w:rPr>
          <w:lang w:val="lv-LV"/>
        </w:rPr>
        <w:t xml:space="preserve"> un produktivitāt</w:t>
      </w:r>
      <w:r w:rsidR="00BC6CF3">
        <w:rPr>
          <w:lang w:val="lv-LV"/>
        </w:rPr>
        <w:t>i</w:t>
      </w:r>
      <w:r w:rsidR="009E0ACC">
        <w:rPr>
          <w:lang w:val="lv-LV"/>
        </w:rPr>
        <w:t xml:space="preserve">, </w:t>
      </w:r>
      <w:r w:rsidR="00BC6CF3">
        <w:rPr>
          <w:lang w:val="lv-LV"/>
        </w:rPr>
        <w:t xml:space="preserve">tā </w:t>
      </w:r>
      <w:r w:rsidR="009E0ACC">
        <w:rPr>
          <w:lang w:val="lv-LV"/>
        </w:rPr>
        <w:t>netiešos ieguvumus</w:t>
      </w:r>
      <w:r w:rsidR="00BC6CF3">
        <w:rPr>
          <w:lang w:val="lv-LV"/>
        </w:rPr>
        <w:t xml:space="preserve"> –sekmējot </w:t>
      </w:r>
      <w:r w:rsidR="009E0ACC" w:rsidRPr="00707651">
        <w:rPr>
          <w:lang w:val="lv-LV"/>
        </w:rPr>
        <w:t xml:space="preserve">cenu samazināšanos, augstāku produktivitāti </w:t>
      </w:r>
      <w:r w:rsidR="00AE705E">
        <w:rPr>
          <w:lang w:val="lv-LV"/>
        </w:rPr>
        <w:t>izejmateriālu ieguves (</w:t>
      </w:r>
      <w:r w:rsidR="009E0ACC" w:rsidRPr="00DD6696">
        <w:rPr>
          <w:i/>
          <w:lang w:val="lv-LV"/>
        </w:rPr>
        <w:t>up-stream manufacturing</w:t>
      </w:r>
      <w:r w:rsidR="00AE705E">
        <w:rPr>
          <w:i/>
          <w:lang w:val="lv-LV"/>
        </w:rPr>
        <w:t>)</w:t>
      </w:r>
      <w:r w:rsidR="009E0ACC">
        <w:rPr>
          <w:lang w:val="lv-LV"/>
        </w:rPr>
        <w:t xml:space="preserve"> sektoros</w:t>
      </w:r>
      <w:r w:rsidR="00BC6CF3">
        <w:rPr>
          <w:lang w:val="lv-LV"/>
        </w:rPr>
        <w:t>,</w:t>
      </w:r>
      <w:r w:rsidR="009E0ACC">
        <w:rPr>
          <w:lang w:val="lv-LV"/>
        </w:rPr>
        <w:t xml:space="preserve"> kā arī</w:t>
      </w:r>
      <w:r w:rsidR="009E0ACC" w:rsidRPr="00707651">
        <w:rPr>
          <w:lang w:val="lv-LV"/>
        </w:rPr>
        <w:t xml:space="preserve"> veicin</w:t>
      </w:r>
      <w:r w:rsidR="00BC6CF3">
        <w:rPr>
          <w:lang w:val="lv-LV"/>
        </w:rPr>
        <w:t>ot</w:t>
      </w:r>
      <w:r w:rsidR="009E0ACC" w:rsidRPr="00707651">
        <w:rPr>
          <w:lang w:val="lv-LV"/>
        </w:rPr>
        <w:t xml:space="preserve"> i</w:t>
      </w:r>
      <w:r w:rsidR="009E0ACC">
        <w:rPr>
          <w:lang w:val="lv-LV"/>
        </w:rPr>
        <w:t>nvestīcijas jaunās tehnoloģijās</w:t>
      </w:r>
      <w:r w:rsidR="009E0ACC" w:rsidRPr="00707651">
        <w:rPr>
          <w:lang w:val="lv-LV"/>
        </w:rPr>
        <w:t>.</w:t>
      </w:r>
      <w:r w:rsidR="009E0ACC">
        <w:rPr>
          <w:lang w:val="lv-LV"/>
        </w:rPr>
        <w:t xml:space="preserve"> Pēdējos gados </w:t>
      </w:r>
      <w:r w:rsidR="00BB2998">
        <w:rPr>
          <w:lang w:val="lv-LV"/>
        </w:rPr>
        <w:t>ES</w:t>
      </w:r>
      <w:r w:rsidR="009E0ACC" w:rsidRPr="00707651">
        <w:rPr>
          <w:lang w:val="lv-LV"/>
        </w:rPr>
        <w:t xml:space="preserve"> vidējais </w:t>
      </w:r>
      <w:r w:rsidR="00BC6CF3">
        <w:rPr>
          <w:i/>
          <w:lang w:val="lv-LV"/>
        </w:rPr>
        <w:t xml:space="preserve">OECD </w:t>
      </w:r>
      <w:r w:rsidR="009E0ACC" w:rsidRPr="00DD6696">
        <w:rPr>
          <w:i/>
          <w:lang w:val="lv-LV"/>
        </w:rPr>
        <w:t>Restrictiveness Index</w:t>
      </w:r>
      <w:r w:rsidR="009E0ACC" w:rsidRPr="00707651">
        <w:rPr>
          <w:lang w:val="lv-LV"/>
        </w:rPr>
        <w:t xml:space="preserve"> </w:t>
      </w:r>
      <w:r w:rsidR="007D0CAA">
        <w:rPr>
          <w:lang w:val="lv-LV"/>
        </w:rPr>
        <w:t xml:space="preserve">attiecībā uz mazumtirdzniecību </w:t>
      </w:r>
      <w:r w:rsidR="009E0ACC" w:rsidRPr="00707651">
        <w:rPr>
          <w:lang w:val="lv-LV"/>
        </w:rPr>
        <w:t>ir</w:t>
      </w:r>
      <w:r w:rsidR="009E0ACC">
        <w:rPr>
          <w:lang w:val="lv-LV"/>
        </w:rPr>
        <w:t xml:space="preserve"> krities</w:t>
      </w:r>
      <w:r w:rsidR="007D0CAA">
        <w:rPr>
          <w:lang w:val="lv-LV"/>
        </w:rPr>
        <w:t>. A</w:t>
      </w:r>
      <w:r w:rsidR="009E0ACC">
        <w:rPr>
          <w:lang w:val="lv-LV"/>
        </w:rPr>
        <w:t xml:space="preserve">tšķirības starp </w:t>
      </w:r>
      <w:r w:rsidR="007D0CAA">
        <w:rPr>
          <w:lang w:val="lv-LV"/>
        </w:rPr>
        <w:t xml:space="preserve">ES </w:t>
      </w:r>
      <w:r w:rsidR="009E0ACC">
        <w:rPr>
          <w:lang w:val="lv-LV"/>
        </w:rPr>
        <w:t>dalībvalstu maksimālajām</w:t>
      </w:r>
      <w:r w:rsidR="009E0ACC" w:rsidRPr="00707651">
        <w:rPr>
          <w:lang w:val="lv-LV"/>
        </w:rPr>
        <w:t xml:space="preserve"> un</w:t>
      </w:r>
      <w:r w:rsidR="009E0ACC">
        <w:rPr>
          <w:lang w:val="lv-LV"/>
        </w:rPr>
        <w:t xml:space="preserve"> minimālajām</w:t>
      </w:r>
      <w:r w:rsidR="009E0ACC" w:rsidRPr="00707651">
        <w:rPr>
          <w:lang w:val="lv-LV"/>
        </w:rPr>
        <w:t xml:space="preserve"> vērtībām </w:t>
      </w:r>
      <w:r w:rsidR="007D0CAA">
        <w:rPr>
          <w:lang w:val="lv-LV"/>
        </w:rPr>
        <w:t>saglabājas</w:t>
      </w:r>
      <w:r w:rsidR="007D0CAA" w:rsidRPr="00707651">
        <w:rPr>
          <w:lang w:val="lv-LV"/>
        </w:rPr>
        <w:t xml:space="preserve"> </w:t>
      </w:r>
      <w:r w:rsidR="009E0ACC" w:rsidRPr="00707651">
        <w:rPr>
          <w:lang w:val="lv-LV"/>
        </w:rPr>
        <w:t>samērā liela</w:t>
      </w:r>
      <w:r w:rsidR="009E0ACC">
        <w:rPr>
          <w:lang w:val="lv-LV"/>
        </w:rPr>
        <w:t>s</w:t>
      </w:r>
      <w:r w:rsidR="009E0ACC" w:rsidRPr="00707651">
        <w:rPr>
          <w:lang w:val="lv-LV"/>
        </w:rPr>
        <w:t xml:space="preserve">. </w:t>
      </w:r>
      <w:r w:rsidR="007D0CAA">
        <w:rPr>
          <w:lang w:val="lv-LV"/>
        </w:rPr>
        <w:t>Šis i</w:t>
      </w:r>
      <w:r w:rsidR="009E0ACC" w:rsidRPr="00707651">
        <w:rPr>
          <w:lang w:val="lv-LV"/>
        </w:rPr>
        <w:t xml:space="preserve">ndekss </w:t>
      </w:r>
      <w:r w:rsidR="007D0CAA">
        <w:rPr>
          <w:lang w:val="lv-LV"/>
        </w:rPr>
        <w:t xml:space="preserve">ir komplekss rādītājs, kas </w:t>
      </w:r>
      <w:r w:rsidR="009E0ACC" w:rsidRPr="00707651">
        <w:rPr>
          <w:lang w:val="lv-LV"/>
        </w:rPr>
        <w:t xml:space="preserve">sastāv no sešiem apakš elementiem, </w:t>
      </w:r>
      <w:r w:rsidR="007D0CAA">
        <w:rPr>
          <w:lang w:val="lv-LV"/>
        </w:rPr>
        <w:t>un</w:t>
      </w:r>
      <w:r w:rsidR="007D0CAA" w:rsidRPr="00707651">
        <w:rPr>
          <w:lang w:val="lv-LV"/>
        </w:rPr>
        <w:t xml:space="preserve"> </w:t>
      </w:r>
      <w:r w:rsidR="009E0ACC" w:rsidRPr="00707651">
        <w:rPr>
          <w:lang w:val="lv-LV"/>
        </w:rPr>
        <w:t xml:space="preserve">tiešā mērā </w:t>
      </w:r>
      <w:r w:rsidR="007D0CAA">
        <w:rPr>
          <w:lang w:val="lv-LV"/>
        </w:rPr>
        <w:t xml:space="preserve">uzskatāmi atspoguļo </w:t>
      </w:r>
      <w:r w:rsidR="009E0ACC" w:rsidRPr="00707651">
        <w:rPr>
          <w:lang w:val="lv-LV"/>
        </w:rPr>
        <w:t>mazumtirdzniecības regulējumu – tirdzniecības atļa</w:t>
      </w:r>
      <w:r w:rsidR="009E0ACC">
        <w:rPr>
          <w:lang w:val="lv-LV"/>
        </w:rPr>
        <w:t>ujas/licences, cenu kontrol</w:t>
      </w:r>
      <w:r w:rsidR="007D0CAA">
        <w:rPr>
          <w:lang w:val="lv-LV"/>
        </w:rPr>
        <w:t>i</w:t>
      </w:r>
      <w:r w:rsidR="009E0ACC">
        <w:rPr>
          <w:lang w:val="lv-LV"/>
        </w:rPr>
        <w:t xml:space="preserve"> u</w:t>
      </w:r>
      <w:r w:rsidR="009E0ACC" w:rsidRPr="00707651">
        <w:rPr>
          <w:lang w:val="lv-LV"/>
        </w:rPr>
        <w:t>.</w:t>
      </w:r>
      <w:r w:rsidR="009E0ACC">
        <w:rPr>
          <w:lang w:val="lv-LV"/>
        </w:rPr>
        <w:t>c.</w:t>
      </w:r>
    </w:p>
    <w:tbl>
      <w:tblPr>
        <w:tblStyle w:val="TableGrid"/>
        <w:tblW w:w="945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
        <w:gridCol w:w="439"/>
        <w:gridCol w:w="506"/>
        <w:gridCol w:w="3815"/>
        <w:gridCol w:w="3556"/>
        <w:gridCol w:w="425"/>
        <w:gridCol w:w="236"/>
      </w:tblGrid>
      <w:tr w:rsidR="00792ACC" w:rsidRPr="00F77AE8" w:rsidTr="00DE1244">
        <w:trPr>
          <w:gridAfter w:val="1"/>
          <w:wAfter w:w="236" w:type="dxa"/>
          <w:trHeight w:val="405"/>
        </w:trPr>
        <w:tc>
          <w:tcPr>
            <w:tcW w:w="473" w:type="dxa"/>
          </w:tcPr>
          <w:p w:rsidR="00792ACC" w:rsidRPr="00F77AE8" w:rsidRDefault="00792ACC" w:rsidP="00DE1244">
            <w:pPr>
              <w:ind w:left="142"/>
              <w:rPr>
                <w:lang w:val="lv-LV"/>
              </w:rPr>
            </w:pPr>
          </w:p>
        </w:tc>
        <w:tc>
          <w:tcPr>
            <w:tcW w:w="945" w:type="dxa"/>
            <w:gridSpan w:val="2"/>
          </w:tcPr>
          <w:p w:rsidR="00792ACC" w:rsidRPr="00F77AE8" w:rsidRDefault="00792ACC" w:rsidP="00DE1244">
            <w:pPr>
              <w:rPr>
                <w:lang w:val="lv-LV"/>
              </w:rPr>
            </w:pPr>
          </w:p>
        </w:tc>
        <w:tc>
          <w:tcPr>
            <w:tcW w:w="3815" w:type="dxa"/>
            <w:shd w:val="clear" w:color="auto" w:fill="DEEAF6" w:themeFill="accent5" w:themeFillTint="33"/>
            <w:vAlign w:val="center"/>
          </w:tcPr>
          <w:p w:rsidR="00792ACC" w:rsidRPr="00F77AE8" w:rsidRDefault="00792ACC" w:rsidP="00347D1B">
            <w:pPr>
              <w:ind w:left="-153" w:firstLine="0"/>
              <w:jc w:val="center"/>
              <w:rPr>
                <w:rFonts w:asciiTheme="minorHAnsi" w:hAnsiTheme="minorHAnsi"/>
                <w:sz w:val="22"/>
                <w:szCs w:val="20"/>
                <w:lang w:val="lv-LV"/>
              </w:rPr>
            </w:pPr>
            <w:r w:rsidRPr="00F77AE8">
              <w:rPr>
                <w:rFonts w:asciiTheme="minorHAnsi" w:hAnsiTheme="minorHAnsi"/>
                <w:sz w:val="22"/>
                <w:szCs w:val="20"/>
                <w:lang w:val="lv-LV"/>
              </w:rPr>
              <w:t xml:space="preserve">DV ar mazāk ierobežojošiem mazumtirdzniecības tirgiem </w:t>
            </w:r>
          </w:p>
        </w:tc>
        <w:tc>
          <w:tcPr>
            <w:tcW w:w="3556" w:type="dxa"/>
            <w:shd w:val="clear" w:color="auto" w:fill="9CC2E5" w:themeFill="accent5" w:themeFillTint="99"/>
            <w:vAlign w:val="center"/>
          </w:tcPr>
          <w:p w:rsidR="00792ACC" w:rsidRPr="00F77AE8" w:rsidRDefault="00792ACC" w:rsidP="00347D1B">
            <w:pPr>
              <w:ind w:left="-249" w:right="-62" w:firstLine="0"/>
              <w:jc w:val="center"/>
              <w:rPr>
                <w:rFonts w:asciiTheme="minorHAnsi" w:hAnsiTheme="minorHAnsi"/>
                <w:sz w:val="22"/>
                <w:szCs w:val="20"/>
                <w:lang w:val="lv-LV"/>
              </w:rPr>
            </w:pPr>
            <w:r w:rsidRPr="00F77AE8">
              <w:rPr>
                <w:rFonts w:asciiTheme="minorHAnsi" w:hAnsiTheme="minorHAnsi"/>
                <w:sz w:val="22"/>
                <w:szCs w:val="20"/>
                <w:lang w:val="lv-LV"/>
              </w:rPr>
              <w:t>DV ar vairāk ierobežojošiem mazumtirdzniecības tirgiem</w:t>
            </w:r>
          </w:p>
        </w:tc>
        <w:tc>
          <w:tcPr>
            <w:tcW w:w="425" w:type="dxa"/>
          </w:tcPr>
          <w:p w:rsidR="00792ACC" w:rsidRPr="00F77AE8" w:rsidRDefault="00792ACC" w:rsidP="00DE1244">
            <w:pPr>
              <w:rPr>
                <w:lang w:val="lv-LV"/>
              </w:rPr>
            </w:pPr>
          </w:p>
        </w:tc>
      </w:tr>
      <w:tr w:rsidR="00792ACC" w:rsidRPr="00F77AE8" w:rsidTr="00DE1244">
        <w:trPr>
          <w:gridAfter w:val="1"/>
          <w:wAfter w:w="236" w:type="dxa"/>
          <w:cantSplit/>
          <w:trHeight w:val="114"/>
        </w:trPr>
        <w:tc>
          <w:tcPr>
            <w:tcW w:w="473" w:type="dxa"/>
            <w:shd w:val="clear" w:color="auto" w:fill="FFFFFF" w:themeFill="background1"/>
            <w:textDirection w:val="btLr"/>
            <w:vAlign w:val="center"/>
          </w:tcPr>
          <w:p w:rsidR="00792ACC" w:rsidRPr="00F77AE8" w:rsidRDefault="00792ACC" w:rsidP="00DE1244">
            <w:pPr>
              <w:ind w:left="113" w:right="113"/>
              <w:rPr>
                <w:rFonts w:ascii="Bell MT" w:hAnsi="Bell MT"/>
                <w:lang w:val="lv-LV"/>
              </w:rPr>
            </w:pPr>
            <w:r w:rsidRPr="00F77AE8">
              <w:rPr>
                <w:rFonts w:ascii="Bell MT" w:hAnsi="Bell MT"/>
                <w:lang w:val="lv-LV"/>
              </w:rPr>
              <w:t xml:space="preserve"> </w:t>
            </w:r>
          </w:p>
        </w:tc>
        <w:tc>
          <w:tcPr>
            <w:tcW w:w="439" w:type="dxa"/>
            <w:shd w:val="clear" w:color="auto" w:fill="FFFFFF" w:themeFill="background1"/>
            <w:textDirection w:val="btLr"/>
          </w:tcPr>
          <w:p w:rsidR="00792ACC" w:rsidRPr="00F77AE8" w:rsidRDefault="00792ACC" w:rsidP="00DE1244">
            <w:pPr>
              <w:ind w:left="113" w:right="113"/>
              <w:jc w:val="center"/>
              <w:rPr>
                <w:rFonts w:ascii="Bell MT" w:hAnsi="Bell MT"/>
                <w:sz w:val="20"/>
                <w:szCs w:val="19"/>
                <w:lang w:val="lv-LV"/>
              </w:rPr>
            </w:pPr>
          </w:p>
        </w:tc>
        <w:tc>
          <w:tcPr>
            <w:tcW w:w="7877" w:type="dxa"/>
            <w:gridSpan w:val="3"/>
            <w:vMerge w:val="restart"/>
          </w:tcPr>
          <w:p w:rsidR="00792ACC" w:rsidRPr="00F77AE8" w:rsidRDefault="00792ACC" w:rsidP="00DE1244">
            <w:pPr>
              <w:rPr>
                <w:lang w:val="lv-LV"/>
              </w:rPr>
            </w:pPr>
            <w:r w:rsidRPr="00F77AE8">
              <w:rPr>
                <w:noProof/>
              </w:rPr>
              <w:drawing>
                <wp:inline distT="0" distB="0" distL="0" distR="0">
                  <wp:extent cx="4942936" cy="2803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946635" cy="2805683"/>
                          </a:xfrm>
                          <a:prstGeom prst="rect">
                            <a:avLst/>
                          </a:prstGeom>
                        </pic:spPr>
                      </pic:pic>
                    </a:graphicData>
                  </a:graphic>
                </wp:inline>
              </w:drawing>
            </w:r>
          </w:p>
        </w:tc>
        <w:tc>
          <w:tcPr>
            <w:tcW w:w="425" w:type="dxa"/>
            <w:shd w:val="clear" w:color="auto" w:fill="FFFFFF" w:themeFill="background1"/>
            <w:textDirection w:val="tbRl"/>
          </w:tcPr>
          <w:p w:rsidR="00792ACC" w:rsidRPr="00F77AE8" w:rsidRDefault="00792ACC" w:rsidP="00DE1244">
            <w:pPr>
              <w:ind w:left="113" w:right="146"/>
              <w:rPr>
                <w:sz w:val="20"/>
                <w:szCs w:val="18"/>
                <w:lang w:val="lv-LV"/>
              </w:rPr>
            </w:pPr>
          </w:p>
        </w:tc>
      </w:tr>
      <w:tr w:rsidR="00792ACC" w:rsidRPr="00F77AE8" w:rsidTr="00DE1244">
        <w:trPr>
          <w:gridAfter w:val="1"/>
          <w:wAfter w:w="236" w:type="dxa"/>
          <w:cantSplit/>
          <w:trHeight w:val="1986"/>
        </w:trPr>
        <w:tc>
          <w:tcPr>
            <w:tcW w:w="473" w:type="dxa"/>
            <w:vMerge w:val="restart"/>
            <w:shd w:val="clear" w:color="auto" w:fill="FFFFFF" w:themeFill="background1"/>
            <w:textDirection w:val="btLr"/>
            <w:vAlign w:val="center"/>
          </w:tcPr>
          <w:p w:rsidR="00792ACC" w:rsidRPr="00F77AE8" w:rsidRDefault="00792ACC" w:rsidP="00792ACC">
            <w:pPr>
              <w:ind w:left="113" w:right="113" w:firstLine="0"/>
              <w:jc w:val="center"/>
              <w:rPr>
                <w:rFonts w:asciiTheme="minorHAnsi" w:hAnsiTheme="minorHAnsi"/>
                <w:lang w:val="lv-LV"/>
              </w:rPr>
            </w:pPr>
            <w:r w:rsidRPr="00F77AE8">
              <w:rPr>
                <w:rFonts w:asciiTheme="minorHAnsi" w:hAnsiTheme="minorHAnsi"/>
                <w:lang w:val="lv-LV"/>
              </w:rPr>
              <w:t>Vidējais nomaiņas temps 2014-15</w:t>
            </w:r>
          </w:p>
        </w:tc>
        <w:tc>
          <w:tcPr>
            <w:tcW w:w="439" w:type="dxa"/>
            <w:shd w:val="clear" w:color="auto" w:fill="F7CAAC" w:themeFill="accent2" w:themeFillTint="66"/>
            <w:textDirection w:val="btLr"/>
          </w:tcPr>
          <w:p w:rsidR="00792ACC" w:rsidRPr="00F77AE8" w:rsidRDefault="00792ACC" w:rsidP="00347D1B">
            <w:pPr>
              <w:ind w:firstLine="0"/>
              <w:jc w:val="center"/>
              <w:rPr>
                <w:rFonts w:asciiTheme="minorHAnsi" w:hAnsiTheme="minorHAnsi"/>
                <w:sz w:val="20"/>
                <w:szCs w:val="19"/>
                <w:lang w:val="lv-LV"/>
              </w:rPr>
            </w:pPr>
            <w:r w:rsidRPr="00F77AE8">
              <w:rPr>
                <w:rFonts w:asciiTheme="minorHAnsi" w:hAnsiTheme="minorHAnsi"/>
                <w:sz w:val="20"/>
                <w:szCs w:val="19"/>
                <w:lang w:val="lv-LV"/>
              </w:rPr>
              <w:t>Vairāk dinamiski tirgi</w:t>
            </w:r>
          </w:p>
        </w:tc>
        <w:tc>
          <w:tcPr>
            <w:tcW w:w="7877" w:type="dxa"/>
            <w:gridSpan w:val="3"/>
            <w:vMerge/>
          </w:tcPr>
          <w:p w:rsidR="00792ACC" w:rsidRPr="00F77AE8" w:rsidRDefault="00792ACC" w:rsidP="00DE1244">
            <w:pPr>
              <w:rPr>
                <w:lang w:val="lv-LV"/>
              </w:rPr>
            </w:pPr>
          </w:p>
        </w:tc>
        <w:tc>
          <w:tcPr>
            <w:tcW w:w="425" w:type="dxa"/>
            <w:shd w:val="clear" w:color="auto" w:fill="F7CAAC" w:themeFill="accent2" w:themeFillTint="66"/>
            <w:textDirection w:val="tbRl"/>
          </w:tcPr>
          <w:p w:rsidR="00792ACC" w:rsidRPr="00F77AE8" w:rsidRDefault="00792ACC" w:rsidP="00347D1B">
            <w:pPr>
              <w:ind w:left="113" w:right="146" w:firstLine="0"/>
              <w:jc w:val="center"/>
              <w:rPr>
                <w:rFonts w:asciiTheme="minorHAnsi" w:hAnsiTheme="minorHAnsi"/>
                <w:sz w:val="20"/>
                <w:szCs w:val="18"/>
                <w:lang w:val="lv-LV"/>
              </w:rPr>
            </w:pPr>
            <w:r w:rsidRPr="00F77AE8">
              <w:rPr>
                <w:rFonts w:asciiTheme="minorHAnsi" w:hAnsiTheme="minorHAnsi"/>
                <w:sz w:val="20"/>
                <w:szCs w:val="19"/>
                <w:lang w:val="lv-LV"/>
              </w:rPr>
              <w:t>Vairāk dinamiski tirgi</w:t>
            </w:r>
          </w:p>
        </w:tc>
      </w:tr>
      <w:tr w:rsidR="00792ACC" w:rsidRPr="00F77AE8" w:rsidTr="00DE1244">
        <w:trPr>
          <w:gridAfter w:val="1"/>
          <w:wAfter w:w="236" w:type="dxa"/>
          <w:cantSplit/>
          <w:trHeight w:val="1950"/>
        </w:trPr>
        <w:tc>
          <w:tcPr>
            <w:tcW w:w="473" w:type="dxa"/>
            <w:vMerge/>
            <w:shd w:val="clear" w:color="auto" w:fill="FFFFFF" w:themeFill="background1"/>
          </w:tcPr>
          <w:p w:rsidR="00792ACC" w:rsidRPr="00F77AE8" w:rsidRDefault="00792ACC" w:rsidP="00DE1244">
            <w:pPr>
              <w:ind w:left="142"/>
              <w:rPr>
                <w:lang w:val="lv-LV"/>
              </w:rPr>
            </w:pPr>
          </w:p>
        </w:tc>
        <w:tc>
          <w:tcPr>
            <w:tcW w:w="439" w:type="dxa"/>
            <w:shd w:val="clear" w:color="auto" w:fill="FBE4D5" w:themeFill="accent2" w:themeFillTint="33"/>
            <w:textDirection w:val="btLr"/>
          </w:tcPr>
          <w:p w:rsidR="00792ACC" w:rsidRPr="00F77AE8" w:rsidRDefault="00792ACC" w:rsidP="00347D1B">
            <w:pPr>
              <w:ind w:firstLine="0"/>
              <w:jc w:val="center"/>
              <w:rPr>
                <w:rFonts w:asciiTheme="minorHAnsi" w:hAnsiTheme="minorHAnsi"/>
                <w:sz w:val="20"/>
                <w:szCs w:val="19"/>
                <w:lang w:val="lv-LV"/>
              </w:rPr>
            </w:pPr>
            <w:r w:rsidRPr="00F77AE8">
              <w:rPr>
                <w:rFonts w:asciiTheme="minorHAnsi" w:hAnsiTheme="minorHAnsi"/>
                <w:sz w:val="20"/>
                <w:szCs w:val="19"/>
                <w:lang w:val="lv-LV"/>
              </w:rPr>
              <w:t>Mazāk dinamiski tirgi</w:t>
            </w:r>
          </w:p>
        </w:tc>
        <w:tc>
          <w:tcPr>
            <w:tcW w:w="7877" w:type="dxa"/>
            <w:gridSpan w:val="3"/>
            <w:vMerge/>
            <w:shd w:val="clear" w:color="auto" w:fill="FBE4D5" w:themeFill="accent2" w:themeFillTint="33"/>
          </w:tcPr>
          <w:p w:rsidR="00792ACC" w:rsidRPr="00F77AE8" w:rsidRDefault="00792ACC" w:rsidP="00DE1244">
            <w:pPr>
              <w:rPr>
                <w:lang w:val="lv-LV"/>
              </w:rPr>
            </w:pPr>
          </w:p>
        </w:tc>
        <w:tc>
          <w:tcPr>
            <w:tcW w:w="425" w:type="dxa"/>
            <w:shd w:val="clear" w:color="auto" w:fill="FBE4D5" w:themeFill="accent2" w:themeFillTint="33"/>
            <w:textDirection w:val="tbRl"/>
          </w:tcPr>
          <w:p w:rsidR="00792ACC" w:rsidRPr="00F77AE8" w:rsidRDefault="00792ACC" w:rsidP="00347D1B">
            <w:pPr>
              <w:ind w:left="113" w:right="-306" w:firstLine="0"/>
              <w:rPr>
                <w:rFonts w:asciiTheme="minorHAnsi" w:hAnsiTheme="minorHAnsi"/>
                <w:sz w:val="20"/>
                <w:szCs w:val="18"/>
                <w:lang w:val="lv-LV"/>
              </w:rPr>
            </w:pPr>
            <w:r w:rsidRPr="00F77AE8">
              <w:rPr>
                <w:rFonts w:asciiTheme="minorHAnsi" w:hAnsiTheme="minorHAnsi"/>
                <w:sz w:val="20"/>
                <w:szCs w:val="19"/>
                <w:lang w:val="lv-LV"/>
              </w:rPr>
              <w:t>Mazāk dinamiski tirgi</w:t>
            </w:r>
          </w:p>
        </w:tc>
      </w:tr>
      <w:tr w:rsidR="00792ACC" w:rsidRPr="00F77AE8" w:rsidTr="00DE1244">
        <w:trPr>
          <w:gridAfter w:val="1"/>
          <w:wAfter w:w="236" w:type="dxa"/>
          <w:cantSplit/>
          <w:trHeight w:val="413"/>
        </w:trPr>
        <w:tc>
          <w:tcPr>
            <w:tcW w:w="473" w:type="dxa"/>
            <w:shd w:val="clear" w:color="auto" w:fill="FFFFFF" w:themeFill="background1"/>
          </w:tcPr>
          <w:p w:rsidR="00792ACC" w:rsidRPr="00F77AE8" w:rsidRDefault="00792ACC" w:rsidP="00DE1244">
            <w:pPr>
              <w:ind w:left="142"/>
              <w:rPr>
                <w:lang w:val="lv-LV"/>
              </w:rPr>
            </w:pPr>
          </w:p>
        </w:tc>
        <w:tc>
          <w:tcPr>
            <w:tcW w:w="439" w:type="dxa"/>
            <w:shd w:val="clear" w:color="auto" w:fill="FFFFFF" w:themeFill="background1"/>
            <w:textDirection w:val="btLr"/>
          </w:tcPr>
          <w:p w:rsidR="00792ACC" w:rsidRPr="00F77AE8" w:rsidRDefault="00792ACC" w:rsidP="00DE1244">
            <w:pPr>
              <w:ind w:left="113" w:right="113"/>
              <w:jc w:val="right"/>
              <w:rPr>
                <w:rFonts w:ascii="Bell MT" w:hAnsi="Bell MT"/>
                <w:sz w:val="22"/>
                <w:szCs w:val="20"/>
                <w:lang w:val="lv-LV"/>
              </w:rPr>
            </w:pPr>
          </w:p>
        </w:tc>
        <w:tc>
          <w:tcPr>
            <w:tcW w:w="7877" w:type="dxa"/>
            <w:gridSpan w:val="3"/>
            <w:vMerge/>
            <w:shd w:val="clear" w:color="auto" w:fill="FBE4D5" w:themeFill="accent2" w:themeFillTint="33"/>
          </w:tcPr>
          <w:p w:rsidR="00792ACC" w:rsidRPr="00F77AE8" w:rsidRDefault="00792ACC" w:rsidP="00DE1244">
            <w:pPr>
              <w:rPr>
                <w:lang w:val="lv-LV"/>
              </w:rPr>
            </w:pPr>
          </w:p>
        </w:tc>
        <w:tc>
          <w:tcPr>
            <w:tcW w:w="425" w:type="dxa"/>
            <w:shd w:val="clear" w:color="auto" w:fill="FFFFFF" w:themeFill="background1"/>
            <w:textDirection w:val="tbRl"/>
          </w:tcPr>
          <w:p w:rsidR="00792ACC" w:rsidRPr="00F77AE8" w:rsidRDefault="00792ACC" w:rsidP="00DE1244">
            <w:pPr>
              <w:ind w:left="113" w:right="-306"/>
              <w:rPr>
                <w:rFonts w:ascii="Bell MT" w:hAnsi="Bell MT"/>
                <w:sz w:val="20"/>
                <w:szCs w:val="18"/>
                <w:lang w:val="lv-LV"/>
              </w:rPr>
            </w:pPr>
          </w:p>
        </w:tc>
      </w:tr>
      <w:tr w:rsidR="00792ACC" w:rsidRPr="00F77AE8" w:rsidTr="00DE1244">
        <w:trPr>
          <w:trHeight w:val="319"/>
        </w:trPr>
        <w:tc>
          <w:tcPr>
            <w:tcW w:w="473" w:type="dxa"/>
          </w:tcPr>
          <w:p w:rsidR="00792ACC" w:rsidRPr="00F77AE8" w:rsidRDefault="00792ACC" w:rsidP="00DE1244">
            <w:pPr>
              <w:ind w:left="142"/>
              <w:rPr>
                <w:lang w:val="lv-LV"/>
              </w:rPr>
            </w:pPr>
          </w:p>
        </w:tc>
        <w:tc>
          <w:tcPr>
            <w:tcW w:w="439" w:type="dxa"/>
          </w:tcPr>
          <w:p w:rsidR="00792ACC" w:rsidRPr="00F77AE8" w:rsidRDefault="00792ACC" w:rsidP="00DE1244">
            <w:pPr>
              <w:rPr>
                <w:lang w:val="lv-LV"/>
              </w:rPr>
            </w:pPr>
          </w:p>
        </w:tc>
        <w:tc>
          <w:tcPr>
            <w:tcW w:w="506" w:type="dxa"/>
            <w:shd w:val="clear" w:color="auto" w:fill="FFFFFF" w:themeFill="background1"/>
            <w:vAlign w:val="center"/>
          </w:tcPr>
          <w:p w:rsidR="00792ACC" w:rsidRPr="00F77AE8" w:rsidRDefault="00792ACC" w:rsidP="00DE1244">
            <w:pPr>
              <w:ind w:firstLine="11"/>
              <w:jc w:val="center"/>
              <w:rPr>
                <w:rFonts w:ascii="Bell MT" w:hAnsi="Bell MT"/>
                <w:lang w:val="lv-LV"/>
              </w:rPr>
            </w:pPr>
          </w:p>
        </w:tc>
        <w:tc>
          <w:tcPr>
            <w:tcW w:w="3815" w:type="dxa"/>
            <w:shd w:val="clear" w:color="auto" w:fill="DEEAF6" w:themeFill="accent5" w:themeFillTint="33"/>
            <w:vAlign w:val="center"/>
          </w:tcPr>
          <w:p w:rsidR="00792ACC" w:rsidRPr="00F77AE8" w:rsidRDefault="00792ACC" w:rsidP="00347D1B">
            <w:pPr>
              <w:ind w:left="-249" w:right="-250" w:firstLine="0"/>
              <w:jc w:val="center"/>
              <w:rPr>
                <w:rFonts w:asciiTheme="minorHAnsi" w:hAnsiTheme="minorHAnsi"/>
                <w:sz w:val="22"/>
                <w:szCs w:val="20"/>
                <w:lang w:val="lv-LV"/>
              </w:rPr>
            </w:pPr>
            <w:r w:rsidRPr="00F77AE8">
              <w:rPr>
                <w:rFonts w:asciiTheme="minorHAnsi" w:hAnsiTheme="minorHAnsi"/>
                <w:sz w:val="22"/>
                <w:szCs w:val="20"/>
                <w:lang w:val="lv-LV"/>
              </w:rPr>
              <w:t>DV ar maz</w:t>
            </w:r>
            <w:r w:rsidRPr="00F77AE8">
              <w:rPr>
                <w:rFonts w:asciiTheme="minorHAnsi" w:hAnsiTheme="minorHAnsi" w:cs="Cambria"/>
                <w:sz w:val="22"/>
                <w:szCs w:val="20"/>
                <w:lang w:val="lv-LV"/>
              </w:rPr>
              <w:t>ā</w:t>
            </w:r>
            <w:r w:rsidRPr="00F77AE8">
              <w:rPr>
                <w:rFonts w:asciiTheme="minorHAnsi" w:hAnsiTheme="minorHAnsi"/>
                <w:sz w:val="22"/>
                <w:szCs w:val="20"/>
                <w:lang w:val="lv-LV"/>
              </w:rPr>
              <w:t>k ierobe</w:t>
            </w:r>
            <w:r w:rsidRPr="00F77AE8">
              <w:rPr>
                <w:rFonts w:asciiTheme="minorHAnsi" w:hAnsiTheme="minorHAnsi" w:cs="Cambria"/>
                <w:sz w:val="22"/>
                <w:szCs w:val="20"/>
                <w:lang w:val="lv-LV"/>
              </w:rPr>
              <w:t>ž</w:t>
            </w:r>
            <w:r w:rsidRPr="00F77AE8">
              <w:rPr>
                <w:rFonts w:asciiTheme="minorHAnsi" w:hAnsiTheme="minorHAnsi"/>
                <w:sz w:val="22"/>
                <w:szCs w:val="20"/>
                <w:lang w:val="lv-LV"/>
              </w:rPr>
              <w:t>ojo</w:t>
            </w:r>
            <w:r w:rsidRPr="00F77AE8">
              <w:rPr>
                <w:rFonts w:asciiTheme="minorHAnsi" w:hAnsiTheme="minorHAnsi" w:cs="Bell MT"/>
                <w:sz w:val="22"/>
                <w:szCs w:val="20"/>
                <w:lang w:val="lv-LV"/>
              </w:rPr>
              <w:t>š</w:t>
            </w:r>
            <w:r w:rsidRPr="00F77AE8">
              <w:rPr>
                <w:rFonts w:asciiTheme="minorHAnsi" w:hAnsiTheme="minorHAnsi"/>
                <w:sz w:val="22"/>
                <w:szCs w:val="20"/>
                <w:lang w:val="lv-LV"/>
              </w:rPr>
              <w:t>iem</w:t>
            </w:r>
            <w:r w:rsidRPr="00F77AE8">
              <w:rPr>
                <w:rFonts w:asciiTheme="minorHAnsi" w:hAnsiTheme="minorHAnsi"/>
                <w:sz w:val="22"/>
                <w:szCs w:val="20"/>
                <w:lang w:val="lv-LV"/>
              </w:rPr>
              <w:br/>
              <w:t>mazumtirdzniec</w:t>
            </w:r>
            <w:r w:rsidRPr="00F77AE8">
              <w:rPr>
                <w:rFonts w:asciiTheme="minorHAnsi" w:hAnsiTheme="minorHAnsi" w:cs="Cambria"/>
                <w:sz w:val="22"/>
                <w:szCs w:val="20"/>
                <w:lang w:val="lv-LV"/>
              </w:rPr>
              <w:t>ī</w:t>
            </w:r>
            <w:r w:rsidRPr="00F77AE8">
              <w:rPr>
                <w:rFonts w:asciiTheme="minorHAnsi" w:hAnsiTheme="minorHAnsi"/>
                <w:sz w:val="22"/>
                <w:szCs w:val="20"/>
                <w:lang w:val="lv-LV"/>
              </w:rPr>
              <w:t>bas tirgiem</w:t>
            </w:r>
          </w:p>
        </w:tc>
        <w:tc>
          <w:tcPr>
            <w:tcW w:w="3556" w:type="dxa"/>
            <w:shd w:val="clear" w:color="auto" w:fill="9CC2E5" w:themeFill="accent5" w:themeFillTint="99"/>
            <w:vAlign w:val="center"/>
          </w:tcPr>
          <w:p w:rsidR="00792ACC" w:rsidRPr="00F77AE8" w:rsidRDefault="00792ACC" w:rsidP="00347D1B">
            <w:pPr>
              <w:ind w:left="-249" w:right="-108" w:firstLine="0"/>
              <w:jc w:val="center"/>
              <w:rPr>
                <w:rFonts w:ascii="Bell MT" w:hAnsi="Bell MT"/>
                <w:sz w:val="22"/>
                <w:szCs w:val="20"/>
                <w:lang w:val="lv-LV"/>
              </w:rPr>
            </w:pPr>
            <w:r w:rsidRPr="00F77AE8">
              <w:rPr>
                <w:rFonts w:ascii="Bell MT" w:hAnsi="Bell MT"/>
                <w:sz w:val="22"/>
                <w:szCs w:val="20"/>
                <w:lang w:val="lv-LV"/>
              </w:rPr>
              <w:t>DV ar vair</w:t>
            </w:r>
            <w:r w:rsidRPr="00F77AE8">
              <w:rPr>
                <w:rFonts w:ascii="Calibri" w:hAnsi="Calibri"/>
                <w:sz w:val="22"/>
                <w:szCs w:val="20"/>
                <w:lang w:val="lv-LV"/>
              </w:rPr>
              <w:t>āk ierobežojošiem mazumtirdzniecības tirgiem</w:t>
            </w:r>
          </w:p>
        </w:tc>
        <w:tc>
          <w:tcPr>
            <w:tcW w:w="425" w:type="dxa"/>
            <w:shd w:val="clear" w:color="auto" w:fill="FFFFFF" w:themeFill="background1"/>
            <w:vAlign w:val="center"/>
          </w:tcPr>
          <w:p w:rsidR="00792ACC" w:rsidRPr="00F77AE8" w:rsidRDefault="00792ACC" w:rsidP="00DE1244">
            <w:pPr>
              <w:ind w:left="-108" w:right="-108"/>
              <w:jc w:val="center"/>
              <w:rPr>
                <w:rFonts w:ascii="Bell MT" w:hAnsi="Bell MT"/>
                <w:lang w:val="lv-LV"/>
              </w:rPr>
            </w:pPr>
          </w:p>
        </w:tc>
        <w:tc>
          <w:tcPr>
            <w:tcW w:w="236" w:type="dxa"/>
          </w:tcPr>
          <w:p w:rsidR="00792ACC" w:rsidRPr="00F77AE8" w:rsidRDefault="00792ACC" w:rsidP="00DE1244">
            <w:pPr>
              <w:rPr>
                <w:lang w:val="lv-LV"/>
              </w:rPr>
            </w:pPr>
          </w:p>
        </w:tc>
      </w:tr>
      <w:tr w:rsidR="00792ACC" w:rsidRPr="00F77AE8" w:rsidTr="00DE1244">
        <w:trPr>
          <w:gridAfter w:val="1"/>
          <w:wAfter w:w="236" w:type="dxa"/>
          <w:trHeight w:val="335"/>
        </w:trPr>
        <w:tc>
          <w:tcPr>
            <w:tcW w:w="473" w:type="dxa"/>
          </w:tcPr>
          <w:p w:rsidR="00792ACC" w:rsidRPr="00F77AE8" w:rsidRDefault="00792ACC" w:rsidP="00DE1244">
            <w:pPr>
              <w:ind w:left="142"/>
              <w:rPr>
                <w:lang w:val="lv-LV"/>
              </w:rPr>
            </w:pPr>
          </w:p>
        </w:tc>
        <w:tc>
          <w:tcPr>
            <w:tcW w:w="439" w:type="dxa"/>
          </w:tcPr>
          <w:p w:rsidR="00792ACC" w:rsidRPr="00F77AE8" w:rsidRDefault="00792ACC" w:rsidP="00DE1244">
            <w:pPr>
              <w:rPr>
                <w:lang w:val="lv-LV"/>
              </w:rPr>
            </w:pPr>
          </w:p>
        </w:tc>
        <w:tc>
          <w:tcPr>
            <w:tcW w:w="506" w:type="dxa"/>
            <w:shd w:val="clear" w:color="auto" w:fill="FFFFFF" w:themeFill="background1"/>
            <w:vAlign w:val="center"/>
          </w:tcPr>
          <w:p w:rsidR="00792ACC" w:rsidRPr="00F77AE8" w:rsidRDefault="00792ACC" w:rsidP="00DE1244">
            <w:pPr>
              <w:ind w:left="-108" w:right="-108"/>
              <w:jc w:val="center"/>
              <w:rPr>
                <w:rFonts w:ascii="Bell MT" w:hAnsi="Bell MT"/>
                <w:lang w:val="lv-LV"/>
              </w:rPr>
            </w:pPr>
          </w:p>
        </w:tc>
        <w:tc>
          <w:tcPr>
            <w:tcW w:w="7371" w:type="dxa"/>
            <w:gridSpan w:val="2"/>
            <w:shd w:val="clear" w:color="auto" w:fill="FFFFFF" w:themeFill="background1"/>
            <w:vAlign w:val="center"/>
          </w:tcPr>
          <w:p w:rsidR="00792ACC" w:rsidRPr="00F77AE8" w:rsidRDefault="00792ACC" w:rsidP="00DE1244">
            <w:pPr>
              <w:ind w:left="-249" w:right="-108"/>
              <w:jc w:val="center"/>
              <w:rPr>
                <w:rFonts w:asciiTheme="minorHAnsi" w:hAnsiTheme="minorHAnsi"/>
                <w:lang w:val="lv-LV"/>
              </w:rPr>
            </w:pPr>
            <w:r w:rsidRPr="00F77AE8">
              <w:rPr>
                <w:rFonts w:asciiTheme="minorHAnsi" w:hAnsiTheme="minorHAnsi"/>
                <w:lang w:val="lv-LV"/>
              </w:rPr>
              <w:t>Mazumtirdzniecības ierobežojumi 2013</w:t>
            </w:r>
          </w:p>
        </w:tc>
        <w:tc>
          <w:tcPr>
            <w:tcW w:w="425" w:type="dxa"/>
          </w:tcPr>
          <w:p w:rsidR="00792ACC" w:rsidRPr="00F77AE8" w:rsidRDefault="00792ACC" w:rsidP="00DE1244">
            <w:pPr>
              <w:rPr>
                <w:lang w:val="lv-LV"/>
              </w:rPr>
            </w:pPr>
          </w:p>
        </w:tc>
      </w:tr>
    </w:tbl>
    <w:p w:rsidR="00792ACC" w:rsidRPr="00F77AE8" w:rsidRDefault="00792ACC" w:rsidP="00792ACC"/>
    <w:p w:rsidR="00792ACC" w:rsidRPr="00707651" w:rsidRDefault="00792ACC" w:rsidP="005704E4">
      <w:pPr>
        <w:pStyle w:val="DashEqual1"/>
        <w:numPr>
          <w:ilvl w:val="0"/>
          <w:numId w:val="0"/>
        </w:numPr>
        <w:ind w:firstLine="567"/>
        <w:rPr>
          <w:lang w:val="lv-LV"/>
        </w:rPr>
      </w:pPr>
    </w:p>
    <w:p w:rsidR="009E0ACC" w:rsidRDefault="009E0ACC" w:rsidP="005704E4">
      <w:pPr>
        <w:pStyle w:val="DashEqual1"/>
        <w:numPr>
          <w:ilvl w:val="0"/>
          <w:numId w:val="0"/>
        </w:numPr>
        <w:ind w:firstLine="567"/>
        <w:rPr>
          <w:lang w:val="lv-LV"/>
        </w:rPr>
      </w:pPr>
    </w:p>
    <w:p w:rsidR="009E0ACC" w:rsidRPr="00B6700B" w:rsidRDefault="00BB2998" w:rsidP="005704E4">
      <w:pPr>
        <w:pStyle w:val="DashEqual1"/>
        <w:numPr>
          <w:ilvl w:val="0"/>
          <w:numId w:val="0"/>
        </w:numPr>
        <w:ind w:firstLine="567"/>
        <w:rPr>
          <w:lang w:val="lv-LV"/>
        </w:rPr>
      </w:pPr>
      <w:r>
        <w:rPr>
          <w:lang w:val="lv-LV"/>
        </w:rPr>
        <w:t>EK</w:t>
      </w:r>
      <w:r w:rsidR="009E0ACC">
        <w:rPr>
          <w:lang w:val="lv-LV"/>
        </w:rPr>
        <w:t xml:space="preserve"> ir uzsvērusi, ka līdzšinējie centieni atbrīvoties no ierobežojumiem un radīt vienotu pakalpojumu tirgu nav bijuši līdz galam veiksmīgi, taču </w:t>
      </w:r>
      <w:r w:rsidR="0009394F">
        <w:rPr>
          <w:lang w:val="lv-LV"/>
        </w:rPr>
        <w:t xml:space="preserve">ES </w:t>
      </w:r>
      <w:r w:rsidR="009E0ACC">
        <w:rPr>
          <w:lang w:val="lv-LV"/>
        </w:rPr>
        <w:t xml:space="preserve">Vienotā tirgus stratēģijai un pilnīgai </w:t>
      </w:r>
      <w:r w:rsidR="007D0CAA">
        <w:rPr>
          <w:lang w:val="lv-LV"/>
        </w:rPr>
        <w:t xml:space="preserve">Pakalpojumu </w:t>
      </w:r>
      <w:r w:rsidR="009E0ACC">
        <w:rPr>
          <w:lang w:val="lv-LV"/>
        </w:rPr>
        <w:t>direktīv</w:t>
      </w:r>
      <w:r w:rsidR="007D0CAA">
        <w:rPr>
          <w:lang w:val="lv-LV"/>
        </w:rPr>
        <w:t>as</w:t>
      </w:r>
      <w:r w:rsidR="009E0ACC">
        <w:rPr>
          <w:lang w:val="lv-LV"/>
        </w:rPr>
        <w:t xml:space="preserve"> ieviešanai varētu būt potenciāls palielināt </w:t>
      </w:r>
      <w:r>
        <w:rPr>
          <w:lang w:val="lv-LV"/>
        </w:rPr>
        <w:t xml:space="preserve">kopējo </w:t>
      </w:r>
      <w:r w:rsidR="009E0ACC">
        <w:rPr>
          <w:lang w:val="lv-LV"/>
        </w:rPr>
        <w:t>ES IKP par 1.8%.</w:t>
      </w:r>
    </w:p>
    <w:p w:rsidR="009E0ACC" w:rsidRPr="00B6700B" w:rsidRDefault="009E0ACC" w:rsidP="005704E4">
      <w:pPr>
        <w:keepNext/>
        <w:keepLines/>
        <w:shd w:val="clear" w:color="auto" w:fill="FFFFFF"/>
        <w:rPr>
          <w:color w:val="000000"/>
        </w:rPr>
      </w:pPr>
      <w:r w:rsidRPr="00B6700B">
        <w:rPr>
          <w:b/>
          <w:color w:val="000000"/>
          <w:u w:val="single"/>
        </w:rPr>
        <w:t>Latvijas nostāja:</w:t>
      </w:r>
    </w:p>
    <w:p w:rsidR="005E2945" w:rsidRDefault="009E0ACC" w:rsidP="005704E4">
      <w:pPr>
        <w:pStyle w:val="DashEqual1"/>
        <w:numPr>
          <w:ilvl w:val="0"/>
          <w:numId w:val="0"/>
        </w:numPr>
        <w:ind w:firstLine="567"/>
        <w:rPr>
          <w:rFonts w:eastAsia="Arial Unicode MS"/>
          <w:u w:color="000000"/>
          <w:lang w:val="lv-LV" w:eastAsia="nl-NL"/>
        </w:rPr>
      </w:pPr>
      <w:r>
        <w:rPr>
          <w:rFonts w:eastAsia="Arial Unicode MS"/>
          <w:u w:color="000000"/>
          <w:lang w:val="lv-LV" w:eastAsia="nl-NL"/>
        </w:rPr>
        <w:t>Latvija atzinīgi novērtē līdz šim paveikto</w:t>
      </w:r>
      <w:r w:rsidR="00E579E3">
        <w:rPr>
          <w:rFonts w:eastAsia="Arial Unicode MS"/>
          <w:u w:color="000000"/>
          <w:lang w:val="lv-LV" w:eastAsia="nl-NL"/>
        </w:rPr>
        <w:t xml:space="preserve"> ES </w:t>
      </w:r>
      <w:r w:rsidR="007D0CAA">
        <w:rPr>
          <w:rFonts w:eastAsia="Arial Unicode MS"/>
          <w:u w:color="000000"/>
          <w:lang w:val="lv-LV" w:eastAsia="nl-NL"/>
        </w:rPr>
        <w:t xml:space="preserve">pakalpojumu </w:t>
      </w:r>
      <w:r w:rsidR="00E579E3">
        <w:rPr>
          <w:rFonts w:eastAsia="Arial Unicode MS"/>
          <w:u w:color="000000"/>
          <w:lang w:val="lv-LV" w:eastAsia="nl-NL"/>
        </w:rPr>
        <w:t>tirgus pilnveidošanā. L</w:t>
      </w:r>
      <w:r w:rsidR="007D0CAA">
        <w:rPr>
          <w:rFonts w:eastAsia="Arial Unicode MS"/>
          <w:u w:color="000000"/>
          <w:lang w:val="lv-LV" w:eastAsia="nl-NL"/>
        </w:rPr>
        <w:t xml:space="preserve">atvijas uzskata, ka to </w:t>
      </w:r>
      <w:r>
        <w:rPr>
          <w:rFonts w:eastAsia="Arial Unicode MS"/>
          <w:u w:color="000000"/>
          <w:lang w:val="lv-LV" w:eastAsia="nl-NL"/>
        </w:rPr>
        <w:t xml:space="preserve">sasniegt </w:t>
      </w:r>
      <w:r w:rsidR="005E2945">
        <w:rPr>
          <w:rFonts w:eastAsia="Arial Unicode MS"/>
          <w:u w:color="000000"/>
          <w:lang w:val="lv-LV" w:eastAsia="nl-NL"/>
        </w:rPr>
        <w:t xml:space="preserve">lielā mērā ir palīdzējusi </w:t>
      </w:r>
      <w:r>
        <w:rPr>
          <w:rFonts w:eastAsia="Arial Unicode MS"/>
          <w:u w:color="000000"/>
          <w:lang w:val="lv-LV" w:eastAsia="nl-NL"/>
        </w:rPr>
        <w:t xml:space="preserve">pirms pāris gadiem </w:t>
      </w:r>
      <w:r w:rsidR="005E2945">
        <w:rPr>
          <w:rFonts w:eastAsia="Arial Unicode MS"/>
          <w:u w:color="000000"/>
          <w:lang w:val="lv-LV" w:eastAsia="nl-NL"/>
        </w:rPr>
        <w:t xml:space="preserve">pieņemtā ES </w:t>
      </w:r>
      <w:r>
        <w:rPr>
          <w:rFonts w:eastAsia="Arial Unicode MS"/>
          <w:u w:color="000000"/>
          <w:lang w:val="lv-LV" w:eastAsia="nl-NL"/>
        </w:rPr>
        <w:t>Pakalpojumu direktīva</w:t>
      </w:r>
      <w:r w:rsidR="005E2945">
        <w:rPr>
          <w:rFonts w:eastAsia="Arial Unicode MS"/>
          <w:u w:color="000000"/>
          <w:lang w:val="lv-LV" w:eastAsia="nl-NL"/>
        </w:rPr>
        <w:t xml:space="preserve">. Vienlaikus uzskatām, ka tās ieviešana </w:t>
      </w:r>
      <w:r>
        <w:rPr>
          <w:rFonts w:eastAsia="Arial Unicode MS"/>
          <w:u w:color="000000"/>
          <w:lang w:val="lv-LV" w:eastAsia="nl-NL"/>
        </w:rPr>
        <w:t xml:space="preserve">ir jāturpina, </w:t>
      </w:r>
      <w:r w:rsidR="005E2945">
        <w:rPr>
          <w:rFonts w:eastAsia="Arial Unicode MS"/>
          <w:u w:color="000000"/>
          <w:lang w:val="lv-LV" w:eastAsia="nl-NL"/>
        </w:rPr>
        <w:t xml:space="preserve">un iespējams jādomā par tās tvēruma paplašināšanu, </w:t>
      </w:r>
      <w:r>
        <w:rPr>
          <w:rFonts w:eastAsia="Arial Unicode MS"/>
          <w:u w:color="000000"/>
          <w:lang w:val="lv-LV" w:eastAsia="nl-NL"/>
        </w:rPr>
        <w:t>lai panāktu vēl labākus rezultātus.</w:t>
      </w:r>
    </w:p>
    <w:p w:rsidR="009E0ACC" w:rsidRDefault="005E2945" w:rsidP="005704E4">
      <w:pPr>
        <w:pStyle w:val="DashEqual1"/>
        <w:numPr>
          <w:ilvl w:val="0"/>
          <w:numId w:val="0"/>
        </w:numPr>
        <w:ind w:firstLine="567"/>
        <w:rPr>
          <w:rFonts w:eastAsia="Arial Unicode MS"/>
          <w:u w:color="000000"/>
          <w:lang w:val="lv-LV" w:eastAsia="nl-NL"/>
        </w:rPr>
      </w:pPr>
      <w:r>
        <w:rPr>
          <w:rFonts w:eastAsia="Arial Unicode MS"/>
          <w:u w:color="000000"/>
          <w:lang w:val="lv-LV" w:eastAsia="nl-NL"/>
        </w:rPr>
        <w:t>Latvijas uzskata, ka r</w:t>
      </w:r>
      <w:r w:rsidR="009E0ACC">
        <w:rPr>
          <w:rFonts w:eastAsia="Arial Unicode MS"/>
          <w:u w:color="000000"/>
          <w:lang w:val="lv-LV" w:eastAsia="nl-NL"/>
        </w:rPr>
        <w:t>ūpniecība, pakalpojumi un digitalizācija būt</w:t>
      </w:r>
      <w:r w:rsidR="00E579E3">
        <w:rPr>
          <w:rFonts w:eastAsia="Arial Unicode MS"/>
          <w:u w:color="000000"/>
          <w:lang w:val="lv-LV" w:eastAsia="nl-NL"/>
        </w:rPr>
        <w:t>u jāuzlūko kā saistīti jēdzieni,</w:t>
      </w:r>
      <w:r w:rsidR="009E0ACC" w:rsidRPr="00B638F3">
        <w:rPr>
          <w:rFonts w:eastAsia="Arial Unicode MS"/>
          <w:u w:color="000000"/>
          <w:lang w:val="lv-LV" w:eastAsia="nl-NL"/>
        </w:rPr>
        <w:t xml:space="preserve"> </w:t>
      </w:r>
      <w:r w:rsidR="00E579E3">
        <w:rPr>
          <w:rFonts w:eastAsia="Arial Unicode MS"/>
          <w:u w:color="000000"/>
          <w:lang w:val="lv-LV" w:eastAsia="nl-NL"/>
        </w:rPr>
        <w:t>l</w:t>
      </w:r>
      <w:r w:rsidR="009E0ACC">
        <w:rPr>
          <w:rFonts w:eastAsia="Arial Unicode MS"/>
          <w:u w:color="000000"/>
          <w:lang w:val="lv-LV" w:eastAsia="nl-NL"/>
        </w:rPr>
        <w:t xml:space="preserve">ai pilnvērtīgāk varētu nospraust </w:t>
      </w:r>
      <w:r w:rsidR="00E579E3">
        <w:rPr>
          <w:rFonts w:eastAsia="Arial Unicode MS"/>
          <w:u w:color="000000"/>
          <w:lang w:val="lv-LV" w:eastAsia="nl-NL"/>
        </w:rPr>
        <w:t>ES</w:t>
      </w:r>
      <w:r w:rsidR="009E0ACC">
        <w:rPr>
          <w:rFonts w:eastAsia="Arial Unicode MS"/>
          <w:u w:color="000000"/>
          <w:lang w:val="lv-LV" w:eastAsia="nl-NL"/>
        </w:rPr>
        <w:t xml:space="preserve"> nākotnes kursu</w:t>
      </w:r>
      <w:r>
        <w:rPr>
          <w:rFonts w:eastAsia="Arial Unicode MS"/>
          <w:u w:color="000000"/>
          <w:lang w:val="lv-LV" w:eastAsia="nl-NL"/>
        </w:rPr>
        <w:t>. I</w:t>
      </w:r>
      <w:r w:rsidR="0009394F">
        <w:rPr>
          <w:rFonts w:eastAsia="Arial Unicode MS"/>
          <w:u w:color="000000"/>
          <w:lang w:val="lv-LV" w:eastAsia="nl-NL"/>
        </w:rPr>
        <w:t>r</w:t>
      </w:r>
      <w:r w:rsidR="009E0ACC">
        <w:rPr>
          <w:rFonts w:eastAsia="Arial Unicode MS"/>
          <w:u w:color="000000"/>
          <w:lang w:val="lv-LV" w:eastAsia="nl-NL"/>
        </w:rPr>
        <w:t xml:space="preserve"> nepieciešams konsultēties ar privātā sektora pārstāvjiem</w:t>
      </w:r>
      <w:r>
        <w:rPr>
          <w:rFonts w:eastAsia="Arial Unicode MS"/>
          <w:u w:color="000000"/>
          <w:lang w:val="lv-LV" w:eastAsia="nl-NL"/>
        </w:rPr>
        <w:t>,</w:t>
      </w:r>
      <w:r w:rsidR="009E0ACC">
        <w:rPr>
          <w:rFonts w:eastAsia="Arial Unicode MS"/>
          <w:u w:color="000000"/>
          <w:lang w:val="lv-LV" w:eastAsia="nl-NL"/>
        </w:rPr>
        <w:t xml:space="preserve"> </w:t>
      </w:r>
      <w:r>
        <w:rPr>
          <w:rFonts w:eastAsia="Arial Unicode MS"/>
          <w:u w:color="000000"/>
          <w:lang w:val="lv-LV" w:eastAsia="nl-NL"/>
        </w:rPr>
        <w:t>n</w:t>
      </w:r>
      <w:r w:rsidR="009E0ACC">
        <w:rPr>
          <w:rFonts w:eastAsia="Arial Unicode MS"/>
          <w:u w:color="000000"/>
          <w:lang w:val="lv-LV" w:eastAsia="nl-NL"/>
        </w:rPr>
        <w:t xml:space="preserve">epieciešams izzināt faktorus, kas ierobežo uzņēmumu spēju izvērst pārrobežu darbību un kā šādu darbību </w:t>
      </w:r>
      <w:r>
        <w:rPr>
          <w:rFonts w:eastAsia="Arial Unicode MS"/>
          <w:u w:color="000000"/>
          <w:lang w:val="lv-LV" w:eastAsia="nl-NL"/>
        </w:rPr>
        <w:t xml:space="preserve">varētu </w:t>
      </w:r>
      <w:r w:rsidR="009E0ACC">
        <w:rPr>
          <w:rFonts w:eastAsia="Arial Unicode MS"/>
          <w:u w:color="000000"/>
          <w:lang w:val="lv-LV" w:eastAsia="nl-NL"/>
        </w:rPr>
        <w:t xml:space="preserve">veicināt. Latvija uzsver, ka </w:t>
      </w:r>
      <w:r>
        <w:rPr>
          <w:rFonts w:eastAsia="Arial Unicode MS"/>
          <w:u w:color="000000"/>
          <w:lang w:val="lv-LV" w:eastAsia="nl-NL"/>
        </w:rPr>
        <w:t xml:space="preserve">svarīgi ir jebkuru jaunu </w:t>
      </w:r>
      <w:r w:rsidR="009E0ACC">
        <w:rPr>
          <w:rFonts w:eastAsia="Arial Unicode MS"/>
          <w:u w:color="000000"/>
          <w:lang w:val="lv-LV" w:eastAsia="nl-NL"/>
        </w:rPr>
        <w:t>regulējum</w:t>
      </w:r>
      <w:r>
        <w:rPr>
          <w:rFonts w:eastAsia="Arial Unicode MS"/>
          <w:u w:color="000000"/>
          <w:lang w:val="lv-LV" w:eastAsia="nl-NL"/>
        </w:rPr>
        <w:t>u</w:t>
      </w:r>
      <w:r w:rsidR="009E0ACC">
        <w:rPr>
          <w:rFonts w:eastAsia="Arial Unicode MS"/>
          <w:u w:color="000000"/>
          <w:lang w:val="lv-LV" w:eastAsia="nl-NL"/>
        </w:rPr>
        <w:t xml:space="preserve"> </w:t>
      </w:r>
      <w:r>
        <w:rPr>
          <w:rFonts w:eastAsia="Arial Unicode MS"/>
          <w:u w:color="000000"/>
          <w:lang w:val="lv-LV" w:eastAsia="nl-NL"/>
        </w:rPr>
        <w:t xml:space="preserve">veidot </w:t>
      </w:r>
      <w:r w:rsidR="009E0ACC">
        <w:rPr>
          <w:rFonts w:eastAsia="Arial Unicode MS"/>
          <w:u w:color="000000"/>
          <w:lang w:val="lv-LV" w:eastAsia="nl-NL"/>
        </w:rPr>
        <w:t>vienkārš</w:t>
      </w:r>
      <w:r>
        <w:rPr>
          <w:rFonts w:eastAsia="Arial Unicode MS"/>
          <w:u w:color="000000"/>
          <w:lang w:val="lv-LV" w:eastAsia="nl-NL"/>
        </w:rPr>
        <w:t>u</w:t>
      </w:r>
      <w:r w:rsidR="009E0ACC">
        <w:rPr>
          <w:rFonts w:eastAsia="Arial Unicode MS"/>
          <w:u w:color="000000"/>
          <w:lang w:val="lv-LV" w:eastAsia="nl-NL"/>
        </w:rPr>
        <w:t>, saprotam</w:t>
      </w:r>
      <w:r>
        <w:rPr>
          <w:rFonts w:eastAsia="Arial Unicode MS"/>
          <w:u w:color="000000"/>
          <w:lang w:val="lv-LV" w:eastAsia="nl-NL"/>
        </w:rPr>
        <w:t xml:space="preserve">u, kas nerada </w:t>
      </w:r>
      <w:r w:rsidR="009E0ACC">
        <w:rPr>
          <w:rFonts w:eastAsia="Arial Unicode MS"/>
          <w:u w:color="000000"/>
          <w:lang w:val="lv-LV" w:eastAsia="nl-NL"/>
        </w:rPr>
        <w:t xml:space="preserve">administratīvo slogu </w:t>
      </w:r>
      <w:r>
        <w:rPr>
          <w:rFonts w:eastAsia="Arial Unicode MS"/>
          <w:u w:color="000000"/>
          <w:lang w:val="lv-LV" w:eastAsia="nl-NL"/>
        </w:rPr>
        <w:t>uzņēmējiem</w:t>
      </w:r>
      <w:r w:rsidR="009E0ACC">
        <w:rPr>
          <w:rFonts w:eastAsia="Arial Unicode MS"/>
          <w:u w:color="000000"/>
          <w:lang w:val="lv-LV" w:eastAsia="nl-NL"/>
        </w:rPr>
        <w:t>.</w:t>
      </w:r>
    </w:p>
    <w:p w:rsidR="005704E4" w:rsidRPr="00CE5639" w:rsidRDefault="005704E4" w:rsidP="005704E4">
      <w:pPr>
        <w:pStyle w:val="DashEqual1"/>
        <w:numPr>
          <w:ilvl w:val="0"/>
          <w:numId w:val="0"/>
        </w:numPr>
        <w:ind w:firstLine="567"/>
        <w:rPr>
          <w:lang w:val="lv-LV"/>
        </w:rPr>
      </w:pPr>
    </w:p>
    <w:p w:rsidR="00C65C2E" w:rsidRPr="00796E81" w:rsidRDefault="00C65C2E" w:rsidP="000C29FD">
      <w:pPr>
        <w:keepNext/>
        <w:keepLines/>
        <w:spacing w:line="276" w:lineRule="auto"/>
        <w:ind w:firstLine="0"/>
        <w:rPr>
          <w:b/>
        </w:rPr>
      </w:pPr>
      <w:r w:rsidRPr="00796E81">
        <w:rPr>
          <w:b/>
        </w:rPr>
        <w:t>Latvijas delegācija</w:t>
      </w:r>
    </w:p>
    <w:p w:rsidR="00C65C2E" w:rsidRPr="00796E81" w:rsidRDefault="00C65C2E" w:rsidP="005704E4">
      <w:pPr>
        <w:spacing w:line="276" w:lineRule="auto"/>
        <w:ind w:left="2552" w:hanging="2552"/>
        <w:rPr>
          <w:highlight w:val="yellow"/>
        </w:rPr>
      </w:pPr>
      <w:r w:rsidRPr="00F8162D">
        <w:t>Delegācijas vadītājs:</w:t>
      </w:r>
      <w:r w:rsidR="00950438" w:rsidRPr="00F8162D">
        <w:tab/>
      </w:r>
      <w:r w:rsidR="009E0ACC">
        <w:rPr>
          <w:b/>
        </w:rPr>
        <w:t>Arvils Ašeradens</w:t>
      </w:r>
      <w:r w:rsidR="007E5369" w:rsidRPr="00F8162D">
        <w:t xml:space="preserve">, </w:t>
      </w:r>
      <w:r w:rsidR="009E0ACC">
        <w:t xml:space="preserve">Ministru prezidenta biedrs, </w:t>
      </w:r>
      <w:r w:rsidR="005704E4">
        <w:t>e</w:t>
      </w:r>
      <w:r w:rsidR="009E0ACC">
        <w:t>konomikas ministrs</w:t>
      </w:r>
      <w:r w:rsidR="00950438" w:rsidRPr="00F8162D">
        <w:t>.</w:t>
      </w:r>
    </w:p>
    <w:p w:rsidR="00C65C2E" w:rsidRPr="00642F24" w:rsidRDefault="00C65C2E" w:rsidP="000873F9">
      <w:pPr>
        <w:ind w:left="2552" w:hanging="2552"/>
      </w:pPr>
      <w:r w:rsidRPr="00642F24">
        <w:t>Delegācijas dalībnieki:</w:t>
      </w:r>
      <w:r w:rsidRPr="00642F24">
        <w:tab/>
      </w:r>
      <w:r w:rsidRPr="00642F24">
        <w:rPr>
          <w:b/>
        </w:rPr>
        <w:t>Zaiga Liepiņa</w:t>
      </w:r>
      <w:r w:rsidRPr="00642F24">
        <w:t>, Ekonomikas ministrijas valsts sekretāra vietniece;</w:t>
      </w:r>
    </w:p>
    <w:p w:rsidR="00C65C2E" w:rsidRPr="00A344DF" w:rsidRDefault="00C65C2E" w:rsidP="000873F9">
      <w:pPr>
        <w:ind w:left="2552" w:firstLine="0"/>
      </w:pPr>
      <w:r w:rsidRPr="00A344DF">
        <w:rPr>
          <w:b/>
          <w:bCs/>
        </w:rPr>
        <w:t>Rinalds Celmiņš</w:t>
      </w:r>
      <w:r w:rsidRPr="00A344DF">
        <w:rPr>
          <w:bCs/>
        </w:rPr>
        <w:t xml:space="preserve">, </w:t>
      </w:r>
      <w:r w:rsidRPr="00A344DF">
        <w:t>Ekonomikas ministrijas nozares padomnieks Latvijas Republikas Pastāvīgajā pārstāvniecībā Eiropas Savienībā;</w:t>
      </w:r>
    </w:p>
    <w:p w:rsidR="009952D4" w:rsidRPr="00642F24" w:rsidRDefault="009952D4" w:rsidP="009E0ACC">
      <w:pPr>
        <w:ind w:left="2552" w:firstLine="0"/>
      </w:pPr>
      <w:r w:rsidRPr="00A344DF">
        <w:rPr>
          <w:b/>
          <w:bCs/>
        </w:rPr>
        <w:t>Linda Duntava</w:t>
      </w:r>
      <w:r w:rsidRPr="00A344DF">
        <w:rPr>
          <w:bCs/>
        </w:rPr>
        <w:t xml:space="preserve">, </w:t>
      </w:r>
      <w:r w:rsidRPr="00A344DF">
        <w:t>Ekonomika</w:t>
      </w:r>
      <w:r w:rsidR="00804977" w:rsidRPr="00A344DF">
        <w:t>s ministrijas nozares padomniece</w:t>
      </w:r>
      <w:r w:rsidRPr="00A344DF">
        <w:t xml:space="preserve"> Latvijas Republikas Pastāvīgajā p</w:t>
      </w:r>
      <w:r w:rsidR="00642F24" w:rsidRPr="00A344DF">
        <w:t>ārstāvniecībā Eiropas Savienībā</w:t>
      </w:r>
      <w:r w:rsidR="009E0ACC" w:rsidRPr="00A344DF">
        <w:t>.</w:t>
      </w:r>
    </w:p>
    <w:p w:rsidR="00950438" w:rsidRPr="00796E81" w:rsidRDefault="00950438" w:rsidP="00C65C2E">
      <w:pPr>
        <w:tabs>
          <w:tab w:val="right" w:pos="8931"/>
        </w:tabs>
      </w:pPr>
    </w:p>
    <w:p w:rsidR="00C65C2E" w:rsidRPr="00796E81" w:rsidRDefault="00C65C2E" w:rsidP="005704E4">
      <w:pPr>
        <w:tabs>
          <w:tab w:val="right" w:pos="8931"/>
        </w:tabs>
        <w:ind w:firstLine="0"/>
      </w:pPr>
      <w:r w:rsidRPr="00796E81">
        <w:t>Iesniedzējs:</w:t>
      </w:r>
    </w:p>
    <w:p w:rsidR="00C65C2E" w:rsidRPr="00796E81" w:rsidRDefault="00C65C2E" w:rsidP="005704E4">
      <w:pPr>
        <w:tabs>
          <w:tab w:val="right" w:pos="9072"/>
        </w:tabs>
        <w:spacing w:after="0"/>
        <w:ind w:firstLine="0"/>
      </w:pPr>
      <w:r w:rsidRPr="00796E81">
        <w:t xml:space="preserve">Ministru prezidenta biedrs, </w:t>
      </w:r>
    </w:p>
    <w:p w:rsidR="00C65C2E" w:rsidRPr="00796E81" w:rsidRDefault="00C65C2E" w:rsidP="005704E4">
      <w:pPr>
        <w:tabs>
          <w:tab w:val="right" w:pos="9072"/>
        </w:tabs>
        <w:ind w:firstLine="0"/>
      </w:pPr>
      <w:r w:rsidRPr="00796E81">
        <w:t>ekonomikas ministrs</w:t>
      </w:r>
      <w:r w:rsidRPr="00796E81">
        <w:tab/>
        <w:t>A. Ašeradens</w:t>
      </w:r>
    </w:p>
    <w:p w:rsidR="00C65C2E" w:rsidRPr="00796E81" w:rsidRDefault="00C65C2E" w:rsidP="005704E4">
      <w:pPr>
        <w:ind w:firstLine="0"/>
      </w:pPr>
    </w:p>
    <w:p w:rsidR="00C65C2E" w:rsidRPr="00226A49" w:rsidRDefault="00C65C2E" w:rsidP="005704E4">
      <w:pPr>
        <w:tabs>
          <w:tab w:val="right" w:pos="8931"/>
        </w:tabs>
        <w:ind w:firstLine="0"/>
      </w:pPr>
      <w:r w:rsidRPr="00226A49">
        <w:t>Vīza:</w:t>
      </w:r>
    </w:p>
    <w:p w:rsidR="002E0D48" w:rsidRDefault="00A418B3" w:rsidP="002E0D48">
      <w:pPr>
        <w:tabs>
          <w:tab w:val="right" w:pos="9071"/>
        </w:tabs>
        <w:spacing w:after="0"/>
        <w:ind w:firstLine="0"/>
      </w:pPr>
      <w:r w:rsidRPr="00226A49">
        <w:t>Valsts sekretār</w:t>
      </w:r>
      <w:r w:rsidR="00226A49" w:rsidRPr="00226A49">
        <w:t>s</w:t>
      </w:r>
      <w:r w:rsidRPr="00226A49">
        <w:t xml:space="preserve"> </w:t>
      </w:r>
      <w:r w:rsidR="002E0D48">
        <w:t>pienākumu izpildītāja</w:t>
      </w:r>
    </w:p>
    <w:p w:rsidR="00A418B3" w:rsidRPr="00226A49" w:rsidRDefault="002E0D48" w:rsidP="002E0D48">
      <w:pPr>
        <w:tabs>
          <w:tab w:val="right" w:pos="9071"/>
        </w:tabs>
        <w:spacing w:after="0"/>
        <w:ind w:firstLine="0"/>
      </w:pPr>
      <w:r>
        <w:t>administrācijas vadītāja</w:t>
      </w:r>
      <w:r w:rsidR="00226A49" w:rsidRPr="00226A49">
        <w:tab/>
      </w:r>
      <w:r>
        <w:t>I.Jaunzeme</w:t>
      </w:r>
    </w:p>
    <w:p w:rsidR="00C65C2E" w:rsidRPr="00796E81" w:rsidRDefault="00C65C2E" w:rsidP="005704E4">
      <w:pPr>
        <w:ind w:firstLine="0"/>
        <w:rPr>
          <w:sz w:val="20"/>
          <w:szCs w:val="28"/>
        </w:rPr>
      </w:pPr>
    </w:p>
    <w:p w:rsidR="00950438" w:rsidRPr="00796E81" w:rsidRDefault="00950438" w:rsidP="005704E4">
      <w:pPr>
        <w:ind w:firstLine="0"/>
        <w:rPr>
          <w:sz w:val="20"/>
          <w:szCs w:val="28"/>
        </w:rPr>
      </w:pPr>
    </w:p>
    <w:p w:rsidR="00C65C2E" w:rsidRPr="00642F24" w:rsidRDefault="009E0ACC" w:rsidP="005704E4">
      <w:pPr>
        <w:spacing w:after="0"/>
        <w:ind w:firstLine="0"/>
        <w:rPr>
          <w:sz w:val="20"/>
          <w:szCs w:val="28"/>
        </w:rPr>
      </w:pPr>
      <w:r>
        <w:rPr>
          <w:sz w:val="20"/>
          <w:szCs w:val="28"/>
        </w:rPr>
        <w:t>0</w:t>
      </w:r>
      <w:r w:rsidR="00CD4F04">
        <w:rPr>
          <w:sz w:val="20"/>
          <w:szCs w:val="28"/>
        </w:rPr>
        <w:t>5</w:t>
      </w:r>
      <w:r w:rsidR="00A0648A" w:rsidRPr="00642F24">
        <w:rPr>
          <w:sz w:val="20"/>
          <w:szCs w:val="28"/>
        </w:rPr>
        <w:t>.</w:t>
      </w:r>
      <w:r>
        <w:rPr>
          <w:sz w:val="20"/>
          <w:szCs w:val="28"/>
        </w:rPr>
        <w:t>03.2018</w:t>
      </w:r>
      <w:r w:rsidR="00C65C2E" w:rsidRPr="00642F24">
        <w:rPr>
          <w:sz w:val="20"/>
          <w:szCs w:val="28"/>
        </w:rPr>
        <w:t xml:space="preserve">. </w:t>
      </w:r>
    </w:p>
    <w:p w:rsidR="00C65C2E" w:rsidRPr="00642F24" w:rsidRDefault="00AE705E" w:rsidP="005704E4">
      <w:pPr>
        <w:spacing w:after="0"/>
        <w:ind w:firstLine="0"/>
        <w:rPr>
          <w:sz w:val="20"/>
          <w:szCs w:val="28"/>
        </w:rPr>
      </w:pPr>
      <w:r>
        <w:rPr>
          <w:sz w:val="20"/>
          <w:szCs w:val="28"/>
        </w:rPr>
        <w:t>20</w:t>
      </w:r>
      <w:r w:rsidR="002E0D48">
        <w:rPr>
          <w:sz w:val="20"/>
          <w:szCs w:val="28"/>
        </w:rPr>
        <w:t>28</w:t>
      </w:r>
    </w:p>
    <w:p w:rsidR="00622415" w:rsidRPr="00642F24" w:rsidRDefault="00642F24" w:rsidP="005704E4">
      <w:pPr>
        <w:tabs>
          <w:tab w:val="left" w:pos="7230"/>
        </w:tabs>
        <w:spacing w:after="0"/>
        <w:ind w:firstLine="0"/>
        <w:rPr>
          <w:sz w:val="20"/>
          <w:szCs w:val="20"/>
        </w:rPr>
      </w:pPr>
      <w:r w:rsidRPr="00642F24">
        <w:rPr>
          <w:sz w:val="20"/>
          <w:szCs w:val="20"/>
        </w:rPr>
        <w:t>M</w:t>
      </w:r>
      <w:r w:rsidR="00622415" w:rsidRPr="00642F24">
        <w:rPr>
          <w:sz w:val="20"/>
          <w:szCs w:val="20"/>
        </w:rPr>
        <w:t>.</w:t>
      </w:r>
      <w:r w:rsidRPr="00642F24">
        <w:rPr>
          <w:sz w:val="20"/>
          <w:szCs w:val="20"/>
        </w:rPr>
        <w:t>Rone</w:t>
      </w:r>
    </w:p>
    <w:p w:rsidR="007F593C" w:rsidRPr="00796E81" w:rsidRDefault="00622415" w:rsidP="005704E4">
      <w:pPr>
        <w:tabs>
          <w:tab w:val="left" w:pos="7230"/>
        </w:tabs>
        <w:spacing w:after="0"/>
        <w:ind w:firstLine="0"/>
      </w:pPr>
      <w:r w:rsidRPr="00642F24">
        <w:rPr>
          <w:sz w:val="20"/>
          <w:szCs w:val="20"/>
        </w:rPr>
        <w:t>67013</w:t>
      </w:r>
      <w:r w:rsidR="00642F24" w:rsidRPr="00642F24">
        <w:rPr>
          <w:sz w:val="20"/>
          <w:szCs w:val="20"/>
        </w:rPr>
        <w:t>265</w:t>
      </w:r>
      <w:r w:rsidRPr="00642F24">
        <w:rPr>
          <w:sz w:val="20"/>
          <w:szCs w:val="20"/>
        </w:rPr>
        <w:t xml:space="preserve">, </w:t>
      </w:r>
      <w:r w:rsidR="00642F24" w:rsidRPr="00642F24">
        <w:rPr>
          <w:sz w:val="20"/>
          <w:szCs w:val="20"/>
          <w:u w:val="single"/>
        </w:rPr>
        <w:t>mara.rone</w:t>
      </w:r>
      <w:r w:rsidRPr="00642F24">
        <w:rPr>
          <w:sz w:val="20"/>
          <w:szCs w:val="20"/>
          <w:u w:val="single"/>
        </w:rPr>
        <w:t>@em.gov.lv</w:t>
      </w:r>
    </w:p>
    <w:sectPr w:rsidR="007F593C" w:rsidRPr="00796E81" w:rsidSect="00E82941">
      <w:headerReference w:type="default" r:id="rId25"/>
      <w:footerReference w:type="default" r:id="rId2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B6" w:rsidRDefault="00E430B6" w:rsidP="00C65C2E">
      <w:r>
        <w:separator/>
      </w:r>
    </w:p>
  </w:endnote>
  <w:endnote w:type="continuationSeparator" w:id="0">
    <w:p w:rsidR="00E430B6" w:rsidRDefault="00E430B6" w:rsidP="00C65C2E">
      <w:r>
        <w:continuationSeparator/>
      </w:r>
    </w:p>
  </w:endnote>
  <w:endnote w:type="continuationNotice" w:id="1">
    <w:p w:rsidR="009E7D31" w:rsidRDefault="009E7D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758915"/>
      <w:docPartObj>
        <w:docPartGallery w:val="Page Numbers (Bottom of Page)"/>
        <w:docPartUnique/>
      </w:docPartObj>
    </w:sdtPr>
    <w:sdtEndPr>
      <w:rPr>
        <w:noProof/>
      </w:rPr>
    </w:sdtEndPr>
    <w:sdtContent>
      <w:p w:rsidR="00717E43" w:rsidRPr="00575AD6" w:rsidRDefault="00717E43" w:rsidP="00E82941">
        <w:pPr>
          <w:pStyle w:val="Header"/>
          <w:spacing w:before="120"/>
          <w:ind w:firstLine="0"/>
          <w:rPr>
            <w:sz w:val="20"/>
          </w:rPr>
        </w:pPr>
        <w:r w:rsidRPr="00575AD6">
          <w:rPr>
            <w:sz w:val="20"/>
          </w:rPr>
          <w:t>EMzino_</w:t>
        </w:r>
        <w:r w:rsidR="009E0ACC">
          <w:rPr>
            <w:sz w:val="20"/>
          </w:rPr>
          <w:t>12032018_</w:t>
        </w:r>
        <w:r w:rsidRPr="00575AD6">
          <w:rPr>
            <w:sz w:val="20"/>
          </w:rPr>
          <w:t>Konkuretspejas_padome; Informatīvais ziņojums par Eiropas Savienības Konk</w:t>
        </w:r>
        <w:r w:rsidR="009E0ACC">
          <w:rPr>
            <w:sz w:val="20"/>
          </w:rPr>
          <w:t>urētspējas ministru padomes 2018</w:t>
        </w:r>
        <w:r w:rsidRPr="00575AD6">
          <w:rPr>
            <w:sz w:val="20"/>
          </w:rPr>
          <w:t xml:space="preserve">. gada </w:t>
        </w:r>
        <w:r w:rsidR="009E0ACC">
          <w:rPr>
            <w:sz w:val="20"/>
          </w:rPr>
          <w:t>12.marta</w:t>
        </w:r>
        <w:r w:rsidRPr="00575AD6">
          <w:rPr>
            <w:sz w:val="20"/>
          </w:rPr>
          <w:t xml:space="preserve"> sanāksmē izskatāmajiem jautājumiem</w:t>
        </w:r>
      </w:p>
      <w:p w:rsidR="00C65C2E" w:rsidRDefault="00C65C2E" w:rsidP="00E82941">
        <w:pPr>
          <w:pStyle w:val="Header"/>
          <w:ind w:firstLine="0"/>
          <w:jc w:val="right"/>
        </w:pPr>
        <w:r>
          <w:fldChar w:fldCharType="begin"/>
        </w:r>
        <w:r>
          <w:instrText xml:space="preserve"> PAGE   \* MERGEFORMAT </w:instrText>
        </w:r>
        <w:r>
          <w:fldChar w:fldCharType="separate"/>
        </w:r>
        <w:r w:rsidR="00A50CE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B6" w:rsidRDefault="00E430B6" w:rsidP="00C65C2E">
      <w:r>
        <w:separator/>
      </w:r>
    </w:p>
  </w:footnote>
  <w:footnote w:type="continuationSeparator" w:id="0">
    <w:p w:rsidR="00E430B6" w:rsidRDefault="00E430B6" w:rsidP="00C65C2E">
      <w:r>
        <w:continuationSeparator/>
      </w:r>
    </w:p>
  </w:footnote>
  <w:footnote w:type="continuationNotice" w:id="1">
    <w:p w:rsidR="009E7D31" w:rsidRDefault="009E7D31">
      <w:pPr>
        <w:spacing w:after="0"/>
      </w:pPr>
    </w:p>
  </w:footnote>
  <w:footnote w:id="2">
    <w:p w:rsidR="00077601" w:rsidRPr="00887EC8" w:rsidRDefault="00077601" w:rsidP="00077601">
      <w:pPr>
        <w:pStyle w:val="FootnoteText"/>
        <w:rPr>
          <w:lang w:val="lv-LV"/>
        </w:rPr>
      </w:pPr>
      <w:r w:rsidRPr="00887EC8">
        <w:rPr>
          <w:rStyle w:val="FootnoteReference"/>
        </w:rPr>
        <w:footnoteRef/>
      </w:r>
      <w:r w:rsidRPr="00882C49">
        <w:rPr>
          <w:lang w:val="lv-LV"/>
        </w:rPr>
        <w:t>EK 2016.gada 25.oktobra paziņojums EP, Padomei, Eiropas Ekonomikas un Sociālo lietu Komitejai un Reģionu Komitejai, Komisijas 2017.gada darba programma “Panākot tādu Eiropu, kas aizsargā, dod iespējas un aizstāv”: http://eur-lex.europa.eu/resource.html?uri=cellar:c9d57f13-9b80-11e6-868c-01aa75ed71a1.0014.02/DOC_1&amp;format=PDF</w:t>
      </w:r>
    </w:p>
  </w:footnote>
  <w:footnote w:id="3">
    <w:p w:rsidR="00077601" w:rsidRPr="002A4973" w:rsidRDefault="00077601" w:rsidP="00077601">
      <w:pPr>
        <w:pStyle w:val="FootnoteText"/>
        <w:rPr>
          <w:lang w:val="lv-LV"/>
        </w:rPr>
      </w:pPr>
      <w:r>
        <w:rPr>
          <w:rStyle w:val="FootnoteReference"/>
        </w:rPr>
        <w:footnoteRef/>
      </w:r>
      <w:r>
        <w:rPr>
          <w:lang w:val="lv-LV"/>
        </w:rPr>
        <w:t>EK 2015.gada 28.oktobra paziņojums EP</w:t>
      </w:r>
      <w:r w:rsidRPr="00AC5726">
        <w:rPr>
          <w:lang w:val="lv-LV"/>
        </w:rPr>
        <w:t xml:space="preserve">, </w:t>
      </w:r>
      <w:r>
        <w:rPr>
          <w:lang w:val="lv-LV"/>
        </w:rPr>
        <w:t>Padomei, Eiropas Ekonomikas un Sociālo lietu Komitejai un Reģionu Komitejai “Vienotā tirgus pilnīgošana –</w:t>
      </w:r>
      <w:r w:rsidRPr="00AC5726">
        <w:rPr>
          <w:lang w:val="lv-LV"/>
        </w:rPr>
        <w:t xml:space="preserve"> plašākas iespējas cilvēkiem un </w:t>
      </w:r>
      <w:r>
        <w:rPr>
          <w:lang w:val="lv-LV"/>
        </w:rPr>
        <w:t xml:space="preserve">uzņēmējdarbībai”: </w:t>
      </w:r>
      <w:r w:rsidRPr="00AC5726">
        <w:rPr>
          <w:lang w:val="lv-LV"/>
        </w:rPr>
        <w:t>http://ec.europa.eu/DocsRoom/documents/14007/attachments/1/translations/lv/renditions/pdf</w:t>
      </w:r>
    </w:p>
  </w:footnote>
  <w:footnote w:id="4">
    <w:p w:rsidR="00077601" w:rsidRPr="00D91957" w:rsidRDefault="00077601" w:rsidP="00077601">
      <w:pPr>
        <w:pStyle w:val="FootnoteText"/>
        <w:rPr>
          <w:lang w:val="lv-LV"/>
        </w:rPr>
      </w:pPr>
      <w:r w:rsidRPr="00D91957">
        <w:rPr>
          <w:rStyle w:val="FootnoteReference"/>
          <w:lang w:val="lv-LV"/>
        </w:rPr>
        <w:footnoteRef/>
      </w:r>
      <w:r w:rsidRPr="00D91957">
        <w:rPr>
          <w:lang w:val="lv-LV"/>
        </w:rPr>
        <w:t xml:space="preserve">EK 2017.gada 10.maija paziņojums </w:t>
      </w:r>
      <w:r>
        <w:rPr>
          <w:lang w:val="lv-LV"/>
        </w:rPr>
        <w:t xml:space="preserve">EP, Padomei, Eiropas Ekonomikas un Sociālo lietu Komitejai un Reģionu </w:t>
      </w:r>
      <w:r w:rsidRPr="00D91957">
        <w:rPr>
          <w:lang w:val="lv-LV"/>
        </w:rPr>
        <w:t>Komitejai par digitālā vienotā tirgus stratēģijas īstenošanas vidusposma pārskatu “Satīklots digitālais vienotais tirgus visiem”</w:t>
      </w:r>
      <w:r>
        <w:rPr>
          <w:lang w:val="lv-LV"/>
        </w:rPr>
        <w:t>:</w:t>
      </w:r>
      <w:r w:rsidRPr="00077601">
        <w:rPr>
          <w:lang w:val="lv-LV"/>
        </w:rPr>
        <w:t xml:space="preserve"> </w:t>
      </w:r>
      <w:r w:rsidRPr="00D91957">
        <w:rPr>
          <w:lang w:val="lv-LV"/>
        </w:rPr>
        <w:t>http://eur-lex.europa.eu/legal-content/LV/TXT/?uri=CELEX:52017DC0228</w:t>
      </w:r>
    </w:p>
  </w:footnote>
  <w:footnote w:id="5">
    <w:p w:rsidR="00077601" w:rsidRPr="00D548D8" w:rsidRDefault="00077601" w:rsidP="00077601">
      <w:pPr>
        <w:pStyle w:val="FootnoteText"/>
      </w:pPr>
      <w:r>
        <w:rPr>
          <w:rStyle w:val="FootnoteReference"/>
        </w:rPr>
        <w:footnoteRef/>
      </w:r>
      <w:r w:rsidRPr="00D548D8">
        <w:t>European Commission</w:t>
      </w:r>
      <w:r>
        <w:t>, “Single Market and Standards”:</w:t>
      </w:r>
      <w:r w:rsidRPr="00D548D8">
        <w:t xml:space="preserve"> http://ec.europa.eu/growth/single-market/strategy_en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1" w:rsidRDefault="00E82941" w:rsidP="00E829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9AE"/>
    <w:multiLevelType w:val="hybridMultilevel"/>
    <w:tmpl w:val="D466DCCC"/>
    <w:lvl w:ilvl="0" w:tplc="4DF2C3B0">
      <w:start w:val="1"/>
      <w:numFmt w:val="decimal"/>
      <w:pStyle w:val="Prrafodelista"/>
      <w:lvlText w:val="%1."/>
      <w:lvlJc w:val="left"/>
      <w:pPr>
        <w:tabs>
          <w:tab w:val="num" w:pos="720"/>
        </w:tabs>
        <w:ind w:left="720" w:hanging="360"/>
      </w:pPr>
      <w:rPr>
        <w:rFonts w:cs="Times New Roman" w:hint="default"/>
      </w:rPr>
    </w:lvl>
    <w:lvl w:ilvl="1" w:tplc="87A8C1E0">
      <w:start w:val="2"/>
      <w:numFmt w:val="bullet"/>
      <w:lvlText w:val="-"/>
      <w:lvlJc w:val="left"/>
      <w:pPr>
        <w:tabs>
          <w:tab w:val="num" w:pos="1440"/>
        </w:tabs>
        <w:ind w:left="1440" w:hanging="360"/>
      </w:pPr>
      <w:rPr>
        <w:rFonts w:ascii="Times New Roman" w:eastAsia="Times New Roman" w:hAnsi="Times New Roman" w:hint="default"/>
      </w:rPr>
    </w:lvl>
    <w:lvl w:ilvl="2" w:tplc="4BC05D28">
      <w:start w:val="1"/>
      <w:numFmt w:val="decimal"/>
      <w:lvlText w:val="%3)"/>
      <w:lvlJc w:val="left"/>
      <w:pPr>
        <w:tabs>
          <w:tab w:val="num" w:pos="2340"/>
        </w:tabs>
        <w:ind w:left="2340" w:hanging="360"/>
      </w:pPr>
      <w:rPr>
        <w:rFonts w:cs="Times New Roman" w:hint="default"/>
      </w:rPr>
    </w:lvl>
    <w:lvl w:ilvl="3" w:tplc="0426000F">
      <w:start w:val="1"/>
      <w:numFmt w:val="decimal"/>
      <w:lvlText w:val="%4."/>
      <w:lvlJc w:val="left"/>
      <w:pPr>
        <w:tabs>
          <w:tab w:val="num" w:pos="2520"/>
        </w:tabs>
        <w:ind w:left="2520" w:hanging="360"/>
      </w:pPr>
      <w:rPr>
        <w:rFonts w:cs="Times New Roman" w:hint="default"/>
      </w:rPr>
    </w:lvl>
    <w:lvl w:ilvl="4" w:tplc="4A3EB48A">
      <w:start w:val="1"/>
      <w:numFmt w:val="bullet"/>
      <w:lvlText w:val=""/>
      <w:lvlJc w:val="left"/>
      <w:pPr>
        <w:tabs>
          <w:tab w:val="num" w:pos="3807"/>
        </w:tabs>
        <w:ind w:left="3807" w:hanging="567"/>
      </w:pPr>
      <w:rPr>
        <w:rFonts w:ascii="Symbol" w:hAnsi="Symbol" w:hint="default"/>
        <w:sz w:val="20"/>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B34D2"/>
    <w:multiLevelType w:val="hybridMultilevel"/>
    <w:tmpl w:val="30DCCA42"/>
    <w:lvl w:ilvl="0" w:tplc="FA6C9BD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B6DF6"/>
    <w:multiLevelType w:val="hybridMultilevel"/>
    <w:tmpl w:val="5388F4DC"/>
    <w:lvl w:ilvl="0" w:tplc="FB08167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9B236C"/>
    <w:multiLevelType w:val="hybridMultilevel"/>
    <w:tmpl w:val="4766A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840CC3"/>
    <w:multiLevelType w:val="hybridMultilevel"/>
    <w:tmpl w:val="D9C87584"/>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520D2B"/>
    <w:multiLevelType w:val="hybridMultilevel"/>
    <w:tmpl w:val="DD081E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D640E73"/>
    <w:multiLevelType w:val="hybridMultilevel"/>
    <w:tmpl w:val="657A6260"/>
    <w:lvl w:ilvl="0" w:tplc="04348D5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F5F79CA"/>
    <w:multiLevelType w:val="hybridMultilevel"/>
    <w:tmpl w:val="3D485CE2"/>
    <w:lvl w:ilvl="0" w:tplc="68201350">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4A5675F"/>
    <w:multiLevelType w:val="hybridMultilevel"/>
    <w:tmpl w:val="4EC09278"/>
    <w:lvl w:ilvl="0" w:tplc="06A2BDA6">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83072E"/>
    <w:multiLevelType w:val="hybridMultilevel"/>
    <w:tmpl w:val="3174A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9A3400"/>
    <w:multiLevelType w:val="hybridMultilevel"/>
    <w:tmpl w:val="1D9A02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CDE1718"/>
    <w:multiLevelType w:val="hybridMultilevel"/>
    <w:tmpl w:val="399EB182"/>
    <w:lvl w:ilvl="0" w:tplc="04348D5A">
      <w:start w:val="1"/>
      <w:numFmt w:val="lowerLetter"/>
      <w:lvlText w:val="%1)"/>
      <w:lvlJc w:val="left"/>
      <w:pPr>
        <w:ind w:left="1647" w:hanging="360"/>
      </w:pPr>
      <w:rPr>
        <w:rFonts w:hint="default"/>
        <w:b/>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13" w15:restartNumberingAfterBreak="0">
    <w:nsid w:val="52A3735D"/>
    <w:multiLevelType w:val="hybridMultilevel"/>
    <w:tmpl w:val="27543E0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3D07FB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66329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46339A6"/>
    <w:multiLevelType w:val="hybridMultilevel"/>
    <w:tmpl w:val="AB869D48"/>
    <w:lvl w:ilvl="0" w:tplc="0426001B">
      <w:start w:val="1"/>
      <w:numFmt w:val="low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6C94629"/>
    <w:multiLevelType w:val="hybridMultilevel"/>
    <w:tmpl w:val="94F4E372"/>
    <w:lvl w:ilvl="0" w:tplc="04260017">
      <w:start w:val="1"/>
      <w:numFmt w:val="lowerLetter"/>
      <w:lvlText w:val="%1)"/>
      <w:lvlJc w:val="left"/>
      <w:pPr>
        <w:ind w:left="1709" w:hanging="360"/>
      </w:pPr>
    </w:lvl>
    <w:lvl w:ilvl="1" w:tplc="04260019">
      <w:start w:val="1"/>
      <w:numFmt w:val="lowerLetter"/>
      <w:lvlText w:val="%2."/>
      <w:lvlJc w:val="left"/>
      <w:pPr>
        <w:ind w:left="2429" w:hanging="360"/>
      </w:pPr>
    </w:lvl>
    <w:lvl w:ilvl="2" w:tplc="0426001B">
      <w:start w:val="1"/>
      <w:numFmt w:val="lowerRoman"/>
      <w:lvlText w:val="%3."/>
      <w:lvlJc w:val="right"/>
      <w:pPr>
        <w:ind w:left="3149" w:hanging="180"/>
      </w:pPr>
    </w:lvl>
    <w:lvl w:ilvl="3" w:tplc="0426000F">
      <w:start w:val="1"/>
      <w:numFmt w:val="decimal"/>
      <w:lvlText w:val="%4."/>
      <w:lvlJc w:val="left"/>
      <w:pPr>
        <w:ind w:left="3869" w:hanging="360"/>
      </w:pPr>
    </w:lvl>
    <w:lvl w:ilvl="4" w:tplc="04260019">
      <w:start w:val="1"/>
      <w:numFmt w:val="lowerLetter"/>
      <w:lvlText w:val="%5."/>
      <w:lvlJc w:val="left"/>
      <w:pPr>
        <w:ind w:left="4589" w:hanging="360"/>
      </w:pPr>
    </w:lvl>
    <w:lvl w:ilvl="5" w:tplc="0426001B">
      <w:start w:val="1"/>
      <w:numFmt w:val="lowerRoman"/>
      <w:lvlText w:val="%6."/>
      <w:lvlJc w:val="right"/>
      <w:pPr>
        <w:ind w:left="5309" w:hanging="180"/>
      </w:pPr>
    </w:lvl>
    <w:lvl w:ilvl="6" w:tplc="0426000F">
      <w:start w:val="1"/>
      <w:numFmt w:val="decimal"/>
      <w:lvlText w:val="%7."/>
      <w:lvlJc w:val="left"/>
      <w:pPr>
        <w:ind w:left="6029" w:hanging="360"/>
      </w:pPr>
    </w:lvl>
    <w:lvl w:ilvl="7" w:tplc="04260019">
      <w:start w:val="1"/>
      <w:numFmt w:val="lowerLetter"/>
      <w:lvlText w:val="%8."/>
      <w:lvlJc w:val="left"/>
      <w:pPr>
        <w:ind w:left="6749" w:hanging="360"/>
      </w:pPr>
    </w:lvl>
    <w:lvl w:ilvl="8" w:tplc="0426001B">
      <w:start w:val="1"/>
      <w:numFmt w:val="lowerRoman"/>
      <w:lvlText w:val="%9."/>
      <w:lvlJc w:val="right"/>
      <w:pPr>
        <w:ind w:left="7469" w:hanging="180"/>
      </w:pPr>
    </w:lvl>
  </w:abstractNum>
  <w:abstractNum w:abstractNumId="18" w15:restartNumberingAfterBreak="0">
    <w:nsid w:val="7E4914C3"/>
    <w:multiLevelType w:val="hybridMultilevel"/>
    <w:tmpl w:val="F93C18FA"/>
    <w:lvl w:ilvl="0" w:tplc="30E4FC2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2"/>
  </w:num>
  <w:num w:numId="4">
    <w:abstractNumId w:val="6"/>
  </w:num>
  <w:num w:numId="5">
    <w:abstractNumId w:val="16"/>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1"/>
  </w:num>
  <w:num w:numId="11">
    <w:abstractNumId w:val="1"/>
  </w:num>
  <w:num w:numId="12">
    <w:abstractNumId w:val="18"/>
  </w:num>
  <w:num w:numId="13">
    <w:abstractNumId w:val="13"/>
  </w:num>
  <w:num w:numId="14">
    <w:abstractNumId w:val="10"/>
  </w:num>
  <w:num w:numId="15">
    <w:abstractNumId w:val="9"/>
  </w:num>
  <w:num w:numId="16">
    <w:abstractNumId w:val="12"/>
  </w:num>
  <w:num w:numId="17">
    <w:abstractNumId w:val="12"/>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 w:numId="22">
    <w:abstractNumId w:val="14"/>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FD"/>
    <w:rsid w:val="00001F55"/>
    <w:rsid w:val="00002D26"/>
    <w:rsid w:val="0000388E"/>
    <w:rsid w:val="00006EB7"/>
    <w:rsid w:val="00010974"/>
    <w:rsid w:val="00024BE6"/>
    <w:rsid w:val="00030014"/>
    <w:rsid w:val="00034FD6"/>
    <w:rsid w:val="00036ADF"/>
    <w:rsid w:val="000379D3"/>
    <w:rsid w:val="000442B9"/>
    <w:rsid w:val="000510F6"/>
    <w:rsid w:val="00055B42"/>
    <w:rsid w:val="0006151F"/>
    <w:rsid w:val="00076E90"/>
    <w:rsid w:val="00077601"/>
    <w:rsid w:val="00077C15"/>
    <w:rsid w:val="00085098"/>
    <w:rsid w:val="00087137"/>
    <w:rsid w:val="000873F9"/>
    <w:rsid w:val="0009394F"/>
    <w:rsid w:val="000B273C"/>
    <w:rsid w:val="000C29FD"/>
    <w:rsid w:val="000D5588"/>
    <w:rsid w:val="000D62AE"/>
    <w:rsid w:val="000E3EE7"/>
    <w:rsid w:val="000E6824"/>
    <w:rsid w:val="000F2E13"/>
    <w:rsid w:val="000F5D5C"/>
    <w:rsid w:val="000F6268"/>
    <w:rsid w:val="00103145"/>
    <w:rsid w:val="0011276E"/>
    <w:rsid w:val="00127F7A"/>
    <w:rsid w:val="00141852"/>
    <w:rsid w:val="00153D60"/>
    <w:rsid w:val="0016355C"/>
    <w:rsid w:val="001638B2"/>
    <w:rsid w:val="00164401"/>
    <w:rsid w:val="00166F5D"/>
    <w:rsid w:val="00176B91"/>
    <w:rsid w:val="00196A58"/>
    <w:rsid w:val="001A22E1"/>
    <w:rsid w:val="001A2487"/>
    <w:rsid w:val="001A4483"/>
    <w:rsid w:val="001C1246"/>
    <w:rsid w:val="001E4A15"/>
    <w:rsid w:val="002007B9"/>
    <w:rsid w:val="0021287A"/>
    <w:rsid w:val="00213765"/>
    <w:rsid w:val="00216232"/>
    <w:rsid w:val="00217703"/>
    <w:rsid w:val="0021798A"/>
    <w:rsid w:val="002230AB"/>
    <w:rsid w:val="00223819"/>
    <w:rsid w:val="0022468E"/>
    <w:rsid w:val="00226A49"/>
    <w:rsid w:val="00233E52"/>
    <w:rsid w:val="00236796"/>
    <w:rsid w:val="0024180B"/>
    <w:rsid w:val="00244CBC"/>
    <w:rsid w:val="00246C9C"/>
    <w:rsid w:val="00247F14"/>
    <w:rsid w:val="00262D7B"/>
    <w:rsid w:val="00271E95"/>
    <w:rsid w:val="0027704C"/>
    <w:rsid w:val="002904D7"/>
    <w:rsid w:val="002925BC"/>
    <w:rsid w:val="00296F75"/>
    <w:rsid w:val="002B1FC9"/>
    <w:rsid w:val="002C6D92"/>
    <w:rsid w:val="002D3677"/>
    <w:rsid w:val="002E02A0"/>
    <w:rsid w:val="002E0D48"/>
    <w:rsid w:val="002F0216"/>
    <w:rsid w:val="002F251C"/>
    <w:rsid w:val="00304C38"/>
    <w:rsid w:val="00327C6E"/>
    <w:rsid w:val="003450AE"/>
    <w:rsid w:val="00345204"/>
    <w:rsid w:val="00347D1B"/>
    <w:rsid w:val="00360573"/>
    <w:rsid w:val="003635ED"/>
    <w:rsid w:val="003709B5"/>
    <w:rsid w:val="00370E37"/>
    <w:rsid w:val="00382B8F"/>
    <w:rsid w:val="00384ED6"/>
    <w:rsid w:val="0038615C"/>
    <w:rsid w:val="00387A7D"/>
    <w:rsid w:val="00393BE0"/>
    <w:rsid w:val="003A0F39"/>
    <w:rsid w:val="003B5C8A"/>
    <w:rsid w:val="003C0C79"/>
    <w:rsid w:val="003C7D3B"/>
    <w:rsid w:val="003D2DD5"/>
    <w:rsid w:val="003E7ECA"/>
    <w:rsid w:val="003F2389"/>
    <w:rsid w:val="004077A5"/>
    <w:rsid w:val="004173AE"/>
    <w:rsid w:val="00424217"/>
    <w:rsid w:val="00432B1C"/>
    <w:rsid w:val="00451D1F"/>
    <w:rsid w:val="00483FE0"/>
    <w:rsid w:val="004900E8"/>
    <w:rsid w:val="004912E1"/>
    <w:rsid w:val="00496D25"/>
    <w:rsid w:val="004A0C1E"/>
    <w:rsid w:val="004A363D"/>
    <w:rsid w:val="004A7182"/>
    <w:rsid w:val="004C234B"/>
    <w:rsid w:val="004D307A"/>
    <w:rsid w:val="004D6D27"/>
    <w:rsid w:val="004E7259"/>
    <w:rsid w:val="00515F3F"/>
    <w:rsid w:val="005216B4"/>
    <w:rsid w:val="00521C43"/>
    <w:rsid w:val="00522258"/>
    <w:rsid w:val="00523FA1"/>
    <w:rsid w:val="005377A0"/>
    <w:rsid w:val="005511DC"/>
    <w:rsid w:val="005672CC"/>
    <w:rsid w:val="005674D1"/>
    <w:rsid w:val="005704E4"/>
    <w:rsid w:val="00587BDB"/>
    <w:rsid w:val="00595F0F"/>
    <w:rsid w:val="00597855"/>
    <w:rsid w:val="005B630B"/>
    <w:rsid w:val="005C1E65"/>
    <w:rsid w:val="005C6FAD"/>
    <w:rsid w:val="005E05D5"/>
    <w:rsid w:val="005E2945"/>
    <w:rsid w:val="005E5776"/>
    <w:rsid w:val="005E59FD"/>
    <w:rsid w:val="00622415"/>
    <w:rsid w:val="00625453"/>
    <w:rsid w:val="006402D7"/>
    <w:rsid w:val="00641E5B"/>
    <w:rsid w:val="00642F24"/>
    <w:rsid w:val="00645B0F"/>
    <w:rsid w:val="00656987"/>
    <w:rsid w:val="00682D1B"/>
    <w:rsid w:val="00696015"/>
    <w:rsid w:val="00696ECC"/>
    <w:rsid w:val="006A17A1"/>
    <w:rsid w:val="006A7C0E"/>
    <w:rsid w:val="006B3525"/>
    <w:rsid w:val="006C3957"/>
    <w:rsid w:val="006F3230"/>
    <w:rsid w:val="006F343C"/>
    <w:rsid w:val="006F4E16"/>
    <w:rsid w:val="00700B95"/>
    <w:rsid w:val="0070163D"/>
    <w:rsid w:val="00702C29"/>
    <w:rsid w:val="00703924"/>
    <w:rsid w:val="00705CC4"/>
    <w:rsid w:val="00713E65"/>
    <w:rsid w:val="00717E43"/>
    <w:rsid w:val="00725761"/>
    <w:rsid w:val="007278BE"/>
    <w:rsid w:val="007435C1"/>
    <w:rsid w:val="00751DB8"/>
    <w:rsid w:val="007522AE"/>
    <w:rsid w:val="00753EBD"/>
    <w:rsid w:val="00765131"/>
    <w:rsid w:val="007801E6"/>
    <w:rsid w:val="007816DD"/>
    <w:rsid w:val="00792ACC"/>
    <w:rsid w:val="00796E81"/>
    <w:rsid w:val="007971E3"/>
    <w:rsid w:val="007B5060"/>
    <w:rsid w:val="007C1A22"/>
    <w:rsid w:val="007C5125"/>
    <w:rsid w:val="007D0CAA"/>
    <w:rsid w:val="007E1396"/>
    <w:rsid w:val="007E5369"/>
    <w:rsid w:val="007F37DA"/>
    <w:rsid w:val="007F593C"/>
    <w:rsid w:val="007F7B80"/>
    <w:rsid w:val="00802FD6"/>
    <w:rsid w:val="00803714"/>
    <w:rsid w:val="00804977"/>
    <w:rsid w:val="00804FFF"/>
    <w:rsid w:val="008059FC"/>
    <w:rsid w:val="0081639A"/>
    <w:rsid w:val="008305D7"/>
    <w:rsid w:val="00832120"/>
    <w:rsid w:val="008405BF"/>
    <w:rsid w:val="00845334"/>
    <w:rsid w:val="00850F68"/>
    <w:rsid w:val="008634FC"/>
    <w:rsid w:val="00866B36"/>
    <w:rsid w:val="0088378A"/>
    <w:rsid w:val="00883E33"/>
    <w:rsid w:val="008871C6"/>
    <w:rsid w:val="00893323"/>
    <w:rsid w:val="008966C4"/>
    <w:rsid w:val="008A659F"/>
    <w:rsid w:val="008B0A2B"/>
    <w:rsid w:val="008B233C"/>
    <w:rsid w:val="008B6E6F"/>
    <w:rsid w:val="008C2AEA"/>
    <w:rsid w:val="008D22FE"/>
    <w:rsid w:val="008D443F"/>
    <w:rsid w:val="008E3678"/>
    <w:rsid w:val="008E4CA1"/>
    <w:rsid w:val="00920BF1"/>
    <w:rsid w:val="0092389D"/>
    <w:rsid w:val="0092522A"/>
    <w:rsid w:val="00940DF4"/>
    <w:rsid w:val="00950438"/>
    <w:rsid w:val="00970FC4"/>
    <w:rsid w:val="00977BDF"/>
    <w:rsid w:val="009952D4"/>
    <w:rsid w:val="009B51B2"/>
    <w:rsid w:val="009C6E54"/>
    <w:rsid w:val="009D327D"/>
    <w:rsid w:val="009E0ACC"/>
    <w:rsid w:val="009E1B87"/>
    <w:rsid w:val="009E7D31"/>
    <w:rsid w:val="00A0648A"/>
    <w:rsid w:val="00A249DD"/>
    <w:rsid w:val="00A24E21"/>
    <w:rsid w:val="00A344DF"/>
    <w:rsid w:val="00A40642"/>
    <w:rsid w:val="00A418B3"/>
    <w:rsid w:val="00A50CE1"/>
    <w:rsid w:val="00A51CF8"/>
    <w:rsid w:val="00A52E9E"/>
    <w:rsid w:val="00A73F96"/>
    <w:rsid w:val="00A77BCE"/>
    <w:rsid w:val="00AB2522"/>
    <w:rsid w:val="00AC12EB"/>
    <w:rsid w:val="00AE4F2E"/>
    <w:rsid w:val="00AE705E"/>
    <w:rsid w:val="00AF2AA2"/>
    <w:rsid w:val="00B008C9"/>
    <w:rsid w:val="00B01691"/>
    <w:rsid w:val="00B02E1B"/>
    <w:rsid w:val="00B03768"/>
    <w:rsid w:val="00B04B2C"/>
    <w:rsid w:val="00B24301"/>
    <w:rsid w:val="00B307C4"/>
    <w:rsid w:val="00B32691"/>
    <w:rsid w:val="00B45EA6"/>
    <w:rsid w:val="00B575D7"/>
    <w:rsid w:val="00B57A52"/>
    <w:rsid w:val="00B6011A"/>
    <w:rsid w:val="00B62DB1"/>
    <w:rsid w:val="00B64C61"/>
    <w:rsid w:val="00B6532C"/>
    <w:rsid w:val="00B819E6"/>
    <w:rsid w:val="00B93095"/>
    <w:rsid w:val="00BA2FAC"/>
    <w:rsid w:val="00BA4DDB"/>
    <w:rsid w:val="00BA770D"/>
    <w:rsid w:val="00BA7B7F"/>
    <w:rsid w:val="00BB2998"/>
    <w:rsid w:val="00BB6624"/>
    <w:rsid w:val="00BC6CF3"/>
    <w:rsid w:val="00BC7469"/>
    <w:rsid w:val="00BE50AD"/>
    <w:rsid w:val="00BF042C"/>
    <w:rsid w:val="00BF389E"/>
    <w:rsid w:val="00BF4A0E"/>
    <w:rsid w:val="00C07400"/>
    <w:rsid w:val="00C3069E"/>
    <w:rsid w:val="00C33C6B"/>
    <w:rsid w:val="00C35424"/>
    <w:rsid w:val="00C53F1D"/>
    <w:rsid w:val="00C60F0F"/>
    <w:rsid w:val="00C65C2E"/>
    <w:rsid w:val="00C67F9E"/>
    <w:rsid w:val="00C84463"/>
    <w:rsid w:val="00C86D2F"/>
    <w:rsid w:val="00C9477C"/>
    <w:rsid w:val="00CA5DBA"/>
    <w:rsid w:val="00CA6ED7"/>
    <w:rsid w:val="00CA7F39"/>
    <w:rsid w:val="00CB2678"/>
    <w:rsid w:val="00CD28AB"/>
    <w:rsid w:val="00CD4F04"/>
    <w:rsid w:val="00CE119F"/>
    <w:rsid w:val="00CE5351"/>
    <w:rsid w:val="00CF25B0"/>
    <w:rsid w:val="00CF3879"/>
    <w:rsid w:val="00D2087B"/>
    <w:rsid w:val="00D2315A"/>
    <w:rsid w:val="00D30B90"/>
    <w:rsid w:val="00D32119"/>
    <w:rsid w:val="00D368B1"/>
    <w:rsid w:val="00D47A68"/>
    <w:rsid w:val="00D5156D"/>
    <w:rsid w:val="00D70357"/>
    <w:rsid w:val="00D723F9"/>
    <w:rsid w:val="00D768A6"/>
    <w:rsid w:val="00D771E1"/>
    <w:rsid w:val="00D775AF"/>
    <w:rsid w:val="00D800C0"/>
    <w:rsid w:val="00D81D18"/>
    <w:rsid w:val="00D96557"/>
    <w:rsid w:val="00DB73CF"/>
    <w:rsid w:val="00DC25F6"/>
    <w:rsid w:val="00DC469C"/>
    <w:rsid w:val="00E0139D"/>
    <w:rsid w:val="00E022FF"/>
    <w:rsid w:val="00E05CD0"/>
    <w:rsid w:val="00E07601"/>
    <w:rsid w:val="00E11B3C"/>
    <w:rsid w:val="00E13D80"/>
    <w:rsid w:val="00E34CF4"/>
    <w:rsid w:val="00E408E5"/>
    <w:rsid w:val="00E426C8"/>
    <w:rsid w:val="00E430B6"/>
    <w:rsid w:val="00E4634B"/>
    <w:rsid w:val="00E579E3"/>
    <w:rsid w:val="00E60B29"/>
    <w:rsid w:val="00E73BF2"/>
    <w:rsid w:val="00E82941"/>
    <w:rsid w:val="00E84AE9"/>
    <w:rsid w:val="00E87E92"/>
    <w:rsid w:val="00E9491E"/>
    <w:rsid w:val="00E957E7"/>
    <w:rsid w:val="00E96672"/>
    <w:rsid w:val="00E97894"/>
    <w:rsid w:val="00EA31F2"/>
    <w:rsid w:val="00EA371D"/>
    <w:rsid w:val="00EA7731"/>
    <w:rsid w:val="00EB29A3"/>
    <w:rsid w:val="00EB4E58"/>
    <w:rsid w:val="00ED0F6B"/>
    <w:rsid w:val="00ED1D18"/>
    <w:rsid w:val="00EE452B"/>
    <w:rsid w:val="00EE57EA"/>
    <w:rsid w:val="00EF3C12"/>
    <w:rsid w:val="00F003A9"/>
    <w:rsid w:val="00F011D4"/>
    <w:rsid w:val="00F123C9"/>
    <w:rsid w:val="00F13B57"/>
    <w:rsid w:val="00F152C1"/>
    <w:rsid w:val="00F17491"/>
    <w:rsid w:val="00F1788C"/>
    <w:rsid w:val="00F57EDF"/>
    <w:rsid w:val="00F62A6E"/>
    <w:rsid w:val="00F745BE"/>
    <w:rsid w:val="00F8162D"/>
    <w:rsid w:val="00FA3923"/>
    <w:rsid w:val="00FA3B38"/>
    <w:rsid w:val="00FB4736"/>
    <w:rsid w:val="00FB7C66"/>
    <w:rsid w:val="00FF1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6E81"/>
    <w:pPr>
      <w:spacing w:after="120" w:line="240" w:lineRule="auto"/>
      <w:ind w:firstLine="567"/>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C7469"/>
    <w:pPr>
      <w:keepNext/>
      <w:numPr>
        <w:numId w:val="20"/>
      </w:numPr>
      <w:outlineLvl w:val="0"/>
    </w:pPr>
    <w:rPr>
      <w:b/>
      <w:bCs/>
      <w:color w:val="000000"/>
      <w:lang w:eastAsia="x-none"/>
    </w:rPr>
  </w:style>
  <w:style w:type="paragraph" w:styleId="Heading2">
    <w:name w:val="heading 2"/>
    <w:basedOn w:val="Normal"/>
    <w:next w:val="Normal"/>
    <w:link w:val="Heading2Char"/>
    <w:qFormat/>
    <w:rsid w:val="00BC7469"/>
    <w:pPr>
      <w:keepNext/>
      <w:numPr>
        <w:ilvl w:val="1"/>
        <w:numId w:val="20"/>
      </w:numPr>
      <w:outlineLvl w:val="1"/>
    </w:pPr>
    <w:rPr>
      <w:b/>
      <w:bCs/>
      <w:lang w:eastAsia="x-none"/>
    </w:rPr>
  </w:style>
  <w:style w:type="paragraph" w:styleId="Heading3">
    <w:name w:val="heading 3"/>
    <w:basedOn w:val="Normal"/>
    <w:next w:val="Normal"/>
    <w:link w:val="Heading3Char"/>
    <w:qFormat/>
    <w:rsid w:val="00BC7469"/>
    <w:pPr>
      <w:keepNext/>
      <w:numPr>
        <w:ilvl w:val="2"/>
        <w:numId w:val="20"/>
      </w:numPr>
      <w:outlineLvl w:val="2"/>
    </w:pPr>
    <w:rPr>
      <w:color w:val="000000"/>
      <w:u w:val="single"/>
      <w:lang w:eastAsia="x-none"/>
    </w:rPr>
  </w:style>
  <w:style w:type="paragraph" w:styleId="Heading4">
    <w:name w:val="heading 4"/>
    <w:basedOn w:val="Normal"/>
    <w:next w:val="Normal"/>
    <w:link w:val="Heading4Char"/>
    <w:qFormat/>
    <w:rsid w:val="00BC7469"/>
    <w:pPr>
      <w:keepNext/>
      <w:numPr>
        <w:ilvl w:val="3"/>
        <w:numId w:val="20"/>
      </w:numPr>
      <w:outlineLvl w:val="3"/>
    </w:pPr>
    <w:rPr>
      <w:u w:val="single"/>
      <w:lang w:eastAsia="x-none"/>
    </w:rPr>
  </w:style>
  <w:style w:type="paragraph" w:styleId="Heading5">
    <w:name w:val="heading 5"/>
    <w:basedOn w:val="Normal"/>
    <w:next w:val="Normal"/>
    <w:link w:val="Heading5Char"/>
    <w:qFormat/>
    <w:rsid w:val="00BC7469"/>
    <w:pPr>
      <w:keepNext/>
      <w:numPr>
        <w:ilvl w:val="4"/>
        <w:numId w:val="20"/>
      </w:numPr>
      <w:outlineLvl w:val="4"/>
    </w:pPr>
    <w:rPr>
      <w:b/>
      <w:bCs/>
      <w:sz w:val="26"/>
      <w:szCs w:val="26"/>
      <w:lang w:eastAsia="x-none"/>
    </w:rPr>
  </w:style>
  <w:style w:type="paragraph" w:styleId="Heading6">
    <w:name w:val="heading 6"/>
    <w:basedOn w:val="Normal"/>
    <w:next w:val="Normal"/>
    <w:link w:val="Heading6Char"/>
    <w:qFormat/>
    <w:rsid w:val="00BC7469"/>
    <w:pPr>
      <w:keepNext/>
      <w:numPr>
        <w:ilvl w:val="5"/>
        <w:numId w:val="20"/>
      </w:numPr>
      <w:jc w:val="right"/>
      <w:outlineLvl w:val="5"/>
    </w:pPr>
    <w:rPr>
      <w:b/>
      <w:bCs/>
      <w:i/>
      <w:iCs/>
      <w:sz w:val="28"/>
      <w:szCs w:val="28"/>
      <w:lang w:eastAsia="x-none"/>
    </w:rPr>
  </w:style>
  <w:style w:type="paragraph" w:styleId="Heading7">
    <w:name w:val="heading 7"/>
    <w:basedOn w:val="Normal"/>
    <w:next w:val="Normal"/>
    <w:link w:val="Heading7Char"/>
    <w:qFormat/>
    <w:rsid w:val="00BC7469"/>
    <w:pPr>
      <w:keepNext/>
      <w:numPr>
        <w:ilvl w:val="6"/>
        <w:numId w:val="20"/>
      </w:numPr>
      <w:outlineLvl w:val="6"/>
    </w:pPr>
    <w:rPr>
      <w:b/>
      <w:bCs/>
      <w:color w:val="339966"/>
      <w:lang w:eastAsia="x-none"/>
    </w:rPr>
  </w:style>
  <w:style w:type="paragraph" w:styleId="Heading8">
    <w:name w:val="heading 8"/>
    <w:basedOn w:val="Normal"/>
    <w:next w:val="Normal"/>
    <w:link w:val="Heading8Char"/>
    <w:qFormat/>
    <w:rsid w:val="00BC7469"/>
    <w:pPr>
      <w:keepNext/>
      <w:numPr>
        <w:ilvl w:val="7"/>
        <w:numId w:val="20"/>
      </w:numPr>
      <w:outlineLvl w:val="7"/>
    </w:pPr>
    <w:rPr>
      <w:b/>
      <w:bCs/>
      <w:i/>
      <w:iCs/>
      <w:sz w:val="28"/>
      <w:szCs w:val="28"/>
      <w:lang w:eastAsia="x-none"/>
    </w:rPr>
  </w:style>
  <w:style w:type="paragraph" w:styleId="Heading9">
    <w:name w:val="heading 9"/>
    <w:basedOn w:val="Normal"/>
    <w:next w:val="Normal"/>
    <w:link w:val="Heading9Char"/>
    <w:qFormat/>
    <w:rsid w:val="00BC7469"/>
    <w:pPr>
      <w:keepNext/>
      <w:numPr>
        <w:ilvl w:val="8"/>
        <w:numId w:val="20"/>
      </w:numPr>
      <w:outlineLvl w:val="8"/>
    </w:pPr>
    <w:rPr>
      <w:b/>
      <w:bCs/>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5E59FD"/>
    <w:pPr>
      <w:jc w:val="center"/>
    </w:pPr>
    <w:rPr>
      <w:b/>
      <w:szCs w:val="20"/>
      <w:lang w:eastAsia="en-US"/>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5E59FD"/>
    <w:rPr>
      <w:rFonts w:ascii="Times New Roman" w:eastAsia="Times New Roman" w:hAnsi="Times New Roman" w:cs="Times New Roman"/>
      <w:b/>
      <w:sz w:val="24"/>
      <w:szCs w:val="20"/>
    </w:rPr>
  </w:style>
  <w:style w:type="paragraph" w:customStyle="1" w:styleId="DashEqual1">
    <w:name w:val="Dash Equal 1"/>
    <w:basedOn w:val="Normal"/>
    <w:rsid w:val="007F593C"/>
    <w:pPr>
      <w:numPr>
        <w:numId w:val="1"/>
      </w:numPr>
    </w:pPr>
    <w:rPr>
      <w:rFonts w:eastAsiaTheme="minorHAnsi"/>
      <w:lang w:val="en-US" w:eastAsia="en-US"/>
    </w:rPr>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Bull"/>
    <w:basedOn w:val="Normal"/>
    <w:link w:val="ListParagraphChar"/>
    <w:uiPriority w:val="34"/>
    <w:qFormat/>
    <w:rsid w:val="007F593C"/>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Bull Char"/>
    <w:link w:val="ListParagraph"/>
    <w:uiPriority w:val="34"/>
    <w:qFormat/>
    <w:locked/>
    <w:rsid w:val="00C65C2E"/>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C65C2E"/>
    <w:pPr>
      <w:tabs>
        <w:tab w:val="center" w:pos="4153"/>
        <w:tab w:val="right" w:pos="8306"/>
      </w:tabs>
    </w:pPr>
  </w:style>
  <w:style w:type="character" w:customStyle="1" w:styleId="HeaderChar">
    <w:name w:val="Header Char"/>
    <w:basedOn w:val="DefaultParagraphFont"/>
    <w:link w:val="Header"/>
    <w:uiPriority w:val="99"/>
    <w:rsid w:val="00C65C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5C2E"/>
    <w:pPr>
      <w:tabs>
        <w:tab w:val="center" w:pos="4153"/>
        <w:tab w:val="right" w:pos="8306"/>
      </w:tabs>
    </w:pPr>
  </w:style>
  <w:style w:type="character" w:customStyle="1" w:styleId="FooterChar">
    <w:name w:val="Footer Char"/>
    <w:basedOn w:val="DefaultParagraphFont"/>
    <w:link w:val="Footer"/>
    <w:uiPriority w:val="99"/>
    <w:rsid w:val="00C65C2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010974"/>
    <w:pPr>
      <w:spacing w:line="480" w:lineRule="auto"/>
    </w:pPr>
  </w:style>
  <w:style w:type="character" w:customStyle="1" w:styleId="BodyText2Char">
    <w:name w:val="Body Text 2 Char"/>
    <w:basedOn w:val="DefaultParagraphFont"/>
    <w:link w:val="BodyText2"/>
    <w:uiPriority w:val="99"/>
    <w:semiHidden/>
    <w:rsid w:val="00010974"/>
    <w:rPr>
      <w:rFonts w:ascii="Times New Roman" w:eastAsia="Times New Roman" w:hAnsi="Times New Roman" w:cs="Times New Roman"/>
      <w:sz w:val="24"/>
      <w:szCs w:val="24"/>
      <w:lang w:eastAsia="lv-LV"/>
    </w:rPr>
  </w:style>
  <w:style w:type="character" w:styleId="Hyperlink">
    <w:name w:val="Hyperlink"/>
    <w:uiPriority w:val="99"/>
    <w:rsid w:val="009C6E54"/>
    <w:rPr>
      <w:color w:val="0000FF"/>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Char"/>
    <w:basedOn w:val="Normal"/>
    <w:link w:val="FootnoteTextChar"/>
    <w:uiPriority w:val="99"/>
    <w:qFormat/>
    <w:rsid w:val="009C6E54"/>
    <w:rPr>
      <w:sz w:val="20"/>
      <w:szCs w:val="20"/>
      <w:lang w:val="en-GB" w:eastAsia="en-US"/>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9C6E54"/>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Footnote Reference Superscript,note TESI,Ref,de nota al pie,fr,SUPERS,Footnote number,o,Source Reference,number,Footnote reference number,-E Fußnotenzeichen,Times 10 Point,Exposant 3 Point"/>
    <w:link w:val="16Point"/>
    <w:uiPriority w:val="99"/>
    <w:qFormat/>
    <w:rsid w:val="009C6E54"/>
    <w:rPr>
      <w:vertAlign w:val="superscript"/>
    </w:rPr>
  </w:style>
  <w:style w:type="paragraph" w:styleId="NormalWeb">
    <w:name w:val="Normal (Web)"/>
    <w:basedOn w:val="Normal"/>
    <w:uiPriority w:val="99"/>
    <w:rsid w:val="00432B1C"/>
    <w:pPr>
      <w:spacing w:before="100" w:beforeAutospacing="1" w:after="100" w:afterAutospacing="1"/>
    </w:pPr>
    <w:rPr>
      <w:rFonts w:eastAsia="Arial Unicode MS"/>
      <w:lang w:val="en-GB" w:eastAsia="en-US"/>
    </w:rPr>
  </w:style>
  <w:style w:type="character" w:styleId="CommentReference">
    <w:name w:val="annotation reference"/>
    <w:basedOn w:val="DefaultParagraphFont"/>
    <w:uiPriority w:val="99"/>
    <w:semiHidden/>
    <w:unhideWhenUsed/>
    <w:rsid w:val="006B3525"/>
    <w:rPr>
      <w:sz w:val="16"/>
      <w:szCs w:val="16"/>
    </w:rPr>
  </w:style>
  <w:style w:type="paragraph" w:styleId="CommentText">
    <w:name w:val="annotation text"/>
    <w:basedOn w:val="Normal"/>
    <w:link w:val="CommentTextChar"/>
    <w:unhideWhenUsed/>
    <w:rsid w:val="006B3525"/>
    <w:rPr>
      <w:sz w:val="20"/>
      <w:szCs w:val="20"/>
    </w:rPr>
  </w:style>
  <w:style w:type="character" w:customStyle="1" w:styleId="CommentTextChar">
    <w:name w:val="Comment Text Char"/>
    <w:basedOn w:val="DefaultParagraphFont"/>
    <w:link w:val="CommentText"/>
    <w:rsid w:val="006B352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3525"/>
    <w:rPr>
      <w:b/>
      <w:bCs/>
    </w:rPr>
  </w:style>
  <w:style w:type="character" w:customStyle="1" w:styleId="CommentSubjectChar">
    <w:name w:val="Comment Subject Char"/>
    <w:basedOn w:val="CommentTextChar"/>
    <w:link w:val="CommentSubject"/>
    <w:uiPriority w:val="99"/>
    <w:semiHidden/>
    <w:rsid w:val="006B352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B3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25"/>
    <w:rPr>
      <w:rFonts w:ascii="Segoe UI" w:eastAsia="Times New Roman" w:hAnsi="Segoe UI" w:cs="Segoe UI"/>
      <w:sz w:val="18"/>
      <w:szCs w:val="18"/>
      <w:lang w:eastAsia="lv-LV"/>
    </w:rPr>
  </w:style>
  <w:style w:type="paragraph" w:customStyle="1" w:styleId="BodyA">
    <w:name w:val="Body A"/>
    <w:rsid w:val="00424217"/>
    <w:pPr>
      <w:spacing w:before="120" w:after="120" w:line="360" w:lineRule="auto"/>
    </w:pPr>
    <w:rPr>
      <w:rFonts w:ascii="Helvetica" w:eastAsia="Arial Unicode MS" w:hAnsi="Helvetica" w:cs="Arial Unicode MS"/>
      <w:color w:val="000000"/>
      <w:u w:color="000000"/>
      <w:lang w:val="en-US" w:eastAsia="nl-NL"/>
    </w:rPr>
  </w:style>
  <w:style w:type="paragraph" w:customStyle="1" w:styleId="16Point">
    <w:name w:val="16 Point"/>
    <w:aliases w:val="Superscript 6 Point,Odwołanie przypisu,footnote ref,2001+ Fußnotenzeichen"/>
    <w:basedOn w:val="Normal"/>
    <w:link w:val="FootnoteReference"/>
    <w:rsid w:val="004A0C1E"/>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mt-translation1">
    <w:name w:val="mt-translation1"/>
    <w:basedOn w:val="Normal"/>
    <w:rsid w:val="00AC12EB"/>
    <w:rPr>
      <w:rFonts w:ascii="Segoe UI" w:hAnsi="Segoe UI" w:cs="Segoe UI"/>
      <w:sz w:val="22"/>
      <w:szCs w:val="22"/>
    </w:rPr>
  </w:style>
  <w:style w:type="character" w:customStyle="1" w:styleId="spelle">
    <w:name w:val="spelle"/>
    <w:basedOn w:val="DefaultParagraphFont"/>
    <w:rsid w:val="00BA770D"/>
  </w:style>
  <w:style w:type="character" w:customStyle="1" w:styleId="Heading1Char">
    <w:name w:val="Heading 1 Char"/>
    <w:basedOn w:val="DefaultParagraphFont"/>
    <w:link w:val="Heading1"/>
    <w:rsid w:val="00BC7469"/>
    <w:rPr>
      <w:rFonts w:ascii="Times New Roman" w:eastAsia="Times New Roman" w:hAnsi="Times New Roman" w:cs="Times New Roman"/>
      <w:b/>
      <w:bCs/>
      <w:color w:val="000000"/>
      <w:sz w:val="24"/>
      <w:szCs w:val="24"/>
      <w:lang w:eastAsia="x-none"/>
    </w:rPr>
  </w:style>
  <w:style w:type="character" w:customStyle="1" w:styleId="Heading2Char">
    <w:name w:val="Heading 2 Char"/>
    <w:basedOn w:val="DefaultParagraphFont"/>
    <w:link w:val="Heading2"/>
    <w:rsid w:val="00BC7469"/>
    <w:rPr>
      <w:rFonts w:ascii="Times New Roman" w:eastAsia="Times New Roman" w:hAnsi="Times New Roman" w:cs="Times New Roman"/>
      <w:b/>
      <w:bCs/>
      <w:sz w:val="24"/>
      <w:szCs w:val="24"/>
      <w:lang w:eastAsia="x-none"/>
    </w:rPr>
  </w:style>
  <w:style w:type="character" w:customStyle="1" w:styleId="Heading3Char">
    <w:name w:val="Heading 3 Char"/>
    <w:basedOn w:val="DefaultParagraphFont"/>
    <w:link w:val="Heading3"/>
    <w:rsid w:val="00BC7469"/>
    <w:rPr>
      <w:rFonts w:ascii="Times New Roman" w:eastAsia="Times New Roman" w:hAnsi="Times New Roman" w:cs="Times New Roman"/>
      <w:color w:val="000000"/>
      <w:sz w:val="24"/>
      <w:szCs w:val="24"/>
      <w:u w:val="single"/>
      <w:lang w:eastAsia="x-none"/>
    </w:rPr>
  </w:style>
  <w:style w:type="character" w:customStyle="1" w:styleId="Heading4Char">
    <w:name w:val="Heading 4 Char"/>
    <w:basedOn w:val="DefaultParagraphFont"/>
    <w:link w:val="Heading4"/>
    <w:rsid w:val="00BC7469"/>
    <w:rPr>
      <w:rFonts w:ascii="Times New Roman" w:eastAsia="Times New Roman" w:hAnsi="Times New Roman" w:cs="Times New Roman"/>
      <w:sz w:val="24"/>
      <w:szCs w:val="24"/>
      <w:u w:val="single"/>
      <w:lang w:eastAsia="x-none"/>
    </w:rPr>
  </w:style>
  <w:style w:type="character" w:customStyle="1" w:styleId="Heading5Char">
    <w:name w:val="Heading 5 Char"/>
    <w:basedOn w:val="DefaultParagraphFont"/>
    <w:link w:val="Heading5"/>
    <w:rsid w:val="00BC7469"/>
    <w:rPr>
      <w:rFonts w:ascii="Times New Roman" w:eastAsia="Times New Roman" w:hAnsi="Times New Roman" w:cs="Times New Roman"/>
      <w:b/>
      <w:bCs/>
      <w:sz w:val="26"/>
      <w:szCs w:val="26"/>
      <w:lang w:eastAsia="x-none"/>
    </w:rPr>
  </w:style>
  <w:style w:type="character" w:customStyle="1" w:styleId="Heading6Char">
    <w:name w:val="Heading 6 Char"/>
    <w:basedOn w:val="DefaultParagraphFont"/>
    <w:link w:val="Heading6"/>
    <w:rsid w:val="00BC7469"/>
    <w:rPr>
      <w:rFonts w:ascii="Times New Roman" w:eastAsia="Times New Roman" w:hAnsi="Times New Roman" w:cs="Times New Roman"/>
      <w:b/>
      <w:bCs/>
      <w:i/>
      <w:iCs/>
      <w:sz w:val="28"/>
      <w:szCs w:val="28"/>
      <w:lang w:eastAsia="x-none"/>
    </w:rPr>
  </w:style>
  <w:style w:type="character" w:customStyle="1" w:styleId="Heading7Char">
    <w:name w:val="Heading 7 Char"/>
    <w:basedOn w:val="DefaultParagraphFont"/>
    <w:link w:val="Heading7"/>
    <w:rsid w:val="00BC7469"/>
    <w:rPr>
      <w:rFonts w:ascii="Times New Roman" w:eastAsia="Times New Roman" w:hAnsi="Times New Roman" w:cs="Times New Roman"/>
      <w:b/>
      <w:bCs/>
      <w:color w:val="339966"/>
      <w:sz w:val="24"/>
      <w:szCs w:val="24"/>
      <w:lang w:eastAsia="x-none"/>
    </w:rPr>
  </w:style>
  <w:style w:type="character" w:customStyle="1" w:styleId="Heading8Char">
    <w:name w:val="Heading 8 Char"/>
    <w:basedOn w:val="DefaultParagraphFont"/>
    <w:link w:val="Heading8"/>
    <w:rsid w:val="00BC7469"/>
    <w:rPr>
      <w:rFonts w:ascii="Times New Roman" w:eastAsia="Times New Roman" w:hAnsi="Times New Roman" w:cs="Times New Roman"/>
      <w:b/>
      <w:bCs/>
      <w:i/>
      <w:iCs/>
      <w:sz w:val="28"/>
      <w:szCs w:val="28"/>
      <w:lang w:eastAsia="x-none"/>
    </w:rPr>
  </w:style>
  <w:style w:type="character" w:customStyle="1" w:styleId="Heading9Char">
    <w:name w:val="Heading 9 Char"/>
    <w:basedOn w:val="DefaultParagraphFont"/>
    <w:link w:val="Heading9"/>
    <w:rsid w:val="00BC7469"/>
    <w:rPr>
      <w:rFonts w:ascii="Times New Roman" w:eastAsia="Times New Roman" w:hAnsi="Times New Roman" w:cs="Times New Roman"/>
      <w:b/>
      <w:bCs/>
      <w:sz w:val="32"/>
      <w:szCs w:val="32"/>
      <w:lang w:eastAsia="x-none"/>
    </w:rPr>
  </w:style>
  <w:style w:type="paragraph" w:customStyle="1" w:styleId="Prrafodelista">
    <w:name w:val="Párrafo de lista"/>
    <w:basedOn w:val="Normal"/>
    <w:rsid w:val="00BC7469"/>
    <w:pPr>
      <w:numPr>
        <w:numId w:val="21"/>
      </w:numPr>
      <w:tabs>
        <w:tab w:val="clear" w:pos="720"/>
      </w:tabs>
      <w:spacing w:after="200" w:line="276" w:lineRule="auto"/>
      <w:ind w:firstLine="0"/>
      <w:contextualSpacing/>
    </w:pPr>
    <w:rPr>
      <w:rFonts w:ascii="Calibri" w:hAnsi="Calibri"/>
      <w:sz w:val="22"/>
      <w:szCs w:val="22"/>
      <w:lang w:val="es-ES" w:eastAsia="en-US"/>
    </w:rPr>
  </w:style>
  <w:style w:type="paragraph" w:customStyle="1" w:styleId="naisc">
    <w:name w:val="naisc"/>
    <w:basedOn w:val="Normal"/>
    <w:rsid w:val="00BB6624"/>
    <w:pPr>
      <w:spacing w:before="100" w:after="100"/>
    </w:pPr>
    <w:rPr>
      <w:lang w:val="en-GB"/>
    </w:rPr>
  </w:style>
  <w:style w:type="paragraph" w:styleId="Revision">
    <w:name w:val="Revision"/>
    <w:hidden/>
    <w:uiPriority w:val="99"/>
    <w:semiHidden/>
    <w:rsid w:val="009E7D31"/>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92A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7415">
      <w:bodyDiv w:val="1"/>
      <w:marLeft w:val="0"/>
      <w:marRight w:val="0"/>
      <w:marTop w:val="0"/>
      <w:marBottom w:val="0"/>
      <w:divBdr>
        <w:top w:val="none" w:sz="0" w:space="0" w:color="auto"/>
        <w:left w:val="none" w:sz="0" w:space="0" w:color="auto"/>
        <w:bottom w:val="none" w:sz="0" w:space="0" w:color="auto"/>
        <w:right w:val="none" w:sz="0" w:space="0" w:color="auto"/>
      </w:divBdr>
    </w:div>
    <w:div w:id="158009328">
      <w:bodyDiv w:val="1"/>
      <w:marLeft w:val="0"/>
      <w:marRight w:val="0"/>
      <w:marTop w:val="0"/>
      <w:marBottom w:val="0"/>
      <w:divBdr>
        <w:top w:val="none" w:sz="0" w:space="0" w:color="auto"/>
        <w:left w:val="none" w:sz="0" w:space="0" w:color="auto"/>
        <w:bottom w:val="none" w:sz="0" w:space="0" w:color="auto"/>
        <w:right w:val="none" w:sz="0" w:space="0" w:color="auto"/>
      </w:divBdr>
    </w:div>
    <w:div w:id="243339177">
      <w:bodyDiv w:val="1"/>
      <w:marLeft w:val="0"/>
      <w:marRight w:val="0"/>
      <w:marTop w:val="0"/>
      <w:marBottom w:val="0"/>
      <w:divBdr>
        <w:top w:val="none" w:sz="0" w:space="0" w:color="auto"/>
        <w:left w:val="none" w:sz="0" w:space="0" w:color="auto"/>
        <w:bottom w:val="none" w:sz="0" w:space="0" w:color="auto"/>
        <w:right w:val="none" w:sz="0" w:space="0" w:color="auto"/>
      </w:divBdr>
    </w:div>
    <w:div w:id="276301564">
      <w:bodyDiv w:val="1"/>
      <w:marLeft w:val="0"/>
      <w:marRight w:val="0"/>
      <w:marTop w:val="0"/>
      <w:marBottom w:val="0"/>
      <w:divBdr>
        <w:top w:val="none" w:sz="0" w:space="0" w:color="auto"/>
        <w:left w:val="none" w:sz="0" w:space="0" w:color="auto"/>
        <w:bottom w:val="none" w:sz="0" w:space="0" w:color="auto"/>
        <w:right w:val="none" w:sz="0" w:space="0" w:color="auto"/>
      </w:divBdr>
    </w:div>
    <w:div w:id="311256987">
      <w:bodyDiv w:val="1"/>
      <w:marLeft w:val="0"/>
      <w:marRight w:val="0"/>
      <w:marTop w:val="0"/>
      <w:marBottom w:val="0"/>
      <w:divBdr>
        <w:top w:val="none" w:sz="0" w:space="0" w:color="auto"/>
        <w:left w:val="none" w:sz="0" w:space="0" w:color="auto"/>
        <w:bottom w:val="none" w:sz="0" w:space="0" w:color="auto"/>
        <w:right w:val="none" w:sz="0" w:space="0" w:color="auto"/>
      </w:divBdr>
    </w:div>
    <w:div w:id="336612777">
      <w:bodyDiv w:val="1"/>
      <w:marLeft w:val="0"/>
      <w:marRight w:val="0"/>
      <w:marTop w:val="0"/>
      <w:marBottom w:val="0"/>
      <w:divBdr>
        <w:top w:val="none" w:sz="0" w:space="0" w:color="auto"/>
        <w:left w:val="none" w:sz="0" w:space="0" w:color="auto"/>
        <w:bottom w:val="none" w:sz="0" w:space="0" w:color="auto"/>
        <w:right w:val="none" w:sz="0" w:space="0" w:color="auto"/>
      </w:divBdr>
    </w:div>
    <w:div w:id="525367686">
      <w:bodyDiv w:val="1"/>
      <w:marLeft w:val="0"/>
      <w:marRight w:val="0"/>
      <w:marTop w:val="0"/>
      <w:marBottom w:val="0"/>
      <w:divBdr>
        <w:top w:val="none" w:sz="0" w:space="0" w:color="auto"/>
        <w:left w:val="none" w:sz="0" w:space="0" w:color="auto"/>
        <w:bottom w:val="none" w:sz="0" w:space="0" w:color="auto"/>
        <w:right w:val="none" w:sz="0" w:space="0" w:color="auto"/>
      </w:divBdr>
    </w:div>
    <w:div w:id="552430444">
      <w:bodyDiv w:val="1"/>
      <w:marLeft w:val="0"/>
      <w:marRight w:val="0"/>
      <w:marTop w:val="0"/>
      <w:marBottom w:val="0"/>
      <w:divBdr>
        <w:top w:val="none" w:sz="0" w:space="0" w:color="auto"/>
        <w:left w:val="none" w:sz="0" w:space="0" w:color="auto"/>
        <w:bottom w:val="none" w:sz="0" w:space="0" w:color="auto"/>
        <w:right w:val="none" w:sz="0" w:space="0" w:color="auto"/>
      </w:divBdr>
    </w:div>
    <w:div w:id="729765344">
      <w:bodyDiv w:val="1"/>
      <w:marLeft w:val="0"/>
      <w:marRight w:val="0"/>
      <w:marTop w:val="0"/>
      <w:marBottom w:val="0"/>
      <w:divBdr>
        <w:top w:val="none" w:sz="0" w:space="0" w:color="auto"/>
        <w:left w:val="none" w:sz="0" w:space="0" w:color="auto"/>
        <w:bottom w:val="none" w:sz="0" w:space="0" w:color="auto"/>
        <w:right w:val="none" w:sz="0" w:space="0" w:color="auto"/>
      </w:divBdr>
    </w:div>
    <w:div w:id="819424666">
      <w:bodyDiv w:val="1"/>
      <w:marLeft w:val="0"/>
      <w:marRight w:val="0"/>
      <w:marTop w:val="0"/>
      <w:marBottom w:val="0"/>
      <w:divBdr>
        <w:top w:val="none" w:sz="0" w:space="0" w:color="auto"/>
        <w:left w:val="none" w:sz="0" w:space="0" w:color="auto"/>
        <w:bottom w:val="none" w:sz="0" w:space="0" w:color="auto"/>
        <w:right w:val="none" w:sz="0" w:space="0" w:color="auto"/>
      </w:divBdr>
    </w:div>
    <w:div w:id="911740125">
      <w:bodyDiv w:val="1"/>
      <w:marLeft w:val="0"/>
      <w:marRight w:val="0"/>
      <w:marTop w:val="0"/>
      <w:marBottom w:val="0"/>
      <w:divBdr>
        <w:top w:val="none" w:sz="0" w:space="0" w:color="auto"/>
        <w:left w:val="none" w:sz="0" w:space="0" w:color="auto"/>
        <w:bottom w:val="none" w:sz="0" w:space="0" w:color="auto"/>
        <w:right w:val="none" w:sz="0" w:space="0" w:color="auto"/>
      </w:divBdr>
    </w:div>
    <w:div w:id="951667492">
      <w:bodyDiv w:val="1"/>
      <w:marLeft w:val="0"/>
      <w:marRight w:val="0"/>
      <w:marTop w:val="0"/>
      <w:marBottom w:val="0"/>
      <w:divBdr>
        <w:top w:val="none" w:sz="0" w:space="0" w:color="auto"/>
        <w:left w:val="none" w:sz="0" w:space="0" w:color="auto"/>
        <w:bottom w:val="none" w:sz="0" w:space="0" w:color="auto"/>
        <w:right w:val="none" w:sz="0" w:space="0" w:color="auto"/>
      </w:divBdr>
    </w:div>
    <w:div w:id="1021857840">
      <w:bodyDiv w:val="1"/>
      <w:marLeft w:val="0"/>
      <w:marRight w:val="0"/>
      <w:marTop w:val="0"/>
      <w:marBottom w:val="0"/>
      <w:divBdr>
        <w:top w:val="none" w:sz="0" w:space="0" w:color="auto"/>
        <w:left w:val="none" w:sz="0" w:space="0" w:color="auto"/>
        <w:bottom w:val="none" w:sz="0" w:space="0" w:color="auto"/>
        <w:right w:val="none" w:sz="0" w:space="0" w:color="auto"/>
      </w:divBdr>
    </w:div>
    <w:div w:id="1073546352">
      <w:bodyDiv w:val="1"/>
      <w:marLeft w:val="0"/>
      <w:marRight w:val="0"/>
      <w:marTop w:val="0"/>
      <w:marBottom w:val="0"/>
      <w:divBdr>
        <w:top w:val="none" w:sz="0" w:space="0" w:color="auto"/>
        <w:left w:val="none" w:sz="0" w:space="0" w:color="auto"/>
        <w:bottom w:val="none" w:sz="0" w:space="0" w:color="auto"/>
        <w:right w:val="none" w:sz="0" w:space="0" w:color="auto"/>
      </w:divBdr>
    </w:div>
    <w:div w:id="1225289366">
      <w:bodyDiv w:val="1"/>
      <w:marLeft w:val="0"/>
      <w:marRight w:val="0"/>
      <w:marTop w:val="0"/>
      <w:marBottom w:val="0"/>
      <w:divBdr>
        <w:top w:val="none" w:sz="0" w:space="0" w:color="auto"/>
        <w:left w:val="none" w:sz="0" w:space="0" w:color="auto"/>
        <w:bottom w:val="none" w:sz="0" w:space="0" w:color="auto"/>
        <w:right w:val="none" w:sz="0" w:space="0" w:color="auto"/>
      </w:divBdr>
    </w:div>
    <w:div w:id="1370908785">
      <w:bodyDiv w:val="1"/>
      <w:marLeft w:val="0"/>
      <w:marRight w:val="0"/>
      <w:marTop w:val="0"/>
      <w:marBottom w:val="0"/>
      <w:divBdr>
        <w:top w:val="none" w:sz="0" w:space="0" w:color="auto"/>
        <w:left w:val="none" w:sz="0" w:space="0" w:color="auto"/>
        <w:bottom w:val="none" w:sz="0" w:space="0" w:color="auto"/>
        <w:right w:val="none" w:sz="0" w:space="0" w:color="auto"/>
      </w:divBdr>
    </w:div>
    <w:div w:id="1409420919">
      <w:bodyDiv w:val="1"/>
      <w:marLeft w:val="0"/>
      <w:marRight w:val="0"/>
      <w:marTop w:val="0"/>
      <w:marBottom w:val="0"/>
      <w:divBdr>
        <w:top w:val="none" w:sz="0" w:space="0" w:color="auto"/>
        <w:left w:val="none" w:sz="0" w:space="0" w:color="auto"/>
        <w:bottom w:val="none" w:sz="0" w:space="0" w:color="auto"/>
        <w:right w:val="none" w:sz="0" w:space="0" w:color="auto"/>
      </w:divBdr>
    </w:div>
    <w:div w:id="1522430036">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665234637">
      <w:bodyDiv w:val="1"/>
      <w:marLeft w:val="0"/>
      <w:marRight w:val="0"/>
      <w:marTop w:val="0"/>
      <w:marBottom w:val="0"/>
      <w:divBdr>
        <w:top w:val="none" w:sz="0" w:space="0" w:color="auto"/>
        <w:left w:val="none" w:sz="0" w:space="0" w:color="auto"/>
        <w:bottom w:val="none" w:sz="0" w:space="0" w:color="auto"/>
        <w:right w:val="none" w:sz="0" w:space="0" w:color="auto"/>
      </w:divBdr>
    </w:div>
    <w:div w:id="1724207967">
      <w:bodyDiv w:val="1"/>
      <w:marLeft w:val="0"/>
      <w:marRight w:val="0"/>
      <w:marTop w:val="0"/>
      <w:marBottom w:val="0"/>
      <w:divBdr>
        <w:top w:val="none" w:sz="0" w:space="0" w:color="auto"/>
        <w:left w:val="none" w:sz="0" w:space="0" w:color="auto"/>
        <w:bottom w:val="none" w:sz="0" w:space="0" w:color="auto"/>
        <w:right w:val="none" w:sz="0" w:space="0" w:color="auto"/>
      </w:divBdr>
    </w:div>
    <w:div w:id="1885215887">
      <w:bodyDiv w:val="1"/>
      <w:marLeft w:val="0"/>
      <w:marRight w:val="0"/>
      <w:marTop w:val="0"/>
      <w:marBottom w:val="0"/>
      <w:divBdr>
        <w:top w:val="none" w:sz="0" w:space="0" w:color="auto"/>
        <w:left w:val="none" w:sz="0" w:space="0" w:color="auto"/>
        <w:bottom w:val="none" w:sz="0" w:space="0" w:color="auto"/>
        <w:right w:val="none" w:sz="0" w:space="0" w:color="auto"/>
      </w:divBdr>
    </w:div>
    <w:div w:id="1895700126">
      <w:bodyDiv w:val="1"/>
      <w:marLeft w:val="0"/>
      <w:marRight w:val="0"/>
      <w:marTop w:val="0"/>
      <w:marBottom w:val="0"/>
      <w:divBdr>
        <w:top w:val="none" w:sz="0" w:space="0" w:color="auto"/>
        <w:left w:val="none" w:sz="0" w:space="0" w:color="auto"/>
        <w:bottom w:val="none" w:sz="0" w:space="0" w:color="auto"/>
        <w:right w:val="none" w:sz="0" w:space="0" w:color="auto"/>
      </w:divBdr>
    </w:div>
    <w:div w:id="2100364004">
      <w:bodyDiv w:val="1"/>
      <w:marLeft w:val="0"/>
      <w:marRight w:val="0"/>
      <w:marTop w:val="0"/>
      <w:marBottom w:val="0"/>
      <w:divBdr>
        <w:top w:val="none" w:sz="0" w:space="0" w:color="auto"/>
        <w:left w:val="none" w:sz="0" w:space="0" w:color="auto"/>
        <w:bottom w:val="none" w:sz="0" w:space="0" w:color="auto"/>
        <w:right w:val="none" w:sz="0" w:space="0" w:color="auto"/>
      </w:divBdr>
    </w:div>
    <w:div w:id="21348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5315FAE4-C3CB-4E10-A4BE-86CE2C9372B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23125788-687C-48AA-B616-6913E08E88C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A3FE37CB-6C61-48C1-837B-FDB2C57B115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D49FC6B7-A61D-4CA3-9AAC-F2E2B20734F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514B67B8-E8D0-4BC8-92F3-51BE94FF1D4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45FB3F86-55E1-45D5-84FF-5B7B4982536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D59A66A5-1626-45C7-B8B0-1E18ED67483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B14D431A-D5BD-4353-9D31-0E4327F69B7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3B261FEB-1F92-4B95-85C3-7A3D63FC967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72816F24-49A0-48E1-A850-7F730FACA5B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4DEBFEA2-CB9F-4019-9D43-F42989C1511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8735E926-9D91-449C-883F-141AA438ED3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FF5BCB50-8BE7-49DC-A241-57F8B5FE5C9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C193AFB8-11BA-4132-B7A8-F943C542AB0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AA0755DF-7A44-4556-89C3-9A1C2D0F119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E71C1AA9-4430-4324-8A5B-C11462E56D7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23CF688C-CC55-41FE-9C50-3C41B9F3E37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10205</Words>
  <Characters>5817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2018-03-06T07:52:00Z</dcterms:created>
  <dcterms:modified xsi:type="dcterms:W3CDTF">2018-03-06T07:52:00Z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2018-03-12</vt:lpwstr>
  </property>
  <property fmtid="{D5CDD505-2E9C-101B-9397-08002B2CF9AE}" pid="3" name="DISCesvisAdditionalMakers">
    <vt:lpwstr>Nodaļas vadītāja Māra Rone </vt:lpwstr>
  </property>
  <property fmtid="{D5CDD505-2E9C-101B-9397-08002B2CF9AE}" pid="4" name="DIScgiUrl">
    <vt:lpwstr>https://lim.esvis.gov.lv/cs/idcplg</vt:lpwstr>
  </property>
  <property fmtid="{D5CDD505-2E9C-101B-9397-08002B2CF9AE}" pid="5" name="DISdDocName">
    <vt:lpwstr>L163061</vt:lpwstr>
  </property>
  <property fmtid="{D5CDD505-2E9C-101B-9397-08002B2CF9AE}" pid="6" name="DISCesvisAdditionalTutors">
    <vt:lpwstr>Nodaļas vadītāja Māra Rone , Vecākais referents Olafs Grigus</vt:lpwstr>
  </property>
  <property fmtid="{D5CDD505-2E9C-101B-9397-08002B2CF9AE}" pid="7" name="DISCesvisAdditionalMakersPhone">
    <vt:lpwstr>67013265</vt:lpwstr>
  </property>
  <property fmtid="{D5CDD505-2E9C-101B-9397-08002B2CF9AE}" pid="8" name="DISCesvisSigner">
    <vt:lpwstr>Ministrs Arvils Ašeradens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https://lim.esvis.gov.lv/cs/idcplg?ClientControlled=DocMan&amp;coreContentOnly=1&amp;WebdavRequest=1&amp;IdcService=DOC_INFO&amp;dID=205440</vt:lpwstr>
  </property>
  <property fmtid="{D5CDD505-2E9C-101B-9397-08002B2CF9AE}" pid="11" name="DISCesvisTitle">
    <vt:lpwstr>INFORMATĪVAIS ZIŅOJUMS par Eiropas Savienības Konkurētspējas ministru padomes 2018. gada 12.marta sanāksmē izskatāmajiem jautājumiem
</vt:lpwstr>
  </property>
  <property fmtid="{D5CDD505-2E9C-101B-9397-08002B2CF9AE}" pid="12" name="DISCesvisMinistryOfMinister">
    <vt:lpwstr>Ekonomikas ministra pienākumu izpildītājs - </vt:lpwstr>
  </property>
  <property fmtid="{D5CDD505-2E9C-101B-9397-08002B2CF9AE}" pid="13" name="DISCesvisAuthor">
    <vt:lpwstr>Ekonomikas ministrija</vt:lpwstr>
  </property>
  <property fmtid="{D5CDD505-2E9C-101B-9397-08002B2CF9AE}" pid="14" name="DISCesvisMainMaker">
    <vt:lpwstr>Nodaļas vadītāja Māra Rone </vt:lpwstr>
  </property>
  <property fmtid="{D5CDD505-2E9C-101B-9397-08002B2CF9AE}" pid="15" name="DISCesvisAdditionalTutorsMail">
    <vt:lpwstr>Mara.Rone@em.gov.lv, Olafs.Grigus@em.gov.lv</vt:lpwstr>
  </property>
  <property fmtid="{D5CDD505-2E9C-101B-9397-08002B2CF9AE}" pid="16" name="DISCesvisAdditionalTutorsPhone">
    <vt:lpwstr>67013265, 67013114</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DISCesvisMeetingDate,DISCesvisAdditionalMakers,DIScgiUrl,DISdDocName,DISCesvisAdditionalTutors,DISCesvisAdditionalMakersPhone,DISCesvisSigner,DISCesvisSafetyLevel,DISTaskPaneUrl,DISCesvisTitle,DISCesvisDocRegDate,DISCesvisMinistryOfMinister,DISCesvisAutho</vt:lpwstr>
  </property>
  <property fmtid="{D5CDD505-2E9C-101B-9397-08002B2CF9AE}" pid="19" name="DISCesvisAdditionalMakersMail">
    <vt:lpwstr>Mara.Rone@em.gov.lv</vt:lpwstr>
  </property>
  <property fmtid="{D5CDD505-2E9C-101B-9397-08002B2CF9AE}" pid="20" name="DISdUser">
    <vt:lpwstr>em_mrone</vt:lpwstr>
  </property>
  <property fmtid="{D5CDD505-2E9C-101B-9397-08002B2CF9AE}" pid="21" name="DISCesvisOrgApprovers">
    <vt:lpwstr>Ārlietu ministrija, Vides aizsardzības un reģionālās attīstības ministrija</vt:lpwstr>
  </property>
  <property fmtid="{D5CDD505-2E9C-101B-9397-08002B2CF9AE}" pid="22" name="DISdID">
    <vt:lpwstr>205440</vt:lpwstr>
  </property>
  <property fmtid="{D5CDD505-2E9C-101B-9397-08002B2CF9AE}" pid="23" name="DISCesvisMainMakerOrgUnitTitle">
    <vt:lpwstr>Eiropas Savienības un ārējo ekonomisko attiecību departaments</vt:lpwstr>
  </property>
  <property fmtid="{D5CDD505-2E9C-101B-9397-08002B2CF9AE}" pid="24" name="DISCesvisComments">
    <vt:lpwstr>Lūdzu sniegt saskaņojumu līdz rītdiena 22.11. pl.16:00. Īpašs lūgums papildināt informāciju par AOB jautājumiem FM (iepirkuma pakotne, tabakas izsekošanas direktīva ) un VARAM (Digitālā vienotā tirgus ieviešana).</vt:lpwstr>
  </property>
  <property fmtid="{D5CDD505-2E9C-101B-9397-08002B2CF9AE}" pid="25" name="DISCesvisDescription">
    <vt:lpwstr>
</vt:lpwstr>
  </property>
  <property fmtid="{D5CDD505-2E9C-101B-9397-08002B2CF9AE}" pid="26" name="DISCesvisForInforming">
    <vt:lpwstr>Specializētais atašejs - nozares padomnieks Rinalds Celmiņš, Departamenta direktora vietniece Lita Stauvere </vt:lpwstr>
  </property>
  <property fmtid="{D5CDD505-2E9C-101B-9397-08002B2CF9AE}" pid="27" name="DISCesvisDocRegDate">
    <vt:lpwstr>2018-03-06</vt:lpwstr>
  </property>
  <property fmtid="{D5CDD505-2E9C-101B-9397-08002B2CF9AE}" pid="28" name="DISCesvisRegDate">
    <vt:lpwstr>2018-03-06</vt:lpwstr>
  </property>
  <property fmtid="{D5CDD505-2E9C-101B-9397-08002B2CF9AE}" pid="29" name="DISCesvisDocRegNr">
    <vt:lpwstr>2.3.10-2/2018/IZ-2</vt:lpwstr>
  </property>
</Properties>
</file>