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64" w:rsidRDefault="00573664" w:rsidP="00573664">
      <w:pPr>
        <w:jc w:val="center"/>
        <w:rPr>
          <w:b/>
        </w:rPr>
      </w:pPr>
      <w:r w:rsidRPr="00347817">
        <w:rPr>
          <w:b/>
          <w:bCs/>
        </w:rPr>
        <w:t>Ministru kabineta noteikumu projekta „</w:t>
      </w:r>
      <w:r w:rsidR="007475BA">
        <w:rPr>
          <w:b/>
          <w:bCs/>
        </w:rPr>
        <w:t>Grozījumi Ministru kabineta 2007.gada 3.jūlija noteikumos Nr.458 „Komersantu – darbiekārtošanas pakalpojumu sniedzēju – licencēšanas un uzraudzības kārtība”</w:t>
      </w:r>
      <w:r w:rsidRPr="00347817">
        <w:rPr>
          <w:b/>
          <w:bCs/>
        </w:rPr>
        <w:t xml:space="preserve">” </w:t>
      </w:r>
      <w:r w:rsidRPr="00347817">
        <w:rPr>
          <w:b/>
        </w:rPr>
        <w:t>sākotnējās ietekmes novērtējuma ziņojums (anotācija)</w:t>
      </w:r>
    </w:p>
    <w:p w:rsidR="007475BA" w:rsidRDefault="007475BA" w:rsidP="00573664">
      <w:pPr>
        <w:jc w:val="center"/>
        <w:rPr>
          <w:b/>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91"/>
        <w:gridCol w:w="5840"/>
      </w:tblGrid>
      <w:tr w:rsidR="007475BA" w:rsidRPr="00347817" w:rsidTr="00AA36C0">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475BA" w:rsidRPr="00347817" w:rsidRDefault="00AA36C0" w:rsidP="007050F5">
            <w:pPr>
              <w:pStyle w:val="tvhtml"/>
              <w:spacing w:line="293" w:lineRule="atLeast"/>
              <w:jc w:val="center"/>
              <w:rPr>
                <w:b/>
                <w:bCs/>
              </w:rPr>
            </w:pPr>
            <w:r w:rsidRPr="00E5323B">
              <w:rPr>
                <w:b/>
                <w:bCs/>
                <w:iCs/>
                <w:color w:val="414142"/>
                <w:lang w:val="sv-SE"/>
              </w:rPr>
              <w:t>Tiesību akta projekta anotācijas kopsavilkums</w:t>
            </w:r>
          </w:p>
        </w:tc>
      </w:tr>
      <w:tr w:rsidR="00AA36C0" w:rsidRPr="00347817" w:rsidTr="00AA36C0">
        <w:tc>
          <w:tcPr>
            <w:tcW w:w="1802" w:type="pct"/>
            <w:tcBorders>
              <w:top w:val="outset" w:sz="6" w:space="0" w:color="414142"/>
              <w:left w:val="outset" w:sz="6" w:space="0" w:color="414142"/>
              <w:bottom w:val="outset" w:sz="6" w:space="0" w:color="414142"/>
              <w:right w:val="outset" w:sz="6" w:space="0" w:color="414142"/>
            </w:tcBorders>
            <w:shd w:val="clear" w:color="auto" w:fill="FFFFFF"/>
            <w:hideMark/>
          </w:tcPr>
          <w:p w:rsidR="00AA36C0" w:rsidRPr="00347817" w:rsidRDefault="00AA36C0" w:rsidP="007050F5">
            <w:r w:rsidRPr="00E5323B">
              <w:rPr>
                <w:iCs/>
                <w:color w:val="414142"/>
                <w:lang w:val="sv-SE"/>
              </w:rPr>
              <w:t>Mērķis, risinājums un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rsidR="00AA36C0" w:rsidRDefault="00AA36C0" w:rsidP="00AA36C0">
            <w:pPr>
              <w:jc w:val="both"/>
            </w:pPr>
            <w:r>
              <w:t xml:space="preserve">Ministru kabineta noteikumu projekts „Grozījumi Ministru kabineta 2007.gada 3.jūlija noteikumos Nr.458 „Komersantu – darbiekārtošanas pakalpojumu sniedzēju – licencēšanas un uzraudzības kārtība”” (turpmāk – Noteikumu projekts) ir izstrādāts, </w:t>
            </w:r>
            <w:r>
              <w:rPr>
                <w:bCs/>
              </w:rPr>
              <w:t xml:space="preserve">lai </w:t>
            </w:r>
            <w:r w:rsidR="00B63F04">
              <w:rPr>
                <w:bCs/>
              </w:rPr>
              <w:t>ieviestu</w:t>
            </w:r>
            <w:r>
              <w:rPr>
                <w:bCs/>
              </w:rPr>
              <w:t xml:space="preserve"> Eiropas Savienības dalībvalstīm noteikto pienākumu izstrādāt kārtību, kādā organizācijas tiek uzņemtas par EURES dalībniekiem, tiek uzraudzīta organizāciju darbība, kā arī atsaukta to uzņemšana.</w:t>
            </w:r>
            <w:r w:rsidR="00DA7915">
              <w:rPr>
                <w:bCs/>
              </w:rPr>
              <w:t xml:space="preserve"> Paredzēts, ka Noteikumu projekts stāsies spēkā līdz 2018.gada 13.maijam. </w:t>
            </w:r>
          </w:p>
          <w:p w:rsidR="00AA36C0" w:rsidRPr="00347817" w:rsidRDefault="00AA36C0" w:rsidP="007475BA">
            <w:pPr>
              <w:jc w:val="both"/>
            </w:pPr>
          </w:p>
        </w:tc>
      </w:tr>
    </w:tbl>
    <w:p w:rsidR="00573664" w:rsidRPr="00347817" w:rsidRDefault="00DA7915" w:rsidP="00DA7915">
      <w:pPr>
        <w:rPr>
          <w:b/>
        </w:rPr>
      </w:pPr>
      <w:r>
        <w:rPr>
          <w:b/>
        </w:rPr>
        <w:t xml:space="preserve"> </w:t>
      </w:r>
    </w:p>
    <w:p w:rsidR="00573664" w:rsidRPr="00347817" w:rsidRDefault="00573664" w:rsidP="00573664">
      <w:pPr>
        <w:jc w:val="center"/>
        <w:rPr>
          <w:i/>
          <w:i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81E5D" w:rsidRPr="00347817" w:rsidTr="0016638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I. Tiesību akta projekta izstrādes nepieciešamība</w:t>
            </w:r>
          </w:p>
        </w:tc>
      </w:tr>
      <w:tr w:rsidR="00081E5D" w:rsidRPr="00347817" w:rsidTr="0016638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jc w:val="center"/>
            </w:pPr>
            <w:r w:rsidRPr="00347817">
              <w:t>1.</w:t>
            </w:r>
          </w:p>
        </w:tc>
        <w:tc>
          <w:tcPr>
            <w:tcW w:w="1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573664" w:rsidRPr="00347817" w:rsidRDefault="00F44961" w:rsidP="00B63F04">
            <w:pPr>
              <w:jc w:val="both"/>
            </w:pPr>
            <w:r>
              <w:rPr>
                <w:bCs/>
              </w:rPr>
              <w:t xml:space="preserve">Noteikumu projekts ir izstrādāts atbilstoši Bezdarbnieku un darba </w:t>
            </w:r>
            <w:r w:rsidR="00E417EC">
              <w:rPr>
                <w:bCs/>
              </w:rPr>
              <w:t xml:space="preserve">meklētāju atbalsta </w:t>
            </w:r>
            <w:r>
              <w:rPr>
                <w:bCs/>
              </w:rPr>
              <w:t xml:space="preserve">likuma 4.panta sestajai daļai, lai </w:t>
            </w:r>
            <w:r w:rsidR="00B63F04">
              <w:rPr>
                <w:bCs/>
              </w:rPr>
              <w:t>ieviestu</w:t>
            </w:r>
            <w:r>
              <w:rPr>
                <w:bCs/>
              </w:rPr>
              <w:t xml:space="preserve"> </w:t>
            </w:r>
            <w:r w:rsidRPr="00F44961">
              <w:rPr>
                <w:bCs/>
              </w:rPr>
              <w:t xml:space="preserve">Eiropas Parlamenta un Padomes 2016.gada </w:t>
            </w:r>
            <w:r w:rsidR="00B63F04">
              <w:rPr>
                <w:bCs/>
              </w:rPr>
              <w:t>13.aprīļa Regulas</w:t>
            </w:r>
            <w:r w:rsidRPr="00F44961">
              <w:rPr>
                <w:bCs/>
              </w:rPr>
              <w:t xml:space="preserve"> (ES) 2016/589 par Eiropas Nodarbinātības dienestu tīklu (EURES), darba ņēmēju piekļuvi mobilitātes pakalpojumiem un turpmāku darba tirgu integrāciju un ar ko groza Regulas (ES) Nr. 492/2011 un (ES) Nr. 1296/2013 (turpmāk – Regula Nr.2016/589)</w:t>
            </w:r>
            <w:r>
              <w:rPr>
                <w:bCs/>
              </w:rPr>
              <w:t xml:space="preserve"> 11.pan</w:t>
            </w:r>
            <w:r w:rsidR="00B63F04">
              <w:rPr>
                <w:bCs/>
              </w:rPr>
              <w:t>ta 1.punktā noteikto dalībvalsts</w:t>
            </w:r>
            <w:r>
              <w:rPr>
                <w:bCs/>
              </w:rPr>
              <w:t xml:space="preserve"> pienākumu.</w:t>
            </w:r>
          </w:p>
        </w:tc>
      </w:tr>
      <w:tr w:rsidR="00081E5D" w:rsidRPr="00347817" w:rsidTr="0016638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jc w:val="center"/>
            </w:pPr>
            <w:r w:rsidRPr="00347817">
              <w:t>2.</w:t>
            </w:r>
          </w:p>
        </w:tc>
        <w:tc>
          <w:tcPr>
            <w:tcW w:w="1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097E83" w:rsidRDefault="00F44961" w:rsidP="00BF69E3">
            <w:pPr>
              <w:jc w:val="both"/>
              <w:rPr>
                <w:shd w:val="clear" w:color="auto" w:fill="FFFFFF"/>
              </w:rPr>
            </w:pPr>
            <w:r>
              <w:rPr>
                <w:shd w:val="clear" w:color="auto" w:fill="FFFFFF"/>
              </w:rPr>
              <w:t>Eiropas Nodarbin</w:t>
            </w:r>
            <w:r w:rsidR="00A87644">
              <w:rPr>
                <w:shd w:val="clear" w:color="auto" w:fill="FFFFFF"/>
              </w:rPr>
              <w:t xml:space="preserve">ātības </w:t>
            </w:r>
            <w:r w:rsidR="00E417EC">
              <w:rPr>
                <w:shd w:val="clear" w:color="auto" w:fill="FFFFFF"/>
              </w:rPr>
              <w:t xml:space="preserve">dienestu </w:t>
            </w:r>
            <w:r w:rsidR="00A87644">
              <w:rPr>
                <w:shd w:val="clear" w:color="auto" w:fill="FFFFFF"/>
              </w:rPr>
              <w:t xml:space="preserve">tīkls (EURES) (turpmāk – </w:t>
            </w:r>
            <w:r>
              <w:rPr>
                <w:shd w:val="clear" w:color="auto" w:fill="FFFFFF"/>
              </w:rPr>
              <w:t xml:space="preserve">EURES) ir sadarbības tīkls, ko patlaban veido </w:t>
            </w:r>
            <w:r w:rsidR="00363056">
              <w:rPr>
                <w:shd w:val="clear" w:color="auto" w:fill="FFFFFF"/>
              </w:rPr>
              <w:t xml:space="preserve">Eiropas Savienības dalībvalstu </w:t>
            </w:r>
            <w:r>
              <w:rPr>
                <w:shd w:val="clear" w:color="auto" w:fill="FFFFFF"/>
              </w:rPr>
              <w:t>nodarbinātības dienesti</w:t>
            </w:r>
            <w:r w:rsidR="00A87644">
              <w:rPr>
                <w:shd w:val="clear" w:color="auto" w:fill="FFFFFF"/>
              </w:rPr>
              <w:t>.</w:t>
            </w:r>
            <w:r>
              <w:rPr>
                <w:shd w:val="clear" w:color="auto" w:fill="FFFFFF"/>
              </w:rPr>
              <w:t xml:space="preserve"> </w:t>
            </w:r>
            <w:r w:rsidR="00A87644" w:rsidRPr="00A87644">
              <w:rPr>
                <w:shd w:val="clear" w:color="auto" w:fill="FFFFFF"/>
              </w:rPr>
              <w:t xml:space="preserve">EURES nodrošina padomdevēju tīklu, kas var sniegt informāciju un palīdzību darba meklētājiem un darba devējiem, sazinoties personīgi. EURES padomdevēji </w:t>
            </w:r>
            <w:r w:rsidR="00E417EC">
              <w:rPr>
                <w:shd w:val="clear" w:color="auto" w:fill="FFFFFF"/>
              </w:rPr>
              <w:t xml:space="preserve">– konsultanti </w:t>
            </w:r>
            <w:r w:rsidR="00A87644" w:rsidRPr="00A87644">
              <w:rPr>
                <w:shd w:val="clear" w:color="auto" w:fill="FFFFFF"/>
              </w:rPr>
              <w:t>ir apmācīti speciālisti, kas sniedz informācijas, ieteikumu un darbā pieņemšanas pamatpakalpojumus darba meklētājiem un darba devējiem, kas ieinteresēti Eiropas darba tirgū.</w:t>
            </w:r>
            <w:r w:rsidR="00A87644">
              <w:rPr>
                <w:shd w:val="clear" w:color="auto" w:fill="FFFFFF"/>
              </w:rPr>
              <w:t xml:space="preserve"> </w:t>
            </w:r>
            <w:r>
              <w:rPr>
                <w:shd w:val="clear" w:color="auto" w:fill="FFFFFF"/>
              </w:rPr>
              <w:t xml:space="preserve">2018.gada 13.maijā stāsies spēkā Regula Nr.2016/589, </w:t>
            </w:r>
            <w:r w:rsidR="00363056">
              <w:rPr>
                <w:shd w:val="clear" w:color="auto" w:fill="FFFFFF"/>
              </w:rPr>
              <w:t>kas paredz paplašināt</w:t>
            </w:r>
            <w:r w:rsidR="00A87644">
              <w:rPr>
                <w:shd w:val="clear" w:color="auto" w:fill="FFFFFF"/>
              </w:rPr>
              <w:t xml:space="preserve"> EURES tīklu, iesaistot tajā arī </w:t>
            </w:r>
            <w:r w:rsidR="00121A7F">
              <w:rPr>
                <w:shd w:val="clear" w:color="auto" w:fill="FFFFFF"/>
              </w:rPr>
              <w:t>privātos darbiekārtošana</w:t>
            </w:r>
            <w:r w:rsidR="00363056">
              <w:rPr>
                <w:shd w:val="clear" w:color="auto" w:fill="FFFFFF"/>
              </w:rPr>
              <w:t>s pakalpojumu sniedzējus. Regula</w:t>
            </w:r>
            <w:r w:rsidR="00121A7F">
              <w:rPr>
                <w:shd w:val="clear" w:color="auto" w:fill="FFFFFF"/>
              </w:rPr>
              <w:t>s Nr.2016/589 11.panta 1.punkts nosaka dalībvalstīm pienākumu līdz 2018.gada 13.maijam izveidot sistēmu, lai uzņemtu organizācijas par EURES dalībniekiem, pārraudz</w:t>
            </w:r>
            <w:r w:rsidR="00B63F04">
              <w:rPr>
                <w:shd w:val="clear" w:color="auto" w:fill="FFFFFF"/>
              </w:rPr>
              <w:t>ītu to darbību</w:t>
            </w:r>
            <w:r w:rsidR="00121A7F">
              <w:rPr>
                <w:shd w:val="clear" w:color="auto" w:fill="FFFFFF"/>
              </w:rPr>
              <w:t xml:space="preserve"> un to, kā tie ievēro piemērojamos tiesību aktus un vajadzības gadījumā, lai atsauktu to uzņemšanu. </w:t>
            </w:r>
          </w:p>
          <w:p w:rsidR="00097E83" w:rsidRDefault="00B47371" w:rsidP="00BF69E3">
            <w:pPr>
              <w:jc w:val="both"/>
              <w:rPr>
                <w:shd w:val="clear" w:color="auto" w:fill="FFFFFF"/>
              </w:rPr>
            </w:pPr>
            <w:r>
              <w:rPr>
                <w:shd w:val="clear" w:color="auto" w:fill="FFFFFF"/>
              </w:rPr>
              <w:t>Latvijā ir izveidota darbiekārtošanas pakalpojumu licencēšanas un uzraudzības sistēma, līdz ar to EURES dalībnieku statusa piešķiršanas, uzraudzības un anulēšanas</w:t>
            </w:r>
            <w:r w:rsidR="00E417EC">
              <w:rPr>
                <w:shd w:val="clear" w:color="auto" w:fill="FFFFFF"/>
              </w:rPr>
              <w:t xml:space="preserve"> </w:t>
            </w:r>
            <w:r w:rsidR="00E417EC">
              <w:rPr>
                <w:shd w:val="clear" w:color="auto" w:fill="FFFFFF"/>
              </w:rPr>
              <w:lastRenderedPageBreak/>
              <w:t>kārtība tiks balstīta uz esošo sistēmu</w:t>
            </w:r>
            <w:r>
              <w:rPr>
                <w:shd w:val="clear" w:color="auto" w:fill="FFFFFF"/>
              </w:rPr>
              <w:t>, papildinot to atbilstoši Regulas Nr.2016/589 prasībām.</w:t>
            </w:r>
          </w:p>
          <w:p w:rsidR="00221945" w:rsidRDefault="009E1056" w:rsidP="00BF69E3">
            <w:pPr>
              <w:jc w:val="both"/>
              <w:rPr>
                <w:shd w:val="clear" w:color="auto" w:fill="FFFFFF"/>
              </w:rPr>
            </w:pPr>
            <w:r>
              <w:rPr>
                <w:shd w:val="clear" w:color="auto" w:fill="FFFFFF"/>
              </w:rPr>
              <w:t>Lai izpildītu Regulā Nr.2016/589 noteikto pienākumu</w:t>
            </w:r>
            <w:r w:rsidR="00E417EC">
              <w:rPr>
                <w:shd w:val="clear" w:color="auto" w:fill="FFFFFF"/>
              </w:rPr>
              <w:t>,</w:t>
            </w:r>
            <w:r>
              <w:rPr>
                <w:shd w:val="clear" w:color="auto" w:fill="FFFFFF"/>
              </w:rPr>
              <w:t xml:space="preserve"> nepieciešams veikt grozījumus </w:t>
            </w:r>
            <w:r w:rsidR="00221945">
              <w:rPr>
                <w:shd w:val="clear" w:color="auto" w:fill="FFFFFF"/>
              </w:rPr>
              <w:t>Ministru kabineta 2007.gada 3.jūlija noteikumos Nr.458 „Komersantu – darbiekārtošanas pakalpojumu sniedzēju – licencēšanas un uzraudzības kārtība”</w:t>
            </w:r>
            <w:r w:rsidR="00E738E0">
              <w:rPr>
                <w:shd w:val="clear" w:color="auto" w:fill="FFFFFF"/>
              </w:rPr>
              <w:t xml:space="preserve"> (turpmāk – Noteikumi Nr.458)</w:t>
            </w:r>
            <w:r w:rsidR="00221945">
              <w:rPr>
                <w:shd w:val="clear" w:color="auto" w:fill="FFFFFF"/>
              </w:rPr>
              <w:t xml:space="preserve">. </w:t>
            </w:r>
          </w:p>
          <w:p w:rsidR="00927483" w:rsidRDefault="00927483" w:rsidP="00BF69E3">
            <w:pPr>
              <w:jc w:val="both"/>
              <w:rPr>
                <w:shd w:val="clear" w:color="auto" w:fill="FFFFFF"/>
              </w:rPr>
            </w:pPr>
          </w:p>
          <w:p w:rsidR="00927483" w:rsidRPr="00927483" w:rsidRDefault="00927483" w:rsidP="00BF69E3">
            <w:pPr>
              <w:jc w:val="both"/>
              <w:rPr>
                <w:i/>
                <w:shd w:val="clear" w:color="auto" w:fill="FFFFFF"/>
              </w:rPr>
            </w:pPr>
            <w:r>
              <w:rPr>
                <w:i/>
                <w:shd w:val="clear" w:color="auto" w:fill="FFFFFF"/>
              </w:rPr>
              <w:t>EURES dalībnieka statuss</w:t>
            </w:r>
          </w:p>
          <w:p w:rsidR="00137CE3" w:rsidRDefault="00221945" w:rsidP="00BF69E3">
            <w:pPr>
              <w:jc w:val="both"/>
              <w:rPr>
                <w:shd w:val="clear" w:color="auto" w:fill="FFFFFF"/>
              </w:rPr>
            </w:pPr>
            <w:r>
              <w:rPr>
                <w:shd w:val="clear" w:color="auto" w:fill="FFFFFF"/>
              </w:rPr>
              <w:t>Ievērojot, ka saskaņā ar Bezdarbnieku un darba meklētāju atbalsta likuma 17.pa</w:t>
            </w:r>
            <w:r w:rsidR="00E417EC">
              <w:rPr>
                <w:shd w:val="clear" w:color="auto" w:fill="FFFFFF"/>
              </w:rPr>
              <w:t>nta otro daļu</w:t>
            </w:r>
            <w:r>
              <w:rPr>
                <w:shd w:val="clear" w:color="auto" w:fill="FFFFFF"/>
              </w:rPr>
              <w:t xml:space="preserve"> darbiekārtošanas pakalpojumus atļauts sniegt, ja ir saņemta Nodarbinātības valsts aģentūras (turpmāk –</w:t>
            </w:r>
            <w:r w:rsidR="000C37C0">
              <w:rPr>
                <w:shd w:val="clear" w:color="auto" w:fill="FFFFFF"/>
              </w:rPr>
              <w:t xml:space="preserve"> aģentūra</w:t>
            </w:r>
            <w:r>
              <w:rPr>
                <w:shd w:val="clear" w:color="auto" w:fill="FFFFFF"/>
              </w:rPr>
              <w:t>) izsniegtā licence darbiekārtošanas pakalpojumu sniegšanai (turpmāk – licence), par EURES dalībniekiem varēs kļūt tikai licence</w:t>
            </w:r>
            <w:r w:rsidR="000C37C0">
              <w:rPr>
                <w:shd w:val="clear" w:color="auto" w:fill="FFFFFF"/>
              </w:rPr>
              <w:t>s</w:t>
            </w:r>
            <w:r>
              <w:rPr>
                <w:shd w:val="clear" w:color="auto" w:fill="FFFFFF"/>
              </w:rPr>
              <w:t xml:space="preserve"> saņēmēji</w:t>
            </w:r>
            <w:r>
              <w:rPr>
                <w:i/>
                <w:shd w:val="clear" w:color="auto" w:fill="FFFFFF"/>
              </w:rPr>
              <w:t xml:space="preserve">. </w:t>
            </w:r>
            <w:r w:rsidR="0047415A">
              <w:rPr>
                <w:shd w:val="clear" w:color="auto" w:fill="FFFFFF"/>
              </w:rPr>
              <w:t xml:space="preserve">Atbilstoši </w:t>
            </w:r>
            <w:r w:rsidR="000C37C0">
              <w:rPr>
                <w:shd w:val="clear" w:color="auto" w:fill="FFFFFF"/>
              </w:rPr>
              <w:t>Regul</w:t>
            </w:r>
            <w:r w:rsidR="0047415A">
              <w:rPr>
                <w:shd w:val="clear" w:color="auto" w:fill="FFFFFF"/>
              </w:rPr>
              <w:t>a</w:t>
            </w:r>
            <w:r w:rsidR="000C37C0">
              <w:rPr>
                <w:shd w:val="clear" w:color="auto" w:fill="FFFFFF"/>
              </w:rPr>
              <w:t>s Nr.2016/589</w:t>
            </w:r>
            <w:r w:rsidR="0047415A">
              <w:rPr>
                <w:shd w:val="clear" w:color="auto" w:fill="FFFFFF"/>
              </w:rPr>
              <w:t xml:space="preserve"> 21.panta 3.punktā noteiktai prasībai EURES dalībnieki nav tiesīgi pieprasīt samaksu par sniegtajiem atbalsta pakalpojumiem, tādējādi Noteikumu projekts paredz, ka EURES dalībnieka statusu varēs iegūt tikai tie licences saņēmēji, kas </w:t>
            </w:r>
            <w:r w:rsidR="00B63F04">
              <w:rPr>
                <w:shd w:val="clear" w:color="auto" w:fill="FFFFFF"/>
              </w:rPr>
              <w:t>nepiemēro</w:t>
            </w:r>
            <w:r w:rsidR="0047415A">
              <w:rPr>
                <w:shd w:val="clear" w:color="auto" w:fill="FFFFFF"/>
              </w:rPr>
              <w:t xml:space="preserve"> Noteikumos Nr.458 26.punktā noteikto izņēmumu noteikt darba meklētājiem maksu par izdevumiem, kas ir saistīti ar darbiekārtošanas pakalpojumu saņemšanu (dokumentu sagatavošanu un noformēšanu, transporta izdevumiem, veselības apdrošināšanas izdevumiem). </w:t>
            </w:r>
            <w:r w:rsidR="000C37C0">
              <w:rPr>
                <w:shd w:val="clear" w:color="auto" w:fill="FFFFFF"/>
              </w:rPr>
              <w:t xml:space="preserve">Turklāt EURES dalībnieka statusu varēs piešķirt </w:t>
            </w:r>
            <w:r w:rsidR="00927483">
              <w:rPr>
                <w:shd w:val="clear" w:color="auto" w:fill="FFFFFF"/>
              </w:rPr>
              <w:t>licences saņēmējiem</w:t>
            </w:r>
            <w:r w:rsidR="000C37C0">
              <w:rPr>
                <w:shd w:val="clear" w:color="auto" w:fill="FFFFFF"/>
              </w:rPr>
              <w:t xml:space="preserve">, kas apliecinās, ka </w:t>
            </w:r>
            <w:r w:rsidR="00363056">
              <w:rPr>
                <w:shd w:val="clear" w:color="auto" w:fill="FFFFFF"/>
              </w:rPr>
              <w:t>spēj un apņemas pildīt</w:t>
            </w:r>
            <w:r w:rsidR="000C37C0">
              <w:rPr>
                <w:shd w:val="clear" w:color="auto" w:fill="FFFFFF"/>
              </w:rPr>
              <w:t xml:space="preserve"> Regulas Nr.2</w:t>
            </w:r>
            <w:r w:rsidR="00363056">
              <w:rPr>
                <w:shd w:val="clear" w:color="auto" w:fill="FFFFFF"/>
              </w:rPr>
              <w:t>016/589 I pielikumā noteiktos minimālos</w:t>
            </w:r>
            <w:r w:rsidR="000C37C0">
              <w:rPr>
                <w:shd w:val="clear" w:color="auto" w:fill="FFFFFF"/>
              </w:rPr>
              <w:t xml:space="preserve"> </w:t>
            </w:r>
            <w:r w:rsidR="00363056">
              <w:rPr>
                <w:shd w:val="clear" w:color="auto" w:fill="FFFFFF"/>
              </w:rPr>
              <w:t xml:space="preserve">atbilstības </w:t>
            </w:r>
            <w:r w:rsidR="00B63F04">
              <w:rPr>
                <w:shd w:val="clear" w:color="auto" w:fill="FFFFFF"/>
              </w:rPr>
              <w:t>prasības</w:t>
            </w:r>
            <w:r w:rsidR="00363056">
              <w:rPr>
                <w:shd w:val="clear" w:color="auto" w:fill="FFFFFF"/>
              </w:rPr>
              <w:t xml:space="preserve">, kā arī atbilstoši Regulas </w:t>
            </w:r>
            <w:r w:rsidR="00B63F04">
              <w:rPr>
                <w:shd w:val="clear" w:color="auto" w:fill="FFFFFF"/>
              </w:rPr>
              <w:br/>
            </w:r>
            <w:r w:rsidR="005404D5">
              <w:rPr>
                <w:shd w:val="clear" w:color="auto" w:fill="FFFFFF"/>
              </w:rPr>
              <w:t>Nr. 2016/589 11.panta 3.punktā noteiktajam apliecinās, ka apņemas veikt visus pienākumus, kas saskaņā ar Regulu Nr.2016/589 noteikti EURES dalībniekam.</w:t>
            </w:r>
            <w:r w:rsidR="00363056">
              <w:rPr>
                <w:shd w:val="clear" w:color="auto" w:fill="FFFFFF"/>
              </w:rPr>
              <w:t xml:space="preserve"> </w:t>
            </w:r>
            <w:r w:rsidR="00B63F04">
              <w:rPr>
                <w:shd w:val="clear" w:color="auto" w:fill="FFFFFF"/>
              </w:rPr>
              <w:t>L</w:t>
            </w:r>
            <w:r w:rsidR="00927483">
              <w:rPr>
                <w:shd w:val="clear" w:color="auto" w:fill="FFFFFF"/>
              </w:rPr>
              <w:t>icences saņēmējiem</w:t>
            </w:r>
            <w:r>
              <w:rPr>
                <w:shd w:val="clear" w:color="auto" w:fill="FFFFFF"/>
              </w:rPr>
              <w:t>, kas vēlas iegūt</w:t>
            </w:r>
            <w:r w:rsidR="000C37C0">
              <w:rPr>
                <w:shd w:val="clear" w:color="auto" w:fill="FFFFFF"/>
              </w:rPr>
              <w:t xml:space="preserve"> EURES dalībnieka statusu</w:t>
            </w:r>
            <w:r w:rsidR="00E417EC">
              <w:rPr>
                <w:shd w:val="clear" w:color="auto" w:fill="FFFFFF"/>
              </w:rPr>
              <w:t>,</w:t>
            </w:r>
            <w:r w:rsidR="00B63F04">
              <w:rPr>
                <w:shd w:val="clear" w:color="auto" w:fill="FFFFFF"/>
              </w:rPr>
              <w:t xml:space="preserve"> būs nepieciešam</w:t>
            </w:r>
            <w:r w:rsidR="000C37C0">
              <w:rPr>
                <w:shd w:val="clear" w:color="auto" w:fill="FFFFFF"/>
              </w:rPr>
              <w:t>s iesniegt aģentūr</w:t>
            </w:r>
            <w:r w:rsidR="001631BE">
              <w:rPr>
                <w:shd w:val="clear" w:color="auto" w:fill="FFFFFF"/>
              </w:rPr>
              <w:t xml:space="preserve">ā </w:t>
            </w:r>
            <w:r w:rsidR="000C37C0">
              <w:rPr>
                <w:shd w:val="clear" w:color="auto" w:fill="FFFFFF"/>
              </w:rPr>
              <w:t>iesniegumu</w:t>
            </w:r>
            <w:r w:rsidR="00182FEE">
              <w:rPr>
                <w:shd w:val="clear" w:color="auto" w:fill="FFFFFF"/>
              </w:rPr>
              <w:t xml:space="preserve"> par</w:t>
            </w:r>
            <w:r w:rsidR="000C37C0">
              <w:rPr>
                <w:shd w:val="clear" w:color="auto" w:fill="FFFFFF"/>
              </w:rPr>
              <w:t xml:space="preserve"> EURES</w:t>
            </w:r>
            <w:r w:rsidR="00182FEE">
              <w:rPr>
                <w:shd w:val="clear" w:color="auto" w:fill="FFFFFF"/>
              </w:rPr>
              <w:t xml:space="preserve"> dalībnieka statusa piešķiršanu</w:t>
            </w:r>
            <w:r w:rsidR="00B63F04">
              <w:rPr>
                <w:shd w:val="clear" w:color="auto" w:fill="FFFFFF"/>
              </w:rPr>
              <w:t>.</w:t>
            </w:r>
          </w:p>
          <w:p w:rsidR="00402AD6" w:rsidRPr="00D47CF2" w:rsidRDefault="00402AD6" w:rsidP="00BF69E3">
            <w:pPr>
              <w:jc w:val="both"/>
              <w:rPr>
                <w:shd w:val="clear" w:color="auto" w:fill="FFFFFF"/>
              </w:rPr>
            </w:pPr>
            <w:r w:rsidRPr="00D47CF2">
              <w:rPr>
                <w:shd w:val="clear" w:color="auto" w:fill="FFFFFF"/>
              </w:rPr>
              <w:t>Līdzīgi kā iesniegumā</w:t>
            </w:r>
            <w:r w:rsidR="00182FEE" w:rsidRPr="00D47CF2">
              <w:rPr>
                <w:shd w:val="clear" w:color="auto" w:fill="FFFFFF"/>
              </w:rPr>
              <w:t xml:space="preserve"> par licences saņemšanu,</w:t>
            </w:r>
            <w:r w:rsidRPr="00D47CF2">
              <w:rPr>
                <w:shd w:val="clear" w:color="auto" w:fill="FFFFFF"/>
              </w:rPr>
              <w:t xml:space="preserve"> </w:t>
            </w:r>
            <w:r w:rsidR="00182FEE" w:rsidRPr="00D47CF2">
              <w:rPr>
                <w:shd w:val="clear" w:color="auto" w:fill="FFFFFF"/>
              </w:rPr>
              <w:t xml:space="preserve">iesniegumā par EURES dalībnieka statusa piešķiršanu </w:t>
            </w:r>
            <w:r w:rsidRPr="00D47CF2">
              <w:rPr>
                <w:shd w:val="clear" w:color="auto" w:fill="FFFFFF"/>
              </w:rPr>
              <w:t xml:space="preserve">paredzēts norādīt komersanta firmu, reģistrācijas numuru, juridisko un darbības vietas adresi un kontaktinformāciju. Papildus atbilstoši Regulas Nr.2016/589 prasībām EURES dalībniekam jābūt izveidotai mājas lapai, </w:t>
            </w:r>
            <w:r w:rsidR="00182FEE" w:rsidRPr="00D47CF2">
              <w:rPr>
                <w:shd w:val="clear" w:color="auto" w:fill="FFFFFF"/>
              </w:rPr>
              <w:t xml:space="preserve">kā arī </w:t>
            </w:r>
            <w:r w:rsidR="00E417EC">
              <w:rPr>
                <w:shd w:val="clear" w:color="auto" w:fill="FFFFFF"/>
              </w:rPr>
              <w:t>kontaktpunktiem (piemēram, darbā</w:t>
            </w:r>
            <w:r w:rsidRPr="00D47CF2">
              <w:rPr>
                <w:shd w:val="clear" w:color="auto" w:fill="FFFFFF"/>
              </w:rPr>
              <w:t xml:space="preserve"> iekārtošanas biroji</w:t>
            </w:r>
            <w:r w:rsidR="00182FEE" w:rsidRPr="00D47CF2">
              <w:rPr>
                <w:shd w:val="clear" w:color="auto" w:fill="FFFFFF"/>
              </w:rPr>
              <w:t>em</w:t>
            </w:r>
            <w:r w:rsidRPr="00D47CF2">
              <w:rPr>
                <w:shd w:val="clear" w:color="auto" w:fill="FFFFFF"/>
              </w:rPr>
              <w:t>, informācijas centri</w:t>
            </w:r>
            <w:r w:rsidR="00182FEE" w:rsidRPr="00D47CF2">
              <w:rPr>
                <w:shd w:val="clear" w:color="auto" w:fill="FFFFFF"/>
              </w:rPr>
              <w:t>em</w:t>
            </w:r>
            <w:r w:rsidR="00E417EC">
              <w:rPr>
                <w:shd w:val="clear" w:color="auto" w:fill="FFFFFF"/>
              </w:rPr>
              <w:t xml:space="preserve"> un pašapkalpošanā</w:t>
            </w:r>
            <w:r w:rsidRPr="00D47CF2">
              <w:rPr>
                <w:shd w:val="clear" w:color="auto" w:fill="FFFFFF"/>
              </w:rPr>
              <w:t>s rīki</w:t>
            </w:r>
            <w:r w:rsidR="00182FEE" w:rsidRPr="00D47CF2">
              <w:rPr>
                <w:shd w:val="clear" w:color="auto" w:fill="FFFFFF"/>
              </w:rPr>
              <w:t>em</w:t>
            </w:r>
            <w:r w:rsidRPr="00D47CF2">
              <w:rPr>
                <w:shd w:val="clear" w:color="auto" w:fill="FFFFFF"/>
              </w:rPr>
              <w:t>, kur darba ņēmēji un darba devēji var saņemt atbalstu attiecībā uz informācijas apkopošanu un izplatīšanu, piekļuvi atbalsta pakalpojumiem) un noteikumu projekts paredz pienākumu norādīt minēto informāciju iesniegumā par EURES dalībnieka statusa piešķiršanu. Turklāt saskaņā ar Regulā Nr.2016/589 noteikto licences saņēmējam, kas vēlas saņemt EURES dalībnieka statusu</w:t>
            </w:r>
            <w:r w:rsidR="00E417EC">
              <w:rPr>
                <w:shd w:val="clear" w:color="auto" w:fill="FFFFFF"/>
              </w:rPr>
              <w:t>,</w:t>
            </w:r>
            <w:r w:rsidRPr="00D47CF2">
              <w:rPr>
                <w:shd w:val="clear" w:color="auto" w:fill="FFFFFF"/>
              </w:rPr>
              <w:t xml:space="preserve"> iesniegumā par EURES </w:t>
            </w:r>
            <w:r w:rsidRPr="00D47CF2">
              <w:rPr>
                <w:shd w:val="clear" w:color="auto" w:fill="FFFFFF"/>
              </w:rPr>
              <w:lastRenderedPageBreak/>
              <w:t>dalībnieka statusa piešķiršanu būs nepieciešams apliecināt, ka tas spēj un apņemas pildīt Regulas Nr.2016/589 I pielikumā noteiktos minimālos atbilstības kritērijus, kā arī apņemas veikt visus pienākumus, kas saskaņā ar Regulu</w:t>
            </w:r>
            <w:r w:rsidR="00927483">
              <w:rPr>
                <w:shd w:val="clear" w:color="auto" w:fill="FFFFFF"/>
              </w:rPr>
              <w:t xml:space="preserve"> </w:t>
            </w:r>
            <w:r w:rsidRPr="00D47CF2">
              <w:rPr>
                <w:shd w:val="clear" w:color="auto" w:fill="FFFFFF"/>
              </w:rPr>
              <w:t xml:space="preserve">Nr.2016/589 ir noteikti EURES dalībniekam. </w:t>
            </w:r>
          </w:p>
          <w:p w:rsidR="00805A95" w:rsidRDefault="00137CE3" w:rsidP="00BF69E3">
            <w:pPr>
              <w:jc w:val="both"/>
              <w:rPr>
                <w:shd w:val="clear" w:color="auto" w:fill="FFFFFF"/>
              </w:rPr>
            </w:pPr>
            <w:r w:rsidRPr="00D47CF2">
              <w:rPr>
                <w:shd w:val="clear" w:color="auto" w:fill="FFFFFF"/>
              </w:rPr>
              <w:t xml:space="preserve">EURES dalībnieka statuss tiks </w:t>
            </w:r>
            <w:r w:rsidR="00E417EC">
              <w:rPr>
                <w:shd w:val="clear" w:color="auto" w:fill="FFFFFF"/>
              </w:rPr>
              <w:t>piešķirts tādā pašā kārtībā</w:t>
            </w:r>
            <w:r w:rsidR="00241C4F" w:rsidRPr="00D47CF2">
              <w:rPr>
                <w:shd w:val="clear" w:color="auto" w:fill="FFFFFF"/>
              </w:rPr>
              <w:t>,</w:t>
            </w:r>
            <w:r w:rsidRPr="00D47CF2">
              <w:rPr>
                <w:shd w:val="clear" w:color="auto" w:fill="FFFFFF"/>
              </w:rPr>
              <w:t xml:space="preserve"> kā</w:t>
            </w:r>
            <w:r w:rsidR="001631BE" w:rsidRPr="00D47CF2">
              <w:rPr>
                <w:shd w:val="clear" w:color="auto" w:fill="FFFFFF"/>
              </w:rPr>
              <w:t xml:space="preserve">dā šobrīd </w:t>
            </w:r>
            <w:r w:rsidRPr="00D47CF2">
              <w:rPr>
                <w:shd w:val="clear" w:color="auto" w:fill="FFFFFF"/>
              </w:rPr>
              <w:t>tiek izsniegta licence.</w:t>
            </w:r>
            <w:r w:rsidR="00241C4F" w:rsidRPr="00D47CF2">
              <w:rPr>
                <w:shd w:val="clear" w:color="auto" w:fill="FFFFFF"/>
              </w:rPr>
              <w:t xml:space="preserve"> </w:t>
            </w:r>
            <w:r w:rsidR="00A87CBA">
              <w:rPr>
                <w:shd w:val="clear" w:color="auto" w:fill="FFFFFF"/>
              </w:rPr>
              <w:t xml:space="preserve">Komersants, kuram nav licences, var iesniegt aģentūrā iesniegumu par EURES dalībnieka statusa piešķiršanu un iesniegumu par licences saņemšanu. </w:t>
            </w:r>
            <w:r w:rsidR="008E14CF" w:rsidRPr="00D47CF2">
              <w:rPr>
                <w:shd w:val="clear" w:color="auto" w:fill="FFFFFF"/>
              </w:rPr>
              <w:t>Triju darba dienu laikā pēc lēmuma par EURES dalībnieka statusa piešķiršanu pieņemšanas aģentūra publicēs tās tīmekļa vietnē informāciju par EURES dalībnieka statusa piešķiršanu, kā arī informē</w:t>
            </w:r>
            <w:r w:rsidR="00182FEE" w:rsidRPr="00D47CF2">
              <w:rPr>
                <w:shd w:val="clear" w:color="auto" w:fill="FFFFFF"/>
              </w:rPr>
              <w:t>s</w:t>
            </w:r>
            <w:r w:rsidR="00B63F04">
              <w:rPr>
                <w:shd w:val="clear" w:color="auto" w:fill="FFFFFF"/>
              </w:rPr>
              <w:t xml:space="preserve"> EURES</w:t>
            </w:r>
            <w:r w:rsidR="008E14CF" w:rsidRPr="00D47CF2">
              <w:rPr>
                <w:shd w:val="clear" w:color="auto" w:fill="FFFFFF"/>
              </w:rPr>
              <w:t xml:space="preserve"> Eiropas Koordinācijas biroju par pieņemto lēmumu. </w:t>
            </w:r>
            <w:r w:rsidR="00241C4F" w:rsidRPr="00D47CF2">
              <w:rPr>
                <w:shd w:val="clear" w:color="auto" w:fill="FFFFFF"/>
              </w:rPr>
              <w:t xml:space="preserve">Piemērojot analoģiju ar </w:t>
            </w:r>
            <w:r w:rsidR="00EB2EE7" w:rsidRPr="00D47CF2">
              <w:rPr>
                <w:shd w:val="clear" w:color="auto" w:fill="FFFFFF"/>
              </w:rPr>
              <w:t xml:space="preserve">spēkā esošo </w:t>
            </w:r>
            <w:r w:rsidR="00241C4F" w:rsidRPr="00D47CF2">
              <w:rPr>
                <w:shd w:val="clear" w:color="auto" w:fill="FFFFFF"/>
              </w:rPr>
              <w:t xml:space="preserve">licencēšanas regulējumu, EURES dalībnieka </w:t>
            </w:r>
            <w:r w:rsidR="00241C4F" w:rsidRPr="00EB2EE7">
              <w:rPr>
                <w:shd w:val="clear" w:color="auto" w:fill="FFFFFF"/>
              </w:rPr>
              <w:t>statuss tiks atteikt</w:t>
            </w:r>
            <w:r w:rsidR="00EB2EE7">
              <w:rPr>
                <w:shd w:val="clear" w:color="auto" w:fill="FFFFFF"/>
              </w:rPr>
              <w:t>s</w:t>
            </w:r>
            <w:r w:rsidR="00241C4F" w:rsidRPr="00EB2EE7">
              <w:rPr>
                <w:shd w:val="clear" w:color="auto" w:fill="FFFFFF"/>
              </w:rPr>
              <w:t xml:space="preserve"> gadījumā, ja </w:t>
            </w:r>
            <w:r w:rsidR="00927483">
              <w:rPr>
                <w:shd w:val="clear" w:color="auto" w:fill="FFFFFF"/>
              </w:rPr>
              <w:t>licences saņēmējs</w:t>
            </w:r>
            <w:r w:rsidR="00241C4F" w:rsidRPr="00EB2EE7">
              <w:rPr>
                <w:shd w:val="clear" w:color="auto" w:fill="FFFFFF"/>
              </w:rPr>
              <w:t xml:space="preserve"> neatbilst Noteikumos Nr.458 noteiktajām prasībā</w:t>
            </w:r>
            <w:r w:rsidR="00182FEE">
              <w:rPr>
                <w:shd w:val="clear" w:color="auto" w:fill="FFFFFF"/>
              </w:rPr>
              <w:t>m</w:t>
            </w:r>
            <w:r w:rsidR="00241C4F" w:rsidRPr="00EB2EE7">
              <w:rPr>
                <w:shd w:val="clear" w:color="auto" w:fill="FFFFFF"/>
              </w:rPr>
              <w:t xml:space="preserve"> EURES dalī</w:t>
            </w:r>
            <w:r w:rsidR="00182FEE">
              <w:rPr>
                <w:shd w:val="clear" w:color="auto" w:fill="FFFFFF"/>
              </w:rPr>
              <w:t>bnieka statusa piešķiršanai, licences saņēmējs</w:t>
            </w:r>
            <w:r w:rsidR="00241C4F" w:rsidRPr="00EB2EE7">
              <w:rPr>
                <w:shd w:val="clear" w:color="auto" w:fill="FFFFFF"/>
              </w:rPr>
              <w:t xml:space="preserve"> sniedzis nepatiesas vai maldinošas ziņas, lai iegūtu EURES d</w:t>
            </w:r>
            <w:r w:rsidR="00182FEE">
              <w:rPr>
                <w:shd w:val="clear" w:color="auto" w:fill="FFFFFF"/>
              </w:rPr>
              <w:t>alībnieka statusu vai</w:t>
            </w:r>
            <w:proofErr w:type="gramStart"/>
            <w:r w:rsidR="00182FEE">
              <w:rPr>
                <w:shd w:val="clear" w:color="auto" w:fill="FFFFFF"/>
              </w:rPr>
              <w:t xml:space="preserve"> </w:t>
            </w:r>
            <w:r w:rsidR="00241C4F" w:rsidRPr="00EB2EE7">
              <w:rPr>
                <w:shd w:val="clear" w:color="auto" w:fill="FFFFFF"/>
              </w:rPr>
              <w:t xml:space="preserve"> </w:t>
            </w:r>
            <w:proofErr w:type="gramEnd"/>
            <w:r w:rsidR="00241C4F" w:rsidRPr="00EB2EE7">
              <w:rPr>
                <w:shd w:val="clear" w:color="auto" w:fill="FFFFFF"/>
              </w:rPr>
              <w:t>atkārtoti pēc aģentūras pieprasījuma nebūs iesniedzis Noteikumu Nr.458 prasībām atbilstošus dokumentus vai ziņas</w:t>
            </w:r>
            <w:r w:rsidR="00B63F04">
              <w:rPr>
                <w:shd w:val="clear" w:color="auto" w:fill="FFFFFF"/>
              </w:rPr>
              <w:t xml:space="preserve"> </w:t>
            </w:r>
            <w:r w:rsidR="00B63F04" w:rsidRPr="00B63F04">
              <w:rPr>
                <w:shd w:val="clear" w:color="auto" w:fill="FFFFFF"/>
              </w:rPr>
              <w:t xml:space="preserve">(Noteikumu projekta 3.punkts). </w:t>
            </w:r>
          </w:p>
          <w:p w:rsidR="00EB2EE7" w:rsidRPr="00EB2EE7" w:rsidRDefault="00EB2EE7" w:rsidP="00BF69E3">
            <w:pPr>
              <w:jc w:val="both"/>
              <w:rPr>
                <w:shd w:val="clear" w:color="auto" w:fill="FFFFFF"/>
              </w:rPr>
            </w:pPr>
          </w:p>
          <w:p w:rsidR="00805A95" w:rsidRDefault="00805A95" w:rsidP="00BF69E3">
            <w:pPr>
              <w:jc w:val="both"/>
              <w:rPr>
                <w:i/>
                <w:shd w:val="clear" w:color="auto" w:fill="FFFFFF"/>
              </w:rPr>
            </w:pPr>
            <w:r>
              <w:rPr>
                <w:i/>
                <w:shd w:val="clear" w:color="auto" w:fill="FFFFFF"/>
              </w:rPr>
              <w:t>EURES dalībnieka pienākumi</w:t>
            </w:r>
          </w:p>
          <w:p w:rsidR="00FF04E8" w:rsidRDefault="00DF4AA2" w:rsidP="00BF69E3">
            <w:pPr>
              <w:jc w:val="both"/>
              <w:rPr>
                <w:shd w:val="clear" w:color="auto" w:fill="FFFFFF"/>
              </w:rPr>
            </w:pPr>
            <w:r w:rsidRPr="00AE2584">
              <w:rPr>
                <w:shd w:val="clear" w:color="auto" w:fill="FFFFFF"/>
              </w:rPr>
              <w:t xml:space="preserve">Noteikumu projekts paredz, ka uz </w:t>
            </w:r>
            <w:r w:rsidR="00137CE3" w:rsidRPr="00AE2584">
              <w:rPr>
                <w:shd w:val="clear" w:color="auto" w:fill="FFFFFF"/>
              </w:rPr>
              <w:t xml:space="preserve">EURES dalībniekiem būs attiecināmi </w:t>
            </w:r>
            <w:r w:rsidR="00FF04E8">
              <w:rPr>
                <w:shd w:val="clear" w:color="auto" w:fill="FFFFFF"/>
              </w:rPr>
              <w:t xml:space="preserve">gandrīz </w:t>
            </w:r>
            <w:r w:rsidR="00137CE3" w:rsidRPr="00DB0AD9">
              <w:rPr>
                <w:shd w:val="clear" w:color="auto" w:fill="FFFFFF"/>
              </w:rPr>
              <w:t>visi</w:t>
            </w:r>
            <w:r w:rsidR="00137CE3" w:rsidRPr="00AE2584">
              <w:rPr>
                <w:shd w:val="clear" w:color="auto" w:fill="FFFFFF"/>
              </w:rPr>
              <w:t xml:space="preserve"> licences saņēmējiem noteiktie pienākumi</w:t>
            </w:r>
            <w:r w:rsidR="005404D5" w:rsidRPr="00AE2584">
              <w:rPr>
                <w:shd w:val="clear" w:color="auto" w:fill="FFFFFF"/>
              </w:rPr>
              <w:t>, izņemot Noteikumu Nr.458 24.6.apakšpunktā noteikto pienākumu attiecībā</w:t>
            </w:r>
            <w:r w:rsidR="00AE2584" w:rsidRPr="00AE2584">
              <w:rPr>
                <w:shd w:val="clear" w:color="auto" w:fill="FFFFFF"/>
              </w:rPr>
              <w:t xml:space="preserve"> uz veicamo darbu un darba samaksu nodrošināt darba meklētājam darba attiecību nodibināšanu atbilstoši noteikumiem, kas nav sliktāki par darba piedāvājumā norādītajiem. Šāds izņēmums tiek noteikts, ievērojot, ka EURES dalībnieki nevarēs uzņemties personīgu atbildību par EURES tīklā publicētajām vakancēm un darba attiecību nodibināšanu atbilstoši norādītajiem noteikumiem.</w:t>
            </w:r>
            <w:r w:rsidR="00AE2584">
              <w:rPr>
                <w:shd w:val="clear" w:color="auto" w:fill="FFFFFF"/>
              </w:rPr>
              <w:t xml:space="preserve"> </w:t>
            </w:r>
            <w:r w:rsidR="00FF04E8">
              <w:rPr>
                <w:shd w:val="clear" w:color="auto" w:fill="FFFFFF"/>
              </w:rPr>
              <w:t xml:space="preserve">Tāpat uz EURES dalībniekiem nebūs attiecināms Noteikumu Nr.458 24.10.apakšpunktā noteiktais pienākums iesniegt aģentūrā pārskatu par darbiekārtošanas pakalpojumu sniegšanu, jo EURES dalībniekiem paredzēts pienākums iesniegt aģentūrā citu pārskatu par </w:t>
            </w:r>
            <w:r w:rsidR="00182FEE">
              <w:rPr>
                <w:shd w:val="clear" w:color="auto" w:fill="FFFFFF"/>
              </w:rPr>
              <w:t xml:space="preserve">sniegtajiem </w:t>
            </w:r>
            <w:r w:rsidR="00FF04E8">
              <w:rPr>
                <w:shd w:val="clear" w:color="auto" w:fill="FFFFFF"/>
              </w:rPr>
              <w:t>EURES pakalpojumiem, kā arī nebūs attiecināms Noteikumos Nr.458 24.12.apakšpunktā noteiktais pienākums informēt aģentūru par licences nozaudēšanu vai sabojāšanu, jo minētais pienākums nav saistīts ar pakalpojumu sniegšanu EURES dalībnieka statusā.</w:t>
            </w:r>
          </w:p>
          <w:p w:rsidR="00AE2584" w:rsidRPr="00AE2584" w:rsidRDefault="00FF04E8" w:rsidP="00BF69E3">
            <w:pPr>
              <w:jc w:val="both"/>
              <w:rPr>
                <w:shd w:val="clear" w:color="auto" w:fill="FFFFFF"/>
              </w:rPr>
            </w:pPr>
            <w:r>
              <w:rPr>
                <w:shd w:val="clear" w:color="auto" w:fill="FFFFFF"/>
              </w:rPr>
              <w:t xml:space="preserve"> </w:t>
            </w:r>
            <w:r w:rsidR="00AE2584">
              <w:rPr>
                <w:shd w:val="clear" w:color="auto" w:fill="FFFFFF"/>
              </w:rPr>
              <w:t>Turklāt EURES dalībniekiem paredzēt</w:t>
            </w:r>
            <w:r w:rsidR="00EB2EE7">
              <w:rPr>
                <w:shd w:val="clear" w:color="auto" w:fill="FFFFFF"/>
              </w:rPr>
              <w:t>s</w:t>
            </w:r>
            <w:r w:rsidR="00AE2584">
              <w:rPr>
                <w:shd w:val="clear" w:color="auto" w:fill="FFFFFF"/>
              </w:rPr>
              <w:t xml:space="preserve"> pienākums</w:t>
            </w:r>
            <w:r w:rsidR="008E14CF">
              <w:rPr>
                <w:shd w:val="clear" w:color="auto" w:fill="FFFFFF"/>
              </w:rPr>
              <w:t xml:space="preserve"> saskaņā ar Regulas Nr.2016/589 I pielikumā noteikto nodrošināt personāla dalību Regulas Nr.2016/589 8.panta 1.punkta a) </w:t>
            </w:r>
            <w:r w:rsidR="0094067A">
              <w:rPr>
                <w:shd w:val="clear" w:color="auto" w:fill="FFFFFF"/>
              </w:rPr>
              <w:t>apakšpunkta iii) punktā minētajo</w:t>
            </w:r>
            <w:r w:rsidR="008E14CF">
              <w:rPr>
                <w:shd w:val="clear" w:color="auto" w:fill="FFFFFF"/>
              </w:rPr>
              <w:t xml:space="preserve">s apmācību programmas </w:t>
            </w:r>
            <w:r w:rsidR="008E14CF">
              <w:rPr>
                <w:shd w:val="clear" w:color="auto" w:fill="FFFFFF"/>
              </w:rPr>
              <w:lastRenderedPageBreak/>
              <w:t>moduļos, kā arī</w:t>
            </w:r>
            <w:r w:rsidR="00AE2584">
              <w:rPr>
                <w:shd w:val="clear" w:color="auto" w:fill="FFFFFF"/>
              </w:rPr>
              <w:t xml:space="preserve"> veikt visus Regulā Nr.2016/589 noteiktos pienākumus, proti, nodrošināt Regulā Nr.2016/589 noteikto pakalpojumu klāstu, </w:t>
            </w:r>
            <w:r w:rsidR="00805A95">
              <w:rPr>
                <w:shd w:val="clear" w:color="auto" w:fill="FFFFFF"/>
              </w:rPr>
              <w:t xml:space="preserve">nodrošināt </w:t>
            </w:r>
            <w:r w:rsidR="00572E57">
              <w:rPr>
                <w:shd w:val="clear" w:color="auto" w:fill="FFFFFF"/>
              </w:rPr>
              <w:t>kontaktpunktu</w:t>
            </w:r>
            <w:r w:rsidR="00805A95">
              <w:rPr>
                <w:shd w:val="clear" w:color="auto" w:fill="FFFFFF"/>
              </w:rPr>
              <w:t xml:space="preserve">, </w:t>
            </w:r>
            <w:r w:rsidR="00AE2584">
              <w:rPr>
                <w:shd w:val="clear" w:color="auto" w:fill="FFFFFF"/>
              </w:rPr>
              <w:t>izmantot EURES preču zīmi, publicēt EURES portālā EURES dalībnieka rīcībā esošās darba vakances un darba meklētāju dzīves gājuma aprakstus (CV), nodro</w:t>
            </w:r>
            <w:r w:rsidR="00467E03">
              <w:rPr>
                <w:shd w:val="clear" w:color="auto" w:fill="FFFFFF"/>
              </w:rPr>
              <w:t>ši</w:t>
            </w:r>
            <w:r w:rsidR="00AE2584">
              <w:rPr>
                <w:shd w:val="clear" w:color="auto" w:fill="FFFFFF"/>
              </w:rPr>
              <w:t xml:space="preserve">nāt informācijas pieejamību, </w:t>
            </w:r>
            <w:r w:rsidR="00467E03">
              <w:rPr>
                <w:shd w:val="clear" w:color="auto" w:fill="FFFFFF"/>
              </w:rPr>
              <w:t>cieši sadarboties ar citām organizācijām EURES t</w:t>
            </w:r>
            <w:r w:rsidR="00906500">
              <w:rPr>
                <w:shd w:val="clear" w:color="auto" w:fill="FFFFFF"/>
              </w:rPr>
              <w:t>īkla ietvaros, nodrošināt nepieciešamās darbības EURES portālā</w:t>
            </w:r>
            <w:r w:rsidR="00805A95">
              <w:rPr>
                <w:shd w:val="clear" w:color="auto" w:fill="FFFFFF"/>
              </w:rPr>
              <w:t>, iesniegt pārskatus par sniegtajiem pakalpojumiem, izskatīt darba meklētāju un darba devēju sūdzības u.c.</w:t>
            </w:r>
            <w:r w:rsidR="00AE2584">
              <w:rPr>
                <w:shd w:val="clear" w:color="auto" w:fill="FFFFFF"/>
              </w:rPr>
              <w:t xml:space="preserve"> </w:t>
            </w:r>
          </w:p>
          <w:p w:rsidR="005F752B" w:rsidRDefault="001631BE" w:rsidP="00BF69E3">
            <w:pPr>
              <w:jc w:val="both"/>
              <w:rPr>
                <w:shd w:val="clear" w:color="auto" w:fill="FFFFFF"/>
              </w:rPr>
            </w:pPr>
            <w:r>
              <w:rPr>
                <w:shd w:val="clear" w:color="auto" w:fill="FFFFFF"/>
              </w:rPr>
              <w:t xml:space="preserve">Vienlaikus Noteikumu projekts paredz EURES dalībnieku tiesības saņemt Regulas Nr.2016/589 9.panta 6.punktā noteikto atbalstu sūdzību izskatīšanā, kā arī Regulas Nr.2016/589 </w:t>
            </w:r>
            <w:r w:rsidR="00FF04E8">
              <w:rPr>
                <w:shd w:val="clear" w:color="auto" w:fill="FFFFFF"/>
              </w:rPr>
              <w:t xml:space="preserve">8.panta </w:t>
            </w:r>
            <w:r w:rsidR="00805A95">
              <w:rPr>
                <w:shd w:val="clear" w:color="auto" w:fill="FFFFFF"/>
              </w:rPr>
              <w:t>1.punkta a.) apakšpunkta iv.) punktā minēto atbalstu EURES dalībnieku personālam.</w:t>
            </w:r>
          </w:p>
          <w:p w:rsidR="005F752B" w:rsidRDefault="005F752B" w:rsidP="00BF69E3">
            <w:pPr>
              <w:jc w:val="both"/>
              <w:rPr>
                <w:shd w:val="clear" w:color="auto" w:fill="FFFFFF"/>
              </w:rPr>
            </w:pPr>
          </w:p>
          <w:p w:rsidR="00E738E0" w:rsidRDefault="005F752B" w:rsidP="00BF69E3">
            <w:pPr>
              <w:jc w:val="both"/>
              <w:rPr>
                <w:shd w:val="clear" w:color="auto" w:fill="FFFFFF"/>
              </w:rPr>
            </w:pPr>
            <w:r>
              <w:rPr>
                <w:shd w:val="clear" w:color="auto" w:fill="FFFFFF"/>
              </w:rPr>
              <w:t xml:space="preserve">EURES dalībnieku uzraudzība tiks nodrošināta </w:t>
            </w:r>
            <w:r w:rsidR="00E738E0">
              <w:rPr>
                <w:shd w:val="clear" w:color="auto" w:fill="FFFFFF"/>
              </w:rPr>
              <w:t xml:space="preserve">Noteikumu Nr.458 IV sadaļā noteiktajā kārtībā, proti, kārtībā, kādā tiek īstenota licences saņēmēju uzraudzība. </w:t>
            </w:r>
            <w:r w:rsidR="00FF04E8">
              <w:rPr>
                <w:shd w:val="clear" w:color="auto" w:fill="FFFFFF"/>
              </w:rPr>
              <w:t xml:space="preserve">Noteikumu projekts paredz, ka veicot to licences saņēmēju uzraudzību, kuriem ir piešķirts EURES dalībnieka statuss, aģentūra papildus pārbaudīs </w:t>
            </w:r>
            <w:r w:rsidR="00572E57">
              <w:rPr>
                <w:shd w:val="clear" w:color="auto" w:fill="FFFFFF"/>
              </w:rPr>
              <w:t xml:space="preserve">licences saņēmēja </w:t>
            </w:r>
            <w:r w:rsidR="00FF04E8">
              <w:rPr>
                <w:shd w:val="clear" w:color="auto" w:fill="FFFFFF"/>
              </w:rPr>
              <w:t>atbilstību EURES dalībniekam izvirzītajām prasībām un noteiktajiem pienākumiem.</w:t>
            </w:r>
          </w:p>
          <w:p w:rsidR="00137CE3" w:rsidRDefault="00E738E0" w:rsidP="00BF69E3">
            <w:pPr>
              <w:jc w:val="both"/>
              <w:rPr>
                <w:i/>
                <w:shd w:val="clear" w:color="auto" w:fill="FFFFFF"/>
              </w:rPr>
            </w:pPr>
            <w:r>
              <w:rPr>
                <w:shd w:val="clear" w:color="auto" w:fill="FFFFFF"/>
              </w:rPr>
              <w:t xml:space="preserve"> </w:t>
            </w:r>
            <w:r w:rsidR="005F752B">
              <w:rPr>
                <w:shd w:val="clear" w:color="auto" w:fill="FFFFFF"/>
              </w:rPr>
              <w:t xml:space="preserve">  </w:t>
            </w:r>
            <w:r w:rsidR="001631BE">
              <w:rPr>
                <w:shd w:val="clear" w:color="auto" w:fill="FFFFFF"/>
              </w:rPr>
              <w:t xml:space="preserve">    </w:t>
            </w:r>
            <w:r w:rsidR="00DF4AA2">
              <w:rPr>
                <w:i/>
                <w:shd w:val="clear" w:color="auto" w:fill="FFFFFF"/>
              </w:rPr>
              <w:t xml:space="preserve">      </w:t>
            </w:r>
          </w:p>
          <w:p w:rsidR="00035388" w:rsidRDefault="001C5B5B" w:rsidP="00BF69E3">
            <w:pPr>
              <w:jc w:val="both"/>
              <w:rPr>
                <w:shd w:val="clear" w:color="auto" w:fill="FFFFFF"/>
              </w:rPr>
            </w:pPr>
            <w:r>
              <w:rPr>
                <w:shd w:val="clear" w:color="auto" w:fill="FFFFFF"/>
              </w:rPr>
              <w:t>Ievērojot, ka spēkā esoša licence ir viens no nosacījumiem EURES dalībnieka statu</w:t>
            </w:r>
            <w:r w:rsidR="00D47CF2">
              <w:rPr>
                <w:shd w:val="clear" w:color="auto" w:fill="FFFFFF"/>
              </w:rPr>
              <w:t>sa pieš</w:t>
            </w:r>
            <w:r w:rsidR="00572E57">
              <w:rPr>
                <w:shd w:val="clear" w:color="auto" w:fill="FFFFFF"/>
              </w:rPr>
              <w:t>ķiršanai</w:t>
            </w:r>
            <w:r>
              <w:rPr>
                <w:shd w:val="clear" w:color="auto" w:fill="FFFFFF"/>
              </w:rPr>
              <w:t xml:space="preserve">, Noteikumi Nr.458 ir papildināti ar </w:t>
            </w:r>
            <w:r w:rsidRPr="001C5B5B">
              <w:rPr>
                <w:shd w:val="clear" w:color="auto" w:fill="FFFFFF"/>
              </w:rPr>
              <w:t>37.</w:t>
            </w:r>
            <w:r w:rsidRPr="001C5B5B">
              <w:rPr>
                <w:shd w:val="clear" w:color="auto" w:fill="FFFFFF"/>
                <w:vertAlign w:val="superscript"/>
              </w:rPr>
              <w:t>1</w:t>
            </w:r>
            <w:r w:rsidRPr="001C5B5B">
              <w:rPr>
                <w:shd w:val="clear" w:color="auto" w:fill="FFFFFF"/>
              </w:rPr>
              <w:t> punktu</w:t>
            </w:r>
            <w:r>
              <w:rPr>
                <w:shd w:val="clear" w:color="auto" w:fill="FFFFFF"/>
              </w:rPr>
              <w:t>, kas noteic, ka ga</w:t>
            </w:r>
            <w:r w:rsidR="00E14504">
              <w:rPr>
                <w:shd w:val="clear" w:color="auto" w:fill="FFFFFF"/>
              </w:rPr>
              <w:t>dījumos, ja pieņemts lēmums par licences darbības apturēšanu, tiek apturēts arī EURES dalībnieka statuss. Papildus aģentūra var lemt par EURES dalībnieka statusa apturēšanu, ja netiek pildīti Noteikumos Nr.458 noteikti EURES dalībnieka pienākumi un netiek radīts būtisks apdraudējums vai kaitējums darba meklētāja likumīgajām interesēm.</w:t>
            </w:r>
          </w:p>
          <w:p w:rsidR="00E14504" w:rsidRPr="001C5B5B" w:rsidRDefault="00E14504" w:rsidP="00BF69E3">
            <w:pPr>
              <w:jc w:val="both"/>
              <w:rPr>
                <w:shd w:val="clear" w:color="auto" w:fill="FFFFFF"/>
              </w:rPr>
            </w:pPr>
          </w:p>
          <w:p w:rsidR="00137CE3" w:rsidRPr="00182FEE" w:rsidRDefault="00137CE3" w:rsidP="00BF69E3">
            <w:pPr>
              <w:jc w:val="both"/>
              <w:rPr>
                <w:shd w:val="clear" w:color="auto" w:fill="FFFFFF"/>
              </w:rPr>
            </w:pPr>
            <w:r w:rsidRPr="00182FEE">
              <w:rPr>
                <w:shd w:val="clear" w:color="auto" w:fill="FFFFFF"/>
              </w:rPr>
              <w:t xml:space="preserve">Jautājums par EURES dalībnieka statusa </w:t>
            </w:r>
            <w:r w:rsidR="004D1BBA" w:rsidRPr="00182FEE">
              <w:rPr>
                <w:shd w:val="clear" w:color="auto" w:fill="FFFFFF"/>
              </w:rPr>
              <w:t>anulēšanu</w:t>
            </w:r>
            <w:r w:rsidRPr="00182FEE">
              <w:rPr>
                <w:shd w:val="clear" w:color="auto" w:fill="FFFFFF"/>
              </w:rPr>
              <w:t xml:space="preserve"> </w:t>
            </w:r>
            <w:r w:rsidR="00E417EC">
              <w:rPr>
                <w:shd w:val="clear" w:color="auto" w:fill="FFFFFF"/>
              </w:rPr>
              <w:t>tiks izskatīts tādā pašā kārtībā</w:t>
            </w:r>
            <w:r w:rsidR="00572E57" w:rsidRPr="00182FEE">
              <w:rPr>
                <w:shd w:val="clear" w:color="auto" w:fill="FFFFFF"/>
              </w:rPr>
              <w:t>,</w:t>
            </w:r>
            <w:r w:rsidRPr="00182FEE">
              <w:rPr>
                <w:shd w:val="clear" w:color="auto" w:fill="FFFFFF"/>
              </w:rPr>
              <w:t xml:space="preserve"> kā</w:t>
            </w:r>
            <w:r w:rsidR="00B47371" w:rsidRPr="00182FEE">
              <w:rPr>
                <w:shd w:val="clear" w:color="auto" w:fill="FFFFFF"/>
              </w:rPr>
              <w:t>dā tiek izskatīts</w:t>
            </w:r>
            <w:r w:rsidRPr="00182FEE">
              <w:rPr>
                <w:shd w:val="clear" w:color="auto" w:fill="FFFFFF"/>
              </w:rPr>
              <w:t xml:space="preserve"> jautājums par licences anulēšanu.</w:t>
            </w:r>
          </w:p>
          <w:p w:rsidR="001C6005" w:rsidRDefault="00182FEE" w:rsidP="00BF69E3">
            <w:pPr>
              <w:jc w:val="both"/>
              <w:rPr>
                <w:shd w:val="clear" w:color="auto" w:fill="FFFFFF"/>
              </w:rPr>
            </w:pPr>
            <w:r w:rsidRPr="00182FEE">
              <w:rPr>
                <w:shd w:val="clear" w:color="auto" w:fill="FFFFFF"/>
              </w:rPr>
              <w:t>Noteikumu projektā ir noteikts</w:t>
            </w:r>
            <w:r w:rsidR="00E31BBF" w:rsidRPr="00182FEE">
              <w:rPr>
                <w:shd w:val="clear" w:color="auto" w:fill="FFFFFF"/>
              </w:rPr>
              <w:t>, ka gadījumos, ja pieņemts lēmums par licences anulē</w:t>
            </w:r>
            <w:r w:rsidRPr="00182FEE">
              <w:rPr>
                <w:shd w:val="clear" w:color="auto" w:fill="FFFFFF"/>
              </w:rPr>
              <w:t>šanu, licences saņēmējam</w:t>
            </w:r>
            <w:r w:rsidR="007551B1" w:rsidRPr="00182FEE">
              <w:rPr>
                <w:shd w:val="clear" w:color="auto" w:fill="FFFFFF"/>
              </w:rPr>
              <w:t xml:space="preserve"> tiek anulēts arī </w:t>
            </w:r>
            <w:r w:rsidR="00E31BBF" w:rsidRPr="00182FEE">
              <w:rPr>
                <w:shd w:val="clear" w:color="auto" w:fill="FFFFFF"/>
              </w:rPr>
              <w:t>EURES dal</w:t>
            </w:r>
            <w:r w:rsidR="007551B1" w:rsidRPr="00182FEE">
              <w:rPr>
                <w:shd w:val="clear" w:color="auto" w:fill="FFFFFF"/>
              </w:rPr>
              <w:t>ībnieka status</w:t>
            </w:r>
            <w:r w:rsidR="00E31BBF" w:rsidRPr="00182FEE">
              <w:rPr>
                <w:shd w:val="clear" w:color="auto" w:fill="FFFFFF"/>
              </w:rPr>
              <w:t xml:space="preserve">. </w:t>
            </w:r>
          </w:p>
          <w:p w:rsidR="00FF04E8" w:rsidRPr="00182FEE" w:rsidRDefault="00E31BBF" w:rsidP="00BF69E3">
            <w:pPr>
              <w:jc w:val="both"/>
              <w:rPr>
                <w:shd w:val="clear" w:color="auto" w:fill="FFFFFF"/>
              </w:rPr>
            </w:pPr>
            <w:r w:rsidRPr="00182FEE">
              <w:rPr>
                <w:shd w:val="clear" w:color="auto" w:fill="FFFFFF"/>
              </w:rPr>
              <w:t>Turklāt EURES dalībnieka statuss tiek anulēts gadījumos, ja</w:t>
            </w:r>
            <w:r w:rsidR="00385E67">
              <w:rPr>
                <w:shd w:val="clear" w:color="auto" w:fill="FFFFFF"/>
              </w:rPr>
              <w:t xml:space="preserve"> anulēta licence, aģentūra konstatē, ka licences saņēmējs nosaka darba meklētājiem maksu par sniegtajiem pakalpojumiem,</w:t>
            </w:r>
            <w:r w:rsidRPr="00182FEE">
              <w:rPr>
                <w:shd w:val="clear" w:color="auto" w:fill="FFFFFF"/>
              </w:rPr>
              <w:t xml:space="preserve"> licences saņēmējs aģentūras lēmumā par EURES dalībnieka statusa apturēšanu noteiktajā termiņā nav novērsis konstatētos pārkāpumus, aģentūra konstat</w:t>
            </w:r>
            <w:r w:rsidR="00035388" w:rsidRPr="00182FEE">
              <w:rPr>
                <w:shd w:val="clear" w:color="auto" w:fill="FFFFFF"/>
              </w:rPr>
              <w:t>ē</w:t>
            </w:r>
            <w:r w:rsidRPr="00182FEE">
              <w:rPr>
                <w:shd w:val="clear" w:color="auto" w:fill="FFFFFF"/>
              </w:rPr>
              <w:t xml:space="preserve">, ka </w:t>
            </w:r>
            <w:r w:rsidR="00035388" w:rsidRPr="00182FEE">
              <w:rPr>
                <w:shd w:val="clear" w:color="auto" w:fill="FFFFFF"/>
              </w:rPr>
              <w:t xml:space="preserve">EURES pakalpojumu sniegšana ir pārtraukta vai izbeigta, no pārskata par EURES pakalpojumu sniegšanu secināms, ka EURES pakalpojumi netiek sniegti vai licences saņēmējs </w:t>
            </w:r>
            <w:r w:rsidR="00035388" w:rsidRPr="00182FEE">
              <w:rPr>
                <w:shd w:val="clear" w:color="auto" w:fill="FFFFFF"/>
              </w:rPr>
              <w:lastRenderedPageBreak/>
              <w:t>iesniedzis lūgumu anulēt EURES dalībnieka statusu.</w:t>
            </w:r>
            <w:r w:rsidR="001C6005">
              <w:rPr>
                <w:shd w:val="clear" w:color="auto" w:fill="FFFFFF"/>
              </w:rPr>
              <w:t xml:space="preserve"> Minētajos gadījumos EURES dalībnieka statusa anulēšana neietekmēs licences darbību.</w:t>
            </w:r>
          </w:p>
          <w:p w:rsidR="00035388" w:rsidRDefault="00035388" w:rsidP="00BF69E3">
            <w:pPr>
              <w:jc w:val="both"/>
              <w:rPr>
                <w:shd w:val="clear" w:color="auto" w:fill="FFFFFF"/>
              </w:rPr>
            </w:pPr>
            <w:r w:rsidRPr="001C5B5B">
              <w:rPr>
                <w:shd w:val="clear" w:color="auto" w:fill="FFFFFF"/>
              </w:rPr>
              <w:t>Vienlaikus ir precizēts Noteikumu 38.punkts, nosakot, ka gadījumā, ja tiks konstatēts, ka licences saņēmējs, sniedza nepatiesas vai maldinošas zi</w:t>
            </w:r>
            <w:r w:rsidR="001C5B5B" w:rsidRPr="001C5B5B">
              <w:rPr>
                <w:shd w:val="clear" w:color="auto" w:fill="FFFFFF"/>
              </w:rPr>
              <w:t xml:space="preserve">ņas, lai iegūtu EURES dalībnieka statusu vai, </w:t>
            </w:r>
            <w:r w:rsidRPr="001C5B5B">
              <w:rPr>
                <w:shd w:val="clear" w:color="auto" w:fill="FFFFFF"/>
              </w:rPr>
              <w:t xml:space="preserve">sniedzot pakalpojumus EURES dalībnieka statusā, </w:t>
            </w:r>
            <w:r w:rsidR="00182FEE">
              <w:rPr>
                <w:shd w:val="clear" w:color="auto" w:fill="FFFFFF"/>
              </w:rPr>
              <w:t xml:space="preserve">tas </w:t>
            </w:r>
            <w:r w:rsidRPr="001C5B5B">
              <w:rPr>
                <w:shd w:val="clear" w:color="auto" w:fill="FFFFFF"/>
              </w:rPr>
              <w:t>nepildīs EURES dalībniekam noteiktos pienākumus un radīs apdraudējumu vai kaitējumu darba meklētāju likumīgajām interesēm</w:t>
            </w:r>
            <w:r w:rsidR="001C5B5B" w:rsidRPr="001C5B5B">
              <w:rPr>
                <w:shd w:val="clear" w:color="auto" w:fill="FFFFFF"/>
              </w:rPr>
              <w:t>, tiek anulēts gan EURES dalībnieka statuss, ga</w:t>
            </w:r>
            <w:r w:rsidR="00E417EC">
              <w:rPr>
                <w:shd w:val="clear" w:color="auto" w:fill="FFFFFF"/>
              </w:rPr>
              <w:t xml:space="preserve">n licence. Šāda </w:t>
            </w:r>
            <w:r w:rsidR="001C5B5B" w:rsidRPr="001C5B5B">
              <w:rPr>
                <w:shd w:val="clear" w:color="auto" w:fill="FFFFFF"/>
              </w:rPr>
              <w:t>prasība ir nepieciešama, j</w:t>
            </w:r>
            <w:r w:rsidR="00182FEE">
              <w:rPr>
                <w:shd w:val="clear" w:color="auto" w:fill="FFFFFF"/>
              </w:rPr>
              <w:t>o minētajos gadījumos licences saņēmējs</w:t>
            </w:r>
            <w:r w:rsidR="001C5B5B" w:rsidRPr="001C5B5B">
              <w:rPr>
                <w:shd w:val="clear" w:color="auto" w:fill="FFFFFF"/>
              </w:rPr>
              <w:t xml:space="preserve"> nevar tikt uzskatīts par uzticamu un godprātīgu darbiekārtošanas pakalpojumu sniedzēju. </w:t>
            </w:r>
          </w:p>
          <w:p w:rsidR="001C5B5B" w:rsidRDefault="001C5B5B" w:rsidP="00BF69E3">
            <w:pPr>
              <w:jc w:val="both"/>
              <w:rPr>
                <w:shd w:val="clear" w:color="auto" w:fill="FFFFFF"/>
              </w:rPr>
            </w:pPr>
            <w:r>
              <w:rPr>
                <w:shd w:val="clear" w:color="auto" w:fill="FFFFFF"/>
              </w:rPr>
              <w:t xml:space="preserve">Papildus, ievērojot varbūtību, ka licences saņēmējs, kas iegūs EURES dalībnieka statusu, sniegs tikai EURES pakalpojumus, papildināts Noteikumu Nr.458 38.7.apakšpunkts, nosakot, ka, lai konstatētu, ka darbiekārtošanas pakalpojumi netiek sniegti, aģentūra vērtēs arī pārskatos par EURES pakalpojumu sniegšanu norādīto informāciju. </w:t>
            </w:r>
          </w:p>
          <w:p w:rsidR="007551B1" w:rsidRPr="001C5B5B" w:rsidRDefault="007551B1" w:rsidP="00BF69E3">
            <w:pPr>
              <w:jc w:val="both"/>
              <w:rPr>
                <w:shd w:val="clear" w:color="auto" w:fill="FFFFFF"/>
              </w:rPr>
            </w:pPr>
          </w:p>
          <w:p w:rsidR="00CB581C" w:rsidRDefault="00A83812" w:rsidP="00BF69E3">
            <w:pPr>
              <w:jc w:val="both"/>
              <w:rPr>
                <w:shd w:val="clear" w:color="auto" w:fill="FFFFFF"/>
              </w:rPr>
            </w:pPr>
            <w:r w:rsidRPr="00A83812">
              <w:rPr>
                <w:shd w:val="clear" w:color="auto" w:fill="FFFFFF"/>
              </w:rPr>
              <w:t>2016. gada 27. aprīlī tika pieņemta Eiropas Parlamenta un Padomes regula (ES) 2016/679 par fizisku personu aizsardzību attiecībā uz personas datu apstrādi un šādu datu brīvu apriti, ar ko atceļ Direktīvu 95/46/EK (Visp</w:t>
            </w:r>
            <w:r>
              <w:rPr>
                <w:shd w:val="clear" w:color="auto" w:fill="FFFFFF"/>
              </w:rPr>
              <w:t xml:space="preserve">ārīgā datu aizsardzības regula), kas tiks piemērota no 2018.gada 25.maija. Atbilstoši Vispārīgās datu regulas prasībām, turpmāk juridiskajām personām nebūs jāreģistrē personu datu apstrāde, savukārt datu aizsardzības speciālistiem tiks izveidota sertifikācijas sistēma un to piesaistīšana tiks nodrošināta atkarībā no </w:t>
            </w:r>
            <w:r w:rsidR="00B53AEF">
              <w:rPr>
                <w:shd w:val="clear" w:color="auto" w:fill="FFFFFF"/>
              </w:rPr>
              <w:t xml:space="preserve">apstrādājamo </w:t>
            </w:r>
            <w:r>
              <w:rPr>
                <w:shd w:val="clear" w:color="auto" w:fill="FFFFFF"/>
              </w:rPr>
              <w:t>datu veida. Lai ieviestu sk</w:t>
            </w:r>
            <w:r w:rsidR="00E417EC">
              <w:rPr>
                <w:shd w:val="clear" w:color="auto" w:fill="FFFFFF"/>
              </w:rPr>
              <w:t xml:space="preserve">aidrību par to, kādā veidā </w:t>
            </w:r>
            <w:r>
              <w:rPr>
                <w:shd w:val="clear" w:color="auto" w:fill="FFFFFF"/>
              </w:rPr>
              <w:t xml:space="preserve">Vispārīgā datu aizsardzības regula tiks piemērota, Tieslietu ministrija ir izstrādājusi Personu datu apstrādes likumprojektu, kas šobrīd ir saskaņošanas procesā. </w:t>
            </w:r>
            <w:r w:rsidR="00433D39">
              <w:rPr>
                <w:shd w:val="clear" w:color="auto" w:fill="FFFFFF"/>
              </w:rPr>
              <w:t>Ievē</w:t>
            </w:r>
            <w:r w:rsidR="00E417EC">
              <w:rPr>
                <w:shd w:val="clear" w:color="auto" w:fill="FFFFFF"/>
              </w:rPr>
              <w:t>rojot minēto</w:t>
            </w:r>
            <w:r w:rsidR="00433D39">
              <w:rPr>
                <w:shd w:val="clear" w:color="auto" w:fill="FFFFFF"/>
              </w:rPr>
              <w:t>, Noteikumu projekts paredz preciz</w:t>
            </w:r>
            <w:r w:rsidR="00893A89">
              <w:rPr>
                <w:shd w:val="clear" w:color="auto" w:fill="FFFFFF"/>
              </w:rPr>
              <w:t>ēt Noteikumu Nr.458 9.2</w:t>
            </w:r>
            <w:r w:rsidR="00433D39">
              <w:rPr>
                <w:shd w:val="clear" w:color="auto" w:fill="FFFFFF"/>
              </w:rPr>
              <w:t>.apakšpunktu, nosakot, ka li</w:t>
            </w:r>
            <w:r w:rsidR="00B53AEF">
              <w:rPr>
                <w:shd w:val="clear" w:color="auto" w:fill="FFFFFF"/>
              </w:rPr>
              <w:t>cenci izsniedz komersantam, kas</w:t>
            </w:r>
            <w:r w:rsidR="00433D39" w:rsidRPr="00433D39">
              <w:rPr>
                <w:shd w:val="clear" w:color="auto" w:fill="FFFFFF"/>
              </w:rPr>
              <w:t xml:space="preserve"> veic datu apstrādi atbilstoši </w:t>
            </w:r>
            <w:r w:rsidR="00433D39">
              <w:rPr>
                <w:shd w:val="clear" w:color="auto" w:fill="FFFFFF"/>
              </w:rPr>
              <w:t>normatīvajiem aktiem par personas</w:t>
            </w:r>
            <w:r w:rsidR="00433D39" w:rsidRPr="00433D39">
              <w:rPr>
                <w:shd w:val="clear" w:color="auto" w:fill="FFFFFF"/>
              </w:rPr>
              <w:t xml:space="preserve"> datu aizsardzību</w:t>
            </w:r>
            <w:r w:rsidR="00B53AEF">
              <w:rPr>
                <w:shd w:val="clear" w:color="auto" w:fill="FFFFFF"/>
              </w:rPr>
              <w:t xml:space="preserve">. </w:t>
            </w:r>
          </w:p>
          <w:p w:rsidR="00B53AEF" w:rsidRPr="00347817" w:rsidRDefault="00B53AEF" w:rsidP="00BF69E3">
            <w:pPr>
              <w:jc w:val="both"/>
              <w:rPr>
                <w:shd w:val="clear" w:color="auto" w:fill="FFFFFF"/>
              </w:rPr>
            </w:pPr>
          </w:p>
          <w:p w:rsidR="00B6168E" w:rsidRPr="00347817" w:rsidRDefault="00B6168E" w:rsidP="006B619D">
            <w:pPr>
              <w:pStyle w:val="NormalWeb"/>
              <w:shd w:val="clear" w:color="auto" w:fill="FFFFFF"/>
              <w:spacing w:before="0" w:after="0" w:line="297" w:lineRule="atLeast"/>
              <w:jc w:val="both"/>
              <w:rPr>
                <w:bCs/>
              </w:rPr>
            </w:pPr>
          </w:p>
        </w:tc>
      </w:tr>
      <w:tr w:rsidR="00081E5D" w:rsidRPr="00347817" w:rsidTr="0016638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jc w:val="center"/>
            </w:pPr>
            <w:r w:rsidRPr="00347817">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Projekta izstrādē iesaistītās institūcijas</w:t>
            </w:r>
            <w:r w:rsidR="00235192">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 xml:space="preserve">Nodarbinātības valsts aģentūra </w:t>
            </w:r>
          </w:p>
          <w:p w:rsidR="009C501B" w:rsidRPr="00347817" w:rsidRDefault="009C501B" w:rsidP="00166387"/>
        </w:tc>
      </w:tr>
      <w:tr w:rsidR="00081E5D" w:rsidRPr="00347817" w:rsidTr="00166387">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jc w:val="center"/>
            </w:pPr>
            <w:r w:rsidRPr="00347817">
              <w:t>4.</w:t>
            </w:r>
          </w:p>
        </w:tc>
        <w:tc>
          <w:tcPr>
            <w:tcW w:w="15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B43C2F" w:rsidRPr="00347817" w:rsidRDefault="00573664" w:rsidP="0085127E">
            <w:r w:rsidRPr="00347817">
              <w:t>Nav</w:t>
            </w:r>
          </w:p>
        </w:tc>
      </w:tr>
    </w:tbl>
    <w:p w:rsidR="00573664" w:rsidRPr="00347817" w:rsidRDefault="00573664" w:rsidP="00B63F04">
      <w:pPr>
        <w:shd w:val="clear" w:color="auto" w:fill="FFFFFF"/>
        <w:spacing w:after="100" w:afterAutospacing="1" w:line="293" w:lineRule="atLeast"/>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923"/>
      </w:tblGrid>
      <w:tr w:rsidR="00081E5D" w:rsidRPr="00347817" w:rsidTr="004E118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lastRenderedPageBreak/>
              <w:t>II. Tiesību akta projekta ietekme uz sabiedrību, tautsaimniecības attīstību un administratīvo slogu</w:t>
            </w:r>
          </w:p>
        </w:tc>
      </w:tr>
      <w:tr w:rsidR="00081E5D" w:rsidRPr="00347817" w:rsidTr="004E118F">
        <w:trPr>
          <w:trHeight w:val="465"/>
        </w:trPr>
        <w:tc>
          <w:tcPr>
            <w:tcW w:w="248"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1.</w:t>
            </w:r>
          </w:p>
        </w:tc>
        <w:tc>
          <w:tcPr>
            <w:tcW w:w="1537"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Sabiedrības mērķgrupas, kuras tiesiskais regulējums ietekmē vai varētu ietekmēt</w:t>
            </w:r>
          </w:p>
        </w:tc>
        <w:tc>
          <w:tcPr>
            <w:tcW w:w="3216" w:type="pct"/>
            <w:tcBorders>
              <w:top w:val="outset" w:sz="6" w:space="0" w:color="414142"/>
              <w:left w:val="outset" w:sz="6" w:space="0" w:color="414142"/>
              <w:bottom w:val="outset" w:sz="6" w:space="0" w:color="414142"/>
              <w:right w:val="outset" w:sz="6" w:space="0" w:color="414142"/>
            </w:tcBorders>
            <w:hideMark/>
          </w:tcPr>
          <w:p w:rsidR="00166387" w:rsidRPr="00347817" w:rsidRDefault="00573664" w:rsidP="00166387">
            <w:pPr>
              <w:jc w:val="both"/>
            </w:pPr>
            <w:r w:rsidRPr="00347817">
              <w:t>Noteikumu projekts attiecas uz</w:t>
            </w:r>
            <w:r w:rsidR="00166387" w:rsidRPr="00347817">
              <w:t>:</w:t>
            </w:r>
          </w:p>
          <w:p w:rsidR="004D1BBA" w:rsidRDefault="004D1BBA" w:rsidP="00166387">
            <w:pPr>
              <w:jc w:val="both"/>
            </w:pPr>
            <w:r>
              <w:t>1) darbiekārtošanas pakalpojumu sniedzējiem, kas saņēmuši licenci darbiekārtošanas pakalpojumu sniegšanai;</w:t>
            </w:r>
          </w:p>
          <w:p w:rsidR="004D1BBA" w:rsidRDefault="004D1BBA" w:rsidP="00166387">
            <w:pPr>
              <w:jc w:val="both"/>
            </w:pPr>
            <w:r>
              <w:t>2) darba meklētājiem (visas darbaspējīga vecuma personas, kā arī pensijas vecumu sasniegušas personas, kas meklē darbu);</w:t>
            </w:r>
          </w:p>
          <w:p w:rsidR="004D1BBA" w:rsidRDefault="004D1BBA" w:rsidP="00166387">
            <w:pPr>
              <w:jc w:val="both"/>
            </w:pPr>
            <w:r>
              <w:t>3) darba devējiem.</w:t>
            </w:r>
          </w:p>
          <w:p w:rsidR="00CE5DF9" w:rsidRDefault="00CE5DF9" w:rsidP="00166387">
            <w:pPr>
              <w:jc w:val="both"/>
            </w:pPr>
          </w:p>
          <w:p w:rsidR="00CE5DF9" w:rsidRPr="00CE5DF9" w:rsidRDefault="00CE5DF9" w:rsidP="00CE5DF9">
            <w:pPr>
              <w:jc w:val="both"/>
              <w:rPr>
                <w:iCs/>
              </w:rPr>
            </w:pPr>
            <w:r w:rsidRPr="00CE5DF9">
              <w:rPr>
                <w:iCs/>
              </w:rPr>
              <w:t>Atbilstoši Aģentūras statistiskajai informācijai:</w:t>
            </w:r>
          </w:p>
          <w:p w:rsidR="00CE5DF9" w:rsidRDefault="00CB5A4B" w:rsidP="00CB5A4B">
            <w:pPr>
              <w:jc w:val="both"/>
            </w:pPr>
            <w:r>
              <w:t xml:space="preserve">- </w:t>
            </w:r>
            <w:r w:rsidR="00CE5DF9">
              <w:t>2018.gada 15.februārī 125 komersantiem ir aģentūras izsniegtā licence darbiekārtošanas pakalpojumu sni</w:t>
            </w:r>
            <w:r>
              <w:t>egšanai;</w:t>
            </w:r>
          </w:p>
          <w:p w:rsidR="00CB5A4B" w:rsidRDefault="00CB5A4B" w:rsidP="00CB5A4B">
            <w:pPr>
              <w:jc w:val="both"/>
            </w:pPr>
            <w:r>
              <w:t>- 2018</w:t>
            </w:r>
            <w:r w:rsidRPr="00CB5A4B">
              <w:t>.gada februāra sākumā 65261 personas atradās bezdarbnieka statusā, savukārt 136 personas atradās darba meklētāja statusā;</w:t>
            </w:r>
          </w:p>
          <w:p w:rsidR="00166387" w:rsidRPr="00347817" w:rsidRDefault="00166387" w:rsidP="00166387"/>
        </w:tc>
      </w:tr>
      <w:tr w:rsidR="00081E5D" w:rsidRPr="00347817" w:rsidTr="00EF5116">
        <w:trPr>
          <w:trHeight w:val="238"/>
        </w:trPr>
        <w:tc>
          <w:tcPr>
            <w:tcW w:w="248"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2.</w:t>
            </w:r>
          </w:p>
        </w:tc>
        <w:tc>
          <w:tcPr>
            <w:tcW w:w="1537"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Tiesiskā regulējuma ietekme uz tautsaimniecību un administratīvo slogu</w:t>
            </w:r>
          </w:p>
        </w:tc>
        <w:tc>
          <w:tcPr>
            <w:tcW w:w="3216" w:type="pct"/>
            <w:tcBorders>
              <w:top w:val="outset" w:sz="6" w:space="0" w:color="414142"/>
              <w:left w:val="outset" w:sz="6" w:space="0" w:color="414142"/>
              <w:bottom w:val="outset" w:sz="6" w:space="0" w:color="414142"/>
              <w:right w:val="outset" w:sz="6" w:space="0" w:color="414142"/>
            </w:tcBorders>
            <w:hideMark/>
          </w:tcPr>
          <w:p w:rsidR="005376B6" w:rsidRPr="005376B6" w:rsidRDefault="005376B6" w:rsidP="005376B6">
            <w:pPr>
              <w:jc w:val="both"/>
              <w:rPr>
                <w:iCs/>
              </w:rPr>
            </w:pPr>
            <w:r w:rsidRPr="005376B6">
              <w:rPr>
                <w:iCs/>
              </w:rPr>
              <w:t>Tiesiskais regulējums neietekmē administratīvo slogu darba meklētājiem.</w:t>
            </w:r>
          </w:p>
          <w:p w:rsidR="00573664" w:rsidRPr="00347817" w:rsidRDefault="005376B6" w:rsidP="005376B6">
            <w:pPr>
              <w:pStyle w:val="ListParagraph"/>
              <w:spacing w:after="0"/>
              <w:ind w:left="0"/>
              <w:jc w:val="both"/>
              <w:rPr>
                <w:rFonts w:ascii="Times New Roman" w:hAnsi="Times New Roman"/>
                <w:sz w:val="24"/>
                <w:szCs w:val="24"/>
              </w:rPr>
            </w:pPr>
            <w:r w:rsidRPr="005376B6">
              <w:rPr>
                <w:rFonts w:ascii="Times New Roman" w:eastAsia="Times New Roman" w:hAnsi="Times New Roman"/>
                <w:iCs/>
                <w:sz w:val="24"/>
                <w:szCs w:val="24"/>
                <w:lang w:eastAsia="lv-LV"/>
              </w:rPr>
              <w:t>Tiesiskais regulējums nerada būtisku ietekmi uz tautsaimniecību.</w:t>
            </w:r>
          </w:p>
        </w:tc>
      </w:tr>
      <w:tr w:rsidR="00081E5D" w:rsidRPr="00347817" w:rsidTr="004E118F">
        <w:trPr>
          <w:trHeight w:val="510"/>
        </w:trPr>
        <w:tc>
          <w:tcPr>
            <w:tcW w:w="248"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3.</w:t>
            </w:r>
          </w:p>
        </w:tc>
        <w:tc>
          <w:tcPr>
            <w:tcW w:w="1537"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Administratīvo izmaksu monetārs novērtējums</w:t>
            </w:r>
          </w:p>
        </w:tc>
        <w:tc>
          <w:tcPr>
            <w:tcW w:w="3216" w:type="pct"/>
            <w:tcBorders>
              <w:top w:val="outset" w:sz="6" w:space="0" w:color="414142"/>
              <w:left w:val="outset" w:sz="6" w:space="0" w:color="414142"/>
              <w:bottom w:val="outset" w:sz="6" w:space="0" w:color="414142"/>
              <w:right w:val="outset" w:sz="6" w:space="0" w:color="414142"/>
            </w:tcBorders>
            <w:hideMark/>
          </w:tcPr>
          <w:p w:rsidR="00A17ADD" w:rsidRPr="00347817" w:rsidRDefault="005376B6" w:rsidP="00CB5A4B">
            <w:pPr>
              <w:pStyle w:val="ListParagraph"/>
              <w:ind w:left="0"/>
              <w:jc w:val="both"/>
            </w:pPr>
            <w:r w:rsidRPr="005376B6">
              <w:rPr>
                <w:rFonts w:ascii="Times New Roman" w:eastAsia="Times New Roman" w:hAnsi="Times New Roman"/>
                <w:iCs/>
                <w:sz w:val="24"/>
                <w:szCs w:val="24"/>
                <w:lang w:eastAsia="lv-LV"/>
              </w:rPr>
              <w:t xml:space="preserve">Tiesiskajā regulējumā ietvertās administratīvās izmaksas vienai juridiskajai personai nepārsniedz 2000 </w:t>
            </w:r>
            <w:r w:rsidRPr="005376B6">
              <w:rPr>
                <w:rFonts w:ascii="Times New Roman" w:eastAsia="Times New Roman" w:hAnsi="Times New Roman"/>
                <w:i/>
                <w:iCs/>
                <w:sz w:val="24"/>
                <w:szCs w:val="24"/>
                <w:lang w:eastAsia="lv-LV"/>
              </w:rPr>
              <w:t>euro</w:t>
            </w:r>
            <w:r w:rsidRPr="005376B6">
              <w:rPr>
                <w:rFonts w:ascii="Times New Roman" w:eastAsia="Times New Roman" w:hAnsi="Times New Roman"/>
                <w:iCs/>
                <w:sz w:val="24"/>
                <w:szCs w:val="24"/>
                <w:lang w:eastAsia="lv-LV"/>
              </w:rPr>
              <w:t xml:space="preserve"> gadā un neietekmē institūciju administratīvās izmaksas.</w:t>
            </w:r>
          </w:p>
        </w:tc>
      </w:tr>
      <w:tr w:rsidR="00235192" w:rsidRPr="00347817" w:rsidTr="004E118F">
        <w:trPr>
          <w:trHeight w:val="345"/>
        </w:trPr>
        <w:tc>
          <w:tcPr>
            <w:tcW w:w="248" w:type="pct"/>
            <w:tcBorders>
              <w:top w:val="outset" w:sz="6" w:space="0" w:color="414142"/>
              <w:left w:val="outset" w:sz="6" w:space="0" w:color="414142"/>
              <w:bottom w:val="outset" w:sz="6" w:space="0" w:color="414142"/>
              <w:right w:val="outset" w:sz="6" w:space="0" w:color="414142"/>
            </w:tcBorders>
          </w:tcPr>
          <w:p w:rsidR="00235192" w:rsidRPr="00347817" w:rsidRDefault="00235192" w:rsidP="00166387">
            <w:r>
              <w:t>4.</w:t>
            </w:r>
          </w:p>
        </w:tc>
        <w:tc>
          <w:tcPr>
            <w:tcW w:w="1537" w:type="pct"/>
            <w:tcBorders>
              <w:top w:val="outset" w:sz="6" w:space="0" w:color="414142"/>
              <w:left w:val="outset" w:sz="6" w:space="0" w:color="414142"/>
              <w:bottom w:val="outset" w:sz="6" w:space="0" w:color="414142"/>
              <w:right w:val="outset" w:sz="6" w:space="0" w:color="414142"/>
            </w:tcBorders>
          </w:tcPr>
          <w:p w:rsidR="00235192" w:rsidRPr="00347817" w:rsidRDefault="00235192" w:rsidP="00166387">
            <w:r>
              <w:t>Atbilstības izmaksu monetārs novērtējums</w:t>
            </w:r>
          </w:p>
        </w:tc>
        <w:tc>
          <w:tcPr>
            <w:tcW w:w="3216" w:type="pct"/>
            <w:tcBorders>
              <w:top w:val="outset" w:sz="6" w:space="0" w:color="414142"/>
              <w:left w:val="outset" w:sz="6" w:space="0" w:color="414142"/>
              <w:bottom w:val="outset" w:sz="6" w:space="0" w:color="414142"/>
              <w:right w:val="outset" w:sz="6" w:space="0" w:color="414142"/>
            </w:tcBorders>
          </w:tcPr>
          <w:p w:rsidR="00235192" w:rsidRDefault="00235192" w:rsidP="00166387">
            <w:r>
              <w:t>Projekts šo jomu neskar</w:t>
            </w:r>
          </w:p>
        </w:tc>
      </w:tr>
      <w:tr w:rsidR="00081E5D" w:rsidRPr="00347817" w:rsidTr="004E118F">
        <w:trPr>
          <w:trHeight w:val="345"/>
        </w:trPr>
        <w:tc>
          <w:tcPr>
            <w:tcW w:w="248" w:type="pct"/>
            <w:tcBorders>
              <w:top w:val="outset" w:sz="6" w:space="0" w:color="414142"/>
              <w:left w:val="outset" w:sz="6" w:space="0" w:color="414142"/>
              <w:bottom w:val="outset" w:sz="6" w:space="0" w:color="414142"/>
              <w:right w:val="outset" w:sz="6" w:space="0" w:color="414142"/>
            </w:tcBorders>
            <w:hideMark/>
          </w:tcPr>
          <w:p w:rsidR="00573664" w:rsidRPr="00347817" w:rsidRDefault="00235192" w:rsidP="00166387">
            <w:r>
              <w:t>5</w:t>
            </w:r>
            <w:r w:rsidR="00573664" w:rsidRPr="00347817">
              <w:t>.</w:t>
            </w:r>
          </w:p>
        </w:tc>
        <w:tc>
          <w:tcPr>
            <w:tcW w:w="1537"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Cita informācija</w:t>
            </w:r>
          </w:p>
        </w:tc>
        <w:tc>
          <w:tcPr>
            <w:tcW w:w="3216" w:type="pct"/>
            <w:tcBorders>
              <w:top w:val="outset" w:sz="6" w:space="0" w:color="414142"/>
              <w:left w:val="outset" w:sz="6" w:space="0" w:color="414142"/>
              <w:bottom w:val="outset" w:sz="6" w:space="0" w:color="414142"/>
              <w:right w:val="outset" w:sz="6" w:space="0" w:color="414142"/>
            </w:tcBorders>
            <w:hideMark/>
          </w:tcPr>
          <w:p w:rsidR="00573664" w:rsidRPr="00347817" w:rsidRDefault="007551B1" w:rsidP="00166387">
            <w:r>
              <w:t>Tiesiskā regulējuma izpilde tiks nodrošināta aģentūras pamatbudžeta un EURES projekta budžeta ietvaros.</w:t>
            </w:r>
          </w:p>
        </w:tc>
      </w:tr>
    </w:tbl>
    <w:p w:rsidR="00573664" w:rsidRDefault="00573664" w:rsidP="00F05369">
      <w:pPr>
        <w:shd w:val="clear" w:color="auto" w:fill="FFFFFF"/>
        <w:spacing w:before="100" w:beforeAutospacing="1" w:line="293" w:lineRule="atLeast"/>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F05369" w:rsidRPr="00BC3F74" w:rsidTr="007050F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F05369" w:rsidRDefault="00F05369" w:rsidP="007050F5">
            <w:pPr>
              <w:spacing w:before="100" w:beforeAutospacing="1" w:after="100" w:afterAutospacing="1" w:line="293" w:lineRule="atLeast"/>
              <w:jc w:val="center"/>
              <w:rPr>
                <w:b/>
                <w:bCs/>
              </w:rPr>
            </w:pPr>
            <w:r>
              <w:rPr>
                <w:b/>
                <w:bCs/>
              </w:rPr>
              <w:t>III. Tiesību akta projekta ietekme uz valsts budžetu un pašvaldību budžetiem</w:t>
            </w:r>
          </w:p>
        </w:tc>
      </w:tr>
      <w:tr w:rsidR="00F05369" w:rsidTr="007050F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F05369" w:rsidRDefault="00F05369" w:rsidP="007050F5">
            <w:pPr>
              <w:spacing w:before="100" w:beforeAutospacing="1" w:after="100" w:afterAutospacing="1" w:line="293" w:lineRule="atLeast"/>
              <w:jc w:val="center"/>
              <w:rPr>
                <w:b/>
                <w:bCs/>
                <w:color w:val="414142"/>
              </w:rPr>
            </w:pPr>
            <w:r>
              <w:t>Projekts šo jomu neskar</w:t>
            </w:r>
          </w:p>
        </w:tc>
      </w:tr>
    </w:tbl>
    <w:p w:rsidR="00573664" w:rsidRPr="00347817" w:rsidRDefault="00573664" w:rsidP="00F05369">
      <w:pPr>
        <w:shd w:val="clear" w:color="auto" w:fill="FFFFFF"/>
        <w:spacing w:before="100" w:beforeAutospacing="1" w:line="293" w:lineRule="atLeast"/>
      </w:pPr>
      <w:r w:rsidRPr="00347817">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081E5D" w:rsidRPr="00347817" w:rsidTr="00166387">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IV. Tiesību akta projekta ietekme uz spēkā esošo tiesību normu sistēmu</w:t>
            </w:r>
          </w:p>
        </w:tc>
      </w:tr>
      <w:tr w:rsidR="00081E5D" w:rsidRPr="00347817" w:rsidTr="00166387">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1.</w:t>
            </w:r>
          </w:p>
        </w:tc>
        <w:tc>
          <w:tcPr>
            <w:tcW w:w="1450" w:type="pct"/>
            <w:tcBorders>
              <w:top w:val="outset" w:sz="6" w:space="0" w:color="414142"/>
              <w:left w:val="outset" w:sz="6" w:space="0" w:color="414142"/>
              <w:bottom w:val="outset" w:sz="6" w:space="0" w:color="414142"/>
              <w:right w:val="outset" w:sz="6" w:space="0" w:color="414142"/>
            </w:tcBorders>
            <w:hideMark/>
          </w:tcPr>
          <w:p w:rsidR="00573664" w:rsidRPr="00347817" w:rsidRDefault="00235192" w:rsidP="00166387">
            <w:r>
              <w:t>S</w:t>
            </w:r>
            <w:r w:rsidR="00573664" w:rsidRPr="00347817">
              <w:t>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573664" w:rsidRPr="00347817" w:rsidRDefault="001F58C9" w:rsidP="00166387">
            <w:pPr>
              <w:jc w:val="both"/>
            </w:pPr>
            <w:r>
              <w:t>Regulas Nr.2016/589 11.panta 4.punkts paredz, ka par EURES partneri var kļūt organizācija, tajā skaitā bezpeļņas, kas nespēj veikt visus Regulā Nr.2016/589 paredzētos uzdevumus pilnā apjomā, tādējādi tos nevar uzskatīt par pilnvērtīgiem darbiekārtošanas pakalpojumu sniedzējiem.  Vienlaikus, l</w:t>
            </w:r>
            <w:r w:rsidR="00B47371">
              <w:t xml:space="preserve">ai nodrošinātu </w:t>
            </w:r>
            <w:r>
              <w:t xml:space="preserve">Regulas Nr.2016/589 11.panta 1.punktā noteikto pienākumu, izveidot sistēmu, lai uzņemtu organizācijas par EURES partneriem, pārraudzītu to darbības un to, kā tie ievēro piemērojamos tiesību aktus, un atsauktu to uzņemšanu, tiks veikti grozījumi Ministru kabineta 2011.gada </w:t>
            </w:r>
            <w:r>
              <w:lastRenderedPageBreak/>
              <w:t>25.janvāra noteikumos Nr.75 „</w:t>
            </w:r>
            <w:r w:rsidRPr="001F58C9">
              <w:t>Noteikumi par aktīvo nodarbinātības pasākumu un preventīvo bezdarba samazināšanas pasākumu organizēšanas un finansēšanas kārtību un pasākumu īstenotāju izvēles principiem</w:t>
            </w:r>
            <w:r>
              <w:t>”.</w:t>
            </w:r>
          </w:p>
        </w:tc>
      </w:tr>
      <w:tr w:rsidR="00081E5D" w:rsidRPr="00347817" w:rsidTr="00166387">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573664" w:rsidRPr="005376B6" w:rsidRDefault="005376B6" w:rsidP="00166387">
            <w:r w:rsidRPr="005376B6">
              <w:t>Labklājības ministrija</w:t>
            </w:r>
          </w:p>
        </w:tc>
      </w:tr>
      <w:tr w:rsidR="00081E5D" w:rsidRPr="00347817" w:rsidTr="00166387">
        <w:trPr>
          <w:trHeight w:val="506"/>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3.</w:t>
            </w:r>
          </w:p>
        </w:tc>
        <w:tc>
          <w:tcPr>
            <w:tcW w:w="14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pPr>
              <w:spacing w:before="100" w:beforeAutospacing="1" w:after="100" w:afterAutospacing="1" w:line="293" w:lineRule="atLeast"/>
            </w:pPr>
            <w:r w:rsidRPr="00347817">
              <w:t>Nav</w:t>
            </w:r>
          </w:p>
        </w:tc>
      </w:tr>
    </w:tbl>
    <w:p w:rsidR="00E25433" w:rsidRPr="00347817" w:rsidRDefault="00573664" w:rsidP="00B63F04">
      <w:pPr>
        <w:shd w:val="clear" w:color="auto" w:fill="FFFFFF"/>
        <w:spacing w:after="100" w:afterAutospacing="1" w:line="293" w:lineRule="atLeast"/>
        <w:ind w:firstLine="300"/>
      </w:pPr>
      <w:r w:rsidRPr="00347817">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648"/>
        <w:gridCol w:w="6026"/>
      </w:tblGrid>
      <w:tr w:rsidR="00081E5D" w:rsidRPr="00347817" w:rsidTr="00E25433">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5433" w:rsidRPr="00347817" w:rsidRDefault="00E25433">
            <w:pPr>
              <w:pStyle w:val="tvhtml"/>
              <w:spacing w:line="293" w:lineRule="atLeast"/>
              <w:jc w:val="center"/>
              <w:rPr>
                <w:b/>
                <w:bCs/>
              </w:rPr>
            </w:pPr>
            <w:r w:rsidRPr="00347817">
              <w:rPr>
                <w:b/>
                <w:bCs/>
              </w:rPr>
              <w:t>V. Tiesību akta projekta atbilstība Latvijas Republikas starptautiskajām saistībām</w:t>
            </w:r>
          </w:p>
        </w:tc>
      </w:tr>
      <w:tr w:rsidR="00081E5D" w:rsidRPr="00347817" w:rsidTr="00E25433">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E25433">
            <w:r w:rsidRPr="00347817">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E25433">
            <w:r w:rsidRPr="00347817">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E25433" w:rsidRDefault="007E546D" w:rsidP="000822A1">
            <w:pPr>
              <w:jc w:val="both"/>
            </w:pPr>
            <w:r w:rsidRPr="00347817">
              <w:t xml:space="preserve">Eiropas Parlamenta un Padomes </w:t>
            </w:r>
            <w:r w:rsidR="00F42FF4" w:rsidRPr="00F42FF4">
              <w:t>2016.gada 13.aprīļa Regula (ES) Nr. 2016/589 par Eiropas Nodarbinātības dienestu tīklu (EURES), darba ņēmēju piekļuvi mobilitātes pakalpojumiem un turpmāku darba tirgu integrāciju un ar ko groza Regulas (ES) Nr. 492/2011 un (ES) Nr. 1296/2013</w:t>
            </w:r>
            <w:r w:rsidRPr="00347817">
              <w:t xml:space="preserve"> ir saistoša visiem tiesību subjektiem un </w:t>
            </w:r>
            <w:r w:rsidR="00F42FF4">
              <w:t>tā ir tieši piemērojama no 2018</w:t>
            </w:r>
            <w:r w:rsidRPr="00347817">
              <w:t>.</w:t>
            </w:r>
            <w:r w:rsidR="00F15FB6" w:rsidRPr="00347817">
              <w:t> </w:t>
            </w:r>
            <w:r w:rsidR="00F42FF4">
              <w:t xml:space="preserve">gada </w:t>
            </w:r>
            <w:r w:rsidRPr="00347817">
              <w:t>1</w:t>
            </w:r>
            <w:r w:rsidR="00F42FF4">
              <w:t>3</w:t>
            </w:r>
            <w:r w:rsidRPr="00347817">
              <w:t>.</w:t>
            </w:r>
            <w:r w:rsidR="00F15FB6" w:rsidRPr="00347817">
              <w:t> </w:t>
            </w:r>
            <w:r w:rsidR="00F42FF4">
              <w:t>maija</w:t>
            </w:r>
            <w:r w:rsidRPr="00347817">
              <w:t>.</w:t>
            </w:r>
          </w:p>
          <w:p w:rsidR="001F58C9" w:rsidRPr="00347817" w:rsidRDefault="001F58C9" w:rsidP="00FC5B72">
            <w:pPr>
              <w:jc w:val="both"/>
            </w:pPr>
          </w:p>
        </w:tc>
      </w:tr>
      <w:tr w:rsidR="00081E5D" w:rsidRPr="00347817" w:rsidTr="00E25433">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E25433">
            <w:r w:rsidRPr="00347817">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E25433">
            <w:r w:rsidRPr="00347817">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E25433" w:rsidRPr="005376B6" w:rsidRDefault="007E546D">
            <w:r w:rsidRPr="005376B6">
              <w:t>Projekts šo jomu neskar</w:t>
            </w:r>
          </w:p>
        </w:tc>
      </w:tr>
      <w:tr w:rsidR="00081E5D" w:rsidRPr="00347817" w:rsidTr="007E546D">
        <w:trPr>
          <w:trHeight w:val="376"/>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E25433">
            <w:r w:rsidRPr="00347817">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E25433">
            <w:r w:rsidRPr="00347817">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E25433" w:rsidRPr="00347817" w:rsidRDefault="007E546D">
            <w:pPr>
              <w:pStyle w:val="tvhtml"/>
              <w:spacing w:line="293" w:lineRule="atLeast"/>
            </w:pPr>
            <w:r w:rsidRPr="00347817">
              <w:t>Nav</w:t>
            </w:r>
          </w:p>
        </w:tc>
      </w:tr>
    </w:tbl>
    <w:p w:rsidR="00E25433" w:rsidRPr="00347817" w:rsidRDefault="00E25433" w:rsidP="00B63F04">
      <w:pPr>
        <w:pStyle w:val="tvhtml"/>
        <w:shd w:val="clear" w:color="auto" w:fill="FFFFFF"/>
        <w:spacing w:before="0" w:beforeAutospacing="0" w:line="293" w:lineRule="atLeast"/>
        <w:ind w:firstLine="300"/>
      </w:pPr>
      <w:r w:rsidRPr="00347817">
        <w:t> </w:t>
      </w:r>
    </w:p>
    <w:tbl>
      <w:tblPr>
        <w:tblW w:w="5044"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100"/>
        <w:gridCol w:w="2089"/>
        <w:gridCol w:w="2557"/>
        <w:gridCol w:w="2465"/>
      </w:tblGrid>
      <w:tr w:rsidR="00081E5D" w:rsidRPr="00347817" w:rsidTr="00843D78">
        <w:trPr>
          <w:jc w:val="center"/>
        </w:trPr>
        <w:tc>
          <w:tcPr>
            <w:tcW w:w="9211" w:type="dxa"/>
            <w:gridSpan w:val="4"/>
            <w:tcBorders>
              <w:top w:val="outset" w:sz="6" w:space="0" w:color="414142"/>
              <w:left w:val="outset" w:sz="6" w:space="0" w:color="414142"/>
              <w:bottom w:val="outset" w:sz="6" w:space="0" w:color="414142"/>
              <w:right w:val="outset" w:sz="6" w:space="0" w:color="414142"/>
            </w:tcBorders>
            <w:vAlign w:val="center"/>
            <w:hideMark/>
          </w:tcPr>
          <w:p w:rsidR="00E25433" w:rsidRPr="00347817" w:rsidRDefault="00E25433">
            <w:pPr>
              <w:pStyle w:val="tvhtml"/>
              <w:spacing w:line="293" w:lineRule="atLeast"/>
              <w:jc w:val="center"/>
              <w:rPr>
                <w:b/>
                <w:bCs/>
              </w:rPr>
            </w:pPr>
            <w:r w:rsidRPr="00347817">
              <w:rPr>
                <w:b/>
                <w:bCs/>
              </w:rPr>
              <w:t>1.tabula</w:t>
            </w:r>
            <w:r w:rsidRPr="00347817">
              <w:rPr>
                <w:b/>
                <w:bCs/>
              </w:rPr>
              <w:br/>
              <w:t>Tiesību akta projekta atbilstība ES tiesību aktiem</w:t>
            </w:r>
          </w:p>
        </w:tc>
      </w:tr>
      <w:tr w:rsidR="00081E5D"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hideMark/>
          </w:tcPr>
          <w:p w:rsidR="00E25433" w:rsidRPr="00347817" w:rsidRDefault="00E25433">
            <w:r w:rsidRPr="00347817">
              <w:t>Attiecīgā ES tiesību akta datums, numurs un nosaukums</w:t>
            </w:r>
          </w:p>
        </w:tc>
        <w:tc>
          <w:tcPr>
            <w:tcW w:w="7111" w:type="dxa"/>
            <w:gridSpan w:val="3"/>
            <w:tcBorders>
              <w:top w:val="outset" w:sz="6" w:space="0" w:color="414142"/>
              <w:left w:val="outset" w:sz="6" w:space="0" w:color="414142"/>
              <w:bottom w:val="outset" w:sz="6" w:space="0" w:color="414142"/>
              <w:right w:val="outset" w:sz="6" w:space="0" w:color="414142"/>
            </w:tcBorders>
            <w:hideMark/>
          </w:tcPr>
          <w:p w:rsidR="00E25433" w:rsidRPr="00347817" w:rsidRDefault="00F42FF4" w:rsidP="00F42FF4">
            <w:r w:rsidRPr="00F42FF4">
              <w:t xml:space="preserve">Eiropas Parlamenta un Padomes 2016.gada 13.aprīļa Regula (ES) Nr. 2016/589 par Eiropas Nodarbinātības dienestu tīklu (EURES), darba ņēmēju piekļuvi mobilitātes pakalpojumiem un turpmāku darba tirgu integrāciju un ar ko groza Regulas (ES) Nr. 492/2011 un (ES) Nr. 1296/2013 </w:t>
            </w:r>
            <w:r w:rsidR="00F15FB6" w:rsidRPr="00347817">
              <w:t>(turpmāk –</w:t>
            </w:r>
            <w:r>
              <w:t xml:space="preserve"> R</w:t>
            </w:r>
            <w:r w:rsidR="00F15FB6" w:rsidRPr="00347817">
              <w:t>egula Nr. </w:t>
            </w:r>
            <w:r>
              <w:t>2016/589</w:t>
            </w:r>
            <w:r w:rsidR="000822A1" w:rsidRPr="00347817">
              <w:t>).</w:t>
            </w:r>
          </w:p>
        </w:tc>
      </w:tr>
      <w:tr w:rsidR="00081E5D"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vAlign w:val="center"/>
            <w:hideMark/>
          </w:tcPr>
          <w:p w:rsidR="00E25433" w:rsidRPr="00347817" w:rsidRDefault="00E25433">
            <w:pPr>
              <w:pStyle w:val="tvhtml"/>
              <w:spacing w:line="293" w:lineRule="atLeast"/>
              <w:jc w:val="center"/>
            </w:pPr>
            <w:r w:rsidRPr="00347817">
              <w:t>A</w:t>
            </w:r>
          </w:p>
        </w:tc>
        <w:tc>
          <w:tcPr>
            <w:tcW w:w="2089" w:type="dxa"/>
            <w:tcBorders>
              <w:top w:val="outset" w:sz="6" w:space="0" w:color="414142"/>
              <w:left w:val="outset" w:sz="6" w:space="0" w:color="414142"/>
              <w:bottom w:val="outset" w:sz="6" w:space="0" w:color="414142"/>
              <w:right w:val="outset" w:sz="6" w:space="0" w:color="414142"/>
            </w:tcBorders>
            <w:vAlign w:val="center"/>
            <w:hideMark/>
          </w:tcPr>
          <w:p w:rsidR="00E25433" w:rsidRPr="00347817" w:rsidRDefault="00E25433">
            <w:pPr>
              <w:pStyle w:val="tvhtml"/>
              <w:spacing w:line="293" w:lineRule="atLeast"/>
              <w:jc w:val="center"/>
            </w:pPr>
            <w:r w:rsidRPr="00347817">
              <w:t>B</w:t>
            </w:r>
          </w:p>
        </w:tc>
        <w:tc>
          <w:tcPr>
            <w:tcW w:w="2557" w:type="dxa"/>
            <w:tcBorders>
              <w:top w:val="outset" w:sz="6" w:space="0" w:color="414142"/>
              <w:left w:val="outset" w:sz="6" w:space="0" w:color="414142"/>
              <w:bottom w:val="outset" w:sz="6" w:space="0" w:color="414142"/>
              <w:right w:val="outset" w:sz="6" w:space="0" w:color="414142"/>
            </w:tcBorders>
            <w:vAlign w:val="center"/>
            <w:hideMark/>
          </w:tcPr>
          <w:p w:rsidR="00E25433" w:rsidRPr="00347817" w:rsidRDefault="00E25433">
            <w:pPr>
              <w:pStyle w:val="tvhtml"/>
              <w:spacing w:line="293" w:lineRule="atLeast"/>
              <w:jc w:val="center"/>
            </w:pPr>
            <w:r w:rsidRPr="00347817">
              <w:t>C</w:t>
            </w:r>
          </w:p>
        </w:tc>
        <w:tc>
          <w:tcPr>
            <w:tcW w:w="2465" w:type="dxa"/>
            <w:tcBorders>
              <w:top w:val="outset" w:sz="6" w:space="0" w:color="414142"/>
              <w:left w:val="outset" w:sz="6" w:space="0" w:color="414142"/>
              <w:bottom w:val="outset" w:sz="6" w:space="0" w:color="414142"/>
              <w:right w:val="outset" w:sz="6" w:space="0" w:color="414142"/>
            </w:tcBorders>
            <w:vAlign w:val="center"/>
            <w:hideMark/>
          </w:tcPr>
          <w:p w:rsidR="00E25433" w:rsidRPr="00347817" w:rsidRDefault="00E25433">
            <w:pPr>
              <w:pStyle w:val="tvhtml"/>
              <w:spacing w:line="293" w:lineRule="atLeast"/>
              <w:jc w:val="center"/>
            </w:pPr>
            <w:r w:rsidRPr="00347817">
              <w:t>D</w:t>
            </w:r>
          </w:p>
        </w:tc>
      </w:tr>
      <w:tr w:rsidR="00081E5D"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hideMark/>
          </w:tcPr>
          <w:p w:rsidR="00E25433" w:rsidRPr="00347817" w:rsidRDefault="00E25433">
            <w:r w:rsidRPr="00347817">
              <w:t>Attiecīgā ES tiesību akta panta numurs (uzskaitot katru tiesību akta vienību – pantu, daļu, punktu, apakšpunktu)</w:t>
            </w:r>
          </w:p>
        </w:tc>
        <w:tc>
          <w:tcPr>
            <w:tcW w:w="2089" w:type="dxa"/>
            <w:tcBorders>
              <w:top w:val="outset" w:sz="6" w:space="0" w:color="414142"/>
              <w:left w:val="outset" w:sz="6" w:space="0" w:color="414142"/>
              <w:bottom w:val="outset" w:sz="6" w:space="0" w:color="414142"/>
              <w:right w:val="outset" w:sz="6" w:space="0" w:color="414142"/>
            </w:tcBorders>
            <w:hideMark/>
          </w:tcPr>
          <w:p w:rsidR="00E25433" w:rsidRPr="00347817" w:rsidRDefault="00E25433">
            <w:r w:rsidRPr="00347817">
              <w:t>Projekta vienība, kas pārņem vai ievieš katru šīs tabulas A ailē minēto ES tiesību akta vienību, vai tiesību akts, kur attiecīgā ES tiesību akta vienība pārņemta vai ieviesta</w:t>
            </w:r>
          </w:p>
        </w:tc>
        <w:tc>
          <w:tcPr>
            <w:tcW w:w="2557" w:type="dxa"/>
            <w:tcBorders>
              <w:top w:val="outset" w:sz="6" w:space="0" w:color="414142"/>
              <w:left w:val="outset" w:sz="6" w:space="0" w:color="414142"/>
              <w:bottom w:val="outset" w:sz="6" w:space="0" w:color="414142"/>
              <w:right w:val="outset" w:sz="6" w:space="0" w:color="414142"/>
            </w:tcBorders>
            <w:hideMark/>
          </w:tcPr>
          <w:p w:rsidR="00E25433" w:rsidRPr="00347817" w:rsidRDefault="00E25433">
            <w:r w:rsidRPr="00347817">
              <w:t>Informācija par to, vai šīs tabulas A ailē minētās ES tiesību akta vienības tiek pārņemtas vai ieviestas pilnībā vai daļēji.</w:t>
            </w:r>
          </w:p>
          <w:p w:rsidR="00E25433" w:rsidRPr="00347817" w:rsidRDefault="00E25433">
            <w:pPr>
              <w:pStyle w:val="tvhtml"/>
              <w:spacing w:line="293" w:lineRule="atLeast"/>
            </w:pPr>
            <w:r w:rsidRPr="00347817">
              <w:t xml:space="preserve">Ja attiecīgā ES tiesību akta vienība tiek pārņemta vai ieviesta daļēji, sniedz attiecīgu skaidrojumu, kā arī precīzi norāda, kad un kādā veidā ES tiesību akta vienība tiks </w:t>
            </w:r>
            <w:r w:rsidRPr="00347817">
              <w:lastRenderedPageBreak/>
              <w:t>pārņemta vai ieviesta pilnībā.</w:t>
            </w:r>
          </w:p>
          <w:p w:rsidR="00E25433" w:rsidRPr="00347817" w:rsidRDefault="00E25433">
            <w:pPr>
              <w:pStyle w:val="tvhtml"/>
              <w:spacing w:line="293" w:lineRule="atLeast"/>
            </w:pPr>
            <w:r w:rsidRPr="00347817">
              <w:t>Norāda institūciju, kas ir atbildīga par šo saistību izpildi pilnībā</w:t>
            </w:r>
          </w:p>
        </w:tc>
        <w:tc>
          <w:tcPr>
            <w:tcW w:w="2465" w:type="dxa"/>
            <w:tcBorders>
              <w:top w:val="outset" w:sz="6" w:space="0" w:color="414142"/>
              <w:left w:val="outset" w:sz="6" w:space="0" w:color="414142"/>
              <w:bottom w:val="outset" w:sz="6" w:space="0" w:color="414142"/>
              <w:right w:val="outset" w:sz="6" w:space="0" w:color="414142"/>
            </w:tcBorders>
            <w:hideMark/>
          </w:tcPr>
          <w:p w:rsidR="00B63F04" w:rsidRDefault="00E25433" w:rsidP="00B63F04">
            <w:r w:rsidRPr="00347817">
              <w:lastRenderedPageBreak/>
              <w:t>Informācija par to, vai šīs tabulas B ailē minētās projekta vienības paredz stingrākas prasības nekā šīs tabulas A ailē minētās ES tiesību akta vienības.</w:t>
            </w:r>
          </w:p>
          <w:p w:rsidR="00B63F04" w:rsidRDefault="00E25433" w:rsidP="00B63F04">
            <w:r w:rsidRPr="00347817">
              <w:t>Ja projekts satur stingrākas prasības nekā attiecīgais ES tiesību akts, norāda pamatojumu un samērīgumu.</w:t>
            </w:r>
          </w:p>
          <w:p w:rsidR="00E25433" w:rsidRPr="00347817" w:rsidRDefault="00E25433" w:rsidP="00B63F04">
            <w:r w:rsidRPr="00347817">
              <w:t xml:space="preserve">Norāda iespējamās </w:t>
            </w:r>
            <w:r w:rsidRPr="00347817">
              <w:lastRenderedPageBreak/>
              <w:t>alternatīvas (t.sk. alternatīvas, kas neparedz tiesiskā regulējuma izstrādi) – kādos gadījumos būtu iespējams izvairīties no stingrāku prasību noteikšanas, nekā paredzēts attiecīgajos ES tiesību aktos</w:t>
            </w:r>
          </w:p>
        </w:tc>
      </w:tr>
      <w:tr w:rsidR="005566C2"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5566C2" w:rsidRPr="00347817" w:rsidRDefault="00104A5C" w:rsidP="0012780E">
            <w:r>
              <w:lastRenderedPageBreak/>
              <w:t>R</w:t>
            </w:r>
            <w:r w:rsidR="0012780E">
              <w:t>egulas Nr. 2016/589</w:t>
            </w:r>
            <w:r w:rsidR="000744A0">
              <w:t xml:space="preserve"> 9</w:t>
            </w:r>
            <w:r w:rsidR="005566C2" w:rsidRPr="00347817">
              <w:t>.</w:t>
            </w:r>
            <w:r w:rsidR="00F15FB6" w:rsidRPr="00347817">
              <w:t> </w:t>
            </w:r>
            <w:r w:rsidR="000744A0">
              <w:t>p</w:t>
            </w:r>
            <w:r w:rsidR="005566C2" w:rsidRPr="00347817">
              <w:t>ant</w:t>
            </w:r>
            <w:r w:rsidR="000744A0">
              <w:t>a 6.punkts</w:t>
            </w:r>
          </w:p>
        </w:tc>
        <w:tc>
          <w:tcPr>
            <w:tcW w:w="2089" w:type="dxa"/>
            <w:tcBorders>
              <w:top w:val="outset" w:sz="6" w:space="0" w:color="414142"/>
              <w:left w:val="outset" w:sz="6" w:space="0" w:color="414142"/>
              <w:bottom w:val="outset" w:sz="6" w:space="0" w:color="414142"/>
              <w:right w:val="outset" w:sz="6" w:space="0" w:color="414142"/>
            </w:tcBorders>
          </w:tcPr>
          <w:p w:rsidR="005566C2" w:rsidRPr="00347817" w:rsidRDefault="0072239E">
            <w:r w:rsidRPr="00347817">
              <w:t>Noteikumu projekta</w:t>
            </w:r>
          </w:p>
          <w:p w:rsidR="0072239E" w:rsidRPr="00347817" w:rsidRDefault="000744A0">
            <w:r>
              <w:t>3</w:t>
            </w:r>
            <w:r w:rsidR="0072239E" w:rsidRPr="00347817">
              <w:t>.</w:t>
            </w:r>
            <w:r w:rsidR="00F15FB6" w:rsidRPr="00347817">
              <w:t> </w:t>
            </w:r>
            <w:r w:rsidR="0072239E" w:rsidRPr="00347817">
              <w:t>punkts</w:t>
            </w:r>
          </w:p>
        </w:tc>
        <w:tc>
          <w:tcPr>
            <w:tcW w:w="2557" w:type="dxa"/>
            <w:tcBorders>
              <w:top w:val="outset" w:sz="6" w:space="0" w:color="414142"/>
              <w:left w:val="outset" w:sz="6" w:space="0" w:color="414142"/>
              <w:bottom w:val="outset" w:sz="6" w:space="0" w:color="414142"/>
              <w:right w:val="outset" w:sz="6" w:space="0" w:color="414142"/>
            </w:tcBorders>
          </w:tcPr>
          <w:p w:rsidR="005566C2" w:rsidRPr="00347817" w:rsidRDefault="0072239E">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5566C2" w:rsidRPr="00347817" w:rsidRDefault="0072239E">
            <w:r w:rsidRPr="00347817">
              <w:t>Noteikumu projekts neparedz stingrākas prasības</w:t>
            </w:r>
          </w:p>
        </w:tc>
      </w:tr>
      <w:tr w:rsidR="00104A5C"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104A5C" w:rsidRDefault="00104A5C" w:rsidP="0012780E">
            <w:r>
              <w:t>Regulas Nr. 2016/589 10</w:t>
            </w:r>
            <w:r w:rsidRPr="00347817">
              <w:t>.</w:t>
            </w:r>
            <w:r>
              <w:t> p</w:t>
            </w:r>
            <w:r w:rsidRPr="00347817">
              <w:t>ant</w:t>
            </w:r>
            <w:r>
              <w:t>a 2.punkts</w:t>
            </w:r>
          </w:p>
        </w:tc>
        <w:tc>
          <w:tcPr>
            <w:tcW w:w="2089" w:type="dxa"/>
            <w:tcBorders>
              <w:top w:val="outset" w:sz="6" w:space="0" w:color="414142"/>
              <w:left w:val="outset" w:sz="6" w:space="0" w:color="414142"/>
              <w:bottom w:val="outset" w:sz="6" w:space="0" w:color="414142"/>
              <w:right w:val="outset" w:sz="6" w:space="0" w:color="414142"/>
            </w:tcBorders>
          </w:tcPr>
          <w:p w:rsidR="00104A5C" w:rsidRPr="00347817" w:rsidRDefault="005376B6">
            <w:r>
              <w:t>Noteikumu projekta 4.punkts</w:t>
            </w:r>
          </w:p>
        </w:tc>
        <w:tc>
          <w:tcPr>
            <w:tcW w:w="2557" w:type="dxa"/>
            <w:tcBorders>
              <w:top w:val="outset" w:sz="6" w:space="0" w:color="414142"/>
              <w:left w:val="outset" w:sz="6" w:space="0" w:color="414142"/>
              <w:bottom w:val="outset" w:sz="6" w:space="0" w:color="414142"/>
              <w:right w:val="outset" w:sz="6" w:space="0" w:color="414142"/>
            </w:tcBorders>
          </w:tcPr>
          <w:p w:rsidR="00104A5C" w:rsidRPr="00347817" w:rsidRDefault="005376B6">
            <w:r>
              <w:t>Ieviests pilnībā</w:t>
            </w:r>
          </w:p>
        </w:tc>
        <w:tc>
          <w:tcPr>
            <w:tcW w:w="2465" w:type="dxa"/>
            <w:tcBorders>
              <w:top w:val="outset" w:sz="6" w:space="0" w:color="414142"/>
              <w:left w:val="outset" w:sz="6" w:space="0" w:color="414142"/>
              <w:bottom w:val="outset" w:sz="6" w:space="0" w:color="414142"/>
              <w:right w:val="outset" w:sz="6" w:space="0" w:color="414142"/>
            </w:tcBorders>
          </w:tcPr>
          <w:p w:rsidR="00104A5C" w:rsidRPr="00347817" w:rsidRDefault="005376B6">
            <w:r w:rsidRPr="005376B6">
              <w:t>Noteikumu projekts neparedz stingrākas prasības</w:t>
            </w:r>
          </w:p>
        </w:tc>
      </w:tr>
      <w:tr w:rsidR="000822A1"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0822A1" w:rsidRPr="00347817" w:rsidRDefault="00104A5C" w:rsidP="00CF38BE">
            <w:r>
              <w:t>R</w:t>
            </w:r>
            <w:r w:rsidR="0012780E">
              <w:t>egulas Nr. 2016/589</w:t>
            </w:r>
            <w:r w:rsidR="000744A0">
              <w:t xml:space="preserve"> 11</w:t>
            </w:r>
            <w:r w:rsidR="00CF38BE" w:rsidRPr="00347817">
              <w:t>.</w:t>
            </w:r>
            <w:r w:rsidR="000744A0">
              <w:t> p</w:t>
            </w:r>
            <w:r w:rsidR="00CF38BE" w:rsidRPr="00347817">
              <w:t>ant</w:t>
            </w:r>
            <w:r w:rsidR="000744A0">
              <w:t>a 1., 2. un 3.punkts</w:t>
            </w:r>
          </w:p>
        </w:tc>
        <w:tc>
          <w:tcPr>
            <w:tcW w:w="2089" w:type="dxa"/>
            <w:tcBorders>
              <w:top w:val="outset" w:sz="6" w:space="0" w:color="414142"/>
              <w:left w:val="outset" w:sz="6" w:space="0" w:color="414142"/>
              <w:bottom w:val="outset" w:sz="6" w:space="0" w:color="414142"/>
              <w:right w:val="outset" w:sz="6" w:space="0" w:color="414142"/>
            </w:tcBorders>
          </w:tcPr>
          <w:p w:rsidR="000744A0" w:rsidRPr="00347817" w:rsidRDefault="00CF38BE" w:rsidP="000744A0">
            <w:r w:rsidRPr="00347817">
              <w:t xml:space="preserve">Noteikumu projekta </w:t>
            </w:r>
            <w:r w:rsidR="00F5011D">
              <w:t>1.,</w:t>
            </w:r>
            <w:r w:rsidR="0083079D">
              <w:t xml:space="preserve"> </w:t>
            </w:r>
            <w:r w:rsidRPr="00347817">
              <w:t>3.</w:t>
            </w:r>
            <w:r w:rsidR="00F5011D">
              <w:t>, 4., 5., 6., 7., 8., 9. un 10.</w:t>
            </w:r>
            <w:r w:rsidR="000744A0">
              <w:t xml:space="preserve"> punkts</w:t>
            </w:r>
          </w:p>
          <w:p w:rsidR="000822A1" w:rsidRPr="00347817" w:rsidRDefault="000822A1" w:rsidP="004D7C00"/>
        </w:tc>
        <w:tc>
          <w:tcPr>
            <w:tcW w:w="2557" w:type="dxa"/>
            <w:tcBorders>
              <w:top w:val="outset" w:sz="6" w:space="0" w:color="414142"/>
              <w:left w:val="outset" w:sz="6" w:space="0" w:color="414142"/>
              <w:bottom w:val="outset" w:sz="6" w:space="0" w:color="414142"/>
              <w:right w:val="outset" w:sz="6" w:space="0" w:color="414142"/>
            </w:tcBorders>
          </w:tcPr>
          <w:p w:rsidR="000822A1" w:rsidRPr="00347817" w:rsidRDefault="00CF38BE">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0822A1" w:rsidRPr="00347817" w:rsidRDefault="000744A0">
            <w:r>
              <w:t xml:space="preserve">Noteikumu projekts </w:t>
            </w:r>
            <w:r w:rsidR="00CF38BE" w:rsidRPr="00347817">
              <w:t>paredz stingrākas prasības</w:t>
            </w:r>
            <w:r>
              <w:t xml:space="preserve">. Stingrākas prasības noteiktas, ievērojot Latvijā spēkā esošo darbiekārtošanas pakalpojumu licencēšanas sistēmu. </w:t>
            </w:r>
          </w:p>
        </w:tc>
      </w:tr>
      <w:tr w:rsidR="00D52D4E"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D52D4E" w:rsidRPr="00347817" w:rsidRDefault="00104A5C" w:rsidP="00174E56">
            <w:r>
              <w:t>R</w:t>
            </w:r>
            <w:r w:rsidR="0012780E">
              <w:t>egulas Nr. 2016/589</w:t>
            </w:r>
            <w:r w:rsidR="000744A0">
              <w:t xml:space="preserve"> 12</w:t>
            </w:r>
            <w:r w:rsidR="00D52D4E" w:rsidRPr="00347817">
              <w:t>.</w:t>
            </w:r>
            <w:r w:rsidR="000744A0">
              <w:t xml:space="preserve"> panta </w:t>
            </w:r>
            <w:r w:rsidR="0083079D">
              <w:t xml:space="preserve"> </w:t>
            </w:r>
            <w:r w:rsidR="000744A0">
              <w:t xml:space="preserve">2., 3. </w:t>
            </w:r>
            <w:r w:rsidR="0083079D">
              <w:t xml:space="preserve">4. </w:t>
            </w:r>
            <w:r w:rsidR="000744A0">
              <w:t xml:space="preserve">un 6.punkts </w:t>
            </w:r>
          </w:p>
        </w:tc>
        <w:tc>
          <w:tcPr>
            <w:tcW w:w="2089" w:type="dxa"/>
            <w:tcBorders>
              <w:top w:val="outset" w:sz="6" w:space="0" w:color="414142"/>
              <w:left w:val="outset" w:sz="6" w:space="0" w:color="414142"/>
              <w:bottom w:val="outset" w:sz="6" w:space="0" w:color="414142"/>
              <w:right w:val="outset" w:sz="6" w:space="0" w:color="414142"/>
            </w:tcBorders>
          </w:tcPr>
          <w:p w:rsidR="00D52D4E" w:rsidRPr="00347817" w:rsidRDefault="00D52D4E">
            <w:r w:rsidRPr="00347817">
              <w:t>Noteikumu projekta</w:t>
            </w:r>
          </w:p>
          <w:p w:rsidR="00D52D4E" w:rsidRPr="00347817" w:rsidRDefault="000744A0" w:rsidP="00E65CEF">
            <w:r>
              <w:t>3.punkts</w:t>
            </w:r>
          </w:p>
        </w:tc>
        <w:tc>
          <w:tcPr>
            <w:tcW w:w="2557" w:type="dxa"/>
            <w:tcBorders>
              <w:top w:val="outset" w:sz="6" w:space="0" w:color="414142"/>
              <w:left w:val="outset" w:sz="6" w:space="0" w:color="414142"/>
              <w:bottom w:val="outset" w:sz="6" w:space="0" w:color="414142"/>
              <w:right w:val="outset" w:sz="6" w:space="0" w:color="414142"/>
            </w:tcBorders>
          </w:tcPr>
          <w:p w:rsidR="00D52D4E" w:rsidRPr="00347817" w:rsidRDefault="00D52D4E" w:rsidP="00970DCD">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D52D4E" w:rsidRPr="00347817" w:rsidRDefault="00D52D4E" w:rsidP="00970DCD">
            <w:r w:rsidRPr="00347817">
              <w:t>Noteikumu projekts neparedz stingrākas prasības</w:t>
            </w:r>
          </w:p>
        </w:tc>
      </w:tr>
      <w:tr w:rsidR="00174E56"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174E56" w:rsidRPr="00347817" w:rsidRDefault="00104A5C" w:rsidP="000744A0">
            <w:r>
              <w:t>R</w:t>
            </w:r>
            <w:r w:rsidR="0012780E">
              <w:t>egulas Nr. 2016/589</w:t>
            </w:r>
            <w:r w:rsidR="000744A0">
              <w:t xml:space="preserve"> 13</w:t>
            </w:r>
            <w:r w:rsidR="00174E56" w:rsidRPr="00347817">
              <w:t>.</w:t>
            </w:r>
            <w:r w:rsidR="00F15FB6" w:rsidRPr="00347817">
              <w:t> </w:t>
            </w:r>
            <w:r w:rsidR="00174E56" w:rsidRPr="00347817">
              <w:t>pant</w:t>
            </w:r>
            <w:r w:rsidR="000744A0">
              <w:t>s</w:t>
            </w:r>
          </w:p>
        </w:tc>
        <w:tc>
          <w:tcPr>
            <w:tcW w:w="2089" w:type="dxa"/>
            <w:tcBorders>
              <w:top w:val="outset" w:sz="6" w:space="0" w:color="414142"/>
              <w:left w:val="outset" w:sz="6" w:space="0" w:color="414142"/>
              <w:bottom w:val="outset" w:sz="6" w:space="0" w:color="414142"/>
              <w:right w:val="outset" w:sz="6" w:space="0" w:color="414142"/>
            </w:tcBorders>
          </w:tcPr>
          <w:p w:rsidR="00174E56" w:rsidRPr="00347817" w:rsidRDefault="00174E56" w:rsidP="00174E56">
            <w:r w:rsidRPr="00347817">
              <w:t>Noteikumu projekta</w:t>
            </w:r>
          </w:p>
          <w:p w:rsidR="00174E56" w:rsidRPr="00347817" w:rsidRDefault="000744A0">
            <w:r>
              <w:t>3</w:t>
            </w:r>
            <w:r w:rsidR="00174E56" w:rsidRPr="00347817">
              <w:t>.</w:t>
            </w:r>
            <w:r w:rsidR="00F15FB6" w:rsidRPr="00347817">
              <w:t> </w:t>
            </w:r>
            <w:r w:rsidR="00174E56" w:rsidRPr="00347817">
              <w:t>punkts</w:t>
            </w:r>
          </w:p>
        </w:tc>
        <w:tc>
          <w:tcPr>
            <w:tcW w:w="2557" w:type="dxa"/>
            <w:tcBorders>
              <w:top w:val="outset" w:sz="6" w:space="0" w:color="414142"/>
              <w:left w:val="outset" w:sz="6" w:space="0" w:color="414142"/>
              <w:bottom w:val="outset" w:sz="6" w:space="0" w:color="414142"/>
              <w:right w:val="outset" w:sz="6" w:space="0" w:color="414142"/>
            </w:tcBorders>
          </w:tcPr>
          <w:p w:rsidR="00174E56" w:rsidRPr="00347817" w:rsidRDefault="00174E56"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174E56" w:rsidRPr="00347817" w:rsidRDefault="00174E56" w:rsidP="00F43E68">
            <w:r w:rsidRPr="00347817">
              <w:t>Noteikumu projekts neparedz stingrākas prasības</w:t>
            </w:r>
          </w:p>
        </w:tc>
      </w:tr>
      <w:tr w:rsidR="00174E56"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174E56" w:rsidRPr="00347817" w:rsidRDefault="00104A5C" w:rsidP="00174E56">
            <w:r>
              <w:t>R</w:t>
            </w:r>
            <w:r w:rsidR="0012780E">
              <w:t>egulas Nr. 2016/589</w:t>
            </w:r>
            <w:r w:rsidR="000744A0">
              <w:t xml:space="preserve"> 15</w:t>
            </w:r>
            <w:r w:rsidR="00174E56" w:rsidRPr="00347817">
              <w:t>.</w:t>
            </w:r>
            <w:r w:rsidR="000744A0">
              <w:t> p</w:t>
            </w:r>
            <w:r w:rsidR="00174E56" w:rsidRPr="00347817">
              <w:t>ants</w:t>
            </w:r>
          </w:p>
        </w:tc>
        <w:tc>
          <w:tcPr>
            <w:tcW w:w="2089" w:type="dxa"/>
            <w:tcBorders>
              <w:top w:val="outset" w:sz="6" w:space="0" w:color="414142"/>
              <w:left w:val="outset" w:sz="6" w:space="0" w:color="414142"/>
              <w:bottom w:val="outset" w:sz="6" w:space="0" w:color="414142"/>
              <w:right w:val="outset" w:sz="6" w:space="0" w:color="414142"/>
            </w:tcBorders>
          </w:tcPr>
          <w:p w:rsidR="00174E56" w:rsidRPr="00347817" w:rsidRDefault="00174E56" w:rsidP="00E12BAC">
            <w:r w:rsidRPr="00347817">
              <w:t>Noteikumu projekta</w:t>
            </w:r>
          </w:p>
          <w:p w:rsidR="00174E56" w:rsidRPr="00347817" w:rsidRDefault="000744A0" w:rsidP="00D3210D">
            <w:r>
              <w:t>3. punkts</w:t>
            </w:r>
          </w:p>
        </w:tc>
        <w:tc>
          <w:tcPr>
            <w:tcW w:w="2557" w:type="dxa"/>
            <w:tcBorders>
              <w:top w:val="outset" w:sz="6" w:space="0" w:color="414142"/>
              <w:left w:val="outset" w:sz="6" w:space="0" w:color="414142"/>
              <w:bottom w:val="outset" w:sz="6" w:space="0" w:color="414142"/>
              <w:right w:val="outset" w:sz="6" w:space="0" w:color="414142"/>
            </w:tcBorders>
          </w:tcPr>
          <w:p w:rsidR="00174E56" w:rsidRPr="00347817" w:rsidRDefault="00174E56" w:rsidP="00970DCD">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174E56" w:rsidRPr="00347817" w:rsidRDefault="00174E56" w:rsidP="00970DCD">
            <w:r w:rsidRPr="00347817">
              <w:t>Noteikumu projekts neparedz stingrākas prasības</w:t>
            </w:r>
          </w:p>
        </w:tc>
      </w:tr>
      <w:tr w:rsidR="0044593B"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44593B" w:rsidRPr="00347817" w:rsidRDefault="00104A5C" w:rsidP="006E4005">
            <w:r>
              <w:t>R</w:t>
            </w:r>
            <w:r w:rsidR="0012780E">
              <w:t>egulas Nr. 2016/589</w:t>
            </w:r>
            <w:r w:rsidR="0083079D">
              <w:t xml:space="preserve"> 18</w:t>
            </w:r>
            <w:r w:rsidR="0044593B" w:rsidRPr="00347817">
              <w:t>.</w:t>
            </w:r>
            <w:r w:rsidR="00F15FB6" w:rsidRPr="00347817">
              <w:t> </w:t>
            </w:r>
            <w:r w:rsidR="0083079D">
              <w:t>panta 1</w:t>
            </w:r>
            <w:r w:rsidR="0044593B" w:rsidRPr="00347817">
              <w:t>.</w:t>
            </w:r>
            <w:r w:rsidR="0083079D">
              <w:t xml:space="preserve"> un 3. </w:t>
            </w:r>
            <w:r w:rsidR="0044593B" w:rsidRPr="00347817">
              <w:t>punkts</w:t>
            </w:r>
          </w:p>
        </w:tc>
        <w:tc>
          <w:tcPr>
            <w:tcW w:w="2089" w:type="dxa"/>
            <w:tcBorders>
              <w:top w:val="outset" w:sz="6" w:space="0" w:color="414142"/>
              <w:left w:val="outset" w:sz="6" w:space="0" w:color="414142"/>
              <w:bottom w:val="outset" w:sz="6" w:space="0" w:color="414142"/>
              <w:right w:val="outset" w:sz="6" w:space="0" w:color="414142"/>
            </w:tcBorders>
          </w:tcPr>
          <w:p w:rsidR="0044593B" w:rsidRPr="00347817" w:rsidRDefault="0044593B" w:rsidP="0083079D">
            <w:r w:rsidRPr="00347817">
              <w:t xml:space="preserve">Noteikumu projekta </w:t>
            </w:r>
            <w:r w:rsidR="0083079D">
              <w:t>3.punkts</w:t>
            </w:r>
          </w:p>
        </w:tc>
        <w:tc>
          <w:tcPr>
            <w:tcW w:w="2557" w:type="dxa"/>
            <w:tcBorders>
              <w:top w:val="outset" w:sz="6" w:space="0" w:color="414142"/>
              <w:left w:val="outset" w:sz="6" w:space="0" w:color="414142"/>
              <w:bottom w:val="outset" w:sz="6" w:space="0" w:color="414142"/>
              <w:right w:val="outset" w:sz="6" w:space="0" w:color="414142"/>
            </w:tcBorders>
          </w:tcPr>
          <w:p w:rsidR="0044593B" w:rsidRPr="00347817" w:rsidRDefault="0044593B"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44593B" w:rsidRPr="00347817" w:rsidRDefault="0044593B" w:rsidP="00F43E68">
            <w:r w:rsidRPr="00347817">
              <w:t>Noteikumu projekts neparedz stingrākas prasības</w:t>
            </w:r>
          </w:p>
        </w:tc>
      </w:tr>
      <w:tr w:rsidR="0044593B"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44593B" w:rsidRPr="00347817" w:rsidRDefault="00104A5C" w:rsidP="00104A5C">
            <w:r>
              <w:t>R</w:t>
            </w:r>
            <w:r w:rsidR="0012780E">
              <w:t>egulas Nr. 2016/589</w:t>
            </w:r>
            <w:r w:rsidR="0083079D">
              <w:t xml:space="preserve"> 20</w:t>
            </w:r>
            <w:r w:rsidR="0044593B" w:rsidRPr="00347817">
              <w:t>.</w:t>
            </w:r>
            <w:r w:rsidR="00F15FB6" w:rsidRPr="00347817">
              <w:t> </w:t>
            </w:r>
            <w:r w:rsidR="0083079D">
              <w:t>pant</w:t>
            </w:r>
            <w:r>
              <w:t>s</w:t>
            </w:r>
          </w:p>
        </w:tc>
        <w:tc>
          <w:tcPr>
            <w:tcW w:w="2089" w:type="dxa"/>
            <w:tcBorders>
              <w:top w:val="outset" w:sz="6" w:space="0" w:color="414142"/>
              <w:left w:val="outset" w:sz="6" w:space="0" w:color="414142"/>
              <w:bottom w:val="outset" w:sz="6" w:space="0" w:color="414142"/>
              <w:right w:val="outset" w:sz="6" w:space="0" w:color="414142"/>
            </w:tcBorders>
          </w:tcPr>
          <w:p w:rsidR="0044593B" w:rsidRPr="00347817" w:rsidRDefault="0044593B" w:rsidP="003E1194">
            <w:r w:rsidRPr="00347817">
              <w:t>Noteikumu projekta</w:t>
            </w:r>
          </w:p>
          <w:p w:rsidR="0044593B" w:rsidRPr="00347817" w:rsidRDefault="0083079D">
            <w:r>
              <w:t>3.punkts</w:t>
            </w:r>
          </w:p>
        </w:tc>
        <w:tc>
          <w:tcPr>
            <w:tcW w:w="2557" w:type="dxa"/>
            <w:tcBorders>
              <w:top w:val="outset" w:sz="6" w:space="0" w:color="414142"/>
              <w:left w:val="outset" w:sz="6" w:space="0" w:color="414142"/>
              <w:bottom w:val="outset" w:sz="6" w:space="0" w:color="414142"/>
              <w:right w:val="outset" w:sz="6" w:space="0" w:color="414142"/>
            </w:tcBorders>
          </w:tcPr>
          <w:p w:rsidR="0044593B" w:rsidRPr="00347817" w:rsidRDefault="0044593B" w:rsidP="00970DCD">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44593B" w:rsidRPr="00347817" w:rsidRDefault="0044593B" w:rsidP="00970DCD">
            <w:r w:rsidRPr="00347817">
              <w:t>Noteikumu projekts neparedz stingrākas prasības</w:t>
            </w:r>
          </w:p>
        </w:tc>
      </w:tr>
      <w:tr w:rsidR="001C5EA0"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1C5EA0" w:rsidRPr="00347817" w:rsidRDefault="00104A5C" w:rsidP="001C5EA0">
            <w:r>
              <w:t>R</w:t>
            </w:r>
            <w:r w:rsidR="0012780E">
              <w:t>egulas Nr. 2016/589</w:t>
            </w:r>
            <w:r w:rsidR="0083079D">
              <w:t xml:space="preserve"> 21</w:t>
            </w:r>
            <w:r w:rsidR="001C5EA0" w:rsidRPr="00347817">
              <w:t>.</w:t>
            </w:r>
            <w:r w:rsidR="0083079D">
              <w:t xml:space="preserve"> panta </w:t>
            </w:r>
            <w:r w:rsidR="00F15FB6" w:rsidRPr="00347817">
              <w:t> </w:t>
            </w:r>
            <w:r w:rsidR="0083079D">
              <w:t>3. un 5. punkts</w:t>
            </w:r>
            <w:r w:rsidR="001C5EA0" w:rsidRPr="00347817">
              <w:t xml:space="preserve"> </w:t>
            </w:r>
          </w:p>
        </w:tc>
        <w:tc>
          <w:tcPr>
            <w:tcW w:w="2089"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projekta</w:t>
            </w:r>
          </w:p>
          <w:p w:rsidR="001C5EA0" w:rsidRPr="00347817" w:rsidRDefault="0083079D" w:rsidP="00F43E68">
            <w:r>
              <w:t>3.punkts</w:t>
            </w:r>
          </w:p>
        </w:tc>
        <w:tc>
          <w:tcPr>
            <w:tcW w:w="2557"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projekts neparedz stingrākas prasības</w:t>
            </w:r>
          </w:p>
        </w:tc>
      </w:tr>
      <w:tr w:rsidR="001C5EA0"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1C5EA0" w:rsidRPr="00347817" w:rsidRDefault="00104A5C" w:rsidP="005566C2">
            <w:r>
              <w:t>R</w:t>
            </w:r>
            <w:r w:rsidR="0012780E">
              <w:t>egulas Nr. 2016/589</w:t>
            </w:r>
            <w:r w:rsidR="001C5EA0" w:rsidRPr="00347817">
              <w:t xml:space="preserve"> </w:t>
            </w:r>
            <w:r w:rsidR="0083079D">
              <w:lastRenderedPageBreak/>
              <w:t>22. panta 1. punkts</w:t>
            </w:r>
          </w:p>
        </w:tc>
        <w:tc>
          <w:tcPr>
            <w:tcW w:w="2089" w:type="dxa"/>
            <w:tcBorders>
              <w:top w:val="outset" w:sz="6" w:space="0" w:color="414142"/>
              <w:left w:val="outset" w:sz="6" w:space="0" w:color="414142"/>
              <w:bottom w:val="outset" w:sz="6" w:space="0" w:color="414142"/>
              <w:right w:val="outset" w:sz="6" w:space="0" w:color="414142"/>
            </w:tcBorders>
          </w:tcPr>
          <w:p w:rsidR="001C5EA0" w:rsidRPr="00347817" w:rsidRDefault="001C5EA0" w:rsidP="00AA4F6B">
            <w:r w:rsidRPr="00347817">
              <w:lastRenderedPageBreak/>
              <w:t>Noteikumu projekta</w:t>
            </w:r>
          </w:p>
          <w:p w:rsidR="001C5EA0" w:rsidRPr="00347817" w:rsidRDefault="0083079D" w:rsidP="00AA4F6B">
            <w:r>
              <w:t>3</w:t>
            </w:r>
            <w:r w:rsidR="001C5EA0" w:rsidRPr="00347817">
              <w:t>.</w:t>
            </w:r>
            <w:r w:rsidR="00F15FB6" w:rsidRPr="00347817">
              <w:t> </w:t>
            </w:r>
            <w:r w:rsidR="001C5EA0" w:rsidRPr="00347817">
              <w:t>punkts</w:t>
            </w:r>
          </w:p>
          <w:p w:rsidR="001C5EA0" w:rsidRPr="00347817" w:rsidRDefault="001C5EA0" w:rsidP="008D4549"/>
        </w:tc>
        <w:tc>
          <w:tcPr>
            <w:tcW w:w="2557"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lastRenderedPageBreak/>
              <w:t>Ieviests pilnībā</w:t>
            </w:r>
          </w:p>
        </w:tc>
        <w:tc>
          <w:tcPr>
            <w:tcW w:w="2465"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 xml:space="preserve">Noteikumu projekts neparedz stingrākas </w:t>
            </w:r>
            <w:r w:rsidRPr="00347817">
              <w:lastRenderedPageBreak/>
              <w:t>prasības</w:t>
            </w:r>
          </w:p>
        </w:tc>
      </w:tr>
      <w:tr w:rsidR="001C5EA0"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1C5EA0" w:rsidRPr="00347817" w:rsidRDefault="00104A5C" w:rsidP="00F43E68">
            <w:r>
              <w:lastRenderedPageBreak/>
              <w:t>R</w:t>
            </w:r>
            <w:r w:rsidR="0012780E">
              <w:t>egulas Nr. 2016/589</w:t>
            </w:r>
            <w:r w:rsidR="001C5EA0" w:rsidRPr="00347817">
              <w:t xml:space="preserve"> </w:t>
            </w:r>
            <w:r w:rsidR="0083079D">
              <w:t>23. pants</w:t>
            </w:r>
          </w:p>
        </w:tc>
        <w:tc>
          <w:tcPr>
            <w:tcW w:w="2089" w:type="dxa"/>
            <w:tcBorders>
              <w:top w:val="outset" w:sz="6" w:space="0" w:color="414142"/>
              <w:left w:val="outset" w:sz="6" w:space="0" w:color="414142"/>
              <w:bottom w:val="outset" w:sz="6" w:space="0" w:color="414142"/>
              <w:right w:val="outset" w:sz="6" w:space="0" w:color="414142"/>
            </w:tcBorders>
          </w:tcPr>
          <w:p w:rsidR="001C5EA0" w:rsidRPr="00347817" w:rsidRDefault="001C5EA0" w:rsidP="008D4549">
            <w:r w:rsidRPr="00347817">
              <w:t>Noteikumu projekta</w:t>
            </w:r>
          </w:p>
          <w:p w:rsidR="001C5EA0" w:rsidRPr="00347817" w:rsidRDefault="0083079D" w:rsidP="008D4549">
            <w:r>
              <w:t>3</w:t>
            </w:r>
            <w:r w:rsidR="001C5EA0" w:rsidRPr="00347817">
              <w:t>.punkts</w:t>
            </w:r>
          </w:p>
          <w:p w:rsidR="001C5EA0" w:rsidRPr="00347817" w:rsidRDefault="001C5EA0" w:rsidP="00AA4F6B"/>
        </w:tc>
        <w:tc>
          <w:tcPr>
            <w:tcW w:w="2557"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projekts neparedz stingrākas prasības</w:t>
            </w:r>
          </w:p>
        </w:tc>
      </w:tr>
      <w:tr w:rsidR="001C5EA0"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1C5EA0" w:rsidRPr="00347817" w:rsidRDefault="00104A5C" w:rsidP="00F43E68">
            <w:r>
              <w:t>R</w:t>
            </w:r>
            <w:r w:rsidR="0012780E">
              <w:t>egulas Nr. 2016/589</w:t>
            </w:r>
            <w:r w:rsidR="001C5EA0" w:rsidRPr="00347817">
              <w:t xml:space="preserve"> </w:t>
            </w:r>
            <w:r w:rsidR="0083079D">
              <w:t>24. pants</w:t>
            </w:r>
          </w:p>
        </w:tc>
        <w:tc>
          <w:tcPr>
            <w:tcW w:w="2089"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projekta</w:t>
            </w:r>
          </w:p>
          <w:p w:rsidR="001C5EA0" w:rsidRPr="00347817" w:rsidRDefault="0083079D" w:rsidP="00F43E68">
            <w:r>
              <w:t>3.punkts</w:t>
            </w:r>
          </w:p>
          <w:p w:rsidR="001C5EA0" w:rsidRPr="00347817" w:rsidRDefault="001C5EA0" w:rsidP="00F43E68"/>
        </w:tc>
        <w:tc>
          <w:tcPr>
            <w:tcW w:w="2557"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projekts neparedz stingrākas prasības</w:t>
            </w:r>
          </w:p>
        </w:tc>
      </w:tr>
      <w:tr w:rsidR="001C5EA0"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1C5EA0" w:rsidRPr="00347817" w:rsidRDefault="00104A5C" w:rsidP="00F43E68">
            <w:r>
              <w:t>R</w:t>
            </w:r>
            <w:r w:rsidR="0012780E">
              <w:t>egulas Nr. 2016/589</w:t>
            </w:r>
            <w:r w:rsidR="001C5EA0" w:rsidRPr="00347817">
              <w:t xml:space="preserve"> </w:t>
            </w:r>
            <w:r w:rsidR="0083079D">
              <w:t>26. pants</w:t>
            </w:r>
          </w:p>
        </w:tc>
        <w:tc>
          <w:tcPr>
            <w:tcW w:w="2089"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projekta</w:t>
            </w:r>
          </w:p>
          <w:p w:rsidR="001C5EA0" w:rsidRPr="00347817" w:rsidRDefault="0083079D" w:rsidP="00F43E68">
            <w:r>
              <w:t>3</w:t>
            </w:r>
            <w:r w:rsidR="001C5EA0" w:rsidRPr="00347817">
              <w:t>.</w:t>
            </w:r>
            <w:r w:rsidR="00F15FB6" w:rsidRPr="00347817">
              <w:t> </w:t>
            </w:r>
            <w:r w:rsidR="001C5EA0" w:rsidRPr="00347817">
              <w:t>punkts</w:t>
            </w:r>
          </w:p>
          <w:p w:rsidR="001C5EA0" w:rsidRPr="00347817" w:rsidRDefault="001C5EA0" w:rsidP="00F43E68"/>
        </w:tc>
        <w:tc>
          <w:tcPr>
            <w:tcW w:w="2557"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1C5EA0" w:rsidRPr="00347817" w:rsidRDefault="001C5EA0" w:rsidP="00F43E68">
            <w:r w:rsidRPr="00347817">
              <w:t>Noteikumu projekts neparedz stingrākas prasības</w:t>
            </w:r>
          </w:p>
        </w:tc>
      </w:tr>
      <w:tr w:rsidR="003463D3"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tcPr>
          <w:p w:rsidR="003463D3" w:rsidRPr="00347817" w:rsidRDefault="00104A5C" w:rsidP="0083079D">
            <w:r>
              <w:t>R</w:t>
            </w:r>
            <w:r w:rsidR="0012780E">
              <w:t>egulas Nr. 2016/589</w:t>
            </w:r>
            <w:r w:rsidR="003463D3" w:rsidRPr="00347817">
              <w:t xml:space="preserve"> </w:t>
            </w:r>
            <w:r w:rsidR="0083079D">
              <w:t>27.panta 1. un 2.punkts</w:t>
            </w:r>
          </w:p>
        </w:tc>
        <w:tc>
          <w:tcPr>
            <w:tcW w:w="2089" w:type="dxa"/>
            <w:tcBorders>
              <w:top w:val="outset" w:sz="6" w:space="0" w:color="414142"/>
              <w:left w:val="outset" w:sz="6" w:space="0" w:color="414142"/>
              <w:bottom w:val="outset" w:sz="6" w:space="0" w:color="414142"/>
              <w:right w:val="outset" w:sz="6" w:space="0" w:color="414142"/>
            </w:tcBorders>
          </w:tcPr>
          <w:p w:rsidR="003463D3" w:rsidRPr="00347817" w:rsidRDefault="003463D3" w:rsidP="0083079D">
            <w:r w:rsidRPr="00347817">
              <w:t xml:space="preserve">Noteikumu projekta </w:t>
            </w:r>
            <w:r w:rsidR="0083079D">
              <w:t>3.punkts</w:t>
            </w:r>
          </w:p>
        </w:tc>
        <w:tc>
          <w:tcPr>
            <w:tcW w:w="2557" w:type="dxa"/>
            <w:tcBorders>
              <w:top w:val="outset" w:sz="6" w:space="0" w:color="414142"/>
              <w:left w:val="outset" w:sz="6" w:space="0" w:color="414142"/>
              <w:bottom w:val="outset" w:sz="6" w:space="0" w:color="414142"/>
              <w:right w:val="outset" w:sz="6" w:space="0" w:color="414142"/>
            </w:tcBorders>
          </w:tcPr>
          <w:p w:rsidR="003463D3" w:rsidRPr="00347817" w:rsidRDefault="003463D3" w:rsidP="00F43E68">
            <w:r w:rsidRPr="00347817">
              <w:t>Ieviests pilnībā</w:t>
            </w:r>
          </w:p>
        </w:tc>
        <w:tc>
          <w:tcPr>
            <w:tcW w:w="2465" w:type="dxa"/>
            <w:tcBorders>
              <w:top w:val="outset" w:sz="6" w:space="0" w:color="414142"/>
              <w:left w:val="outset" w:sz="6" w:space="0" w:color="414142"/>
              <w:bottom w:val="outset" w:sz="6" w:space="0" w:color="414142"/>
              <w:right w:val="outset" w:sz="6" w:space="0" w:color="414142"/>
            </w:tcBorders>
          </w:tcPr>
          <w:p w:rsidR="003463D3" w:rsidRPr="00347817" w:rsidRDefault="003463D3" w:rsidP="00F43E68">
            <w:r w:rsidRPr="00347817">
              <w:t>Noteikumu projekts neparedz stingrākas prasības</w:t>
            </w:r>
          </w:p>
        </w:tc>
      </w:tr>
      <w:tr w:rsidR="00F43E68"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hideMark/>
          </w:tcPr>
          <w:p w:rsidR="00F43E68" w:rsidRPr="00347817" w:rsidRDefault="00F43E68">
            <w:r w:rsidRPr="00347817">
              <w:t>Kā ir izmantota ES tiesību aktā paredzētā rīcības brīvība dalībvalstij pārņemt vai ieviest noteiktas ES tiesību akta normas?</w:t>
            </w:r>
            <w:r w:rsidRPr="00347817">
              <w:br/>
              <w:t>Kādēļ?</w:t>
            </w:r>
          </w:p>
        </w:tc>
        <w:tc>
          <w:tcPr>
            <w:tcW w:w="7111" w:type="dxa"/>
            <w:gridSpan w:val="3"/>
            <w:tcBorders>
              <w:top w:val="outset" w:sz="6" w:space="0" w:color="414142"/>
              <w:left w:val="outset" w:sz="6" w:space="0" w:color="414142"/>
              <w:bottom w:val="outset" w:sz="6" w:space="0" w:color="414142"/>
              <w:right w:val="outset" w:sz="6" w:space="0" w:color="414142"/>
            </w:tcBorders>
            <w:hideMark/>
          </w:tcPr>
          <w:p w:rsidR="00F43E68" w:rsidRPr="00347817" w:rsidRDefault="008E11EB" w:rsidP="00F42FF4">
            <w:pPr>
              <w:jc w:val="both"/>
            </w:pPr>
            <w:r w:rsidRPr="00347817">
              <w:t>Ir izmantota Padomes regulā Nr. </w:t>
            </w:r>
            <w:r w:rsidR="00F43E68" w:rsidRPr="00347817">
              <w:t xml:space="preserve">1309/2013 noteiktā rīcības brīvība, nosakot valsts iekšējo kārtību, kādā Latvijas Republika </w:t>
            </w:r>
            <w:r w:rsidR="00F42FF4">
              <w:t>piešķir, uzrauga  un anulē EURES dalībnieka statusu.</w:t>
            </w:r>
          </w:p>
        </w:tc>
      </w:tr>
      <w:tr w:rsidR="00F43E68"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hideMark/>
          </w:tcPr>
          <w:p w:rsidR="00F43E68" w:rsidRPr="00347817" w:rsidRDefault="00F43E68">
            <w:r w:rsidRPr="00347817">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11" w:type="dxa"/>
            <w:gridSpan w:val="3"/>
            <w:tcBorders>
              <w:top w:val="outset" w:sz="6" w:space="0" w:color="414142"/>
              <w:left w:val="outset" w:sz="6" w:space="0" w:color="414142"/>
              <w:bottom w:val="outset" w:sz="6" w:space="0" w:color="414142"/>
              <w:right w:val="outset" w:sz="6" w:space="0" w:color="414142"/>
            </w:tcBorders>
            <w:hideMark/>
          </w:tcPr>
          <w:p w:rsidR="00F43E68" w:rsidRPr="00347817" w:rsidRDefault="00F42FF4" w:rsidP="00081E5D">
            <w:pPr>
              <w:jc w:val="both"/>
            </w:pPr>
            <w:r>
              <w:t>Projekts šo jomu neskar</w:t>
            </w:r>
          </w:p>
        </w:tc>
      </w:tr>
      <w:tr w:rsidR="00F43E68" w:rsidRPr="00347817" w:rsidTr="00843D78">
        <w:trPr>
          <w:jc w:val="center"/>
        </w:trPr>
        <w:tc>
          <w:tcPr>
            <w:tcW w:w="2100" w:type="dxa"/>
            <w:tcBorders>
              <w:top w:val="outset" w:sz="6" w:space="0" w:color="414142"/>
              <w:left w:val="outset" w:sz="6" w:space="0" w:color="414142"/>
              <w:bottom w:val="outset" w:sz="6" w:space="0" w:color="414142"/>
              <w:right w:val="outset" w:sz="6" w:space="0" w:color="414142"/>
            </w:tcBorders>
            <w:hideMark/>
          </w:tcPr>
          <w:p w:rsidR="00F43E68" w:rsidRPr="00347817" w:rsidRDefault="00F43E68">
            <w:r w:rsidRPr="00347817">
              <w:t>Cita informācija</w:t>
            </w:r>
          </w:p>
        </w:tc>
        <w:tc>
          <w:tcPr>
            <w:tcW w:w="7111" w:type="dxa"/>
            <w:gridSpan w:val="3"/>
            <w:tcBorders>
              <w:top w:val="outset" w:sz="6" w:space="0" w:color="414142"/>
              <w:left w:val="outset" w:sz="6" w:space="0" w:color="414142"/>
              <w:bottom w:val="outset" w:sz="6" w:space="0" w:color="414142"/>
              <w:right w:val="outset" w:sz="6" w:space="0" w:color="414142"/>
            </w:tcBorders>
            <w:hideMark/>
          </w:tcPr>
          <w:p w:rsidR="00F43E68" w:rsidRPr="00347817" w:rsidRDefault="00F43E68">
            <w:pPr>
              <w:pStyle w:val="tvhtml"/>
              <w:spacing w:line="293" w:lineRule="atLeast"/>
            </w:pPr>
            <w:r w:rsidRPr="00347817">
              <w:t>Nav.</w:t>
            </w:r>
          </w:p>
        </w:tc>
      </w:tr>
      <w:tr w:rsidR="00F43E68" w:rsidRPr="00347817" w:rsidTr="00843D78">
        <w:trPr>
          <w:jc w:val="center"/>
        </w:trPr>
        <w:tc>
          <w:tcPr>
            <w:tcW w:w="9211" w:type="dxa"/>
            <w:gridSpan w:val="4"/>
            <w:tcBorders>
              <w:top w:val="outset" w:sz="6" w:space="0" w:color="414142"/>
              <w:left w:val="outset" w:sz="6" w:space="0" w:color="414142"/>
              <w:bottom w:val="outset" w:sz="6" w:space="0" w:color="414142"/>
              <w:right w:val="outset" w:sz="6" w:space="0" w:color="414142"/>
            </w:tcBorders>
            <w:vAlign w:val="center"/>
            <w:hideMark/>
          </w:tcPr>
          <w:p w:rsidR="00F43E68" w:rsidRPr="00347817" w:rsidRDefault="00F43E68">
            <w:pPr>
              <w:pStyle w:val="tvhtml"/>
              <w:spacing w:line="293" w:lineRule="atLeast"/>
              <w:jc w:val="center"/>
              <w:rPr>
                <w:b/>
                <w:bCs/>
              </w:rPr>
            </w:pPr>
            <w:r w:rsidRPr="00347817">
              <w:rPr>
                <w:b/>
                <w:bCs/>
              </w:rPr>
              <w:t>2.tabula</w:t>
            </w:r>
            <w:r w:rsidRPr="00347817">
              <w:rPr>
                <w:b/>
                <w:bCs/>
              </w:rPr>
              <w:br/>
              <w:t>Ar tiesību akta projektu izpildītās vai uzņemtās saistības, kas izriet no starptautiskajiem tiesību aktiem vai starptautiskas institūcijas vai organizācijas dokumentiem.</w:t>
            </w:r>
            <w:r w:rsidRPr="00347817">
              <w:rPr>
                <w:b/>
                <w:bCs/>
              </w:rPr>
              <w:br/>
              <w:t>Pasākumi šo saistību izpildei</w:t>
            </w:r>
          </w:p>
        </w:tc>
      </w:tr>
      <w:tr w:rsidR="00F43E68" w:rsidRPr="00347817" w:rsidTr="00843D78">
        <w:trPr>
          <w:trHeight w:val="369"/>
          <w:jc w:val="center"/>
        </w:trPr>
        <w:tc>
          <w:tcPr>
            <w:tcW w:w="9211" w:type="dxa"/>
            <w:gridSpan w:val="4"/>
            <w:tcBorders>
              <w:top w:val="outset" w:sz="6" w:space="0" w:color="414142"/>
              <w:left w:val="outset" w:sz="6" w:space="0" w:color="414142"/>
              <w:right w:val="outset" w:sz="6" w:space="0" w:color="414142"/>
            </w:tcBorders>
            <w:vAlign w:val="center"/>
          </w:tcPr>
          <w:p w:rsidR="00F43E68" w:rsidRPr="00235192" w:rsidRDefault="00F43E68" w:rsidP="00235192">
            <w:pPr>
              <w:jc w:val="center"/>
            </w:pPr>
            <w:r w:rsidRPr="00235192">
              <w:t>Projekts šo jomu neskar</w:t>
            </w:r>
          </w:p>
        </w:tc>
      </w:tr>
    </w:tbl>
    <w:p w:rsidR="00573664" w:rsidRPr="00347817" w:rsidRDefault="00573664" w:rsidP="00B63F04">
      <w:pPr>
        <w:shd w:val="clear" w:color="auto" w:fill="FFFFFF"/>
        <w:spacing w:after="100" w:afterAutospacing="1" w:line="293" w:lineRule="atLeast"/>
        <w:ind w:firstLine="300"/>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81E5D" w:rsidRPr="00347817" w:rsidTr="00166387">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lastRenderedPageBreak/>
              <w:t>VI. Sabiedrības līdzdalība un komunikācijas aktivitātes</w:t>
            </w:r>
          </w:p>
        </w:tc>
      </w:tr>
      <w:tr w:rsidR="00081E5D" w:rsidRPr="00347817" w:rsidTr="00166387">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1.</w:t>
            </w:r>
          </w:p>
        </w:tc>
        <w:tc>
          <w:tcPr>
            <w:tcW w:w="15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3C378A">
            <w:pPr>
              <w:jc w:val="both"/>
            </w:pPr>
            <w:r w:rsidRPr="00347817">
              <w:t xml:space="preserve">Sabiedrības līdzdalība Noteikumu projekta izstrādē tika nodrošināta, ievietojot Noteikumu projektu Labklājības ministrijas tīmekļa vietnē </w:t>
            </w:r>
            <w:hyperlink r:id="rId9" w:history="1">
              <w:r w:rsidRPr="00347817">
                <w:rPr>
                  <w:rStyle w:val="Hyperlink"/>
                  <w:color w:val="auto"/>
                </w:rPr>
                <w:t>www.lm.gov.lv</w:t>
              </w:r>
            </w:hyperlink>
            <w:r w:rsidRPr="00347817">
              <w:t xml:space="preserve"> un aicinot sabiedrības pārstāvjus sniegt viedokli.</w:t>
            </w:r>
          </w:p>
        </w:tc>
      </w:tr>
      <w:tr w:rsidR="00081E5D" w:rsidRPr="00347817" w:rsidTr="00166387">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2.</w:t>
            </w:r>
          </w:p>
        </w:tc>
        <w:tc>
          <w:tcPr>
            <w:tcW w:w="15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Nav.</w:t>
            </w:r>
          </w:p>
        </w:tc>
      </w:tr>
      <w:tr w:rsidR="00081E5D" w:rsidRPr="00347817" w:rsidTr="0016638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3.</w:t>
            </w:r>
          </w:p>
        </w:tc>
        <w:tc>
          <w:tcPr>
            <w:tcW w:w="15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Iebildumi/komentāri netika saņemti.</w:t>
            </w:r>
          </w:p>
        </w:tc>
      </w:tr>
      <w:tr w:rsidR="00081E5D" w:rsidRPr="00347817" w:rsidTr="0016638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4.</w:t>
            </w:r>
          </w:p>
        </w:tc>
        <w:tc>
          <w:tcPr>
            <w:tcW w:w="15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Nav.</w:t>
            </w:r>
          </w:p>
        </w:tc>
      </w:tr>
    </w:tbl>
    <w:p w:rsidR="00573664" w:rsidRPr="00347817" w:rsidRDefault="00573664" w:rsidP="00B63F04">
      <w:pPr>
        <w:shd w:val="clear" w:color="auto" w:fill="FFFFFF"/>
        <w:tabs>
          <w:tab w:val="left" w:pos="3630"/>
        </w:tabs>
        <w:spacing w:before="100" w:beforeAutospacing="1" w:line="293" w:lineRule="atLeast"/>
      </w:pPr>
    </w:p>
    <w:tbl>
      <w:tblPr>
        <w:tblW w:w="507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3520"/>
        <w:gridCol w:w="5282"/>
      </w:tblGrid>
      <w:tr w:rsidR="00081E5D" w:rsidRPr="00347817" w:rsidTr="00166387">
        <w:trPr>
          <w:trHeight w:val="42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73664" w:rsidRPr="00347817" w:rsidRDefault="00573664" w:rsidP="00166387">
            <w:pPr>
              <w:spacing w:before="100" w:beforeAutospacing="1" w:after="100" w:afterAutospacing="1" w:line="293" w:lineRule="atLeast"/>
              <w:jc w:val="center"/>
              <w:rPr>
                <w:b/>
                <w:bCs/>
              </w:rPr>
            </w:pPr>
            <w:r w:rsidRPr="00347817">
              <w:rPr>
                <w:b/>
                <w:bCs/>
              </w:rPr>
              <w:t>VII. Tiesību akta projekta izpildes nodrošināšana un tās ietekme uz institūcijām</w:t>
            </w:r>
          </w:p>
        </w:tc>
      </w:tr>
      <w:tr w:rsidR="00081E5D" w:rsidRPr="00347817" w:rsidTr="00166387">
        <w:trPr>
          <w:trHeight w:val="478"/>
          <w:jc w:val="center"/>
        </w:trPr>
        <w:tc>
          <w:tcPr>
            <w:tcW w:w="249"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1.</w:t>
            </w:r>
          </w:p>
        </w:tc>
        <w:tc>
          <w:tcPr>
            <w:tcW w:w="19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F42FF4">
            <w:pPr>
              <w:jc w:val="both"/>
            </w:pPr>
            <w:r w:rsidRPr="00347817">
              <w:t xml:space="preserve">Noteikumu projekta izpildi nodrošinās </w:t>
            </w:r>
            <w:r w:rsidR="00F42FF4">
              <w:t>aģentūra</w:t>
            </w:r>
            <w:r w:rsidR="006E509B" w:rsidRPr="00347817">
              <w:t>.</w:t>
            </w:r>
          </w:p>
        </w:tc>
      </w:tr>
      <w:tr w:rsidR="00081E5D" w:rsidRPr="00347817" w:rsidTr="00166387">
        <w:trPr>
          <w:trHeight w:val="512"/>
          <w:jc w:val="center"/>
        </w:trPr>
        <w:tc>
          <w:tcPr>
            <w:tcW w:w="249"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2.</w:t>
            </w:r>
          </w:p>
        </w:tc>
        <w:tc>
          <w:tcPr>
            <w:tcW w:w="19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Projekta izpildes ietekme uz pārvaldes funkcijām un institucionālo struktūru.</w:t>
            </w:r>
          </w:p>
          <w:p w:rsidR="00573664" w:rsidRPr="00347817" w:rsidRDefault="00573664" w:rsidP="00166387">
            <w:pPr>
              <w:spacing w:before="100" w:beforeAutospacing="1" w:after="100" w:afterAutospacing="1" w:line="293" w:lineRule="atLeast"/>
            </w:pPr>
            <w:r w:rsidRPr="00347817">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5376B6">
            <w:pPr>
              <w:jc w:val="both"/>
            </w:pPr>
            <w:r w:rsidRPr="00347817">
              <w:t>Noteikumu projekts neparedz</w:t>
            </w:r>
            <w:r w:rsidR="006E509B" w:rsidRPr="00347817">
              <w:t xml:space="preserve"> </w:t>
            </w:r>
            <w:r w:rsidR="00F42FF4">
              <w:t>izmaiņas aģentūras institucionālajā struktūrā</w:t>
            </w:r>
            <w:r w:rsidRPr="00347817">
              <w:t>, kā arī neietekmē pieejamos cilvēkresursus.</w:t>
            </w:r>
            <w:r w:rsidR="00F42FF4">
              <w:t xml:space="preserve"> Aģentūra īstenos Regulas Nr.2016/589 </w:t>
            </w:r>
            <w:r w:rsidR="005376B6">
              <w:t xml:space="preserve">prasības </w:t>
            </w:r>
            <w:r w:rsidR="00805D14" w:rsidRPr="00347817">
              <w:t>esošo funkciju ietvaros.</w:t>
            </w:r>
            <w:r w:rsidR="0066298B" w:rsidRPr="00347817">
              <w:t xml:space="preserve"> </w:t>
            </w:r>
          </w:p>
        </w:tc>
      </w:tr>
      <w:tr w:rsidR="00573664" w:rsidRPr="00347817" w:rsidTr="00166387">
        <w:trPr>
          <w:trHeight w:val="443"/>
          <w:jc w:val="center"/>
        </w:trPr>
        <w:tc>
          <w:tcPr>
            <w:tcW w:w="249"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3.</w:t>
            </w:r>
          </w:p>
        </w:tc>
        <w:tc>
          <w:tcPr>
            <w:tcW w:w="190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573664" w:rsidRPr="00347817" w:rsidRDefault="00573664" w:rsidP="00166387">
            <w:r w:rsidRPr="00347817">
              <w:t>Nav</w:t>
            </w:r>
          </w:p>
        </w:tc>
      </w:tr>
    </w:tbl>
    <w:p w:rsidR="00597657" w:rsidRPr="00347817" w:rsidRDefault="00597657" w:rsidP="00573664">
      <w:pPr>
        <w:jc w:val="center"/>
        <w:rPr>
          <w:i/>
        </w:rPr>
      </w:pPr>
    </w:p>
    <w:p w:rsidR="00597657" w:rsidRPr="00347817" w:rsidRDefault="00597657" w:rsidP="00573664">
      <w:pPr>
        <w:jc w:val="center"/>
        <w:rPr>
          <w:i/>
        </w:rPr>
      </w:pPr>
    </w:p>
    <w:p w:rsidR="00597657" w:rsidRPr="00347817" w:rsidRDefault="00597657" w:rsidP="005376B6">
      <w:pPr>
        <w:rPr>
          <w:i/>
        </w:rPr>
      </w:pPr>
    </w:p>
    <w:p w:rsidR="00597657" w:rsidRPr="00347817" w:rsidRDefault="00597657" w:rsidP="00573664">
      <w:pPr>
        <w:jc w:val="center"/>
        <w:rPr>
          <w:i/>
        </w:rPr>
      </w:pPr>
    </w:p>
    <w:p w:rsidR="00B63F04" w:rsidRDefault="00573664" w:rsidP="00B63F04">
      <w:pPr>
        <w:ind w:firstLine="720"/>
      </w:pPr>
      <w:r w:rsidRPr="00347817">
        <w:t>Labklājības ministrs</w:t>
      </w:r>
      <w:r w:rsidRPr="00347817">
        <w:tab/>
      </w:r>
      <w:r w:rsidRPr="00347817">
        <w:tab/>
      </w:r>
      <w:r w:rsidRPr="00347817">
        <w:tab/>
      </w:r>
      <w:r w:rsidRPr="00347817">
        <w:tab/>
      </w:r>
      <w:r w:rsidRPr="00347817">
        <w:tab/>
      </w:r>
      <w:r w:rsidRPr="00347817">
        <w:tab/>
      </w:r>
      <w:r w:rsidR="0099128E" w:rsidRPr="00347817">
        <w:tab/>
      </w:r>
      <w:r w:rsidR="0099128E" w:rsidRPr="00347817">
        <w:tab/>
      </w:r>
      <w:r w:rsidRPr="00347817">
        <w:t>J.Reirs</w:t>
      </w:r>
      <w:r w:rsidR="007551B1">
        <w:tab/>
      </w:r>
      <w:r w:rsidR="007551B1">
        <w:tab/>
        <w:t xml:space="preserve"> </w:t>
      </w:r>
    </w:p>
    <w:p w:rsidR="00B63F04" w:rsidRPr="00B63F04" w:rsidRDefault="00B63F04" w:rsidP="00B63F04">
      <w:pPr>
        <w:ind w:firstLine="720"/>
        <w:rPr>
          <w:lang w:eastAsia="ar-SA"/>
        </w:rPr>
      </w:pPr>
    </w:p>
    <w:p w:rsidR="00B63F04" w:rsidRDefault="00B63F04" w:rsidP="00B63F04">
      <w:pPr>
        <w:suppressAutoHyphens/>
        <w:textAlignment w:val="baseline"/>
        <w:rPr>
          <w:sz w:val="20"/>
          <w:szCs w:val="20"/>
          <w:lang w:eastAsia="ar-SA"/>
        </w:rPr>
      </w:pPr>
    </w:p>
    <w:p w:rsidR="00B63F04" w:rsidRDefault="00B63F04" w:rsidP="00B63F04">
      <w:pPr>
        <w:tabs>
          <w:tab w:val="center" w:pos="4535"/>
        </w:tabs>
        <w:suppressAutoHyphens/>
        <w:rPr>
          <w:lang w:eastAsia="ar-SA"/>
        </w:rPr>
      </w:pPr>
      <w:r>
        <w:rPr>
          <w:lang w:eastAsia="ar-SA"/>
        </w:rPr>
        <w:t xml:space="preserve">           Valsts sekretārs</w:t>
      </w:r>
      <w:r>
        <w:rPr>
          <w:lang w:eastAsia="ar-SA"/>
        </w:rPr>
        <w:tab/>
      </w:r>
      <w:r>
        <w:rPr>
          <w:lang w:eastAsia="ar-SA"/>
        </w:rPr>
        <w:tab/>
      </w:r>
      <w:r>
        <w:rPr>
          <w:lang w:eastAsia="ar-SA"/>
        </w:rPr>
        <w:tab/>
      </w:r>
      <w:r>
        <w:rPr>
          <w:lang w:eastAsia="ar-SA"/>
        </w:rPr>
        <w:tab/>
      </w:r>
      <w:r>
        <w:rPr>
          <w:lang w:eastAsia="ar-SA"/>
        </w:rPr>
        <w:tab/>
      </w:r>
      <w:r>
        <w:rPr>
          <w:lang w:eastAsia="ar-SA"/>
        </w:rPr>
        <w:tab/>
        <w:t>I.Alliks</w:t>
      </w: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B63F04" w:rsidRDefault="00B63F04" w:rsidP="00B63F04">
      <w:pPr>
        <w:suppressAutoHyphens/>
        <w:textAlignment w:val="baseline"/>
        <w:rPr>
          <w:sz w:val="20"/>
          <w:szCs w:val="20"/>
          <w:lang w:eastAsia="ar-SA"/>
        </w:rPr>
      </w:pPr>
    </w:p>
    <w:p w:rsidR="000C29B0" w:rsidRPr="00B63F04" w:rsidRDefault="00104A5C" w:rsidP="00B63F04">
      <w:pPr>
        <w:suppressAutoHyphens/>
        <w:textAlignment w:val="baseline"/>
        <w:rPr>
          <w:rFonts w:eastAsia="Arial"/>
          <w:kern w:val="1"/>
          <w:sz w:val="20"/>
          <w:szCs w:val="20"/>
          <w:lang w:eastAsia="ar-SA"/>
        </w:rPr>
      </w:pPr>
      <w:bookmarkStart w:id="0" w:name="_GoBack"/>
      <w:r>
        <w:rPr>
          <w:rFonts w:eastAsia="Arial"/>
          <w:kern w:val="1"/>
          <w:sz w:val="20"/>
          <w:szCs w:val="20"/>
          <w:lang w:eastAsia="ar-SA"/>
        </w:rPr>
        <w:t>Iļijina</w:t>
      </w:r>
      <w:r w:rsidR="00B63F04">
        <w:rPr>
          <w:rFonts w:eastAsia="Arial"/>
          <w:kern w:val="1"/>
          <w:sz w:val="20"/>
          <w:szCs w:val="20"/>
          <w:lang w:eastAsia="ar-SA"/>
        </w:rPr>
        <w:t>,</w:t>
      </w:r>
      <w:r w:rsidR="002949C4" w:rsidRPr="002B5724">
        <w:rPr>
          <w:rFonts w:eastAsia="Arial"/>
          <w:kern w:val="1"/>
          <w:sz w:val="20"/>
          <w:szCs w:val="20"/>
          <w:lang w:eastAsia="ar-SA"/>
        </w:rPr>
        <w:t> </w:t>
      </w:r>
      <w:r>
        <w:rPr>
          <w:rFonts w:eastAsia="Arial"/>
          <w:kern w:val="1"/>
          <w:sz w:val="20"/>
          <w:szCs w:val="20"/>
          <w:lang w:eastAsia="ar-SA"/>
        </w:rPr>
        <w:t>67021616</w:t>
      </w:r>
      <w:r w:rsidR="00573664" w:rsidRPr="002B5724">
        <w:rPr>
          <w:sz w:val="20"/>
          <w:szCs w:val="20"/>
          <w:lang w:eastAsia="ar-SA"/>
        </w:rPr>
        <w:t xml:space="preserve"> </w:t>
      </w:r>
      <w:r w:rsidR="00B63F04">
        <w:rPr>
          <w:sz w:val="20"/>
          <w:szCs w:val="20"/>
          <w:lang w:eastAsia="ar-SA"/>
        </w:rPr>
        <w:br/>
      </w:r>
      <w:hyperlink r:id="rId10" w:history="1">
        <w:r w:rsidRPr="00A81EC2">
          <w:rPr>
            <w:rStyle w:val="Hyperlink"/>
            <w:sz w:val="20"/>
            <w:szCs w:val="20"/>
          </w:rPr>
          <w:t>Olga.Iljina</w:t>
        </w:r>
        <w:r w:rsidRPr="00A81EC2">
          <w:rPr>
            <w:rStyle w:val="Hyperlink"/>
            <w:sz w:val="20"/>
            <w:szCs w:val="20"/>
            <w:lang w:eastAsia="ar-SA"/>
          </w:rPr>
          <w:t>@lm.gov.lv</w:t>
        </w:r>
      </w:hyperlink>
      <w:proofErr w:type="gramStart"/>
      <w:r w:rsidR="00573664" w:rsidRPr="002B5724">
        <w:rPr>
          <w:sz w:val="20"/>
          <w:szCs w:val="20"/>
          <w:u w:val="single"/>
          <w:lang w:eastAsia="ar-SA"/>
        </w:rPr>
        <w:t xml:space="preserve"> </w:t>
      </w:r>
      <w:r w:rsidR="00E62370" w:rsidRPr="00347817">
        <w:t xml:space="preserve"> </w:t>
      </w:r>
      <w:bookmarkEnd w:id="0"/>
      <w:proofErr w:type="gramEnd"/>
    </w:p>
    <w:sectPr w:rsidR="000C29B0" w:rsidRPr="00B63F04" w:rsidSect="00B63F04">
      <w:headerReference w:type="even" r:id="rId11"/>
      <w:headerReference w:type="default" r:id="rId12"/>
      <w:footerReference w:type="default" r:id="rId13"/>
      <w:footerReference w:type="first" r:id="rId14"/>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B6A" w:rsidRDefault="00331B6A">
      <w:r>
        <w:separator/>
      </w:r>
    </w:p>
  </w:endnote>
  <w:endnote w:type="continuationSeparator" w:id="0">
    <w:p w:rsidR="00331B6A" w:rsidRDefault="0033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EE" w:rsidRPr="00221945" w:rsidRDefault="00182FEE" w:rsidP="00221945">
    <w:pPr>
      <w:pStyle w:val="NormalWeb"/>
      <w:rPr>
        <w:sz w:val="20"/>
        <w:szCs w:val="20"/>
      </w:rPr>
    </w:pPr>
    <w:r w:rsidRPr="00DA7915">
      <w:rPr>
        <w:sz w:val="20"/>
        <w:szCs w:val="20"/>
      </w:rPr>
      <w:t>LMAnot_</w:t>
    </w:r>
    <w:r w:rsidR="007D2BF6">
      <w:rPr>
        <w:sz w:val="20"/>
        <w:szCs w:val="20"/>
      </w:rPr>
      <w:t>01</w:t>
    </w:r>
    <w:r w:rsidR="00DA7915" w:rsidRPr="00DA7915">
      <w:rPr>
        <w:sz w:val="20"/>
        <w:szCs w:val="20"/>
      </w:rPr>
      <w:t>0318</w:t>
    </w:r>
    <w:r w:rsidR="00DA7915">
      <w:rPr>
        <w:sz w:val="20"/>
        <w:szCs w:val="20"/>
      </w:rPr>
      <w:t>_</w:t>
    </w:r>
    <w:r w:rsidRPr="00221945">
      <w:rPr>
        <w:sz w:val="20"/>
        <w:szCs w:val="20"/>
      </w:rPr>
      <w:t>MK</w:t>
    </w:r>
    <w:r w:rsidR="00223755">
      <w:rPr>
        <w:sz w:val="20"/>
        <w:szCs w:val="20"/>
      </w:rPr>
      <w:t>_</w:t>
    </w:r>
    <w:r w:rsidRPr="00221945">
      <w:rPr>
        <w:sz w:val="20"/>
        <w:szCs w:val="20"/>
      </w:rPr>
      <w:t>458; Grozījumi Ministru kabineta 2007.gada 3.jūlija noteikumos Nr.458 „Komersantu – darbiekārtošanas pakalpojumu sniedzēju – licencēšanas un uzraudzības kārtība”</w:t>
    </w:r>
  </w:p>
  <w:p w:rsidR="00182FEE" w:rsidRPr="00C0201F" w:rsidRDefault="00182FEE" w:rsidP="00F2273E">
    <w:pPr>
      <w:pStyle w:val="NormalWeb"/>
      <w:spacing w:before="0" w:after="0"/>
      <w:jc w:val="both"/>
      <w:rPr>
        <w:sz w:val="20"/>
        <w:szCs w:val="20"/>
      </w:rPr>
    </w:pPr>
  </w:p>
  <w:p w:rsidR="00182FEE" w:rsidRPr="00F2273E" w:rsidRDefault="00182FEE" w:rsidP="00B8295E">
    <w:pPr>
      <w:pStyle w:val="Footer"/>
      <w:tabs>
        <w:tab w:val="clear" w:pos="4153"/>
        <w:tab w:val="clear" w:pos="8306"/>
        <w:tab w:val="left" w:pos="263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EE" w:rsidRPr="00573664" w:rsidRDefault="00182FEE" w:rsidP="00573664">
    <w:pPr>
      <w:jc w:val="both"/>
      <w:rPr>
        <w:sz w:val="20"/>
        <w:szCs w:val="20"/>
      </w:rPr>
    </w:pPr>
    <w:r w:rsidRPr="00573664">
      <w:rPr>
        <w:sz w:val="20"/>
        <w:szCs w:val="20"/>
      </w:rPr>
      <w:t>LMAnot_</w:t>
    </w:r>
    <w:r w:rsidR="007D2BF6">
      <w:rPr>
        <w:sz w:val="20"/>
        <w:szCs w:val="20"/>
      </w:rPr>
      <w:t>01</w:t>
    </w:r>
    <w:r w:rsidRPr="00573664">
      <w:rPr>
        <w:sz w:val="20"/>
        <w:szCs w:val="20"/>
      </w:rPr>
      <w:t>0</w:t>
    </w:r>
    <w:r w:rsidR="00DA7915">
      <w:rPr>
        <w:sz w:val="20"/>
        <w:szCs w:val="20"/>
      </w:rPr>
      <w:t>318</w:t>
    </w:r>
    <w:r w:rsidRPr="00573664">
      <w:rPr>
        <w:sz w:val="20"/>
        <w:szCs w:val="20"/>
      </w:rPr>
      <w:t>_</w:t>
    </w:r>
    <w:r>
      <w:rPr>
        <w:sz w:val="20"/>
        <w:szCs w:val="20"/>
      </w:rPr>
      <w:t>MK</w:t>
    </w:r>
    <w:r w:rsidR="00223755">
      <w:rPr>
        <w:sz w:val="20"/>
        <w:szCs w:val="20"/>
      </w:rPr>
      <w:t>_</w:t>
    </w:r>
    <w:r>
      <w:rPr>
        <w:sz w:val="20"/>
        <w:szCs w:val="20"/>
      </w:rPr>
      <w:t>458; Grozījumi Ministru kabineta 2007.gada 3.jūlija noteikumos Nr.458 „Komersantu – darbiekārtošanas pakalpojumu sniedzēju – licencēšanas un uzraudzības kārtība”</w:t>
    </w:r>
  </w:p>
  <w:p w:rsidR="00182FEE" w:rsidRPr="00C0201F" w:rsidRDefault="00182FEE" w:rsidP="00F2273E">
    <w:pPr>
      <w:pStyle w:val="NormalWeb"/>
      <w:spacing w:before="0" w:after="0"/>
      <w:jc w:val="both"/>
      <w:rPr>
        <w:sz w:val="20"/>
        <w:szCs w:val="20"/>
      </w:rPr>
    </w:pPr>
  </w:p>
  <w:p w:rsidR="00182FEE" w:rsidRPr="00F2273E" w:rsidRDefault="00182FEE" w:rsidP="00F22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B6A" w:rsidRDefault="00331B6A">
      <w:r>
        <w:separator/>
      </w:r>
    </w:p>
  </w:footnote>
  <w:footnote w:type="continuationSeparator" w:id="0">
    <w:p w:rsidR="00331B6A" w:rsidRDefault="00331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EE" w:rsidRDefault="00182FEE"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2FEE" w:rsidRDefault="00182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EE" w:rsidRDefault="00182FEE"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4F25">
      <w:rPr>
        <w:rStyle w:val="PageNumber"/>
        <w:noProof/>
      </w:rPr>
      <w:t>10</w:t>
    </w:r>
    <w:r>
      <w:rPr>
        <w:rStyle w:val="PageNumber"/>
      </w:rPr>
      <w:fldChar w:fldCharType="end"/>
    </w:r>
  </w:p>
  <w:p w:rsidR="00182FEE" w:rsidRDefault="00182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FEC"/>
    <w:multiLevelType w:val="hybridMultilevel"/>
    <w:tmpl w:val="8EC6D078"/>
    <w:lvl w:ilvl="0" w:tplc="C3BE020A">
      <w:start w:val="1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2EB1C67"/>
    <w:multiLevelType w:val="hybridMultilevel"/>
    <w:tmpl w:val="5D1EBCE8"/>
    <w:lvl w:ilvl="0" w:tplc="E86AAB8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D7C010F"/>
    <w:multiLevelType w:val="hybridMultilevel"/>
    <w:tmpl w:val="72A808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7">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BD714D4"/>
    <w:multiLevelType w:val="hybridMultilevel"/>
    <w:tmpl w:val="8230EF16"/>
    <w:lvl w:ilvl="0" w:tplc="C0724C36">
      <w:start w:val="1"/>
      <w:numFmt w:val="decimal"/>
      <w:lvlText w:val="%1)"/>
      <w:lvlJc w:val="left"/>
      <w:pPr>
        <w:ind w:left="750" w:hanging="39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6022677"/>
    <w:multiLevelType w:val="hybridMultilevel"/>
    <w:tmpl w:val="6FD809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E784DE0"/>
    <w:multiLevelType w:val="hybridMultilevel"/>
    <w:tmpl w:val="417817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324043A"/>
    <w:multiLevelType w:val="multilevel"/>
    <w:tmpl w:val="0F94FB3E"/>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6">
    <w:nsid w:val="47D56F4F"/>
    <w:multiLevelType w:val="hybridMultilevel"/>
    <w:tmpl w:val="160AFEF0"/>
    <w:lvl w:ilvl="0" w:tplc="2B12BF22">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B845E02"/>
    <w:multiLevelType w:val="hybridMultilevel"/>
    <w:tmpl w:val="94062A4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C1B75C4"/>
    <w:multiLevelType w:val="hybridMultilevel"/>
    <w:tmpl w:val="EEA01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0">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DA37AA1"/>
    <w:multiLevelType w:val="hybridMultilevel"/>
    <w:tmpl w:val="9E00CC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3">
    <w:nsid w:val="702D3FA9"/>
    <w:multiLevelType w:val="hybridMultilevel"/>
    <w:tmpl w:val="DE9470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25">
    <w:nsid w:val="740B1D3B"/>
    <w:multiLevelType w:val="hybridMultilevel"/>
    <w:tmpl w:val="D9B6B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7C273054"/>
    <w:multiLevelType w:val="hybridMultilevel"/>
    <w:tmpl w:val="8862B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4"/>
  </w:num>
  <w:num w:numId="4">
    <w:abstractNumId w:val="15"/>
  </w:num>
  <w:num w:numId="5">
    <w:abstractNumId w:val="11"/>
  </w:num>
  <w:num w:numId="6">
    <w:abstractNumId w:val="5"/>
  </w:num>
  <w:num w:numId="7">
    <w:abstractNumId w:val="20"/>
  </w:num>
  <w:num w:numId="8">
    <w:abstractNumId w:val="6"/>
  </w:num>
  <w:num w:numId="9">
    <w:abstractNumId w:val="28"/>
  </w:num>
  <w:num w:numId="10">
    <w:abstractNumId w:val="19"/>
  </w:num>
  <w:num w:numId="11">
    <w:abstractNumId w:val="26"/>
  </w:num>
  <w:num w:numId="12">
    <w:abstractNumId w:val="4"/>
  </w:num>
  <w:num w:numId="13">
    <w:abstractNumId w:val="8"/>
  </w:num>
  <w:num w:numId="14">
    <w:abstractNumId w:val="7"/>
  </w:num>
  <w:num w:numId="15">
    <w:abstractNumId w:val="2"/>
  </w:num>
  <w:num w:numId="16">
    <w:abstractNumId w:val="0"/>
  </w:num>
  <w:num w:numId="17">
    <w:abstractNumId w:val="21"/>
  </w:num>
  <w:num w:numId="18">
    <w:abstractNumId w:val="17"/>
  </w:num>
  <w:num w:numId="19">
    <w:abstractNumId w:val="12"/>
  </w:num>
  <w:num w:numId="20">
    <w:abstractNumId w:val="23"/>
  </w:num>
  <w:num w:numId="21">
    <w:abstractNumId w:val="3"/>
  </w:num>
  <w:num w:numId="22">
    <w:abstractNumId w:val="25"/>
  </w:num>
  <w:num w:numId="23">
    <w:abstractNumId w:val="13"/>
  </w:num>
  <w:num w:numId="24">
    <w:abstractNumId w:val="10"/>
  </w:num>
  <w:num w:numId="25">
    <w:abstractNumId w:val="1"/>
  </w:num>
  <w:num w:numId="26">
    <w:abstractNumId w:val="27"/>
  </w:num>
  <w:num w:numId="27">
    <w:abstractNumId w:val="22"/>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03CB"/>
    <w:rsid w:val="0000091C"/>
    <w:rsid w:val="000010EF"/>
    <w:rsid w:val="00002258"/>
    <w:rsid w:val="00002A9C"/>
    <w:rsid w:val="000049FD"/>
    <w:rsid w:val="00004BE3"/>
    <w:rsid w:val="00004F5E"/>
    <w:rsid w:val="0000501A"/>
    <w:rsid w:val="00007D37"/>
    <w:rsid w:val="0001045B"/>
    <w:rsid w:val="00010C24"/>
    <w:rsid w:val="0001203B"/>
    <w:rsid w:val="000122DC"/>
    <w:rsid w:val="00012BCF"/>
    <w:rsid w:val="00014889"/>
    <w:rsid w:val="000162FD"/>
    <w:rsid w:val="00017E5D"/>
    <w:rsid w:val="00020B4F"/>
    <w:rsid w:val="000232EB"/>
    <w:rsid w:val="000251D9"/>
    <w:rsid w:val="000260C1"/>
    <w:rsid w:val="00027414"/>
    <w:rsid w:val="0003124C"/>
    <w:rsid w:val="00032FCA"/>
    <w:rsid w:val="000344C0"/>
    <w:rsid w:val="00034970"/>
    <w:rsid w:val="00035388"/>
    <w:rsid w:val="00036245"/>
    <w:rsid w:val="00036804"/>
    <w:rsid w:val="00037BB3"/>
    <w:rsid w:val="00042A52"/>
    <w:rsid w:val="00043389"/>
    <w:rsid w:val="000450B6"/>
    <w:rsid w:val="000463FF"/>
    <w:rsid w:val="00046760"/>
    <w:rsid w:val="000476FC"/>
    <w:rsid w:val="00047C29"/>
    <w:rsid w:val="000509A8"/>
    <w:rsid w:val="00056345"/>
    <w:rsid w:val="00057176"/>
    <w:rsid w:val="0006002A"/>
    <w:rsid w:val="0006076A"/>
    <w:rsid w:val="00060968"/>
    <w:rsid w:val="00061004"/>
    <w:rsid w:val="00065FDF"/>
    <w:rsid w:val="00067067"/>
    <w:rsid w:val="0007050B"/>
    <w:rsid w:val="0007081C"/>
    <w:rsid w:val="000713E1"/>
    <w:rsid w:val="000736E1"/>
    <w:rsid w:val="000744A0"/>
    <w:rsid w:val="00076D11"/>
    <w:rsid w:val="00077C76"/>
    <w:rsid w:val="00080296"/>
    <w:rsid w:val="00081E5D"/>
    <w:rsid w:val="000822A1"/>
    <w:rsid w:val="000829C1"/>
    <w:rsid w:val="0008362C"/>
    <w:rsid w:val="00084CB0"/>
    <w:rsid w:val="0008524A"/>
    <w:rsid w:val="000902BF"/>
    <w:rsid w:val="00093744"/>
    <w:rsid w:val="0009450F"/>
    <w:rsid w:val="00095D94"/>
    <w:rsid w:val="0009784B"/>
    <w:rsid w:val="00097E83"/>
    <w:rsid w:val="000A1D01"/>
    <w:rsid w:val="000A35D2"/>
    <w:rsid w:val="000A4764"/>
    <w:rsid w:val="000A5509"/>
    <w:rsid w:val="000A62BE"/>
    <w:rsid w:val="000A6BC9"/>
    <w:rsid w:val="000A7827"/>
    <w:rsid w:val="000B130B"/>
    <w:rsid w:val="000B4C49"/>
    <w:rsid w:val="000B67FC"/>
    <w:rsid w:val="000B6A7F"/>
    <w:rsid w:val="000B78EC"/>
    <w:rsid w:val="000C1D63"/>
    <w:rsid w:val="000C219F"/>
    <w:rsid w:val="000C23D3"/>
    <w:rsid w:val="000C29B0"/>
    <w:rsid w:val="000C37C0"/>
    <w:rsid w:val="000C4D05"/>
    <w:rsid w:val="000D0DA0"/>
    <w:rsid w:val="000D0EC0"/>
    <w:rsid w:val="000D1449"/>
    <w:rsid w:val="000D2ABE"/>
    <w:rsid w:val="000D740B"/>
    <w:rsid w:val="000D7C1A"/>
    <w:rsid w:val="000D7FB6"/>
    <w:rsid w:val="000E0C7D"/>
    <w:rsid w:val="000E1D5C"/>
    <w:rsid w:val="000E1F9F"/>
    <w:rsid w:val="000E384F"/>
    <w:rsid w:val="000E421B"/>
    <w:rsid w:val="000E678C"/>
    <w:rsid w:val="000F2C0D"/>
    <w:rsid w:val="000F305C"/>
    <w:rsid w:val="000F3932"/>
    <w:rsid w:val="000F3B58"/>
    <w:rsid w:val="000F40BD"/>
    <w:rsid w:val="000F5F6B"/>
    <w:rsid w:val="000F6E91"/>
    <w:rsid w:val="000F7C90"/>
    <w:rsid w:val="00102682"/>
    <w:rsid w:val="00104A39"/>
    <w:rsid w:val="00104A5C"/>
    <w:rsid w:val="00105CBE"/>
    <w:rsid w:val="0010720E"/>
    <w:rsid w:val="00111137"/>
    <w:rsid w:val="00111F3D"/>
    <w:rsid w:val="001121F2"/>
    <w:rsid w:val="00112E92"/>
    <w:rsid w:val="001141FC"/>
    <w:rsid w:val="001149F8"/>
    <w:rsid w:val="00115437"/>
    <w:rsid w:val="00116098"/>
    <w:rsid w:val="00121477"/>
    <w:rsid w:val="0012151E"/>
    <w:rsid w:val="00121A7F"/>
    <w:rsid w:val="00122460"/>
    <w:rsid w:val="00122F3D"/>
    <w:rsid w:val="00124853"/>
    <w:rsid w:val="00125B86"/>
    <w:rsid w:val="00126924"/>
    <w:rsid w:val="00126C64"/>
    <w:rsid w:val="001272CE"/>
    <w:rsid w:val="0012780E"/>
    <w:rsid w:val="00130C31"/>
    <w:rsid w:val="0013127F"/>
    <w:rsid w:val="00131478"/>
    <w:rsid w:val="0013206C"/>
    <w:rsid w:val="00133BF5"/>
    <w:rsid w:val="00134B34"/>
    <w:rsid w:val="001350F4"/>
    <w:rsid w:val="00137CE3"/>
    <w:rsid w:val="001401BD"/>
    <w:rsid w:val="00141746"/>
    <w:rsid w:val="00142C33"/>
    <w:rsid w:val="00143584"/>
    <w:rsid w:val="001435A8"/>
    <w:rsid w:val="001443DF"/>
    <w:rsid w:val="00144C2C"/>
    <w:rsid w:val="001459B9"/>
    <w:rsid w:val="00147461"/>
    <w:rsid w:val="00147E93"/>
    <w:rsid w:val="00152425"/>
    <w:rsid w:val="00152E95"/>
    <w:rsid w:val="00153E80"/>
    <w:rsid w:val="00160A29"/>
    <w:rsid w:val="001631BE"/>
    <w:rsid w:val="00164046"/>
    <w:rsid w:val="00166387"/>
    <w:rsid w:val="0016640D"/>
    <w:rsid w:val="00167021"/>
    <w:rsid w:val="00167401"/>
    <w:rsid w:val="00170E63"/>
    <w:rsid w:val="00174A87"/>
    <w:rsid w:val="00174E56"/>
    <w:rsid w:val="0018200B"/>
    <w:rsid w:val="00182DCE"/>
    <w:rsid w:val="00182FEE"/>
    <w:rsid w:val="001835DA"/>
    <w:rsid w:val="00184B14"/>
    <w:rsid w:val="00185E65"/>
    <w:rsid w:val="001869A8"/>
    <w:rsid w:val="00191899"/>
    <w:rsid w:val="00191E0E"/>
    <w:rsid w:val="00192A57"/>
    <w:rsid w:val="0019304E"/>
    <w:rsid w:val="00194614"/>
    <w:rsid w:val="00196EF2"/>
    <w:rsid w:val="001A354E"/>
    <w:rsid w:val="001A360B"/>
    <w:rsid w:val="001A51E6"/>
    <w:rsid w:val="001A6769"/>
    <w:rsid w:val="001A77C0"/>
    <w:rsid w:val="001B1E0A"/>
    <w:rsid w:val="001B2708"/>
    <w:rsid w:val="001B7328"/>
    <w:rsid w:val="001B7681"/>
    <w:rsid w:val="001C0089"/>
    <w:rsid w:val="001C0D90"/>
    <w:rsid w:val="001C509E"/>
    <w:rsid w:val="001C5B5B"/>
    <w:rsid w:val="001C5EA0"/>
    <w:rsid w:val="001C6005"/>
    <w:rsid w:val="001C67A6"/>
    <w:rsid w:val="001D0050"/>
    <w:rsid w:val="001D0AEA"/>
    <w:rsid w:val="001D1950"/>
    <w:rsid w:val="001D1C3C"/>
    <w:rsid w:val="001D247E"/>
    <w:rsid w:val="001D3BDF"/>
    <w:rsid w:val="001D42CD"/>
    <w:rsid w:val="001D76B1"/>
    <w:rsid w:val="001D7806"/>
    <w:rsid w:val="001D7AD1"/>
    <w:rsid w:val="001E1307"/>
    <w:rsid w:val="001E184A"/>
    <w:rsid w:val="001E19A9"/>
    <w:rsid w:val="001E5C57"/>
    <w:rsid w:val="001F2274"/>
    <w:rsid w:val="001F3077"/>
    <w:rsid w:val="001F40FF"/>
    <w:rsid w:val="001F58C9"/>
    <w:rsid w:val="001F5D7D"/>
    <w:rsid w:val="0020012B"/>
    <w:rsid w:val="00200557"/>
    <w:rsid w:val="002007E5"/>
    <w:rsid w:val="00201973"/>
    <w:rsid w:val="0020318D"/>
    <w:rsid w:val="0020569A"/>
    <w:rsid w:val="00205A93"/>
    <w:rsid w:val="00206FB6"/>
    <w:rsid w:val="002118A6"/>
    <w:rsid w:val="002142DC"/>
    <w:rsid w:val="002157A8"/>
    <w:rsid w:val="00215A6B"/>
    <w:rsid w:val="00216591"/>
    <w:rsid w:val="00216FDD"/>
    <w:rsid w:val="002175D9"/>
    <w:rsid w:val="0021789A"/>
    <w:rsid w:val="00221238"/>
    <w:rsid w:val="00221945"/>
    <w:rsid w:val="00223755"/>
    <w:rsid w:val="00224061"/>
    <w:rsid w:val="002242CB"/>
    <w:rsid w:val="0022698A"/>
    <w:rsid w:val="00226F75"/>
    <w:rsid w:val="00230730"/>
    <w:rsid w:val="0023166A"/>
    <w:rsid w:val="00231A99"/>
    <w:rsid w:val="0023232C"/>
    <w:rsid w:val="00232ACF"/>
    <w:rsid w:val="00232C33"/>
    <w:rsid w:val="00232C58"/>
    <w:rsid w:val="00233C3E"/>
    <w:rsid w:val="0023478C"/>
    <w:rsid w:val="00234C48"/>
    <w:rsid w:val="00235192"/>
    <w:rsid w:val="002354DF"/>
    <w:rsid w:val="00237649"/>
    <w:rsid w:val="00241C4F"/>
    <w:rsid w:val="00242D7D"/>
    <w:rsid w:val="002432E7"/>
    <w:rsid w:val="00245AE7"/>
    <w:rsid w:val="002500CB"/>
    <w:rsid w:val="00250408"/>
    <w:rsid w:val="00252213"/>
    <w:rsid w:val="00257250"/>
    <w:rsid w:val="00257DD4"/>
    <w:rsid w:val="002607A6"/>
    <w:rsid w:val="00261071"/>
    <w:rsid w:val="00261F5F"/>
    <w:rsid w:val="00262153"/>
    <w:rsid w:val="00262EBA"/>
    <w:rsid w:val="002640D9"/>
    <w:rsid w:val="002654CD"/>
    <w:rsid w:val="002662E3"/>
    <w:rsid w:val="002700EF"/>
    <w:rsid w:val="00270E4A"/>
    <w:rsid w:val="00271F7F"/>
    <w:rsid w:val="00273904"/>
    <w:rsid w:val="00273F99"/>
    <w:rsid w:val="002747BA"/>
    <w:rsid w:val="00275E90"/>
    <w:rsid w:val="00276E78"/>
    <w:rsid w:val="002774C8"/>
    <w:rsid w:val="00277E18"/>
    <w:rsid w:val="0028162B"/>
    <w:rsid w:val="00284191"/>
    <w:rsid w:val="00284950"/>
    <w:rsid w:val="00290E44"/>
    <w:rsid w:val="00291E19"/>
    <w:rsid w:val="00294074"/>
    <w:rsid w:val="002949C4"/>
    <w:rsid w:val="00294E7C"/>
    <w:rsid w:val="00294E82"/>
    <w:rsid w:val="00296A90"/>
    <w:rsid w:val="00296D17"/>
    <w:rsid w:val="002A1B5B"/>
    <w:rsid w:val="002A2493"/>
    <w:rsid w:val="002A2700"/>
    <w:rsid w:val="002A496A"/>
    <w:rsid w:val="002B264A"/>
    <w:rsid w:val="002B4ECF"/>
    <w:rsid w:val="002B4FB0"/>
    <w:rsid w:val="002B5724"/>
    <w:rsid w:val="002B6A76"/>
    <w:rsid w:val="002B6ABC"/>
    <w:rsid w:val="002C1196"/>
    <w:rsid w:val="002C1CF7"/>
    <w:rsid w:val="002C234A"/>
    <w:rsid w:val="002C4659"/>
    <w:rsid w:val="002C61BB"/>
    <w:rsid w:val="002C6249"/>
    <w:rsid w:val="002C6ABF"/>
    <w:rsid w:val="002C7334"/>
    <w:rsid w:val="002C7C67"/>
    <w:rsid w:val="002D175B"/>
    <w:rsid w:val="002D35DB"/>
    <w:rsid w:val="002D37AB"/>
    <w:rsid w:val="002D529C"/>
    <w:rsid w:val="002D5363"/>
    <w:rsid w:val="002D5586"/>
    <w:rsid w:val="002E11C5"/>
    <w:rsid w:val="002E224D"/>
    <w:rsid w:val="002E36F6"/>
    <w:rsid w:val="002E3B40"/>
    <w:rsid w:val="002E5400"/>
    <w:rsid w:val="002E721A"/>
    <w:rsid w:val="002F062E"/>
    <w:rsid w:val="002F2FD3"/>
    <w:rsid w:val="002F42A2"/>
    <w:rsid w:val="002F6608"/>
    <w:rsid w:val="00302138"/>
    <w:rsid w:val="003023A0"/>
    <w:rsid w:val="003027C8"/>
    <w:rsid w:val="00302CB3"/>
    <w:rsid w:val="00302EE6"/>
    <w:rsid w:val="003042AF"/>
    <w:rsid w:val="0030522F"/>
    <w:rsid w:val="003053F0"/>
    <w:rsid w:val="00307F36"/>
    <w:rsid w:val="003125A1"/>
    <w:rsid w:val="00315AAB"/>
    <w:rsid w:val="00316BC4"/>
    <w:rsid w:val="00317665"/>
    <w:rsid w:val="003218FB"/>
    <w:rsid w:val="003251E6"/>
    <w:rsid w:val="00325D0B"/>
    <w:rsid w:val="00327684"/>
    <w:rsid w:val="00330A50"/>
    <w:rsid w:val="00330B59"/>
    <w:rsid w:val="00330E6E"/>
    <w:rsid w:val="00331033"/>
    <w:rsid w:val="00331B6A"/>
    <w:rsid w:val="0033776D"/>
    <w:rsid w:val="00337E07"/>
    <w:rsid w:val="003408CE"/>
    <w:rsid w:val="0034135A"/>
    <w:rsid w:val="0034198F"/>
    <w:rsid w:val="003461FD"/>
    <w:rsid w:val="003463D3"/>
    <w:rsid w:val="00346A87"/>
    <w:rsid w:val="00347817"/>
    <w:rsid w:val="003539EE"/>
    <w:rsid w:val="00354249"/>
    <w:rsid w:val="00354D6D"/>
    <w:rsid w:val="00357C5A"/>
    <w:rsid w:val="003626E2"/>
    <w:rsid w:val="00363056"/>
    <w:rsid w:val="00363857"/>
    <w:rsid w:val="0036402F"/>
    <w:rsid w:val="00364388"/>
    <w:rsid w:val="00365C8E"/>
    <w:rsid w:val="00365F29"/>
    <w:rsid w:val="003668DA"/>
    <w:rsid w:val="003670FB"/>
    <w:rsid w:val="003675BC"/>
    <w:rsid w:val="003679AE"/>
    <w:rsid w:val="003727AD"/>
    <w:rsid w:val="00372BBA"/>
    <w:rsid w:val="00374C27"/>
    <w:rsid w:val="003764AA"/>
    <w:rsid w:val="003804C1"/>
    <w:rsid w:val="00380F5C"/>
    <w:rsid w:val="003819E0"/>
    <w:rsid w:val="003841FF"/>
    <w:rsid w:val="003853D0"/>
    <w:rsid w:val="0038568D"/>
    <w:rsid w:val="003857EF"/>
    <w:rsid w:val="00385E67"/>
    <w:rsid w:val="00385EC9"/>
    <w:rsid w:val="0038652B"/>
    <w:rsid w:val="00386C06"/>
    <w:rsid w:val="00386CC2"/>
    <w:rsid w:val="00387A3F"/>
    <w:rsid w:val="00391C74"/>
    <w:rsid w:val="00391E36"/>
    <w:rsid w:val="003948D6"/>
    <w:rsid w:val="00395AC1"/>
    <w:rsid w:val="003962C4"/>
    <w:rsid w:val="00397DA3"/>
    <w:rsid w:val="003A2F9D"/>
    <w:rsid w:val="003A3A3A"/>
    <w:rsid w:val="003A3EAA"/>
    <w:rsid w:val="003A6E33"/>
    <w:rsid w:val="003A774C"/>
    <w:rsid w:val="003A7CD2"/>
    <w:rsid w:val="003B212C"/>
    <w:rsid w:val="003B2EEC"/>
    <w:rsid w:val="003B306A"/>
    <w:rsid w:val="003B4106"/>
    <w:rsid w:val="003B4FBA"/>
    <w:rsid w:val="003B5452"/>
    <w:rsid w:val="003B59A0"/>
    <w:rsid w:val="003B5ADB"/>
    <w:rsid w:val="003B5D70"/>
    <w:rsid w:val="003B629D"/>
    <w:rsid w:val="003C0A6C"/>
    <w:rsid w:val="003C228E"/>
    <w:rsid w:val="003C36F4"/>
    <w:rsid w:val="003C378A"/>
    <w:rsid w:val="003C4869"/>
    <w:rsid w:val="003C650F"/>
    <w:rsid w:val="003C66CE"/>
    <w:rsid w:val="003C6948"/>
    <w:rsid w:val="003D0747"/>
    <w:rsid w:val="003D0A12"/>
    <w:rsid w:val="003D164C"/>
    <w:rsid w:val="003D2E74"/>
    <w:rsid w:val="003D5E86"/>
    <w:rsid w:val="003D6AB9"/>
    <w:rsid w:val="003E07C8"/>
    <w:rsid w:val="003E0BE8"/>
    <w:rsid w:val="003E1194"/>
    <w:rsid w:val="003E412C"/>
    <w:rsid w:val="003E5101"/>
    <w:rsid w:val="003E619B"/>
    <w:rsid w:val="003E6618"/>
    <w:rsid w:val="003E7D2C"/>
    <w:rsid w:val="003F2029"/>
    <w:rsid w:val="003F27FC"/>
    <w:rsid w:val="003F2D05"/>
    <w:rsid w:val="003F31D2"/>
    <w:rsid w:val="003F489F"/>
    <w:rsid w:val="003F4BB4"/>
    <w:rsid w:val="003F776C"/>
    <w:rsid w:val="003F7EB1"/>
    <w:rsid w:val="00400423"/>
    <w:rsid w:val="00402AD6"/>
    <w:rsid w:val="00403120"/>
    <w:rsid w:val="004041F2"/>
    <w:rsid w:val="00404BBC"/>
    <w:rsid w:val="00405F0D"/>
    <w:rsid w:val="0040663A"/>
    <w:rsid w:val="004111DD"/>
    <w:rsid w:val="0041151B"/>
    <w:rsid w:val="00412B60"/>
    <w:rsid w:val="00413919"/>
    <w:rsid w:val="0041662A"/>
    <w:rsid w:val="00420520"/>
    <w:rsid w:val="00420F19"/>
    <w:rsid w:val="00421529"/>
    <w:rsid w:val="00422841"/>
    <w:rsid w:val="00425AAF"/>
    <w:rsid w:val="00425DFD"/>
    <w:rsid w:val="004302F9"/>
    <w:rsid w:val="00433352"/>
    <w:rsid w:val="00433D39"/>
    <w:rsid w:val="004373E9"/>
    <w:rsid w:val="00440A1F"/>
    <w:rsid w:val="00441361"/>
    <w:rsid w:val="00443853"/>
    <w:rsid w:val="00443E52"/>
    <w:rsid w:val="0044593B"/>
    <w:rsid w:val="00447FA7"/>
    <w:rsid w:val="00451C1E"/>
    <w:rsid w:val="004551D6"/>
    <w:rsid w:val="0045648D"/>
    <w:rsid w:val="004570AE"/>
    <w:rsid w:val="00461B31"/>
    <w:rsid w:val="004638EB"/>
    <w:rsid w:val="004651D5"/>
    <w:rsid w:val="00466487"/>
    <w:rsid w:val="00466776"/>
    <w:rsid w:val="004669C0"/>
    <w:rsid w:val="00467E03"/>
    <w:rsid w:val="00467E20"/>
    <w:rsid w:val="00470359"/>
    <w:rsid w:val="00470BB7"/>
    <w:rsid w:val="004726DC"/>
    <w:rsid w:val="004735DC"/>
    <w:rsid w:val="0047415A"/>
    <w:rsid w:val="004755AD"/>
    <w:rsid w:val="00475E03"/>
    <w:rsid w:val="0048071D"/>
    <w:rsid w:val="004811B1"/>
    <w:rsid w:val="00481E40"/>
    <w:rsid w:val="00484F8D"/>
    <w:rsid w:val="004859E7"/>
    <w:rsid w:val="0048663C"/>
    <w:rsid w:val="00490A53"/>
    <w:rsid w:val="00490FE9"/>
    <w:rsid w:val="00491216"/>
    <w:rsid w:val="00491392"/>
    <w:rsid w:val="00492E35"/>
    <w:rsid w:val="00494652"/>
    <w:rsid w:val="00495132"/>
    <w:rsid w:val="00497784"/>
    <w:rsid w:val="004A0240"/>
    <w:rsid w:val="004A0C94"/>
    <w:rsid w:val="004A1651"/>
    <w:rsid w:val="004A30F5"/>
    <w:rsid w:val="004A4C7A"/>
    <w:rsid w:val="004A63F0"/>
    <w:rsid w:val="004B0C0C"/>
    <w:rsid w:val="004B1AE5"/>
    <w:rsid w:val="004B2C33"/>
    <w:rsid w:val="004B2F3F"/>
    <w:rsid w:val="004B4B1A"/>
    <w:rsid w:val="004B5901"/>
    <w:rsid w:val="004B6518"/>
    <w:rsid w:val="004B69BC"/>
    <w:rsid w:val="004C129A"/>
    <w:rsid w:val="004C289C"/>
    <w:rsid w:val="004C3B75"/>
    <w:rsid w:val="004C4FE3"/>
    <w:rsid w:val="004D1BBA"/>
    <w:rsid w:val="004D2D92"/>
    <w:rsid w:val="004D4815"/>
    <w:rsid w:val="004D5BC4"/>
    <w:rsid w:val="004D6A07"/>
    <w:rsid w:val="004D7C00"/>
    <w:rsid w:val="004E0FE8"/>
    <w:rsid w:val="004E118F"/>
    <w:rsid w:val="004E1C7C"/>
    <w:rsid w:val="004E24B8"/>
    <w:rsid w:val="004E3377"/>
    <w:rsid w:val="004E3D80"/>
    <w:rsid w:val="004E3EF8"/>
    <w:rsid w:val="004E404B"/>
    <w:rsid w:val="004E79C3"/>
    <w:rsid w:val="004F2843"/>
    <w:rsid w:val="004F3030"/>
    <w:rsid w:val="004F42E2"/>
    <w:rsid w:val="004F4524"/>
    <w:rsid w:val="004F4F50"/>
    <w:rsid w:val="00500860"/>
    <w:rsid w:val="00501D80"/>
    <w:rsid w:val="00502F62"/>
    <w:rsid w:val="00510F83"/>
    <w:rsid w:val="00511C62"/>
    <w:rsid w:val="0051235A"/>
    <w:rsid w:val="005131D9"/>
    <w:rsid w:val="005145C6"/>
    <w:rsid w:val="00514DA7"/>
    <w:rsid w:val="00516399"/>
    <w:rsid w:val="0052019A"/>
    <w:rsid w:val="0052064B"/>
    <w:rsid w:val="00521B95"/>
    <w:rsid w:val="00524303"/>
    <w:rsid w:val="00524443"/>
    <w:rsid w:val="005269A3"/>
    <w:rsid w:val="00526DD0"/>
    <w:rsid w:val="00530882"/>
    <w:rsid w:val="0053295A"/>
    <w:rsid w:val="0053299C"/>
    <w:rsid w:val="00537432"/>
    <w:rsid w:val="005376B6"/>
    <w:rsid w:val="005404D5"/>
    <w:rsid w:val="00542C64"/>
    <w:rsid w:val="005438FE"/>
    <w:rsid w:val="005439E6"/>
    <w:rsid w:val="00544231"/>
    <w:rsid w:val="00546425"/>
    <w:rsid w:val="0054664E"/>
    <w:rsid w:val="00551014"/>
    <w:rsid w:val="00551888"/>
    <w:rsid w:val="00552B24"/>
    <w:rsid w:val="0055440B"/>
    <w:rsid w:val="00555E7F"/>
    <w:rsid w:val="00555F29"/>
    <w:rsid w:val="00556139"/>
    <w:rsid w:val="005566C2"/>
    <w:rsid w:val="00557795"/>
    <w:rsid w:val="00562A7D"/>
    <w:rsid w:val="0056713F"/>
    <w:rsid w:val="0057031B"/>
    <w:rsid w:val="0057033A"/>
    <w:rsid w:val="0057037E"/>
    <w:rsid w:val="00572343"/>
    <w:rsid w:val="005727D7"/>
    <w:rsid w:val="00572E57"/>
    <w:rsid w:val="00572F13"/>
    <w:rsid w:val="00573664"/>
    <w:rsid w:val="00577FF5"/>
    <w:rsid w:val="005805BC"/>
    <w:rsid w:val="005816D7"/>
    <w:rsid w:val="00582B65"/>
    <w:rsid w:val="00585B84"/>
    <w:rsid w:val="00587020"/>
    <w:rsid w:val="005919CE"/>
    <w:rsid w:val="00592A5F"/>
    <w:rsid w:val="005944DF"/>
    <w:rsid w:val="00596450"/>
    <w:rsid w:val="00596AB6"/>
    <w:rsid w:val="00597657"/>
    <w:rsid w:val="0059781B"/>
    <w:rsid w:val="005A193A"/>
    <w:rsid w:val="005A2892"/>
    <w:rsid w:val="005A4C43"/>
    <w:rsid w:val="005A5741"/>
    <w:rsid w:val="005A7D98"/>
    <w:rsid w:val="005B2BB0"/>
    <w:rsid w:val="005B3D35"/>
    <w:rsid w:val="005B7E07"/>
    <w:rsid w:val="005C01A9"/>
    <w:rsid w:val="005C12AD"/>
    <w:rsid w:val="005C20E5"/>
    <w:rsid w:val="005C3A67"/>
    <w:rsid w:val="005C4E95"/>
    <w:rsid w:val="005C56C0"/>
    <w:rsid w:val="005C7D74"/>
    <w:rsid w:val="005D1A6A"/>
    <w:rsid w:val="005D2D54"/>
    <w:rsid w:val="005D6371"/>
    <w:rsid w:val="005D6E79"/>
    <w:rsid w:val="005D721F"/>
    <w:rsid w:val="005E2963"/>
    <w:rsid w:val="005E3305"/>
    <w:rsid w:val="005E49EB"/>
    <w:rsid w:val="005F23F9"/>
    <w:rsid w:val="005F2445"/>
    <w:rsid w:val="005F3ABB"/>
    <w:rsid w:val="005F6E36"/>
    <w:rsid w:val="005F703D"/>
    <w:rsid w:val="005F752B"/>
    <w:rsid w:val="0060234C"/>
    <w:rsid w:val="00605089"/>
    <w:rsid w:val="00606F3D"/>
    <w:rsid w:val="00607560"/>
    <w:rsid w:val="00610790"/>
    <w:rsid w:val="00611B34"/>
    <w:rsid w:val="0061393B"/>
    <w:rsid w:val="0061475F"/>
    <w:rsid w:val="00614AAD"/>
    <w:rsid w:val="00614F38"/>
    <w:rsid w:val="00617341"/>
    <w:rsid w:val="00617764"/>
    <w:rsid w:val="00620732"/>
    <w:rsid w:val="00621B75"/>
    <w:rsid w:val="00622B16"/>
    <w:rsid w:val="0062529F"/>
    <w:rsid w:val="00626053"/>
    <w:rsid w:val="00626D1A"/>
    <w:rsid w:val="0062749E"/>
    <w:rsid w:val="00627593"/>
    <w:rsid w:val="00630B60"/>
    <w:rsid w:val="00630DD3"/>
    <w:rsid w:val="006314E2"/>
    <w:rsid w:val="00631A86"/>
    <w:rsid w:val="00631C59"/>
    <w:rsid w:val="00634A1B"/>
    <w:rsid w:val="00634DB9"/>
    <w:rsid w:val="0063566C"/>
    <w:rsid w:val="0063621D"/>
    <w:rsid w:val="00641621"/>
    <w:rsid w:val="006437E9"/>
    <w:rsid w:val="00646EEF"/>
    <w:rsid w:val="006516A2"/>
    <w:rsid w:val="00652EBD"/>
    <w:rsid w:val="006539B1"/>
    <w:rsid w:val="00653B3B"/>
    <w:rsid w:val="0065474E"/>
    <w:rsid w:val="00655A75"/>
    <w:rsid w:val="00656E7D"/>
    <w:rsid w:val="006577ED"/>
    <w:rsid w:val="0066298B"/>
    <w:rsid w:val="00665040"/>
    <w:rsid w:val="00665429"/>
    <w:rsid w:val="00665E6D"/>
    <w:rsid w:val="00672129"/>
    <w:rsid w:val="00672DAC"/>
    <w:rsid w:val="0067300A"/>
    <w:rsid w:val="006745B7"/>
    <w:rsid w:val="00675A3E"/>
    <w:rsid w:val="0067612C"/>
    <w:rsid w:val="00680B1B"/>
    <w:rsid w:val="006814CC"/>
    <w:rsid w:val="006826A6"/>
    <w:rsid w:val="006843B4"/>
    <w:rsid w:val="00684571"/>
    <w:rsid w:val="0068598D"/>
    <w:rsid w:val="0068651F"/>
    <w:rsid w:val="006870B0"/>
    <w:rsid w:val="0069030A"/>
    <w:rsid w:val="00692E1D"/>
    <w:rsid w:val="00694DC1"/>
    <w:rsid w:val="00695209"/>
    <w:rsid w:val="00695242"/>
    <w:rsid w:val="006978FC"/>
    <w:rsid w:val="006A0299"/>
    <w:rsid w:val="006A0595"/>
    <w:rsid w:val="006A0C6E"/>
    <w:rsid w:val="006A1718"/>
    <w:rsid w:val="006A261A"/>
    <w:rsid w:val="006A4903"/>
    <w:rsid w:val="006A694C"/>
    <w:rsid w:val="006A6AD8"/>
    <w:rsid w:val="006A7340"/>
    <w:rsid w:val="006A7824"/>
    <w:rsid w:val="006A7D0B"/>
    <w:rsid w:val="006B05E5"/>
    <w:rsid w:val="006B09E4"/>
    <w:rsid w:val="006B1EA1"/>
    <w:rsid w:val="006B45DD"/>
    <w:rsid w:val="006B5C11"/>
    <w:rsid w:val="006B619D"/>
    <w:rsid w:val="006B63C8"/>
    <w:rsid w:val="006B6496"/>
    <w:rsid w:val="006B7319"/>
    <w:rsid w:val="006B73F1"/>
    <w:rsid w:val="006B7AAD"/>
    <w:rsid w:val="006C0CCD"/>
    <w:rsid w:val="006C1DF6"/>
    <w:rsid w:val="006C215F"/>
    <w:rsid w:val="006C2BC6"/>
    <w:rsid w:val="006C4C3F"/>
    <w:rsid w:val="006C4D29"/>
    <w:rsid w:val="006D0D0F"/>
    <w:rsid w:val="006D1046"/>
    <w:rsid w:val="006D36B9"/>
    <w:rsid w:val="006D3874"/>
    <w:rsid w:val="006D63FA"/>
    <w:rsid w:val="006D6455"/>
    <w:rsid w:val="006D7ACC"/>
    <w:rsid w:val="006E23BC"/>
    <w:rsid w:val="006E258A"/>
    <w:rsid w:val="006E3120"/>
    <w:rsid w:val="006E3312"/>
    <w:rsid w:val="006E3369"/>
    <w:rsid w:val="006E4005"/>
    <w:rsid w:val="006E4BC8"/>
    <w:rsid w:val="006E509B"/>
    <w:rsid w:val="006E5460"/>
    <w:rsid w:val="006E5E4C"/>
    <w:rsid w:val="006F0111"/>
    <w:rsid w:val="006F40D5"/>
    <w:rsid w:val="006F4B62"/>
    <w:rsid w:val="006F76E1"/>
    <w:rsid w:val="00700EAF"/>
    <w:rsid w:val="00703FD6"/>
    <w:rsid w:val="00704395"/>
    <w:rsid w:val="00704C57"/>
    <w:rsid w:val="007109E7"/>
    <w:rsid w:val="0071113B"/>
    <w:rsid w:val="0071151B"/>
    <w:rsid w:val="00711C5D"/>
    <w:rsid w:val="00716DE7"/>
    <w:rsid w:val="0072078B"/>
    <w:rsid w:val="0072181A"/>
    <w:rsid w:val="007218D4"/>
    <w:rsid w:val="0072239E"/>
    <w:rsid w:val="00722AE8"/>
    <w:rsid w:val="00723F24"/>
    <w:rsid w:val="00724239"/>
    <w:rsid w:val="00724BC7"/>
    <w:rsid w:val="007259D5"/>
    <w:rsid w:val="00730409"/>
    <w:rsid w:val="007337A1"/>
    <w:rsid w:val="00734A90"/>
    <w:rsid w:val="00735B9C"/>
    <w:rsid w:val="0073684E"/>
    <w:rsid w:val="00737143"/>
    <w:rsid w:val="0074072C"/>
    <w:rsid w:val="00741939"/>
    <w:rsid w:val="00741AC9"/>
    <w:rsid w:val="00742310"/>
    <w:rsid w:val="0074308C"/>
    <w:rsid w:val="00743C4D"/>
    <w:rsid w:val="007450F9"/>
    <w:rsid w:val="007475BA"/>
    <w:rsid w:val="007500F0"/>
    <w:rsid w:val="00750273"/>
    <w:rsid w:val="007513BD"/>
    <w:rsid w:val="007522E3"/>
    <w:rsid w:val="007529BA"/>
    <w:rsid w:val="007551B1"/>
    <w:rsid w:val="00755242"/>
    <w:rsid w:val="007554A7"/>
    <w:rsid w:val="00757AE0"/>
    <w:rsid w:val="0076105D"/>
    <w:rsid w:val="007622CB"/>
    <w:rsid w:val="00762A81"/>
    <w:rsid w:val="0076425F"/>
    <w:rsid w:val="00765DBC"/>
    <w:rsid w:val="007676EF"/>
    <w:rsid w:val="00770EA9"/>
    <w:rsid w:val="00774E5D"/>
    <w:rsid w:val="00775436"/>
    <w:rsid w:val="0077652F"/>
    <w:rsid w:val="00777C21"/>
    <w:rsid w:val="00777C36"/>
    <w:rsid w:val="00780539"/>
    <w:rsid w:val="007806D7"/>
    <w:rsid w:val="00781BA3"/>
    <w:rsid w:val="007821D3"/>
    <w:rsid w:val="007827C4"/>
    <w:rsid w:val="00783280"/>
    <w:rsid w:val="0078374D"/>
    <w:rsid w:val="00783E57"/>
    <w:rsid w:val="007840BE"/>
    <w:rsid w:val="00784868"/>
    <w:rsid w:val="00790C04"/>
    <w:rsid w:val="00792B1A"/>
    <w:rsid w:val="007947B8"/>
    <w:rsid w:val="007954AB"/>
    <w:rsid w:val="007974A9"/>
    <w:rsid w:val="00797CE1"/>
    <w:rsid w:val="007A2325"/>
    <w:rsid w:val="007A2C82"/>
    <w:rsid w:val="007A6706"/>
    <w:rsid w:val="007A6A56"/>
    <w:rsid w:val="007A6F6F"/>
    <w:rsid w:val="007A7792"/>
    <w:rsid w:val="007B0E2A"/>
    <w:rsid w:val="007B37AB"/>
    <w:rsid w:val="007B614D"/>
    <w:rsid w:val="007B76F6"/>
    <w:rsid w:val="007C02BE"/>
    <w:rsid w:val="007C0E0C"/>
    <w:rsid w:val="007C3D03"/>
    <w:rsid w:val="007C4B9C"/>
    <w:rsid w:val="007C6887"/>
    <w:rsid w:val="007C6CD2"/>
    <w:rsid w:val="007C74B4"/>
    <w:rsid w:val="007D2BF6"/>
    <w:rsid w:val="007D3181"/>
    <w:rsid w:val="007D49B2"/>
    <w:rsid w:val="007D59CD"/>
    <w:rsid w:val="007D5CD5"/>
    <w:rsid w:val="007D69C2"/>
    <w:rsid w:val="007E2470"/>
    <w:rsid w:val="007E25CB"/>
    <w:rsid w:val="007E2D6E"/>
    <w:rsid w:val="007E3990"/>
    <w:rsid w:val="007E546D"/>
    <w:rsid w:val="007E7678"/>
    <w:rsid w:val="007E7854"/>
    <w:rsid w:val="007F09E1"/>
    <w:rsid w:val="007F1969"/>
    <w:rsid w:val="007F1E46"/>
    <w:rsid w:val="007F2251"/>
    <w:rsid w:val="007F2580"/>
    <w:rsid w:val="007F25C7"/>
    <w:rsid w:val="007F441A"/>
    <w:rsid w:val="007F5EE5"/>
    <w:rsid w:val="007F61D7"/>
    <w:rsid w:val="007F777B"/>
    <w:rsid w:val="007F7AD1"/>
    <w:rsid w:val="00800BD6"/>
    <w:rsid w:val="00800F76"/>
    <w:rsid w:val="008011D6"/>
    <w:rsid w:val="008013C7"/>
    <w:rsid w:val="008028B0"/>
    <w:rsid w:val="00803111"/>
    <w:rsid w:val="00804992"/>
    <w:rsid w:val="00804BFE"/>
    <w:rsid w:val="00805592"/>
    <w:rsid w:val="00805A95"/>
    <w:rsid w:val="00805D14"/>
    <w:rsid w:val="00807340"/>
    <w:rsid w:val="00811C7B"/>
    <w:rsid w:val="008160D1"/>
    <w:rsid w:val="008163BB"/>
    <w:rsid w:val="00820049"/>
    <w:rsid w:val="00821AAF"/>
    <w:rsid w:val="00821CC2"/>
    <w:rsid w:val="008237F8"/>
    <w:rsid w:val="00825D03"/>
    <w:rsid w:val="008277D6"/>
    <w:rsid w:val="00827930"/>
    <w:rsid w:val="0083079D"/>
    <w:rsid w:val="00830A59"/>
    <w:rsid w:val="00831A8F"/>
    <w:rsid w:val="00832AD8"/>
    <w:rsid w:val="00835255"/>
    <w:rsid w:val="008373F3"/>
    <w:rsid w:val="00837455"/>
    <w:rsid w:val="00837CC7"/>
    <w:rsid w:val="00840698"/>
    <w:rsid w:val="00841AFA"/>
    <w:rsid w:val="00842C13"/>
    <w:rsid w:val="00843D78"/>
    <w:rsid w:val="00845145"/>
    <w:rsid w:val="0084516D"/>
    <w:rsid w:val="00846301"/>
    <w:rsid w:val="0084656D"/>
    <w:rsid w:val="0085127E"/>
    <w:rsid w:val="00852F2B"/>
    <w:rsid w:val="008548A1"/>
    <w:rsid w:val="008548FC"/>
    <w:rsid w:val="00855004"/>
    <w:rsid w:val="0086295C"/>
    <w:rsid w:val="008649C0"/>
    <w:rsid w:val="00864B05"/>
    <w:rsid w:val="00865A0F"/>
    <w:rsid w:val="008660C5"/>
    <w:rsid w:val="008661E6"/>
    <w:rsid w:val="008667F9"/>
    <w:rsid w:val="00866E80"/>
    <w:rsid w:val="00866EEB"/>
    <w:rsid w:val="00866F51"/>
    <w:rsid w:val="00867C92"/>
    <w:rsid w:val="00870749"/>
    <w:rsid w:val="00870C13"/>
    <w:rsid w:val="008710FF"/>
    <w:rsid w:val="00871269"/>
    <w:rsid w:val="00872702"/>
    <w:rsid w:val="008729FD"/>
    <w:rsid w:val="00873BDD"/>
    <w:rsid w:val="00874B41"/>
    <w:rsid w:val="00881E55"/>
    <w:rsid w:val="00883A3C"/>
    <w:rsid w:val="00884BE0"/>
    <w:rsid w:val="0088548E"/>
    <w:rsid w:val="00885D44"/>
    <w:rsid w:val="008877FE"/>
    <w:rsid w:val="00887BC2"/>
    <w:rsid w:val="00890003"/>
    <w:rsid w:val="00893A89"/>
    <w:rsid w:val="0089528C"/>
    <w:rsid w:val="00895B62"/>
    <w:rsid w:val="00896782"/>
    <w:rsid w:val="008971DD"/>
    <w:rsid w:val="00897327"/>
    <w:rsid w:val="00897AEF"/>
    <w:rsid w:val="008A1531"/>
    <w:rsid w:val="008A1556"/>
    <w:rsid w:val="008A1E2A"/>
    <w:rsid w:val="008A1FE7"/>
    <w:rsid w:val="008A2BD9"/>
    <w:rsid w:val="008A33AD"/>
    <w:rsid w:val="008A416B"/>
    <w:rsid w:val="008A59D2"/>
    <w:rsid w:val="008A60B5"/>
    <w:rsid w:val="008A6A60"/>
    <w:rsid w:val="008B0AD5"/>
    <w:rsid w:val="008B13D8"/>
    <w:rsid w:val="008B41C2"/>
    <w:rsid w:val="008B453B"/>
    <w:rsid w:val="008B5F72"/>
    <w:rsid w:val="008B660E"/>
    <w:rsid w:val="008B7535"/>
    <w:rsid w:val="008B79E4"/>
    <w:rsid w:val="008C162D"/>
    <w:rsid w:val="008C2922"/>
    <w:rsid w:val="008C3273"/>
    <w:rsid w:val="008C38F1"/>
    <w:rsid w:val="008C7291"/>
    <w:rsid w:val="008D2234"/>
    <w:rsid w:val="008D3A8A"/>
    <w:rsid w:val="008D4549"/>
    <w:rsid w:val="008E11EB"/>
    <w:rsid w:val="008E14CF"/>
    <w:rsid w:val="008E1C68"/>
    <w:rsid w:val="008E2146"/>
    <w:rsid w:val="008E3C78"/>
    <w:rsid w:val="008E4C40"/>
    <w:rsid w:val="008E6359"/>
    <w:rsid w:val="008E69EF"/>
    <w:rsid w:val="008E6F07"/>
    <w:rsid w:val="008E7D9E"/>
    <w:rsid w:val="008F1097"/>
    <w:rsid w:val="008F10A1"/>
    <w:rsid w:val="008F1CB6"/>
    <w:rsid w:val="008F2779"/>
    <w:rsid w:val="008F4468"/>
    <w:rsid w:val="008F594F"/>
    <w:rsid w:val="009019EB"/>
    <w:rsid w:val="0090292B"/>
    <w:rsid w:val="00905103"/>
    <w:rsid w:val="00906323"/>
    <w:rsid w:val="00906500"/>
    <w:rsid w:val="00912D37"/>
    <w:rsid w:val="00912FC6"/>
    <w:rsid w:val="0091307D"/>
    <w:rsid w:val="0091403B"/>
    <w:rsid w:val="009159E6"/>
    <w:rsid w:val="00917B30"/>
    <w:rsid w:val="009212A0"/>
    <w:rsid w:val="00923C70"/>
    <w:rsid w:val="009244C2"/>
    <w:rsid w:val="0092460F"/>
    <w:rsid w:val="009250EC"/>
    <w:rsid w:val="00926AD4"/>
    <w:rsid w:val="00927483"/>
    <w:rsid w:val="00930793"/>
    <w:rsid w:val="00932D58"/>
    <w:rsid w:val="009333B3"/>
    <w:rsid w:val="00935337"/>
    <w:rsid w:val="009367D8"/>
    <w:rsid w:val="009368EA"/>
    <w:rsid w:val="00936AC0"/>
    <w:rsid w:val="00940587"/>
    <w:rsid w:val="0094067A"/>
    <w:rsid w:val="00941405"/>
    <w:rsid w:val="009417C4"/>
    <w:rsid w:val="009431A2"/>
    <w:rsid w:val="0094343E"/>
    <w:rsid w:val="00943896"/>
    <w:rsid w:val="00943EA9"/>
    <w:rsid w:val="00944630"/>
    <w:rsid w:val="00945994"/>
    <w:rsid w:val="00945D81"/>
    <w:rsid w:val="00945FFA"/>
    <w:rsid w:val="00946311"/>
    <w:rsid w:val="00946A86"/>
    <w:rsid w:val="0095077E"/>
    <w:rsid w:val="00951E0F"/>
    <w:rsid w:val="00952814"/>
    <w:rsid w:val="00952E2D"/>
    <w:rsid w:val="00953C07"/>
    <w:rsid w:val="00954B27"/>
    <w:rsid w:val="0095728B"/>
    <w:rsid w:val="00961F2C"/>
    <w:rsid w:val="00964074"/>
    <w:rsid w:val="00966185"/>
    <w:rsid w:val="00967917"/>
    <w:rsid w:val="00970B8C"/>
    <w:rsid w:val="00970DCD"/>
    <w:rsid w:val="00972F05"/>
    <w:rsid w:val="00977757"/>
    <w:rsid w:val="0098113F"/>
    <w:rsid w:val="009816D9"/>
    <w:rsid w:val="009823A4"/>
    <w:rsid w:val="00990CE7"/>
    <w:rsid w:val="0099128E"/>
    <w:rsid w:val="009919DC"/>
    <w:rsid w:val="00994FD8"/>
    <w:rsid w:val="009A0EE3"/>
    <w:rsid w:val="009A186A"/>
    <w:rsid w:val="009A3081"/>
    <w:rsid w:val="009A5ECB"/>
    <w:rsid w:val="009A65F3"/>
    <w:rsid w:val="009A69D2"/>
    <w:rsid w:val="009B009E"/>
    <w:rsid w:val="009B01C4"/>
    <w:rsid w:val="009B0344"/>
    <w:rsid w:val="009B0438"/>
    <w:rsid w:val="009B20CD"/>
    <w:rsid w:val="009B64D4"/>
    <w:rsid w:val="009B7085"/>
    <w:rsid w:val="009B76F8"/>
    <w:rsid w:val="009C0845"/>
    <w:rsid w:val="009C2B5A"/>
    <w:rsid w:val="009C501B"/>
    <w:rsid w:val="009C51EA"/>
    <w:rsid w:val="009C5DA7"/>
    <w:rsid w:val="009D0B26"/>
    <w:rsid w:val="009D4901"/>
    <w:rsid w:val="009D6253"/>
    <w:rsid w:val="009D691A"/>
    <w:rsid w:val="009D72F8"/>
    <w:rsid w:val="009D7FE8"/>
    <w:rsid w:val="009E1056"/>
    <w:rsid w:val="009E2A09"/>
    <w:rsid w:val="009E2B68"/>
    <w:rsid w:val="009E2C0B"/>
    <w:rsid w:val="009E514D"/>
    <w:rsid w:val="009E6F6B"/>
    <w:rsid w:val="009E773A"/>
    <w:rsid w:val="009F2E2C"/>
    <w:rsid w:val="009F5B90"/>
    <w:rsid w:val="009F5F90"/>
    <w:rsid w:val="009F6952"/>
    <w:rsid w:val="00A01E6F"/>
    <w:rsid w:val="00A043C7"/>
    <w:rsid w:val="00A05C39"/>
    <w:rsid w:val="00A07DA0"/>
    <w:rsid w:val="00A11FE2"/>
    <w:rsid w:val="00A148CC"/>
    <w:rsid w:val="00A14F15"/>
    <w:rsid w:val="00A16EE4"/>
    <w:rsid w:val="00A17115"/>
    <w:rsid w:val="00A17ADD"/>
    <w:rsid w:val="00A20925"/>
    <w:rsid w:val="00A214A6"/>
    <w:rsid w:val="00A2162F"/>
    <w:rsid w:val="00A2211A"/>
    <w:rsid w:val="00A24503"/>
    <w:rsid w:val="00A24845"/>
    <w:rsid w:val="00A26D8B"/>
    <w:rsid w:val="00A3064A"/>
    <w:rsid w:val="00A32E82"/>
    <w:rsid w:val="00A338F3"/>
    <w:rsid w:val="00A36882"/>
    <w:rsid w:val="00A36979"/>
    <w:rsid w:val="00A37061"/>
    <w:rsid w:val="00A40632"/>
    <w:rsid w:val="00A4102D"/>
    <w:rsid w:val="00A426BD"/>
    <w:rsid w:val="00A4307F"/>
    <w:rsid w:val="00A444A6"/>
    <w:rsid w:val="00A4498A"/>
    <w:rsid w:val="00A453A9"/>
    <w:rsid w:val="00A46FD8"/>
    <w:rsid w:val="00A4726E"/>
    <w:rsid w:val="00A50211"/>
    <w:rsid w:val="00A51488"/>
    <w:rsid w:val="00A5283D"/>
    <w:rsid w:val="00A550C3"/>
    <w:rsid w:val="00A55A48"/>
    <w:rsid w:val="00A56D9D"/>
    <w:rsid w:val="00A626D3"/>
    <w:rsid w:val="00A63D50"/>
    <w:rsid w:val="00A70EE6"/>
    <w:rsid w:val="00A71BED"/>
    <w:rsid w:val="00A74ABE"/>
    <w:rsid w:val="00A75348"/>
    <w:rsid w:val="00A75613"/>
    <w:rsid w:val="00A75A87"/>
    <w:rsid w:val="00A76865"/>
    <w:rsid w:val="00A80097"/>
    <w:rsid w:val="00A81499"/>
    <w:rsid w:val="00A83812"/>
    <w:rsid w:val="00A84460"/>
    <w:rsid w:val="00A84932"/>
    <w:rsid w:val="00A8517D"/>
    <w:rsid w:val="00A85778"/>
    <w:rsid w:val="00A858DB"/>
    <w:rsid w:val="00A862E3"/>
    <w:rsid w:val="00A86740"/>
    <w:rsid w:val="00A86889"/>
    <w:rsid w:val="00A8697F"/>
    <w:rsid w:val="00A872CC"/>
    <w:rsid w:val="00A87644"/>
    <w:rsid w:val="00A87CBA"/>
    <w:rsid w:val="00A96D6E"/>
    <w:rsid w:val="00AA1C53"/>
    <w:rsid w:val="00AA36C0"/>
    <w:rsid w:val="00AA393B"/>
    <w:rsid w:val="00AA4F6B"/>
    <w:rsid w:val="00AA63A5"/>
    <w:rsid w:val="00AA6B1E"/>
    <w:rsid w:val="00AB1E26"/>
    <w:rsid w:val="00AB2740"/>
    <w:rsid w:val="00AB378C"/>
    <w:rsid w:val="00AB3821"/>
    <w:rsid w:val="00AB49FA"/>
    <w:rsid w:val="00AB4F5B"/>
    <w:rsid w:val="00AB7A33"/>
    <w:rsid w:val="00AB7A8F"/>
    <w:rsid w:val="00AC2862"/>
    <w:rsid w:val="00AC2DE8"/>
    <w:rsid w:val="00AC304C"/>
    <w:rsid w:val="00AC31ED"/>
    <w:rsid w:val="00AC36BF"/>
    <w:rsid w:val="00AC404C"/>
    <w:rsid w:val="00AC61C3"/>
    <w:rsid w:val="00AC74D7"/>
    <w:rsid w:val="00AD0027"/>
    <w:rsid w:val="00AD0EF5"/>
    <w:rsid w:val="00AD19EC"/>
    <w:rsid w:val="00AD31D2"/>
    <w:rsid w:val="00AD49BA"/>
    <w:rsid w:val="00AD4C91"/>
    <w:rsid w:val="00AD6E26"/>
    <w:rsid w:val="00AD7547"/>
    <w:rsid w:val="00AE22C5"/>
    <w:rsid w:val="00AE2584"/>
    <w:rsid w:val="00AE3C36"/>
    <w:rsid w:val="00AE406F"/>
    <w:rsid w:val="00AE7213"/>
    <w:rsid w:val="00AE7388"/>
    <w:rsid w:val="00AE768A"/>
    <w:rsid w:val="00AF2AA3"/>
    <w:rsid w:val="00AF2B6B"/>
    <w:rsid w:val="00AF4AB2"/>
    <w:rsid w:val="00AF4E96"/>
    <w:rsid w:val="00B007D7"/>
    <w:rsid w:val="00B00D42"/>
    <w:rsid w:val="00B00EB5"/>
    <w:rsid w:val="00B037D5"/>
    <w:rsid w:val="00B04C42"/>
    <w:rsid w:val="00B0612A"/>
    <w:rsid w:val="00B06472"/>
    <w:rsid w:val="00B06829"/>
    <w:rsid w:val="00B100D6"/>
    <w:rsid w:val="00B10115"/>
    <w:rsid w:val="00B11963"/>
    <w:rsid w:val="00B12065"/>
    <w:rsid w:val="00B12838"/>
    <w:rsid w:val="00B1518D"/>
    <w:rsid w:val="00B17567"/>
    <w:rsid w:val="00B21287"/>
    <w:rsid w:val="00B23557"/>
    <w:rsid w:val="00B24E3E"/>
    <w:rsid w:val="00B26604"/>
    <w:rsid w:val="00B268A9"/>
    <w:rsid w:val="00B303BD"/>
    <w:rsid w:val="00B31752"/>
    <w:rsid w:val="00B35796"/>
    <w:rsid w:val="00B43C2F"/>
    <w:rsid w:val="00B445F0"/>
    <w:rsid w:val="00B47371"/>
    <w:rsid w:val="00B502EE"/>
    <w:rsid w:val="00B53295"/>
    <w:rsid w:val="00B53AEF"/>
    <w:rsid w:val="00B53D7D"/>
    <w:rsid w:val="00B5405A"/>
    <w:rsid w:val="00B54170"/>
    <w:rsid w:val="00B544BE"/>
    <w:rsid w:val="00B54D14"/>
    <w:rsid w:val="00B555D9"/>
    <w:rsid w:val="00B56126"/>
    <w:rsid w:val="00B61470"/>
    <w:rsid w:val="00B6168E"/>
    <w:rsid w:val="00B61D11"/>
    <w:rsid w:val="00B63F04"/>
    <w:rsid w:val="00B6462C"/>
    <w:rsid w:val="00B67995"/>
    <w:rsid w:val="00B702A6"/>
    <w:rsid w:val="00B70D19"/>
    <w:rsid w:val="00B726DA"/>
    <w:rsid w:val="00B72B3B"/>
    <w:rsid w:val="00B75B3B"/>
    <w:rsid w:val="00B76D85"/>
    <w:rsid w:val="00B80CA1"/>
    <w:rsid w:val="00B81B48"/>
    <w:rsid w:val="00B8295E"/>
    <w:rsid w:val="00B86491"/>
    <w:rsid w:val="00B86F9E"/>
    <w:rsid w:val="00B9114A"/>
    <w:rsid w:val="00B92D2C"/>
    <w:rsid w:val="00B9306B"/>
    <w:rsid w:val="00B931B0"/>
    <w:rsid w:val="00B941C2"/>
    <w:rsid w:val="00B95545"/>
    <w:rsid w:val="00B96328"/>
    <w:rsid w:val="00B97923"/>
    <w:rsid w:val="00B97C72"/>
    <w:rsid w:val="00BA772B"/>
    <w:rsid w:val="00BA7BC8"/>
    <w:rsid w:val="00BB0E5B"/>
    <w:rsid w:val="00BB0FDF"/>
    <w:rsid w:val="00BB50B2"/>
    <w:rsid w:val="00BC3091"/>
    <w:rsid w:val="00BC34DF"/>
    <w:rsid w:val="00BC4041"/>
    <w:rsid w:val="00BC597F"/>
    <w:rsid w:val="00BC62F1"/>
    <w:rsid w:val="00BC6902"/>
    <w:rsid w:val="00BC7920"/>
    <w:rsid w:val="00BD0940"/>
    <w:rsid w:val="00BD2E0D"/>
    <w:rsid w:val="00BD2EB6"/>
    <w:rsid w:val="00BD34A9"/>
    <w:rsid w:val="00BD392F"/>
    <w:rsid w:val="00BD6740"/>
    <w:rsid w:val="00BD6FF3"/>
    <w:rsid w:val="00BD75C4"/>
    <w:rsid w:val="00BE0677"/>
    <w:rsid w:val="00BE3466"/>
    <w:rsid w:val="00BE52B1"/>
    <w:rsid w:val="00BE56AC"/>
    <w:rsid w:val="00BE710B"/>
    <w:rsid w:val="00BE7750"/>
    <w:rsid w:val="00BF0154"/>
    <w:rsid w:val="00BF1A20"/>
    <w:rsid w:val="00BF22D0"/>
    <w:rsid w:val="00BF2347"/>
    <w:rsid w:val="00BF43E1"/>
    <w:rsid w:val="00BF69E3"/>
    <w:rsid w:val="00C0059A"/>
    <w:rsid w:val="00C01716"/>
    <w:rsid w:val="00C02B67"/>
    <w:rsid w:val="00C039A8"/>
    <w:rsid w:val="00C04D04"/>
    <w:rsid w:val="00C0668F"/>
    <w:rsid w:val="00C067BE"/>
    <w:rsid w:val="00C07711"/>
    <w:rsid w:val="00C103F1"/>
    <w:rsid w:val="00C11CD2"/>
    <w:rsid w:val="00C15123"/>
    <w:rsid w:val="00C17418"/>
    <w:rsid w:val="00C17795"/>
    <w:rsid w:val="00C17EFB"/>
    <w:rsid w:val="00C219E4"/>
    <w:rsid w:val="00C263CC"/>
    <w:rsid w:val="00C322DC"/>
    <w:rsid w:val="00C324C0"/>
    <w:rsid w:val="00C40B5B"/>
    <w:rsid w:val="00C42786"/>
    <w:rsid w:val="00C46D1C"/>
    <w:rsid w:val="00C47E52"/>
    <w:rsid w:val="00C50FE2"/>
    <w:rsid w:val="00C51021"/>
    <w:rsid w:val="00C52552"/>
    <w:rsid w:val="00C52A6E"/>
    <w:rsid w:val="00C53B4A"/>
    <w:rsid w:val="00C54124"/>
    <w:rsid w:val="00C556B2"/>
    <w:rsid w:val="00C56027"/>
    <w:rsid w:val="00C5638B"/>
    <w:rsid w:val="00C60642"/>
    <w:rsid w:val="00C608F8"/>
    <w:rsid w:val="00C61919"/>
    <w:rsid w:val="00C643EE"/>
    <w:rsid w:val="00C657FB"/>
    <w:rsid w:val="00C66BD4"/>
    <w:rsid w:val="00C71966"/>
    <w:rsid w:val="00C72522"/>
    <w:rsid w:val="00C7462C"/>
    <w:rsid w:val="00C74FD9"/>
    <w:rsid w:val="00C75B7E"/>
    <w:rsid w:val="00C76E86"/>
    <w:rsid w:val="00C775F1"/>
    <w:rsid w:val="00C813D6"/>
    <w:rsid w:val="00C81D43"/>
    <w:rsid w:val="00C858EC"/>
    <w:rsid w:val="00C85949"/>
    <w:rsid w:val="00C90E96"/>
    <w:rsid w:val="00C91328"/>
    <w:rsid w:val="00C939F3"/>
    <w:rsid w:val="00C95FA8"/>
    <w:rsid w:val="00C97816"/>
    <w:rsid w:val="00C97FC8"/>
    <w:rsid w:val="00CA06E6"/>
    <w:rsid w:val="00CA2DD6"/>
    <w:rsid w:val="00CA3A4A"/>
    <w:rsid w:val="00CA5031"/>
    <w:rsid w:val="00CA6D02"/>
    <w:rsid w:val="00CA7844"/>
    <w:rsid w:val="00CB581C"/>
    <w:rsid w:val="00CB5A4B"/>
    <w:rsid w:val="00CB70EB"/>
    <w:rsid w:val="00CB7609"/>
    <w:rsid w:val="00CC006B"/>
    <w:rsid w:val="00CC15FD"/>
    <w:rsid w:val="00CC225C"/>
    <w:rsid w:val="00CC5EA2"/>
    <w:rsid w:val="00CC7253"/>
    <w:rsid w:val="00CD0DEC"/>
    <w:rsid w:val="00CD1DE4"/>
    <w:rsid w:val="00CD2539"/>
    <w:rsid w:val="00CD33C7"/>
    <w:rsid w:val="00CD4CD8"/>
    <w:rsid w:val="00CD5210"/>
    <w:rsid w:val="00CD6908"/>
    <w:rsid w:val="00CD6CF0"/>
    <w:rsid w:val="00CD74BA"/>
    <w:rsid w:val="00CE3E52"/>
    <w:rsid w:val="00CE43FE"/>
    <w:rsid w:val="00CE48D0"/>
    <w:rsid w:val="00CE5DF9"/>
    <w:rsid w:val="00CF0C4F"/>
    <w:rsid w:val="00CF1DC1"/>
    <w:rsid w:val="00CF38BE"/>
    <w:rsid w:val="00CF47D9"/>
    <w:rsid w:val="00CF4EB2"/>
    <w:rsid w:val="00CF4F20"/>
    <w:rsid w:val="00CF5FB7"/>
    <w:rsid w:val="00CF6F3B"/>
    <w:rsid w:val="00D00B60"/>
    <w:rsid w:val="00D0203A"/>
    <w:rsid w:val="00D031C3"/>
    <w:rsid w:val="00D03785"/>
    <w:rsid w:val="00D057C9"/>
    <w:rsid w:val="00D06247"/>
    <w:rsid w:val="00D06287"/>
    <w:rsid w:val="00D0665B"/>
    <w:rsid w:val="00D0766C"/>
    <w:rsid w:val="00D077A1"/>
    <w:rsid w:val="00D10773"/>
    <w:rsid w:val="00D11F1B"/>
    <w:rsid w:val="00D12C2E"/>
    <w:rsid w:val="00D12F7B"/>
    <w:rsid w:val="00D161E1"/>
    <w:rsid w:val="00D174AE"/>
    <w:rsid w:val="00D2119B"/>
    <w:rsid w:val="00D22CD3"/>
    <w:rsid w:val="00D24B0F"/>
    <w:rsid w:val="00D25CD8"/>
    <w:rsid w:val="00D25D1F"/>
    <w:rsid w:val="00D266F6"/>
    <w:rsid w:val="00D26856"/>
    <w:rsid w:val="00D30404"/>
    <w:rsid w:val="00D30B48"/>
    <w:rsid w:val="00D30EA3"/>
    <w:rsid w:val="00D3210D"/>
    <w:rsid w:val="00D323E0"/>
    <w:rsid w:val="00D32A28"/>
    <w:rsid w:val="00D335CE"/>
    <w:rsid w:val="00D338F6"/>
    <w:rsid w:val="00D3579A"/>
    <w:rsid w:val="00D40670"/>
    <w:rsid w:val="00D42001"/>
    <w:rsid w:val="00D422CD"/>
    <w:rsid w:val="00D42C66"/>
    <w:rsid w:val="00D43B25"/>
    <w:rsid w:val="00D4440C"/>
    <w:rsid w:val="00D46A70"/>
    <w:rsid w:val="00D46A7D"/>
    <w:rsid w:val="00D46E38"/>
    <w:rsid w:val="00D47CF2"/>
    <w:rsid w:val="00D508CB"/>
    <w:rsid w:val="00D51C49"/>
    <w:rsid w:val="00D52D4E"/>
    <w:rsid w:val="00D5358F"/>
    <w:rsid w:val="00D5430A"/>
    <w:rsid w:val="00D54B5C"/>
    <w:rsid w:val="00D55C5F"/>
    <w:rsid w:val="00D56ADF"/>
    <w:rsid w:val="00D57B24"/>
    <w:rsid w:val="00D63889"/>
    <w:rsid w:val="00D64328"/>
    <w:rsid w:val="00D6613B"/>
    <w:rsid w:val="00D67089"/>
    <w:rsid w:val="00D70938"/>
    <w:rsid w:val="00D73391"/>
    <w:rsid w:val="00D771F5"/>
    <w:rsid w:val="00D776F9"/>
    <w:rsid w:val="00D80CFB"/>
    <w:rsid w:val="00D82864"/>
    <w:rsid w:val="00D832C0"/>
    <w:rsid w:val="00D8563A"/>
    <w:rsid w:val="00D85BE5"/>
    <w:rsid w:val="00D87023"/>
    <w:rsid w:val="00D9094B"/>
    <w:rsid w:val="00D92A9E"/>
    <w:rsid w:val="00D94595"/>
    <w:rsid w:val="00D94917"/>
    <w:rsid w:val="00D94C88"/>
    <w:rsid w:val="00D95119"/>
    <w:rsid w:val="00D95D54"/>
    <w:rsid w:val="00DA33F7"/>
    <w:rsid w:val="00DA47D2"/>
    <w:rsid w:val="00DA4B05"/>
    <w:rsid w:val="00DA7915"/>
    <w:rsid w:val="00DB0AD9"/>
    <w:rsid w:val="00DB10A6"/>
    <w:rsid w:val="00DB3435"/>
    <w:rsid w:val="00DB4594"/>
    <w:rsid w:val="00DB4DD4"/>
    <w:rsid w:val="00DB59AB"/>
    <w:rsid w:val="00DB67EF"/>
    <w:rsid w:val="00DC0D21"/>
    <w:rsid w:val="00DC17E4"/>
    <w:rsid w:val="00DC1D36"/>
    <w:rsid w:val="00DC2FF4"/>
    <w:rsid w:val="00DC37D9"/>
    <w:rsid w:val="00DC3E55"/>
    <w:rsid w:val="00DC40B0"/>
    <w:rsid w:val="00DC4660"/>
    <w:rsid w:val="00DD0B19"/>
    <w:rsid w:val="00DD21A5"/>
    <w:rsid w:val="00DD37F8"/>
    <w:rsid w:val="00DD4313"/>
    <w:rsid w:val="00DE1E7E"/>
    <w:rsid w:val="00DE2009"/>
    <w:rsid w:val="00DE2683"/>
    <w:rsid w:val="00DE3BE9"/>
    <w:rsid w:val="00DE42E3"/>
    <w:rsid w:val="00DE4DDC"/>
    <w:rsid w:val="00DE50BB"/>
    <w:rsid w:val="00DE59D6"/>
    <w:rsid w:val="00DE7C61"/>
    <w:rsid w:val="00DF08EC"/>
    <w:rsid w:val="00DF13EE"/>
    <w:rsid w:val="00DF2A52"/>
    <w:rsid w:val="00DF4AA2"/>
    <w:rsid w:val="00DF4D5C"/>
    <w:rsid w:val="00DF67D6"/>
    <w:rsid w:val="00DF6A0A"/>
    <w:rsid w:val="00DF6BE2"/>
    <w:rsid w:val="00E00B04"/>
    <w:rsid w:val="00E054C0"/>
    <w:rsid w:val="00E0677F"/>
    <w:rsid w:val="00E100EE"/>
    <w:rsid w:val="00E1013D"/>
    <w:rsid w:val="00E1162E"/>
    <w:rsid w:val="00E12BAC"/>
    <w:rsid w:val="00E12C49"/>
    <w:rsid w:val="00E13C97"/>
    <w:rsid w:val="00E14504"/>
    <w:rsid w:val="00E146E4"/>
    <w:rsid w:val="00E16155"/>
    <w:rsid w:val="00E16E8F"/>
    <w:rsid w:val="00E17099"/>
    <w:rsid w:val="00E17963"/>
    <w:rsid w:val="00E21DFF"/>
    <w:rsid w:val="00E223C9"/>
    <w:rsid w:val="00E2415E"/>
    <w:rsid w:val="00E24720"/>
    <w:rsid w:val="00E2524F"/>
    <w:rsid w:val="00E25433"/>
    <w:rsid w:val="00E25717"/>
    <w:rsid w:val="00E30A6D"/>
    <w:rsid w:val="00E314C3"/>
    <w:rsid w:val="00E31BBF"/>
    <w:rsid w:val="00E335C8"/>
    <w:rsid w:val="00E33A04"/>
    <w:rsid w:val="00E33D6A"/>
    <w:rsid w:val="00E34674"/>
    <w:rsid w:val="00E369B4"/>
    <w:rsid w:val="00E417EC"/>
    <w:rsid w:val="00E41882"/>
    <w:rsid w:val="00E41DC1"/>
    <w:rsid w:val="00E4509D"/>
    <w:rsid w:val="00E462F9"/>
    <w:rsid w:val="00E47AD9"/>
    <w:rsid w:val="00E52083"/>
    <w:rsid w:val="00E532BA"/>
    <w:rsid w:val="00E54341"/>
    <w:rsid w:val="00E560F4"/>
    <w:rsid w:val="00E57173"/>
    <w:rsid w:val="00E5756B"/>
    <w:rsid w:val="00E57C15"/>
    <w:rsid w:val="00E62370"/>
    <w:rsid w:val="00E63231"/>
    <w:rsid w:val="00E63D14"/>
    <w:rsid w:val="00E64801"/>
    <w:rsid w:val="00E65863"/>
    <w:rsid w:val="00E65CEF"/>
    <w:rsid w:val="00E70C1B"/>
    <w:rsid w:val="00E72FAB"/>
    <w:rsid w:val="00E738E0"/>
    <w:rsid w:val="00E80579"/>
    <w:rsid w:val="00E80D1B"/>
    <w:rsid w:val="00E8291C"/>
    <w:rsid w:val="00E8315F"/>
    <w:rsid w:val="00E83C51"/>
    <w:rsid w:val="00E83E73"/>
    <w:rsid w:val="00E842A4"/>
    <w:rsid w:val="00E842AB"/>
    <w:rsid w:val="00E85268"/>
    <w:rsid w:val="00E85415"/>
    <w:rsid w:val="00E85C09"/>
    <w:rsid w:val="00E85E02"/>
    <w:rsid w:val="00E8666B"/>
    <w:rsid w:val="00E86ABB"/>
    <w:rsid w:val="00E908AD"/>
    <w:rsid w:val="00E91398"/>
    <w:rsid w:val="00E932F9"/>
    <w:rsid w:val="00E9447B"/>
    <w:rsid w:val="00EA2BDC"/>
    <w:rsid w:val="00EA2D19"/>
    <w:rsid w:val="00EA316B"/>
    <w:rsid w:val="00EA4C42"/>
    <w:rsid w:val="00EB11D4"/>
    <w:rsid w:val="00EB17CB"/>
    <w:rsid w:val="00EB2C5D"/>
    <w:rsid w:val="00EB2C79"/>
    <w:rsid w:val="00EB2EE7"/>
    <w:rsid w:val="00EB3DD2"/>
    <w:rsid w:val="00EB7FDB"/>
    <w:rsid w:val="00EC01E4"/>
    <w:rsid w:val="00EC0548"/>
    <w:rsid w:val="00EC17AA"/>
    <w:rsid w:val="00EC3FF5"/>
    <w:rsid w:val="00EC4CC8"/>
    <w:rsid w:val="00EC4F25"/>
    <w:rsid w:val="00EC6491"/>
    <w:rsid w:val="00EC70F1"/>
    <w:rsid w:val="00EC7D4F"/>
    <w:rsid w:val="00ED2790"/>
    <w:rsid w:val="00ED5D34"/>
    <w:rsid w:val="00ED7ABB"/>
    <w:rsid w:val="00ED7E0C"/>
    <w:rsid w:val="00EE0272"/>
    <w:rsid w:val="00EE0364"/>
    <w:rsid w:val="00EE1E2D"/>
    <w:rsid w:val="00EE51C2"/>
    <w:rsid w:val="00EE592D"/>
    <w:rsid w:val="00EE64A9"/>
    <w:rsid w:val="00EE67FE"/>
    <w:rsid w:val="00EE6861"/>
    <w:rsid w:val="00EE6B1B"/>
    <w:rsid w:val="00EE6F8F"/>
    <w:rsid w:val="00EE7953"/>
    <w:rsid w:val="00EF0684"/>
    <w:rsid w:val="00EF0EB5"/>
    <w:rsid w:val="00EF1873"/>
    <w:rsid w:val="00EF36D2"/>
    <w:rsid w:val="00EF418E"/>
    <w:rsid w:val="00EF4771"/>
    <w:rsid w:val="00EF5116"/>
    <w:rsid w:val="00EF5285"/>
    <w:rsid w:val="00EF5D9D"/>
    <w:rsid w:val="00EF68D0"/>
    <w:rsid w:val="00F0025D"/>
    <w:rsid w:val="00F00B0C"/>
    <w:rsid w:val="00F03087"/>
    <w:rsid w:val="00F03772"/>
    <w:rsid w:val="00F04BE4"/>
    <w:rsid w:val="00F05369"/>
    <w:rsid w:val="00F07345"/>
    <w:rsid w:val="00F075AD"/>
    <w:rsid w:val="00F07D2A"/>
    <w:rsid w:val="00F111F3"/>
    <w:rsid w:val="00F12733"/>
    <w:rsid w:val="00F13195"/>
    <w:rsid w:val="00F14670"/>
    <w:rsid w:val="00F1540B"/>
    <w:rsid w:val="00F15BB2"/>
    <w:rsid w:val="00F15FB6"/>
    <w:rsid w:val="00F169FA"/>
    <w:rsid w:val="00F170E1"/>
    <w:rsid w:val="00F2087B"/>
    <w:rsid w:val="00F2143F"/>
    <w:rsid w:val="00F2273E"/>
    <w:rsid w:val="00F23E23"/>
    <w:rsid w:val="00F242A2"/>
    <w:rsid w:val="00F25060"/>
    <w:rsid w:val="00F27C1E"/>
    <w:rsid w:val="00F31547"/>
    <w:rsid w:val="00F31A97"/>
    <w:rsid w:val="00F33D16"/>
    <w:rsid w:val="00F33D35"/>
    <w:rsid w:val="00F33DED"/>
    <w:rsid w:val="00F34B0F"/>
    <w:rsid w:val="00F3556B"/>
    <w:rsid w:val="00F370CB"/>
    <w:rsid w:val="00F37220"/>
    <w:rsid w:val="00F3743E"/>
    <w:rsid w:val="00F37904"/>
    <w:rsid w:val="00F40F2D"/>
    <w:rsid w:val="00F41AAE"/>
    <w:rsid w:val="00F42FF4"/>
    <w:rsid w:val="00F43E68"/>
    <w:rsid w:val="00F44961"/>
    <w:rsid w:val="00F44E64"/>
    <w:rsid w:val="00F44EB8"/>
    <w:rsid w:val="00F45647"/>
    <w:rsid w:val="00F479CE"/>
    <w:rsid w:val="00F47DD9"/>
    <w:rsid w:val="00F5011D"/>
    <w:rsid w:val="00F501C1"/>
    <w:rsid w:val="00F5253E"/>
    <w:rsid w:val="00F52713"/>
    <w:rsid w:val="00F52C15"/>
    <w:rsid w:val="00F5672D"/>
    <w:rsid w:val="00F60E13"/>
    <w:rsid w:val="00F62DAB"/>
    <w:rsid w:val="00F63554"/>
    <w:rsid w:val="00F642E4"/>
    <w:rsid w:val="00F6628F"/>
    <w:rsid w:val="00F6713B"/>
    <w:rsid w:val="00F677F0"/>
    <w:rsid w:val="00F71B4A"/>
    <w:rsid w:val="00F7298A"/>
    <w:rsid w:val="00F75AF9"/>
    <w:rsid w:val="00F76110"/>
    <w:rsid w:val="00F808F1"/>
    <w:rsid w:val="00F80AB4"/>
    <w:rsid w:val="00F81547"/>
    <w:rsid w:val="00F82AB1"/>
    <w:rsid w:val="00F8389D"/>
    <w:rsid w:val="00F852BD"/>
    <w:rsid w:val="00F85304"/>
    <w:rsid w:val="00F87231"/>
    <w:rsid w:val="00F921EE"/>
    <w:rsid w:val="00F93284"/>
    <w:rsid w:val="00F94B4B"/>
    <w:rsid w:val="00F95E08"/>
    <w:rsid w:val="00F96154"/>
    <w:rsid w:val="00FA0679"/>
    <w:rsid w:val="00FA2E27"/>
    <w:rsid w:val="00FA589C"/>
    <w:rsid w:val="00FB0CF7"/>
    <w:rsid w:val="00FB112E"/>
    <w:rsid w:val="00FB14BA"/>
    <w:rsid w:val="00FB1AEE"/>
    <w:rsid w:val="00FB2419"/>
    <w:rsid w:val="00FB27BF"/>
    <w:rsid w:val="00FB3507"/>
    <w:rsid w:val="00FB39D9"/>
    <w:rsid w:val="00FB3CE8"/>
    <w:rsid w:val="00FB5A0F"/>
    <w:rsid w:val="00FB62D5"/>
    <w:rsid w:val="00FC26F6"/>
    <w:rsid w:val="00FC350B"/>
    <w:rsid w:val="00FC4119"/>
    <w:rsid w:val="00FC4A8F"/>
    <w:rsid w:val="00FC5B72"/>
    <w:rsid w:val="00FC62BD"/>
    <w:rsid w:val="00FC63A6"/>
    <w:rsid w:val="00FC797D"/>
    <w:rsid w:val="00FD2204"/>
    <w:rsid w:val="00FD34AB"/>
    <w:rsid w:val="00FD3531"/>
    <w:rsid w:val="00FD3B25"/>
    <w:rsid w:val="00FD3DAB"/>
    <w:rsid w:val="00FD40E3"/>
    <w:rsid w:val="00FD4626"/>
    <w:rsid w:val="00FD5C81"/>
    <w:rsid w:val="00FD755C"/>
    <w:rsid w:val="00FE1CB8"/>
    <w:rsid w:val="00FE2265"/>
    <w:rsid w:val="00FE4096"/>
    <w:rsid w:val="00FE5D00"/>
    <w:rsid w:val="00FE60F5"/>
    <w:rsid w:val="00FE6F51"/>
    <w:rsid w:val="00FF04E8"/>
    <w:rsid w:val="00FF1422"/>
    <w:rsid w:val="00FF50CB"/>
    <w:rsid w:val="00FF573B"/>
    <w:rsid w:val="00FF7224"/>
    <w:rsid w:val="00FF78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BA"/>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rsid w:val="00DB4594"/>
    <w:rPr>
      <w:sz w:val="20"/>
      <w:szCs w:val="20"/>
    </w:rPr>
  </w:style>
  <w:style w:type="character" w:customStyle="1" w:styleId="CommentTextChar">
    <w:name w:val="Comment Text Char"/>
    <w:link w:val="CommentText"/>
    <w:uiPriority w:val="99"/>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apple-converted-space">
    <w:name w:val="apple-converted-space"/>
    <w:basedOn w:val="DefaultParagraphFont"/>
    <w:rsid w:val="00E25717"/>
  </w:style>
  <w:style w:type="paragraph" w:customStyle="1" w:styleId="Default">
    <w:name w:val="Default"/>
    <w:rsid w:val="00573664"/>
    <w:pPr>
      <w:autoSpaceDE w:val="0"/>
      <w:autoSpaceDN w:val="0"/>
      <w:adjustRightInd w:val="0"/>
    </w:pPr>
    <w:rPr>
      <w:color w:val="000000"/>
      <w:sz w:val="24"/>
      <w:szCs w:val="24"/>
    </w:rPr>
  </w:style>
  <w:style w:type="paragraph" w:customStyle="1" w:styleId="tvhtml">
    <w:name w:val="tv_html"/>
    <w:basedOn w:val="Normal"/>
    <w:rsid w:val="00E25433"/>
    <w:pPr>
      <w:spacing w:before="100" w:beforeAutospacing="1" w:after="100" w:afterAutospacing="1"/>
    </w:pPr>
  </w:style>
  <w:style w:type="paragraph" w:customStyle="1" w:styleId="naisc">
    <w:name w:val="naisc"/>
    <w:basedOn w:val="Normal"/>
    <w:rsid w:val="002A2493"/>
    <w:pPr>
      <w:spacing w:before="75" w:after="7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BA"/>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rsid w:val="00DB4594"/>
    <w:rPr>
      <w:sz w:val="20"/>
      <w:szCs w:val="20"/>
    </w:rPr>
  </w:style>
  <w:style w:type="character" w:customStyle="1" w:styleId="CommentTextChar">
    <w:name w:val="Comment Text Char"/>
    <w:link w:val="CommentText"/>
    <w:uiPriority w:val="99"/>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apple-converted-space">
    <w:name w:val="apple-converted-space"/>
    <w:basedOn w:val="DefaultParagraphFont"/>
    <w:rsid w:val="00E25717"/>
  </w:style>
  <w:style w:type="paragraph" w:customStyle="1" w:styleId="Default">
    <w:name w:val="Default"/>
    <w:rsid w:val="00573664"/>
    <w:pPr>
      <w:autoSpaceDE w:val="0"/>
      <w:autoSpaceDN w:val="0"/>
      <w:adjustRightInd w:val="0"/>
    </w:pPr>
    <w:rPr>
      <w:color w:val="000000"/>
      <w:sz w:val="24"/>
      <w:szCs w:val="24"/>
    </w:rPr>
  </w:style>
  <w:style w:type="paragraph" w:customStyle="1" w:styleId="tvhtml">
    <w:name w:val="tv_html"/>
    <w:basedOn w:val="Normal"/>
    <w:rsid w:val="00E25433"/>
    <w:pPr>
      <w:spacing w:before="100" w:beforeAutospacing="1" w:after="100" w:afterAutospacing="1"/>
    </w:pPr>
  </w:style>
  <w:style w:type="paragraph" w:customStyle="1" w:styleId="naisc">
    <w:name w:val="naisc"/>
    <w:basedOn w:val="Normal"/>
    <w:rsid w:val="002A2493"/>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031106913">
      <w:bodyDiv w:val="1"/>
      <w:marLeft w:val="0"/>
      <w:marRight w:val="0"/>
      <w:marTop w:val="0"/>
      <w:marBottom w:val="0"/>
      <w:divBdr>
        <w:top w:val="none" w:sz="0" w:space="0" w:color="auto"/>
        <w:left w:val="none" w:sz="0" w:space="0" w:color="auto"/>
        <w:bottom w:val="none" w:sz="0" w:space="0" w:color="auto"/>
        <w:right w:val="none" w:sz="0" w:space="0" w:color="auto"/>
      </w:divBdr>
    </w:div>
    <w:div w:id="1231816714">
      <w:bodyDiv w:val="1"/>
      <w:marLeft w:val="0"/>
      <w:marRight w:val="0"/>
      <w:marTop w:val="0"/>
      <w:marBottom w:val="0"/>
      <w:divBdr>
        <w:top w:val="none" w:sz="0" w:space="0" w:color="auto"/>
        <w:left w:val="none" w:sz="0" w:space="0" w:color="auto"/>
        <w:bottom w:val="none" w:sz="0" w:space="0" w:color="auto"/>
        <w:right w:val="none" w:sz="0" w:space="0" w:color="auto"/>
      </w:divBdr>
      <w:divsChild>
        <w:div w:id="223024988">
          <w:marLeft w:val="0"/>
          <w:marRight w:val="0"/>
          <w:marTop w:val="0"/>
          <w:marBottom w:val="0"/>
          <w:divBdr>
            <w:top w:val="none" w:sz="0" w:space="0" w:color="auto"/>
            <w:left w:val="none" w:sz="0" w:space="0" w:color="auto"/>
            <w:bottom w:val="none" w:sz="0" w:space="0" w:color="auto"/>
            <w:right w:val="none" w:sz="0" w:space="0" w:color="auto"/>
          </w:divBdr>
        </w:div>
        <w:div w:id="738525636">
          <w:marLeft w:val="0"/>
          <w:marRight w:val="0"/>
          <w:marTop w:val="0"/>
          <w:marBottom w:val="0"/>
          <w:divBdr>
            <w:top w:val="none" w:sz="0" w:space="0" w:color="auto"/>
            <w:left w:val="none" w:sz="0" w:space="0" w:color="auto"/>
            <w:bottom w:val="none" w:sz="0" w:space="0" w:color="auto"/>
            <w:right w:val="none" w:sz="0" w:space="0" w:color="auto"/>
          </w:divBdr>
        </w:div>
      </w:divsChild>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2097361041">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lga.Iljina@lm.gov.lv" TargetMode="External"/><Relationship Id="rId4" Type="http://schemas.microsoft.com/office/2007/relationships/stylesWithEffects" Target="stylesWithEffects.xml"/><Relationship Id="rId9" Type="http://schemas.openxmlformats.org/officeDocument/2006/relationships/hyperlink" Target="http://www.l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0711-4359-4E65-A941-833B9B35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10</Pages>
  <Words>2531</Words>
  <Characters>18783</Characters>
  <Application>Microsoft Office Word</Application>
  <DocSecurity>0</DocSecurity>
  <Lines>260</Lines>
  <Paragraphs>42</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21272</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Kristaps Ziedins</dc:creator>
  <cp:keywords>Anotācija</cp:keywords>
  <dc:description>e-pasts: Kristaps.Ziedins@lm.gov.lv, tālr: 67021503, fakss: 67021505</dc:description>
  <cp:lastModifiedBy>Olga Iljina</cp:lastModifiedBy>
  <cp:revision>25</cp:revision>
  <cp:lastPrinted>2018-03-01T09:52:00Z</cp:lastPrinted>
  <dcterms:created xsi:type="dcterms:W3CDTF">2018-02-21T14:27:00Z</dcterms:created>
  <dcterms:modified xsi:type="dcterms:W3CDTF">2018-03-01T14:31:00Z</dcterms:modified>
</cp:coreProperties>
</file>