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CD98F" w14:textId="77777777" w:rsidR="005F6E36" w:rsidRPr="00F921EE" w:rsidRDefault="005F6E36" w:rsidP="00C957EF">
      <w:pPr>
        <w:spacing w:line="276" w:lineRule="auto"/>
        <w:jc w:val="center"/>
        <w:rPr>
          <w:b/>
          <w:color w:val="000000"/>
          <w:sz w:val="28"/>
          <w:szCs w:val="28"/>
        </w:rPr>
      </w:pPr>
      <w:r w:rsidRPr="00F921EE">
        <w:rPr>
          <w:b/>
          <w:color w:val="000000"/>
          <w:sz w:val="28"/>
          <w:szCs w:val="28"/>
        </w:rPr>
        <w:t xml:space="preserve">Ministru kabineta noteikumu projekta </w:t>
      </w:r>
    </w:p>
    <w:p w14:paraId="2AA3087C" w14:textId="77777777" w:rsidR="005F6E36" w:rsidRPr="00F921EE" w:rsidRDefault="005F6E36" w:rsidP="00C957EF">
      <w:pPr>
        <w:spacing w:line="276" w:lineRule="auto"/>
        <w:jc w:val="center"/>
        <w:rPr>
          <w:b/>
          <w:color w:val="000000"/>
          <w:sz w:val="28"/>
          <w:szCs w:val="28"/>
        </w:rPr>
      </w:pPr>
      <w:r w:rsidRPr="00F921EE">
        <w:rPr>
          <w:b/>
          <w:color w:val="000000"/>
          <w:sz w:val="28"/>
          <w:szCs w:val="28"/>
        </w:rPr>
        <w:t>„Grozījumi M</w:t>
      </w:r>
      <w:r w:rsidR="00E1162E">
        <w:rPr>
          <w:b/>
          <w:color w:val="000000"/>
          <w:sz w:val="28"/>
          <w:szCs w:val="28"/>
        </w:rPr>
        <w:t>inistru kabineta 201</w:t>
      </w:r>
      <w:r w:rsidR="00CB6FD6">
        <w:rPr>
          <w:b/>
          <w:color w:val="000000"/>
          <w:sz w:val="28"/>
          <w:szCs w:val="28"/>
        </w:rPr>
        <w:t>4</w:t>
      </w:r>
      <w:r w:rsidR="00E1162E">
        <w:rPr>
          <w:b/>
          <w:color w:val="000000"/>
          <w:sz w:val="28"/>
          <w:szCs w:val="28"/>
        </w:rPr>
        <w:t>.</w:t>
      </w:r>
      <w:r w:rsidR="00CB6FD6">
        <w:rPr>
          <w:b/>
          <w:color w:val="000000"/>
          <w:sz w:val="28"/>
          <w:szCs w:val="28"/>
        </w:rPr>
        <w:t xml:space="preserve"> </w:t>
      </w:r>
      <w:r w:rsidR="00E1162E">
        <w:rPr>
          <w:b/>
          <w:color w:val="000000"/>
          <w:sz w:val="28"/>
          <w:szCs w:val="28"/>
        </w:rPr>
        <w:t>gada 25.</w:t>
      </w:r>
      <w:r w:rsidR="00CB6FD6">
        <w:rPr>
          <w:b/>
          <w:color w:val="000000"/>
          <w:sz w:val="28"/>
          <w:szCs w:val="28"/>
        </w:rPr>
        <w:t xml:space="preserve"> novembra</w:t>
      </w:r>
      <w:r w:rsidRPr="00F921EE">
        <w:rPr>
          <w:b/>
          <w:color w:val="000000"/>
          <w:sz w:val="28"/>
          <w:szCs w:val="28"/>
        </w:rPr>
        <w:t xml:space="preserve"> noteikumos </w:t>
      </w:r>
    </w:p>
    <w:p w14:paraId="4B89461A" w14:textId="77777777" w:rsidR="005F6E36" w:rsidRPr="00F921EE" w:rsidRDefault="00E1162E" w:rsidP="00C957EF">
      <w:pPr>
        <w:spacing w:line="276" w:lineRule="auto"/>
        <w:jc w:val="center"/>
        <w:rPr>
          <w:b/>
          <w:color w:val="000000"/>
          <w:sz w:val="28"/>
          <w:szCs w:val="28"/>
        </w:rPr>
      </w:pPr>
      <w:r>
        <w:rPr>
          <w:b/>
          <w:color w:val="000000"/>
          <w:sz w:val="28"/>
          <w:szCs w:val="28"/>
        </w:rPr>
        <w:t>Nr.</w:t>
      </w:r>
      <w:r w:rsidR="005F6E36" w:rsidRPr="00F921EE">
        <w:rPr>
          <w:b/>
          <w:color w:val="000000"/>
          <w:sz w:val="28"/>
          <w:szCs w:val="28"/>
        </w:rPr>
        <w:t>7</w:t>
      </w:r>
      <w:r w:rsidR="00CB6FD6">
        <w:rPr>
          <w:b/>
          <w:color w:val="000000"/>
          <w:sz w:val="28"/>
          <w:szCs w:val="28"/>
        </w:rPr>
        <w:t>27</w:t>
      </w:r>
      <w:r w:rsidR="005F6E36" w:rsidRPr="00F921EE">
        <w:rPr>
          <w:b/>
          <w:color w:val="000000"/>
          <w:sz w:val="28"/>
          <w:szCs w:val="28"/>
        </w:rPr>
        <w:t xml:space="preserve"> „</w:t>
      </w:r>
      <w:r w:rsidR="00CB6FD6">
        <w:rPr>
          <w:b/>
          <w:color w:val="000000"/>
          <w:sz w:val="28"/>
          <w:szCs w:val="28"/>
        </w:rPr>
        <w:t>Darbības programmas ”Pārtikas un pamata materiālās palīdzības sniegšana vistrūcīgākajām personām 2014.-2020. gada plānošanas periodā” īstenošanas noteikumi</w:t>
      </w:r>
      <w:r w:rsidR="005F6E36" w:rsidRPr="00F921EE">
        <w:rPr>
          <w:b/>
          <w:color w:val="000000"/>
          <w:sz w:val="28"/>
          <w:szCs w:val="28"/>
        </w:rPr>
        <w:t>””</w:t>
      </w:r>
    </w:p>
    <w:p w14:paraId="6C53311A" w14:textId="77777777" w:rsidR="00B445F0" w:rsidRDefault="00B76D85" w:rsidP="00C957EF">
      <w:pPr>
        <w:spacing w:line="276" w:lineRule="auto"/>
        <w:jc w:val="center"/>
        <w:rPr>
          <w:b/>
          <w:sz w:val="28"/>
          <w:szCs w:val="28"/>
        </w:rPr>
      </w:pPr>
      <w:r w:rsidRPr="00AC181D">
        <w:rPr>
          <w:b/>
          <w:sz w:val="28"/>
          <w:szCs w:val="28"/>
        </w:rPr>
        <w:t xml:space="preserve">sākotnējās ietekmes novērtējuma </w:t>
      </w:r>
      <w:smartTag w:uri="schemas-tilde-lv/tildestengine" w:element="veidnes">
        <w:smartTagPr>
          <w:attr w:name="text" w:val="ziņojums"/>
          <w:attr w:name="id" w:val="-1"/>
          <w:attr w:name="baseform" w:val="ziņojum|s"/>
        </w:smartTagPr>
        <w:r w:rsidRPr="00AC181D">
          <w:rPr>
            <w:b/>
            <w:sz w:val="28"/>
            <w:szCs w:val="28"/>
          </w:rPr>
          <w:t>ziņojums</w:t>
        </w:r>
      </w:smartTag>
      <w:r w:rsidRPr="00AC181D">
        <w:rPr>
          <w:b/>
          <w:sz w:val="28"/>
          <w:szCs w:val="28"/>
        </w:rPr>
        <w:t xml:space="preserve"> (anotācija)</w:t>
      </w:r>
    </w:p>
    <w:p w14:paraId="4E8FB498" w14:textId="77777777" w:rsidR="00B76D85" w:rsidRDefault="00B76D85" w:rsidP="00C957EF">
      <w:pPr>
        <w:spacing w:line="276" w:lineRule="auto"/>
        <w:jc w:val="center"/>
        <w:rPr>
          <w:b/>
          <w:sz w:val="28"/>
          <w:szCs w:val="28"/>
        </w:rPr>
      </w:pPr>
    </w:p>
    <w:tbl>
      <w:tblPr>
        <w:tblW w:w="5441" w:type="pct"/>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2153"/>
        <w:gridCol w:w="7446"/>
      </w:tblGrid>
      <w:tr w:rsidR="00194614" w:rsidRPr="00B76D85" w14:paraId="5690003D" w14:textId="77777777" w:rsidTr="00BB42DC">
        <w:tc>
          <w:tcPr>
            <w:tcW w:w="5000" w:type="pct"/>
            <w:gridSpan w:val="3"/>
            <w:shd w:val="clear" w:color="auto" w:fill="auto"/>
          </w:tcPr>
          <w:p w14:paraId="7A1018B0" w14:textId="77777777" w:rsidR="00194614" w:rsidRPr="006A7D0B" w:rsidRDefault="00C01716" w:rsidP="00E26FD9">
            <w:pPr>
              <w:spacing w:before="120" w:after="120" w:line="276" w:lineRule="auto"/>
              <w:jc w:val="center"/>
              <w:rPr>
                <w:b/>
              </w:rPr>
            </w:pPr>
            <w:r w:rsidRPr="006A7D0B">
              <w:rPr>
                <w:b/>
              </w:rPr>
              <w:t>I</w:t>
            </w:r>
            <w:r w:rsidR="00DC37D9" w:rsidRPr="006A7D0B">
              <w:rPr>
                <w:b/>
              </w:rPr>
              <w:t>.</w:t>
            </w:r>
            <w:r w:rsidRPr="006A7D0B">
              <w:rPr>
                <w:b/>
              </w:rPr>
              <w:t xml:space="preserve"> Tiesību </w:t>
            </w:r>
            <w:smartTag w:uri="schemas-tilde-lv/tildestengine" w:element="veidnes">
              <w:smartTagPr>
                <w:attr w:name="text" w:val="akta"/>
                <w:attr w:name="id" w:val="-1"/>
                <w:attr w:name="baseform" w:val="akt|s"/>
              </w:smartTagPr>
              <w:r w:rsidRPr="006A7D0B">
                <w:rPr>
                  <w:b/>
                </w:rPr>
                <w:t>akta</w:t>
              </w:r>
            </w:smartTag>
            <w:r w:rsidRPr="006A7D0B">
              <w:rPr>
                <w:b/>
              </w:rPr>
              <w:t xml:space="preserve"> projekta izstrādes nepieciešamība</w:t>
            </w:r>
          </w:p>
        </w:tc>
      </w:tr>
      <w:tr w:rsidR="00B76D85" w:rsidRPr="006A7D0B" w14:paraId="79C7E131" w14:textId="77777777" w:rsidTr="00BB42DC">
        <w:tc>
          <w:tcPr>
            <w:tcW w:w="251" w:type="pct"/>
            <w:shd w:val="clear" w:color="auto" w:fill="auto"/>
          </w:tcPr>
          <w:p w14:paraId="6D65F801" w14:textId="77777777" w:rsidR="00B76D85" w:rsidRPr="006A7D0B" w:rsidRDefault="00B76D85" w:rsidP="00C957EF">
            <w:pPr>
              <w:spacing w:line="276" w:lineRule="auto"/>
              <w:rPr>
                <w:sz w:val="22"/>
                <w:szCs w:val="22"/>
              </w:rPr>
            </w:pPr>
            <w:r w:rsidRPr="006A7D0B">
              <w:rPr>
                <w:sz w:val="22"/>
                <w:szCs w:val="22"/>
              </w:rPr>
              <w:t>1.</w:t>
            </w:r>
          </w:p>
        </w:tc>
        <w:tc>
          <w:tcPr>
            <w:tcW w:w="1065" w:type="pct"/>
            <w:shd w:val="clear" w:color="auto" w:fill="auto"/>
          </w:tcPr>
          <w:p w14:paraId="7BE82204" w14:textId="77777777" w:rsidR="00B76D85" w:rsidRPr="006A7D0B" w:rsidRDefault="00B76D85" w:rsidP="00C957EF">
            <w:pPr>
              <w:spacing w:line="276" w:lineRule="auto"/>
              <w:rPr>
                <w:sz w:val="22"/>
                <w:szCs w:val="22"/>
              </w:rPr>
            </w:pPr>
            <w:r w:rsidRPr="006A7D0B">
              <w:rPr>
                <w:sz w:val="22"/>
                <w:szCs w:val="22"/>
              </w:rPr>
              <w:t>Pamatojums</w:t>
            </w:r>
          </w:p>
        </w:tc>
        <w:tc>
          <w:tcPr>
            <w:tcW w:w="3684" w:type="pct"/>
            <w:shd w:val="clear" w:color="auto" w:fill="auto"/>
          </w:tcPr>
          <w:p w14:paraId="136DE3C6" w14:textId="77A90485" w:rsidR="00B76D85" w:rsidRPr="006A7D0B" w:rsidRDefault="00CB6FD6" w:rsidP="005B50C2">
            <w:pPr>
              <w:spacing w:before="120" w:after="120"/>
              <w:ind w:right="8"/>
              <w:jc w:val="both"/>
              <w:rPr>
                <w:i/>
                <w:color w:val="FF0000"/>
                <w:sz w:val="22"/>
                <w:szCs w:val="22"/>
              </w:rPr>
            </w:pPr>
            <w:r>
              <w:t>Ministru kabineta noteikumu projekts „Grozījumi Ministru kabineta 2014. gada 25. novembra noteikumos Nr.</w:t>
            </w:r>
            <w:r w:rsidR="00B320F5">
              <w:t> </w:t>
            </w:r>
            <w:r>
              <w:t>727 „Darbības programmas ”Pārtikas un pamata materiālās palīdzības sniegšana vistrūcīgākajām personām 2014.-2020. gada plānošanas periodā” īstenošanas noteikumi””</w:t>
            </w:r>
            <w:r w:rsidR="003819E0" w:rsidRPr="006A3716">
              <w:t xml:space="preserve"> (turpmāk - </w:t>
            </w:r>
            <w:r w:rsidR="000371BA">
              <w:t>n</w:t>
            </w:r>
            <w:r w:rsidR="003819E0" w:rsidRPr="006A3716">
              <w:t xml:space="preserve">oteikumu projekts) </w:t>
            </w:r>
            <w:r w:rsidR="003819E0" w:rsidRPr="00952ED3">
              <w:t xml:space="preserve">ir </w:t>
            </w:r>
            <w:r w:rsidR="003819E0" w:rsidRPr="00485B50">
              <w:t>izstrādāt</w:t>
            </w:r>
            <w:r w:rsidRPr="00485B50">
              <w:t>s</w:t>
            </w:r>
            <w:r w:rsidR="003819E0" w:rsidRPr="00485B50">
              <w:t xml:space="preserve"> pēc Labklājības ministrijas iniciatīvas</w:t>
            </w:r>
            <w:r w:rsidR="004B27DC">
              <w:t xml:space="preserve"> un </w:t>
            </w:r>
            <w:r w:rsidR="00DF476E">
              <w:t>nosaka izmaiņas</w:t>
            </w:r>
            <w:r w:rsidR="004B27DC" w:rsidRPr="00485B50">
              <w:t xml:space="preserve"> </w:t>
            </w:r>
            <w:r w:rsidRPr="00485B50">
              <w:t>Eiropas Atbalsta fonda vistrūcīgākajām personām</w:t>
            </w:r>
            <w:r w:rsidR="003819E0" w:rsidRPr="00485B50">
              <w:t xml:space="preserve"> </w:t>
            </w:r>
            <w:r w:rsidRPr="00485B50">
              <w:t>(turpmāk</w:t>
            </w:r>
            <w:r w:rsidR="00D35A01" w:rsidRPr="00485B50">
              <w:t xml:space="preserve"> </w:t>
            </w:r>
            <w:r w:rsidRPr="00485B50">
              <w:t xml:space="preserve">- </w:t>
            </w:r>
            <w:r w:rsidR="009F3688">
              <w:t>F</w:t>
            </w:r>
            <w:r w:rsidRPr="00485B50">
              <w:t>onds) darbības programmas “Pārtikas un pamata materiālās palīdzības</w:t>
            </w:r>
            <w:r w:rsidR="00D35A01" w:rsidRPr="00485B50">
              <w:t xml:space="preserve"> </w:t>
            </w:r>
            <w:r w:rsidRPr="00485B50">
              <w:t>sniegšana vistrūcīgākajām personām 2014.-2020. gada plānošanas periodā</w:t>
            </w:r>
            <w:r w:rsidR="00D35A01" w:rsidRPr="00485B50">
              <w:t xml:space="preserve">” </w:t>
            </w:r>
            <w:r w:rsidRPr="00485B50">
              <w:t>(turpmāk –</w:t>
            </w:r>
            <w:r w:rsidR="00D35A01" w:rsidRPr="00485B50">
              <w:t xml:space="preserve"> </w:t>
            </w:r>
            <w:r w:rsidRPr="00485B50">
              <w:t xml:space="preserve">darbības programma) </w:t>
            </w:r>
            <w:r w:rsidR="00D35A01" w:rsidRPr="00485B50">
              <w:t>atbalstāmo darbību</w:t>
            </w:r>
            <w:r w:rsidR="004B27DC">
              <w:t xml:space="preserve"> </w:t>
            </w:r>
            <w:r w:rsidR="003819E0" w:rsidRPr="00485B50">
              <w:t>īstenošanas nosacījum</w:t>
            </w:r>
            <w:r w:rsidR="00DF476E">
              <w:t>o</w:t>
            </w:r>
            <w:r w:rsidR="003819E0" w:rsidRPr="00485B50">
              <w:t>s</w:t>
            </w:r>
            <w:r w:rsidR="00BE710B" w:rsidRPr="00485B50">
              <w:t>.</w:t>
            </w:r>
          </w:p>
        </w:tc>
      </w:tr>
      <w:tr w:rsidR="00906632" w:rsidRPr="00496FDE" w14:paraId="6D03D37F" w14:textId="77777777" w:rsidTr="00BB42DC">
        <w:tc>
          <w:tcPr>
            <w:tcW w:w="251" w:type="pct"/>
            <w:shd w:val="clear" w:color="auto" w:fill="auto"/>
          </w:tcPr>
          <w:p w14:paraId="041712D6" w14:textId="77777777" w:rsidR="00B76D85" w:rsidRPr="006A7D0B" w:rsidRDefault="00B76D85" w:rsidP="00C957EF">
            <w:pPr>
              <w:spacing w:before="240" w:line="276" w:lineRule="auto"/>
              <w:rPr>
                <w:sz w:val="22"/>
                <w:szCs w:val="22"/>
              </w:rPr>
            </w:pPr>
            <w:r w:rsidRPr="006A7D0B">
              <w:rPr>
                <w:sz w:val="22"/>
                <w:szCs w:val="22"/>
              </w:rPr>
              <w:t xml:space="preserve">2. </w:t>
            </w:r>
          </w:p>
        </w:tc>
        <w:tc>
          <w:tcPr>
            <w:tcW w:w="1065" w:type="pct"/>
            <w:shd w:val="clear" w:color="auto" w:fill="auto"/>
          </w:tcPr>
          <w:p w14:paraId="043A3CF0" w14:textId="77777777" w:rsidR="00B76D85" w:rsidRPr="006A7D0B" w:rsidRDefault="004373E9" w:rsidP="00C957EF">
            <w:pPr>
              <w:spacing w:before="240" w:line="276" w:lineRule="auto"/>
              <w:rPr>
                <w:sz w:val="22"/>
                <w:szCs w:val="22"/>
              </w:rPr>
            </w:pPr>
            <w:r w:rsidRPr="00DD49B6">
              <w:t>Pašreizējā situācija un problēmas, kuru risināšanai tiesību akta projekts izstrādāts, tiesiskā regulējuma mērķis un būtība</w:t>
            </w:r>
          </w:p>
        </w:tc>
        <w:tc>
          <w:tcPr>
            <w:tcW w:w="3684" w:type="pct"/>
            <w:shd w:val="clear" w:color="auto" w:fill="auto"/>
          </w:tcPr>
          <w:p w14:paraId="33C36217" w14:textId="4A3D1D00" w:rsidR="00295C52" w:rsidRPr="00AC1A24" w:rsidRDefault="00295C52" w:rsidP="00707863">
            <w:pPr>
              <w:spacing w:before="120"/>
              <w:jc w:val="both"/>
            </w:pPr>
            <w:r w:rsidRPr="00AC1A24">
              <w:t>Fonda darbīb</w:t>
            </w:r>
            <w:r w:rsidR="00B320F5" w:rsidRPr="00AC1A24">
              <w:t xml:space="preserve">as programma apstiprināta </w:t>
            </w:r>
            <w:r w:rsidRPr="008B5C42">
              <w:t xml:space="preserve">ar Eiropas Komisijas </w:t>
            </w:r>
            <w:r w:rsidR="00D67F15" w:rsidRPr="008B5C42">
              <w:t xml:space="preserve">(turpmāk - EK) </w:t>
            </w:r>
            <w:r w:rsidR="00CC271E" w:rsidRPr="008B5C42">
              <w:t xml:space="preserve">2014. gada 30. oktobra </w:t>
            </w:r>
            <w:r w:rsidR="00D67F15" w:rsidRPr="008B5C42">
              <w:t xml:space="preserve">īstenošanas lēmumu </w:t>
            </w:r>
            <w:r w:rsidRPr="008B5C42">
              <w:t>C(2014)8214final.</w:t>
            </w:r>
            <w:r w:rsidRPr="00AC1A24">
              <w:t xml:space="preserve"> Dalībvalstis, tajā skaitā Latvija, 2015.</w:t>
            </w:r>
            <w:r w:rsidR="00B320F5" w:rsidRPr="00AC1A24">
              <w:t> </w:t>
            </w:r>
            <w:r w:rsidRPr="00AC1A24">
              <w:t>gadā uzsāka Fonda darbības programmas īstenošanu. Sniedzot pārtikas un pamata materiālās palīdzības atbalstu trūcīgajām un krīzes situācijā nonākušajām personām, 2015.</w:t>
            </w:r>
            <w:r w:rsidR="00B320F5" w:rsidRPr="00AC1A24">
              <w:t> </w:t>
            </w:r>
            <w:r w:rsidRPr="00AC1A24">
              <w:t>gadā veikts lietderības un efektivitātes novērtējums (turpmāk – novērtējums). Novērtējuma (2015) secinājumi par atbalsta dažādošanu un apjoma palielināšanu jau iestrādāti normatīvajā regulējumā</w:t>
            </w:r>
            <w:r w:rsidRPr="00AC1A24">
              <w:rPr>
                <w:vertAlign w:val="superscript"/>
              </w:rPr>
              <w:footnoteReference w:id="1"/>
            </w:r>
            <w:r w:rsidRPr="00AC1A24">
              <w:t>, nodrošināti pārtikas un pamata materiālās palīdzības preču iepirkumi un izmaiņas atbalsta nosacījumos jau ieviestas.</w:t>
            </w:r>
          </w:p>
          <w:p w14:paraId="434BF2C4" w14:textId="13F2E78D" w:rsidR="005B7B1E" w:rsidRPr="00AC1A24" w:rsidRDefault="00295C52" w:rsidP="00707863">
            <w:pPr>
              <w:spacing w:before="120"/>
              <w:jc w:val="both"/>
            </w:pPr>
            <w:r w:rsidRPr="00AC1A24">
              <w:t>Novērtējuma (2016) uzmanības lokā līdztekus atbalsta saņēmēju apmierinātības vērtējumam un ietekmes uz ģimenes budžetu analīzei bija uz nabadzības un sociālās atstumtības statistikas datiem balstīta situācijas izpēte, kas liecina</w:t>
            </w:r>
            <w:r w:rsidR="005B7B1E" w:rsidRPr="00AC1A24">
              <w:t xml:space="preserve"> par</w:t>
            </w:r>
            <w:r w:rsidR="00970AFC" w:rsidRPr="00AC1A24">
              <w:t>:</w:t>
            </w:r>
          </w:p>
          <w:p w14:paraId="62D78150" w14:textId="22BE8019" w:rsidR="005B7B1E" w:rsidRPr="00AC1A24" w:rsidRDefault="005B7B1E" w:rsidP="00707863">
            <w:pPr>
              <w:pStyle w:val="ListParagraph"/>
              <w:numPr>
                <w:ilvl w:val="0"/>
                <w:numId w:val="27"/>
              </w:numPr>
              <w:spacing w:before="120" w:line="240" w:lineRule="auto"/>
              <w:jc w:val="both"/>
              <w:rPr>
                <w:rFonts w:ascii="Times New Roman" w:hAnsi="Times New Roman"/>
                <w:sz w:val="24"/>
                <w:szCs w:val="24"/>
              </w:rPr>
            </w:pPr>
            <w:r w:rsidRPr="00AC1A24">
              <w:rPr>
                <w:rFonts w:ascii="Times New Roman" w:hAnsi="Times New Roman"/>
                <w:sz w:val="24"/>
                <w:szCs w:val="24"/>
              </w:rPr>
              <w:t>iedzīvotāju dziļas materiālās nenodrošinātības saglabāšanos, kaut arī vērojama samazinoša tendence, skatīt 1.</w:t>
            </w:r>
            <w:r w:rsidR="00B320F5" w:rsidRPr="00AC1A24">
              <w:rPr>
                <w:rFonts w:ascii="Times New Roman" w:hAnsi="Times New Roman"/>
                <w:sz w:val="24"/>
                <w:szCs w:val="24"/>
              </w:rPr>
              <w:t xml:space="preserve"> </w:t>
            </w:r>
            <w:r w:rsidR="001D1952" w:rsidRPr="00AC1A24">
              <w:rPr>
                <w:rFonts w:ascii="Times New Roman" w:hAnsi="Times New Roman"/>
                <w:sz w:val="24"/>
                <w:szCs w:val="24"/>
              </w:rPr>
              <w:t>un 2.</w:t>
            </w:r>
            <w:r w:rsidRPr="00AC1A24">
              <w:rPr>
                <w:rFonts w:ascii="Times New Roman" w:hAnsi="Times New Roman"/>
                <w:sz w:val="24"/>
                <w:szCs w:val="24"/>
              </w:rPr>
              <w:t xml:space="preserve"> attēlu;</w:t>
            </w:r>
          </w:p>
          <w:p w14:paraId="0F046109" w14:textId="407B1317" w:rsidR="005B7B1E" w:rsidRPr="00AC1A24" w:rsidRDefault="005B7B1E" w:rsidP="00707863">
            <w:pPr>
              <w:pStyle w:val="ListParagraph"/>
              <w:numPr>
                <w:ilvl w:val="0"/>
                <w:numId w:val="27"/>
              </w:numPr>
              <w:spacing w:before="120" w:line="240" w:lineRule="auto"/>
              <w:jc w:val="both"/>
              <w:rPr>
                <w:rFonts w:ascii="Times New Roman" w:hAnsi="Times New Roman"/>
                <w:sz w:val="24"/>
                <w:szCs w:val="24"/>
              </w:rPr>
            </w:pPr>
            <w:r w:rsidRPr="00AC1A24">
              <w:rPr>
                <w:rFonts w:ascii="Times New Roman" w:hAnsi="Times New Roman"/>
                <w:sz w:val="24"/>
                <w:szCs w:val="24"/>
              </w:rPr>
              <w:t>augstāko nabadzības risku vairāku gadu garumā nepilnajās un daudzbērnu ģimenēs, kā arī vienas personas mājsaimniecībās</w:t>
            </w:r>
            <w:r w:rsidR="00707863" w:rsidRPr="00AC1A24">
              <w:rPr>
                <w:rFonts w:ascii="Times New Roman" w:hAnsi="Times New Roman"/>
                <w:sz w:val="24"/>
                <w:szCs w:val="24"/>
              </w:rPr>
              <w:t xml:space="preserve">, </w:t>
            </w:r>
            <w:r w:rsidRPr="00AC1A24">
              <w:rPr>
                <w:rFonts w:ascii="Times New Roman" w:hAnsi="Times New Roman"/>
                <w:sz w:val="24"/>
                <w:szCs w:val="24"/>
              </w:rPr>
              <w:t xml:space="preserve">skatīt </w:t>
            </w:r>
            <w:r w:rsidR="001D1952" w:rsidRPr="00AC1A24">
              <w:rPr>
                <w:rFonts w:ascii="Times New Roman" w:hAnsi="Times New Roman"/>
                <w:sz w:val="24"/>
                <w:szCs w:val="24"/>
              </w:rPr>
              <w:t>3</w:t>
            </w:r>
            <w:r w:rsidRPr="00AC1A24">
              <w:rPr>
                <w:rFonts w:ascii="Times New Roman" w:hAnsi="Times New Roman"/>
                <w:sz w:val="24"/>
                <w:szCs w:val="24"/>
              </w:rPr>
              <w:t>. attēlu;</w:t>
            </w:r>
            <w:r w:rsidR="00295C52" w:rsidRPr="00AC1A24">
              <w:rPr>
                <w:rFonts w:ascii="Times New Roman" w:hAnsi="Times New Roman"/>
                <w:sz w:val="24"/>
                <w:szCs w:val="24"/>
              </w:rPr>
              <w:t xml:space="preserve"> </w:t>
            </w:r>
          </w:p>
          <w:p w14:paraId="6996C9B8" w14:textId="0144F6E8" w:rsidR="00295C52" w:rsidRPr="00AC1A24" w:rsidRDefault="00295C52" w:rsidP="00707863">
            <w:pPr>
              <w:pStyle w:val="ListParagraph"/>
              <w:numPr>
                <w:ilvl w:val="0"/>
                <w:numId w:val="27"/>
              </w:numPr>
              <w:spacing w:before="120" w:line="240" w:lineRule="auto"/>
              <w:jc w:val="both"/>
              <w:rPr>
                <w:rFonts w:ascii="Times New Roman" w:hAnsi="Times New Roman"/>
                <w:sz w:val="24"/>
                <w:szCs w:val="24"/>
              </w:rPr>
            </w:pPr>
            <w:r w:rsidRPr="00AC1A24">
              <w:rPr>
                <w:rFonts w:ascii="Times New Roman" w:hAnsi="Times New Roman"/>
                <w:sz w:val="24"/>
                <w:szCs w:val="24"/>
              </w:rPr>
              <w:t xml:space="preserve">atbalsta </w:t>
            </w:r>
            <w:r w:rsidR="00707863" w:rsidRPr="00AC1A24">
              <w:rPr>
                <w:rFonts w:ascii="Times New Roman" w:hAnsi="Times New Roman"/>
                <w:sz w:val="24"/>
                <w:szCs w:val="24"/>
              </w:rPr>
              <w:t xml:space="preserve">iespējamo </w:t>
            </w:r>
            <w:r w:rsidRPr="00AC1A24">
              <w:rPr>
                <w:rFonts w:ascii="Times New Roman" w:hAnsi="Times New Roman"/>
                <w:sz w:val="24"/>
                <w:szCs w:val="24"/>
              </w:rPr>
              <w:t xml:space="preserve">saņēmēju skaita ikgadēju </w:t>
            </w:r>
            <w:r w:rsidR="005B7B1E" w:rsidRPr="00AC1A24">
              <w:rPr>
                <w:rFonts w:ascii="Times New Roman" w:hAnsi="Times New Roman"/>
                <w:sz w:val="24"/>
                <w:szCs w:val="24"/>
              </w:rPr>
              <w:t xml:space="preserve">strauju </w:t>
            </w:r>
            <w:r w:rsidRPr="00AC1A24">
              <w:rPr>
                <w:rFonts w:ascii="Times New Roman" w:hAnsi="Times New Roman"/>
                <w:sz w:val="24"/>
                <w:szCs w:val="24"/>
              </w:rPr>
              <w:t>samazināšanos</w:t>
            </w:r>
            <w:r w:rsidR="001377FA" w:rsidRPr="00AC1A24">
              <w:rPr>
                <w:rFonts w:ascii="Times New Roman" w:hAnsi="Times New Roman"/>
                <w:sz w:val="24"/>
                <w:szCs w:val="24"/>
              </w:rPr>
              <w:t xml:space="preserve">, skatīt </w:t>
            </w:r>
            <w:r w:rsidR="001D1952" w:rsidRPr="00AC1A24">
              <w:rPr>
                <w:rFonts w:ascii="Times New Roman" w:hAnsi="Times New Roman"/>
                <w:sz w:val="24"/>
                <w:szCs w:val="24"/>
              </w:rPr>
              <w:t>4</w:t>
            </w:r>
            <w:r w:rsidR="001377FA" w:rsidRPr="00AC1A24">
              <w:rPr>
                <w:rFonts w:ascii="Times New Roman" w:hAnsi="Times New Roman"/>
                <w:sz w:val="24"/>
                <w:szCs w:val="24"/>
              </w:rPr>
              <w:t>.</w:t>
            </w:r>
            <w:r w:rsidR="00707863" w:rsidRPr="00AC1A24">
              <w:rPr>
                <w:rFonts w:ascii="Times New Roman" w:hAnsi="Times New Roman"/>
                <w:sz w:val="24"/>
                <w:szCs w:val="24"/>
              </w:rPr>
              <w:t xml:space="preserve"> un </w:t>
            </w:r>
            <w:r w:rsidR="001D1952" w:rsidRPr="00AC1A24">
              <w:rPr>
                <w:rFonts w:ascii="Times New Roman" w:hAnsi="Times New Roman"/>
                <w:sz w:val="24"/>
                <w:szCs w:val="24"/>
              </w:rPr>
              <w:t>5</w:t>
            </w:r>
            <w:r w:rsidR="00707863" w:rsidRPr="00AC1A24">
              <w:rPr>
                <w:rFonts w:ascii="Times New Roman" w:hAnsi="Times New Roman"/>
                <w:sz w:val="24"/>
                <w:szCs w:val="24"/>
              </w:rPr>
              <w:t>.</w:t>
            </w:r>
            <w:r w:rsidR="00B320F5" w:rsidRPr="00AC1A24">
              <w:rPr>
                <w:rFonts w:ascii="Times New Roman" w:hAnsi="Times New Roman"/>
                <w:sz w:val="24"/>
                <w:szCs w:val="24"/>
              </w:rPr>
              <w:t> </w:t>
            </w:r>
            <w:r w:rsidR="001377FA" w:rsidRPr="00AC1A24">
              <w:rPr>
                <w:rFonts w:ascii="Times New Roman" w:hAnsi="Times New Roman"/>
                <w:sz w:val="24"/>
                <w:szCs w:val="24"/>
              </w:rPr>
              <w:t>attēlu</w:t>
            </w:r>
            <w:r w:rsidR="00707863" w:rsidRPr="00AC1A24">
              <w:rPr>
                <w:rFonts w:ascii="Times New Roman" w:hAnsi="Times New Roman"/>
                <w:sz w:val="24"/>
                <w:szCs w:val="24"/>
              </w:rPr>
              <w:t>.</w:t>
            </w:r>
            <w:r w:rsidR="005B7B1E" w:rsidRPr="00AC1A24">
              <w:rPr>
                <w:rFonts w:ascii="Times New Roman" w:hAnsi="Times New Roman"/>
                <w:sz w:val="24"/>
                <w:szCs w:val="24"/>
              </w:rPr>
              <w:t xml:space="preserve"> </w:t>
            </w:r>
          </w:p>
          <w:p w14:paraId="39750304" w14:textId="77777777" w:rsidR="00707863" w:rsidRPr="00AC1A24" w:rsidRDefault="00707863" w:rsidP="00707863">
            <w:pPr>
              <w:pStyle w:val="ListParagraph"/>
              <w:spacing w:before="120" w:line="240" w:lineRule="auto"/>
              <w:ind w:left="0"/>
              <w:jc w:val="both"/>
              <w:rPr>
                <w:rFonts w:ascii="Times New Roman" w:hAnsi="Times New Roman"/>
                <w:sz w:val="24"/>
                <w:szCs w:val="24"/>
              </w:rPr>
            </w:pPr>
            <w:r w:rsidRPr="00AC1A24">
              <w:rPr>
                <w:rFonts w:ascii="Times New Roman" w:hAnsi="Times New Roman"/>
                <w:sz w:val="24"/>
                <w:szCs w:val="24"/>
              </w:rPr>
              <w:t>Saskaņā ar CSP datiem mazinājusies iedzīvotāju dziļā materiālā nenodrošinātība, tostarp arī to iedzīvotāju vidū, kas ir zem nabadzības riska sliekšņa un pirmajā ienākumu kvintilē.</w:t>
            </w:r>
          </w:p>
          <w:p w14:paraId="57B46DC7" w14:textId="54F4DD2E" w:rsidR="004513E4" w:rsidRPr="00AC1A24" w:rsidRDefault="00707863" w:rsidP="002E2ABC">
            <w:pPr>
              <w:pStyle w:val="ListParagraph"/>
              <w:spacing w:before="120" w:line="240" w:lineRule="auto"/>
              <w:ind w:left="0"/>
              <w:jc w:val="both"/>
              <w:rPr>
                <w:rFonts w:ascii="Times New Roman" w:hAnsi="Times New Roman"/>
                <w:i/>
                <w:sz w:val="24"/>
                <w:szCs w:val="24"/>
              </w:rPr>
            </w:pPr>
            <w:r w:rsidRPr="00AC1A24">
              <w:rPr>
                <w:rFonts w:ascii="Times New Roman" w:hAnsi="Times New Roman"/>
                <w:sz w:val="24"/>
                <w:szCs w:val="24"/>
              </w:rPr>
              <w:t>2012.</w:t>
            </w:r>
            <w:r w:rsidR="00B320F5" w:rsidRPr="00AC1A24">
              <w:rPr>
                <w:rFonts w:ascii="Times New Roman" w:hAnsi="Times New Roman"/>
                <w:sz w:val="24"/>
                <w:szCs w:val="24"/>
              </w:rPr>
              <w:t> </w:t>
            </w:r>
            <w:r w:rsidRPr="00AC1A24">
              <w:rPr>
                <w:rFonts w:ascii="Times New Roman" w:hAnsi="Times New Roman"/>
                <w:sz w:val="24"/>
                <w:szCs w:val="24"/>
              </w:rPr>
              <w:t>gadā izteikti materiāli nenodrošināti bija 25,6</w:t>
            </w:r>
            <w:r w:rsidR="00B320F5" w:rsidRPr="00AC1A24">
              <w:rPr>
                <w:rFonts w:ascii="Times New Roman" w:hAnsi="Times New Roman"/>
                <w:sz w:val="24"/>
                <w:szCs w:val="24"/>
              </w:rPr>
              <w:t> </w:t>
            </w:r>
            <w:r w:rsidRPr="00AC1A24">
              <w:rPr>
                <w:rFonts w:ascii="Times New Roman" w:hAnsi="Times New Roman"/>
                <w:sz w:val="24"/>
                <w:szCs w:val="24"/>
              </w:rPr>
              <w:t xml:space="preserve">% Latvijas </w:t>
            </w:r>
            <w:r w:rsidRPr="00AC1A24">
              <w:rPr>
                <w:rFonts w:ascii="Times New Roman" w:hAnsi="Times New Roman"/>
                <w:sz w:val="24"/>
                <w:szCs w:val="24"/>
              </w:rPr>
              <w:lastRenderedPageBreak/>
              <w:t>iedzīvotāju. Kopš 2012.</w:t>
            </w:r>
            <w:r w:rsidR="00B320F5" w:rsidRPr="00AC1A24">
              <w:rPr>
                <w:rFonts w:ascii="Times New Roman" w:hAnsi="Times New Roman"/>
                <w:sz w:val="24"/>
                <w:szCs w:val="24"/>
              </w:rPr>
              <w:t> </w:t>
            </w:r>
            <w:r w:rsidRPr="00AC1A24">
              <w:rPr>
                <w:rFonts w:ascii="Times New Roman" w:hAnsi="Times New Roman"/>
                <w:sz w:val="24"/>
                <w:szCs w:val="24"/>
              </w:rPr>
              <w:t>gada situācija ir nedaudz uzlabojusies, un 2013.</w:t>
            </w:r>
            <w:r w:rsidR="00B320F5" w:rsidRPr="00AC1A24">
              <w:rPr>
                <w:rFonts w:ascii="Times New Roman" w:hAnsi="Times New Roman"/>
                <w:sz w:val="24"/>
                <w:szCs w:val="24"/>
              </w:rPr>
              <w:t> </w:t>
            </w:r>
            <w:r w:rsidRPr="00AC1A24">
              <w:rPr>
                <w:rFonts w:ascii="Times New Roman" w:hAnsi="Times New Roman"/>
                <w:sz w:val="24"/>
                <w:szCs w:val="24"/>
              </w:rPr>
              <w:t>gadā šādu iedzīvotāju bija 24</w:t>
            </w:r>
            <w:r w:rsidR="00B320F5" w:rsidRPr="00AC1A24">
              <w:rPr>
                <w:rFonts w:ascii="Times New Roman" w:hAnsi="Times New Roman"/>
                <w:sz w:val="24"/>
                <w:szCs w:val="24"/>
              </w:rPr>
              <w:t> </w:t>
            </w:r>
            <w:r w:rsidRPr="00AC1A24">
              <w:rPr>
                <w:rFonts w:ascii="Times New Roman" w:hAnsi="Times New Roman"/>
                <w:sz w:val="24"/>
                <w:szCs w:val="24"/>
              </w:rPr>
              <w:t>%, 2014. gadā - 19,2</w:t>
            </w:r>
            <w:r w:rsidR="00B320F5" w:rsidRPr="00AC1A24">
              <w:rPr>
                <w:rFonts w:ascii="Times New Roman" w:hAnsi="Times New Roman"/>
                <w:sz w:val="24"/>
                <w:szCs w:val="24"/>
              </w:rPr>
              <w:t> </w:t>
            </w:r>
            <w:r w:rsidRPr="00AC1A24">
              <w:rPr>
                <w:rFonts w:ascii="Times New Roman" w:hAnsi="Times New Roman"/>
                <w:sz w:val="24"/>
                <w:szCs w:val="24"/>
              </w:rPr>
              <w:t>%, bet 2015. gadā - 16,4</w:t>
            </w:r>
            <w:r w:rsidR="00B320F5" w:rsidRPr="00AC1A24">
              <w:rPr>
                <w:rFonts w:ascii="Times New Roman" w:hAnsi="Times New Roman"/>
                <w:sz w:val="24"/>
                <w:szCs w:val="24"/>
              </w:rPr>
              <w:t> </w:t>
            </w:r>
            <w:r w:rsidRPr="00AC1A24">
              <w:rPr>
                <w:rFonts w:ascii="Times New Roman" w:hAnsi="Times New Roman"/>
                <w:sz w:val="24"/>
                <w:szCs w:val="24"/>
              </w:rPr>
              <w:t>%. 2016.</w:t>
            </w:r>
            <w:r w:rsidR="00B320F5" w:rsidRPr="00AC1A24">
              <w:rPr>
                <w:rFonts w:ascii="Times New Roman" w:hAnsi="Times New Roman"/>
                <w:sz w:val="24"/>
                <w:szCs w:val="24"/>
              </w:rPr>
              <w:t> </w:t>
            </w:r>
            <w:r w:rsidRPr="00AC1A24">
              <w:rPr>
                <w:rFonts w:ascii="Times New Roman" w:hAnsi="Times New Roman"/>
                <w:sz w:val="24"/>
                <w:szCs w:val="24"/>
              </w:rPr>
              <w:t>gadā dziļai materiālajai nenodrošinātībai pakļauto iedzīvotāju īpatsvars salīdzinot ar 2015. gadu samazinājies vēl par 3,6 %, sasniedzot 12,8</w:t>
            </w:r>
            <w:r w:rsidR="00B320F5" w:rsidRPr="00AC1A24">
              <w:rPr>
                <w:rFonts w:ascii="Times New Roman" w:hAnsi="Times New Roman"/>
                <w:sz w:val="24"/>
                <w:szCs w:val="24"/>
              </w:rPr>
              <w:t> </w:t>
            </w:r>
            <w:r w:rsidRPr="00AC1A24">
              <w:rPr>
                <w:rFonts w:ascii="Times New Roman" w:hAnsi="Times New Roman"/>
                <w:sz w:val="24"/>
                <w:szCs w:val="24"/>
              </w:rPr>
              <w:t>%.</w:t>
            </w:r>
          </w:p>
          <w:p w14:paraId="620DEE28" w14:textId="77777777" w:rsidR="00663829" w:rsidRPr="00AC1A24" w:rsidRDefault="00663829" w:rsidP="00663829">
            <w:pPr>
              <w:pStyle w:val="ListParagraph"/>
              <w:spacing w:before="240"/>
              <w:ind w:left="263" w:right="537"/>
              <w:jc w:val="center"/>
              <w:rPr>
                <w:rFonts w:ascii="Times New Roman" w:hAnsi="Times New Roman"/>
                <w:sz w:val="24"/>
                <w:szCs w:val="24"/>
              </w:rPr>
            </w:pPr>
          </w:p>
          <w:p w14:paraId="23B2166F" w14:textId="3B9BC629" w:rsidR="00663829" w:rsidRPr="00AC1A24" w:rsidRDefault="00663829" w:rsidP="00663829">
            <w:pPr>
              <w:pStyle w:val="ListParagraph"/>
              <w:spacing w:before="240"/>
              <w:ind w:left="263" w:right="537"/>
              <w:jc w:val="center"/>
              <w:rPr>
                <w:rFonts w:ascii="Times New Roman" w:hAnsi="Times New Roman"/>
                <w:sz w:val="24"/>
                <w:szCs w:val="24"/>
              </w:rPr>
            </w:pPr>
            <w:r w:rsidRPr="00AC1A24">
              <w:rPr>
                <w:rFonts w:ascii="Times New Roman" w:hAnsi="Times New Roman"/>
                <w:sz w:val="24"/>
                <w:szCs w:val="24"/>
              </w:rPr>
              <w:t>1. att. Iedzīvotāju dziļā materiālā nenodrošinātība Latvijā, % no kopējā iedzīvotāju skaita</w:t>
            </w:r>
          </w:p>
          <w:p w14:paraId="4ACCA153" w14:textId="1F0F5118" w:rsidR="00707863" w:rsidRPr="00AC1A24" w:rsidRDefault="003658BA" w:rsidP="004A3DBE">
            <w:pPr>
              <w:pStyle w:val="ListParagraph"/>
              <w:spacing w:before="120" w:line="240" w:lineRule="auto"/>
              <w:ind w:left="263" w:right="1267"/>
              <w:jc w:val="both"/>
              <w:rPr>
                <w:rFonts w:ascii="Times New Roman" w:hAnsi="Times New Roman"/>
                <w:i/>
                <w:sz w:val="24"/>
                <w:szCs w:val="24"/>
              </w:rPr>
            </w:pPr>
            <w:r w:rsidRPr="00AC1A24">
              <w:rPr>
                <w:rFonts w:ascii="Times New Roman" w:hAnsi="Times New Roman"/>
                <w:noProof/>
                <w:sz w:val="24"/>
                <w:szCs w:val="24"/>
                <w:lang w:eastAsia="lv-LV"/>
              </w:rPr>
              <w:drawing>
                <wp:inline distT="0" distB="0" distL="0" distR="0" wp14:anchorId="688E4110" wp14:editId="24094133">
                  <wp:extent cx="4385310" cy="206502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707863" w:rsidRPr="00AC1A24">
              <w:rPr>
                <w:rFonts w:ascii="Times New Roman" w:hAnsi="Times New Roman"/>
                <w:i/>
                <w:sz w:val="24"/>
                <w:szCs w:val="24"/>
              </w:rPr>
              <w:t>Avots: CSP datu bāze, MNG14</w:t>
            </w:r>
          </w:p>
          <w:p w14:paraId="0C3DA438" w14:textId="77777777" w:rsidR="001D1952" w:rsidRPr="00AC1A24" w:rsidRDefault="001D1952" w:rsidP="00B006A4">
            <w:pPr>
              <w:pStyle w:val="ListParagraph"/>
              <w:spacing w:before="120" w:line="240" w:lineRule="auto"/>
              <w:ind w:left="210"/>
              <w:jc w:val="both"/>
              <w:rPr>
                <w:rFonts w:ascii="Times New Roman" w:hAnsi="Times New Roman"/>
                <w:sz w:val="24"/>
                <w:szCs w:val="24"/>
              </w:rPr>
            </w:pPr>
          </w:p>
          <w:p w14:paraId="0F41DAD6" w14:textId="2CD609D7" w:rsidR="00606886" w:rsidRPr="00AC1A24" w:rsidRDefault="00B006A4" w:rsidP="00EB0F03">
            <w:pPr>
              <w:pStyle w:val="ListParagraph"/>
              <w:spacing w:before="120" w:line="240" w:lineRule="auto"/>
              <w:ind w:left="0"/>
              <w:jc w:val="both"/>
              <w:rPr>
                <w:rFonts w:ascii="Times New Roman" w:hAnsi="Times New Roman"/>
                <w:sz w:val="24"/>
                <w:szCs w:val="24"/>
              </w:rPr>
            </w:pPr>
            <w:r w:rsidRPr="00AC1A24">
              <w:rPr>
                <w:rFonts w:ascii="Times New Roman" w:hAnsi="Times New Roman"/>
                <w:sz w:val="24"/>
                <w:szCs w:val="24"/>
              </w:rPr>
              <w:t>Līdzīgas izmaiņas situācijā vērojamas par iedzīvotājiem zem nabadzības riska sliekšņa. Atbilstoši CSP datiem 49,2</w:t>
            </w:r>
            <w:r w:rsidR="00B320F5" w:rsidRPr="00AC1A24">
              <w:rPr>
                <w:rFonts w:ascii="Times New Roman" w:hAnsi="Times New Roman"/>
                <w:sz w:val="24"/>
                <w:szCs w:val="24"/>
              </w:rPr>
              <w:t> </w:t>
            </w:r>
            <w:r w:rsidRPr="00AC1A24">
              <w:rPr>
                <w:rFonts w:ascii="Times New Roman" w:hAnsi="Times New Roman"/>
                <w:sz w:val="24"/>
                <w:szCs w:val="24"/>
              </w:rPr>
              <w:t>% no iedzīvotājiem, kuru ienākumi ir zemāki par nabadzības riska slieksni, 2012.</w:t>
            </w:r>
            <w:r w:rsidR="00B320F5" w:rsidRPr="00AC1A24">
              <w:rPr>
                <w:rFonts w:ascii="Times New Roman" w:hAnsi="Times New Roman"/>
                <w:sz w:val="24"/>
                <w:szCs w:val="24"/>
              </w:rPr>
              <w:t> </w:t>
            </w:r>
            <w:r w:rsidRPr="00AC1A24">
              <w:rPr>
                <w:rFonts w:ascii="Times New Roman" w:hAnsi="Times New Roman"/>
                <w:sz w:val="24"/>
                <w:szCs w:val="24"/>
              </w:rPr>
              <w:t>gadā nevarēja atļauties ēst gaļu, putnu gaļu vai zivis katru otro dienu. 2013. gadā šādu cilvēku īpatsvars bija 49,6</w:t>
            </w:r>
            <w:r w:rsidR="00B320F5" w:rsidRPr="00AC1A24">
              <w:rPr>
                <w:rFonts w:ascii="Times New Roman" w:hAnsi="Times New Roman"/>
                <w:sz w:val="24"/>
                <w:szCs w:val="24"/>
              </w:rPr>
              <w:t> </w:t>
            </w:r>
            <w:r w:rsidRPr="00AC1A24">
              <w:rPr>
                <w:rFonts w:ascii="Times New Roman" w:hAnsi="Times New Roman"/>
                <w:sz w:val="24"/>
                <w:szCs w:val="24"/>
              </w:rPr>
              <w:t>%, 2014. gadā – 43,1</w:t>
            </w:r>
            <w:r w:rsidR="00B320F5" w:rsidRPr="00AC1A24">
              <w:rPr>
                <w:rFonts w:ascii="Times New Roman" w:hAnsi="Times New Roman"/>
                <w:sz w:val="24"/>
                <w:szCs w:val="24"/>
              </w:rPr>
              <w:t> </w:t>
            </w:r>
            <w:r w:rsidRPr="00AC1A24">
              <w:rPr>
                <w:rFonts w:ascii="Times New Roman" w:hAnsi="Times New Roman"/>
                <w:sz w:val="24"/>
                <w:szCs w:val="24"/>
              </w:rPr>
              <w:t>%, 2015. gadā</w:t>
            </w:r>
            <w:r w:rsidR="00606886" w:rsidRPr="00AC1A24">
              <w:rPr>
                <w:rFonts w:ascii="Times New Roman" w:hAnsi="Times New Roman"/>
                <w:sz w:val="24"/>
                <w:szCs w:val="24"/>
              </w:rPr>
              <w:t xml:space="preserve"> – 38,4 %, bet 2016. gadā 37,3</w:t>
            </w:r>
            <w:r w:rsidR="00B320F5" w:rsidRPr="00AC1A24">
              <w:rPr>
                <w:rFonts w:ascii="Times New Roman" w:hAnsi="Times New Roman"/>
                <w:sz w:val="24"/>
                <w:szCs w:val="24"/>
              </w:rPr>
              <w:t> </w:t>
            </w:r>
            <w:r w:rsidR="00606886" w:rsidRPr="00AC1A24">
              <w:rPr>
                <w:rFonts w:ascii="Times New Roman" w:hAnsi="Times New Roman"/>
                <w:sz w:val="24"/>
                <w:szCs w:val="24"/>
              </w:rPr>
              <w:t>%.</w:t>
            </w:r>
          </w:p>
          <w:p w14:paraId="25CEB364" w14:textId="77777777" w:rsidR="00663829" w:rsidRPr="00AC1A24" w:rsidRDefault="00606886" w:rsidP="00663829">
            <w:pPr>
              <w:pStyle w:val="ListParagraph"/>
              <w:spacing w:before="120" w:line="240" w:lineRule="auto"/>
              <w:ind w:left="210" w:right="744"/>
              <w:jc w:val="both"/>
              <w:rPr>
                <w:rFonts w:ascii="Times New Roman" w:hAnsi="Times New Roman"/>
                <w:sz w:val="24"/>
                <w:szCs w:val="24"/>
              </w:rPr>
            </w:pPr>
            <w:r w:rsidRPr="00AC1A24">
              <w:rPr>
                <w:rFonts w:ascii="Times New Roman" w:hAnsi="Times New Roman"/>
                <w:sz w:val="24"/>
                <w:szCs w:val="24"/>
              </w:rPr>
              <w:t xml:space="preserve">   </w:t>
            </w:r>
          </w:p>
          <w:p w14:paraId="3FBA57C1" w14:textId="05C4CA4A" w:rsidR="00663829" w:rsidRPr="00AC1A24" w:rsidRDefault="00663829" w:rsidP="00663829">
            <w:pPr>
              <w:pStyle w:val="ListParagraph"/>
              <w:spacing w:before="120" w:line="240" w:lineRule="auto"/>
              <w:ind w:left="210" w:right="744"/>
              <w:jc w:val="center"/>
              <w:rPr>
                <w:rFonts w:ascii="Times New Roman" w:hAnsi="Times New Roman"/>
                <w:sz w:val="24"/>
                <w:szCs w:val="24"/>
              </w:rPr>
            </w:pPr>
            <w:r w:rsidRPr="00AC1A24">
              <w:rPr>
                <w:rFonts w:ascii="Times New Roman" w:hAnsi="Times New Roman"/>
                <w:sz w:val="24"/>
                <w:szCs w:val="24"/>
              </w:rPr>
              <w:t xml:space="preserve">2. att. Iedzīvotāju </w:t>
            </w:r>
            <w:r w:rsidRPr="00AC1A24">
              <w:rPr>
                <w:rFonts w:ascii="Times New Roman" w:hAnsi="Times New Roman"/>
                <w:bCs/>
                <w:sz w:val="24"/>
                <w:szCs w:val="24"/>
              </w:rPr>
              <w:t>(ar ienākumiem zem nabadzības riska sliekšņa) īpatsvars % Latvijā, kas nevar atļauties ēst gaļu, putnu gaļu vai zivis katru otro dienu</w:t>
            </w:r>
          </w:p>
          <w:p w14:paraId="2B3EC6C7" w14:textId="7AA5CFC9" w:rsidR="00E40160" w:rsidRPr="00AC1A24" w:rsidRDefault="003658BA" w:rsidP="003658BA">
            <w:pPr>
              <w:pStyle w:val="ListParagraph"/>
              <w:spacing w:before="120" w:line="240" w:lineRule="auto"/>
              <w:ind w:left="210" w:right="744"/>
              <w:jc w:val="both"/>
              <w:rPr>
                <w:rFonts w:ascii="Times New Roman" w:hAnsi="Times New Roman"/>
                <w:sz w:val="24"/>
                <w:szCs w:val="24"/>
              </w:rPr>
            </w:pPr>
            <w:r w:rsidRPr="00AC1A24">
              <w:rPr>
                <w:rFonts w:ascii="Times New Roman" w:hAnsi="Times New Roman"/>
                <w:noProof/>
                <w:sz w:val="24"/>
                <w:szCs w:val="24"/>
                <w:lang w:eastAsia="lv-LV"/>
              </w:rPr>
              <w:drawing>
                <wp:inline distT="0" distB="0" distL="0" distR="0" wp14:anchorId="462138E5" wp14:editId="046C51AF">
                  <wp:extent cx="4450080" cy="1668780"/>
                  <wp:effectExtent l="0" t="0" r="7620" b="762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606886" w:rsidRPr="00AC1A24">
              <w:rPr>
                <w:rFonts w:ascii="Times New Roman" w:hAnsi="Times New Roman"/>
                <w:sz w:val="24"/>
                <w:szCs w:val="24"/>
              </w:rPr>
              <w:t xml:space="preserve">      </w:t>
            </w:r>
            <w:r w:rsidR="00E40160" w:rsidRPr="00AC1A24">
              <w:rPr>
                <w:rFonts w:ascii="Times New Roman" w:hAnsi="Times New Roman"/>
                <w:sz w:val="24"/>
                <w:szCs w:val="24"/>
              </w:rPr>
              <w:t xml:space="preserve"> </w:t>
            </w:r>
          </w:p>
          <w:p w14:paraId="4D95DAB1" w14:textId="1F6F2061" w:rsidR="00280120" w:rsidRPr="00AC1A24" w:rsidRDefault="00663829" w:rsidP="004A3DBE">
            <w:pPr>
              <w:pStyle w:val="ListParagraph"/>
              <w:spacing w:before="120" w:line="240" w:lineRule="auto"/>
              <w:ind w:left="210"/>
              <w:rPr>
                <w:rFonts w:ascii="Times New Roman" w:hAnsi="Times New Roman"/>
                <w:i/>
                <w:sz w:val="24"/>
                <w:szCs w:val="24"/>
              </w:rPr>
            </w:pPr>
            <w:r w:rsidRPr="00AC1A24">
              <w:rPr>
                <w:rFonts w:ascii="Times New Roman" w:hAnsi="Times New Roman"/>
                <w:i/>
                <w:sz w:val="24"/>
                <w:szCs w:val="24"/>
              </w:rPr>
              <w:t xml:space="preserve"> </w:t>
            </w:r>
            <w:r w:rsidR="00280120" w:rsidRPr="00AC1A24">
              <w:rPr>
                <w:rFonts w:ascii="Times New Roman" w:hAnsi="Times New Roman"/>
                <w:i/>
                <w:sz w:val="24"/>
                <w:szCs w:val="24"/>
              </w:rPr>
              <w:t>Avots: CSP datu bāze, MNG01</w:t>
            </w:r>
          </w:p>
          <w:p w14:paraId="1AABEFE6" w14:textId="77777777" w:rsidR="00C57FF1" w:rsidRPr="00AC1A24" w:rsidRDefault="00C57FF1" w:rsidP="001D1952">
            <w:pPr>
              <w:pStyle w:val="ListParagraph"/>
              <w:spacing w:before="120" w:line="240" w:lineRule="auto"/>
              <w:ind w:left="210"/>
              <w:jc w:val="both"/>
              <w:rPr>
                <w:rFonts w:ascii="Times New Roman" w:hAnsi="Times New Roman"/>
                <w:sz w:val="24"/>
                <w:szCs w:val="24"/>
              </w:rPr>
            </w:pPr>
          </w:p>
          <w:p w14:paraId="2F9AA2EF" w14:textId="16B955D6" w:rsidR="001D1952" w:rsidRPr="00AC1A24" w:rsidRDefault="001D1952" w:rsidP="00EB0F03">
            <w:pPr>
              <w:pStyle w:val="ListParagraph"/>
              <w:spacing w:before="120" w:line="240" w:lineRule="auto"/>
              <w:ind w:left="0"/>
              <w:jc w:val="both"/>
              <w:rPr>
                <w:rFonts w:ascii="Times New Roman" w:hAnsi="Times New Roman"/>
                <w:sz w:val="24"/>
                <w:szCs w:val="24"/>
              </w:rPr>
            </w:pPr>
            <w:r w:rsidRPr="00AC1A24">
              <w:rPr>
                <w:rFonts w:ascii="Times New Roman" w:hAnsi="Times New Roman"/>
                <w:sz w:val="24"/>
                <w:szCs w:val="24"/>
              </w:rPr>
              <w:t xml:space="preserve">Lai gan pa gadiem ir vērojams šo personu īpatsvara samazinājums, tomēr, </w:t>
            </w:r>
            <w:r w:rsidR="00D8265D" w:rsidRPr="00AC1A24">
              <w:rPr>
                <w:rFonts w:ascii="Times New Roman" w:hAnsi="Times New Roman"/>
                <w:sz w:val="24"/>
                <w:szCs w:val="24"/>
              </w:rPr>
              <w:t>secināms</w:t>
            </w:r>
            <w:r w:rsidRPr="00AC1A24">
              <w:rPr>
                <w:rFonts w:ascii="Times New Roman" w:hAnsi="Times New Roman"/>
                <w:sz w:val="24"/>
                <w:szCs w:val="24"/>
              </w:rPr>
              <w:t>, ka nabadzības smagāko formu mazināšanai,</w:t>
            </w:r>
            <w:r w:rsidR="00D8265D" w:rsidRPr="00AC1A24">
              <w:rPr>
                <w:rFonts w:ascii="Times New Roman" w:hAnsi="Times New Roman"/>
                <w:sz w:val="24"/>
                <w:szCs w:val="24"/>
              </w:rPr>
              <w:t xml:space="preserve"> joprojām</w:t>
            </w:r>
            <w:r w:rsidRPr="00AC1A24">
              <w:rPr>
                <w:rFonts w:ascii="Times New Roman" w:hAnsi="Times New Roman"/>
                <w:sz w:val="24"/>
                <w:szCs w:val="24"/>
              </w:rPr>
              <w:t xml:space="preserve"> visbūtiskākā ir pārtikas palīdzība, t.sk. gatavo maltīšu nodrošināšana.</w:t>
            </w:r>
          </w:p>
          <w:p w14:paraId="33D1AD05" w14:textId="77777777" w:rsidR="001D1952" w:rsidRPr="00AC1A24" w:rsidRDefault="001D1952" w:rsidP="001D1952">
            <w:pPr>
              <w:pStyle w:val="ListParagraph"/>
              <w:spacing w:before="120" w:line="240" w:lineRule="auto"/>
              <w:ind w:left="210"/>
              <w:jc w:val="both"/>
              <w:rPr>
                <w:rFonts w:ascii="Times New Roman" w:hAnsi="Times New Roman"/>
                <w:bCs/>
                <w:sz w:val="24"/>
                <w:szCs w:val="24"/>
              </w:rPr>
            </w:pPr>
          </w:p>
          <w:p w14:paraId="55A2C236" w14:textId="5F8776A3" w:rsidR="001D1952" w:rsidRPr="00AC1A24" w:rsidRDefault="001D1952" w:rsidP="00EB0F03">
            <w:pPr>
              <w:pStyle w:val="ListParagraph"/>
              <w:spacing w:before="120" w:line="240" w:lineRule="auto"/>
              <w:ind w:left="0"/>
              <w:jc w:val="both"/>
              <w:rPr>
                <w:rFonts w:ascii="Times New Roman" w:hAnsi="Times New Roman"/>
                <w:bCs/>
                <w:sz w:val="24"/>
                <w:szCs w:val="24"/>
              </w:rPr>
            </w:pPr>
            <w:r w:rsidRPr="00AC1A24">
              <w:rPr>
                <w:rFonts w:ascii="Times New Roman" w:hAnsi="Times New Roman"/>
                <w:bCs/>
                <w:sz w:val="24"/>
                <w:szCs w:val="24"/>
              </w:rPr>
              <w:t>Augstākais nabadzības risks vairāku gadu garumā ir nepilnajās un daudzbērnu ģimenēs, kā arī vienas personas mājsaimniecībās</w:t>
            </w:r>
            <w:r w:rsidR="00D8265D" w:rsidRPr="00AC1A24">
              <w:rPr>
                <w:rFonts w:ascii="Times New Roman" w:hAnsi="Times New Roman"/>
                <w:bCs/>
                <w:sz w:val="24"/>
                <w:szCs w:val="24"/>
              </w:rPr>
              <w:t>.</w:t>
            </w:r>
          </w:p>
          <w:p w14:paraId="5C387333" w14:textId="77777777" w:rsidR="00663829" w:rsidRPr="00AC1A24" w:rsidRDefault="00663829" w:rsidP="00663829">
            <w:pPr>
              <w:ind w:left="360"/>
              <w:jc w:val="both"/>
              <w:rPr>
                <w:rFonts w:eastAsia="Calibri"/>
                <w:bCs/>
                <w:iCs/>
              </w:rPr>
            </w:pPr>
            <w:r w:rsidRPr="00AC1A24">
              <w:rPr>
                <w:rFonts w:eastAsia="Calibri"/>
                <w:bCs/>
                <w:iCs/>
              </w:rPr>
              <w:t>3. att. Nabadzības riska indekss Latvijā 2012.-2015. gadā</w:t>
            </w:r>
          </w:p>
          <w:p w14:paraId="764692E7" w14:textId="6D9E261E" w:rsidR="001D1952" w:rsidRPr="00AC1A24" w:rsidRDefault="007828EE" w:rsidP="004A3DBE">
            <w:pPr>
              <w:pStyle w:val="ListParagraph"/>
              <w:spacing w:before="120" w:line="240" w:lineRule="auto"/>
              <w:ind w:left="210"/>
              <w:jc w:val="both"/>
              <w:rPr>
                <w:rFonts w:ascii="Times New Roman" w:hAnsi="Times New Roman"/>
                <w:sz w:val="24"/>
                <w:szCs w:val="24"/>
              </w:rPr>
            </w:pPr>
            <w:r w:rsidRPr="00AC1A24">
              <w:rPr>
                <w:rFonts w:ascii="Times New Roman" w:hAnsi="Times New Roman"/>
                <w:noProof/>
                <w:sz w:val="24"/>
                <w:szCs w:val="24"/>
                <w:lang w:eastAsia="lv-LV"/>
              </w:rPr>
              <w:lastRenderedPageBreak/>
              <w:drawing>
                <wp:inline distT="0" distB="0" distL="0" distR="0" wp14:anchorId="7DC0514A" wp14:editId="6F241536">
                  <wp:extent cx="4533479" cy="29146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6428" cy="2916546"/>
                          </a:xfrm>
                          <a:prstGeom prst="rect">
                            <a:avLst/>
                          </a:prstGeom>
                          <a:noFill/>
                        </pic:spPr>
                      </pic:pic>
                    </a:graphicData>
                  </a:graphic>
                </wp:inline>
              </w:drawing>
            </w:r>
            <w:r w:rsidR="001D1952" w:rsidRPr="00AC1A24">
              <w:rPr>
                <w:rFonts w:ascii="Times New Roman" w:hAnsi="Times New Roman"/>
                <w:i/>
                <w:sz w:val="24"/>
                <w:szCs w:val="24"/>
              </w:rPr>
              <w:t xml:space="preserve">Avots: CSP datu bāze; NIG05 </w:t>
            </w:r>
          </w:p>
          <w:p w14:paraId="7E76A600" w14:textId="1A314561" w:rsidR="00C57FF1" w:rsidRPr="00AC1A24" w:rsidRDefault="00C57FF1" w:rsidP="00C57FF1">
            <w:pPr>
              <w:jc w:val="both"/>
            </w:pPr>
            <w:r w:rsidRPr="00AC1A24">
              <w:rPr>
                <w:bCs/>
              </w:rPr>
              <w:t>2012. gadā nabadzības riska indekss nepilnajās ģimenēs bija 38,3</w:t>
            </w:r>
            <w:r w:rsidR="00B320F5" w:rsidRPr="00AC1A24">
              <w:rPr>
                <w:bCs/>
              </w:rPr>
              <w:t> </w:t>
            </w:r>
            <w:r w:rsidRPr="00AC1A24">
              <w:rPr>
                <w:bCs/>
              </w:rPr>
              <w:t>%, 2015. gadā – 34,4</w:t>
            </w:r>
            <w:r w:rsidR="00B320F5" w:rsidRPr="00AC1A24">
              <w:rPr>
                <w:bCs/>
              </w:rPr>
              <w:t> </w:t>
            </w:r>
            <w:r w:rsidRPr="00AC1A24">
              <w:rPr>
                <w:bCs/>
              </w:rPr>
              <w:t>%; daudzbērnu ģimenēs (trīs un vairāk bērnu, ko audzina divi pieaugušie) 2012. g</w:t>
            </w:r>
            <w:r w:rsidR="00603936" w:rsidRPr="00AC1A24">
              <w:rPr>
                <w:bCs/>
              </w:rPr>
              <w:t>adā – 32,6</w:t>
            </w:r>
            <w:r w:rsidR="00B320F5" w:rsidRPr="00AC1A24">
              <w:rPr>
                <w:bCs/>
              </w:rPr>
              <w:t> </w:t>
            </w:r>
            <w:r w:rsidR="00603936" w:rsidRPr="00AC1A24">
              <w:rPr>
                <w:bCs/>
              </w:rPr>
              <w:t>%, 2015. gadā – 25,5</w:t>
            </w:r>
            <w:r w:rsidR="00B320F5" w:rsidRPr="00AC1A24">
              <w:rPr>
                <w:bCs/>
              </w:rPr>
              <w:t> </w:t>
            </w:r>
            <w:r w:rsidR="00603936" w:rsidRPr="00AC1A24">
              <w:rPr>
                <w:bCs/>
              </w:rPr>
              <w:t>%</w:t>
            </w:r>
            <w:r w:rsidRPr="00AC1A24">
              <w:rPr>
                <w:bCs/>
                <w:vertAlign w:val="superscript"/>
              </w:rPr>
              <w:footnoteReference w:id="2"/>
            </w:r>
            <w:r w:rsidRPr="00AC1A24">
              <w:rPr>
                <w:bCs/>
              </w:rPr>
              <w:t xml:space="preserve">. </w:t>
            </w:r>
            <w:r w:rsidR="00D8265D" w:rsidRPr="00AC1A24">
              <w:rPr>
                <w:bCs/>
              </w:rPr>
              <w:t>Secināms</w:t>
            </w:r>
            <w:r w:rsidRPr="00AC1A24">
              <w:rPr>
                <w:bCs/>
              </w:rPr>
              <w:t>, ka joprojām ir būtiski nodrošināt pamata materiālās palīdzības preces tieši ģimenēm ar bērniem.</w:t>
            </w:r>
            <w:r w:rsidRPr="00AC1A24">
              <w:t xml:space="preserve"> </w:t>
            </w:r>
          </w:p>
          <w:p w14:paraId="6DB43384" w14:textId="77777777" w:rsidR="00D6632F" w:rsidRPr="00AC1A24" w:rsidRDefault="00663829" w:rsidP="00513CCD">
            <w:pPr>
              <w:spacing w:after="120"/>
              <w:jc w:val="both"/>
              <w:rPr>
                <w:bCs/>
                <w:iCs/>
              </w:rPr>
            </w:pPr>
            <w:r w:rsidRPr="00AC1A24">
              <w:rPr>
                <w:bCs/>
                <w:iCs/>
              </w:rPr>
              <w:t xml:space="preserve">      </w:t>
            </w:r>
          </w:p>
          <w:p w14:paraId="6613354F" w14:textId="0CCE8348" w:rsidR="00663829" w:rsidRPr="00AC1A24" w:rsidRDefault="00663829" w:rsidP="00D6632F">
            <w:pPr>
              <w:spacing w:after="120"/>
              <w:jc w:val="center"/>
              <w:rPr>
                <w:bCs/>
                <w:iCs/>
              </w:rPr>
            </w:pPr>
            <w:r w:rsidRPr="00AC1A24">
              <w:rPr>
                <w:bCs/>
                <w:iCs/>
              </w:rPr>
              <w:t>4. att. Trūcīgo personu skaita dinamika Latvijā 2013.-2016. gadā</w:t>
            </w:r>
          </w:p>
          <w:p w14:paraId="23DDF2C0" w14:textId="794166CF" w:rsidR="00295C52" w:rsidRPr="00AC1A24" w:rsidRDefault="001400D2" w:rsidP="00513CCD">
            <w:r w:rsidRPr="00AC1A24">
              <w:rPr>
                <w:noProof/>
              </w:rPr>
              <w:drawing>
                <wp:inline distT="0" distB="0" distL="0" distR="0" wp14:anchorId="5D120385" wp14:editId="787C3681">
                  <wp:extent cx="4572000" cy="2619375"/>
                  <wp:effectExtent l="0" t="0" r="0" b="9525"/>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C55FA73" w14:textId="0C7978BA" w:rsidR="00295C52" w:rsidRPr="00AC1A24" w:rsidRDefault="003658BA" w:rsidP="00291E67">
            <w:pPr>
              <w:spacing w:before="120"/>
              <w:rPr>
                <w:i/>
              </w:rPr>
            </w:pPr>
            <w:r w:rsidRPr="00AC1A24">
              <w:rPr>
                <w:i/>
              </w:rPr>
              <w:t xml:space="preserve"> </w:t>
            </w:r>
            <w:r w:rsidR="00295C52" w:rsidRPr="00AC1A24">
              <w:rPr>
                <w:i/>
              </w:rPr>
              <w:t>Avots: LM valsts statistika sociālo pakalpojumu un sociālās palīdzības jomā; gada dati</w:t>
            </w:r>
          </w:p>
          <w:p w14:paraId="59157916" w14:textId="6CE27CA3" w:rsidR="001377FA" w:rsidRPr="00AC1A24" w:rsidRDefault="001377FA" w:rsidP="00707863">
            <w:pPr>
              <w:spacing w:before="120"/>
              <w:jc w:val="both"/>
            </w:pPr>
            <w:r w:rsidRPr="00AC1A24">
              <w:t>Pēdējos četros gados cilvēku ar trūcīgas personas statusu (unikālas personas) skaits ir samazinājies: ja 2013. gada laikā trūcīgas personas statuss tika piešķirts 134 397 personām, t.sk. 46 334 bērniem, tad 2014. gadā – 104 569 personām, t.sk. 36 078 bērniem, 2015. gadā – 8</w:t>
            </w:r>
            <w:r w:rsidR="008C0B62" w:rsidRPr="00AC1A24">
              <w:t>1 887</w:t>
            </w:r>
            <w:r w:rsidRPr="00AC1A24">
              <w:t xml:space="preserve"> personām, t.sk. 26 </w:t>
            </w:r>
            <w:r w:rsidR="008C0B62" w:rsidRPr="00AC1A24">
              <w:t>468</w:t>
            </w:r>
            <w:r w:rsidRPr="00AC1A24">
              <w:t xml:space="preserve"> bērniem. 2016. gadā – 68 816 personām, t.sk. 20 851 bērniem, kas attiecīgi ir par 16,</w:t>
            </w:r>
            <w:r w:rsidR="008C0B62" w:rsidRPr="00AC1A24">
              <w:t>0</w:t>
            </w:r>
            <w:r w:rsidR="00B320F5" w:rsidRPr="00AC1A24">
              <w:t> </w:t>
            </w:r>
            <w:r w:rsidRPr="00AC1A24">
              <w:t>% un 21,</w:t>
            </w:r>
            <w:r w:rsidR="008C0B62" w:rsidRPr="00AC1A24">
              <w:t>2</w:t>
            </w:r>
            <w:r w:rsidR="00B320F5" w:rsidRPr="00AC1A24">
              <w:t> </w:t>
            </w:r>
            <w:r w:rsidRPr="00AC1A24">
              <w:t xml:space="preserve">% mazāk nekā </w:t>
            </w:r>
            <w:r w:rsidRPr="00AC1A24">
              <w:lastRenderedPageBreak/>
              <w:t>2015. gadā.</w:t>
            </w:r>
          </w:p>
          <w:p w14:paraId="4B1D3C4E" w14:textId="19F52366" w:rsidR="007C26E2" w:rsidRPr="00AC1A24" w:rsidRDefault="003B36C0" w:rsidP="007C26E2">
            <w:pPr>
              <w:jc w:val="both"/>
              <w:rPr>
                <w:bCs/>
              </w:rPr>
            </w:pPr>
            <w:r w:rsidRPr="00AC1A24">
              <w:t xml:space="preserve">Kopš 2015. gada Fonda atbalsts pārtikas un pamata materiālās palīdzības preču un papildpasākumu veidā tiek sniegts ģimenei (personai), kuru pašvaldības sociālais dienests atzinis par trūcīgu </w:t>
            </w:r>
            <w:r w:rsidR="00C57FF1" w:rsidRPr="00AC1A24">
              <w:t>saskaņā ar MK noteikumiem</w:t>
            </w:r>
            <w:r w:rsidR="00C57FF1" w:rsidRPr="00AC1A24">
              <w:rPr>
                <w:vertAlign w:val="superscript"/>
              </w:rPr>
              <w:footnoteReference w:id="3"/>
            </w:r>
            <w:r w:rsidR="00C57FF1" w:rsidRPr="00AC1A24">
              <w:t xml:space="preserve"> un tajos paredzēto ienākumu </w:t>
            </w:r>
            <w:r w:rsidR="003E7A5D">
              <w:t>līmeni vienai personai - 128,06 </w:t>
            </w:r>
            <w:proofErr w:type="spellStart"/>
            <w:r w:rsidR="003E7A5D" w:rsidRPr="003E7A5D">
              <w:rPr>
                <w:i/>
              </w:rPr>
              <w:t>euro</w:t>
            </w:r>
            <w:proofErr w:type="spellEnd"/>
            <w:r w:rsidR="00286F60" w:rsidRPr="00AC1A24">
              <w:rPr>
                <w:i/>
              </w:rPr>
              <w:t xml:space="preserve"> </w:t>
            </w:r>
            <w:r w:rsidR="00C57FF1" w:rsidRPr="00AC1A24">
              <w:t>mēnesī</w:t>
            </w:r>
            <w:r w:rsidR="000937D2" w:rsidRPr="00AC1A24">
              <w:t xml:space="preserve"> pēdējo triju mēnešu laikā</w:t>
            </w:r>
            <w:r w:rsidR="00C57FF1" w:rsidRPr="00AC1A24">
              <w:t xml:space="preserve">. </w:t>
            </w:r>
            <w:r w:rsidR="007C26E2" w:rsidRPr="00AC1A24">
              <w:t>V</w:t>
            </w:r>
            <w:r w:rsidR="00C57FF1" w:rsidRPr="00AC1A24">
              <w:t>ērojam</w:t>
            </w:r>
            <w:r w:rsidR="007C26E2" w:rsidRPr="00AC1A24">
              <w:t>a</w:t>
            </w:r>
            <w:r w:rsidR="002B333B" w:rsidRPr="00AC1A24">
              <w:rPr>
                <w:bCs/>
              </w:rPr>
              <w:t xml:space="preserve"> objektīva iedzīvotāju materiālās situācijas uzlabošanās, kas attiecināma arī uz iedzīvotāju vistrūcīgāko daļu. </w:t>
            </w:r>
            <w:r w:rsidR="007C26E2" w:rsidRPr="00AC1A24">
              <w:rPr>
                <w:bCs/>
              </w:rPr>
              <w:t xml:space="preserve">Izmaiņas veicināja minimālās algas paaugstinājums, nodarbinātības pieaugums, t.sk. jauniešu un pirmspensijas vecuma iedzīvotāju vidū, kā arī ar ģimeni un bērniem saistīto pabalstu un ar iedzīvotāju ienākumu nodokli neapliekamā minimuma palielināšanās strādājošai personai un par apgādībā esošām personām.  </w:t>
            </w:r>
          </w:p>
          <w:p w14:paraId="40A36530" w14:textId="7D657419" w:rsidR="002B333B" w:rsidRPr="00AC1A24" w:rsidRDefault="002B333B" w:rsidP="002B333B">
            <w:pPr>
              <w:spacing w:before="120"/>
              <w:jc w:val="both"/>
              <w:rPr>
                <w:bCs/>
              </w:rPr>
            </w:pPr>
            <w:r w:rsidRPr="00AC1A24">
              <w:rPr>
                <w:bCs/>
              </w:rPr>
              <w:t>Izrietoši notiek trūcīgo skaita strauja samazināšanās, kas skaidrojama ne tikai ar minēto, bet saistās arī ar trūcīgas personas statusa noteikšana</w:t>
            </w:r>
            <w:r w:rsidR="000937D2" w:rsidRPr="00AC1A24">
              <w:rPr>
                <w:bCs/>
              </w:rPr>
              <w:t>i</w:t>
            </w:r>
            <w:r w:rsidRPr="00AC1A24">
              <w:rPr>
                <w:bCs/>
              </w:rPr>
              <w:t xml:space="preserve"> nemainīgo ienākumu līmeni.</w:t>
            </w:r>
          </w:p>
          <w:p w14:paraId="76FDDCC7" w14:textId="3862C81A" w:rsidR="003B36C0" w:rsidRPr="00AC1A24" w:rsidRDefault="003B36C0" w:rsidP="003B36C0">
            <w:pPr>
              <w:spacing w:before="120"/>
              <w:jc w:val="both"/>
              <w:rPr>
                <w:bCs/>
              </w:rPr>
            </w:pPr>
            <w:r w:rsidRPr="00AC1A24">
              <w:rPr>
                <w:bCs/>
              </w:rPr>
              <w:t>Tādejādi, lai arī, izmantojot Fonda finansējumu, paredzēts samazināt trūcīgu ģimeņu nenodrošinātību ar pārtiku, praksē atbalsts ik gadu tiek sniegts mazākam skaitam iedzīvotāju.</w:t>
            </w:r>
          </w:p>
          <w:p w14:paraId="20B726BE" w14:textId="77777777" w:rsidR="00663829" w:rsidRPr="00AC1A24" w:rsidRDefault="00663829" w:rsidP="003B36C0">
            <w:pPr>
              <w:spacing w:before="120"/>
              <w:jc w:val="both"/>
              <w:rPr>
                <w:b/>
                <w:bCs/>
              </w:rPr>
            </w:pPr>
          </w:p>
          <w:p w14:paraId="2D5617A6" w14:textId="5AD60E40" w:rsidR="00663829" w:rsidRPr="00AC1A24" w:rsidRDefault="00663829" w:rsidP="00663829">
            <w:pPr>
              <w:spacing w:before="120"/>
              <w:jc w:val="center"/>
              <w:rPr>
                <w:bCs/>
              </w:rPr>
            </w:pPr>
            <w:r w:rsidRPr="00AC1A24">
              <w:rPr>
                <w:bCs/>
                <w:iCs/>
              </w:rPr>
              <w:t>5. att. Trūcīgu personu skaita dinamika Latvijā pa mēnešiem 2014.-2017. gadā</w:t>
            </w:r>
          </w:p>
          <w:p w14:paraId="62381D0D" w14:textId="563453BA" w:rsidR="00340DB2" w:rsidRPr="00AC1A24" w:rsidRDefault="00340DB2" w:rsidP="003B36C0">
            <w:pPr>
              <w:spacing w:before="120"/>
              <w:jc w:val="both"/>
              <w:rPr>
                <w:b/>
                <w:bCs/>
              </w:rPr>
            </w:pPr>
            <w:r w:rsidRPr="00AC1A24">
              <w:rPr>
                <w:noProof/>
              </w:rPr>
              <w:drawing>
                <wp:inline distT="0" distB="0" distL="0" distR="0" wp14:anchorId="307CF923" wp14:editId="3F8C92DB">
                  <wp:extent cx="4396740" cy="2598420"/>
                  <wp:effectExtent l="0" t="0" r="381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DE24350" w14:textId="10520899" w:rsidR="00340DB2" w:rsidRPr="00AC1A24" w:rsidRDefault="00340DB2" w:rsidP="00291E67">
            <w:pPr>
              <w:spacing w:before="120"/>
              <w:rPr>
                <w:bCs/>
                <w:i/>
              </w:rPr>
            </w:pPr>
            <w:r w:rsidRPr="00AC1A24">
              <w:rPr>
                <w:bCs/>
                <w:i/>
              </w:rPr>
              <w:t>Avots: LM ikmēneša operatīvās statistikas dati (SOPA)</w:t>
            </w:r>
          </w:p>
          <w:p w14:paraId="7B8F6333" w14:textId="3F13B353" w:rsidR="001377FA" w:rsidRPr="00AC1A24" w:rsidRDefault="001377FA" w:rsidP="00663829">
            <w:pPr>
              <w:spacing w:before="120"/>
              <w:jc w:val="both"/>
            </w:pPr>
            <w:r w:rsidRPr="00AC1A24">
              <w:t>Turklāt ir vērojamas būtiskas atšķirības trūcīgo personu skaita izmaiņās mēneša griezumā, ja salīdzina pieaugušas personas un bērnus</w:t>
            </w:r>
            <w:r w:rsidR="00707863" w:rsidRPr="00AC1A24">
              <w:t>.</w:t>
            </w:r>
            <w:r w:rsidRPr="00AC1A24">
              <w:t xml:space="preserve"> Ja par 100</w:t>
            </w:r>
            <w:r w:rsidR="00F97FC2" w:rsidRPr="00AC1A24">
              <w:t> </w:t>
            </w:r>
            <w:r w:rsidRPr="00AC1A24">
              <w:t>% līmeni pieņem trūcīgo personu skaitu 2014. gada janvārī, tad 201</w:t>
            </w:r>
            <w:r w:rsidR="00340DB2" w:rsidRPr="00AC1A24">
              <w:t>7</w:t>
            </w:r>
            <w:r w:rsidRPr="00AC1A24">
              <w:t xml:space="preserve">. gada </w:t>
            </w:r>
            <w:r w:rsidR="00340DB2" w:rsidRPr="00AC1A24">
              <w:t>jūnijā</w:t>
            </w:r>
            <w:r w:rsidRPr="00AC1A24">
              <w:t xml:space="preserve"> starp pieaugušajiem tas krities par </w:t>
            </w:r>
            <w:r w:rsidR="0048523A" w:rsidRPr="00AC1A24">
              <w:t>42</w:t>
            </w:r>
            <w:r w:rsidR="00F97FC2" w:rsidRPr="00AC1A24">
              <w:t> </w:t>
            </w:r>
            <w:r w:rsidRPr="00AC1A24">
              <w:t>%, bet starp bērniem – par 5</w:t>
            </w:r>
            <w:r w:rsidR="0048523A" w:rsidRPr="00AC1A24">
              <w:t>9</w:t>
            </w:r>
            <w:r w:rsidR="00F97FC2" w:rsidRPr="00AC1A24">
              <w:t> </w:t>
            </w:r>
            <w:r w:rsidRPr="00AC1A24">
              <w:t xml:space="preserve">%. </w:t>
            </w:r>
            <w:r w:rsidR="002B333B" w:rsidRPr="00AC1A24">
              <w:t>Tādejādi, lai arī, izmantojot EAFVP piešķirto finansējumu, paredzēts mazināt trūcīgu ģimeņu ar bērniem pamata materiālo nenodrošinātību, praksē atbalsts pieejams arvien mazākam skaitam šīs mērķauditorijas.</w:t>
            </w:r>
          </w:p>
          <w:p w14:paraId="75E98662" w14:textId="6CB8453D" w:rsidR="007C60DF" w:rsidRPr="00AC1A24" w:rsidRDefault="007C60DF" w:rsidP="007C60DF">
            <w:pPr>
              <w:spacing w:before="120"/>
              <w:jc w:val="both"/>
            </w:pPr>
            <w:r w:rsidRPr="00AC1A24">
              <w:lastRenderedPageBreak/>
              <w:t>Noteikumu projekta mērķis ir</w:t>
            </w:r>
            <w:r w:rsidRPr="00AC1A24">
              <w:rPr>
                <w:i/>
              </w:rPr>
              <w:t xml:space="preserve"> </w:t>
            </w:r>
            <w:r w:rsidRPr="00AC1A24">
              <w:t>p</w:t>
            </w:r>
            <w:r w:rsidR="002B615F" w:rsidRPr="00AC1A24">
              <w:t>ārskatīt</w:t>
            </w:r>
            <w:r w:rsidRPr="00AC1A24">
              <w:t xml:space="preserve"> </w:t>
            </w:r>
            <w:r w:rsidR="002B615F" w:rsidRPr="00AC1A24">
              <w:t xml:space="preserve">un paplašināt Fonda </w:t>
            </w:r>
            <w:r w:rsidRPr="00AC1A24">
              <w:t xml:space="preserve">atbalsta saņēmēju loku, </w:t>
            </w:r>
            <w:r w:rsidR="00546228" w:rsidRPr="00AC1A24">
              <w:t xml:space="preserve">vienlaikus </w:t>
            </w:r>
            <w:r w:rsidRPr="00AC1A24">
              <w:t xml:space="preserve">nosakot </w:t>
            </w:r>
            <w:r w:rsidR="002B615F" w:rsidRPr="00AC1A24">
              <w:t xml:space="preserve">vienotu </w:t>
            </w:r>
            <w:r w:rsidR="001A0496" w:rsidRPr="00AC1A24">
              <w:t xml:space="preserve">augstāku </w:t>
            </w:r>
            <w:r w:rsidRPr="00AC1A24">
              <w:t>ģimenes vidējo ienākumu robežu atbalsta saņemšanai no Fonda.</w:t>
            </w:r>
          </w:p>
          <w:p w14:paraId="4855317C" w14:textId="0869CA24" w:rsidR="007C60DF" w:rsidRPr="008B5C42" w:rsidRDefault="007C60DF" w:rsidP="007C60DF">
            <w:pPr>
              <w:spacing w:before="120"/>
              <w:jc w:val="both"/>
            </w:pPr>
            <w:r w:rsidRPr="00AC1A24">
              <w:t xml:space="preserve">Šīs iniciatīvas nodrošināšanai </w:t>
            </w:r>
            <w:r w:rsidRPr="008B5C42">
              <w:t>izstrādāti papildinājumi Fonda darbības programmas īstenošanas noteikumos:</w:t>
            </w:r>
          </w:p>
          <w:p w14:paraId="07583CDD" w14:textId="5D7C795B" w:rsidR="007C60DF" w:rsidRPr="008B5C42" w:rsidRDefault="007C60DF" w:rsidP="007C60DF">
            <w:pPr>
              <w:spacing w:before="120"/>
              <w:jc w:val="both"/>
            </w:pPr>
            <w:r w:rsidRPr="008B5C42">
              <w:t>1.</w:t>
            </w:r>
            <w:r w:rsidR="00F97FC2" w:rsidRPr="008B5C42">
              <w:t> </w:t>
            </w:r>
            <w:r w:rsidR="008D17BA" w:rsidRPr="008B5C42">
              <w:t>Paplašinot personu,</w:t>
            </w:r>
            <w:r w:rsidRPr="008B5C42">
              <w:t xml:space="preserve"> loku, kurām ir tiesības uz pārtikas un pamata materiālās palīdzības saņemšanu, noteikumu projektā:</w:t>
            </w:r>
          </w:p>
          <w:p w14:paraId="0473D8C9" w14:textId="4CE781BB" w:rsidR="00CE7B31" w:rsidRPr="008B5C42" w:rsidRDefault="00CE7B31" w:rsidP="00CE7B31">
            <w:pPr>
              <w:spacing w:before="120"/>
              <w:ind w:left="36"/>
              <w:jc w:val="both"/>
            </w:pPr>
            <w:r w:rsidRPr="008B5C42">
              <w:t>1.1. noteikts vienots vidējais ienākumu līmenis ģimenes (personas) atzīšanai par atbilstošu Fonda atbalsta saņemšanai (turpmāk - ienākumu līmenis);</w:t>
            </w:r>
          </w:p>
          <w:p w14:paraId="10D46A1E" w14:textId="184AB625" w:rsidR="00700F4E" w:rsidRPr="008B5C42" w:rsidRDefault="005E03A8" w:rsidP="005E03A8">
            <w:pPr>
              <w:spacing w:before="120"/>
              <w:ind w:left="36"/>
              <w:jc w:val="both"/>
            </w:pPr>
            <w:r w:rsidRPr="008B5C42">
              <w:t>Izvērtējot Fonda atbalsta saņemšanai atbilstošāko ienākumu līmeni, veikta Sociālo dienestu speciālistu viedokļu apzināšana, 54</w:t>
            </w:r>
            <w:r w:rsidR="00F97FC2" w:rsidRPr="008B5C42">
              <w:t> </w:t>
            </w:r>
            <w:r w:rsidRPr="008B5C42">
              <w:t xml:space="preserve">% no tiem atbalsta variantu, kas balstās uz </w:t>
            </w:r>
            <w:r w:rsidR="001A0496" w:rsidRPr="008B5C42">
              <w:t>Plāna minimālo ienākumu atbalsta sistēmas pilnveidošanai 2018.- 2020. gadam projekt</w:t>
            </w:r>
            <w:r w:rsidR="007A3E47" w:rsidRPr="008B5C42">
              <w:t>ā</w:t>
            </w:r>
            <w:r w:rsidR="001A0496" w:rsidRPr="008B5C42">
              <w:rPr>
                <w:rStyle w:val="FootnoteReference"/>
              </w:rPr>
              <w:footnoteReference w:id="4"/>
            </w:r>
            <w:r w:rsidRPr="008B5C42">
              <w:t xml:space="preserve"> iestrādātu metodiku, proti </w:t>
            </w:r>
            <w:r w:rsidR="001A0496" w:rsidRPr="008B5C42">
              <w:t xml:space="preserve">noteikt </w:t>
            </w:r>
            <w:r w:rsidRPr="008B5C42">
              <w:t xml:space="preserve">minimālā ienākuma līmeni 188 </w:t>
            </w:r>
            <w:proofErr w:type="spellStart"/>
            <w:r w:rsidR="003E7A5D" w:rsidRPr="003E7A5D">
              <w:rPr>
                <w:i/>
              </w:rPr>
              <w:t>euro</w:t>
            </w:r>
            <w:proofErr w:type="spellEnd"/>
            <w:r w:rsidRPr="008B5C42">
              <w:t>, kas ir 40</w:t>
            </w:r>
            <w:r w:rsidR="00F97FC2" w:rsidRPr="008B5C42">
              <w:t xml:space="preserve"> % </w:t>
            </w:r>
            <w:r w:rsidRPr="008B5C42">
              <w:t xml:space="preserve">apmērā no mājsaimniecību rīcībā esošo ienākumu mediānas vienam ekvivalentajam patērētājam. </w:t>
            </w:r>
          </w:p>
          <w:p w14:paraId="044384EC" w14:textId="3ED371FF" w:rsidR="00CE7B31" w:rsidRPr="008B5C42" w:rsidRDefault="005E03A8" w:rsidP="005E03A8">
            <w:pPr>
              <w:spacing w:before="120"/>
              <w:ind w:left="36"/>
              <w:jc w:val="both"/>
            </w:pPr>
            <w:r w:rsidRPr="008B5C42">
              <w:t>Salīdzinājumam i</w:t>
            </w:r>
            <w:r w:rsidR="00CE7B31" w:rsidRPr="008B5C42">
              <w:t>zvērtē</w:t>
            </w:r>
            <w:r w:rsidRPr="008B5C42">
              <w:t>ta</w:t>
            </w:r>
            <w:r w:rsidR="00CE7B31" w:rsidRPr="008B5C42">
              <w:t xml:space="preserve"> Lietuvas pieredze</w:t>
            </w:r>
            <w:r w:rsidRPr="008B5C42">
              <w:t xml:space="preserve"> (</w:t>
            </w:r>
            <w:r w:rsidR="00CE7B31" w:rsidRPr="008B5C42">
              <w:t>labā prakse</w:t>
            </w:r>
            <w:r w:rsidRPr="008B5C42">
              <w:t>)</w:t>
            </w:r>
          </w:p>
          <w:p w14:paraId="2D4F0450" w14:textId="4ACE84FC" w:rsidR="00CE7B31" w:rsidRPr="008B5C42" w:rsidRDefault="00CE7B31" w:rsidP="00CC48CF">
            <w:pPr>
              <w:ind w:left="36"/>
              <w:jc w:val="both"/>
            </w:pPr>
            <w:r w:rsidRPr="008B5C42">
              <w:t>L</w:t>
            </w:r>
            <w:r w:rsidR="005E03A8" w:rsidRPr="008B5C42">
              <w:t>ietuvā</w:t>
            </w:r>
            <w:r w:rsidRPr="008B5C42">
              <w:t xml:space="preserve"> ir noteikts </w:t>
            </w:r>
            <w:r w:rsidR="005E03A8" w:rsidRPr="008B5C42">
              <w:t>visā valstī vienots ienākumu līmenis maznodrošinātas ģimenes (personas) atzīšanai par atbilstošu Fonda atbalsta saņemšanai</w:t>
            </w:r>
            <w:r w:rsidR="003E63A1" w:rsidRPr="008B5C42">
              <w:t>,</w:t>
            </w:r>
            <w:r w:rsidR="005E03A8" w:rsidRPr="008B5C42">
              <w:t xml:space="preserve"> </w:t>
            </w:r>
            <w:r w:rsidRPr="008B5C42">
              <w:t>kas par vienu trešdaļu pārsniedz trūcīgas personas statusam atbilstošo ienākumu līmeni:</w:t>
            </w:r>
          </w:p>
          <w:p w14:paraId="4B653BD7" w14:textId="592CFBAE" w:rsidR="00CE7B31" w:rsidRPr="008B5C42" w:rsidRDefault="00CE7B31" w:rsidP="00CC48CF">
            <w:pPr>
              <w:ind w:left="36"/>
              <w:jc w:val="both"/>
            </w:pPr>
            <w:r w:rsidRPr="008B5C42">
              <w:t xml:space="preserve">153 </w:t>
            </w:r>
            <w:proofErr w:type="spellStart"/>
            <w:r w:rsidR="003E7A5D" w:rsidRPr="003E7A5D">
              <w:rPr>
                <w:i/>
              </w:rPr>
              <w:t>euro</w:t>
            </w:r>
            <w:proofErr w:type="spellEnd"/>
            <w:r w:rsidR="003E7A5D" w:rsidRPr="008B5C42">
              <w:t xml:space="preserve"> </w:t>
            </w:r>
            <w:r w:rsidRPr="008B5C42">
              <w:t xml:space="preserve">+51 </w:t>
            </w:r>
            <w:proofErr w:type="spellStart"/>
            <w:r w:rsidR="003E7A5D" w:rsidRPr="003E7A5D">
              <w:rPr>
                <w:i/>
              </w:rPr>
              <w:t>euro</w:t>
            </w:r>
            <w:proofErr w:type="spellEnd"/>
            <w:r w:rsidR="003E7A5D" w:rsidRPr="008B5C42">
              <w:t xml:space="preserve"> </w:t>
            </w:r>
            <w:r w:rsidRPr="008B5C42">
              <w:t xml:space="preserve">= 204 </w:t>
            </w:r>
            <w:proofErr w:type="spellStart"/>
            <w:r w:rsidR="003E7A5D" w:rsidRPr="003E7A5D">
              <w:rPr>
                <w:i/>
              </w:rPr>
              <w:t>euro</w:t>
            </w:r>
            <w:proofErr w:type="spellEnd"/>
          </w:p>
          <w:p w14:paraId="05B58B97" w14:textId="605DBD51" w:rsidR="00CE7B31" w:rsidRPr="008B5C42" w:rsidRDefault="00CE7B31" w:rsidP="00CC48CF">
            <w:pPr>
              <w:ind w:left="36"/>
              <w:jc w:val="both"/>
            </w:pPr>
            <w:r w:rsidRPr="008B5C42">
              <w:t>Pie analogiem nosacījumiem</w:t>
            </w:r>
            <w:r w:rsidR="003E63A1" w:rsidRPr="008B5C42">
              <w:t xml:space="preserve"> Latvijā</w:t>
            </w:r>
            <w:r w:rsidR="00CC48CF" w:rsidRPr="008B5C42">
              <w:t xml:space="preserve"> ienākumu līmenis būtu nosakāms ne </w:t>
            </w:r>
            <w:r w:rsidR="00575B8A" w:rsidRPr="008B5C42">
              <w:t>mazāks</w:t>
            </w:r>
            <w:r w:rsidR="003E63A1" w:rsidRPr="008B5C42">
              <w:t>:</w:t>
            </w:r>
          </w:p>
          <w:p w14:paraId="20B8C339" w14:textId="46BB3CDC" w:rsidR="00CE7B31" w:rsidRPr="008B5C42" w:rsidRDefault="00CE7B31" w:rsidP="00CC48CF">
            <w:pPr>
              <w:ind w:left="36"/>
              <w:jc w:val="both"/>
            </w:pPr>
            <w:r w:rsidRPr="008B5C42">
              <w:t>128</w:t>
            </w:r>
            <w:r w:rsidR="00F97FC2" w:rsidRPr="008B5C42">
              <w:t>,</w:t>
            </w:r>
            <w:r w:rsidRPr="008B5C42">
              <w:t xml:space="preserve">06 </w:t>
            </w:r>
            <w:proofErr w:type="spellStart"/>
            <w:r w:rsidR="003E7A5D" w:rsidRPr="003E7A5D">
              <w:rPr>
                <w:i/>
              </w:rPr>
              <w:t>euro</w:t>
            </w:r>
            <w:proofErr w:type="spellEnd"/>
            <w:r w:rsidR="003E7A5D" w:rsidRPr="008B5C42">
              <w:t xml:space="preserve"> </w:t>
            </w:r>
            <w:r w:rsidRPr="008B5C42">
              <w:t>+42</w:t>
            </w:r>
            <w:r w:rsidR="00F97FC2" w:rsidRPr="008B5C42">
              <w:t>,</w:t>
            </w:r>
            <w:r w:rsidRPr="008B5C42">
              <w:t xml:space="preserve">69 </w:t>
            </w:r>
            <w:proofErr w:type="spellStart"/>
            <w:r w:rsidR="003E7A5D" w:rsidRPr="003E7A5D">
              <w:rPr>
                <w:i/>
              </w:rPr>
              <w:t>euro</w:t>
            </w:r>
            <w:proofErr w:type="spellEnd"/>
            <w:r w:rsidR="003E7A5D" w:rsidRPr="008B5C42">
              <w:t xml:space="preserve"> </w:t>
            </w:r>
            <w:r w:rsidRPr="008B5C42">
              <w:t>= 170</w:t>
            </w:r>
            <w:r w:rsidR="00F97FC2" w:rsidRPr="008B5C42">
              <w:t>,</w:t>
            </w:r>
            <w:r w:rsidRPr="008B5C42">
              <w:t xml:space="preserve">75 </w:t>
            </w:r>
            <w:proofErr w:type="spellStart"/>
            <w:r w:rsidR="003E7A5D" w:rsidRPr="003E7A5D">
              <w:rPr>
                <w:i/>
              </w:rPr>
              <w:t>euro</w:t>
            </w:r>
            <w:proofErr w:type="spellEnd"/>
            <w:r w:rsidRPr="008B5C42">
              <w:t xml:space="preserve"> </w:t>
            </w:r>
          </w:p>
          <w:p w14:paraId="51175203" w14:textId="64C7D850" w:rsidR="008D1BE0" w:rsidRPr="008B5C42" w:rsidRDefault="00F82E8F" w:rsidP="008D1BE0">
            <w:pPr>
              <w:spacing w:before="120"/>
              <w:ind w:left="36"/>
              <w:jc w:val="both"/>
            </w:pPr>
            <w:r w:rsidRPr="008B5C42">
              <w:t>1.</w:t>
            </w:r>
            <w:r w:rsidR="0074722B" w:rsidRPr="008B5C42">
              <w:t>2</w:t>
            </w:r>
            <w:r w:rsidRPr="008B5C42">
              <w:t>.</w:t>
            </w:r>
            <w:r w:rsidR="004D71C0" w:rsidRPr="008B5C42">
              <w:t xml:space="preserve"> </w:t>
            </w:r>
            <w:r w:rsidR="008D1BE0" w:rsidRPr="008B5C42">
              <w:t>noteikts, ka Fonda atbalstu papildus ir tiesības saņemt ģimenei (personai), kurai pašvaldības sociālais dienests izsniedzis rakstisku izziņu, kas apliecina, ka tā atzīta par maznodrošinātu un tās vidējie ienākumi mēnesī nepārsniedz vai nu 188 e</w:t>
            </w:r>
            <w:r w:rsidR="008D1BE0" w:rsidRPr="003E7A5D">
              <w:rPr>
                <w:i/>
              </w:rPr>
              <w:t>uro</w:t>
            </w:r>
            <w:r w:rsidR="008D1BE0" w:rsidRPr="008B5C42">
              <w:t xml:space="preserve"> (ja pašvaldība normatīvajos aktos</w:t>
            </w:r>
            <w:r w:rsidR="00575B8A">
              <w:t xml:space="preserve"> </w:t>
            </w:r>
            <w:r w:rsidR="008D1BE0" w:rsidRPr="008B5C42">
              <w:t>noteikusi maznodrošinātas ģimenes (personas) ienākumu līmeni virs 188</w:t>
            </w:r>
            <w:r w:rsidR="003E7A5D">
              <w:t> </w:t>
            </w:r>
            <w:proofErr w:type="spellStart"/>
            <w:r w:rsidR="008D1BE0" w:rsidRPr="003E7A5D">
              <w:rPr>
                <w:i/>
              </w:rPr>
              <w:t>euro</w:t>
            </w:r>
            <w:proofErr w:type="spellEnd"/>
            <w:r w:rsidR="008D1BE0" w:rsidRPr="008B5C42">
              <w:t xml:space="preserve">) vai arī pašvaldības noteikto maznodrošinātas ģimenes (personas) ienākumu līmeni (ja tas ir noteikts mazāks par 188 </w:t>
            </w:r>
            <w:r w:rsidR="008D1BE0" w:rsidRPr="008B5C42">
              <w:rPr>
                <w:i/>
              </w:rPr>
              <w:t>euro</w:t>
            </w:r>
            <w:r w:rsidR="008D1BE0" w:rsidRPr="008B5C42">
              <w:t>)</w:t>
            </w:r>
            <w:r w:rsidR="00121967" w:rsidRPr="008B5C42">
              <w:t xml:space="preserve"> (turpmāk – maznodrošinātas personas izziņa)</w:t>
            </w:r>
            <w:r w:rsidR="008D1BE0" w:rsidRPr="008B5C42">
              <w:t xml:space="preserve">. </w:t>
            </w:r>
          </w:p>
          <w:p w14:paraId="0F28F8A8" w14:textId="5C8C826D" w:rsidR="007C60DF" w:rsidRPr="008B5C42" w:rsidRDefault="0074722B" w:rsidP="008D1BE0">
            <w:pPr>
              <w:spacing w:before="120"/>
              <w:ind w:left="36"/>
              <w:jc w:val="both"/>
            </w:pPr>
            <w:r w:rsidRPr="008B5C42">
              <w:t>Šajā gadījumā pašvaldības</w:t>
            </w:r>
            <w:r w:rsidR="007C60DF" w:rsidRPr="008B5C42">
              <w:t xml:space="preserve"> sociālais dienests atbilstoši </w:t>
            </w:r>
            <w:r w:rsidR="002B615F" w:rsidRPr="008B5C42">
              <w:t>pašvaldības saistošajiem noteikumiem</w:t>
            </w:r>
            <w:r w:rsidR="008D1BE0" w:rsidRPr="008B5C42">
              <w:t>,</w:t>
            </w:r>
            <w:r w:rsidR="002B615F" w:rsidRPr="008B5C42">
              <w:t xml:space="preserve"> </w:t>
            </w:r>
            <w:r w:rsidR="007C60DF" w:rsidRPr="008B5C42">
              <w:t xml:space="preserve">izsniedz </w:t>
            </w:r>
            <w:r w:rsidR="00DF3893" w:rsidRPr="008B5C42">
              <w:t>maznodrošinātas personas izzi</w:t>
            </w:r>
            <w:r w:rsidR="007E2768" w:rsidRPr="008B5C42">
              <w:t>ņu</w:t>
            </w:r>
            <w:r w:rsidR="008D1BE0" w:rsidRPr="008B5C42">
              <w:t>,</w:t>
            </w:r>
            <w:r w:rsidR="007C60DF" w:rsidRPr="008B5C42">
              <w:t xml:space="preserve"> </w:t>
            </w:r>
            <w:r w:rsidR="008D1BE0" w:rsidRPr="008B5C42">
              <w:t>automātiski to izdrukājot no sociālās palīdzības administrēšanas lietojumprogrammas SOPA ar norādi, ka tā</w:t>
            </w:r>
            <w:r w:rsidR="008D1BE0" w:rsidRPr="008B5C42">
              <w:rPr>
                <w:bCs/>
              </w:rPr>
              <w:t xml:space="preserve"> atbilst </w:t>
            </w:r>
            <w:r w:rsidR="00AA3CB3" w:rsidRPr="008B5C42">
              <w:rPr>
                <w:bCs/>
              </w:rPr>
              <w:t>Fonda īstenošanas normatīvajam regulējumam</w:t>
            </w:r>
            <w:r w:rsidR="00D24F66" w:rsidRPr="008B5C42">
              <w:t>.</w:t>
            </w:r>
            <w:r w:rsidR="007C60DF" w:rsidRPr="008B5C42">
              <w:rPr>
                <w:i/>
              </w:rPr>
              <w:t xml:space="preserve"> </w:t>
            </w:r>
            <w:r w:rsidR="007C60DF" w:rsidRPr="008B5C42">
              <w:t>(II nodaļa</w:t>
            </w:r>
            <w:r w:rsidR="00FB407D" w:rsidRPr="008B5C42">
              <w:t xml:space="preserve"> papildināta ar</w:t>
            </w:r>
            <w:r w:rsidR="007C60DF" w:rsidRPr="008B5C42">
              <w:t xml:space="preserve"> </w:t>
            </w:r>
            <w:r w:rsidR="008D1BE0" w:rsidRPr="008B5C42">
              <w:rPr>
                <w:bCs/>
              </w:rPr>
              <w:t>4.</w:t>
            </w:r>
            <w:r w:rsidR="008D1BE0" w:rsidRPr="008B5C42">
              <w:rPr>
                <w:bCs/>
                <w:vertAlign w:val="superscript"/>
              </w:rPr>
              <w:t>2 </w:t>
            </w:r>
            <w:r w:rsidR="007C60DF" w:rsidRPr="008B5C42">
              <w:t> punkt</w:t>
            </w:r>
            <w:r w:rsidR="00FB407D" w:rsidRPr="008B5C42">
              <w:t>u</w:t>
            </w:r>
            <w:r w:rsidR="00B126CD" w:rsidRPr="008B5C42">
              <w:t>).</w:t>
            </w:r>
          </w:p>
          <w:p w14:paraId="38DA4EAE" w14:textId="7EC59EF9" w:rsidR="00F40EEA" w:rsidRPr="008B5C42" w:rsidRDefault="00F40EEA" w:rsidP="008D1BE0">
            <w:pPr>
              <w:spacing w:before="120"/>
              <w:ind w:left="36"/>
              <w:jc w:val="both"/>
            </w:pPr>
            <w:r w:rsidRPr="008B5C42">
              <w:t>Lai nodrošinātu</w:t>
            </w:r>
            <w:r w:rsidRPr="008B5C42">
              <w:rPr>
                <w:shd w:val="clear" w:color="auto" w:fill="FFFFFF"/>
              </w:rPr>
              <w:t xml:space="preserve"> noteikumu projekta </w:t>
            </w:r>
            <w:r w:rsidR="0013104F" w:rsidRPr="008B5C42">
              <w:rPr>
                <w:shd w:val="clear" w:color="auto" w:fill="FFFFFF"/>
              </w:rPr>
              <w:t>1.</w:t>
            </w:r>
            <w:r w:rsidR="000D30CD" w:rsidRPr="008B5C42">
              <w:rPr>
                <w:shd w:val="clear" w:color="auto" w:fill="FFFFFF"/>
              </w:rPr>
              <w:t>2</w:t>
            </w:r>
            <w:r w:rsidR="0013104F" w:rsidRPr="008B5C42">
              <w:rPr>
                <w:shd w:val="clear" w:color="auto" w:fill="FFFFFF"/>
              </w:rPr>
              <w:t xml:space="preserve">. apakšpunkta </w:t>
            </w:r>
            <w:r w:rsidRPr="008B5C42">
              <w:rPr>
                <w:shd w:val="clear" w:color="auto" w:fill="FFFFFF"/>
              </w:rPr>
              <w:t xml:space="preserve">ieviešanai nepieciešamo </w:t>
            </w:r>
            <w:r w:rsidR="00A5322C" w:rsidRPr="008B5C42">
              <w:rPr>
                <w:shd w:val="clear" w:color="auto" w:fill="FFFFFF"/>
              </w:rPr>
              <w:t xml:space="preserve">sociālās palīdzības administrēšanas lietojumprogrammas </w:t>
            </w:r>
            <w:r w:rsidRPr="008B5C42">
              <w:rPr>
                <w:shd w:val="clear" w:color="auto" w:fill="FFFFFF"/>
              </w:rPr>
              <w:t>SOPA pilnveidošanu, p</w:t>
            </w:r>
            <w:r w:rsidRPr="008B5C42">
              <w:t xml:space="preserve">aredzēts, ka noteikumu projekta punkti attiecībā uz </w:t>
            </w:r>
            <w:r w:rsidR="0013104F" w:rsidRPr="008B5C42">
              <w:t>Fonda atbalsta saņēmēju loka paplašināšanu,</w:t>
            </w:r>
            <w:r w:rsidRPr="008B5C42">
              <w:t xml:space="preserve"> stāsies spēkā 2018.</w:t>
            </w:r>
            <w:r w:rsidR="0013104F" w:rsidRPr="008B5C42">
              <w:t xml:space="preserve"> </w:t>
            </w:r>
            <w:r w:rsidRPr="008B5C42">
              <w:t>gada 1.</w:t>
            </w:r>
            <w:r w:rsidR="0013104F" w:rsidRPr="008B5C42">
              <w:t xml:space="preserve"> </w:t>
            </w:r>
            <w:r w:rsidRPr="008B5C42">
              <w:t>aprīlī, jo nepieciešams laiks SOPA papildinājumu izstrādei un ieviešanai (noteikumu projektā iekļauts 2. punkts)</w:t>
            </w:r>
            <w:r w:rsidR="0013104F" w:rsidRPr="008B5C42">
              <w:t>.</w:t>
            </w:r>
          </w:p>
          <w:p w14:paraId="7E8BDC6B" w14:textId="2B0AD5E6" w:rsidR="00A5322C" w:rsidRPr="008B5C42" w:rsidRDefault="00424867" w:rsidP="00A5322C">
            <w:pPr>
              <w:spacing w:before="120"/>
              <w:jc w:val="both"/>
            </w:pPr>
            <w:r w:rsidRPr="008B5C42">
              <w:t xml:space="preserve">Gadījumā, ja maznodrošinātas ģimenes (personas) izziņa izsniegta pirms </w:t>
            </w:r>
            <w:r w:rsidRPr="008B5C42">
              <w:lastRenderedPageBreak/>
              <w:t>2018. gada 1.aprīļa un maznodrošinātas ģimenes (personas) statusa periods ir spēkā arī aprīļa un tam sekojošajos mēnešos, un uz izziņas izsniegšanas brīdi ģimene (persona) atbilda augstākminētajiem Fonda atbalsta nosacījumiem, sākot ar 2018. gada 1.aprīli  sociālais dienests izdrukā no SOPA izziņu ar norādi par Fonda atbalstu, neveicot  ģimenes (personas)  ienākumu izvērtējumu atkārtoti</w:t>
            </w:r>
            <w:r w:rsidR="00A5322C" w:rsidRPr="008B5C42">
              <w:rPr>
                <w:bCs/>
              </w:rPr>
              <w:t>.</w:t>
            </w:r>
          </w:p>
          <w:p w14:paraId="60D9A93C" w14:textId="73A12895" w:rsidR="0034331F" w:rsidRPr="008B5C42" w:rsidRDefault="0034331F" w:rsidP="0034331F">
            <w:pPr>
              <w:spacing w:before="120"/>
              <w:ind w:left="36"/>
              <w:jc w:val="both"/>
            </w:pPr>
            <w:r w:rsidRPr="008B5C42">
              <w:t>Maznodrošinātas personas statusam atbilstošs ģimenes (personas) ienākumu līmenis no</w:t>
            </w:r>
            <w:r w:rsidR="00F97FC2" w:rsidRPr="008B5C42">
              <w:t>teikts visās pašvaldībās. 2016. </w:t>
            </w:r>
            <w:r w:rsidRPr="008B5C42">
              <w:t xml:space="preserve">gadā pašvaldības vidēji noteikušas ienākumu līmeni 230 </w:t>
            </w:r>
            <w:proofErr w:type="spellStart"/>
            <w:r w:rsidR="003E7A5D" w:rsidRPr="003E7A5D">
              <w:rPr>
                <w:i/>
              </w:rPr>
              <w:t>euro</w:t>
            </w:r>
            <w:proofErr w:type="spellEnd"/>
            <w:r w:rsidRPr="008B5C42">
              <w:t xml:space="preserve"> apmērā. Jāatzīmē, ka ienākumu līmeņi ievērojami atšķiras (no 135 </w:t>
            </w:r>
            <w:proofErr w:type="spellStart"/>
            <w:r w:rsidR="003E7A5D" w:rsidRPr="003E7A5D">
              <w:rPr>
                <w:i/>
              </w:rPr>
              <w:t>euro</w:t>
            </w:r>
            <w:proofErr w:type="spellEnd"/>
            <w:r w:rsidRPr="008B5C42">
              <w:t xml:space="preserve"> līdz 400 </w:t>
            </w:r>
            <w:proofErr w:type="spellStart"/>
            <w:r w:rsidR="003E7A5D" w:rsidRPr="003E7A5D">
              <w:rPr>
                <w:i/>
              </w:rPr>
              <w:t>euro</w:t>
            </w:r>
            <w:proofErr w:type="spellEnd"/>
            <w:r w:rsidRPr="008B5C42">
              <w:t>).</w:t>
            </w:r>
          </w:p>
          <w:p w14:paraId="50EFEB23" w14:textId="1F1C880A" w:rsidR="00896551" w:rsidRPr="008B5C42" w:rsidRDefault="00896551" w:rsidP="0034331F">
            <w:pPr>
              <w:spacing w:before="120"/>
              <w:ind w:left="36"/>
              <w:jc w:val="both"/>
            </w:pPr>
            <w:r w:rsidRPr="008B5C42">
              <w:t>Respektējot pašvaldību pieredzi un citus nosacījumus, kas izvirzīti pašvaldības saistošajos noteikumos, ienākumu līmeņu diferencētie apmēri norāda uz cilvēku ar līdzīgiem ienākumiem atšķirīgu situāciju dažādās pašvaldībās, tādējādi nostādot iedzīvotājus nevienlīdzīgā situācijā. Šāda pieeja ir adekvāta un atbalstāma gadījumos, kad sociālo palīdzību sniedz pašvaldības savu budžetu ietvaros, bet nav pieļaujama, saņemot Fonda atbalstu.</w:t>
            </w:r>
          </w:p>
          <w:p w14:paraId="097BBA15" w14:textId="77777777" w:rsidR="00E20CC2" w:rsidRPr="008B5C42" w:rsidRDefault="00230358" w:rsidP="0034331F">
            <w:pPr>
              <w:spacing w:before="120"/>
              <w:ind w:left="36"/>
              <w:jc w:val="both"/>
            </w:pPr>
            <w:r w:rsidRPr="008B5C42">
              <w:t>Diskusijā par</w:t>
            </w:r>
            <w:r w:rsidR="00896551" w:rsidRPr="008B5C42">
              <w:t xml:space="preserve"> iespēj</w:t>
            </w:r>
            <w:r w:rsidRPr="008B5C42">
              <w:t>ām</w:t>
            </w:r>
            <w:r w:rsidR="00896551" w:rsidRPr="008B5C42">
              <w:t xml:space="preserve"> paplašināt personu loku, kuri var saņemt </w:t>
            </w:r>
            <w:r w:rsidRPr="008B5C42">
              <w:t>pārtikas</w:t>
            </w:r>
            <w:r w:rsidR="00426662" w:rsidRPr="008B5C42">
              <w:t xml:space="preserve"> un pamata materiālās palīdzības preces un piedalīties papildpasākumos</w:t>
            </w:r>
            <w:r w:rsidR="00E20CC2" w:rsidRPr="008B5C42">
              <w:t>:</w:t>
            </w:r>
          </w:p>
          <w:p w14:paraId="5A5D3E08" w14:textId="3135E525" w:rsidR="00E20CC2" w:rsidRPr="008B5C42" w:rsidRDefault="00230358" w:rsidP="0034331F">
            <w:pPr>
              <w:spacing w:before="120"/>
              <w:ind w:left="36"/>
              <w:jc w:val="both"/>
            </w:pPr>
            <w:r w:rsidRPr="008B5C42">
              <w:t>-</w:t>
            </w:r>
            <w:r w:rsidR="00F97FC2" w:rsidRPr="008B5C42">
              <w:t xml:space="preserve"> </w:t>
            </w:r>
            <w:r w:rsidRPr="008B5C42">
              <w:t xml:space="preserve">nevalstiskā sektora pārstāvji </w:t>
            </w:r>
            <w:r w:rsidR="00505FAE" w:rsidRPr="008B5C42">
              <w:t xml:space="preserve">konsultatīvajā darba grupā </w:t>
            </w:r>
            <w:r w:rsidR="00E20CC2" w:rsidRPr="008B5C42">
              <w:t>pozitīvi novērtē</w:t>
            </w:r>
            <w:r w:rsidR="00505FAE" w:rsidRPr="008B5C42">
              <w:t>ja</w:t>
            </w:r>
            <w:r w:rsidR="00E20CC2" w:rsidRPr="008B5C42">
              <w:t xml:space="preserve"> iniciatīvu</w:t>
            </w:r>
            <w:r w:rsidRPr="008B5C42">
              <w:t xml:space="preserve"> </w:t>
            </w:r>
            <w:r w:rsidR="00E20CC2" w:rsidRPr="008B5C42">
              <w:t xml:space="preserve">palielināt ienākumu līmeni </w:t>
            </w:r>
            <w:r w:rsidR="00BB0113" w:rsidRPr="008B5C42">
              <w:t xml:space="preserve">Fonda atbalsta saņemšanai </w:t>
            </w:r>
            <w:r w:rsidR="00E20CC2" w:rsidRPr="008B5C42">
              <w:t>kā objektīvu nepieciešamību;</w:t>
            </w:r>
          </w:p>
          <w:p w14:paraId="56BDD8BE" w14:textId="7BA47E9A" w:rsidR="00A6407A" w:rsidRPr="008B5C42" w:rsidRDefault="00E20CC2" w:rsidP="0034331F">
            <w:pPr>
              <w:spacing w:before="120"/>
              <w:ind w:left="36"/>
              <w:jc w:val="both"/>
            </w:pPr>
            <w:r w:rsidRPr="008B5C42">
              <w:t>-</w:t>
            </w:r>
            <w:r w:rsidR="00F97FC2" w:rsidRPr="008B5C42">
              <w:t xml:space="preserve"> </w:t>
            </w:r>
            <w:r w:rsidRPr="008B5C42">
              <w:t>pašvaldību pārstāvji izsaka</w:t>
            </w:r>
            <w:r w:rsidR="00230358" w:rsidRPr="008B5C42">
              <w:t xml:space="preserve"> </w:t>
            </w:r>
            <w:r w:rsidRPr="008B5C42">
              <w:t>atšķirīgu vērtējumu: no pilnībā noliedzoša</w:t>
            </w:r>
            <w:r w:rsidR="00BB0113" w:rsidRPr="008B5C42">
              <w:t xml:space="preserve"> līdz pilnībā atbalstošam.</w:t>
            </w:r>
          </w:p>
          <w:p w14:paraId="4B567623" w14:textId="20C92046" w:rsidR="00BB0113" w:rsidRPr="008B5C42" w:rsidRDefault="003F2A68" w:rsidP="0034331F">
            <w:pPr>
              <w:spacing w:before="120"/>
              <w:ind w:left="36"/>
              <w:jc w:val="both"/>
            </w:pPr>
            <w:r w:rsidRPr="008B5C42">
              <w:t xml:space="preserve">Argumentācija izmaiņu nesaskaņošanai un Fonda atbalsta saglabāšanai esošajā līmenī ir faktiskajā situācijā, kurā daļa </w:t>
            </w:r>
            <w:r w:rsidR="00E20CC2" w:rsidRPr="008B5C42">
              <w:t>pašvaldīb</w:t>
            </w:r>
            <w:r w:rsidRPr="008B5C42">
              <w:t>u</w:t>
            </w:r>
            <w:r w:rsidR="00E20CC2" w:rsidRPr="008B5C42">
              <w:t xml:space="preserve"> </w:t>
            </w:r>
            <w:r w:rsidR="000C608E" w:rsidRPr="008B5C42">
              <w:t xml:space="preserve">pēc </w:t>
            </w:r>
            <w:r w:rsidR="00E20CC2" w:rsidRPr="008B5C42">
              <w:t>atbalsta nepieciešamīb</w:t>
            </w:r>
            <w:r w:rsidR="000C608E" w:rsidRPr="008B5C42">
              <w:t>as izvērtēšanas</w:t>
            </w:r>
            <w:r w:rsidR="00705CCC" w:rsidRPr="008B5C42">
              <w:t>,</w:t>
            </w:r>
            <w:r w:rsidR="00E20CC2" w:rsidRPr="008B5C42">
              <w:t xml:space="preserve"> pašas sniedz nepieciešamo atbalstu iedzīvotājiem, tam paredzot finansējumu. </w:t>
            </w:r>
          </w:p>
          <w:p w14:paraId="02E35EEA" w14:textId="17542D8C" w:rsidR="00E20CC2" w:rsidRPr="003E7A5D" w:rsidRDefault="00E20CC2" w:rsidP="0034331F">
            <w:pPr>
              <w:spacing w:before="120"/>
              <w:ind w:left="36"/>
              <w:jc w:val="both"/>
            </w:pPr>
            <w:r w:rsidRPr="008B5C42">
              <w:t>Savukārt citas pašvaldības,</w:t>
            </w:r>
            <w:r w:rsidR="00874F46" w:rsidRPr="008B5C42">
              <w:t xml:space="preserve"> </w:t>
            </w:r>
            <w:r w:rsidRPr="008B5C42">
              <w:t xml:space="preserve">it īpaši </w:t>
            </w:r>
            <w:r w:rsidR="00874F46" w:rsidRPr="008B5C42">
              <w:t xml:space="preserve">pašvaldības </w:t>
            </w:r>
            <w:r w:rsidRPr="008B5C42">
              <w:t xml:space="preserve">ar </w:t>
            </w:r>
            <w:r w:rsidR="003F2A68" w:rsidRPr="008B5C42">
              <w:t>ierobežotām finan</w:t>
            </w:r>
            <w:r w:rsidR="00171437" w:rsidRPr="008B5C42">
              <w:t>siālām</w:t>
            </w:r>
            <w:r w:rsidR="00874F46" w:rsidRPr="008B5C42">
              <w:t xml:space="preserve"> iespējam</w:t>
            </w:r>
            <w:r w:rsidR="00A6407A" w:rsidRPr="008B5C42">
              <w:t>,</w:t>
            </w:r>
            <w:r w:rsidR="00874F46" w:rsidRPr="008B5C42">
              <w:t xml:space="preserve"> </w:t>
            </w:r>
            <w:r w:rsidR="00A6407A" w:rsidRPr="008B5C42">
              <w:t xml:space="preserve">nevar </w:t>
            </w:r>
            <w:r w:rsidR="00874F46" w:rsidRPr="008B5C42">
              <w:t xml:space="preserve">atbalstīt personas papildus normatīvajā regulējumā </w:t>
            </w:r>
            <w:r w:rsidR="00874F46" w:rsidRPr="003E7A5D">
              <w:t xml:space="preserve">noteiktajiem palīdzības veidiem, </w:t>
            </w:r>
            <w:r w:rsidR="00A6407A" w:rsidRPr="003E7A5D">
              <w:t xml:space="preserve">un </w:t>
            </w:r>
            <w:r w:rsidR="00874F46" w:rsidRPr="003E7A5D">
              <w:t xml:space="preserve">pauž pilnīgu atbalstu </w:t>
            </w:r>
            <w:r w:rsidR="00BB0113" w:rsidRPr="003E7A5D">
              <w:t xml:space="preserve">iniciatīvai, īpaši uzsverot </w:t>
            </w:r>
            <w:r w:rsidR="00A6407A" w:rsidRPr="003E7A5D">
              <w:t>nep</w:t>
            </w:r>
            <w:r w:rsidR="00BB0113" w:rsidRPr="003E7A5D">
              <w:t>ieciešamību atbalstīt ģimenes ar bērniem.</w:t>
            </w:r>
          </w:p>
          <w:p w14:paraId="4ED6B614" w14:textId="77777777" w:rsidR="00F26732" w:rsidRPr="003E7A5D" w:rsidRDefault="00437D93" w:rsidP="00F26732">
            <w:pPr>
              <w:spacing w:before="120"/>
              <w:ind w:left="34"/>
              <w:jc w:val="both"/>
            </w:pPr>
            <w:r w:rsidRPr="003E7A5D">
              <w:t>Lai veicinātu personu loka paplašināšanas uzsākšanu</w:t>
            </w:r>
            <w:r w:rsidR="000C608E" w:rsidRPr="003E7A5D">
              <w:t>,</w:t>
            </w:r>
            <w:r w:rsidR="002C77FF" w:rsidRPr="003E7A5D">
              <w:t xml:space="preserve"> </w:t>
            </w:r>
            <w:r w:rsidR="000C608E" w:rsidRPr="003E7A5D">
              <w:t xml:space="preserve">noteikumu projektā </w:t>
            </w:r>
            <w:r w:rsidR="00CE7B31" w:rsidRPr="003E7A5D">
              <w:t>paredz</w:t>
            </w:r>
            <w:r w:rsidR="00BB42DC" w:rsidRPr="003E7A5D">
              <w:t>ē</w:t>
            </w:r>
            <w:r w:rsidR="000C608E" w:rsidRPr="003E7A5D">
              <w:t>t</w:t>
            </w:r>
            <w:r w:rsidR="00BB42DC" w:rsidRPr="003E7A5D">
              <w:t>s</w:t>
            </w:r>
            <w:r w:rsidR="00CE7B31" w:rsidRPr="003E7A5D">
              <w:t xml:space="preserve">, ka </w:t>
            </w:r>
            <w:r w:rsidR="00705CCC" w:rsidRPr="003E7A5D">
              <w:t xml:space="preserve">Fonda atbalstu varēs saņemt </w:t>
            </w:r>
            <w:r w:rsidR="002C77FF" w:rsidRPr="003E7A5D">
              <w:t>maznodrošināt</w:t>
            </w:r>
            <w:r w:rsidR="00F26732" w:rsidRPr="003E7A5D">
              <w:t>a</w:t>
            </w:r>
            <w:r w:rsidR="00A21675" w:rsidRPr="003E7A5D">
              <w:t>s personas vai ģimenes</w:t>
            </w:r>
            <w:r w:rsidR="002C77FF" w:rsidRPr="003E7A5D">
              <w:t xml:space="preserve">, kuru vidējie ienākumi katram ģimenes loceklim mēnesī nepārsniedz 188 </w:t>
            </w:r>
            <w:r w:rsidR="002C77FF" w:rsidRPr="003E7A5D">
              <w:rPr>
                <w:i/>
              </w:rPr>
              <w:t>euro</w:t>
            </w:r>
            <w:r w:rsidR="00A21675" w:rsidRPr="003E7A5D">
              <w:t xml:space="preserve">. </w:t>
            </w:r>
          </w:p>
          <w:p w14:paraId="5B93BF66" w14:textId="77777777" w:rsidR="00F26732" w:rsidRPr="003E7A5D" w:rsidRDefault="00B759BD" w:rsidP="00F26732">
            <w:pPr>
              <w:spacing w:before="120"/>
              <w:ind w:left="34"/>
              <w:jc w:val="both"/>
            </w:pPr>
            <w:r w:rsidRPr="003E7A5D">
              <w:t xml:space="preserve">Pašvaldībās, kurās maznodrošinātas personas vai ģimenes ienākumu līmenis noteikts mazāks par 188 </w:t>
            </w:r>
            <w:r w:rsidRPr="003E7A5D">
              <w:rPr>
                <w:i/>
              </w:rPr>
              <w:t>euro</w:t>
            </w:r>
            <w:r w:rsidRPr="003E7A5D">
              <w:t xml:space="preserve"> (aptuveni 18% no visām pašvaldībām), Fonda atbalstu varēs saņemt visas maznodrošinātās personas vai ģimenes</w:t>
            </w:r>
            <w:r w:rsidR="000C608E" w:rsidRPr="003E7A5D">
              <w:t>.</w:t>
            </w:r>
          </w:p>
          <w:p w14:paraId="22A010F2" w14:textId="4E22A36A" w:rsidR="008D1BE0" w:rsidRPr="003E7A5D" w:rsidRDefault="00B759BD" w:rsidP="00F26732">
            <w:pPr>
              <w:spacing w:before="120"/>
              <w:ind w:left="34"/>
              <w:jc w:val="both"/>
            </w:pPr>
            <w:r w:rsidRPr="003E7A5D">
              <w:t>Vienl</w:t>
            </w:r>
            <w:r w:rsidR="00F26732" w:rsidRPr="003E7A5D">
              <w:t>a</w:t>
            </w:r>
            <w:r w:rsidRPr="003E7A5D">
              <w:t>ikus n</w:t>
            </w:r>
            <w:r w:rsidR="008D1BE0" w:rsidRPr="003E7A5D">
              <w:t>oteikumu projekt</w:t>
            </w:r>
            <w:r w:rsidRPr="003E7A5D">
              <w:t>ā</w:t>
            </w:r>
            <w:r w:rsidR="008D1BE0" w:rsidRPr="003E7A5D">
              <w:t xml:space="preserve"> </w:t>
            </w:r>
            <w:r w:rsidRPr="003E7A5D">
              <w:t>noteikta</w:t>
            </w:r>
            <w:r w:rsidR="008D1BE0" w:rsidRPr="003E7A5D">
              <w:t xml:space="preserve"> iespēja pašvaldībai, kuras maznodrošinātā ienākumu līmenis ir mazāks par 188 </w:t>
            </w:r>
            <w:r w:rsidR="008D1BE0" w:rsidRPr="003E7A5D">
              <w:rPr>
                <w:i/>
              </w:rPr>
              <w:t>euro</w:t>
            </w:r>
            <w:r w:rsidR="008D1BE0" w:rsidRPr="003E7A5D">
              <w:t xml:space="preserve">, </w:t>
            </w:r>
            <w:r w:rsidR="00206B50" w:rsidRPr="003E7A5D">
              <w:t>izvirzīt labvēlīgākus nosacījumus fonda atbalsta saņemšanai, nosakot augstāku maznodrošinātas ģimenes (personas) i</w:t>
            </w:r>
            <w:r w:rsidRPr="003E7A5D">
              <w:t>enākumu līmeni</w:t>
            </w:r>
            <w:r w:rsidR="0071283F" w:rsidRPr="003E7A5D">
              <w:t xml:space="preserve"> (</w:t>
            </w:r>
            <w:r w:rsidR="00F55C31" w:rsidRPr="003E7A5D">
              <w:t>noteikumu projekts papildināts ar 4.1.3. apakšpunktu).</w:t>
            </w:r>
          </w:p>
          <w:p w14:paraId="7593A56B" w14:textId="2DB4AE45" w:rsidR="004D71C0" w:rsidRPr="008B5C42" w:rsidRDefault="004D71C0" w:rsidP="00031FE4">
            <w:pPr>
              <w:spacing w:before="120"/>
              <w:ind w:left="34"/>
              <w:jc w:val="both"/>
            </w:pPr>
            <w:r w:rsidRPr="003E7A5D">
              <w:t>1.3.</w:t>
            </w:r>
            <w:r w:rsidR="00E32CC8" w:rsidRPr="003E7A5D">
              <w:t xml:space="preserve"> </w:t>
            </w:r>
            <w:r w:rsidR="00AF7FB9" w:rsidRPr="003E7A5D">
              <w:t>atbilstoši izmaiņām sociālās palīdzības un sociālo pakalpojumu</w:t>
            </w:r>
            <w:r w:rsidR="00AF7FB9" w:rsidRPr="008B5C42">
              <w:t xml:space="preserve"> normatīvajā regulējumā, turpmāk netiek nodalīts atbalsts krīzes un </w:t>
            </w:r>
            <w:r w:rsidR="00AF7FB9" w:rsidRPr="008B5C42">
              <w:lastRenderedPageBreak/>
              <w:t>ārkārtas situācijā. Visas minētās situācijas pēc izvērtējuma turpmāk definējot kā “krīzes” situācijas (redakcionāli mainīts 4.1.2. apakšpunkts);</w:t>
            </w:r>
          </w:p>
          <w:p w14:paraId="4FE093D1" w14:textId="01F9E484" w:rsidR="004D71C0" w:rsidRPr="008B5C42" w:rsidRDefault="005C1AD8" w:rsidP="00031FE4">
            <w:pPr>
              <w:spacing w:before="120"/>
              <w:ind w:left="34"/>
              <w:jc w:val="both"/>
            </w:pPr>
            <w:r w:rsidRPr="008B5C42">
              <w:t>1.</w:t>
            </w:r>
            <w:r w:rsidR="003225B3" w:rsidRPr="008B5C42">
              <w:t>4</w:t>
            </w:r>
            <w:r w:rsidRPr="008B5C42">
              <w:t xml:space="preserve">. </w:t>
            </w:r>
            <w:r w:rsidR="002C5F4C" w:rsidRPr="008B5C42">
              <w:t>s</w:t>
            </w:r>
            <w:r w:rsidRPr="008B5C42">
              <w:t>aistībā ar Fonda atbalsta saņēmēju loku paplašināšanu</w:t>
            </w:r>
            <w:r w:rsidR="003225B3" w:rsidRPr="008B5C42">
              <w:t>,</w:t>
            </w:r>
            <w:r w:rsidRPr="008B5C42">
              <w:t xml:space="preserve"> </w:t>
            </w:r>
            <w:r w:rsidR="008F6B05" w:rsidRPr="008B5C42">
              <w:t xml:space="preserve">veikti </w:t>
            </w:r>
            <w:r w:rsidRPr="008B5C42">
              <w:t>redakcionāli</w:t>
            </w:r>
            <w:r w:rsidR="008F6B05" w:rsidRPr="008B5C42">
              <w:t xml:space="preserve"> precizējumi</w:t>
            </w:r>
            <w:r w:rsidRPr="008B5C42">
              <w:t>, dodot atsauc</w:t>
            </w:r>
            <w:r w:rsidR="002C5F4C" w:rsidRPr="008B5C42">
              <w:t>es</w:t>
            </w:r>
            <w:r w:rsidRPr="008B5C42">
              <w:t xml:space="preserve"> un konkrēto mērķgrupu un nodrošinot to nepārklāšanos </w:t>
            </w:r>
            <w:r w:rsidR="002C5F4C" w:rsidRPr="008B5C42">
              <w:t>(</w:t>
            </w:r>
            <w:r w:rsidRPr="008B5C42">
              <w:t>precizēts 4</w:t>
            </w:r>
            <w:r w:rsidR="00E32CC8" w:rsidRPr="008B5C42">
              <w:rPr>
                <w:bCs/>
                <w:vertAlign w:val="superscript"/>
              </w:rPr>
              <w:t>1</w:t>
            </w:r>
            <w:r w:rsidR="00F97FC2" w:rsidRPr="008B5C42">
              <w:rPr>
                <w:bCs/>
              </w:rPr>
              <w:t>.</w:t>
            </w:r>
            <w:r w:rsidR="00E32CC8" w:rsidRPr="008B5C42">
              <w:t xml:space="preserve"> punkts</w:t>
            </w:r>
            <w:r w:rsidR="002C5F4C" w:rsidRPr="008B5C42">
              <w:t>, 28.</w:t>
            </w:r>
            <w:r w:rsidR="00F97FC2" w:rsidRPr="008B5C42">
              <w:t> </w:t>
            </w:r>
            <w:r w:rsidR="002C5F4C" w:rsidRPr="008B5C42">
              <w:t>punkts).</w:t>
            </w:r>
            <w:r w:rsidR="00E32CC8" w:rsidRPr="008B5C42">
              <w:rPr>
                <w:bCs/>
                <w:vertAlign w:val="superscript"/>
              </w:rPr>
              <w:t xml:space="preserve"> </w:t>
            </w:r>
          </w:p>
          <w:p w14:paraId="2D80C024" w14:textId="669DDEE7" w:rsidR="00184125" w:rsidRPr="008B5C42" w:rsidRDefault="00184125" w:rsidP="00184125">
            <w:pPr>
              <w:spacing w:before="120"/>
              <w:jc w:val="both"/>
            </w:pPr>
            <w:r w:rsidRPr="008B5C42">
              <w:t>2.</w:t>
            </w:r>
            <w:r w:rsidR="00F97FC2" w:rsidRPr="008B5C42">
              <w:t> </w:t>
            </w:r>
            <w:r w:rsidRPr="008B5C42">
              <w:t>Mainītas pārtikas preču piegādātājam izvirzāmās papildu specifiskās prasības:</w:t>
            </w:r>
          </w:p>
          <w:p w14:paraId="3F57FC12" w14:textId="754AED68" w:rsidR="00184125" w:rsidRPr="008B5C42" w:rsidRDefault="00FB407D" w:rsidP="00FB407D">
            <w:pPr>
              <w:spacing w:before="120"/>
              <w:ind w:firstLine="36"/>
              <w:jc w:val="both"/>
            </w:pPr>
            <w:r w:rsidRPr="008B5C42">
              <w:t>2.1.</w:t>
            </w:r>
            <w:r w:rsidR="00F97FC2" w:rsidRPr="008B5C42">
              <w:t xml:space="preserve"> </w:t>
            </w:r>
            <w:r w:rsidR="00184125" w:rsidRPr="008B5C42">
              <w:t>piemērota valstī vispārpieņemt</w:t>
            </w:r>
            <w:r w:rsidR="00D259C0" w:rsidRPr="008B5C42">
              <w:t>ā</w:t>
            </w:r>
            <w:r w:rsidR="00184125" w:rsidRPr="008B5C42">
              <w:t xml:space="preserve"> mazumtirdzniecības praks</w:t>
            </w:r>
            <w:r w:rsidR="00D259C0" w:rsidRPr="008B5C42">
              <w:t>e</w:t>
            </w:r>
            <w:r w:rsidR="00184125" w:rsidRPr="008B5C42">
              <w:t xml:space="preserve"> (Likuma “Negodīgas mazumtirdzniecības prakses aizlieguma likums” 6. panta 3.</w:t>
            </w:r>
            <w:r w:rsidR="00F97FC2" w:rsidRPr="008B5C42">
              <w:t> </w:t>
            </w:r>
            <w:r w:rsidR="00184125" w:rsidRPr="008B5C42">
              <w:t>punkta 1.</w:t>
            </w:r>
            <w:r w:rsidR="00F97FC2" w:rsidRPr="008B5C42">
              <w:t> </w:t>
            </w:r>
            <w:r w:rsidR="00184125" w:rsidRPr="008B5C42">
              <w:t>apakšpunkts) un noteikts, ka pārtikas produktu derīguma termiņam jābūt vismaz 2/3 no ražotāja derīguma termiņa, proti, komplektā iekļauto pārtikas produktu realizācijas termiņš ir ne mazāks nekā 66 % no īsākā derīguma termiņa, ko ražotājs noteicis attiecīgajam produktam (precizēts 12.1.</w:t>
            </w:r>
            <w:r w:rsidR="00184125" w:rsidRPr="008B5C42">
              <w:rPr>
                <w:vertAlign w:val="superscript"/>
              </w:rPr>
              <w:t>1</w:t>
            </w:r>
            <w:r w:rsidR="00184125" w:rsidRPr="008B5C42">
              <w:t xml:space="preserve"> apakšpunkts)</w:t>
            </w:r>
            <w:r w:rsidRPr="008B5C42">
              <w:t>.</w:t>
            </w:r>
          </w:p>
          <w:p w14:paraId="27D6E06E" w14:textId="2819CDC1" w:rsidR="00180EE4" w:rsidRPr="008B5C42" w:rsidRDefault="005C1AD8" w:rsidP="00031FE4">
            <w:pPr>
              <w:spacing w:before="240"/>
              <w:jc w:val="both"/>
            </w:pPr>
            <w:r w:rsidRPr="008B5C42">
              <w:t>3</w:t>
            </w:r>
            <w:r w:rsidR="008F1F84" w:rsidRPr="008B5C42">
              <w:t>.</w:t>
            </w:r>
            <w:r w:rsidR="00CC11E3" w:rsidRPr="008B5C42">
              <w:t xml:space="preserve"> </w:t>
            </w:r>
            <w:r w:rsidR="00180EE4" w:rsidRPr="008B5C42">
              <w:t>Lai vienkāršotu un precizētu prasības pārtikas un pamata materiālās palīdzības iz</w:t>
            </w:r>
            <w:r w:rsidR="00E0093D" w:rsidRPr="008B5C42">
              <w:t>sniegša</w:t>
            </w:r>
            <w:r w:rsidR="00180EE4" w:rsidRPr="008B5C42">
              <w:t>nai, veikti saturiski un redakcionāli uzlabojumi:</w:t>
            </w:r>
          </w:p>
          <w:p w14:paraId="4D372D64" w14:textId="72EC4533" w:rsidR="00031FE4" w:rsidRPr="008B5C42" w:rsidRDefault="007A54D2" w:rsidP="00031FE4">
            <w:pPr>
              <w:spacing w:after="120"/>
              <w:jc w:val="both"/>
            </w:pPr>
            <w:r w:rsidRPr="008B5C42">
              <w:t xml:space="preserve">3.1. </w:t>
            </w:r>
            <w:r w:rsidR="00180EE4" w:rsidRPr="008B5C42">
              <w:t xml:space="preserve">sakarā ar to, ka </w:t>
            </w:r>
            <w:r w:rsidR="00FC1153" w:rsidRPr="008B5C42">
              <w:t xml:space="preserve">maznodrošinātas </w:t>
            </w:r>
            <w:r w:rsidR="00180EE4" w:rsidRPr="008B5C42">
              <w:t>ģimenes (personas) status</w:t>
            </w:r>
            <w:r w:rsidRPr="008B5C42">
              <w:t>u</w:t>
            </w:r>
            <w:r w:rsidR="00180EE4" w:rsidRPr="008B5C42">
              <w:t xml:space="preserve"> </w:t>
            </w:r>
            <w:r w:rsidR="00A72976" w:rsidRPr="008B5C42">
              <w:t xml:space="preserve">var </w:t>
            </w:r>
            <w:r w:rsidR="00180EE4" w:rsidRPr="008B5C42">
              <w:t>noteikt uz atšķirīgiem termiņiem (</w:t>
            </w:r>
            <w:r w:rsidR="000A38B2" w:rsidRPr="008B5C42">
              <w:t xml:space="preserve">no </w:t>
            </w:r>
            <w:r w:rsidR="00A171B8" w:rsidRPr="008B5C42">
              <w:t>trim līdz</w:t>
            </w:r>
            <w:r w:rsidR="00180EE4" w:rsidRPr="008B5C42">
              <w:t xml:space="preserve"> </w:t>
            </w:r>
            <w:r w:rsidR="00A171B8" w:rsidRPr="008B5C42">
              <w:t xml:space="preserve">sešiem </w:t>
            </w:r>
            <w:r w:rsidR="00180EE4" w:rsidRPr="008B5C42">
              <w:t>mēnešiem), noteikumu projektā precizēts gan pārtikas, gan individuālo mācību piederumu, gan higiēnas un saimniecības preču komplektu saņemšanas biežums atkarībā no izziņā minētā termiņa katram noteikumu 9.</w:t>
            </w:r>
            <w:r w:rsidRPr="008B5C42">
              <w:t> </w:t>
            </w:r>
            <w:r w:rsidR="00180EE4" w:rsidRPr="008B5C42">
              <w:t>punktā minētajam komplektam (</w:t>
            </w:r>
            <w:r w:rsidR="00E97DE6" w:rsidRPr="008B5C42">
              <w:t xml:space="preserve">precizēts </w:t>
            </w:r>
            <w:r w:rsidR="00180EE4" w:rsidRPr="008B5C42">
              <w:t>28.</w:t>
            </w:r>
            <w:r w:rsidRPr="008B5C42">
              <w:t> </w:t>
            </w:r>
            <w:r w:rsidR="00E97DE6" w:rsidRPr="008B5C42">
              <w:t>punkts</w:t>
            </w:r>
            <w:r w:rsidR="00180EE4" w:rsidRPr="008B5C42">
              <w:t>).</w:t>
            </w:r>
          </w:p>
          <w:p w14:paraId="1C551F15" w14:textId="1E95B40D" w:rsidR="007D6967" w:rsidRPr="008B5C42" w:rsidRDefault="007D6967" w:rsidP="00031FE4">
            <w:pPr>
              <w:spacing w:after="120"/>
              <w:jc w:val="both"/>
            </w:pPr>
            <w:r w:rsidRPr="008B5C42">
              <w:t>4</w:t>
            </w:r>
            <w:r w:rsidR="00441E67" w:rsidRPr="008B5C42">
              <w:t>.</w:t>
            </w:r>
            <w:r w:rsidR="00441E67" w:rsidRPr="008B5C42">
              <w:rPr>
                <w:color w:val="414142"/>
              </w:rPr>
              <w:t xml:space="preserve"> </w:t>
            </w:r>
            <w:r w:rsidRPr="008B5C42">
              <w:t xml:space="preserve">Nolūkā precizēt </w:t>
            </w:r>
            <w:r w:rsidR="00441E67" w:rsidRPr="008B5C42">
              <w:t>ar sadarbības iestādi noslēgtā līguma vai vienošanās par pārtikas un pamata materiālās palīdzības preču izdalīšanu un papildpasākumu īstenošanu saturu, to noslēgšanas, grozījumu izdarīšanas un izbeigšanas kārtību</w:t>
            </w:r>
            <w:r w:rsidR="00FD2A2C" w:rsidRPr="008B5C42">
              <w:t>,</w:t>
            </w:r>
            <w:r w:rsidRPr="008B5C42">
              <w:t xml:space="preserve"> veikti saturiski un redakcionāli uzlabojumi:</w:t>
            </w:r>
          </w:p>
          <w:p w14:paraId="4EC50617" w14:textId="2F7A77B0" w:rsidR="00031FE4" w:rsidRPr="008B5C42" w:rsidRDefault="007D6967" w:rsidP="00031FE4">
            <w:pPr>
              <w:pStyle w:val="ListParagraph"/>
              <w:spacing w:after="360" w:line="240" w:lineRule="auto"/>
              <w:ind w:left="0"/>
              <w:jc w:val="both"/>
              <w:rPr>
                <w:rFonts w:ascii="Times New Roman" w:hAnsi="Times New Roman"/>
                <w:sz w:val="24"/>
                <w:szCs w:val="24"/>
              </w:rPr>
            </w:pPr>
            <w:r w:rsidRPr="008B5C42">
              <w:rPr>
                <w:rFonts w:ascii="Times New Roman" w:hAnsi="Times New Roman"/>
                <w:sz w:val="24"/>
                <w:szCs w:val="24"/>
              </w:rPr>
              <w:t>4.1.</w:t>
            </w:r>
            <w:r w:rsidR="007A54D2" w:rsidRPr="008B5C42">
              <w:rPr>
                <w:rFonts w:ascii="Times New Roman" w:hAnsi="Times New Roman"/>
                <w:sz w:val="24"/>
                <w:szCs w:val="24"/>
              </w:rPr>
              <w:t> </w:t>
            </w:r>
            <w:r w:rsidRPr="008B5C42">
              <w:rPr>
                <w:rFonts w:ascii="Times New Roman" w:hAnsi="Times New Roman"/>
                <w:sz w:val="24"/>
                <w:szCs w:val="24"/>
              </w:rPr>
              <w:t>vispārināts nodaļas nosaukums;</w:t>
            </w:r>
          </w:p>
          <w:p w14:paraId="54FB4BF4" w14:textId="69125026" w:rsidR="007D6967" w:rsidRPr="008B5C42" w:rsidRDefault="007D6967" w:rsidP="00031FE4">
            <w:pPr>
              <w:pStyle w:val="ListParagraph"/>
              <w:spacing w:after="120" w:line="240" w:lineRule="auto"/>
              <w:ind w:left="0"/>
              <w:jc w:val="both"/>
              <w:rPr>
                <w:rFonts w:ascii="Times New Roman" w:hAnsi="Times New Roman"/>
                <w:sz w:val="24"/>
                <w:szCs w:val="24"/>
              </w:rPr>
            </w:pPr>
            <w:r w:rsidRPr="008B5C42">
              <w:rPr>
                <w:rFonts w:ascii="Times New Roman" w:hAnsi="Times New Roman"/>
                <w:sz w:val="24"/>
                <w:szCs w:val="24"/>
              </w:rPr>
              <w:t>4.2.</w:t>
            </w:r>
            <w:r w:rsidR="007A54D2" w:rsidRPr="008B5C42">
              <w:rPr>
                <w:rFonts w:ascii="Times New Roman" w:hAnsi="Times New Roman"/>
                <w:sz w:val="24"/>
                <w:szCs w:val="24"/>
              </w:rPr>
              <w:t> </w:t>
            </w:r>
            <w:r w:rsidRPr="008B5C42">
              <w:rPr>
                <w:rFonts w:ascii="Times New Roman" w:hAnsi="Times New Roman"/>
                <w:sz w:val="24"/>
                <w:szCs w:val="24"/>
              </w:rPr>
              <w:t>noteikti kritēriji līguma vai vienošanās grozījumiem (VII nodaļa papildināta ar 51.</w:t>
            </w:r>
            <w:r w:rsidRPr="008B5C42">
              <w:rPr>
                <w:rFonts w:ascii="Times New Roman" w:hAnsi="Times New Roman"/>
                <w:sz w:val="24"/>
                <w:szCs w:val="24"/>
                <w:vertAlign w:val="superscript"/>
              </w:rPr>
              <w:t>1</w:t>
            </w:r>
            <w:r w:rsidRPr="008B5C42">
              <w:rPr>
                <w:rFonts w:ascii="Times New Roman" w:hAnsi="Times New Roman"/>
                <w:sz w:val="24"/>
                <w:szCs w:val="24"/>
              </w:rPr>
              <w:t xml:space="preserve"> punktu)</w:t>
            </w:r>
            <w:r w:rsidR="0080774E" w:rsidRPr="008B5C42">
              <w:rPr>
                <w:rFonts w:ascii="Times New Roman" w:hAnsi="Times New Roman"/>
                <w:sz w:val="24"/>
                <w:szCs w:val="24"/>
              </w:rPr>
              <w:t>.</w:t>
            </w:r>
          </w:p>
          <w:p w14:paraId="60FF0401" w14:textId="77777777" w:rsidR="0080774E" w:rsidRPr="008B5C42" w:rsidRDefault="00CC11E3" w:rsidP="00031FE4">
            <w:pPr>
              <w:spacing w:after="120"/>
              <w:jc w:val="both"/>
            </w:pPr>
            <w:r w:rsidRPr="008B5C42">
              <w:t>5</w:t>
            </w:r>
            <w:r w:rsidR="008F1F84" w:rsidRPr="008B5C42">
              <w:t xml:space="preserve">. </w:t>
            </w:r>
            <w:r w:rsidR="00DB4297" w:rsidRPr="008B5C42">
              <w:t xml:space="preserve">Atbilstoši 2016. gada pārtikas komplektu saņēmēju aptaujai un novērtējuma </w:t>
            </w:r>
            <w:r w:rsidR="00D259C0" w:rsidRPr="008B5C42">
              <w:t>(2016)</w:t>
            </w:r>
            <w:r w:rsidR="00DB4297" w:rsidRPr="008B5C42">
              <w:t xml:space="preserve"> ieteikumiem p</w:t>
            </w:r>
            <w:r w:rsidR="00125907" w:rsidRPr="008B5C42">
              <w:t>aplašināti</w:t>
            </w:r>
            <w:r w:rsidR="006309E9" w:rsidRPr="008B5C42">
              <w:t xml:space="preserve"> pārtikas</w:t>
            </w:r>
            <w:r w:rsidR="00E431E4" w:rsidRPr="008B5C42">
              <w:t xml:space="preserve"> </w:t>
            </w:r>
            <w:r w:rsidR="006309E9" w:rsidRPr="008B5C42">
              <w:t>komplektos iekļaujamo preču kvalitātes kritērij</w:t>
            </w:r>
            <w:r w:rsidR="00125907" w:rsidRPr="008B5C42">
              <w:t>i</w:t>
            </w:r>
            <w:r w:rsidR="006309E9" w:rsidRPr="008B5C42">
              <w:t>:</w:t>
            </w:r>
          </w:p>
          <w:p w14:paraId="783AC463" w14:textId="25F7E868" w:rsidR="0080774E" w:rsidRPr="008B5C42" w:rsidRDefault="0080774E" w:rsidP="0080774E">
            <w:pPr>
              <w:pStyle w:val="ListParagraph"/>
              <w:spacing w:after="360" w:line="240" w:lineRule="auto"/>
              <w:ind w:left="0"/>
              <w:jc w:val="both"/>
              <w:rPr>
                <w:rFonts w:ascii="Times New Roman" w:hAnsi="Times New Roman"/>
                <w:sz w:val="24"/>
                <w:szCs w:val="24"/>
              </w:rPr>
            </w:pPr>
            <w:r w:rsidRPr="008B5C42">
              <w:rPr>
                <w:rFonts w:ascii="Times New Roman" w:hAnsi="Times New Roman"/>
                <w:sz w:val="24"/>
                <w:szCs w:val="24"/>
              </w:rPr>
              <w:t>1</w:t>
            </w:r>
            <w:r w:rsidR="00E827C0" w:rsidRPr="008B5C42">
              <w:rPr>
                <w:rFonts w:ascii="Times New Roman" w:hAnsi="Times New Roman"/>
                <w:sz w:val="24"/>
                <w:szCs w:val="24"/>
              </w:rPr>
              <w:t>.</w:t>
            </w:r>
            <w:r w:rsidR="007A54D2" w:rsidRPr="008B5C42">
              <w:rPr>
                <w:rFonts w:ascii="Times New Roman" w:hAnsi="Times New Roman"/>
                <w:sz w:val="24"/>
                <w:szCs w:val="24"/>
              </w:rPr>
              <w:t> </w:t>
            </w:r>
            <w:r w:rsidR="00E827C0" w:rsidRPr="008B5C42">
              <w:rPr>
                <w:rFonts w:ascii="Times New Roman" w:hAnsi="Times New Roman"/>
                <w:sz w:val="24"/>
                <w:szCs w:val="24"/>
              </w:rPr>
              <w:t>pielikums papildināts ar VII</w:t>
            </w:r>
            <w:r w:rsidR="00E827C0" w:rsidRPr="008B5C42">
              <w:rPr>
                <w:rFonts w:ascii="Times New Roman" w:hAnsi="Times New Roman"/>
                <w:sz w:val="24"/>
                <w:szCs w:val="24"/>
                <w:vertAlign w:val="superscript"/>
              </w:rPr>
              <w:t xml:space="preserve">1 </w:t>
            </w:r>
            <w:r w:rsidR="00E827C0" w:rsidRPr="008B5C42">
              <w:rPr>
                <w:rFonts w:ascii="Times New Roman" w:hAnsi="Times New Roman"/>
                <w:sz w:val="24"/>
                <w:szCs w:val="24"/>
              </w:rPr>
              <w:t>un XVIII</w:t>
            </w:r>
            <w:r w:rsidR="00E827C0" w:rsidRPr="008B5C42">
              <w:rPr>
                <w:rFonts w:ascii="Times New Roman" w:hAnsi="Times New Roman"/>
                <w:sz w:val="24"/>
                <w:szCs w:val="24"/>
                <w:vertAlign w:val="superscript"/>
              </w:rPr>
              <w:t>1</w:t>
            </w:r>
            <w:r w:rsidR="00E827C0" w:rsidRPr="008B5C42">
              <w:rPr>
                <w:rFonts w:ascii="Times New Roman" w:hAnsi="Times New Roman"/>
                <w:sz w:val="24"/>
                <w:szCs w:val="24"/>
              </w:rPr>
              <w:t xml:space="preserve"> nodaļu, paredzot prasības pārtikas preču klāstā iespējami iekļaujamo rafinētas rapšu eļļas, iebiezināta piena ražošanai un kvalitātei.</w:t>
            </w:r>
          </w:p>
          <w:p w14:paraId="313A22E6" w14:textId="77777777" w:rsidR="00EB0F03" w:rsidRPr="008B5C42" w:rsidRDefault="00EB0F03" w:rsidP="0080774E">
            <w:pPr>
              <w:pStyle w:val="ListParagraph"/>
              <w:spacing w:after="360" w:line="240" w:lineRule="auto"/>
              <w:ind w:left="0"/>
              <w:jc w:val="both"/>
              <w:rPr>
                <w:rFonts w:ascii="Times New Roman" w:hAnsi="Times New Roman"/>
                <w:sz w:val="24"/>
                <w:szCs w:val="24"/>
              </w:rPr>
            </w:pPr>
          </w:p>
          <w:p w14:paraId="7A0E675F" w14:textId="76C5C5EB" w:rsidR="00C879CA" w:rsidRPr="008B5C42" w:rsidRDefault="008F1F84" w:rsidP="0080774E">
            <w:pPr>
              <w:pStyle w:val="ListParagraph"/>
              <w:spacing w:after="360" w:line="240" w:lineRule="auto"/>
              <w:ind w:left="0"/>
              <w:jc w:val="both"/>
              <w:rPr>
                <w:rFonts w:ascii="Times New Roman" w:hAnsi="Times New Roman"/>
                <w:sz w:val="24"/>
                <w:szCs w:val="24"/>
              </w:rPr>
            </w:pPr>
            <w:r w:rsidRPr="008B5C42">
              <w:rPr>
                <w:rFonts w:ascii="Times New Roman" w:hAnsi="Times New Roman"/>
                <w:sz w:val="24"/>
                <w:szCs w:val="24"/>
              </w:rPr>
              <w:t xml:space="preserve">6. </w:t>
            </w:r>
            <w:r w:rsidR="00C879CA" w:rsidRPr="008B5C42">
              <w:rPr>
                <w:rFonts w:ascii="Times New Roman" w:hAnsi="Times New Roman"/>
                <w:sz w:val="24"/>
                <w:szCs w:val="24"/>
              </w:rPr>
              <w:t>Lai nodrošinātu atbilstošus izmaksu attiecināmības nosacījumus, redakcionāli un saturiski papildinātas un precizētas tehniskās palīdzības attiecināmās izmaksas (53.3.11. apakšpunkts izteikts jaunā redakcijā)</w:t>
            </w:r>
            <w:r w:rsidR="00526AAF" w:rsidRPr="008B5C42">
              <w:rPr>
                <w:rFonts w:ascii="Times New Roman" w:hAnsi="Times New Roman"/>
                <w:sz w:val="24"/>
                <w:szCs w:val="24"/>
              </w:rPr>
              <w:t>.</w:t>
            </w:r>
          </w:p>
          <w:p w14:paraId="4DA85C2A" w14:textId="77777777" w:rsidR="00C879CA" w:rsidRPr="008B5C42" w:rsidRDefault="00C879CA" w:rsidP="0080774E">
            <w:pPr>
              <w:pStyle w:val="ListParagraph"/>
              <w:spacing w:after="360" w:line="240" w:lineRule="auto"/>
              <w:ind w:left="0"/>
              <w:jc w:val="both"/>
              <w:rPr>
                <w:rFonts w:ascii="Times New Roman" w:hAnsi="Times New Roman"/>
                <w:sz w:val="24"/>
                <w:szCs w:val="24"/>
              </w:rPr>
            </w:pPr>
          </w:p>
          <w:p w14:paraId="6795D451" w14:textId="4ECA6DB8" w:rsidR="00F90032" w:rsidRPr="008B5C42" w:rsidRDefault="00BB42DC" w:rsidP="0080774E">
            <w:pPr>
              <w:pStyle w:val="ListParagraph"/>
              <w:spacing w:after="360" w:line="240" w:lineRule="auto"/>
              <w:ind w:left="0"/>
              <w:jc w:val="both"/>
              <w:rPr>
                <w:rFonts w:ascii="Times New Roman" w:hAnsi="Times New Roman"/>
                <w:sz w:val="24"/>
                <w:szCs w:val="24"/>
              </w:rPr>
            </w:pPr>
            <w:r w:rsidRPr="008B5C42">
              <w:rPr>
                <w:rFonts w:ascii="Times New Roman" w:hAnsi="Times New Roman"/>
                <w:sz w:val="24"/>
                <w:szCs w:val="24"/>
              </w:rPr>
              <w:t>7</w:t>
            </w:r>
            <w:r w:rsidR="00F90032" w:rsidRPr="008B5C42">
              <w:rPr>
                <w:rFonts w:ascii="Times New Roman" w:hAnsi="Times New Roman"/>
                <w:sz w:val="24"/>
                <w:szCs w:val="24"/>
              </w:rPr>
              <w:t xml:space="preserve">. Lai nodrošinātu, ka visiem potenciālajiem Fonda atbalsta saņēmējiem ir pieejama informācija par visiem Fonda atbalsta veidiem, noteikumu 7. punkts papildināts ar ģimenes (personas) tiesībām saņemt ne tikai informāciju par pārtikas un pamata materiālās palīdzības preču veidiem un izdales vietām, bet arī par iespēju piedalīties papildpasākumos. </w:t>
            </w:r>
          </w:p>
          <w:p w14:paraId="39F66B1F" w14:textId="77777777" w:rsidR="003722CF" w:rsidRPr="008B5C42" w:rsidRDefault="003722CF" w:rsidP="0080774E">
            <w:pPr>
              <w:pStyle w:val="ListParagraph"/>
              <w:spacing w:after="360" w:line="240" w:lineRule="auto"/>
              <w:ind w:left="0"/>
              <w:jc w:val="both"/>
              <w:rPr>
                <w:rFonts w:ascii="Times New Roman" w:hAnsi="Times New Roman"/>
                <w:sz w:val="24"/>
                <w:szCs w:val="24"/>
              </w:rPr>
            </w:pPr>
          </w:p>
          <w:p w14:paraId="3D78594E" w14:textId="1E7CF743" w:rsidR="003722CF" w:rsidRPr="008B5C42" w:rsidRDefault="00BB42DC" w:rsidP="0080774E">
            <w:pPr>
              <w:pStyle w:val="ListParagraph"/>
              <w:spacing w:after="360" w:line="240" w:lineRule="auto"/>
              <w:ind w:left="0"/>
              <w:jc w:val="both"/>
              <w:rPr>
                <w:rFonts w:ascii="Times New Roman" w:hAnsi="Times New Roman"/>
                <w:sz w:val="24"/>
                <w:szCs w:val="24"/>
              </w:rPr>
            </w:pPr>
            <w:r w:rsidRPr="008B5C42">
              <w:rPr>
                <w:rFonts w:ascii="Times New Roman" w:hAnsi="Times New Roman"/>
                <w:sz w:val="24"/>
                <w:szCs w:val="24"/>
              </w:rPr>
              <w:t>8</w:t>
            </w:r>
            <w:r w:rsidR="003722CF" w:rsidRPr="008B5C42">
              <w:rPr>
                <w:rFonts w:ascii="Times New Roman" w:hAnsi="Times New Roman"/>
                <w:sz w:val="24"/>
                <w:szCs w:val="24"/>
              </w:rPr>
              <w:t>. Lai nodrošin</w:t>
            </w:r>
            <w:r w:rsidR="004B3B53" w:rsidRPr="008B5C42">
              <w:rPr>
                <w:rFonts w:ascii="Times New Roman" w:hAnsi="Times New Roman"/>
                <w:sz w:val="24"/>
                <w:szCs w:val="24"/>
              </w:rPr>
              <w:t xml:space="preserve">ātu, ka Fonda atbalsta komplektu izsniegšanas nosacījumi izdales vietās ir maksimāli atbilstoši klienta iespējām tos saņemt, tiek </w:t>
            </w:r>
            <w:r w:rsidR="004B3B53" w:rsidRPr="008B5C42">
              <w:rPr>
                <w:rFonts w:ascii="Times New Roman" w:hAnsi="Times New Roman"/>
                <w:sz w:val="24"/>
                <w:szCs w:val="24"/>
              </w:rPr>
              <w:lastRenderedPageBreak/>
              <w:t>svītrots Fonda pārtikas komplektu un higiēnas komplektu saņemšanas biežuma ierobežojums. (28.1. un 28.2. apakšpunkts)</w:t>
            </w:r>
            <w:r w:rsidR="001329F5" w:rsidRPr="008B5C42">
              <w:rPr>
                <w:rFonts w:ascii="Times New Roman" w:hAnsi="Times New Roman"/>
                <w:sz w:val="24"/>
                <w:szCs w:val="24"/>
              </w:rPr>
              <w:t>.</w:t>
            </w:r>
          </w:p>
          <w:p w14:paraId="4F5B4EE6" w14:textId="77777777" w:rsidR="003722CF" w:rsidRPr="008B5C42" w:rsidRDefault="003722CF" w:rsidP="0080774E">
            <w:pPr>
              <w:pStyle w:val="ListParagraph"/>
              <w:spacing w:after="360" w:line="240" w:lineRule="auto"/>
              <w:ind w:left="0"/>
              <w:jc w:val="both"/>
              <w:rPr>
                <w:rFonts w:ascii="Times New Roman" w:hAnsi="Times New Roman"/>
                <w:sz w:val="24"/>
                <w:szCs w:val="24"/>
              </w:rPr>
            </w:pPr>
          </w:p>
          <w:p w14:paraId="3E3E2220" w14:textId="7E341FEB" w:rsidR="004B3B53" w:rsidRPr="008B5C42" w:rsidRDefault="001329F5" w:rsidP="0080774E">
            <w:pPr>
              <w:pStyle w:val="ListParagraph"/>
              <w:spacing w:after="360" w:line="240" w:lineRule="auto"/>
              <w:ind w:left="0"/>
              <w:jc w:val="both"/>
              <w:rPr>
                <w:rFonts w:ascii="Times New Roman" w:hAnsi="Times New Roman"/>
                <w:sz w:val="24"/>
                <w:szCs w:val="24"/>
              </w:rPr>
            </w:pPr>
            <w:r w:rsidRPr="008B5C42">
              <w:rPr>
                <w:rFonts w:ascii="Times New Roman" w:hAnsi="Times New Roman"/>
                <w:sz w:val="24"/>
                <w:szCs w:val="24"/>
              </w:rPr>
              <w:t>Novērtējuma (2016) ietvaros klienti</w:t>
            </w:r>
            <w:r w:rsidR="004B3B53" w:rsidRPr="008B5C42">
              <w:rPr>
                <w:rFonts w:ascii="Times New Roman" w:hAnsi="Times New Roman"/>
                <w:sz w:val="24"/>
                <w:szCs w:val="24"/>
              </w:rPr>
              <w:t xml:space="preserve"> </w:t>
            </w:r>
            <w:r w:rsidR="001429BD" w:rsidRPr="008B5C42">
              <w:rPr>
                <w:rFonts w:ascii="Times New Roman" w:hAnsi="Times New Roman"/>
                <w:sz w:val="24"/>
                <w:szCs w:val="24"/>
              </w:rPr>
              <w:t>(īpaši laiku reģionos dzīvojošās personas) norādījuši, ka tiem regulārā nokļūšana uz komplektu izdales vietām ir dārga un sarežģīta (vairāki sabiedriskā transporta veidi vai nokļūšana ar sabiedrisko transportu nav iespējama, kas nozīmē maksāt kādai trešajai personai par nogādāšanu uz izdales vietu). Iespēja saņemt visus komplektus uzreiz, klientiem šīs problēmas mazinātu vai novērstu.</w:t>
            </w:r>
          </w:p>
          <w:p w14:paraId="522696DA" w14:textId="77777777" w:rsidR="001429BD" w:rsidRPr="008B5C42" w:rsidRDefault="001429BD" w:rsidP="0080774E">
            <w:pPr>
              <w:pStyle w:val="ListParagraph"/>
              <w:spacing w:after="360" w:line="240" w:lineRule="auto"/>
              <w:ind w:left="0"/>
              <w:jc w:val="both"/>
              <w:rPr>
                <w:rFonts w:ascii="Times New Roman" w:hAnsi="Times New Roman"/>
                <w:sz w:val="24"/>
                <w:szCs w:val="24"/>
              </w:rPr>
            </w:pPr>
          </w:p>
          <w:p w14:paraId="26BD9B25" w14:textId="51AD9A4A" w:rsidR="001429BD" w:rsidRPr="008B5C42" w:rsidRDefault="001429BD" w:rsidP="0080774E">
            <w:pPr>
              <w:pStyle w:val="ListParagraph"/>
              <w:spacing w:after="360" w:line="240" w:lineRule="auto"/>
              <w:ind w:left="0"/>
              <w:jc w:val="both"/>
              <w:rPr>
                <w:rFonts w:ascii="Times New Roman" w:hAnsi="Times New Roman"/>
                <w:sz w:val="24"/>
                <w:szCs w:val="24"/>
              </w:rPr>
            </w:pPr>
            <w:r w:rsidRPr="008B5C42">
              <w:rPr>
                <w:rFonts w:ascii="Times New Roman" w:hAnsi="Times New Roman"/>
                <w:sz w:val="24"/>
                <w:szCs w:val="24"/>
              </w:rPr>
              <w:t>Papildus šādu ierosinājumu</w:t>
            </w:r>
            <w:r w:rsidR="00B9568B" w:rsidRPr="008B5C42">
              <w:rPr>
                <w:rFonts w:ascii="Times New Roman" w:hAnsi="Times New Roman"/>
                <w:sz w:val="24"/>
                <w:szCs w:val="24"/>
              </w:rPr>
              <w:t xml:space="preserve"> Novērtējuma (2016) ietvaros</w:t>
            </w:r>
            <w:r w:rsidRPr="008B5C42">
              <w:rPr>
                <w:rFonts w:ascii="Times New Roman" w:hAnsi="Times New Roman"/>
                <w:sz w:val="24"/>
                <w:szCs w:val="24"/>
              </w:rPr>
              <w:t xml:space="preserve"> izteikušas arī partnerorganizācijas, kas norāda, ka šī brīža nosacījums tām uzliek lielāku administratīvo slogu, jo tām ir jāizseko vai attiecīgās personas sociālā dienesta izsniegtajā izziņas derīguma termiņa laikā, persona nav pārsniegusi maksimāli saņemamo komplektu skaitu.</w:t>
            </w:r>
          </w:p>
          <w:p w14:paraId="49D0906F" w14:textId="77777777" w:rsidR="001429BD" w:rsidRPr="00AC1A24" w:rsidRDefault="001429BD" w:rsidP="0080774E">
            <w:pPr>
              <w:pStyle w:val="ListParagraph"/>
              <w:spacing w:after="360" w:line="240" w:lineRule="auto"/>
              <w:ind w:left="0"/>
              <w:jc w:val="both"/>
              <w:rPr>
                <w:rFonts w:ascii="Times New Roman" w:hAnsi="Times New Roman"/>
                <w:b/>
                <w:sz w:val="24"/>
                <w:szCs w:val="24"/>
                <w:u w:val="single"/>
              </w:rPr>
            </w:pPr>
          </w:p>
          <w:p w14:paraId="271BB537" w14:textId="4F7CAA02" w:rsidR="00F90032" w:rsidRPr="00AC1A24" w:rsidRDefault="00BB42DC" w:rsidP="007A54D2">
            <w:pPr>
              <w:pStyle w:val="ListParagraph"/>
              <w:spacing w:after="120" w:line="240" w:lineRule="auto"/>
              <w:ind w:left="0"/>
              <w:jc w:val="both"/>
              <w:rPr>
                <w:rFonts w:ascii="Times New Roman" w:hAnsi="Times New Roman"/>
                <w:sz w:val="24"/>
                <w:szCs w:val="24"/>
              </w:rPr>
            </w:pPr>
            <w:r w:rsidRPr="00AC1A24">
              <w:rPr>
                <w:rFonts w:ascii="Times New Roman" w:hAnsi="Times New Roman"/>
                <w:sz w:val="24"/>
                <w:szCs w:val="24"/>
              </w:rPr>
              <w:t>9</w:t>
            </w:r>
            <w:r w:rsidR="006716F6" w:rsidRPr="00AC1A24">
              <w:rPr>
                <w:rFonts w:ascii="Times New Roman" w:hAnsi="Times New Roman"/>
                <w:sz w:val="24"/>
                <w:szCs w:val="24"/>
              </w:rPr>
              <w:t>.</w:t>
            </w:r>
            <w:r w:rsidR="007A54D2" w:rsidRPr="00AC1A24">
              <w:rPr>
                <w:rFonts w:ascii="Times New Roman" w:hAnsi="Times New Roman"/>
                <w:sz w:val="24"/>
                <w:szCs w:val="24"/>
              </w:rPr>
              <w:t> </w:t>
            </w:r>
            <w:r w:rsidR="008F1F84" w:rsidRPr="00AC1A24">
              <w:rPr>
                <w:rFonts w:ascii="Times New Roman" w:hAnsi="Times New Roman"/>
                <w:sz w:val="24"/>
                <w:szCs w:val="24"/>
              </w:rPr>
              <w:t>Veikti citi redakcionāli uzlabojumi</w:t>
            </w:r>
            <w:r w:rsidR="009F16B8" w:rsidRPr="00AC1A24">
              <w:rPr>
                <w:rFonts w:ascii="Times New Roman" w:hAnsi="Times New Roman"/>
                <w:sz w:val="24"/>
                <w:szCs w:val="24"/>
              </w:rPr>
              <w:t>.</w:t>
            </w:r>
          </w:p>
        </w:tc>
      </w:tr>
      <w:tr w:rsidR="00B76D85" w:rsidRPr="006A7D0B" w14:paraId="779F7ED5" w14:textId="77777777" w:rsidTr="00BB42DC">
        <w:tc>
          <w:tcPr>
            <w:tcW w:w="251" w:type="pct"/>
            <w:shd w:val="clear" w:color="auto" w:fill="auto"/>
          </w:tcPr>
          <w:p w14:paraId="46D5AB25" w14:textId="3FF7B3DA" w:rsidR="00B76D85" w:rsidRPr="00B34947" w:rsidRDefault="004373E9" w:rsidP="00C957EF">
            <w:pPr>
              <w:spacing w:line="276" w:lineRule="auto"/>
              <w:rPr>
                <w:sz w:val="22"/>
                <w:szCs w:val="22"/>
              </w:rPr>
            </w:pPr>
            <w:r w:rsidRPr="00B34947">
              <w:rPr>
                <w:sz w:val="22"/>
                <w:szCs w:val="22"/>
              </w:rPr>
              <w:lastRenderedPageBreak/>
              <w:t>3</w:t>
            </w:r>
            <w:r w:rsidR="00B76D85" w:rsidRPr="00B34947">
              <w:rPr>
                <w:sz w:val="22"/>
                <w:szCs w:val="22"/>
              </w:rPr>
              <w:t>.</w:t>
            </w:r>
          </w:p>
        </w:tc>
        <w:tc>
          <w:tcPr>
            <w:tcW w:w="1065" w:type="pct"/>
            <w:shd w:val="clear" w:color="auto" w:fill="auto"/>
          </w:tcPr>
          <w:p w14:paraId="0E137599" w14:textId="77777777" w:rsidR="00B76D85" w:rsidRPr="00B34947" w:rsidRDefault="00B76D85" w:rsidP="00C957EF">
            <w:pPr>
              <w:spacing w:line="276" w:lineRule="auto"/>
              <w:rPr>
                <w:sz w:val="22"/>
                <w:szCs w:val="22"/>
              </w:rPr>
            </w:pPr>
            <w:r w:rsidRPr="00B34947">
              <w:rPr>
                <w:sz w:val="22"/>
                <w:szCs w:val="22"/>
              </w:rPr>
              <w:t>Projekta izstrādē iesaistītās institūcijas</w:t>
            </w:r>
          </w:p>
        </w:tc>
        <w:tc>
          <w:tcPr>
            <w:tcW w:w="3684" w:type="pct"/>
            <w:shd w:val="clear" w:color="auto" w:fill="auto"/>
          </w:tcPr>
          <w:p w14:paraId="1B93292E" w14:textId="0354201B" w:rsidR="00B76D85" w:rsidRPr="00167021" w:rsidRDefault="00B34947" w:rsidP="00FE6832">
            <w:pPr>
              <w:spacing w:line="276" w:lineRule="auto"/>
              <w:jc w:val="both"/>
              <w:rPr>
                <w:color w:val="000000"/>
              </w:rPr>
            </w:pPr>
            <w:r w:rsidRPr="00B34947">
              <w:rPr>
                <w:color w:val="000000"/>
              </w:rPr>
              <w:t>Nav.</w:t>
            </w:r>
          </w:p>
        </w:tc>
      </w:tr>
      <w:tr w:rsidR="00B76D85" w:rsidRPr="006A7D0B" w14:paraId="44BA5501" w14:textId="77777777" w:rsidTr="00BB42DC">
        <w:tc>
          <w:tcPr>
            <w:tcW w:w="251" w:type="pct"/>
            <w:shd w:val="clear" w:color="auto" w:fill="auto"/>
          </w:tcPr>
          <w:p w14:paraId="3CD1A944" w14:textId="77777777" w:rsidR="00B76D85" w:rsidRPr="006A7D0B" w:rsidRDefault="004373E9" w:rsidP="00C957EF">
            <w:pPr>
              <w:spacing w:line="276" w:lineRule="auto"/>
              <w:rPr>
                <w:sz w:val="22"/>
                <w:szCs w:val="22"/>
              </w:rPr>
            </w:pPr>
            <w:r w:rsidRPr="006A7D0B">
              <w:rPr>
                <w:sz w:val="22"/>
                <w:szCs w:val="22"/>
              </w:rPr>
              <w:t>4</w:t>
            </w:r>
            <w:r w:rsidR="00B76D85" w:rsidRPr="006A7D0B">
              <w:rPr>
                <w:sz w:val="22"/>
                <w:szCs w:val="22"/>
              </w:rPr>
              <w:t xml:space="preserve">. </w:t>
            </w:r>
          </w:p>
        </w:tc>
        <w:tc>
          <w:tcPr>
            <w:tcW w:w="1065" w:type="pct"/>
            <w:shd w:val="clear" w:color="auto" w:fill="auto"/>
          </w:tcPr>
          <w:p w14:paraId="52576128" w14:textId="77777777" w:rsidR="00B76D85" w:rsidRPr="006A7D0B" w:rsidRDefault="00B76D85" w:rsidP="00C957EF">
            <w:pPr>
              <w:spacing w:line="276" w:lineRule="auto"/>
              <w:rPr>
                <w:sz w:val="22"/>
                <w:szCs w:val="22"/>
              </w:rPr>
            </w:pPr>
            <w:r w:rsidRPr="006A7D0B">
              <w:rPr>
                <w:sz w:val="22"/>
                <w:szCs w:val="22"/>
              </w:rPr>
              <w:t>Cita informācija</w:t>
            </w:r>
          </w:p>
        </w:tc>
        <w:tc>
          <w:tcPr>
            <w:tcW w:w="3684" w:type="pct"/>
            <w:shd w:val="clear" w:color="auto" w:fill="auto"/>
          </w:tcPr>
          <w:p w14:paraId="7D3711FF" w14:textId="77777777" w:rsidR="00B76D85" w:rsidRPr="00F921EE" w:rsidRDefault="00FC797D" w:rsidP="00C957EF">
            <w:pPr>
              <w:spacing w:line="276" w:lineRule="auto"/>
              <w:jc w:val="both"/>
              <w:rPr>
                <w:color w:val="000000"/>
                <w:sz w:val="22"/>
                <w:szCs w:val="22"/>
              </w:rPr>
            </w:pPr>
            <w:r w:rsidRPr="00F921EE">
              <w:rPr>
                <w:color w:val="000000"/>
                <w:sz w:val="22"/>
                <w:szCs w:val="22"/>
              </w:rPr>
              <w:t>Nav</w:t>
            </w:r>
            <w:r w:rsidR="00372BBA" w:rsidRPr="00F921EE">
              <w:rPr>
                <w:color w:val="000000"/>
                <w:sz w:val="22"/>
                <w:szCs w:val="22"/>
              </w:rPr>
              <w:t>.</w:t>
            </w:r>
          </w:p>
        </w:tc>
      </w:tr>
    </w:tbl>
    <w:p w14:paraId="3B5BDA76" w14:textId="77777777" w:rsidR="00B76D85" w:rsidRDefault="00B76D85" w:rsidP="00C957EF">
      <w:pPr>
        <w:spacing w:line="276" w:lineRule="auto"/>
        <w:jc w:val="cente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2127"/>
        <w:gridCol w:w="7654"/>
      </w:tblGrid>
      <w:tr w:rsidR="00C01716" w:rsidRPr="00B76D85" w14:paraId="2BF10F5E" w14:textId="77777777" w:rsidTr="00FE6832">
        <w:tc>
          <w:tcPr>
            <w:tcW w:w="10206" w:type="dxa"/>
            <w:gridSpan w:val="3"/>
            <w:shd w:val="clear" w:color="auto" w:fill="auto"/>
          </w:tcPr>
          <w:p w14:paraId="4DD8A534" w14:textId="77777777" w:rsidR="00230730" w:rsidRPr="006A7D0B" w:rsidRDefault="00C01716" w:rsidP="00E26FD9">
            <w:pPr>
              <w:pStyle w:val="naisnod"/>
              <w:spacing w:before="120" w:after="0" w:line="276" w:lineRule="auto"/>
              <w:ind w:left="57" w:right="57"/>
              <w:rPr>
                <w:b w:val="0"/>
              </w:rPr>
            </w:pPr>
            <w:r w:rsidRPr="00230730">
              <w:t>II</w:t>
            </w:r>
            <w:r w:rsidR="00DC37D9">
              <w:t>.</w:t>
            </w:r>
            <w:r w:rsidRPr="006A7D0B">
              <w:rPr>
                <w:b w:val="0"/>
              </w:rPr>
              <w:t xml:space="preserve"> </w:t>
            </w:r>
            <w:r w:rsidR="00230730" w:rsidRPr="00DD49B6">
              <w:t>Tiesību akta projekta ietekme uz sabiedrību, tautsaimniecības attīstību</w:t>
            </w:r>
          </w:p>
          <w:p w14:paraId="0B46888C" w14:textId="77777777" w:rsidR="00C01716" w:rsidRPr="006A7D0B" w:rsidRDefault="00230730" w:rsidP="00C957EF">
            <w:pPr>
              <w:spacing w:line="276" w:lineRule="auto"/>
              <w:jc w:val="center"/>
              <w:rPr>
                <w:b/>
              </w:rPr>
            </w:pPr>
            <w:r w:rsidRPr="006A7D0B">
              <w:rPr>
                <w:b/>
              </w:rPr>
              <w:t>un administratīvo slogu</w:t>
            </w:r>
          </w:p>
        </w:tc>
      </w:tr>
      <w:tr w:rsidR="00B76D85" w:rsidRPr="006A7D0B" w14:paraId="4FA8E550" w14:textId="77777777" w:rsidTr="00DA1EA0">
        <w:tc>
          <w:tcPr>
            <w:tcW w:w="425" w:type="dxa"/>
            <w:shd w:val="clear" w:color="auto" w:fill="auto"/>
          </w:tcPr>
          <w:p w14:paraId="59E75EF1" w14:textId="77777777" w:rsidR="00B76D85" w:rsidRPr="006A7D0B" w:rsidRDefault="00B76D85" w:rsidP="00C957EF">
            <w:pPr>
              <w:spacing w:line="276" w:lineRule="auto"/>
              <w:rPr>
                <w:sz w:val="22"/>
                <w:szCs w:val="22"/>
              </w:rPr>
            </w:pPr>
            <w:r w:rsidRPr="006A7D0B">
              <w:rPr>
                <w:sz w:val="22"/>
                <w:szCs w:val="22"/>
              </w:rPr>
              <w:t>1.</w:t>
            </w:r>
          </w:p>
        </w:tc>
        <w:tc>
          <w:tcPr>
            <w:tcW w:w="2127" w:type="dxa"/>
            <w:shd w:val="clear" w:color="auto" w:fill="auto"/>
          </w:tcPr>
          <w:p w14:paraId="1C321C91" w14:textId="77777777" w:rsidR="00B76D85" w:rsidRPr="006A7D0B" w:rsidRDefault="00230730" w:rsidP="00C957EF">
            <w:pPr>
              <w:spacing w:line="276" w:lineRule="auto"/>
              <w:rPr>
                <w:sz w:val="22"/>
                <w:szCs w:val="22"/>
              </w:rPr>
            </w:pPr>
            <w:r w:rsidRPr="00DD49B6">
              <w:t>Sabiedrības mērķgrupas, kuras tiesiskais regulējums ietekmē vai varētu ietekmēt</w:t>
            </w:r>
          </w:p>
        </w:tc>
        <w:tc>
          <w:tcPr>
            <w:tcW w:w="7654" w:type="dxa"/>
            <w:shd w:val="clear" w:color="auto" w:fill="auto"/>
          </w:tcPr>
          <w:p w14:paraId="497EB86C" w14:textId="77777777" w:rsidR="00EC263A" w:rsidRDefault="00EC263A" w:rsidP="00E26FD9">
            <w:pPr>
              <w:pStyle w:val="ListParagraph"/>
              <w:spacing w:before="120" w:after="120" w:line="240" w:lineRule="auto"/>
              <w:ind w:left="318" w:hanging="318"/>
              <w:jc w:val="both"/>
              <w:rPr>
                <w:rFonts w:ascii="Times New Roman" w:hAnsi="Times New Roman"/>
                <w:sz w:val="24"/>
                <w:szCs w:val="24"/>
              </w:rPr>
            </w:pPr>
            <w:r>
              <w:rPr>
                <w:rFonts w:ascii="Times New Roman" w:hAnsi="Times New Roman"/>
                <w:sz w:val="24"/>
                <w:szCs w:val="24"/>
              </w:rPr>
              <w:t>Tiešās mērķgrupas:</w:t>
            </w:r>
          </w:p>
          <w:p w14:paraId="68F03B9B" w14:textId="77777777" w:rsidR="00373934" w:rsidRDefault="0074118D" w:rsidP="005F36A1">
            <w:pPr>
              <w:pStyle w:val="ListParagraph"/>
              <w:numPr>
                <w:ilvl w:val="0"/>
                <w:numId w:val="5"/>
              </w:numPr>
              <w:spacing w:before="240" w:line="240" w:lineRule="auto"/>
              <w:ind w:left="319"/>
              <w:jc w:val="both"/>
              <w:rPr>
                <w:rFonts w:ascii="Times New Roman" w:hAnsi="Times New Roman"/>
                <w:sz w:val="24"/>
                <w:szCs w:val="24"/>
              </w:rPr>
            </w:pPr>
            <w:r w:rsidRPr="0074118D">
              <w:rPr>
                <w:rFonts w:ascii="Times New Roman" w:hAnsi="Times New Roman"/>
                <w:sz w:val="24"/>
                <w:szCs w:val="24"/>
              </w:rPr>
              <w:t xml:space="preserve">ģimenes </w:t>
            </w:r>
            <w:r>
              <w:rPr>
                <w:rFonts w:ascii="Times New Roman" w:hAnsi="Times New Roman"/>
                <w:sz w:val="24"/>
                <w:szCs w:val="24"/>
              </w:rPr>
              <w:t>(</w:t>
            </w:r>
            <w:r w:rsidR="00EC263A">
              <w:rPr>
                <w:rFonts w:ascii="Times New Roman" w:hAnsi="Times New Roman"/>
                <w:sz w:val="24"/>
                <w:szCs w:val="24"/>
              </w:rPr>
              <w:t>p</w:t>
            </w:r>
            <w:r>
              <w:rPr>
                <w:rFonts w:ascii="Times New Roman" w:hAnsi="Times New Roman"/>
                <w:sz w:val="24"/>
                <w:szCs w:val="24"/>
              </w:rPr>
              <w:t>ersonas</w:t>
            </w:r>
            <w:r w:rsidR="00930176" w:rsidRPr="00452E08">
              <w:rPr>
                <w:rFonts w:ascii="Times New Roman" w:hAnsi="Times New Roman"/>
                <w:sz w:val="24"/>
                <w:szCs w:val="24"/>
              </w:rPr>
              <w:t>), kuras</w:t>
            </w:r>
          </w:p>
          <w:p w14:paraId="0357EE3B" w14:textId="77777777" w:rsidR="005F36A1" w:rsidRDefault="00373934" w:rsidP="005F36A1">
            <w:pPr>
              <w:pStyle w:val="ListParagraph"/>
              <w:numPr>
                <w:ilvl w:val="0"/>
                <w:numId w:val="25"/>
              </w:numPr>
              <w:spacing w:before="240" w:line="240" w:lineRule="auto"/>
              <w:jc w:val="both"/>
              <w:rPr>
                <w:rFonts w:ascii="Times New Roman" w:hAnsi="Times New Roman"/>
                <w:sz w:val="24"/>
                <w:szCs w:val="24"/>
              </w:rPr>
            </w:pPr>
            <w:r>
              <w:rPr>
                <w:rFonts w:ascii="Times New Roman" w:hAnsi="Times New Roman"/>
                <w:sz w:val="24"/>
                <w:szCs w:val="24"/>
              </w:rPr>
              <w:t xml:space="preserve">atzītas par </w:t>
            </w:r>
            <w:r w:rsidRPr="00373934">
              <w:rPr>
                <w:rFonts w:ascii="Times New Roman" w:hAnsi="Times New Roman"/>
                <w:sz w:val="24"/>
                <w:szCs w:val="24"/>
              </w:rPr>
              <w:t>trūcīgām</w:t>
            </w:r>
            <w:r w:rsidR="005F36A1">
              <w:rPr>
                <w:rFonts w:ascii="Times New Roman" w:hAnsi="Times New Roman"/>
                <w:sz w:val="24"/>
                <w:szCs w:val="24"/>
              </w:rPr>
              <w:t>;</w:t>
            </w:r>
          </w:p>
          <w:p w14:paraId="0E8CB654" w14:textId="357CF9E5" w:rsidR="00373934" w:rsidRPr="00373934" w:rsidRDefault="005F36A1" w:rsidP="005F36A1">
            <w:pPr>
              <w:pStyle w:val="ListParagraph"/>
              <w:numPr>
                <w:ilvl w:val="0"/>
                <w:numId w:val="25"/>
              </w:numPr>
              <w:spacing w:before="240" w:after="0" w:line="240" w:lineRule="auto"/>
              <w:jc w:val="both"/>
              <w:rPr>
                <w:rFonts w:ascii="Times New Roman" w:hAnsi="Times New Roman"/>
                <w:sz w:val="24"/>
                <w:szCs w:val="24"/>
              </w:rPr>
            </w:pPr>
            <w:r>
              <w:rPr>
                <w:rFonts w:ascii="Times New Roman" w:hAnsi="Times New Roman"/>
                <w:sz w:val="24"/>
                <w:szCs w:val="24"/>
              </w:rPr>
              <w:t>atzītas par maznodrošinātām un</w:t>
            </w:r>
            <w:r w:rsidR="00373934">
              <w:rPr>
                <w:rFonts w:ascii="Times New Roman" w:hAnsi="Times New Roman"/>
                <w:sz w:val="24"/>
                <w:szCs w:val="24"/>
              </w:rPr>
              <w:t xml:space="preserve"> </w:t>
            </w:r>
            <w:r w:rsidR="00373934" w:rsidRPr="00373934">
              <w:rPr>
                <w:rFonts w:ascii="Times New Roman" w:hAnsi="Times New Roman"/>
                <w:sz w:val="24"/>
                <w:szCs w:val="24"/>
              </w:rPr>
              <w:t>atbilstošām Fonda atbalsta saņemšanai;</w:t>
            </w:r>
          </w:p>
          <w:p w14:paraId="1D75E798" w14:textId="7D89D769" w:rsidR="00930176" w:rsidRPr="00452E08" w:rsidRDefault="00930176" w:rsidP="005F36A1">
            <w:pPr>
              <w:pStyle w:val="ListParagraph"/>
              <w:numPr>
                <w:ilvl w:val="0"/>
                <w:numId w:val="25"/>
              </w:numPr>
              <w:spacing w:before="240" w:after="0" w:line="240" w:lineRule="auto"/>
              <w:jc w:val="both"/>
              <w:rPr>
                <w:rFonts w:ascii="Times New Roman" w:hAnsi="Times New Roman"/>
                <w:sz w:val="24"/>
                <w:szCs w:val="24"/>
              </w:rPr>
            </w:pPr>
            <w:r w:rsidRPr="00452E08">
              <w:rPr>
                <w:rFonts w:ascii="Times New Roman" w:hAnsi="Times New Roman"/>
                <w:sz w:val="24"/>
                <w:szCs w:val="24"/>
              </w:rPr>
              <w:t>nonākušas krīzes situācijā;</w:t>
            </w:r>
          </w:p>
          <w:p w14:paraId="4F427C52" w14:textId="47275A1F" w:rsidR="00930176" w:rsidRPr="005F36A1" w:rsidRDefault="00930176" w:rsidP="005F36A1">
            <w:pPr>
              <w:pStyle w:val="ListParagraph"/>
              <w:numPr>
                <w:ilvl w:val="0"/>
                <w:numId w:val="5"/>
              </w:numPr>
              <w:spacing w:line="240" w:lineRule="auto"/>
              <w:ind w:left="319"/>
              <w:jc w:val="both"/>
              <w:rPr>
                <w:rFonts w:ascii="Times New Roman" w:hAnsi="Times New Roman"/>
                <w:sz w:val="24"/>
                <w:szCs w:val="24"/>
              </w:rPr>
            </w:pPr>
            <w:r w:rsidRPr="00452E08">
              <w:rPr>
                <w:rFonts w:ascii="Times New Roman" w:hAnsi="Times New Roman"/>
                <w:sz w:val="24"/>
                <w:szCs w:val="24"/>
              </w:rPr>
              <w:t xml:space="preserve">pašvaldību sociālie dienesti, kuri izsniedz izziņu par </w:t>
            </w:r>
            <w:r w:rsidRPr="005F36A1">
              <w:rPr>
                <w:rFonts w:ascii="Times New Roman" w:hAnsi="Times New Roman"/>
                <w:sz w:val="24"/>
                <w:szCs w:val="24"/>
              </w:rPr>
              <w:t>trūcīgas</w:t>
            </w:r>
            <w:r w:rsidR="0074118D" w:rsidRPr="005F36A1">
              <w:rPr>
                <w:rFonts w:ascii="Times New Roman" w:hAnsi="Times New Roman"/>
                <w:sz w:val="24"/>
                <w:szCs w:val="24"/>
              </w:rPr>
              <w:t xml:space="preserve"> </w:t>
            </w:r>
            <w:r w:rsidRPr="005F36A1">
              <w:rPr>
                <w:rFonts w:ascii="Times New Roman" w:hAnsi="Times New Roman"/>
                <w:sz w:val="24"/>
                <w:szCs w:val="24"/>
              </w:rPr>
              <w:t>ģimenes</w:t>
            </w:r>
            <w:r w:rsidR="0074118D" w:rsidRPr="005F36A1">
              <w:rPr>
                <w:rFonts w:ascii="Times New Roman" w:eastAsia="Times New Roman" w:hAnsi="Times New Roman"/>
                <w:sz w:val="24"/>
                <w:szCs w:val="24"/>
                <w:lang w:eastAsia="lv-LV"/>
              </w:rPr>
              <w:t xml:space="preserve"> (</w:t>
            </w:r>
            <w:r w:rsidR="0074118D" w:rsidRPr="005F36A1">
              <w:rPr>
                <w:rFonts w:ascii="Times New Roman" w:hAnsi="Times New Roman"/>
                <w:sz w:val="24"/>
                <w:szCs w:val="24"/>
              </w:rPr>
              <w:t>personas</w:t>
            </w:r>
            <w:r w:rsidRPr="005F36A1">
              <w:rPr>
                <w:rFonts w:ascii="Times New Roman" w:hAnsi="Times New Roman"/>
                <w:sz w:val="24"/>
                <w:szCs w:val="24"/>
              </w:rPr>
              <w:t>) statusu</w:t>
            </w:r>
            <w:r w:rsidR="005F36A1" w:rsidRPr="005F36A1">
              <w:rPr>
                <w:rFonts w:ascii="Times New Roman" w:hAnsi="Times New Roman"/>
                <w:sz w:val="24"/>
                <w:szCs w:val="24"/>
              </w:rPr>
              <w:t>, maznodrošinātas ģimenes (personas) statusu un atbilstību Fonda atbalsta saņemšanai vai</w:t>
            </w:r>
            <w:r w:rsidRPr="005F36A1">
              <w:rPr>
                <w:rFonts w:ascii="Times New Roman" w:hAnsi="Times New Roman"/>
                <w:sz w:val="24"/>
                <w:szCs w:val="24"/>
              </w:rPr>
              <w:t xml:space="preserve"> krīzes situāciju; </w:t>
            </w:r>
          </w:p>
          <w:p w14:paraId="44A84848" w14:textId="73BB20D2" w:rsidR="00B76D85" w:rsidRDefault="00930176" w:rsidP="005F36A1">
            <w:pPr>
              <w:pStyle w:val="ListParagraph"/>
              <w:numPr>
                <w:ilvl w:val="0"/>
                <w:numId w:val="5"/>
              </w:numPr>
              <w:tabs>
                <w:tab w:val="left" w:pos="592"/>
              </w:tabs>
              <w:spacing w:line="240" w:lineRule="auto"/>
              <w:ind w:left="319"/>
              <w:jc w:val="both"/>
              <w:rPr>
                <w:rFonts w:ascii="Times New Roman" w:hAnsi="Times New Roman"/>
                <w:sz w:val="24"/>
                <w:szCs w:val="24"/>
              </w:rPr>
            </w:pPr>
            <w:r w:rsidRPr="00452E08">
              <w:rPr>
                <w:rFonts w:ascii="Times New Roman" w:hAnsi="Times New Roman"/>
                <w:sz w:val="24"/>
                <w:szCs w:val="24"/>
              </w:rPr>
              <w:t xml:space="preserve">nevalstiskas </w:t>
            </w:r>
            <w:r w:rsidR="0074118D">
              <w:rPr>
                <w:rFonts w:ascii="Times New Roman" w:hAnsi="Times New Roman"/>
                <w:sz w:val="24"/>
                <w:szCs w:val="24"/>
              </w:rPr>
              <w:t xml:space="preserve">un reliģiskas </w:t>
            </w:r>
            <w:r w:rsidRPr="00452E08">
              <w:rPr>
                <w:rFonts w:ascii="Times New Roman" w:hAnsi="Times New Roman"/>
                <w:sz w:val="24"/>
                <w:szCs w:val="24"/>
              </w:rPr>
              <w:t>organizācijas, pašvaldības vai pašvaldību iestādes, kuras ir partnerorganizācijas</w:t>
            </w:r>
            <w:r w:rsidR="009D375C" w:rsidRPr="00452E08">
              <w:rPr>
                <w:rFonts w:ascii="Times New Roman" w:hAnsi="Times New Roman"/>
                <w:sz w:val="24"/>
                <w:szCs w:val="24"/>
              </w:rPr>
              <w:t>.</w:t>
            </w:r>
          </w:p>
          <w:p w14:paraId="06E9BA9E" w14:textId="02EE4872" w:rsidR="00EC263A" w:rsidRPr="00EC263A" w:rsidRDefault="00EC263A" w:rsidP="005F36A1">
            <w:pPr>
              <w:pStyle w:val="ListParagraph"/>
              <w:tabs>
                <w:tab w:val="left" w:pos="592"/>
              </w:tabs>
              <w:spacing w:after="0" w:line="240" w:lineRule="auto"/>
              <w:ind w:left="0"/>
              <w:jc w:val="both"/>
              <w:rPr>
                <w:rFonts w:ascii="Times New Roman" w:hAnsi="Times New Roman"/>
                <w:sz w:val="24"/>
                <w:szCs w:val="24"/>
              </w:rPr>
            </w:pPr>
            <w:r>
              <w:rPr>
                <w:rFonts w:ascii="Times New Roman" w:hAnsi="Times New Roman"/>
                <w:sz w:val="24"/>
                <w:szCs w:val="24"/>
              </w:rPr>
              <w:t>N</w:t>
            </w:r>
            <w:r w:rsidRPr="00EC263A">
              <w:rPr>
                <w:rFonts w:ascii="Times New Roman" w:hAnsi="Times New Roman"/>
                <w:sz w:val="24"/>
                <w:szCs w:val="24"/>
              </w:rPr>
              <w:t>etiešā mērķgrupa – pārtikas vai pamata materiālās pal</w:t>
            </w:r>
            <w:r w:rsidR="005F36A1">
              <w:rPr>
                <w:rFonts w:ascii="Times New Roman" w:hAnsi="Times New Roman"/>
                <w:sz w:val="24"/>
                <w:szCs w:val="24"/>
              </w:rPr>
              <w:t xml:space="preserve">īdzības preču piegādātāji, kuri </w:t>
            </w:r>
            <w:r w:rsidRPr="00EC263A">
              <w:rPr>
                <w:rFonts w:ascii="Times New Roman" w:hAnsi="Times New Roman"/>
                <w:sz w:val="24"/>
                <w:szCs w:val="24"/>
              </w:rPr>
              <w:t xml:space="preserve">izvēlēti atbilstoši publisko iepirkumu </w:t>
            </w:r>
            <w:r w:rsidR="00125907" w:rsidRPr="00EC263A">
              <w:rPr>
                <w:rFonts w:ascii="Times New Roman" w:hAnsi="Times New Roman"/>
                <w:sz w:val="24"/>
                <w:szCs w:val="24"/>
              </w:rPr>
              <w:t>normatīvam regulējumam</w:t>
            </w:r>
            <w:r w:rsidRPr="00EC263A">
              <w:rPr>
                <w:rFonts w:ascii="Times New Roman" w:hAnsi="Times New Roman"/>
                <w:sz w:val="24"/>
                <w:szCs w:val="24"/>
              </w:rPr>
              <w:t>.</w:t>
            </w:r>
          </w:p>
        </w:tc>
      </w:tr>
      <w:tr w:rsidR="00230730" w:rsidRPr="006A7D0B" w14:paraId="73140050" w14:textId="77777777" w:rsidTr="00DA1EA0">
        <w:tc>
          <w:tcPr>
            <w:tcW w:w="425" w:type="dxa"/>
            <w:shd w:val="clear" w:color="auto" w:fill="auto"/>
          </w:tcPr>
          <w:p w14:paraId="1D720475" w14:textId="5F5B0CF9" w:rsidR="00230730" w:rsidRPr="006A7D0B" w:rsidRDefault="00230730" w:rsidP="00C957EF">
            <w:pPr>
              <w:spacing w:line="276" w:lineRule="auto"/>
              <w:rPr>
                <w:sz w:val="22"/>
                <w:szCs w:val="22"/>
              </w:rPr>
            </w:pPr>
            <w:r w:rsidRPr="006A7D0B">
              <w:rPr>
                <w:sz w:val="22"/>
                <w:szCs w:val="22"/>
              </w:rPr>
              <w:t xml:space="preserve">2. </w:t>
            </w:r>
          </w:p>
        </w:tc>
        <w:tc>
          <w:tcPr>
            <w:tcW w:w="2127" w:type="dxa"/>
            <w:shd w:val="clear" w:color="auto" w:fill="auto"/>
          </w:tcPr>
          <w:p w14:paraId="3A21C08A" w14:textId="77777777" w:rsidR="00230730" w:rsidRPr="006A7D0B" w:rsidRDefault="00230730" w:rsidP="00C957EF">
            <w:pPr>
              <w:spacing w:line="276" w:lineRule="auto"/>
              <w:rPr>
                <w:sz w:val="22"/>
                <w:szCs w:val="22"/>
              </w:rPr>
            </w:pPr>
            <w:r w:rsidRPr="00DD49B6">
              <w:t>Tiesiskā regulējuma ietekme uz tautsaimniecību un administratīvo slogu</w:t>
            </w:r>
          </w:p>
        </w:tc>
        <w:tc>
          <w:tcPr>
            <w:tcW w:w="7654" w:type="dxa"/>
            <w:shd w:val="clear" w:color="auto" w:fill="auto"/>
          </w:tcPr>
          <w:p w14:paraId="3BE44546" w14:textId="10CD9ACF" w:rsidR="005B7FE4" w:rsidRPr="007A54D2" w:rsidRDefault="005B7FE4" w:rsidP="00E26FD9">
            <w:pPr>
              <w:spacing w:before="120" w:after="120"/>
              <w:jc w:val="both"/>
            </w:pPr>
            <w:r w:rsidRPr="005B7FE4">
              <w:rPr>
                <w:bCs/>
                <w:iCs/>
                <w:color w:val="000000"/>
              </w:rPr>
              <w:t>1.</w:t>
            </w:r>
            <w:r w:rsidR="007A54D2">
              <w:rPr>
                <w:bCs/>
                <w:iCs/>
                <w:color w:val="000000"/>
              </w:rPr>
              <w:t> </w:t>
            </w:r>
            <w:r w:rsidRPr="005B7FE4">
              <w:rPr>
                <w:bCs/>
                <w:iCs/>
                <w:color w:val="000000"/>
              </w:rPr>
              <w:t>Tiesiskais regulējums neparedz tiešu ietekmi uz tautsaimniecību, bet tas saistīts ar ieguldījumiem nabadzības mazināšanas un sociālās iekļaušanas jomā. Kaut arī pārtikas produktu izdalīšana vistrūcīgākajiem iedzīvotājiem nevar redzami mainīt kopējo dziļas materiālās nenodrošinātības rādītāju, tomēr atvieglo</w:t>
            </w:r>
            <w:r w:rsidR="009D1BDE">
              <w:rPr>
                <w:bCs/>
                <w:iCs/>
                <w:color w:val="000000"/>
              </w:rPr>
              <w:t xml:space="preserve"> </w:t>
            </w:r>
            <w:r w:rsidRPr="005B7FE4">
              <w:rPr>
                <w:bCs/>
                <w:iCs/>
                <w:color w:val="000000"/>
              </w:rPr>
              <w:t xml:space="preserve">vistrūcīgāko iedzīvotāju un mājsaimniecību budžeta slogu, vienlaikus sniedzot ieguldījumu uztura nodrošināšanai. </w:t>
            </w:r>
            <w:r w:rsidR="009D1BDE">
              <w:rPr>
                <w:bCs/>
                <w:iCs/>
                <w:color w:val="000000"/>
              </w:rPr>
              <w:t>Joprojām a</w:t>
            </w:r>
            <w:r w:rsidRPr="005B7FE4">
              <w:rPr>
                <w:bCs/>
                <w:iCs/>
                <w:color w:val="000000"/>
              </w:rPr>
              <w:t xml:space="preserve">ugstais dziļas materiālās nenodrošinātības rādītājs pamato nepieciešamību turpināt pārtikas nodrošināšanas aktivitātes vistrūcīgākajiem iedzīvotājiem, tās papildinot ar pamata materiālās palīdzības preču izdalīšanu ģimenēm ar </w:t>
            </w:r>
            <w:r w:rsidRPr="005B7FE4">
              <w:rPr>
                <w:bCs/>
                <w:iCs/>
                <w:color w:val="000000"/>
              </w:rPr>
              <w:lastRenderedPageBreak/>
              <w:t xml:space="preserve">bērniem, izmantojot </w:t>
            </w:r>
            <w:r w:rsidRPr="007A54D2">
              <w:t xml:space="preserve">šim mērķim </w:t>
            </w:r>
            <w:r w:rsidR="009F3688" w:rsidRPr="007A54D2">
              <w:t>F</w:t>
            </w:r>
            <w:r w:rsidRPr="007A54D2">
              <w:t>onda finansējumu.</w:t>
            </w:r>
          </w:p>
          <w:p w14:paraId="5BD1541C" w14:textId="191FB1D5" w:rsidR="007A54D2" w:rsidRDefault="007204CA" w:rsidP="007204CA">
            <w:pPr>
              <w:spacing w:after="120"/>
              <w:jc w:val="both"/>
            </w:pPr>
            <w:r w:rsidRPr="007A54D2">
              <w:t>2.</w:t>
            </w:r>
            <w:r w:rsidR="00F3308B" w:rsidRPr="00F3308B">
              <w:t xml:space="preserve"> </w:t>
            </w:r>
            <w:r w:rsidR="00F3308B">
              <w:t>Saistībā ar normatīvā regulējumā noteikto</w:t>
            </w:r>
            <w:r w:rsidR="00F3308B" w:rsidRPr="00F3308B">
              <w:t>, ka sociālās palīdzības nodrošināšana ir pašvaldību autonomā funkcija</w:t>
            </w:r>
            <w:r w:rsidR="00F3308B" w:rsidRPr="00F3308B">
              <w:rPr>
                <w:vertAlign w:val="superscript"/>
              </w:rPr>
              <w:footnoteReference w:id="5"/>
            </w:r>
            <w:r w:rsidR="00F3308B">
              <w:t>, ģ</w:t>
            </w:r>
            <w:r w:rsidR="00465A9E" w:rsidRPr="00465A9E">
              <w:t>imenes (personas)</w:t>
            </w:r>
            <w:r w:rsidRPr="00465A9E">
              <w:t xml:space="preserve"> atbilstību Fonda </w:t>
            </w:r>
            <w:r w:rsidR="00465A9E">
              <w:t>atbalsta</w:t>
            </w:r>
            <w:r w:rsidRPr="00465A9E">
              <w:t xml:space="preserve"> saņemšanai apliecina pašvaldības sociālā dienesta</w:t>
            </w:r>
            <w:r w:rsidR="00465A9E">
              <w:t xml:space="preserve"> (turpmāk – sociālais dienests)</w:t>
            </w:r>
            <w:r w:rsidRPr="00465A9E">
              <w:t xml:space="preserve"> izziņa. </w:t>
            </w:r>
            <w:r w:rsidR="00465A9E">
              <w:t>S</w:t>
            </w:r>
            <w:r w:rsidRPr="00465A9E">
              <w:t xml:space="preserve">ociālie dienesti vērtē </w:t>
            </w:r>
            <w:r w:rsidR="00465A9E" w:rsidRPr="00465A9E">
              <w:t xml:space="preserve">ģimenes (personas) </w:t>
            </w:r>
            <w:r w:rsidRPr="00465A9E">
              <w:t>ienākumu</w:t>
            </w:r>
            <w:r w:rsidR="0074118D">
              <w:t>s</w:t>
            </w:r>
            <w:r w:rsidRPr="00465A9E">
              <w:t xml:space="preserve"> un materiālā stāvokļa līmeni saskaņā ar normatīvajiem aktiem sociālo pakalpojumu un sociālās palīdzības jomā un izsniedz izziņu par </w:t>
            </w:r>
            <w:r w:rsidR="00465A9E" w:rsidRPr="00465A9E">
              <w:t>ģimenes (personas)</w:t>
            </w:r>
            <w:r w:rsidRPr="00465A9E">
              <w:t xml:space="preserve"> atbilstību trūcīgas vai </w:t>
            </w:r>
            <w:r w:rsidRPr="00D20127">
              <w:t xml:space="preserve">maznodrošinātas </w:t>
            </w:r>
            <w:r w:rsidR="00465A9E" w:rsidRPr="00D20127">
              <w:t>ģimenes (</w:t>
            </w:r>
            <w:r w:rsidRPr="00D20127">
              <w:t>personas</w:t>
            </w:r>
            <w:r w:rsidR="00465A9E" w:rsidRPr="00D20127">
              <w:t>)</w:t>
            </w:r>
            <w:r w:rsidRPr="00D20127">
              <w:t xml:space="preserve"> statusam</w:t>
            </w:r>
            <w:r w:rsidRPr="00D20127">
              <w:rPr>
                <w:rStyle w:val="FootnoteReference"/>
              </w:rPr>
              <w:footnoteReference w:id="6"/>
            </w:r>
            <w:r w:rsidR="00D20127" w:rsidRPr="00D20127">
              <w:t xml:space="preserve">, kas pamato atbalsta nepieciešamību. </w:t>
            </w:r>
          </w:p>
          <w:p w14:paraId="71BB4125" w14:textId="452CBB24" w:rsidR="00AB478F" w:rsidRDefault="00DC4381" w:rsidP="007204CA">
            <w:pPr>
              <w:spacing w:after="120"/>
              <w:jc w:val="both"/>
            </w:pPr>
            <w:r>
              <w:t>3.</w:t>
            </w:r>
            <w:r w:rsidR="000E0762">
              <w:t xml:space="preserve"> Grozījumi paredz</w:t>
            </w:r>
            <w:r>
              <w:t xml:space="preserve"> paplašināt Fonda atbalsta saņēmēju loku,</w:t>
            </w:r>
            <w:r w:rsidRPr="00DC4381">
              <w:t xml:space="preserve"> balstoties uz </w:t>
            </w:r>
            <w:r>
              <w:t xml:space="preserve">esošām </w:t>
            </w:r>
            <w:r w:rsidRPr="00DC4381">
              <w:t>sociālā dienesta izziņ</w:t>
            </w:r>
            <w:r>
              <w:t>ām</w:t>
            </w:r>
            <w:r w:rsidR="000E0762">
              <w:t xml:space="preserve"> par </w:t>
            </w:r>
            <w:r w:rsidR="000E0762" w:rsidRPr="000E0762">
              <w:t>ienākum</w:t>
            </w:r>
            <w:r w:rsidR="000E0762">
              <w:t>iem</w:t>
            </w:r>
            <w:r w:rsidR="000E0762" w:rsidRPr="000E0762">
              <w:t xml:space="preserve"> un materiālā stāvokļa līmeni</w:t>
            </w:r>
            <w:r w:rsidRPr="00DC4381">
              <w:t>.</w:t>
            </w:r>
            <w:r w:rsidR="000E0762" w:rsidRPr="000E0762">
              <w:t xml:space="preserve"> Rīcība nerada papildus administratīvo slogu sociālajiem dienestiem, jo </w:t>
            </w:r>
            <w:r w:rsidR="003175E6">
              <w:t>2016.</w:t>
            </w:r>
            <w:r w:rsidR="007A54D2">
              <w:t> </w:t>
            </w:r>
            <w:r w:rsidR="003175E6">
              <w:t xml:space="preserve">gadā un 2017. gada I ceturksnī </w:t>
            </w:r>
            <w:r w:rsidR="000E0762" w:rsidRPr="00F3308B">
              <w:t>visas p</w:t>
            </w:r>
            <w:r w:rsidR="000E0762" w:rsidRPr="000E0762">
              <w:t>ašvaldības ir noteikušas savos saistošajos noteikumos atbalstu ģimenēm (personām) pēc ienākumu un materiālā stāvokļa izvērtēšanas</w:t>
            </w:r>
            <w:r w:rsidR="003175E6">
              <w:t>, kā</w:t>
            </w:r>
            <w:r w:rsidR="000E0762" w:rsidRPr="000E0762">
              <w:t xml:space="preserve"> arī veic šo </w:t>
            </w:r>
            <w:r w:rsidR="006B1842">
              <w:t>iz</w:t>
            </w:r>
            <w:r w:rsidR="000E0762" w:rsidRPr="000E0762">
              <w:t>vērtēšanu un izsniedz izziņas.</w:t>
            </w:r>
          </w:p>
          <w:p w14:paraId="78ED1114" w14:textId="60142719" w:rsidR="00D17C39" w:rsidRDefault="00AB478F" w:rsidP="007204CA">
            <w:pPr>
              <w:spacing w:after="120"/>
              <w:jc w:val="both"/>
            </w:pPr>
            <w:r w:rsidRPr="00AB478F">
              <w:t>Noteikumu projekts neuzliek jaunus pienākumus pašvaldību sociālo dienestu sociālā darba speciālistiem</w:t>
            </w:r>
            <w:r>
              <w:t xml:space="preserve">, jo </w:t>
            </w:r>
            <w:r w:rsidRPr="00AB478F">
              <w:t>klientu materiālās situācijas izvērtēšana sociālās palīdzības un sociālo pakalpojumu piešķiršanai ir sociālā dienesta uzdevums</w:t>
            </w:r>
            <w:r w:rsidR="000C1623">
              <w:t>.</w:t>
            </w:r>
          </w:p>
          <w:p w14:paraId="0791A421" w14:textId="7EC23846" w:rsidR="000C1623" w:rsidRDefault="000C1623" w:rsidP="007204CA">
            <w:pPr>
              <w:spacing w:after="120"/>
              <w:jc w:val="both"/>
              <w:rPr>
                <w:highlight w:val="cyan"/>
              </w:rPr>
            </w:pPr>
            <w:r>
              <w:t>Noteikumu p</w:t>
            </w:r>
            <w:r w:rsidRPr="000C1623">
              <w:t>rojekts neparedz jaunus pienākumus informācijas vākšanā, biežumā, apstrādē, uzglabāšanā, nepalielina to apjomu</w:t>
            </w:r>
            <w:r>
              <w:t>.</w:t>
            </w:r>
          </w:p>
          <w:p w14:paraId="44762AC9" w14:textId="0676D0C4" w:rsidR="007204CA" w:rsidRPr="005B7FE4" w:rsidRDefault="0074118D" w:rsidP="003175E6">
            <w:pPr>
              <w:spacing w:after="120"/>
              <w:jc w:val="both"/>
              <w:rPr>
                <w:bCs/>
                <w:iCs/>
                <w:color w:val="000000"/>
              </w:rPr>
            </w:pPr>
            <w:r>
              <w:t>S</w:t>
            </w:r>
            <w:r w:rsidR="007204CA" w:rsidRPr="00465A9E">
              <w:t xml:space="preserve">ociālais dienests </w:t>
            </w:r>
            <w:r w:rsidR="00785DED">
              <w:t xml:space="preserve">jau </w:t>
            </w:r>
            <w:r w:rsidR="006B1842">
              <w:t xml:space="preserve">patlaban </w:t>
            </w:r>
            <w:r w:rsidR="007204CA" w:rsidRPr="00465A9E">
              <w:t xml:space="preserve">izsniedz izziņu krīzes situācijas risināšanai gadījumos, kad ģimenei vai atsevišķi dzīvojoša personai nepieciešama tūlītēja palīdzība, kā arī sniedz partnerorganizācijām aktuālu informāciju par </w:t>
            </w:r>
            <w:r w:rsidR="00D17C39">
              <w:t xml:space="preserve">iespējamo atbalsta </w:t>
            </w:r>
            <w:r w:rsidR="007204CA" w:rsidRPr="00465A9E">
              <w:t xml:space="preserve">saņēmēju skaitu attiecīgajā pilsētā vai novadā un informē </w:t>
            </w:r>
            <w:r w:rsidR="00D17C39">
              <w:t>tos</w:t>
            </w:r>
            <w:r w:rsidR="007204CA" w:rsidRPr="00465A9E">
              <w:t xml:space="preserve"> par Fonda atbalsta iespējām.</w:t>
            </w:r>
          </w:p>
          <w:p w14:paraId="3F4271C9" w14:textId="66BBCEAF" w:rsidR="00230730" w:rsidRPr="008649C0" w:rsidRDefault="003175E6" w:rsidP="007A54D2">
            <w:pPr>
              <w:jc w:val="both"/>
              <w:rPr>
                <w:color w:val="000000"/>
                <w:sz w:val="22"/>
                <w:szCs w:val="22"/>
              </w:rPr>
            </w:pPr>
            <w:r>
              <w:rPr>
                <w:bCs/>
                <w:iCs/>
                <w:color w:val="000000"/>
              </w:rPr>
              <w:t>4</w:t>
            </w:r>
            <w:r w:rsidR="005B7FE4" w:rsidRPr="005B7FE4">
              <w:rPr>
                <w:bCs/>
                <w:iCs/>
                <w:color w:val="000000"/>
              </w:rPr>
              <w:t>.</w:t>
            </w:r>
            <w:r w:rsidR="003706C0" w:rsidRPr="005B7FE4">
              <w:rPr>
                <w:iCs/>
                <w:color w:val="000000"/>
              </w:rPr>
              <w:t xml:space="preserve"> </w:t>
            </w:r>
            <w:r w:rsidR="008B78E5" w:rsidRPr="007A54D2">
              <w:t>Pārējie groz</w:t>
            </w:r>
            <w:r w:rsidR="00A6276C" w:rsidRPr="007A54D2">
              <w:t>ījumi noteikumos ir skaidrojoši vai</w:t>
            </w:r>
            <w:r w:rsidR="008B78E5" w:rsidRPr="007A54D2">
              <w:t xml:space="preserve"> redakcionāli precizējoši, nav </w:t>
            </w:r>
            <w:r w:rsidR="00F93389" w:rsidRPr="007A54D2">
              <w:t>paredzētas</w:t>
            </w:r>
            <w:r w:rsidR="008B78E5" w:rsidRPr="007A54D2">
              <w:t xml:space="preserve"> papildus rīcības vai informācijas pieprasīšana, vai tās apstrāde</w:t>
            </w:r>
            <w:r w:rsidR="005B7FE4" w:rsidRPr="007A54D2">
              <w:t>.</w:t>
            </w:r>
          </w:p>
        </w:tc>
      </w:tr>
      <w:tr w:rsidR="00230730" w:rsidRPr="006A7D0B" w14:paraId="010A5A01" w14:textId="77777777" w:rsidTr="00DA1EA0">
        <w:tc>
          <w:tcPr>
            <w:tcW w:w="425" w:type="dxa"/>
            <w:shd w:val="clear" w:color="auto" w:fill="auto"/>
          </w:tcPr>
          <w:p w14:paraId="615CE42A" w14:textId="795239C3" w:rsidR="00230730" w:rsidRPr="006A7D0B" w:rsidRDefault="00230730" w:rsidP="00C957EF">
            <w:pPr>
              <w:spacing w:line="276" w:lineRule="auto"/>
              <w:rPr>
                <w:sz w:val="22"/>
                <w:szCs w:val="22"/>
              </w:rPr>
            </w:pPr>
            <w:r w:rsidRPr="006A7D0B">
              <w:rPr>
                <w:sz w:val="22"/>
                <w:szCs w:val="22"/>
              </w:rPr>
              <w:lastRenderedPageBreak/>
              <w:t>3.</w:t>
            </w:r>
          </w:p>
        </w:tc>
        <w:tc>
          <w:tcPr>
            <w:tcW w:w="2127" w:type="dxa"/>
            <w:shd w:val="clear" w:color="auto" w:fill="auto"/>
          </w:tcPr>
          <w:p w14:paraId="43A9F6B3" w14:textId="77777777" w:rsidR="00230730" w:rsidRPr="00AB7E26" w:rsidRDefault="00230730" w:rsidP="00C957EF">
            <w:pPr>
              <w:spacing w:line="276" w:lineRule="auto"/>
            </w:pPr>
            <w:r w:rsidRPr="00AB7E26">
              <w:t>Administratīvo izmaksu monetārs novērtējums</w:t>
            </w:r>
          </w:p>
        </w:tc>
        <w:tc>
          <w:tcPr>
            <w:tcW w:w="7654" w:type="dxa"/>
            <w:shd w:val="clear" w:color="auto" w:fill="auto"/>
          </w:tcPr>
          <w:p w14:paraId="6A6A09E4" w14:textId="77777777" w:rsidR="00230730" w:rsidRPr="00AB7E26" w:rsidRDefault="005F23F9" w:rsidP="00C957EF">
            <w:pPr>
              <w:spacing w:line="276" w:lineRule="auto"/>
              <w:jc w:val="both"/>
              <w:rPr>
                <w:i/>
                <w:color w:val="000000"/>
              </w:rPr>
            </w:pPr>
            <w:r w:rsidRPr="00AB7E26">
              <w:rPr>
                <w:iCs/>
                <w:color w:val="000000"/>
              </w:rPr>
              <w:t>Noteikumu projekts šo jomu neskar.</w:t>
            </w:r>
          </w:p>
        </w:tc>
      </w:tr>
      <w:tr w:rsidR="00230730" w:rsidRPr="006A7D0B" w14:paraId="1E9FB38E" w14:textId="77777777" w:rsidTr="00DA1EA0">
        <w:tc>
          <w:tcPr>
            <w:tcW w:w="425" w:type="dxa"/>
            <w:shd w:val="clear" w:color="auto" w:fill="auto"/>
          </w:tcPr>
          <w:p w14:paraId="052B9A9B" w14:textId="77777777" w:rsidR="00230730" w:rsidRPr="006A7D0B" w:rsidRDefault="00230730" w:rsidP="00C957EF">
            <w:pPr>
              <w:spacing w:line="276" w:lineRule="auto"/>
              <w:rPr>
                <w:sz w:val="22"/>
                <w:szCs w:val="22"/>
              </w:rPr>
            </w:pPr>
            <w:r w:rsidRPr="006A7D0B">
              <w:rPr>
                <w:sz w:val="22"/>
                <w:szCs w:val="22"/>
              </w:rPr>
              <w:t xml:space="preserve">4. </w:t>
            </w:r>
          </w:p>
        </w:tc>
        <w:tc>
          <w:tcPr>
            <w:tcW w:w="2127" w:type="dxa"/>
            <w:shd w:val="clear" w:color="auto" w:fill="auto"/>
          </w:tcPr>
          <w:p w14:paraId="74D6CF4C" w14:textId="77777777" w:rsidR="00230730" w:rsidRPr="00AB7E26" w:rsidRDefault="00230730" w:rsidP="00C957EF">
            <w:pPr>
              <w:spacing w:line="276" w:lineRule="auto"/>
            </w:pPr>
            <w:r w:rsidRPr="00AB7E26">
              <w:t>Cita informācija</w:t>
            </w:r>
          </w:p>
        </w:tc>
        <w:tc>
          <w:tcPr>
            <w:tcW w:w="7654" w:type="dxa"/>
            <w:shd w:val="clear" w:color="auto" w:fill="auto"/>
          </w:tcPr>
          <w:p w14:paraId="6FDB9BA3" w14:textId="77777777" w:rsidR="00047A2F" w:rsidRPr="00C879CA" w:rsidRDefault="00047A2F" w:rsidP="00E26FD9">
            <w:pPr>
              <w:spacing w:before="120" w:after="120"/>
              <w:jc w:val="both"/>
              <w:rPr>
                <w:iCs/>
                <w:color w:val="000000"/>
                <w:u w:val="single"/>
              </w:rPr>
            </w:pPr>
            <w:r w:rsidRPr="009711AB">
              <w:rPr>
                <w:iCs/>
                <w:color w:val="000000"/>
              </w:rPr>
              <w:t xml:space="preserve">Atbilstoši </w:t>
            </w:r>
            <w:r w:rsidR="009F3688">
              <w:rPr>
                <w:iCs/>
                <w:color w:val="000000"/>
              </w:rPr>
              <w:t>F</w:t>
            </w:r>
            <w:r w:rsidRPr="009711AB">
              <w:rPr>
                <w:iCs/>
                <w:color w:val="000000"/>
              </w:rPr>
              <w:t xml:space="preserve">onda vadībā iesaistīto institūciju funkcijām un atbildības sadalījumam starp institūcijām, </w:t>
            </w:r>
            <w:r w:rsidRPr="00C879CA">
              <w:rPr>
                <w:iCs/>
                <w:color w:val="000000"/>
                <w:u w:val="single"/>
              </w:rPr>
              <w:t>kopējās plānotās izmaksas tiks nodrošinātas Fonda tehniskās palīdzības ietvaros.</w:t>
            </w:r>
          </w:p>
          <w:p w14:paraId="46FB1F01" w14:textId="033A7B6C" w:rsidR="00230730" w:rsidRDefault="00452E08" w:rsidP="00E26FD9">
            <w:pPr>
              <w:spacing w:before="120" w:after="120"/>
              <w:jc w:val="both"/>
              <w:rPr>
                <w:iCs/>
                <w:color w:val="000000"/>
              </w:rPr>
            </w:pPr>
            <w:r>
              <w:rPr>
                <w:iCs/>
                <w:color w:val="000000"/>
              </w:rPr>
              <w:t>Ministru kabineta 2014.</w:t>
            </w:r>
            <w:r w:rsidR="00A6276C">
              <w:rPr>
                <w:iCs/>
                <w:color w:val="000000"/>
              </w:rPr>
              <w:t> </w:t>
            </w:r>
            <w:r>
              <w:rPr>
                <w:iCs/>
                <w:color w:val="000000"/>
              </w:rPr>
              <w:t>gada 25.</w:t>
            </w:r>
            <w:r w:rsidR="00A6276C">
              <w:rPr>
                <w:iCs/>
                <w:color w:val="000000"/>
              </w:rPr>
              <w:t> </w:t>
            </w:r>
            <w:r>
              <w:rPr>
                <w:iCs/>
                <w:color w:val="000000"/>
              </w:rPr>
              <w:t>novembra</w:t>
            </w:r>
            <w:r w:rsidR="00047A2F" w:rsidRPr="009711AB">
              <w:rPr>
                <w:iCs/>
                <w:color w:val="000000"/>
              </w:rPr>
              <w:t xml:space="preserve"> noteikumu </w:t>
            </w:r>
            <w:r w:rsidR="00047A2F" w:rsidRPr="00452E08">
              <w:rPr>
                <w:iCs/>
                <w:color w:val="000000"/>
              </w:rPr>
              <w:t>Nr.</w:t>
            </w:r>
            <w:r w:rsidR="007A54D2">
              <w:rPr>
                <w:iCs/>
                <w:color w:val="000000"/>
              </w:rPr>
              <w:t> </w:t>
            </w:r>
            <w:r w:rsidR="00047A2F" w:rsidRPr="00452E08">
              <w:rPr>
                <w:iCs/>
                <w:color w:val="000000"/>
              </w:rPr>
              <w:t>727</w:t>
            </w:r>
            <w:r w:rsidR="00047A2F" w:rsidRPr="009711AB">
              <w:rPr>
                <w:iCs/>
                <w:color w:val="000000"/>
              </w:rPr>
              <w:t xml:space="preserve"> “Darbības programmas “Pārtikas un pamata materiālās palīdzības sniegšanai vistrūcīgākajām personām 2014.-2020.</w:t>
            </w:r>
            <w:r w:rsidR="009711AB">
              <w:rPr>
                <w:iCs/>
                <w:color w:val="000000"/>
              </w:rPr>
              <w:t xml:space="preserve"> </w:t>
            </w:r>
            <w:r w:rsidR="00047A2F" w:rsidRPr="009711AB">
              <w:rPr>
                <w:iCs/>
                <w:color w:val="000000"/>
              </w:rPr>
              <w:t>gada plānošanas periodā” īstenošanas noteikumi” anotācijā ir iekļauta informācija par administratīvo izmaksu monetāro novērtējumu un ietekmi uz valsts</w:t>
            </w:r>
            <w:r>
              <w:rPr>
                <w:iCs/>
                <w:color w:val="000000"/>
              </w:rPr>
              <w:t xml:space="preserve"> budžetu, izrietoši, noteikumu projektam</w:t>
            </w:r>
            <w:r w:rsidR="00047A2F" w:rsidRPr="009711AB">
              <w:rPr>
                <w:iCs/>
                <w:color w:val="000000"/>
              </w:rPr>
              <w:t>, kas nemaina funkcijas, atbildības, vai procedūras jau pieņemtam tiesiskam regulējumam, atsevišķs valsts budžeta izmaksu monetārs novērtējums nav nepieciešams.</w:t>
            </w:r>
          </w:p>
          <w:p w14:paraId="56EEB4EC" w14:textId="6080DAC9" w:rsidR="00824647" w:rsidRPr="008649C0" w:rsidRDefault="00A37589" w:rsidP="00E26FD9">
            <w:pPr>
              <w:spacing w:before="120" w:after="120"/>
              <w:jc w:val="both"/>
              <w:rPr>
                <w:iCs/>
                <w:color w:val="000000"/>
                <w:sz w:val="22"/>
                <w:szCs w:val="22"/>
              </w:rPr>
            </w:pPr>
            <w:r w:rsidRPr="00A37589">
              <w:rPr>
                <w:iCs/>
                <w:color w:val="000000"/>
              </w:rPr>
              <w:lastRenderedPageBreak/>
              <w:t xml:space="preserve">Lai nodrošinātu noteikumu projekta ieviešanai nepieciešamos </w:t>
            </w:r>
            <w:r w:rsidR="00C879CA" w:rsidRPr="00C879CA">
              <w:rPr>
                <w:bCs/>
                <w:iCs/>
                <w:color w:val="000000"/>
              </w:rPr>
              <w:t>sociālās palīdzības administrēšanas lietojumprogrammas SOPA</w:t>
            </w:r>
            <w:r>
              <w:rPr>
                <w:b/>
                <w:iCs/>
                <w:color w:val="000000"/>
              </w:rPr>
              <w:t xml:space="preserve"> </w:t>
            </w:r>
            <w:r w:rsidRPr="00A37589">
              <w:rPr>
                <w:iCs/>
                <w:color w:val="000000"/>
              </w:rPr>
              <w:t>papildinājumus</w:t>
            </w:r>
            <w:r w:rsidR="00410E77">
              <w:rPr>
                <w:iCs/>
                <w:color w:val="000000"/>
              </w:rPr>
              <w:t xml:space="preserve"> (esošajā programmatūrā iestrādātu ienākumu līmeņa slieksni 188 </w:t>
            </w:r>
            <w:proofErr w:type="spellStart"/>
            <w:r w:rsidR="003E7A5D" w:rsidRPr="003E7A5D">
              <w:rPr>
                <w:i/>
              </w:rPr>
              <w:t>euro</w:t>
            </w:r>
            <w:proofErr w:type="spellEnd"/>
            <w:r w:rsidR="00410E77">
              <w:rPr>
                <w:iCs/>
                <w:color w:val="000000"/>
              </w:rPr>
              <w:t>)</w:t>
            </w:r>
            <w:r w:rsidRPr="00A37589">
              <w:rPr>
                <w:iCs/>
                <w:color w:val="000000"/>
              </w:rPr>
              <w:t xml:space="preserve">, veiktu testēšanu, saskaņošanu ar pašvaldībām un uzstādīšanu uz 20 pašvaldību SOPA serveriem, kas apkalpo visas 119 pašvaldības, indikatīvs nepieciešamā finansējuma novērtējums ir </w:t>
            </w:r>
            <w:r w:rsidRPr="00505FAE">
              <w:rPr>
                <w:iCs/>
                <w:color w:val="000000"/>
              </w:rPr>
              <w:t>4 414</w:t>
            </w:r>
            <w:r w:rsidR="00B47384">
              <w:rPr>
                <w:iCs/>
                <w:color w:val="000000"/>
              </w:rPr>
              <w:t>,</w:t>
            </w:r>
            <w:r w:rsidRPr="00B47384">
              <w:rPr>
                <w:iCs/>
                <w:color w:val="000000"/>
              </w:rPr>
              <w:t xml:space="preserve">08 </w:t>
            </w:r>
            <w:proofErr w:type="spellStart"/>
            <w:r w:rsidR="003E7A5D" w:rsidRPr="003E7A5D">
              <w:rPr>
                <w:i/>
              </w:rPr>
              <w:t>euro</w:t>
            </w:r>
            <w:proofErr w:type="spellEnd"/>
            <w:r w:rsidRPr="00B47384">
              <w:rPr>
                <w:iCs/>
                <w:color w:val="000000"/>
              </w:rPr>
              <w:t xml:space="preserve"> (ar</w:t>
            </w:r>
            <w:r w:rsidR="00DF4A3E">
              <w:rPr>
                <w:iCs/>
                <w:color w:val="000000"/>
              </w:rPr>
              <w:t xml:space="preserve"> </w:t>
            </w:r>
            <w:r w:rsidR="00DF4A3E" w:rsidRPr="00B47384">
              <w:rPr>
                <w:iCs/>
                <w:color w:val="000000"/>
              </w:rPr>
              <w:t>PVN</w:t>
            </w:r>
            <w:r w:rsidR="000A4827">
              <w:rPr>
                <w:iCs/>
                <w:color w:val="000000"/>
              </w:rPr>
              <w:t xml:space="preserve"> </w:t>
            </w:r>
            <w:r w:rsidR="000A4827" w:rsidRPr="00B47384">
              <w:rPr>
                <w:iCs/>
                <w:color w:val="000000"/>
              </w:rPr>
              <w:t>2</w:t>
            </w:r>
            <w:r w:rsidR="000A4827">
              <w:rPr>
                <w:iCs/>
                <w:color w:val="000000"/>
              </w:rPr>
              <w:t>1 </w:t>
            </w:r>
            <w:r w:rsidR="000A4827" w:rsidRPr="000D709C">
              <w:rPr>
                <w:iCs/>
                <w:color w:val="000000"/>
              </w:rPr>
              <w:t>%</w:t>
            </w:r>
            <w:r w:rsidRPr="000D709C">
              <w:rPr>
                <w:iCs/>
                <w:color w:val="000000"/>
              </w:rPr>
              <w:t xml:space="preserve">).  </w:t>
            </w:r>
          </w:p>
        </w:tc>
      </w:tr>
    </w:tbl>
    <w:p w14:paraId="6FB7FEB0" w14:textId="77777777" w:rsidR="00DB4594" w:rsidRDefault="00DB4594" w:rsidP="00C957EF">
      <w:pPr>
        <w:spacing w:line="276" w:lineRule="auto"/>
      </w:pPr>
    </w:p>
    <w:p w14:paraId="522B1DD2" w14:textId="77777777" w:rsidR="00453716" w:rsidRDefault="00453716" w:rsidP="00C957EF">
      <w:pPr>
        <w:spacing w:line="276" w:lineRule="auto"/>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532"/>
        <w:gridCol w:w="1178"/>
        <w:gridCol w:w="1236"/>
        <w:gridCol w:w="1214"/>
        <w:gridCol w:w="1920"/>
      </w:tblGrid>
      <w:tr w:rsidR="00A93F85" w:rsidRPr="00A93F85" w14:paraId="6C630782" w14:textId="77777777" w:rsidTr="0043259A">
        <w:trPr>
          <w:jc w:val="center"/>
        </w:trPr>
        <w:tc>
          <w:tcPr>
            <w:tcW w:w="10060" w:type="dxa"/>
            <w:gridSpan w:val="6"/>
            <w:tcBorders>
              <w:top w:val="single" w:sz="4" w:space="0" w:color="auto"/>
              <w:left w:val="single" w:sz="4" w:space="0" w:color="auto"/>
              <w:bottom w:val="single" w:sz="4" w:space="0" w:color="auto"/>
              <w:right w:val="single" w:sz="4" w:space="0" w:color="auto"/>
            </w:tcBorders>
            <w:hideMark/>
          </w:tcPr>
          <w:p w14:paraId="252A8CA9" w14:textId="77777777" w:rsidR="00A93F85" w:rsidRPr="0071557F" w:rsidRDefault="00A93F85" w:rsidP="00E26FD9">
            <w:pPr>
              <w:spacing w:before="120" w:after="120" w:line="276" w:lineRule="auto"/>
              <w:jc w:val="center"/>
            </w:pPr>
            <w:r w:rsidRPr="0071557F">
              <w:br w:type="page"/>
            </w:r>
            <w:r w:rsidRPr="0071557F">
              <w:rPr>
                <w:b/>
              </w:rPr>
              <w:t>III.</w:t>
            </w:r>
            <w:r w:rsidRPr="0071557F">
              <w:t xml:space="preserve"> </w:t>
            </w:r>
            <w:r w:rsidRPr="0071557F">
              <w:rPr>
                <w:b/>
                <w:bCs/>
              </w:rPr>
              <w:t>Tiesību akta projekta ietekme uz valsts budžetu un pašvaldību budžetiem</w:t>
            </w:r>
          </w:p>
        </w:tc>
      </w:tr>
      <w:tr w:rsidR="00B63B03" w:rsidRPr="00A93F85" w14:paraId="31390D16" w14:textId="77777777" w:rsidTr="00402D13">
        <w:trPr>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2E23F772" w14:textId="77777777" w:rsidR="00A93F85" w:rsidRPr="0071557F" w:rsidRDefault="00A93F85" w:rsidP="00C957EF">
            <w:pPr>
              <w:spacing w:line="276" w:lineRule="auto"/>
              <w:jc w:val="center"/>
            </w:pPr>
            <w:r w:rsidRPr="0071557F">
              <w:rPr>
                <w:b/>
              </w:rPr>
              <w:t>Rādītāji</w:t>
            </w:r>
          </w:p>
        </w:tc>
        <w:tc>
          <w:tcPr>
            <w:tcW w:w="371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4D89593" w14:textId="2AC703A6" w:rsidR="00A93F85" w:rsidRPr="0071557F" w:rsidRDefault="00A93F85" w:rsidP="001F5C5E">
            <w:pPr>
              <w:spacing w:line="276" w:lineRule="auto"/>
              <w:jc w:val="center"/>
            </w:pPr>
            <w:r w:rsidRPr="0071557F">
              <w:rPr>
                <w:b/>
              </w:rPr>
              <w:t>201</w:t>
            </w:r>
            <w:r w:rsidR="001F5C5E">
              <w:rPr>
                <w:b/>
              </w:rPr>
              <w:t>8</w:t>
            </w:r>
          </w:p>
        </w:tc>
        <w:tc>
          <w:tcPr>
            <w:tcW w:w="4370" w:type="dxa"/>
            <w:gridSpan w:val="3"/>
            <w:tcBorders>
              <w:top w:val="single" w:sz="4" w:space="0" w:color="auto"/>
              <w:left w:val="single" w:sz="4" w:space="0" w:color="auto"/>
              <w:bottom w:val="single" w:sz="4" w:space="0" w:color="auto"/>
              <w:right w:val="single" w:sz="4" w:space="0" w:color="auto"/>
            </w:tcBorders>
            <w:vAlign w:val="center"/>
            <w:hideMark/>
          </w:tcPr>
          <w:p w14:paraId="73EEF4FA" w14:textId="0C1D1092" w:rsidR="00A93F85" w:rsidRPr="0071557F" w:rsidRDefault="00A93F85" w:rsidP="004C3D0C">
            <w:pPr>
              <w:spacing w:line="276" w:lineRule="auto"/>
              <w:jc w:val="center"/>
            </w:pPr>
            <w:r w:rsidRPr="0071557F">
              <w:t>Turpmākie trīs gadi (</w:t>
            </w:r>
            <w:r w:rsidR="004C3D0C">
              <w:rPr>
                <w:i/>
              </w:rPr>
              <w:t>EUR</w:t>
            </w:r>
            <w:r w:rsidRPr="0071557F">
              <w:t>)</w:t>
            </w:r>
          </w:p>
        </w:tc>
      </w:tr>
      <w:tr w:rsidR="0038455F" w:rsidRPr="00A93F85" w14:paraId="0DCC4079" w14:textId="77777777" w:rsidTr="00402D13">
        <w:trPr>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74B7DEFA" w14:textId="77777777" w:rsidR="00A93F85" w:rsidRPr="0071557F" w:rsidRDefault="00A93F85" w:rsidP="00C957EF">
            <w:pPr>
              <w:spacing w:line="276" w:lineRule="auto"/>
            </w:pPr>
          </w:p>
        </w:tc>
        <w:tc>
          <w:tcPr>
            <w:tcW w:w="3710" w:type="dxa"/>
            <w:gridSpan w:val="2"/>
            <w:vMerge/>
            <w:tcBorders>
              <w:top w:val="single" w:sz="4" w:space="0" w:color="auto"/>
              <w:left w:val="single" w:sz="4" w:space="0" w:color="auto"/>
              <w:bottom w:val="single" w:sz="4" w:space="0" w:color="auto"/>
              <w:right w:val="single" w:sz="4" w:space="0" w:color="auto"/>
            </w:tcBorders>
            <w:vAlign w:val="center"/>
            <w:hideMark/>
          </w:tcPr>
          <w:p w14:paraId="4CF222CB" w14:textId="77777777" w:rsidR="00A93F85" w:rsidRPr="0071557F" w:rsidRDefault="00A93F85" w:rsidP="00C957EF">
            <w:pPr>
              <w:spacing w:line="276" w:lineRule="auto"/>
            </w:pPr>
          </w:p>
        </w:tc>
        <w:tc>
          <w:tcPr>
            <w:tcW w:w="1236" w:type="dxa"/>
            <w:tcBorders>
              <w:top w:val="single" w:sz="4" w:space="0" w:color="auto"/>
              <w:left w:val="single" w:sz="4" w:space="0" w:color="auto"/>
              <w:bottom w:val="single" w:sz="4" w:space="0" w:color="auto"/>
              <w:right w:val="single" w:sz="4" w:space="0" w:color="auto"/>
            </w:tcBorders>
            <w:vAlign w:val="bottom"/>
            <w:hideMark/>
          </w:tcPr>
          <w:p w14:paraId="002D96E6" w14:textId="4F23A969" w:rsidR="00A93F85" w:rsidRPr="0071557F" w:rsidRDefault="00A93F85" w:rsidP="001F5C5E">
            <w:pPr>
              <w:pStyle w:val="naisf"/>
              <w:spacing w:before="0" w:after="0" w:line="276" w:lineRule="auto"/>
              <w:ind w:firstLine="0"/>
              <w:jc w:val="center"/>
              <w:rPr>
                <w:b/>
                <w:i/>
              </w:rPr>
            </w:pPr>
            <w:r w:rsidRPr="0071557F">
              <w:rPr>
                <w:b/>
                <w:bCs/>
              </w:rPr>
              <w:t>201</w:t>
            </w:r>
            <w:r w:rsidR="001F5C5E">
              <w:rPr>
                <w:b/>
                <w:bCs/>
              </w:rPr>
              <w:t>9</w:t>
            </w:r>
          </w:p>
        </w:tc>
        <w:tc>
          <w:tcPr>
            <w:tcW w:w="1214" w:type="dxa"/>
            <w:tcBorders>
              <w:top w:val="single" w:sz="4" w:space="0" w:color="auto"/>
              <w:left w:val="single" w:sz="4" w:space="0" w:color="auto"/>
              <w:bottom w:val="single" w:sz="4" w:space="0" w:color="auto"/>
              <w:right w:val="single" w:sz="4" w:space="0" w:color="auto"/>
            </w:tcBorders>
            <w:vAlign w:val="bottom"/>
            <w:hideMark/>
          </w:tcPr>
          <w:p w14:paraId="70029E2A" w14:textId="40606841" w:rsidR="00A93F85" w:rsidRPr="0071557F" w:rsidRDefault="00A93F85" w:rsidP="001F5C5E">
            <w:pPr>
              <w:pStyle w:val="naisf"/>
              <w:spacing w:before="0" w:after="0" w:line="276" w:lineRule="auto"/>
              <w:ind w:firstLine="0"/>
              <w:jc w:val="center"/>
              <w:rPr>
                <w:b/>
                <w:i/>
              </w:rPr>
            </w:pPr>
            <w:r w:rsidRPr="0071557F">
              <w:rPr>
                <w:b/>
                <w:bCs/>
              </w:rPr>
              <w:t>20</w:t>
            </w:r>
            <w:r w:rsidR="001F5C5E">
              <w:rPr>
                <w:b/>
                <w:bCs/>
              </w:rPr>
              <w:t>20</w:t>
            </w:r>
          </w:p>
        </w:tc>
        <w:tc>
          <w:tcPr>
            <w:tcW w:w="1920" w:type="dxa"/>
            <w:tcBorders>
              <w:top w:val="single" w:sz="4" w:space="0" w:color="auto"/>
              <w:left w:val="single" w:sz="4" w:space="0" w:color="auto"/>
              <w:bottom w:val="single" w:sz="4" w:space="0" w:color="auto"/>
              <w:right w:val="single" w:sz="4" w:space="0" w:color="auto"/>
            </w:tcBorders>
            <w:vAlign w:val="bottom"/>
            <w:hideMark/>
          </w:tcPr>
          <w:p w14:paraId="2F7A9C55" w14:textId="1C5680E7" w:rsidR="00A93F85" w:rsidRPr="0071557F" w:rsidRDefault="00A93F85" w:rsidP="001F5C5E">
            <w:pPr>
              <w:pStyle w:val="naisf"/>
              <w:spacing w:before="0" w:after="0" w:line="276" w:lineRule="auto"/>
              <w:ind w:firstLine="0"/>
              <w:jc w:val="center"/>
              <w:rPr>
                <w:b/>
                <w:i/>
              </w:rPr>
            </w:pPr>
            <w:r w:rsidRPr="0071557F">
              <w:rPr>
                <w:b/>
                <w:bCs/>
              </w:rPr>
              <w:t>20</w:t>
            </w:r>
            <w:r w:rsidR="00BD02C4">
              <w:rPr>
                <w:b/>
                <w:bCs/>
              </w:rPr>
              <w:t>2</w:t>
            </w:r>
            <w:r w:rsidR="001F5C5E">
              <w:rPr>
                <w:b/>
                <w:bCs/>
              </w:rPr>
              <w:t>1</w:t>
            </w:r>
          </w:p>
        </w:tc>
      </w:tr>
      <w:tr w:rsidR="00B63B03" w:rsidRPr="00A93F85" w14:paraId="165F5262" w14:textId="77777777" w:rsidTr="00402D13">
        <w:trPr>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6FD22265" w14:textId="77777777" w:rsidR="00A93F85" w:rsidRPr="0071557F" w:rsidRDefault="00A93F85" w:rsidP="00C957EF">
            <w:pPr>
              <w:spacing w:line="276" w:lineRule="auto"/>
            </w:pPr>
          </w:p>
        </w:tc>
        <w:tc>
          <w:tcPr>
            <w:tcW w:w="2532" w:type="dxa"/>
            <w:tcBorders>
              <w:top w:val="single" w:sz="4" w:space="0" w:color="auto"/>
              <w:left w:val="single" w:sz="4" w:space="0" w:color="auto"/>
              <w:bottom w:val="single" w:sz="4" w:space="0" w:color="auto"/>
              <w:right w:val="single" w:sz="4" w:space="0" w:color="auto"/>
            </w:tcBorders>
            <w:hideMark/>
          </w:tcPr>
          <w:p w14:paraId="6B7E5E9F" w14:textId="77777777" w:rsidR="00A93F85" w:rsidRPr="0071557F" w:rsidRDefault="00A93F85" w:rsidP="00453716">
            <w:pPr>
              <w:jc w:val="center"/>
            </w:pPr>
            <w:r w:rsidRPr="0071557F">
              <w:t>saskaņā ar valsts budžetu kārtējam gadam</w:t>
            </w:r>
          </w:p>
        </w:tc>
        <w:tc>
          <w:tcPr>
            <w:tcW w:w="1178" w:type="dxa"/>
            <w:tcBorders>
              <w:top w:val="single" w:sz="4" w:space="0" w:color="auto"/>
              <w:left w:val="single" w:sz="4" w:space="0" w:color="auto"/>
              <w:bottom w:val="single" w:sz="4" w:space="0" w:color="auto"/>
              <w:right w:val="single" w:sz="4" w:space="0" w:color="auto"/>
            </w:tcBorders>
            <w:hideMark/>
          </w:tcPr>
          <w:p w14:paraId="6A00E32F" w14:textId="77777777" w:rsidR="00A93F85" w:rsidRPr="0071557F" w:rsidRDefault="00A93F85" w:rsidP="00453716">
            <w:pPr>
              <w:jc w:val="center"/>
            </w:pPr>
            <w:r w:rsidRPr="0071557F">
              <w:t>izmaiņas kārtējā gadā salīdzinot ar valsts budžetu kārtējam gadam</w:t>
            </w:r>
          </w:p>
        </w:tc>
        <w:tc>
          <w:tcPr>
            <w:tcW w:w="1236" w:type="dxa"/>
            <w:tcBorders>
              <w:top w:val="single" w:sz="4" w:space="0" w:color="auto"/>
              <w:left w:val="single" w:sz="4" w:space="0" w:color="auto"/>
              <w:bottom w:val="single" w:sz="4" w:space="0" w:color="auto"/>
              <w:right w:val="single" w:sz="4" w:space="0" w:color="auto"/>
            </w:tcBorders>
            <w:hideMark/>
          </w:tcPr>
          <w:p w14:paraId="3F1871CB" w14:textId="77777777" w:rsidR="00A93F85" w:rsidRPr="0071557F" w:rsidRDefault="00A93F85" w:rsidP="00453716">
            <w:pPr>
              <w:jc w:val="center"/>
            </w:pPr>
            <w:r w:rsidRPr="0071557F">
              <w:t>izmaiņas salīdzinot ar kārtējo gadu</w:t>
            </w:r>
          </w:p>
        </w:tc>
        <w:tc>
          <w:tcPr>
            <w:tcW w:w="1214" w:type="dxa"/>
            <w:tcBorders>
              <w:top w:val="single" w:sz="4" w:space="0" w:color="auto"/>
              <w:left w:val="single" w:sz="4" w:space="0" w:color="auto"/>
              <w:bottom w:val="single" w:sz="4" w:space="0" w:color="auto"/>
              <w:right w:val="single" w:sz="4" w:space="0" w:color="auto"/>
            </w:tcBorders>
            <w:hideMark/>
          </w:tcPr>
          <w:p w14:paraId="27D24BEB" w14:textId="77777777" w:rsidR="00A93F85" w:rsidRPr="0071557F" w:rsidRDefault="00A93F85" w:rsidP="00453716">
            <w:pPr>
              <w:jc w:val="center"/>
            </w:pPr>
            <w:r w:rsidRPr="0071557F">
              <w:t>izmaiņas salīdzinot ar kārtējo gadu</w:t>
            </w:r>
          </w:p>
        </w:tc>
        <w:tc>
          <w:tcPr>
            <w:tcW w:w="1920" w:type="dxa"/>
            <w:tcBorders>
              <w:top w:val="single" w:sz="4" w:space="0" w:color="auto"/>
              <w:left w:val="single" w:sz="4" w:space="0" w:color="auto"/>
              <w:bottom w:val="single" w:sz="4" w:space="0" w:color="auto"/>
              <w:right w:val="single" w:sz="4" w:space="0" w:color="auto"/>
            </w:tcBorders>
            <w:hideMark/>
          </w:tcPr>
          <w:p w14:paraId="49B741AC" w14:textId="77777777" w:rsidR="00A93F85" w:rsidRPr="0071557F" w:rsidRDefault="00A93F85" w:rsidP="00453716">
            <w:pPr>
              <w:jc w:val="center"/>
            </w:pPr>
            <w:r w:rsidRPr="0071557F">
              <w:t>izmaiņas salīdzinot ar kārtējo gadu</w:t>
            </w:r>
          </w:p>
        </w:tc>
      </w:tr>
      <w:tr w:rsidR="00B63B03" w:rsidRPr="00A93F85" w14:paraId="6C61A19B" w14:textId="77777777" w:rsidTr="00402D13">
        <w:trPr>
          <w:jc w:val="center"/>
        </w:trPr>
        <w:tc>
          <w:tcPr>
            <w:tcW w:w="1980" w:type="dxa"/>
            <w:tcBorders>
              <w:top w:val="single" w:sz="4" w:space="0" w:color="auto"/>
              <w:left w:val="single" w:sz="4" w:space="0" w:color="auto"/>
              <w:bottom w:val="single" w:sz="4" w:space="0" w:color="auto"/>
              <w:right w:val="single" w:sz="4" w:space="0" w:color="auto"/>
            </w:tcBorders>
            <w:hideMark/>
          </w:tcPr>
          <w:p w14:paraId="61E8267B" w14:textId="77777777" w:rsidR="00A93F85" w:rsidRPr="0071557F" w:rsidRDefault="00A93F85" w:rsidP="00C957EF">
            <w:pPr>
              <w:pStyle w:val="naisf"/>
              <w:spacing w:before="0" w:after="0" w:line="276" w:lineRule="auto"/>
              <w:ind w:firstLine="0"/>
              <w:jc w:val="center"/>
              <w:rPr>
                <w:b/>
              </w:rPr>
            </w:pPr>
            <w:r w:rsidRPr="0071557F">
              <w:rPr>
                <w:b/>
              </w:rPr>
              <w:t>1</w:t>
            </w:r>
          </w:p>
        </w:tc>
        <w:tc>
          <w:tcPr>
            <w:tcW w:w="2532" w:type="dxa"/>
            <w:tcBorders>
              <w:top w:val="single" w:sz="4" w:space="0" w:color="auto"/>
              <w:left w:val="single" w:sz="4" w:space="0" w:color="auto"/>
              <w:bottom w:val="single" w:sz="4" w:space="0" w:color="auto"/>
              <w:right w:val="single" w:sz="4" w:space="0" w:color="auto"/>
            </w:tcBorders>
            <w:hideMark/>
          </w:tcPr>
          <w:p w14:paraId="22193552" w14:textId="77777777" w:rsidR="00A93F85" w:rsidRPr="0071557F" w:rsidRDefault="00A93F85" w:rsidP="00C957EF">
            <w:pPr>
              <w:pStyle w:val="naisf"/>
              <w:spacing w:before="0" w:after="0" w:line="276" w:lineRule="auto"/>
              <w:ind w:firstLine="0"/>
              <w:jc w:val="center"/>
              <w:rPr>
                <w:b/>
              </w:rPr>
            </w:pPr>
            <w:r w:rsidRPr="0071557F">
              <w:rPr>
                <w:b/>
              </w:rPr>
              <w:t>2</w:t>
            </w:r>
          </w:p>
        </w:tc>
        <w:tc>
          <w:tcPr>
            <w:tcW w:w="1178" w:type="dxa"/>
            <w:tcBorders>
              <w:top w:val="single" w:sz="4" w:space="0" w:color="auto"/>
              <w:left w:val="single" w:sz="4" w:space="0" w:color="auto"/>
              <w:bottom w:val="single" w:sz="4" w:space="0" w:color="auto"/>
              <w:right w:val="single" w:sz="4" w:space="0" w:color="auto"/>
            </w:tcBorders>
            <w:hideMark/>
          </w:tcPr>
          <w:p w14:paraId="3C1F4F33" w14:textId="77777777" w:rsidR="00A93F85" w:rsidRPr="0071557F" w:rsidRDefault="00A93F85" w:rsidP="00C957EF">
            <w:pPr>
              <w:pStyle w:val="naisf"/>
              <w:spacing w:before="0" w:after="0" w:line="276" w:lineRule="auto"/>
              <w:ind w:firstLine="0"/>
              <w:jc w:val="center"/>
              <w:rPr>
                <w:b/>
              </w:rPr>
            </w:pPr>
            <w:r w:rsidRPr="0071557F">
              <w:rPr>
                <w:b/>
              </w:rPr>
              <w:t>3</w:t>
            </w:r>
          </w:p>
        </w:tc>
        <w:tc>
          <w:tcPr>
            <w:tcW w:w="1236" w:type="dxa"/>
            <w:tcBorders>
              <w:top w:val="single" w:sz="4" w:space="0" w:color="auto"/>
              <w:left w:val="single" w:sz="4" w:space="0" w:color="auto"/>
              <w:bottom w:val="single" w:sz="4" w:space="0" w:color="auto"/>
              <w:right w:val="single" w:sz="4" w:space="0" w:color="auto"/>
            </w:tcBorders>
            <w:hideMark/>
          </w:tcPr>
          <w:p w14:paraId="182E2B26" w14:textId="77777777" w:rsidR="00A93F85" w:rsidRPr="0071557F" w:rsidRDefault="00A93F85" w:rsidP="00C957EF">
            <w:pPr>
              <w:pStyle w:val="naisf"/>
              <w:spacing w:before="0" w:after="0" w:line="276" w:lineRule="auto"/>
              <w:ind w:firstLine="0"/>
              <w:jc w:val="center"/>
              <w:rPr>
                <w:b/>
              </w:rPr>
            </w:pPr>
            <w:r w:rsidRPr="0071557F">
              <w:rPr>
                <w:b/>
              </w:rPr>
              <w:t>4</w:t>
            </w:r>
          </w:p>
        </w:tc>
        <w:tc>
          <w:tcPr>
            <w:tcW w:w="1214" w:type="dxa"/>
            <w:tcBorders>
              <w:top w:val="single" w:sz="4" w:space="0" w:color="auto"/>
              <w:left w:val="single" w:sz="4" w:space="0" w:color="auto"/>
              <w:bottom w:val="single" w:sz="4" w:space="0" w:color="auto"/>
              <w:right w:val="single" w:sz="4" w:space="0" w:color="auto"/>
            </w:tcBorders>
            <w:hideMark/>
          </w:tcPr>
          <w:p w14:paraId="3E3A1F8E" w14:textId="77777777" w:rsidR="00A93F85" w:rsidRPr="0071557F" w:rsidRDefault="00A93F85" w:rsidP="00C957EF">
            <w:pPr>
              <w:pStyle w:val="naisf"/>
              <w:spacing w:before="0" w:after="0" w:line="276" w:lineRule="auto"/>
              <w:ind w:firstLine="0"/>
              <w:jc w:val="center"/>
              <w:rPr>
                <w:b/>
              </w:rPr>
            </w:pPr>
            <w:r w:rsidRPr="0071557F">
              <w:rPr>
                <w:b/>
              </w:rPr>
              <w:t>5</w:t>
            </w:r>
          </w:p>
        </w:tc>
        <w:tc>
          <w:tcPr>
            <w:tcW w:w="1920" w:type="dxa"/>
            <w:tcBorders>
              <w:top w:val="single" w:sz="4" w:space="0" w:color="auto"/>
              <w:left w:val="single" w:sz="4" w:space="0" w:color="auto"/>
              <w:bottom w:val="single" w:sz="4" w:space="0" w:color="auto"/>
              <w:right w:val="single" w:sz="4" w:space="0" w:color="auto"/>
            </w:tcBorders>
            <w:hideMark/>
          </w:tcPr>
          <w:p w14:paraId="56D960C1" w14:textId="77777777" w:rsidR="00A93F85" w:rsidRPr="0071557F" w:rsidRDefault="00A93F85" w:rsidP="00C957EF">
            <w:pPr>
              <w:pStyle w:val="naisf"/>
              <w:spacing w:before="0" w:after="0" w:line="276" w:lineRule="auto"/>
              <w:ind w:firstLine="0"/>
              <w:jc w:val="center"/>
              <w:rPr>
                <w:b/>
              </w:rPr>
            </w:pPr>
            <w:r w:rsidRPr="0071557F">
              <w:rPr>
                <w:b/>
              </w:rPr>
              <w:t>6</w:t>
            </w:r>
          </w:p>
        </w:tc>
      </w:tr>
      <w:tr w:rsidR="00665574" w:rsidRPr="00A93F85" w14:paraId="733FA01E" w14:textId="77777777" w:rsidTr="00402D13">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78819ACF" w14:textId="77777777" w:rsidR="00665574" w:rsidRPr="00EF0617" w:rsidRDefault="00665574" w:rsidP="00665574">
            <w:pPr>
              <w:spacing w:line="276" w:lineRule="auto"/>
            </w:pPr>
            <w:r w:rsidRPr="00EF0617">
              <w:t>1. Budžeta ieņēmumi:</w:t>
            </w:r>
          </w:p>
        </w:tc>
        <w:tc>
          <w:tcPr>
            <w:tcW w:w="2532" w:type="dxa"/>
            <w:tcBorders>
              <w:top w:val="single" w:sz="4" w:space="0" w:color="auto"/>
              <w:left w:val="single" w:sz="4" w:space="0" w:color="auto"/>
              <w:bottom w:val="single" w:sz="4" w:space="0" w:color="auto"/>
              <w:right w:val="single" w:sz="4" w:space="0" w:color="auto"/>
            </w:tcBorders>
            <w:vAlign w:val="center"/>
          </w:tcPr>
          <w:p w14:paraId="1F1CFFCC" w14:textId="3097CAFA" w:rsidR="00665574" w:rsidRPr="00A93F85" w:rsidRDefault="00015C39" w:rsidP="001349F4">
            <w:pPr>
              <w:spacing w:line="276" w:lineRule="auto"/>
              <w:ind w:hanging="80"/>
              <w:jc w:val="center"/>
              <w:rPr>
                <w:color w:val="FF0000"/>
              </w:rPr>
            </w:pPr>
            <w:r>
              <w:rPr>
                <w:b/>
                <w:i/>
              </w:rPr>
              <w:t>0</w:t>
            </w:r>
          </w:p>
        </w:tc>
        <w:tc>
          <w:tcPr>
            <w:tcW w:w="1178" w:type="dxa"/>
            <w:tcBorders>
              <w:top w:val="single" w:sz="4" w:space="0" w:color="auto"/>
              <w:left w:val="single" w:sz="4" w:space="0" w:color="auto"/>
              <w:bottom w:val="single" w:sz="4" w:space="0" w:color="auto"/>
              <w:right w:val="single" w:sz="4" w:space="0" w:color="auto"/>
            </w:tcBorders>
            <w:vAlign w:val="center"/>
          </w:tcPr>
          <w:p w14:paraId="368DEDAE" w14:textId="18FED424" w:rsidR="00665574" w:rsidRPr="0071557F" w:rsidRDefault="00665574" w:rsidP="00665574">
            <w:pPr>
              <w:spacing w:line="276" w:lineRule="auto"/>
              <w:jc w:val="center"/>
              <w:rPr>
                <w:i/>
              </w:rPr>
            </w:pPr>
          </w:p>
        </w:tc>
        <w:tc>
          <w:tcPr>
            <w:tcW w:w="1236" w:type="dxa"/>
            <w:tcBorders>
              <w:top w:val="single" w:sz="4" w:space="0" w:color="auto"/>
              <w:left w:val="single" w:sz="4" w:space="0" w:color="auto"/>
              <w:bottom w:val="single" w:sz="4" w:space="0" w:color="auto"/>
              <w:right w:val="single" w:sz="4" w:space="0" w:color="auto"/>
            </w:tcBorders>
            <w:vAlign w:val="center"/>
          </w:tcPr>
          <w:p w14:paraId="7DE40B5E" w14:textId="0DFD0F59" w:rsidR="00665574" w:rsidRPr="0071557F" w:rsidRDefault="00665574" w:rsidP="00665574">
            <w:pPr>
              <w:pStyle w:val="naisf"/>
              <w:spacing w:before="0" w:after="0" w:line="276" w:lineRule="auto"/>
              <w:ind w:firstLine="0"/>
              <w:jc w:val="center"/>
              <w:rPr>
                <w:i/>
              </w:rPr>
            </w:pPr>
            <w:r w:rsidRPr="004E26FC">
              <w:rPr>
                <w:b/>
                <w:i/>
              </w:rPr>
              <w:t>0</w:t>
            </w:r>
          </w:p>
        </w:tc>
        <w:tc>
          <w:tcPr>
            <w:tcW w:w="1214" w:type="dxa"/>
            <w:tcBorders>
              <w:top w:val="single" w:sz="4" w:space="0" w:color="auto"/>
              <w:left w:val="single" w:sz="4" w:space="0" w:color="auto"/>
              <w:bottom w:val="single" w:sz="4" w:space="0" w:color="auto"/>
              <w:right w:val="single" w:sz="4" w:space="0" w:color="auto"/>
            </w:tcBorders>
            <w:vAlign w:val="center"/>
          </w:tcPr>
          <w:p w14:paraId="30950937" w14:textId="53D7618F" w:rsidR="00665574" w:rsidRPr="0071557F" w:rsidRDefault="00665574" w:rsidP="00665574">
            <w:pPr>
              <w:spacing w:line="276" w:lineRule="auto"/>
              <w:jc w:val="center"/>
              <w:rPr>
                <w:i/>
              </w:rPr>
            </w:pPr>
            <w:r w:rsidRPr="004E26FC">
              <w:rPr>
                <w:b/>
                <w:i/>
              </w:rPr>
              <w:t>0</w:t>
            </w:r>
          </w:p>
        </w:tc>
        <w:tc>
          <w:tcPr>
            <w:tcW w:w="1920" w:type="dxa"/>
            <w:tcBorders>
              <w:top w:val="single" w:sz="4" w:space="0" w:color="auto"/>
              <w:left w:val="single" w:sz="4" w:space="0" w:color="auto"/>
              <w:bottom w:val="single" w:sz="4" w:space="0" w:color="auto"/>
              <w:right w:val="single" w:sz="4" w:space="0" w:color="auto"/>
            </w:tcBorders>
            <w:vAlign w:val="center"/>
          </w:tcPr>
          <w:p w14:paraId="608F4464" w14:textId="46144632" w:rsidR="00665574" w:rsidRPr="0071557F" w:rsidRDefault="00665574" w:rsidP="00665574">
            <w:pPr>
              <w:spacing w:line="276" w:lineRule="auto"/>
              <w:jc w:val="center"/>
              <w:rPr>
                <w:i/>
              </w:rPr>
            </w:pPr>
            <w:r w:rsidRPr="004E26FC">
              <w:rPr>
                <w:b/>
                <w:i/>
              </w:rPr>
              <w:t>0</w:t>
            </w:r>
          </w:p>
        </w:tc>
      </w:tr>
      <w:tr w:rsidR="00453716" w:rsidRPr="00A93F85" w14:paraId="7F8BDA77" w14:textId="77777777" w:rsidTr="00402D13">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4F8197A1" w14:textId="79E6C08D" w:rsidR="00453716" w:rsidRPr="00EF0617" w:rsidRDefault="00453716" w:rsidP="00453716">
            <w:r w:rsidRPr="00EF0617">
              <w:t>1.1. valsts pamatbudžets, tai skaitā ieņēmumi no maksas pakalpojumiem un citi pašu ieņēmumi</w:t>
            </w:r>
          </w:p>
        </w:tc>
        <w:tc>
          <w:tcPr>
            <w:tcW w:w="2532" w:type="dxa"/>
            <w:tcBorders>
              <w:top w:val="single" w:sz="4" w:space="0" w:color="auto"/>
              <w:left w:val="single" w:sz="4" w:space="0" w:color="auto"/>
              <w:bottom w:val="single" w:sz="4" w:space="0" w:color="auto"/>
              <w:right w:val="single" w:sz="4" w:space="0" w:color="auto"/>
            </w:tcBorders>
            <w:vAlign w:val="center"/>
          </w:tcPr>
          <w:p w14:paraId="39A2E596" w14:textId="77777777" w:rsidR="00453716" w:rsidRPr="00A93F85" w:rsidRDefault="00453716" w:rsidP="00EF0617">
            <w:pPr>
              <w:spacing w:line="276" w:lineRule="auto"/>
              <w:ind w:hanging="80"/>
              <w:rPr>
                <w:color w:val="FF0000"/>
              </w:rPr>
            </w:pPr>
          </w:p>
        </w:tc>
        <w:tc>
          <w:tcPr>
            <w:tcW w:w="1178" w:type="dxa"/>
            <w:tcBorders>
              <w:top w:val="single" w:sz="4" w:space="0" w:color="auto"/>
              <w:left w:val="single" w:sz="4" w:space="0" w:color="auto"/>
              <w:bottom w:val="single" w:sz="4" w:space="0" w:color="auto"/>
              <w:right w:val="single" w:sz="4" w:space="0" w:color="auto"/>
            </w:tcBorders>
            <w:vAlign w:val="center"/>
          </w:tcPr>
          <w:p w14:paraId="394E8D20" w14:textId="77777777" w:rsidR="00453716" w:rsidRPr="0071557F" w:rsidRDefault="00453716" w:rsidP="0071557F">
            <w:pPr>
              <w:spacing w:line="276" w:lineRule="auto"/>
              <w:jc w:val="center"/>
              <w:rPr>
                <w:i/>
              </w:rPr>
            </w:pPr>
          </w:p>
        </w:tc>
        <w:tc>
          <w:tcPr>
            <w:tcW w:w="1236" w:type="dxa"/>
            <w:tcBorders>
              <w:top w:val="single" w:sz="4" w:space="0" w:color="auto"/>
              <w:left w:val="single" w:sz="4" w:space="0" w:color="auto"/>
              <w:bottom w:val="single" w:sz="4" w:space="0" w:color="auto"/>
              <w:right w:val="single" w:sz="4" w:space="0" w:color="auto"/>
            </w:tcBorders>
            <w:vAlign w:val="center"/>
          </w:tcPr>
          <w:p w14:paraId="1588D21B" w14:textId="77777777" w:rsidR="00453716" w:rsidRPr="0071557F" w:rsidRDefault="00453716" w:rsidP="0071557F">
            <w:pPr>
              <w:pStyle w:val="naisf"/>
              <w:spacing w:before="0" w:after="0" w:line="276" w:lineRule="auto"/>
              <w:ind w:firstLine="0"/>
              <w:jc w:val="center"/>
              <w:rPr>
                <w:i/>
              </w:rPr>
            </w:pPr>
          </w:p>
        </w:tc>
        <w:tc>
          <w:tcPr>
            <w:tcW w:w="1214" w:type="dxa"/>
            <w:tcBorders>
              <w:top w:val="single" w:sz="4" w:space="0" w:color="auto"/>
              <w:left w:val="single" w:sz="4" w:space="0" w:color="auto"/>
              <w:bottom w:val="single" w:sz="4" w:space="0" w:color="auto"/>
              <w:right w:val="single" w:sz="4" w:space="0" w:color="auto"/>
            </w:tcBorders>
            <w:vAlign w:val="center"/>
          </w:tcPr>
          <w:p w14:paraId="3CF1023E" w14:textId="77777777" w:rsidR="00453716" w:rsidRPr="0071557F" w:rsidRDefault="00453716" w:rsidP="0071557F">
            <w:pPr>
              <w:spacing w:line="276" w:lineRule="auto"/>
              <w:jc w:val="center"/>
              <w:rPr>
                <w:i/>
              </w:rPr>
            </w:pPr>
          </w:p>
        </w:tc>
        <w:tc>
          <w:tcPr>
            <w:tcW w:w="1920" w:type="dxa"/>
            <w:tcBorders>
              <w:top w:val="single" w:sz="4" w:space="0" w:color="auto"/>
              <w:left w:val="single" w:sz="4" w:space="0" w:color="auto"/>
              <w:bottom w:val="single" w:sz="4" w:space="0" w:color="auto"/>
              <w:right w:val="single" w:sz="4" w:space="0" w:color="auto"/>
            </w:tcBorders>
            <w:vAlign w:val="center"/>
          </w:tcPr>
          <w:p w14:paraId="04EFD35A" w14:textId="77777777" w:rsidR="00453716" w:rsidRPr="0071557F" w:rsidRDefault="00453716" w:rsidP="0071557F">
            <w:pPr>
              <w:spacing w:line="276" w:lineRule="auto"/>
              <w:jc w:val="center"/>
              <w:rPr>
                <w:i/>
              </w:rPr>
            </w:pPr>
          </w:p>
        </w:tc>
      </w:tr>
      <w:tr w:rsidR="00B63B03" w:rsidRPr="00A93F85" w14:paraId="294EA61E" w14:textId="77777777" w:rsidTr="00402D13">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6955F74B" w14:textId="77777777" w:rsidR="00A93F85" w:rsidRPr="00EF0617" w:rsidRDefault="00A93F85" w:rsidP="00453716">
            <w:pPr>
              <w:pStyle w:val="naisf"/>
              <w:spacing w:before="0" w:after="0"/>
              <w:ind w:firstLine="0"/>
              <w:jc w:val="left"/>
              <w:rPr>
                <w:i/>
              </w:rPr>
            </w:pPr>
            <w:r w:rsidRPr="00EF0617">
              <w:t>1.2. valsts speciālais budžets</w:t>
            </w:r>
          </w:p>
        </w:tc>
        <w:tc>
          <w:tcPr>
            <w:tcW w:w="2532" w:type="dxa"/>
            <w:tcBorders>
              <w:top w:val="single" w:sz="4" w:space="0" w:color="auto"/>
              <w:left w:val="single" w:sz="4" w:space="0" w:color="auto"/>
              <w:bottom w:val="single" w:sz="4" w:space="0" w:color="auto"/>
              <w:right w:val="single" w:sz="4" w:space="0" w:color="auto"/>
            </w:tcBorders>
            <w:vAlign w:val="center"/>
          </w:tcPr>
          <w:p w14:paraId="21FCDF0D" w14:textId="77777777" w:rsidR="00A93F85" w:rsidRPr="00A93F85" w:rsidRDefault="00A93F85" w:rsidP="00C957EF">
            <w:pPr>
              <w:pStyle w:val="naisf"/>
              <w:spacing w:before="0" w:after="0" w:line="276" w:lineRule="auto"/>
              <w:ind w:firstLine="0"/>
              <w:jc w:val="center"/>
              <w:rPr>
                <w:color w:val="FF0000"/>
              </w:rPr>
            </w:pPr>
          </w:p>
        </w:tc>
        <w:tc>
          <w:tcPr>
            <w:tcW w:w="1178" w:type="dxa"/>
            <w:tcBorders>
              <w:top w:val="single" w:sz="4" w:space="0" w:color="auto"/>
              <w:left w:val="single" w:sz="4" w:space="0" w:color="auto"/>
              <w:bottom w:val="single" w:sz="4" w:space="0" w:color="auto"/>
              <w:right w:val="single" w:sz="4" w:space="0" w:color="auto"/>
            </w:tcBorders>
            <w:vAlign w:val="center"/>
          </w:tcPr>
          <w:p w14:paraId="7D05B14A" w14:textId="77777777" w:rsidR="00A93F85" w:rsidRPr="00A93F85" w:rsidRDefault="00A93F85" w:rsidP="00C957EF">
            <w:pPr>
              <w:pStyle w:val="naisf"/>
              <w:spacing w:before="0" w:after="0" w:line="276" w:lineRule="auto"/>
              <w:ind w:firstLine="0"/>
              <w:jc w:val="center"/>
              <w:rPr>
                <w:color w:val="FF0000"/>
              </w:rPr>
            </w:pPr>
          </w:p>
        </w:tc>
        <w:tc>
          <w:tcPr>
            <w:tcW w:w="1236" w:type="dxa"/>
            <w:tcBorders>
              <w:top w:val="single" w:sz="4" w:space="0" w:color="auto"/>
              <w:left w:val="single" w:sz="4" w:space="0" w:color="auto"/>
              <w:bottom w:val="single" w:sz="4" w:space="0" w:color="auto"/>
              <w:right w:val="single" w:sz="4" w:space="0" w:color="auto"/>
            </w:tcBorders>
            <w:vAlign w:val="center"/>
          </w:tcPr>
          <w:p w14:paraId="5E6F4D3B" w14:textId="77777777" w:rsidR="00A93F85" w:rsidRPr="00A93F85" w:rsidRDefault="00A93F85" w:rsidP="00C957EF">
            <w:pPr>
              <w:pStyle w:val="naisf"/>
              <w:spacing w:before="0" w:after="0" w:line="276" w:lineRule="auto"/>
              <w:ind w:firstLine="0"/>
              <w:jc w:val="center"/>
              <w:rPr>
                <w:color w:val="FF0000"/>
              </w:rPr>
            </w:pPr>
          </w:p>
        </w:tc>
        <w:tc>
          <w:tcPr>
            <w:tcW w:w="1214" w:type="dxa"/>
            <w:tcBorders>
              <w:top w:val="single" w:sz="4" w:space="0" w:color="auto"/>
              <w:left w:val="single" w:sz="4" w:space="0" w:color="auto"/>
              <w:bottom w:val="single" w:sz="4" w:space="0" w:color="auto"/>
              <w:right w:val="single" w:sz="4" w:space="0" w:color="auto"/>
            </w:tcBorders>
            <w:vAlign w:val="center"/>
          </w:tcPr>
          <w:p w14:paraId="6EF2B941" w14:textId="77777777" w:rsidR="00A93F85" w:rsidRPr="00A93F85" w:rsidRDefault="00A93F85" w:rsidP="00C957EF">
            <w:pPr>
              <w:pStyle w:val="naisf"/>
              <w:spacing w:before="0" w:after="0" w:line="276" w:lineRule="auto"/>
              <w:ind w:firstLine="0"/>
              <w:jc w:val="center"/>
              <w:rPr>
                <w:color w:val="FF0000"/>
              </w:rPr>
            </w:pPr>
          </w:p>
        </w:tc>
        <w:tc>
          <w:tcPr>
            <w:tcW w:w="1920" w:type="dxa"/>
            <w:tcBorders>
              <w:top w:val="single" w:sz="4" w:space="0" w:color="auto"/>
              <w:left w:val="single" w:sz="4" w:space="0" w:color="auto"/>
              <w:bottom w:val="single" w:sz="4" w:space="0" w:color="auto"/>
              <w:right w:val="single" w:sz="4" w:space="0" w:color="auto"/>
            </w:tcBorders>
            <w:vAlign w:val="center"/>
          </w:tcPr>
          <w:p w14:paraId="70B9F73C" w14:textId="77777777" w:rsidR="00A93F85" w:rsidRPr="00A93F85" w:rsidRDefault="00A93F85" w:rsidP="00C957EF">
            <w:pPr>
              <w:pStyle w:val="naisf"/>
              <w:spacing w:before="0" w:after="0" w:line="276" w:lineRule="auto"/>
              <w:ind w:firstLine="0"/>
              <w:jc w:val="center"/>
              <w:rPr>
                <w:color w:val="FF0000"/>
              </w:rPr>
            </w:pPr>
          </w:p>
        </w:tc>
      </w:tr>
      <w:tr w:rsidR="00B63B03" w:rsidRPr="00A93F85" w14:paraId="2022E217" w14:textId="77777777" w:rsidTr="00402D13">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4947A756" w14:textId="77777777" w:rsidR="00A93F85" w:rsidRPr="00EF0617" w:rsidRDefault="00A93F85" w:rsidP="00453716">
            <w:r w:rsidRPr="00EF0617">
              <w:t>1.3. pašvaldību budžets</w:t>
            </w:r>
          </w:p>
        </w:tc>
        <w:tc>
          <w:tcPr>
            <w:tcW w:w="2532" w:type="dxa"/>
            <w:tcBorders>
              <w:top w:val="single" w:sz="4" w:space="0" w:color="auto"/>
              <w:left w:val="single" w:sz="4" w:space="0" w:color="auto"/>
              <w:bottom w:val="single" w:sz="4" w:space="0" w:color="auto"/>
              <w:right w:val="single" w:sz="4" w:space="0" w:color="auto"/>
            </w:tcBorders>
            <w:vAlign w:val="center"/>
          </w:tcPr>
          <w:p w14:paraId="5CEB714C" w14:textId="77777777" w:rsidR="00A93F85" w:rsidRPr="00A93F85" w:rsidRDefault="00A93F85" w:rsidP="00C957EF">
            <w:pPr>
              <w:spacing w:line="276" w:lineRule="auto"/>
              <w:jc w:val="center"/>
              <w:rPr>
                <w:color w:val="FF0000"/>
              </w:rPr>
            </w:pPr>
          </w:p>
        </w:tc>
        <w:tc>
          <w:tcPr>
            <w:tcW w:w="1178" w:type="dxa"/>
            <w:tcBorders>
              <w:top w:val="single" w:sz="4" w:space="0" w:color="auto"/>
              <w:left w:val="single" w:sz="4" w:space="0" w:color="auto"/>
              <w:bottom w:val="single" w:sz="4" w:space="0" w:color="auto"/>
              <w:right w:val="single" w:sz="4" w:space="0" w:color="auto"/>
            </w:tcBorders>
            <w:vAlign w:val="center"/>
          </w:tcPr>
          <w:p w14:paraId="4F664F65" w14:textId="77777777" w:rsidR="00A93F85" w:rsidRPr="00A93F85" w:rsidRDefault="00A93F85" w:rsidP="00C957EF">
            <w:pPr>
              <w:spacing w:line="276" w:lineRule="auto"/>
              <w:jc w:val="center"/>
              <w:rPr>
                <w:color w:val="FF0000"/>
              </w:rPr>
            </w:pPr>
          </w:p>
        </w:tc>
        <w:tc>
          <w:tcPr>
            <w:tcW w:w="1236" w:type="dxa"/>
            <w:tcBorders>
              <w:top w:val="single" w:sz="4" w:space="0" w:color="auto"/>
              <w:left w:val="single" w:sz="4" w:space="0" w:color="auto"/>
              <w:bottom w:val="single" w:sz="4" w:space="0" w:color="auto"/>
              <w:right w:val="single" w:sz="4" w:space="0" w:color="auto"/>
            </w:tcBorders>
            <w:vAlign w:val="center"/>
          </w:tcPr>
          <w:p w14:paraId="2300A6EA" w14:textId="77777777" w:rsidR="00A93F85" w:rsidRPr="00A93F85" w:rsidRDefault="00A93F85" w:rsidP="00C957EF">
            <w:pPr>
              <w:spacing w:line="276" w:lineRule="auto"/>
              <w:jc w:val="center"/>
              <w:rPr>
                <w:color w:val="FF0000"/>
              </w:rPr>
            </w:pPr>
          </w:p>
        </w:tc>
        <w:tc>
          <w:tcPr>
            <w:tcW w:w="1214" w:type="dxa"/>
            <w:tcBorders>
              <w:top w:val="single" w:sz="4" w:space="0" w:color="auto"/>
              <w:left w:val="single" w:sz="4" w:space="0" w:color="auto"/>
              <w:bottom w:val="single" w:sz="4" w:space="0" w:color="auto"/>
              <w:right w:val="single" w:sz="4" w:space="0" w:color="auto"/>
            </w:tcBorders>
            <w:vAlign w:val="center"/>
          </w:tcPr>
          <w:p w14:paraId="6B1034F3" w14:textId="77777777" w:rsidR="00A93F85" w:rsidRPr="00A93F85" w:rsidRDefault="00A93F85" w:rsidP="00C957EF">
            <w:pPr>
              <w:spacing w:line="276" w:lineRule="auto"/>
              <w:jc w:val="center"/>
              <w:rPr>
                <w:color w:val="FF0000"/>
              </w:rPr>
            </w:pPr>
          </w:p>
        </w:tc>
        <w:tc>
          <w:tcPr>
            <w:tcW w:w="1920" w:type="dxa"/>
            <w:tcBorders>
              <w:top w:val="single" w:sz="4" w:space="0" w:color="auto"/>
              <w:left w:val="single" w:sz="4" w:space="0" w:color="auto"/>
              <w:bottom w:val="single" w:sz="4" w:space="0" w:color="auto"/>
              <w:right w:val="single" w:sz="4" w:space="0" w:color="auto"/>
            </w:tcBorders>
            <w:vAlign w:val="center"/>
          </w:tcPr>
          <w:p w14:paraId="67CC353A" w14:textId="77777777" w:rsidR="00A93F85" w:rsidRPr="00A93F85" w:rsidRDefault="00A93F85" w:rsidP="00C957EF">
            <w:pPr>
              <w:spacing w:line="276" w:lineRule="auto"/>
              <w:jc w:val="center"/>
              <w:rPr>
                <w:color w:val="FF0000"/>
              </w:rPr>
            </w:pPr>
          </w:p>
        </w:tc>
      </w:tr>
      <w:tr w:rsidR="00665574" w:rsidRPr="00A93F85" w14:paraId="6CE5B003" w14:textId="77777777" w:rsidTr="00402D13">
        <w:trPr>
          <w:trHeight w:val="543"/>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75485508" w14:textId="77777777" w:rsidR="00665574" w:rsidRPr="006013A1" w:rsidRDefault="00665574" w:rsidP="00665574">
            <w:pPr>
              <w:rPr>
                <w:color w:val="FF0000"/>
              </w:rPr>
            </w:pPr>
            <w:r w:rsidRPr="006013A1">
              <w:t>2. Budžeta izdevumi:</w:t>
            </w:r>
          </w:p>
        </w:tc>
        <w:tc>
          <w:tcPr>
            <w:tcW w:w="2532" w:type="dxa"/>
            <w:tcBorders>
              <w:top w:val="single" w:sz="4" w:space="0" w:color="auto"/>
              <w:left w:val="single" w:sz="4" w:space="0" w:color="auto"/>
              <w:bottom w:val="single" w:sz="4" w:space="0" w:color="auto"/>
              <w:right w:val="single" w:sz="4" w:space="0" w:color="auto"/>
            </w:tcBorders>
            <w:vAlign w:val="center"/>
            <w:hideMark/>
          </w:tcPr>
          <w:p w14:paraId="72F31B73" w14:textId="60385F1A" w:rsidR="00665574" w:rsidRPr="00A93F85" w:rsidRDefault="00015C39" w:rsidP="00665574">
            <w:pPr>
              <w:ind w:hanging="80"/>
              <w:jc w:val="center"/>
              <w:rPr>
                <w:b/>
                <w:i/>
                <w:color w:val="FF0000"/>
              </w:rPr>
            </w:pPr>
            <w:r>
              <w:rPr>
                <w:b/>
                <w:i/>
                <w:iCs/>
                <w:color w:val="000000"/>
              </w:rPr>
              <w:t>0</w:t>
            </w:r>
          </w:p>
        </w:tc>
        <w:tc>
          <w:tcPr>
            <w:tcW w:w="1178" w:type="dxa"/>
            <w:tcBorders>
              <w:top w:val="single" w:sz="4" w:space="0" w:color="auto"/>
              <w:left w:val="single" w:sz="4" w:space="0" w:color="auto"/>
              <w:bottom w:val="single" w:sz="4" w:space="0" w:color="auto"/>
              <w:right w:val="single" w:sz="4" w:space="0" w:color="auto"/>
            </w:tcBorders>
            <w:vAlign w:val="center"/>
          </w:tcPr>
          <w:p w14:paraId="7370FB3E" w14:textId="77777777" w:rsidR="00665574" w:rsidRPr="00A93F85" w:rsidRDefault="00665574" w:rsidP="00665574">
            <w:pPr>
              <w:rPr>
                <w:color w:val="FF0000"/>
              </w:rPr>
            </w:pPr>
          </w:p>
        </w:tc>
        <w:tc>
          <w:tcPr>
            <w:tcW w:w="1236" w:type="dxa"/>
            <w:tcBorders>
              <w:top w:val="single" w:sz="4" w:space="0" w:color="auto"/>
              <w:left w:val="single" w:sz="4" w:space="0" w:color="auto"/>
              <w:bottom w:val="single" w:sz="4" w:space="0" w:color="auto"/>
              <w:right w:val="single" w:sz="4" w:space="0" w:color="auto"/>
            </w:tcBorders>
            <w:vAlign w:val="center"/>
          </w:tcPr>
          <w:p w14:paraId="728709AE" w14:textId="7A046808" w:rsidR="00665574" w:rsidRPr="0086232E" w:rsidRDefault="00665574" w:rsidP="00665574">
            <w:pPr>
              <w:ind w:hanging="80"/>
              <w:jc w:val="center"/>
              <w:rPr>
                <w:b/>
                <w:i/>
                <w:iCs/>
                <w:color w:val="000000"/>
              </w:rPr>
            </w:pPr>
            <w:r>
              <w:rPr>
                <w:b/>
                <w:i/>
                <w:iCs/>
                <w:color w:val="000000"/>
              </w:rPr>
              <w:t>0</w:t>
            </w:r>
          </w:p>
        </w:tc>
        <w:tc>
          <w:tcPr>
            <w:tcW w:w="1214" w:type="dxa"/>
            <w:tcBorders>
              <w:top w:val="single" w:sz="4" w:space="0" w:color="auto"/>
              <w:left w:val="single" w:sz="4" w:space="0" w:color="auto"/>
              <w:bottom w:val="single" w:sz="4" w:space="0" w:color="auto"/>
              <w:right w:val="single" w:sz="4" w:space="0" w:color="auto"/>
            </w:tcBorders>
            <w:vAlign w:val="center"/>
          </w:tcPr>
          <w:p w14:paraId="5B346477" w14:textId="3059DAE2" w:rsidR="00665574" w:rsidRPr="0086232E" w:rsidRDefault="00665574" w:rsidP="00665574">
            <w:pPr>
              <w:ind w:hanging="80"/>
              <w:jc w:val="center"/>
              <w:rPr>
                <w:b/>
                <w:i/>
                <w:iCs/>
                <w:color w:val="000000"/>
              </w:rPr>
            </w:pPr>
            <w:r>
              <w:rPr>
                <w:b/>
                <w:i/>
                <w:iCs/>
                <w:color w:val="000000"/>
              </w:rPr>
              <w:t>0</w:t>
            </w:r>
          </w:p>
        </w:tc>
        <w:tc>
          <w:tcPr>
            <w:tcW w:w="1920" w:type="dxa"/>
            <w:tcBorders>
              <w:top w:val="single" w:sz="4" w:space="0" w:color="auto"/>
              <w:left w:val="single" w:sz="4" w:space="0" w:color="auto"/>
              <w:bottom w:val="single" w:sz="4" w:space="0" w:color="auto"/>
              <w:right w:val="single" w:sz="4" w:space="0" w:color="auto"/>
            </w:tcBorders>
            <w:vAlign w:val="center"/>
          </w:tcPr>
          <w:p w14:paraId="03FF1C19" w14:textId="5C44BA8F" w:rsidR="00665574" w:rsidRPr="0086232E" w:rsidRDefault="00665574" w:rsidP="00665574">
            <w:pPr>
              <w:ind w:left="-70" w:right="-114"/>
              <w:jc w:val="center"/>
              <w:rPr>
                <w:b/>
                <w:i/>
                <w:iCs/>
                <w:color w:val="000000"/>
              </w:rPr>
            </w:pPr>
            <w:r>
              <w:rPr>
                <w:b/>
                <w:i/>
                <w:iCs/>
                <w:color w:val="000000"/>
              </w:rPr>
              <w:t>0</w:t>
            </w:r>
          </w:p>
        </w:tc>
      </w:tr>
      <w:tr w:rsidR="00665574" w:rsidRPr="0086232E" w14:paraId="13B92FA7" w14:textId="77777777" w:rsidTr="00402D13">
        <w:trPr>
          <w:trHeight w:val="144"/>
          <w:jc w:val="center"/>
        </w:trPr>
        <w:tc>
          <w:tcPr>
            <w:tcW w:w="1980" w:type="dxa"/>
            <w:tcBorders>
              <w:top w:val="single" w:sz="4" w:space="0" w:color="auto"/>
              <w:left w:val="single" w:sz="4" w:space="0" w:color="auto"/>
              <w:bottom w:val="single" w:sz="4" w:space="0" w:color="auto"/>
              <w:right w:val="single" w:sz="4" w:space="0" w:color="auto"/>
            </w:tcBorders>
          </w:tcPr>
          <w:p w14:paraId="3C33422E" w14:textId="356DF721" w:rsidR="00665574" w:rsidRPr="00800E35" w:rsidRDefault="00665574" w:rsidP="00665574">
            <w:pPr>
              <w:rPr>
                <w:u w:val="single"/>
              </w:rPr>
            </w:pPr>
            <w:r w:rsidRPr="00800E35">
              <w:rPr>
                <w:u w:val="single"/>
              </w:rPr>
              <w:t>2.1. valsts pamatbudžets, t.sk.</w:t>
            </w:r>
          </w:p>
          <w:p w14:paraId="01B7A132" w14:textId="77777777" w:rsidR="00665574" w:rsidRDefault="00665574" w:rsidP="00665574">
            <w:r w:rsidRPr="00453716">
              <w:rPr>
                <w:u w:val="single"/>
              </w:rPr>
              <w:t>Sabiedrības integrācijas fonda</w:t>
            </w:r>
            <w:r w:rsidRPr="00453716">
              <w:t xml:space="preserve"> budžeta apakšprogrammā 70.22.00. Eiropas Atbalsta fonda vistrūcīgākajām personām (2014-2020) pasākumu īstenošana</w:t>
            </w:r>
          </w:p>
          <w:p w14:paraId="70223D3C" w14:textId="77777777" w:rsidR="00665574" w:rsidRPr="00665574" w:rsidRDefault="00665574" w:rsidP="00665574">
            <w:pPr>
              <w:rPr>
                <w:i/>
              </w:rPr>
            </w:pPr>
            <w:r w:rsidRPr="00665574">
              <w:rPr>
                <w:i/>
              </w:rPr>
              <w:t>t.sk.</w:t>
            </w:r>
          </w:p>
          <w:p w14:paraId="40950B68" w14:textId="655EA1BC" w:rsidR="00665574" w:rsidRPr="00453716" w:rsidRDefault="00665574" w:rsidP="00665574">
            <w:pPr>
              <w:rPr>
                <w:b/>
                <w:u w:val="single"/>
              </w:rPr>
            </w:pPr>
            <w:r w:rsidRPr="00665574">
              <w:rPr>
                <w:i/>
              </w:rPr>
              <w:lastRenderedPageBreak/>
              <w:t>Eiropas Atbalsta fonda vistrūcīgākajām personām pārtikas un pamata materiālās palīdzības nodrošināšanai</w:t>
            </w:r>
          </w:p>
        </w:tc>
        <w:tc>
          <w:tcPr>
            <w:tcW w:w="2532" w:type="dxa"/>
            <w:tcBorders>
              <w:top w:val="single" w:sz="4" w:space="0" w:color="auto"/>
              <w:left w:val="single" w:sz="4" w:space="0" w:color="auto"/>
              <w:bottom w:val="single" w:sz="4" w:space="0" w:color="auto"/>
              <w:right w:val="single" w:sz="4" w:space="0" w:color="auto"/>
            </w:tcBorders>
          </w:tcPr>
          <w:p w14:paraId="2FE54859" w14:textId="79B2E7C1" w:rsidR="00665574" w:rsidRPr="0086232E" w:rsidRDefault="00015C39" w:rsidP="00665574">
            <w:pPr>
              <w:ind w:hanging="80"/>
              <w:jc w:val="center"/>
              <w:rPr>
                <w:b/>
                <w:i/>
                <w:color w:val="FF0000"/>
              </w:rPr>
            </w:pPr>
            <w:r>
              <w:rPr>
                <w:b/>
                <w:i/>
                <w:iCs/>
                <w:color w:val="000000"/>
              </w:rPr>
              <w:lastRenderedPageBreak/>
              <w:t>0</w:t>
            </w:r>
          </w:p>
          <w:p w14:paraId="0A155122" w14:textId="77777777" w:rsidR="00665574" w:rsidRDefault="00665574" w:rsidP="00665574">
            <w:pPr>
              <w:ind w:hanging="80"/>
              <w:jc w:val="center"/>
              <w:rPr>
                <w:b/>
                <w:i/>
                <w:iCs/>
                <w:color w:val="000000"/>
              </w:rPr>
            </w:pPr>
          </w:p>
          <w:p w14:paraId="6ED62DCF" w14:textId="77777777" w:rsidR="00665574" w:rsidRDefault="00665574" w:rsidP="00665574">
            <w:pPr>
              <w:ind w:hanging="80"/>
              <w:jc w:val="center"/>
              <w:rPr>
                <w:b/>
                <w:i/>
                <w:iCs/>
                <w:color w:val="000000"/>
              </w:rPr>
            </w:pPr>
          </w:p>
          <w:p w14:paraId="29A861B3" w14:textId="77777777" w:rsidR="00665574" w:rsidRDefault="00665574" w:rsidP="00665574">
            <w:pPr>
              <w:ind w:hanging="80"/>
              <w:jc w:val="center"/>
              <w:rPr>
                <w:b/>
                <w:i/>
                <w:iCs/>
                <w:color w:val="000000"/>
              </w:rPr>
            </w:pPr>
          </w:p>
          <w:p w14:paraId="3BB8E17A" w14:textId="77777777" w:rsidR="00665574" w:rsidRDefault="00665574" w:rsidP="00665574">
            <w:pPr>
              <w:ind w:hanging="80"/>
              <w:jc w:val="center"/>
              <w:rPr>
                <w:b/>
                <w:i/>
                <w:iCs/>
                <w:color w:val="000000"/>
              </w:rPr>
            </w:pPr>
          </w:p>
          <w:p w14:paraId="3EAEC9CE" w14:textId="2D750F24" w:rsidR="00665574" w:rsidRPr="0086232E" w:rsidRDefault="00015C39" w:rsidP="00665574">
            <w:pPr>
              <w:ind w:hanging="80"/>
              <w:jc w:val="center"/>
              <w:rPr>
                <w:b/>
                <w:i/>
                <w:color w:val="FF0000"/>
              </w:rPr>
            </w:pPr>
            <w:r>
              <w:rPr>
                <w:b/>
                <w:i/>
                <w:iCs/>
                <w:color w:val="000000"/>
              </w:rPr>
              <w:t>0</w:t>
            </w:r>
          </w:p>
          <w:p w14:paraId="5280BE6C" w14:textId="77777777" w:rsidR="00665574" w:rsidRPr="0086232E" w:rsidRDefault="00665574" w:rsidP="00665574">
            <w:pPr>
              <w:jc w:val="center"/>
              <w:rPr>
                <w:b/>
                <w:i/>
                <w:color w:val="FF0000"/>
              </w:rPr>
            </w:pPr>
          </w:p>
          <w:p w14:paraId="3016263A" w14:textId="77777777" w:rsidR="00665574" w:rsidRDefault="00665574" w:rsidP="00665574">
            <w:pPr>
              <w:ind w:hanging="80"/>
              <w:jc w:val="center"/>
              <w:rPr>
                <w:b/>
                <w:color w:val="FF0000"/>
              </w:rPr>
            </w:pPr>
          </w:p>
          <w:p w14:paraId="5CC5559C" w14:textId="77777777" w:rsidR="00665574" w:rsidRDefault="00665574" w:rsidP="00665574">
            <w:pPr>
              <w:ind w:hanging="80"/>
              <w:jc w:val="center"/>
              <w:rPr>
                <w:b/>
                <w:color w:val="FF0000"/>
              </w:rPr>
            </w:pPr>
          </w:p>
          <w:p w14:paraId="19723A02" w14:textId="77777777" w:rsidR="00665574" w:rsidRDefault="00665574" w:rsidP="00665574">
            <w:pPr>
              <w:ind w:hanging="80"/>
              <w:jc w:val="center"/>
              <w:rPr>
                <w:b/>
                <w:color w:val="FF0000"/>
              </w:rPr>
            </w:pPr>
          </w:p>
          <w:p w14:paraId="4E282DA0" w14:textId="77777777" w:rsidR="00665574" w:rsidRDefault="00665574" w:rsidP="00665574">
            <w:pPr>
              <w:ind w:hanging="80"/>
              <w:jc w:val="center"/>
              <w:rPr>
                <w:b/>
                <w:color w:val="FF0000"/>
              </w:rPr>
            </w:pPr>
          </w:p>
          <w:p w14:paraId="766B373A" w14:textId="77777777" w:rsidR="00665574" w:rsidRDefault="00665574" w:rsidP="00665574">
            <w:pPr>
              <w:ind w:hanging="80"/>
              <w:jc w:val="center"/>
              <w:rPr>
                <w:b/>
                <w:color w:val="FF0000"/>
              </w:rPr>
            </w:pPr>
          </w:p>
          <w:p w14:paraId="0A329FB0" w14:textId="77777777" w:rsidR="00665574" w:rsidRDefault="00665574" w:rsidP="00665574">
            <w:pPr>
              <w:ind w:hanging="80"/>
              <w:jc w:val="center"/>
              <w:rPr>
                <w:b/>
                <w:color w:val="FF0000"/>
              </w:rPr>
            </w:pPr>
          </w:p>
          <w:p w14:paraId="5324E0E7" w14:textId="77777777" w:rsidR="00665574" w:rsidRDefault="00665574" w:rsidP="00665574">
            <w:pPr>
              <w:ind w:hanging="80"/>
              <w:jc w:val="center"/>
              <w:rPr>
                <w:b/>
                <w:color w:val="FF0000"/>
              </w:rPr>
            </w:pPr>
          </w:p>
          <w:p w14:paraId="48D4E013" w14:textId="77777777" w:rsidR="00665574" w:rsidRDefault="00665574" w:rsidP="00665574">
            <w:pPr>
              <w:ind w:hanging="80"/>
              <w:jc w:val="center"/>
              <w:rPr>
                <w:b/>
                <w:color w:val="FF0000"/>
              </w:rPr>
            </w:pPr>
          </w:p>
          <w:p w14:paraId="21E7765B" w14:textId="7009A3B1" w:rsidR="00665574" w:rsidRPr="0086232E" w:rsidRDefault="00015C39" w:rsidP="00665574">
            <w:pPr>
              <w:ind w:hanging="80"/>
              <w:jc w:val="center"/>
              <w:rPr>
                <w:b/>
                <w:color w:val="FF0000"/>
              </w:rPr>
            </w:pPr>
            <w:r>
              <w:rPr>
                <w:b/>
              </w:rPr>
              <w:t>0</w:t>
            </w:r>
          </w:p>
        </w:tc>
        <w:tc>
          <w:tcPr>
            <w:tcW w:w="1178" w:type="dxa"/>
            <w:tcBorders>
              <w:top w:val="single" w:sz="4" w:space="0" w:color="auto"/>
              <w:left w:val="single" w:sz="4" w:space="0" w:color="auto"/>
              <w:bottom w:val="single" w:sz="4" w:space="0" w:color="auto"/>
              <w:right w:val="single" w:sz="4" w:space="0" w:color="auto"/>
            </w:tcBorders>
          </w:tcPr>
          <w:p w14:paraId="47B434AF" w14:textId="77777777" w:rsidR="00665574" w:rsidRPr="0086232E" w:rsidRDefault="00665574" w:rsidP="00665574">
            <w:pPr>
              <w:jc w:val="center"/>
              <w:rPr>
                <w:b/>
                <w:color w:val="FF0000"/>
              </w:rPr>
            </w:pPr>
          </w:p>
        </w:tc>
        <w:tc>
          <w:tcPr>
            <w:tcW w:w="1236" w:type="dxa"/>
            <w:tcBorders>
              <w:top w:val="single" w:sz="4" w:space="0" w:color="auto"/>
              <w:left w:val="single" w:sz="4" w:space="0" w:color="auto"/>
              <w:bottom w:val="single" w:sz="4" w:space="0" w:color="auto"/>
              <w:right w:val="single" w:sz="4" w:space="0" w:color="auto"/>
            </w:tcBorders>
          </w:tcPr>
          <w:p w14:paraId="3C82180F" w14:textId="77777777" w:rsidR="00665574" w:rsidRPr="0086232E" w:rsidRDefault="00665574" w:rsidP="00665574">
            <w:pPr>
              <w:ind w:hanging="80"/>
              <w:jc w:val="center"/>
              <w:rPr>
                <w:b/>
                <w:i/>
                <w:iCs/>
                <w:color w:val="000000"/>
              </w:rPr>
            </w:pPr>
            <w:r>
              <w:rPr>
                <w:b/>
                <w:i/>
                <w:iCs/>
                <w:color w:val="000000"/>
              </w:rPr>
              <w:t>0</w:t>
            </w:r>
          </w:p>
          <w:p w14:paraId="65E1C8E5" w14:textId="77777777" w:rsidR="00665574" w:rsidRDefault="00665574" w:rsidP="00665574">
            <w:pPr>
              <w:ind w:hanging="80"/>
              <w:jc w:val="center"/>
              <w:rPr>
                <w:b/>
                <w:i/>
                <w:iCs/>
                <w:color w:val="000000"/>
              </w:rPr>
            </w:pPr>
          </w:p>
          <w:p w14:paraId="21E4E40B" w14:textId="77777777" w:rsidR="00665574" w:rsidRDefault="00665574" w:rsidP="00665574">
            <w:pPr>
              <w:ind w:hanging="80"/>
              <w:jc w:val="center"/>
              <w:rPr>
                <w:b/>
                <w:i/>
                <w:iCs/>
                <w:color w:val="000000"/>
              </w:rPr>
            </w:pPr>
          </w:p>
          <w:p w14:paraId="650D2E38" w14:textId="77777777" w:rsidR="00665574" w:rsidRDefault="00665574" w:rsidP="00665574">
            <w:pPr>
              <w:ind w:hanging="80"/>
              <w:jc w:val="center"/>
              <w:rPr>
                <w:b/>
                <w:i/>
                <w:iCs/>
                <w:color w:val="000000"/>
              </w:rPr>
            </w:pPr>
          </w:p>
          <w:p w14:paraId="45B30B56" w14:textId="77777777" w:rsidR="00665574" w:rsidRPr="0086232E" w:rsidRDefault="00665574" w:rsidP="00665574">
            <w:pPr>
              <w:ind w:hanging="80"/>
              <w:jc w:val="center"/>
              <w:rPr>
                <w:b/>
                <w:i/>
                <w:iCs/>
                <w:color w:val="000000"/>
              </w:rPr>
            </w:pPr>
          </w:p>
          <w:p w14:paraId="00C6B8CA" w14:textId="77777777" w:rsidR="00665574" w:rsidRPr="0086232E" w:rsidRDefault="00665574" w:rsidP="00665574">
            <w:pPr>
              <w:ind w:hanging="80"/>
              <w:jc w:val="center"/>
              <w:rPr>
                <w:b/>
                <w:i/>
                <w:iCs/>
                <w:color w:val="000000"/>
              </w:rPr>
            </w:pPr>
            <w:r>
              <w:rPr>
                <w:b/>
                <w:i/>
                <w:iCs/>
                <w:color w:val="000000"/>
              </w:rPr>
              <w:t>0</w:t>
            </w:r>
          </w:p>
          <w:p w14:paraId="62ABC8FD" w14:textId="77777777" w:rsidR="00665574" w:rsidRDefault="00665574" w:rsidP="00665574">
            <w:pPr>
              <w:jc w:val="center"/>
              <w:rPr>
                <w:b/>
                <w:i/>
                <w:iCs/>
                <w:color w:val="000000"/>
              </w:rPr>
            </w:pPr>
          </w:p>
          <w:p w14:paraId="734A872C" w14:textId="77777777" w:rsidR="00665574" w:rsidRDefault="00665574" w:rsidP="00665574">
            <w:pPr>
              <w:jc w:val="center"/>
              <w:rPr>
                <w:b/>
                <w:i/>
                <w:iCs/>
                <w:color w:val="000000"/>
              </w:rPr>
            </w:pPr>
          </w:p>
          <w:p w14:paraId="0D30928E" w14:textId="77777777" w:rsidR="00665574" w:rsidRDefault="00665574" w:rsidP="00665574">
            <w:pPr>
              <w:jc w:val="center"/>
              <w:rPr>
                <w:b/>
                <w:i/>
                <w:iCs/>
                <w:color w:val="000000"/>
              </w:rPr>
            </w:pPr>
          </w:p>
          <w:p w14:paraId="1B7316E6" w14:textId="77777777" w:rsidR="00665574" w:rsidRDefault="00665574" w:rsidP="00665574">
            <w:pPr>
              <w:jc w:val="center"/>
              <w:rPr>
                <w:b/>
                <w:i/>
                <w:iCs/>
                <w:color w:val="000000"/>
              </w:rPr>
            </w:pPr>
          </w:p>
          <w:p w14:paraId="294229B5" w14:textId="77777777" w:rsidR="00665574" w:rsidRDefault="00665574" w:rsidP="00665574">
            <w:pPr>
              <w:jc w:val="center"/>
              <w:rPr>
                <w:b/>
                <w:i/>
                <w:iCs/>
                <w:color w:val="000000"/>
              </w:rPr>
            </w:pPr>
          </w:p>
          <w:p w14:paraId="6A46C869" w14:textId="77777777" w:rsidR="00665574" w:rsidRDefault="00665574" w:rsidP="00665574">
            <w:pPr>
              <w:jc w:val="center"/>
              <w:rPr>
                <w:b/>
                <w:i/>
                <w:iCs/>
                <w:color w:val="000000"/>
              </w:rPr>
            </w:pPr>
          </w:p>
          <w:p w14:paraId="3883652C" w14:textId="77777777" w:rsidR="00665574" w:rsidRDefault="00665574" w:rsidP="00665574">
            <w:pPr>
              <w:jc w:val="center"/>
              <w:rPr>
                <w:b/>
                <w:i/>
                <w:iCs/>
                <w:color w:val="000000"/>
              </w:rPr>
            </w:pPr>
          </w:p>
          <w:p w14:paraId="23CD1A95" w14:textId="77777777" w:rsidR="00665574" w:rsidRDefault="00665574" w:rsidP="00665574">
            <w:pPr>
              <w:jc w:val="center"/>
              <w:rPr>
                <w:b/>
                <w:i/>
                <w:iCs/>
                <w:color w:val="000000"/>
              </w:rPr>
            </w:pPr>
          </w:p>
          <w:p w14:paraId="0E81988E" w14:textId="77777777" w:rsidR="00665574" w:rsidRDefault="00665574" w:rsidP="00665574">
            <w:pPr>
              <w:jc w:val="center"/>
              <w:rPr>
                <w:b/>
                <w:i/>
                <w:iCs/>
                <w:color w:val="000000"/>
              </w:rPr>
            </w:pPr>
          </w:p>
          <w:p w14:paraId="1CC62B92" w14:textId="77777777" w:rsidR="00665574" w:rsidRDefault="00665574" w:rsidP="00665574">
            <w:pPr>
              <w:jc w:val="center"/>
              <w:rPr>
                <w:b/>
                <w:i/>
                <w:iCs/>
                <w:color w:val="000000"/>
              </w:rPr>
            </w:pPr>
            <w:r>
              <w:rPr>
                <w:b/>
                <w:i/>
                <w:iCs/>
                <w:color w:val="000000"/>
              </w:rPr>
              <w:t>0</w:t>
            </w:r>
          </w:p>
          <w:p w14:paraId="79824B6A" w14:textId="77777777" w:rsidR="00665574" w:rsidRPr="0086232E" w:rsidRDefault="00665574" w:rsidP="00665574">
            <w:pPr>
              <w:jc w:val="center"/>
              <w:rPr>
                <w:b/>
                <w:i/>
                <w:iCs/>
                <w:color w:val="000000"/>
              </w:rPr>
            </w:pPr>
          </w:p>
          <w:p w14:paraId="6E622C8B" w14:textId="77777777" w:rsidR="00665574" w:rsidRPr="0086232E" w:rsidRDefault="00665574" w:rsidP="00665574">
            <w:pPr>
              <w:jc w:val="center"/>
              <w:rPr>
                <w:b/>
                <w:i/>
                <w:iCs/>
                <w:color w:val="000000"/>
              </w:rPr>
            </w:pPr>
          </w:p>
        </w:tc>
        <w:tc>
          <w:tcPr>
            <w:tcW w:w="1214" w:type="dxa"/>
            <w:tcBorders>
              <w:top w:val="single" w:sz="4" w:space="0" w:color="auto"/>
              <w:left w:val="single" w:sz="4" w:space="0" w:color="auto"/>
              <w:bottom w:val="single" w:sz="4" w:space="0" w:color="auto"/>
              <w:right w:val="single" w:sz="4" w:space="0" w:color="auto"/>
            </w:tcBorders>
          </w:tcPr>
          <w:p w14:paraId="1694175F" w14:textId="77777777" w:rsidR="00665574" w:rsidRPr="0086232E" w:rsidRDefault="00665574" w:rsidP="00665574">
            <w:pPr>
              <w:ind w:hanging="80"/>
              <w:jc w:val="center"/>
              <w:rPr>
                <w:b/>
                <w:i/>
                <w:iCs/>
                <w:color w:val="000000"/>
              </w:rPr>
            </w:pPr>
            <w:r>
              <w:rPr>
                <w:b/>
                <w:i/>
                <w:iCs/>
                <w:color w:val="000000"/>
              </w:rPr>
              <w:lastRenderedPageBreak/>
              <w:t>0</w:t>
            </w:r>
          </w:p>
          <w:p w14:paraId="4A5166B6" w14:textId="77777777" w:rsidR="00665574" w:rsidRDefault="00665574" w:rsidP="00665574">
            <w:pPr>
              <w:ind w:hanging="80"/>
              <w:jc w:val="center"/>
              <w:rPr>
                <w:b/>
                <w:i/>
                <w:iCs/>
                <w:color w:val="000000"/>
              </w:rPr>
            </w:pPr>
          </w:p>
          <w:p w14:paraId="2FDE2DBC" w14:textId="77777777" w:rsidR="00665574" w:rsidRDefault="00665574" w:rsidP="00665574">
            <w:pPr>
              <w:ind w:hanging="80"/>
              <w:jc w:val="center"/>
              <w:rPr>
                <w:b/>
                <w:i/>
                <w:iCs/>
                <w:color w:val="000000"/>
              </w:rPr>
            </w:pPr>
          </w:p>
          <w:p w14:paraId="798D420F" w14:textId="77777777" w:rsidR="00665574" w:rsidRDefault="00665574" w:rsidP="00665574">
            <w:pPr>
              <w:ind w:hanging="80"/>
              <w:jc w:val="center"/>
              <w:rPr>
                <w:b/>
                <w:i/>
                <w:iCs/>
                <w:color w:val="000000"/>
              </w:rPr>
            </w:pPr>
          </w:p>
          <w:p w14:paraId="3B2C4591" w14:textId="77777777" w:rsidR="00665574" w:rsidRDefault="00665574" w:rsidP="00665574">
            <w:pPr>
              <w:ind w:hanging="80"/>
              <w:jc w:val="center"/>
              <w:rPr>
                <w:b/>
                <w:i/>
                <w:iCs/>
                <w:color w:val="000000"/>
              </w:rPr>
            </w:pPr>
          </w:p>
          <w:p w14:paraId="2C7598EE" w14:textId="77777777" w:rsidR="00665574" w:rsidRPr="0086232E" w:rsidRDefault="00665574" w:rsidP="00665574">
            <w:pPr>
              <w:ind w:hanging="80"/>
              <w:jc w:val="center"/>
              <w:rPr>
                <w:b/>
                <w:i/>
                <w:iCs/>
                <w:color w:val="000000"/>
              </w:rPr>
            </w:pPr>
            <w:r>
              <w:rPr>
                <w:b/>
                <w:i/>
                <w:iCs/>
                <w:color w:val="000000"/>
              </w:rPr>
              <w:t>0</w:t>
            </w:r>
          </w:p>
          <w:p w14:paraId="3678A05A" w14:textId="77777777" w:rsidR="00665574" w:rsidRPr="0086232E" w:rsidRDefault="00665574" w:rsidP="00665574">
            <w:pPr>
              <w:ind w:hanging="80"/>
              <w:jc w:val="center"/>
              <w:rPr>
                <w:b/>
                <w:i/>
                <w:iCs/>
                <w:color w:val="000000"/>
              </w:rPr>
            </w:pPr>
          </w:p>
          <w:p w14:paraId="4CAC77E2" w14:textId="77777777" w:rsidR="00665574" w:rsidRDefault="00665574" w:rsidP="00665574">
            <w:pPr>
              <w:jc w:val="center"/>
              <w:rPr>
                <w:b/>
                <w:i/>
                <w:iCs/>
                <w:color w:val="000000"/>
              </w:rPr>
            </w:pPr>
          </w:p>
          <w:p w14:paraId="0F7FF51E" w14:textId="77777777" w:rsidR="00665574" w:rsidRDefault="00665574" w:rsidP="00665574">
            <w:pPr>
              <w:jc w:val="center"/>
              <w:rPr>
                <w:b/>
                <w:i/>
                <w:iCs/>
                <w:color w:val="000000"/>
              </w:rPr>
            </w:pPr>
          </w:p>
          <w:p w14:paraId="3AEB3579" w14:textId="77777777" w:rsidR="00665574" w:rsidRDefault="00665574" w:rsidP="00665574">
            <w:pPr>
              <w:jc w:val="center"/>
              <w:rPr>
                <w:b/>
                <w:i/>
                <w:iCs/>
                <w:color w:val="000000"/>
              </w:rPr>
            </w:pPr>
          </w:p>
          <w:p w14:paraId="6C6F37EC" w14:textId="77777777" w:rsidR="00665574" w:rsidRDefault="00665574" w:rsidP="00665574">
            <w:pPr>
              <w:jc w:val="center"/>
              <w:rPr>
                <w:b/>
                <w:i/>
                <w:iCs/>
                <w:color w:val="000000"/>
              </w:rPr>
            </w:pPr>
          </w:p>
          <w:p w14:paraId="01C15831" w14:textId="77777777" w:rsidR="00665574" w:rsidRDefault="00665574" w:rsidP="00665574">
            <w:pPr>
              <w:jc w:val="center"/>
              <w:rPr>
                <w:b/>
                <w:i/>
                <w:iCs/>
                <w:color w:val="000000"/>
              </w:rPr>
            </w:pPr>
          </w:p>
          <w:p w14:paraId="7161023A" w14:textId="77777777" w:rsidR="00665574" w:rsidRDefault="00665574" w:rsidP="00665574">
            <w:pPr>
              <w:jc w:val="center"/>
              <w:rPr>
                <w:b/>
                <w:i/>
                <w:iCs/>
                <w:color w:val="000000"/>
              </w:rPr>
            </w:pPr>
          </w:p>
          <w:p w14:paraId="319F4E47" w14:textId="77777777" w:rsidR="00665574" w:rsidRDefault="00665574" w:rsidP="00665574">
            <w:pPr>
              <w:jc w:val="center"/>
              <w:rPr>
                <w:b/>
                <w:i/>
                <w:iCs/>
                <w:color w:val="000000"/>
              </w:rPr>
            </w:pPr>
          </w:p>
          <w:p w14:paraId="478AD73A" w14:textId="77777777" w:rsidR="00665574" w:rsidRDefault="00665574" w:rsidP="00665574">
            <w:pPr>
              <w:jc w:val="center"/>
              <w:rPr>
                <w:b/>
                <w:i/>
                <w:iCs/>
                <w:color w:val="000000"/>
              </w:rPr>
            </w:pPr>
          </w:p>
          <w:p w14:paraId="346FB951" w14:textId="77777777" w:rsidR="00665574" w:rsidRDefault="00665574" w:rsidP="00665574">
            <w:pPr>
              <w:jc w:val="center"/>
              <w:rPr>
                <w:b/>
                <w:i/>
                <w:iCs/>
                <w:color w:val="000000"/>
              </w:rPr>
            </w:pPr>
            <w:r>
              <w:rPr>
                <w:b/>
                <w:i/>
                <w:iCs/>
                <w:color w:val="000000"/>
              </w:rPr>
              <w:t>0</w:t>
            </w:r>
          </w:p>
          <w:p w14:paraId="0FF756AE" w14:textId="77777777" w:rsidR="00665574" w:rsidRPr="0086232E" w:rsidRDefault="00665574" w:rsidP="00665574">
            <w:pPr>
              <w:jc w:val="center"/>
              <w:rPr>
                <w:b/>
                <w:i/>
                <w:iCs/>
                <w:color w:val="000000"/>
              </w:rPr>
            </w:pPr>
          </w:p>
        </w:tc>
        <w:tc>
          <w:tcPr>
            <w:tcW w:w="1920" w:type="dxa"/>
            <w:tcBorders>
              <w:top w:val="single" w:sz="4" w:space="0" w:color="auto"/>
              <w:left w:val="single" w:sz="4" w:space="0" w:color="auto"/>
              <w:bottom w:val="single" w:sz="4" w:space="0" w:color="auto"/>
              <w:right w:val="single" w:sz="4" w:space="0" w:color="auto"/>
            </w:tcBorders>
          </w:tcPr>
          <w:p w14:paraId="3D252BD2" w14:textId="77777777" w:rsidR="00665574" w:rsidRDefault="00665574" w:rsidP="00665574">
            <w:pPr>
              <w:ind w:right="-114"/>
              <w:jc w:val="center"/>
              <w:rPr>
                <w:b/>
                <w:i/>
                <w:iCs/>
                <w:color w:val="000000"/>
              </w:rPr>
            </w:pPr>
            <w:r>
              <w:rPr>
                <w:b/>
                <w:i/>
                <w:iCs/>
                <w:color w:val="000000"/>
              </w:rPr>
              <w:lastRenderedPageBreak/>
              <w:t>0</w:t>
            </w:r>
          </w:p>
          <w:p w14:paraId="560EF77F" w14:textId="77777777" w:rsidR="00665574" w:rsidRDefault="00665574" w:rsidP="00665574">
            <w:pPr>
              <w:ind w:right="-114"/>
              <w:jc w:val="center"/>
              <w:rPr>
                <w:b/>
                <w:i/>
                <w:iCs/>
                <w:color w:val="000000"/>
              </w:rPr>
            </w:pPr>
          </w:p>
          <w:p w14:paraId="1739A5AC" w14:textId="77777777" w:rsidR="00665574" w:rsidRDefault="00665574" w:rsidP="00665574">
            <w:pPr>
              <w:ind w:left="-70" w:right="-114"/>
              <w:jc w:val="center"/>
              <w:rPr>
                <w:b/>
                <w:i/>
                <w:iCs/>
                <w:color w:val="000000"/>
              </w:rPr>
            </w:pPr>
          </w:p>
          <w:p w14:paraId="1995657E" w14:textId="77777777" w:rsidR="00665574" w:rsidRDefault="00665574" w:rsidP="00665574">
            <w:pPr>
              <w:ind w:left="-70" w:right="-114"/>
              <w:jc w:val="center"/>
              <w:rPr>
                <w:b/>
                <w:i/>
                <w:iCs/>
                <w:color w:val="000000"/>
              </w:rPr>
            </w:pPr>
          </w:p>
          <w:p w14:paraId="13635A7C" w14:textId="77777777" w:rsidR="00665574" w:rsidRDefault="00665574" w:rsidP="00665574">
            <w:pPr>
              <w:ind w:left="-70" w:right="-114"/>
              <w:jc w:val="center"/>
              <w:rPr>
                <w:b/>
                <w:i/>
                <w:iCs/>
                <w:color w:val="000000"/>
              </w:rPr>
            </w:pPr>
          </w:p>
          <w:p w14:paraId="6592F400" w14:textId="77777777" w:rsidR="00665574" w:rsidRDefault="00665574" w:rsidP="00665574">
            <w:pPr>
              <w:ind w:left="-70" w:right="-114"/>
              <w:jc w:val="center"/>
              <w:rPr>
                <w:b/>
                <w:i/>
                <w:iCs/>
                <w:color w:val="000000"/>
              </w:rPr>
            </w:pPr>
            <w:r>
              <w:rPr>
                <w:b/>
                <w:i/>
                <w:iCs/>
                <w:color w:val="000000"/>
              </w:rPr>
              <w:t>0</w:t>
            </w:r>
          </w:p>
          <w:p w14:paraId="51A7A39A" w14:textId="77777777" w:rsidR="00665574" w:rsidRDefault="00665574" w:rsidP="00665574">
            <w:pPr>
              <w:ind w:hanging="80"/>
              <w:jc w:val="center"/>
              <w:rPr>
                <w:b/>
                <w:i/>
                <w:iCs/>
                <w:color w:val="000000"/>
              </w:rPr>
            </w:pPr>
          </w:p>
          <w:p w14:paraId="273C3199" w14:textId="77777777" w:rsidR="00665574" w:rsidRDefault="00665574" w:rsidP="00665574">
            <w:pPr>
              <w:jc w:val="center"/>
            </w:pPr>
          </w:p>
          <w:p w14:paraId="4B478E94" w14:textId="77777777" w:rsidR="00665574" w:rsidRDefault="00665574" w:rsidP="00665574">
            <w:pPr>
              <w:jc w:val="center"/>
            </w:pPr>
          </w:p>
          <w:p w14:paraId="13358EFF" w14:textId="77777777" w:rsidR="00665574" w:rsidRDefault="00665574" w:rsidP="00665574">
            <w:pPr>
              <w:jc w:val="center"/>
            </w:pPr>
          </w:p>
          <w:p w14:paraId="08BB8E34" w14:textId="77777777" w:rsidR="00665574" w:rsidRDefault="00665574" w:rsidP="00665574">
            <w:pPr>
              <w:jc w:val="center"/>
            </w:pPr>
          </w:p>
          <w:p w14:paraId="1E4B11E5" w14:textId="77777777" w:rsidR="00665574" w:rsidRDefault="00665574" w:rsidP="00665574">
            <w:pPr>
              <w:jc w:val="center"/>
            </w:pPr>
          </w:p>
          <w:p w14:paraId="40FA5017" w14:textId="77777777" w:rsidR="00665574" w:rsidRDefault="00665574" w:rsidP="00665574">
            <w:pPr>
              <w:jc w:val="center"/>
            </w:pPr>
          </w:p>
          <w:p w14:paraId="5DDF4A49" w14:textId="77777777" w:rsidR="00665574" w:rsidRDefault="00665574" w:rsidP="00665574">
            <w:pPr>
              <w:jc w:val="center"/>
            </w:pPr>
          </w:p>
          <w:p w14:paraId="5A31BABE" w14:textId="77777777" w:rsidR="00665574" w:rsidRDefault="00665574" w:rsidP="00665574">
            <w:pPr>
              <w:jc w:val="center"/>
            </w:pPr>
          </w:p>
          <w:p w14:paraId="5F7B5F67" w14:textId="40D5FE43" w:rsidR="00665574" w:rsidRPr="006F1D11" w:rsidRDefault="00665574" w:rsidP="00665574">
            <w:pPr>
              <w:jc w:val="center"/>
            </w:pPr>
            <w:r w:rsidRPr="00960823">
              <w:rPr>
                <w:b/>
                <w:i/>
              </w:rPr>
              <w:t>0</w:t>
            </w:r>
          </w:p>
        </w:tc>
      </w:tr>
      <w:tr w:rsidR="00B63B03" w:rsidRPr="00A93F85" w14:paraId="55DBD999" w14:textId="77777777" w:rsidTr="00402D13">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4265C99F" w14:textId="77777777" w:rsidR="00A93F85" w:rsidRPr="00EF0617" w:rsidRDefault="00A93F85" w:rsidP="00453716">
            <w:r w:rsidRPr="00EF0617">
              <w:lastRenderedPageBreak/>
              <w:t>2.2. valsts speciālais budžets</w:t>
            </w:r>
          </w:p>
        </w:tc>
        <w:tc>
          <w:tcPr>
            <w:tcW w:w="2532" w:type="dxa"/>
            <w:tcBorders>
              <w:top w:val="single" w:sz="4" w:space="0" w:color="auto"/>
              <w:left w:val="single" w:sz="4" w:space="0" w:color="auto"/>
              <w:bottom w:val="single" w:sz="4" w:space="0" w:color="auto"/>
              <w:right w:val="single" w:sz="4" w:space="0" w:color="auto"/>
            </w:tcBorders>
            <w:vAlign w:val="center"/>
          </w:tcPr>
          <w:p w14:paraId="55F4BC31" w14:textId="77777777" w:rsidR="00A93F85" w:rsidRPr="00A93F85" w:rsidRDefault="00A93F85" w:rsidP="00C957EF">
            <w:pPr>
              <w:pStyle w:val="naisf"/>
              <w:spacing w:before="0" w:after="0" w:line="276" w:lineRule="auto"/>
              <w:ind w:firstLine="0"/>
              <w:jc w:val="center"/>
              <w:rPr>
                <w:color w:val="FF0000"/>
              </w:rPr>
            </w:pPr>
          </w:p>
        </w:tc>
        <w:tc>
          <w:tcPr>
            <w:tcW w:w="1178" w:type="dxa"/>
            <w:tcBorders>
              <w:top w:val="single" w:sz="4" w:space="0" w:color="auto"/>
              <w:left w:val="single" w:sz="4" w:space="0" w:color="auto"/>
              <w:bottom w:val="single" w:sz="4" w:space="0" w:color="auto"/>
              <w:right w:val="single" w:sz="4" w:space="0" w:color="auto"/>
            </w:tcBorders>
            <w:vAlign w:val="center"/>
          </w:tcPr>
          <w:p w14:paraId="28E47F11" w14:textId="77777777" w:rsidR="00A93F85" w:rsidRPr="00A93F85" w:rsidRDefault="00A93F85" w:rsidP="00C957EF">
            <w:pPr>
              <w:pStyle w:val="naisf"/>
              <w:spacing w:before="0" w:after="0" w:line="276" w:lineRule="auto"/>
              <w:ind w:firstLine="0"/>
              <w:jc w:val="center"/>
              <w:rPr>
                <w:color w:val="FF0000"/>
              </w:rPr>
            </w:pPr>
          </w:p>
        </w:tc>
        <w:tc>
          <w:tcPr>
            <w:tcW w:w="1236" w:type="dxa"/>
            <w:tcBorders>
              <w:top w:val="single" w:sz="4" w:space="0" w:color="auto"/>
              <w:left w:val="single" w:sz="4" w:space="0" w:color="auto"/>
              <w:bottom w:val="single" w:sz="4" w:space="0" w:color="auto"/>
              <w:right w:val="single" w:sz="4" w:space="0" w:color="auto"/>
            </w:tcBorders>
            <w:vAlign w:val="center"/>
          </w:tcPr>
          <w:p w14:paraId="60EB6BCB" w14:textId="77777777" w:rsidR="00A93F85" w:rsidRPr="00A93F85" w:rsidRDefault="00A93F85" w:rsidP="00C957EF">
            <w:pPr>
              <w:pStyle w:val="naisf"/>
              <w:spacing w:before="0" w:after="0" w:line="276" w:lineRule="auto"/>
              <w:ind w:firstLine="0"/>
              <w:jc w:val="center"/>
              <w:rPr>
                <w:color w:val="FF0000"/>
              </w:rPr>
            </w:pPr>
          </w:p>
        </w:tc>
        <w:tc>
          <w:tcPr>
            <w:tcW w:w="1214" w:type="dxa"/>
            <w:tcBorders>
              <w:top w:val="single" w:sz="4" w:space="0" w:color="auto"/>
              <w:left w:val="single" w:sz="4" w:space="0" w:color="auto"/>
              <w:bottom w:val="single" w:sz="4" w:space="0" w:color="auto"/>
              <w:right w:val="single" w:sz="4" w:space="0" w:color="auto"/>
            </w:tcBorders>
            <w:vAlign w:val="center"/>
          </w:tcPr>
          <w:p w14:paraId="42932290" w14:textId="77777777" w:rsidR="00A93F85" w:rsidRPr="00A93F85" w:rsidRDefault="00A93F85" w:rsidP="00C957EF">
            <w:pPr>
              <w:pStyle w:val="naisf"/>
              <w:spacing w:before="0" w:after="0" w:line="276" w:lineRule="auto"/>
              <w:ind w:firstLine="0"/>
              <w:jc w:val="center"/>
              <w:rPr>
                <w:color w:val="FF0000"/>
              </w:rPr>
            </w:pPr>
          </w:p>
        </w:tc>
        <w:tc>
          <w:tcPr>
            <w:tcW w:w="1920" w:type="dxa"/>
            <w:tcBorders>
              <w:top w:val="single" w:sz="4" w:space="0" w:color="auto"/>
              <w:left w:val="single" w:sz="4" w:space="0" w:color="auto"/>
              <w:bottom w:val="single" w:sz="4" w:space="0" w:color="auto"/>
              <w:right w:val="single" w:sz="4" w:space="0" w:color="auto"/>
            </w:tcBorders>
            <w:vAlign w:val="center"/>
          </w:tcPr>
          <w:p w14:paraId="21A1C3A8" w14:textId="77777777" w:rsidR="00A93F85" w:rsidRPr="00A93F85" w:rsidRDefault="00A93F85" w:rsidP="00C957EF">
            <w:pPr>
              <w:pStyle w:val="naisf"/>
              <w:spacing w:before="0" w:after="0" w:line="276" w:lineRule="auto"/>
              <w:ind w:firstLine="0"/>
              <w:jc w:val="center"/>
              <w:rPr>
                <w:color w:val="FF0000"/>
              </w:rPr>
            </w:pPr>
          </w:p>
        </w:tc>
      </w:tr>
      <w:tr w:rsidR="00B63B03" w:rsidRPr="00A93F85" w14:paraId="2E73B115" w14:textId="77777777" w:rsidTr="00402D13">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6E37AD0D" w14:textId="77777777" w:rsidR="00A93F85" w:rsidRPr="00EF0617" w:rsidRDefault="00A93F85" w:rsidP="00453716">
            <w:r w:rsidRPr="00EF0617">
              <w:t xml:space="preserve">2.3. pašvaldību budžets </w:t>
            </w:r>
          </w:p>
        </w:tc>
        <w:tc>
          <w:tcPr>
            <w:tcW w:w="2532" w:type="dxa"/>
            <w:tcBorders>
              <w:top w:val="single" w:sz="4" w:space="0" w:color="auto"/>
              <w:left w:val="single" w:sz="4" w:space="0" w:color="auto"/>
              <w:bottom w:val="single" w:sz="4" w:space="0" w:color="auto"/>
              <w:right w:val="single" w:sz="4" w:space="0" w:color="auto"/>
            </w:tcBorders>
            <w:vAlign w:val="center"/>
          </w:tcPr>
          <w:p w14:paraId="68F6D032" w14:textId="77777777" w:rsidR="00A93F85" w:rsidRPr="00A93F85" w:rsidRDefault="00A93F85" w:rsidP="00C957EF">
            <w:pPr>
              <w:spacing w:line="276" w:lineRule="auto"/>
              <w:jc w:val="center"/>
              <w:rPr>
                <w:color w:val="FF0000"/>
              </w:rPr>
            </w:pPr>
          </w:p>
        </w:tc>
        <w:tc>
          <w:tcPr>
            <w:tcW w:w="1178" w:type="dxa"/>
            <w:tcBorders>
              <w:top w:val="single" w:sz="4" w:space="0" w:color="auto"/>
              <w:left w:val="single" w:sz="4" w:space="0" w:color="auto"/>
              <w:bottom w:val="single" w:sz="4" w:space="0" w:color="auto"/>
              <w:right w:val="single" w:sz="4" w:space="0" w:color="auto"/>
            </w:tcBorders>
            <w:vAlign w:val="center"/>
          </w:tcPr>
          <w:p w14:paraId="5F9DED65" w14:textId="77777777" w:rsidR="00A93F85" w:rsidRPr="00A93F85" w:rsidRDefault="00A93F85" w:rsidP="00C957EF">
            <w:pPr>
              <w:spacing w:line="276" w:lineRule="auto"/>
              <w:jc w:val="center"/>
              <w:rPr>
                <w:color w:val="FF0000"/>
              </w:rPr>
            </w:pPr>
          </w:p>
        </w:tc>
        <w:tc>
          <w:tcPr>
            <w:tcW w:w="1236" w:type="dxa"/>
            <w:tcBorders>
              <w:top w:val="single" w:sz="4" w:space="0" w:color="auto"/>
              <w:left w:val="single" w:sz="4" w:space="0" w:color="auto"/>
              <w:bottom w:val="single" w:sz="4" w:space="0" w:color="auto"/>
              <w:right w:val="single" w:sz="4" w:space="0" w:color="auto"/>
            </w:tcBorders>
            <w:vAlign w:val="center"/>
          </w:tcPr>
          <w:p w14:paraId="48A936B9" w14:textId="77777777" w:rsidR="00A93F85" w:rsidRPr="00A93F85" w:rsidRDefault="00A93F85" w:rsidP="00C957EF">
            <w:pPr>
              <w:spacing w:line="276" w:lineRule="auto"/>
              <w:jc w:val="center"/>
              <w:rPr>
                <w:color w:val="FF0000"/>
              </w:rPr>
            </w:pPr>
          </w:p>
        </w:tc>
        <w:tc>
          <w:tcPr>
            <w:tcW w:w="1214" w:type="dxa"/>
            <w:tcBorders>
              <w:top w:val="single" w:sz="4" w:space="0" w:color="auto"/>
              <w:left w:val="single" w:sz="4" w:space="0" w:color="auto"/>
              <w:bottom w:val="single" w:sz="4" w:space="0" w:color="auto"/>
              <w:right w:val="single" w:sz="4" w:space="0" w:color="auto"/>
            </w:tcBorders>
            <w:vAlign w:val="center"/>
          </w:tcPr>
          <w:p w14:paraId="1EA53ACA" w14:textId="77777777" w:rsidR="00A93F85" w:rsidRPr="00A93F85" w:rsidRDefault="00A93F85" w:rsidP="00C957EF">
            <w:pPr>
              <w:spacing w:line="276" w:lineRule="auto"/>
              <w:jc w:val="center"/>
              <w:rPr>
                <w:color w:val="FF0000"/>
              </w:rPr>
            </w:pPr>
          </w:p>
        </w:tc>
        <w:tc>
          <w:tcPr>
            <w:tcW w:w="1920" w:type="dxa"/>
            <w:tcBorders>
              <w:top w:val="single" w:sz="4" w:space="0" w:color="auto"/>
              <w:left w:val="single" w:sz="4" w:space="0" w:color="auto"/>
              <w:bottom w:val="single" w:sz="4" w:space="0" w:color="auto"/>
              <w:right w:val="single" w:sz="4" w:space="0" w:color="auto"/>
            </w:tcBorders>
            <w:vAlign w:val="center"/>
          </w:tcPr>
          <w:p w14:paraId="43CD1A38" w14:textId="77777777" w:rsidR="00A93F85" w:rsidRPr="00A93F85" w:rsidRDefault="00A93F85" w:rsidP="00C957EF">
            <w:pPr>
              <w:spacing w:line="276" w:lineRule="auto"/>
              <w:jc w:val="center"/>
              <w:rPr>
                <w:color w:val="FF0000"/>
              </w:rPr>
            </w:pPr>
          </w:p>
        </w:tc>
      </w:tr>
      <w:tr w:rsidR="00B63B03" w:rsidRPr="00A93F85" w14:paraId="000DFD16" w14:textId="77777777" w:rsidTr="00402D13">
        <w:trPr>
          <w:trHeight w:val="367"/>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275D4B32" w14:textId="77777777" w:rsidR="00A93F85" w:rsidRPr="0071557F" w:rsidRDefault="00A93F85" w:rsidP="00453716">
            <w:r w:rsidRPr="0071557F">
              <w:t>3. Finansiālā ietekme:</w:t>
            </w:r>
          </w:p>
        </w:tc>
        <w:tc>
          <w:tcPr>
            <w:tcW w:w="2532" w:type="dxa"/>
            <w:tcBorders>
              <w:top w:val="single" w:sz="4" w:space="0" w:color="auto"/>
              <w:left w:val="single" w:sz="4" w:space="0" w:color="auto"/>
              <w:bottom w:val="single" w:sz="4" w:space="0" w:color="auto"/>
              <w:right w:val="single" w:sz="4" w:space="0" w:color="auto"/>
            </w:tcBorders>
            <w:vAlign w:val="center"/>
            <w:hideMark/>
          </w:tcPr>
          <w:p w14:paraId="411A8B77" w14:textId="77777777" w:rsidR="00A93F85" w:rsidRPr="0071557F" w:rsidRDefault="00EF0617" w:rsidP="00EF0617">
            <w:pPr>
              <w:spacing w:line="276" w:lineRule="auto"/>
              <w:jc w:val="center"/>
              <w:rPr>
                <w:b/>
                <w:i/>
              </w:rPr>
            </w:pPr>
            <w:r w:rsidRPr="0071557F">
              <w:rPr>
                <w:b/>
                <w:i/>
              </w:rPr>
              <w:t>0</w:t>
            </w:r>
          </w:p>
        </w:tc>
        <w:tc>
          <w:tcPr>
            <w:tcW w:w="1178" w:type="dxa"/>
            <w:tcBorders>
              <w:top w:val="single" w:sz="4" w:space="0" w:color="auto"/>
              <w:left w:val="single" w:sz="4" w:space="0" w:color="auto"/>
              <w:bottom w:val="single" w:sz="4" w:space="0" w:color="auto"/>
              <w:right w:val="single" w:sz="4" w:space="0" w:color="auto"/>
            </w:tcBorders>
            <w:vAlign w:val="center"/>
          </w:tcPr>
          <w:p w14:paraId="326526F4" w14:textId="77777777" w:rsidR="00A93F85" w:rsidRPr="0071557F" w:rsidRDefault="00EF0617" w:rsidP="00EF0617">
            <w:pPr>
              <w:spacing w:line="276" w:lineRule="auto"/>
              <w:jc w:val="center"/>
              <w:rPr>
                <w:b/>
              </w:rPr>
            </w:pPr>
            <w:r w:rsidRPr="0071557F">
              <w:rPr>
                <w:b/>
                <w:i/>
              </w:rPr>
              <w:t>0</w:t>
            </w:r>
          </w:p>
        </w:tc>
        <w:tc>
          <w:tcPr>
            <w:tcW w:w="1236" w:type="dxa"/>
            <w:tcBorders>
              <w:top w:val="single" w:sz="4" w:space="0" w:color="auto"/>
              <w:left w:val="single" w:sz="4" w:space="0" w:color="auto"/>
              <w:bottom w:val="single" w:sz="4" w:space="0" w:color="auto"/>
              <w:right w:val="single" w:sz="4" w:space="0" w:color="auto"/>
            </w:tcBorders>
            <w:vAlign w:val="center"/>
            <w:hideMark/>
          </w:tcPr>
          <w:p w14:paraId="6D94267F" w14:textId="11B98ABE" w:rsidR="00A93F85" w:rsidRPr="00A93F85" w:rsidRDefault="006D03FF" w:rsidP="006D03FF">
            <w:pPr>
              <w:spacing w:line="276" w:lineRule="auto"/>
              <w:jc w:val="center"/>
              <w:rPr>
                <w:b/>
                <w:i/>
                <w:color w:val="FF0000"/>
              </w:rPr>
            </w:pPr>
            <w:r>
              <w:rPr>
                <w:b/>
                <w:i/>
              </w:rPr>
              <w:t>0</w:t>
            </w:r>
          </w:p>
        </w:tc>
        <w:tc>
          <w:tcPr>
            <w:tcW w:w="1214" w:type="dxa"/>
            <w:tcBorders>
              <w:top w:val="single" w:sz="4" w:space="0" w:color="auto"/>
              <w:left w:val="single" w:sz="4" w:space="0" w:color="auto"/>
              <w:bottom w:val="single" w:sz="4" w:space="0" w:color="auto"/>
              <w:right w:val="single" w:sz="4" w:space="0" w:color="auto"/>
            </w:tcBorders>
            <w:vAlign w:val="center"/>
            <w:hideMark/>
          </w:tcPr>
          <w:p w14:paraId="6795B764" w14:textId="72B064B6" w:rsidR="00A93F85" w:rsidRPr="0071557F" w:rsidRDefault="006D03FF" w:rsidP="006D03FF">
            <w:pPr>
              <w:spacing w:line="276" w:lineRule="auto"/>
              <w:jc w:val="center"/>
              <w:rPr>
                <w:b/>
                <w:i/>
              </w:rPr>
            </w:pPr>
            <w:r>
              <w:rPr>
                <w:b/>
                <w:i/>
              </w:rPr>
              <w:t>0</w:t>
            </w:r>
          </w:p>
        </w:tc>
        <w:tc>
          <w:tcPr>
            <w:tcW w:w="1920" w:type="dxa"/>
            <w:tcBorders>
              <w:top w:val="single" w:sz="4" w:space="0" w:color="auto"/>
              <w:left w:val="single" w:sz="4" w:space="0" w:color="auto"/>
              <w:bottom w:val="single" w:sz="4" w:space="0" w:color="auto"/>
              <w:right w:val="single" w:sz="4" w:space="0" w:color="auto"/>
            </w:tcBorders>
            <w:vAlign w:val="center"/>
            <w:hideMark/>
          </w:tcPr>
          <w:p w14:paraId="75A96ED6" w14:textId="527D0F79" w:rsidR="00A93F85" w:rsidRPr="0071557F" w:rsidRDefault="006D03FF" w:rsidP="006D03FF">
            <w:pPr>
              <w:spacing w:line="276" w:lineRule="auto"/>
              <w:ind w:left="-70" w:right="-114"/>
              <w:jc w:val="center"/>
              <w:rPr>
                <w:b/>
                <w:i/>
              </w:rPr>
            </w:pPr>
            <w:r>
              <w:rPr>
                <w:b/>
                <w:i/>
                <w:iCs/>
                <w:color w:val="000000"/>
              </w:rPr>
              <w:t>0</w:t>
            </w:r>
          </w:p>
        </w:tc>
      </w:tr>
      <w:tr w:rsidR="00B63B03" w:rsidRPr="00A93F85" w14:paraId="16787E15" w14:textId="77777777" w:rsidTr="00402D13">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33B2D37D" w14:textId="76426D30" w:rsidR="0071557F" w:rsidRPr="0071557F" w:rsidRDefault="00B63B03" w:rsidP="00453716">
            <w:pPr>
              <w:tabs>
                <w:tab w:val="left" w:pos="217"/>
              </w:tabs>
              <w:jc w:val="both"/>
            </w:pPr>
            <w:r>
              <w:t>3.1. </w:t>
            </w:r>
            <w:r w:rsidR="0071557F" w:rsidRPr="0071557F">
              <w:t>valsts pamatbudžets</w:t>
            </w:r>
          </w:p>
        </w:tc>
        <w:tc>
          <w:tcPr>
            <w:tcW w:w="2532" w:type="dxa"/>
            <w:tcBorders>
              <w:top w:val="single" w:sz="4" w:space="0" w:color="auto"/>
              <w:left w:val="single" w:sz="4" w:space="0" w:color="auto"/>
              <w:bottom w:val="single" w:sz="4" w:space="0" w:color="auto"/>
              <w:right w:val="single" w:sz="4" w:space="0" w:color="auto"/>
            </w:tcBorders>
            <w:vAlign w:val="center"/>
            <w:hideMark/>
          </w:tcPr>
          <w:p w14:paraId="6E68397A" w14:textId="77777777" w:rsidR="0071557F" w:rsidRPr="0071557F" w:rsidRDefault="0071557F" w:rsidP="0071557F">
            <w:pPr>
              <w:pStyle w:val="naisf"/>
              <w:spacing w:before="0" w:after="0" w:line="276" w:lineRule="auto"/>
              <w:ind w:firstLine="0"/>
              <w:jc w:val="center"/>
              <w:rPr>
                <w:b/>
                <w:i/>
              </w:rPr>
            </w:pPr>
            <w:r w:rsidRPr="0071557F">
              <w:rPr>
                <w:b/>
                <w:i/>
              </w:rPr>
              <w:t>0</w:t>
            </w:r>
          </w:p>
        </w:tc>
        <w:tc>
          <w:tcPr>
            <w:tcW w:w="1178" w:type="dxa"/>
            <w:tcBorders>
              <w:top w:val="single" w:sz="4" w:space="0" w:color="auto"/>
              <w:left w:val="single" w:sz="4" w:space="0" w:color="auto"/>
              <w:bottom w:val="single" w:sz="4" w:space="0" w:color="auto"/>
              <w:right w:val="single" w:sz="4" w:space="0" w:color="auto"/>
            </w:tcBorders>
            <w:vAlign w:val="center"/>
          </w:tcPr>
          <w:p w14:paraId="2F71E758" w14:textId="77777777" w:rsidR="0071557F" w:rsidRPr="0071557F" w:rsidRDefault="0071557F" w:rsidP="0071557F">
            <w:pPr>
              <w:pStyle w:val="naisf"/>
              <w:spacing w:before="0" w:after="0" w:line="276" w:lineRule="auto"/>
              <w:ind w:firstLine="0"/>
              <w:jc w:val="center"/>
              <w:rPr>
                <w:b/>
                <w:i/>
              </w:rPr>
            </w:pPr>
            <w:r w:rsidRPr="0071557F">
              <w:rPr>
                <w:b/>
                <w:i/>
              </w:rPr>
              <w:t>0</w:t>
            </w:r>
          </w:p>
        </w:tc>
        <w:tc>
          <w:tcPr>
            <w:tcW w:w="1236" w:type="dxa"/>
            <w:tcBorders>
              <w:top w:val="single" w:sz="4" w:space="0" w:color="auto"/>
              <w:left w:val="single" w:sz="4" w:space="0" w:color="auto"/>
              <w:bottom w:val="single" w:sz="4" w:space="0" w:color="auto"/>
              <w:right w:val="single" w:sz="4" w:space="0" w:color="auto"/>
            </w:tcBorders>
            <w:vAlign w:val="center"/>
            <w:hideMark/>
          </w:tcPr>
          <w:p w14:paraId="3FC4F5B5" w14:textId="5956C9BE" w:rsidR="0071557F" w:rsidRPr="00A93F85" w:rsidRDefault="006D03FF" w:rsidP="006D03FF">
            <w:pPr>
              <w:pStyle w:val="naisf"/>
              <w:spacing w:before="0" w:after="0" w:line="276" w:lineRule="auto"/>
              <w:ind w:firstLine="0"/>
              <w:jc w:val="center"/>
              <w:rPr>
                <w:b/>
                <w:i/>
                <w:color w:val="FF0000"/>
              </w:rPr>
            </w:pPr>
            <w:r>
              <w:rPr>
                <w:b/>
                <w:i/>
              </w:rPr>
              <w:t>0</w:t>
            </w:r>
          </w:p>
        </w:tc>
        <w:tc>
          <w:tcPr>
            <w:tcW w:w="1214" w:type="dxa"/>
            <w:tcBorders>
              <w:top w:val="single" w:sz="4" w:space="0" w:color="auto"/>
              <w:left w:val="single" w:sz="4" w:space="0" w:color="auto"/>
              <w:bottom w:val="single" w:sz="4" w:space="0" w:color="auto"/>
              <w:right w:val="single" w:sz="4" w:space="0" w:color="auto"/>
            </w:tcBorders>
            <w:vAlign w:val="center"/>
            <w:hideMark/>
          </w:tcPr>
          <w:p w14:paraId="0212F953" w14:textId="4DBC9EBA" w:rsidR="0071557F" w:rsidRPr="0071557F" w:rsidRDefault="006D03FF" w:rsidP="006D03FF">
            <w:pPr>
              <w:pStyle w:val="naisf"/>
              <w:spacing w:before="0" w:after="0" w:line="276" w:lineRule="auto"/>
              <w:ind w:firstLine="0"/>
              <w:jc w:val="center"/>
              <w:rPr>
                <w:b/>
                <w:i/>
              </w:rPr>
            </w:pPr>
            <w:r>
              <w:rPr>
                <w:b/>
                <w:i/>
              </w:rPr>
              <w:t>0</w:t>
            </w:r>
          </w:p>
        </w:tc>
        <w:tc>
          <w:tcPr>
            <w:tcW w:w="1920" w:type="dxa"/>
            <w:tcBorders>
              <w:top w:val="single" w:sz="4" w:space="0" w:color="auto"/>
              <w:left w:val="single" w:sz="4" w:space="0" w:color="auto"/>
              <w:bottom w:val="single" w:sz="4" w:space="0" w:color="auto"/>
              <w:right w:val="single" w:sz="4" w:space="0" w:color="auto"/>
            </w:tcBorders>
            <w:vAlign w:val="center"/>
            <w:hideMark/>
          </w:tcPr>
          <w:p w14:paraId="2CF38D17" w14:textId="318BC044" w:rsidR="0071557F" w:rsidRPr="00453716" w:rsidRDefault="006D03FF" w:rsidP="006D03FF">
            <w:pPr>
              <w:pStyle w:val="naisf"/>
              <w:spacing w:before="0" w:after="0" w:line="276" w:lineRule="auto"/>
              <w:ind w:firstLine="0"/>
              <w:jc w:val="center"/>
              <w:rPr>
                <w:b/>
                <w:i/>
              </w:rPr>
            </w:pPr>
            <w:r>
              <w:rPr>
                <w:b/>
                <w:i/>
              </w:rPr>
              <w:t>0</w:t>
            </w:r>
          </w:p>
        </w:tc>
      </w:tr>
      <w:tr w:rsidR="00B63B03" w:rsidRPr="00A93F85" w14:paraId="3CFECC4E" w14:textId="77777777" w:rsidTr="00402D13">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2789A420" w14:textId="77777777" w:rsidR="0071557F" w:rsidRPr="0071557F" w:rsidRDefault="0071557F" w:rsidP="00453716">
            <w:pPr>
              <w:jc w:val="both"/>
            </w:pPr>
            <w:r w:rsidRPr="0071557F">
              <w:t>3.2. speciālais budžets</w:t>
            </w:r>
          </w:p>
        </w:tc>
        <w:tc>
          <w:tcPr>
            <w:tcW w:w="2532" w:type="dxa"/>
            <w:tcBorders>
              <w:top w:val="single" w:sz="4" w:space="0" w:color="auto"/>
              <w:left w:val="single" w:sz="4" w:space="0" w:color="auto"/>
              <w:bottom w:val="single" w:sz="4" w:space="0" w:color="auto"/>
              <w:right w:val="single" w:sz="4" w:space="0" w:color="auto"/>
            </w:tcBorders>
            <w:vAlign w:val="center"/>
          </w:tcPr>
          <w:p w14:paraId="666A37D0" w14:textId="77777777" w:rsidR="0071557F" w:rsidRPr="00A93F85" w:rsidRDefault="0071557F" w:rsidP="0071557F">
            <w:pPr>
              <w:pStyle w:val="naisf"/>
              <w:spacing w:before="0" w:after="0" w:line="276" w:lineRule="auto"/>
              <w:ind w:firstLine="0"/>
              <w:jc w:val="center"/>
              <w:rPr>
                <w:color w:val="FF0000"/>
              </w:rPr>
            </w:pPr>
          </w:p>
        </w:tc>
        <w:tc>
          <w:tcPr>
            <w:tcW w:w="1178" w:type="dxa"/>
            <w:tcBorders>
              <w:top w:val="single" w:sz="4" w:space="0" w:color="auto"/>
              <w:left w:val="single" w:sz="4" w:space="0" w:color="auto"/>
              <w:bottom w:val="single" w:sz="4" w:space="0" w:color="auto"/>
              <w:right w:val="single" w:sz="4" w:space="0" w:color="auto"/>
            </w:tcBorders>
            <w:vAlign w:val="center"/>
          </w:tcPr>
          <w:p w14:paraId="13EC1EC0" w14:textId="77777777" w:rsidR="0071557F" w:rsidRPr="00A93F85" w:rsidRDefault="0071557F" w:rsidP="0071557F">
            <w:pPr>
              <w:pStyle w:val="naisf"/>
              <w:spacing w:before="0" w:after="0" w:line="276" w:lineRule="auto"/>
              <w:ind w:firstLine="0"/>
              <w:jc w:val="center"/>
              <w:rPr>
                <w:b/>
                <w:i/>
                <w:color w:val="FF0000"/>
              </w:rPr>
            </w:pPr>
          </w:p>
        </w:tc>
        <w:tc>
          <w:tcPr>
            <w:tcW w:w="1236" w:type="dxa"/>
            <w:tcBorders>
              <w:top w:val="single" w:sz="4" w:space="0" w:color="auto"/>
              <w:left w:val="single" w:sz="4" w:space="0" w:color="auto"/>
              <w:bottom w:val="single" w:sz="4" w:space="0" w:color="auto"/>
              <w:right w:val="single" w:sz="4" w:space="0" w:color="auto"/>
            </w:tcBorders>
            <w:vAlign w:val="center"/>
          </w:tcPr>
          <w:p w14:paraId="64646CB6" w14:textId="77777777" w:rsidR="0071557F" w:rsidRPr="00A93F85" w:rsidRDefault="0071557F" w:rsidP="0071557F">
            <w:pPr>
              <w:pStyle w:val="naisf"/>
              <w:spacing w:before="0" w:after="0" w:line="276" w:lineRule="auto"/>
              <w:ind w:firstLine="0"/>
              <w:jc w:val="center"/>
              <w:rPr>
                <w:color w:val="FF0000"/>
              </w:rPr>
            </w:pPr>
          </w:p>
        </w:tc>
        <w:tc>
          <w:tcPr>
            <w:tcW w:w="1214" w:type="dxa"/>
            <w:tcBorders>
              <w:top w:val="single" w:sz="4" w:space="0" w:color="auto"/>
              <w:left w:val="single" w:sz="4" w:space="0" w:color="auto"/>
              <w:bottom w:val="single" w:sz="4" w:space="0" w:color="auto"/>
              <w:right w:val="single" w:sz="4" w:space="0" w:color="auto"/>
            </w:tcBorders>
            <w:vAlign w:val="center"/>
          </w:tcPr>
          <w:p w14:paraId="7BAB6E76" w14:textId="77777777" w:rsidR="0071557F" w:rsidRPr="00A93F85" w:rsidRDefault="0071557F" w:rsidP="0071557F">
            <w:pPr>
              <w:pStyle w:val="naisf"/>
              <w:spacing w:before="0" w:after="0" w:line="276" w:lineRule="auto"/>
              <w:ind w:firstLine="0"/>
              <w:jc w:val="center"/>
              <w:rPr>
                <w:color w:val="FF0000"/>
              </w:rPr>
            </w:pPr>
          </w:p>
        </w:tc>
        <w:tc>
          <w:tcPr>
            <w:tcW w:w="1920" w:type="dxa"/>
            <w:tcBorders>
              <w:top w:val="single" w:sz="4" w:space="0" w:color="auto"/>
              <w:left w:val="single" w:sz="4" w:space="0" w:color="auto"/>
              <w:bottom w:val="single" w:sz="4" w:space="0" w:color="auto"/>
              <w:right w:val="single" w:sz="4" w:space="0" w:color="auto"/>
            </w:tcBorders>
          </w:tcPr>
          <w:p w14:paraId="7AB997BB" w14:textId="77777777" w:rsidR="0071557F" w:rsidRDefault="0071557F" w:rsidP="0071557F"/>
        </w:tc>
      </w:tr>
      <w:tr w:rsidR="00B63B03" w:rsidRPr="00A93F85" w14:paraId="26E169CF" w14:textId="77777777" w:rsidTr="00402D13">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15F0B16B" w14:textId="77777777" w:rsidR="00A93F85" w:rsidRPr="0071557F" w:rsidRDefault="00A93F85" w:rsidP="00453716">
            <w:pPr>
              <w:jc w:val="both"/>
            </w:pPr>
            <w:r w:rsidRPr="0071557F">
              <w:t xml:space="preserve">3.3. pašvaldību budžets </w:t>
            </w:r>
          </w:p>
        </w:tc>
        <w:tc>
          <w:tcPr>
            <w:tcW w:w="2532" w:type="dxa"/>
            <w:tcBorders>
              <w:top w:val="single" w:sz="4" w:space="0" w:color="auto"/>
              <w:left w:val="single" w:sz="4" w:space="0" w:color="auto"/>
              <w:bottom w:val="single" w:sz="4" w:space="0" w:color="auto"/>
              <w:right w:val="single" w:sz="4" w:space="0" w:color="auto"/>
            </w:tcBorders>
            <w:vAlign w:val="center"/>
          </w:tcPr>
          <w:p w14:paraId="4DD30A9F" w14:textId="77777777" w:rsidR="00A93F85" w:rsidRPr="00A93F85" w:rsidRDefault="00A93F85" w:rsidP="00C957EF">
            <w:pPr>
              <w:pStyle w:val="naisf"/>
              <w:spacing w:before="0" w:after="0" w:line="276" w:lineRule="auto"/>
              <w:ind w:firstLine="0"/>
              <w:jc w:val="center"/>
              <w:rPr>
                <w:b/>
                <w:i/>
                <w:color w:val="FF0000"/>
              </w:rPr>
            </w:pPr>
          </w:p>
        </w:tc>
        <w:tc>
          <w:tcPr>
            <w:tcW w:w="1178" w:type="dxa"/>
            <w:tcBorders>
              <w:top w:val="single" w:sz="4" w:space="0" w:color="auto"/>
              <w:left w:val="single" w:sz="4" w:space="0" w:color="auto"/>
              <w:bottom w:val="single" w:sz="4" w:space="0" w:color="auto"/>
              <w:right w:val="single" w:sz="4" w:space="0" w:color="auto"/>
            </w:tcBorders>
            <w:vAlign w:val="center"/>
          </w:tcPr>
          <w:p w14:paraId="344B4ACE" w14:textId="77777777" w:rsidR="00A93F85" w:rsidRPr="00A93F85" w:rsidRDefault="00A93F85" w:rsidP="00C957EF">
            <w:pPr>
              <w:pStyle w:val="naisf"/>
              <w:spacing w:before="0" w:after="0" w:line="276" w:lineRule="auto"/>
              <w:ind w:firstLine="0"/>
              <w:jc w:val="center"/>
              <w:rPr>
                <w:b/>
                <w:i/>
                <w:color w:val="FF0000"/>
              </w:rPr>
            </w:pPr>
          </w:p>
        </w:tc>
        <w:tc>
          <w:tcPr>
            <w:tcW w:w="1236" w:type="dxa"/>
            <w:tcBorders>
              <w:top w:val="single" w:sz="4" w:space="0" w:color="auto"/>
              <w:left w:val="single" w:sz="4" w:space="0" w:color="auto"/>
              <w:bottom w:val="single" w:sz="4" w:space="0" w:color="auto"/>
              <w:right w:val="single" w:sz="4" w:space="0" w:color="auto"/>
            </w:tcBorders>
            <w:vAlign w:val="center"/>
          </w:tcPr>
          <w:p w14:paraId="4781A0E5" w14:textId="77777777" w:rsidR="00A93F85" w:rsidRPr="00A93F85" w:rsidRDefault="00A93F85" w:rsidP="00C957EF">
            <w:pPr>
              <w:pStyle w:val="naisf"/>
              <w:spacing w:before="0" w:after="0" w:line="276" w:lineRule="auto"/>
              <w:ind w:firstLine="0"/>
              <w:jc w:val="center"/>
              <w:rPr>
                <w:b/>
                <w:i/>
                <w:color w:val="FF0000"/>
              </w:rPr>
            </w:pPr>
          </w:p>
        </w:tc>
        <w:tc>
          <w:tcPr>
            <w:tcW w:w="1214" w:type="dxa"/>
            <w:tcBorders>
              <w:top w:val="single" w:sz="4" w:space="0" w:color="auto"/>
              <w:left w:val="single" w:sz="4" w:space="0" w:color="auto"/>
              <w:bottom w:val="single" w:sz="4" w:space="0" w:color="auto"/>
              <w:right w:val="single" w:sz="4" w:space="0" w:color="auto"/>
            </w:tcBorders>
            <w:vAlign w:val="center"/>
          </w:tcPr>
          <w:p w14:paraId="530645C9" w14:textId="77777777" w:rsidR="00A93F85" w:rsidRPr="00A93F85" w:rsidRDefault="00A93F85" w:rsidP="00C957EF">
            <w:pPr>
              <w:pStyle w:val="naisf"/>
              <w:spacing w:before="0" w:after="0" w:line="276" w:lineRule="auto"/>
              <w:ind w:firstLine="0"/>
              <w:jc w:val="center"/>
              <w:rPr>
                <w:b/>
                <w:i/>
                <w:color w:val="FF0000"/>
              </w:rPr>
            </w:pPr>
          </w:p>
        </w:tc>
        <w:tc>
          <w:tcPr>
            <w:tcW w:w="1920" w:type="dxa"/>
            <w:tcBorders>
              <w:top w:val="single" w:sz="4" w:space="0" w:color="auto"/>
              <w:left w:val="single" w:sz="4" w:space="0" w:color="auto"/>
              <w:bottom w:val="single" w:sz="4" w:space="0" w:color="auto"/>
              <w:right w:val="single" w:sz="4" w:space="0" w:color="auto"/>
            </w:tcBorders>
            <w:vAlign w:val="center"/>
          </w:tcPr>
          <w:p w14:paraId="32B00CA2" w14:textId="77777777" w:rsidR="00A93F85" w:rsidRPr="00A93F85" w:rsidRDefault="00A93F85" w:rsidP="00C957EF">
            <w:pPr>
              <w:pStyle w:val="naisf"/>
              <w:spacing w:before="0" w:after="0" w:line="276" w:lineRule="auto"/>
              <w:ind w:firstLine="0"/>
              <w:jc w:val="center"/>
              <w:rPr>
                <w:b/>
                <w:i/>
                <w:color w:val="FF0000"/>
              </w:rPr>
            </w:pPr>
          </w:p>
        </w:tc>
      </w:tr>
      <w:tr w:rsidR="00B63B03" w:rsidRPr="00A93F85" w14:paraId="6DFBCE4D" w14:textId="77777777" w:rsidTr="00402D13">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30A50490" w14:textId="77777777" w:rsidR="00A93F85" w:rsidRPr="0071557F" w:rsidRDefault="00A93F85" w:rsidP="00453716">
            <w:r w:rsidRPr="0071557F">
              <w:t>4. Finanšu līdzekļi papildu izdevumu finansēšanai (kompensējošu izdevumu samazinājumu norāda ar "+" zīmi)</w:t>
            </w:r>
          </w:p>
        </w:tc>
        <w:tc>
          <w:tcPr>
            <w:tcW w:w="2532" w:type="dxa"/>
            <w:tcBorders>
              <w:top w:val="single" w:sz="4" w:space="0" w:color="auto"/>
              <w:left w:val="single" w:sz="4" w:space="0" w:color="auto"/>
              <w:bottom w:val="single" w:sz="4" w:space="0" w:color="auto"/>
              <w:right w:val="single" w:sz="4" w:space="0" w:color="auto"/>
            </w:tcBorders>
            <w:vAlign w:val="center"/>
            <w:hideMark/>
          </w:tcPr>
          <w:p w14:paraId="45ACE466" w14:textId="77777777" w:rsidR="00A93F85" w:rsidRPr="00A93F85" w:rsidRDefault="00A93F85" w:rsidP="00C957EF">
            <w:pPr>
              <w:spacing w:line="276" w:lineRule="auto"/>
              <w:jc w:val="center"/>
              <w:rPr>
                <w:b/>
                <w:color w:val="FF0000"/>
              </w:rPr>
            </w:pPr>
            <w:r w:rsidRPr="000A4A8D">
              <w:rPr>
                <w:b/>
              </w:rPr>
              <w:t>x</w:t>
            </w:r>
          </w:p>
        </w:tc>
        <w:tc>
          <w:tcPr>
            <w:tcW w:w="1178" w:type="dxa"/>
            <w:tcBorders>
              <w:top w:val="single" w:sz="4" w:space="0" w:color="auto"/>
              <w:left w:val="single" w:sz="4" w:space="0" w:color="auto"/>
              <w:bottom w:val="single" w:sz="4" w:space="0" w:color="auto"/>
              <w:right w:val="single" w:sz="4" w:space="0" w:color="auto"/>
            </w:tcBorders>
            <w:vAlign w:val="center"/>
          </w:tcPr>
          <w:p w14:paraId="14C2FFF7" w14:textId="77777777" w:rsidR="00A93F85" w:rsidRPr="00A93F85" w:rsidRDefault="00A93F85" w:rsidP="00C957EF">
            <w:pPr>
              <w:spacing w:line="276" w:lineRule="auto"/>
              <w:jc w:val="center"/>
              <w:rPr>
                <w:color w:val="FF0000"/>
              </w:rPr>
            </w:pPr>
          </w:p>
        </w:tc>
        <w:tc>
          <w:tcPr>
            <w:tcW w:w="1236" w:type="dxa"/>
            <w:tcBorders>
              <w:top w:val="single" w:sz="4" w:space="0" w:color="auto"/>
              <w:left w:val="single" w:sz="4" w:space="0" w:color="auto"/>
              <w:bottom w:val="single" w:sz="4" w:space="0" w:color="auto"/>
              <w:right w:val="single" w:sz="4" w:space="0" w:color="auto"/>
            </w:tcBorders>
            <w:vAlign w:val="center"/>
          </w:tcPr>
          <w:p w14:paraId="17E25138" w14:textId="77777777" w:rsidR="00A93F85" w:rsidRPr="00A93F85" w:rsidRDefault="00A93F85" w:rsidP="00C957EF">
            <w:pPr>
              <w:spacing w:line="276" w:lineRule="auto"/>
              <w:jc w:val="center"/>
              <w:rPr>
                <w:color w:val="FF0000"/>
              </w:rPr>
            </w:pPr>
          </w:p>
        </w:tc>
        <w:tc>
          <w:tcPr>
            <w:tcW w:w="1214" w:type="dxa"/>
            <w:tcBorders>
              <w:top w:val="single" w:sz="4" w:space="0" w:color="auto"/>
              <w:left w:val="single" w:sz="4" w:space="0" w:color="auto"/>
              <w:bottom w:val="single" w:sz="4" w:space="0" w:color="auto"/>
              <w:right w:val="single" w:sz="4" w:space="0" w:color="auto"/>
            </w:tcBorders>
            <w:vAlign w:val="center"/>
          </w:tcPr>
          <w:p w14:paraId="60528471" w14:textId="77777777" w:rsidR="00A93F85" w:rsidRPr="00A93F85" w:rsidRDefault="00A93F85" w:rsidP="00C957EF">
            <w:pPr>
              <w:spacing w:line="276" w:lineRule="auto"/>
              <w:jc w:val="center"/>
              <w:rPr>
                <w:color w:val="FF0000"/>
              </w:rPr>
            </w:pPr>
          </w:p>
        </w:tc>
        <w:tc>
          <w:tcPr>
            <w:tcW w:w="1920" w:type="dxa"/>
            <w:tcBorders>
              <w:top w:val="single" w:sz="4" w:space="0" w:color="auto"/>
              <w:left w:val="single" w:sz="4" w:space="0" w:color="auto"/>
              <w:bottom w:val="single" w:sz="4" w:space="0" w:color="auto"/>
              <w:right w:val="single" w:sz="4" w:space="0" w:color="auto"/>
            </w:tcBorders>
            <w:vAlign w:val="center"/>
          </w:tcPr>
          <w:p w14:paraId="58AFDE9B" w14:textId="77777777" w:rsidR="00A93F85" w:rsidRPr="00A93F85" w:rsidRDefault="00A93F85" w:rsidP="00C957EF">
            <w:pPr>
              <w:spacing w:line="276" w:lineRule="auto"/>
              <w:jc w:val="center"/>
              <w:rPr>
                <w:color w:val="FF0000"/>
              </w:rPr>
            </w:pPr>
          </w:p>
        </w:tc>
      </w:tr>
      <w:tr w:rsidR="00B63B03" w:rsidRPr="00A93F85" w14:paraId="658ADAFB" w14:textId="77777777" w:rsidTr="00402D13">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702652AF" w14:textId="77777777" w:rsidR="00A93F85" w:rsidRPr="0071557F" w:rsidRDefault="00A93F85" w:rsidP="00453716">
            <w:r w:rsidRPr="0071557F">
              <w:t>5. Precizēta finansiālā ietekme:</w:t>
            </w:r>
          </w:p>
        </w:tc>
        <w:tc>
          <w:tcPr>
            <w:tcW w:w="2532" w:type="dxa"/>
            <w:vMerge w:val="restart"/>
            <w:tcBorders>
              <w:top w:val="single" w:sz="4" w:space="0" w:color="auto"/>
              <w:left w:val="single" w:sz="4" w:space="0" w:color="auto"/>
              <w:bottom w:val="single" w:sz="4" w:space="0" w:color="auto"/>
              <w:right w:val="single" w:sz="4" w:space="0" w:color="auto"/>
            </w:tcBorders>
            <w:vAlign w:val="center"/>
            <w:hideMark/>
          </w:tcPr>
          <w:p w14:paraId="093F0760" w14:textId="77777777" w:rsidR="00A93F85" w:rsidRPr="00A93F85" w:rsidRDefault="00A93F85" w:rsidP="00C957EF">
            <w:pPr>
              <w:spacing w:line="276" w:lineRule="auto"/>
              <w:jc w:val="center"/>
              <w:rPr>
                <w:color w:val="FF0000"/>
              </w:rPr>
            </w:pPr>
            <w:r w:rsidRPr="000A4A8D">
              <w:rPr>
                <w:b/>
              </w:rPr>
              <w:t>x</w:t>
            </w:r>
          </w:p>
        </w:tc>
        <w:tc>
          <w:tcPr>
            <w:tcW w:w="1178" w:type="dxa"/>
            <w:tcBorders>
              <w:top w:val="single" w:sz="4" w:space="0" w:color="auto"/>
              <w:left w:val="single" w:sz="4" w:space="0" w:color="auto"/>
              <w:bottom w:val="single" w:sz="4" w:space="0" w:color="auto"/>
              <w:right w:val="single" w:sz="4" w:space="0" w:color="auto"/>
            </w:tcBorders>
            <w:vAlign w:val="center"/>
          </w:tcPr>
          <w:p w14:paraId="520AB4D5" w14:textId="77777777" w:rsidR="00A93F85" w:rsidRPr="00A93F85" w:rsidRDefault="00A93F85" w:rsidP="00C957EF">
            <w:pPr>
              <w:spacing w:line="276" w:lineRule="auto"/>
              <w:jc w:val="center"/>
              <w:rPr>
                <w:color w:val="FF0000"/>
              </w:rPr>
            </w:pPr>
          </w:p>
        </w:tc>
        <w:tc>
          <w:tcPr>
            <w:tcW w:w="1236" w:type="dxa"/>
            <w:tcBorders>
              <w:top w:val="single" w:sz="4" w:space="0" w:color="auto"/>
              <w:left w:val="single" w:sz="4" w:space="0" w:color="auto"/>
              <w:bottom w:val="single" w:sz="4" w:space="0" w:color="auto"/>
              <w:right w:val="single" w:sz="4" w:space="0" w:color="auto"/>
            </w:tcBorders>
            <w:vAlign w:val="center"/>
          </w:tcPr>
          <w:p w14:paraId="7FC829BD" w14:textId="77777777" w:rsidR="00A93F85" w:rsidRPr="00A93F85" w:rsidRDefault="00A93F85" w:rsidP="00C957EF">
            <w:pPr>
              <w:spacing w:line="276" w:lineRule="auto"/>
              <w:jc w:val="center"/>
              <w:rPr>
                <w:color w:val="FF0000"/>
              </w:rPr>
            </w:pPr>
          </w:p>
        </w:tc>
        <w:tc>
          <w:tcPr>
            <w:tcW w:w="1214" w:type="dxa"/>
            <w:tcBorders>
              <w:top w:val="single" w:sz="4" w:space="0" w:color="auto"/>
              <w:left w:val="single" w:sz="4" w:space="0" w:color="auto"/>
              <w:bottom w:val="single" w:sz="4" w:space="0" w:color="auto"/>
              <w:right w:val="single" w:sz="4" w:space="0" w:color="auto"/>
            </w:tcBorders>
            <w:vAlign w:val="center"/>
          </w:tcPr>
          <w:p w14:paraId="3CF63A1C" w14:textId="77777777" w:rsidR="00A93F85" w:rsidRPr="00A93F85" w:rsidRDefault="00A93F85" w:rsidP="00C957EF">
            <w:pPr>
              <w:spacing w:line="276" w:lineRule="auto"/>
              <w:jc w:val="center"/>
              <w:rPr>
                <w:color w:val="FF0000"/>
              </w:rPr>
            </w:pPr>
          </w:p>
        </w:tc>
        <w:tc>
          <w:tcPr>
            <w:tcW w:w="1920" w:type="dxa"/>
            <w:tcBorders>
              <w:top w:val="single" w:sz="4" w:space="0" w:color="auto"/>
              <w:left w:val="single" w:sz="4" w:space="0" w:color="auto"/>
              <w:bottom w:val="single" w:sz="4" w:space="0" w:color="auto"/>
              <w:right w:val="single" w:sz="4" w:space="0" w:color="auto"/>
            </w:tcBorders>
            <w:vAlign w:val="center"/>
          </w:tcPr>
          <w:p w14:paraId="4D202727" w14:textId="77777777" w:rsidR="00A93F85" w:rsidRPr="00A93F85" w:rsidRDefault="00A93F85" w:rsidP="00C957EF">
            <w:pPr>
              <w:spacing w:line="276" w:lineRule="auto"/>
              <w:jc w:val="center"/>
              <w:rPr>
                <w:color w:val="FF0000"/>
              </w:rPr>
            </w:pPr>
          </w:p>
        </w:tc>
      </w:tr>
      <w:tr w:rsidR="00B63B03" w:rsidRPr="00A93F85" w14:paraId="70E0AFCB" w14:textId="77777777" w:rsidTr="00402D13">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1AFFCAE5" w14:textId="20A16A5A" w:rsidR="00A93F85" w:rsidRPr="0071557F" w:rsidRDefault="00A93F85" w:rsidP="00453716">
            <w:pPr>
              <w:tabs>
                <w:tab w:val="left" w:pos="596"/>
                <w:tab w:val="left" w:pos="622"/>
                <w:tab w:val="left" w:pos="1057"/>
              </w:tabs>
              <w:jc w:val="both"/>
            </w:pPr>
            <w:r w:rsidRPr="0071557F">
              <w:t>5.1.</w:t>
            </w:r>
            <w:r w:rsidR="00453716">
              <w:t> </w:t>
            </w:r>
            <w:r w:rsidRPr="0071557F">
              <w:t>valsts pamatbudžets</w:t>
            </w:r>
          </w:p>
        </w:tc>
        <w:tc>
          <w:tcPr>
            <w:tcW w:w="2532" w:type="dxa"/>
            <w:vMerge/>
            <w:tcBorders>
              <w:top w:val="single" w:sz="4" w:space="0" w:color="auto"/>
              <w:left w:val="single" w:sz="4" w:space="0" w:color="auto"/>
              <w:bottom w:val="single" w:sz="4" w:space="0" w:color="auto"/>
              <w:right w:val="single" w:sz="4" w:space="0" w:color="auto"/>
            </w:tcBorders>
            <w:vAlign w:val="center"/>
            <w:hideMark/>
          </w:tcPr>
          <w:p w14:paraId="62176265" w14:textId="77777777" w:rsidR="00A93F85" w:rsidRPr="00A93F85" w:rsidRDefault="00A93F85" w:rsidP="00C957EF">
            <w:pPr>
              <w:spacing w:line="276" w:lineRule="auto"/>
              <w:rPr>
                <w:color w:val="FF0000"/>
              </w:rPr>
            </w:pPr>
          </w:p>
        </w:tc>
        <w:tc>
          <w:tcPr>
            <w:tcW w:w="1178" w:type="dxa"/>
            <w:tcBorders>
              <w:top w:val="single" w:sz="4" w:space="0" w:color="auto"/>
              <w:left w:val="single" w:sz="4" w:space="0" w:color="auto"/>
              <w:bottom w:val="single" w:sz="4" w:space="0" w:color="auto"/>
              <w:right w:val="single" w:sz="4" w:space="0" w:color="auto"/>
            </w:tcBorders>
            <w:vAlign w:val="center"/>
          </w:tcPr>
          <w:p w14:paraId="3626A72A" w14:textId="77777777" w:rsidR="00A93F85" w:rsidRPr="00A93F85" w:rsidRDefault="00A93F85" w:rsidP="00C957EF">
            <w:pPr>
              <w:spacing w:line="276" w:lineRule="auto"/>
              <w:jc w:val="center"/>
              <w:rPr>
                <w:color w:val="FF0000"/>
              </w:rPr>
            </w:pPr>
          </w:p>
        </w:tc>
        <w:tc>
          <w:tcPr>
            <w:tcW w:w="1236" w:type="dxa"/>
            <w:tcBorders>
              <w:top w:val="single" w:sz="4" w:space="0" w:color="auto"/>
              <w:left w:val="single" w:sz="4" w:space="0" w:color="auto"/>
              <w:bottom w:val="single" w:sz="4" w:space="0" w:color="auto"/>
              <w:right w:val="single" w:sz="4" w:space="0" w:color="auto"/>
            </w:tcBorders>
            <w:vAlign w:val="center"/>
          </w:tcPr>
          <w:p w14:paraId="03E7D45F" w14:textId="77777777" w:rsidR="00A93F85" w:rsidRPr="00A93F85" w:rsidRDefault="00A93F85" w:rsidP="00C957EF">
            <w:pPr>
              <w:spacing w:line="276" w:lineRule="auto"/>
              <w:jc w:val="center"/>
              <w:rPr>
                <w:color w:val="FF0000"/>
              </w:rPr>
            </w:pPr>
          </w:p>
        </w:tc>
        <w:tc>
          <w:tcPr>
            <w:tcW w:w="1214" w:type="dxa"/>
            <w:tcBorders>
              <w:top w:val="single" w:sz="4" w:space="0" w:color="auto"/>
              <w:left w:val="single" w:sz="4" w:space="0" w:color="auto"/>
              <w:bottom w:val="single" w:sz="4" w:space="0" w:color="auto"/>
              <w:right w:val="single" w:sz="4" w:space="0" w:color="auto"/>
            </w:tcBorders>
            <w:vAlign w:val="center"/>
          </w:tcPr>
          <w:p w14:paraId="6FCAF961" w14:textId="77777777" w:rsidR="00A93F85" w:rsidRPr="00A93F85" w:rsidRDefault="00A93F85" w:rsidP="00C957EF">
            <w:pPr>
              <w:spacing w:line="276" w:lineRule="auto"/>
              <w:jc w:val="center"/>
              <w:rPr>
                <w:color w:val="FF0000"/>
              </w:rPr>
            </w:pPr>
          </w:p>
        </w:tc>
        <w:tc>
          <w:tcPr>
            <w:tcW w:w="1920" w:type="dxa"/>
            <w:tcBorders>
              <w:top w:val="single" w:sz="4" w:space="0" w:color="auto"/>
              <w:left w:val="single" w:sz="4" w:space="0" w:color="auto"/>
              <w:bottom w:val="single" w:sz="4" w:space="0" w:color="auto"/>
              <w:right w:val="single" w:sz="4" w:space="0" w:color="auto"/>
            </w:tcBorders>
            <w:vAlign w:val="center"/>
          </w:tcPr>
          <w:p w14:paraId="58CDF945" w14:textId="77777777" w:rsidR="00A93F85" w:rsidRPr="00A93F85" w:rsidRDefault="00A93F85" w:rsidP="00C957EF">
            <w:pPr>
              <w:spacing w:line="276" w:lineRule="auto"/>
              <w:jc w:val="center"/>
              <w:rPr>
                <w:color w:val="FF0000"/>
              </w:rPr>
            </w:pPr>
          </w:p>
        </w:tc>
      </w:tr>
      <w:tr w:rsidR="00B63B03" w:rsidRPr="00A93F85" w14:paraId="5A5F38AC" w14:textId="77777777" w:rsidTr="00402D13">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76C4F5E1" w14:textId="77777777" w:rsidR="00A93F85" w:rsidRPr="0071557F" w:rsidRDefault="00A93F85" w:rsidP="00453716">
            <w:pPr>
              <w:jc w:val="both"/>
            </w:pPr>
            <w:r w:rsidRPr="0071557F">
              <w:t>5.2. speciālais budžets</w:t>
            </w:r>
          </w:p>
        </w:tc>
        <w:tc>
          <w:tcPr>
            <w:tcW w:w="2532" w:type="dxa"/>
            <w:vMerge/>
            <w:tcBorders>
              <w:top w:val="single" w:sz="4" w:space="0" w:color="auto"/>
              <w:left w:val="single" w:sz="4" w:space="0" w:color="auto"/>
              <w:bottom w:val="single" w:sz="4" w:space="0" w:color="auto"/>
              <w:right w:val="single" w:sz="4" w:space="0" w:color="auto"/>
            </w:tcBorders>
            <w:vAlign w:val="center"/>
            <w:hideMark/>
          </w:tcPr>
          <w:p w14:paraId="7D19B1BE" w14:textId="77777777" w:rsidR="00A93F85" w:rsidRPr="00A93F85" w:rsidRDefault="00A93F85" w:rsidP="00C957EF">
            <w:pPr>
              <w:spacing w:line="276" w:lineRule="auto"/>
              <w:rPr>
                <w:color w:val="FF0000"/>
              </w:rPr>
            </w:pPr>
          </w:p>
        </w:tc>
        <w:tc>
          <w:tcPr>
            <w:tcW w:w="1178" w:type="dxa"/>
            <w:tcBorders>
              <w:top w:val="single" w:sz="4" w:space="0" w:color="auto"/>
              <w:left w:val="single" w:sz="4" w:space="0" w:color="auto"/>
              <w:bottom w:val="single" w:sz="4" w:space="0" w:color="auto"/>
              <w:right w:val="single" w:sz="4" w:space="0" w:color="auto"/>
            </w:tcBorders>
            <w:vAlign w:val="center"/>
          </w:tcPr>
          <w:p w14:paraId="5DC4D3B6" w14:textId="77777777" w:rsidR="00A93F85" w:rsidRPr="00A93F85" w:rsidRDefault="00A93F85" w:rsidP="00C957EF">
            <w:pPr>
              <w:spacing w:line="276" w:lineRule="auto"/>
              <w:jc w:val="center"/>
              <w:rPr>
                <w:color w:val="FF0000"/>
              </w:rPr>
            </w:pPr>
          </w:p>
        </w:tc>
        <w:tc>
          <w:tcPr>
            <w:tcW w:w="1236" w:type="dxa"/>
            <w:tcBorders>
              <w:top w:val="single" w:sz="4" w:space="0" w:color="auto"/>
              <w:left w:val="single" w:sz="4" w:space="0" w:color="auto"/>
              <w:bottom w:val="single" w:sz="4" w:space="0" w:color="auto"/>
              <w:right w:val="single" w:sz="4" w:space="0" w:color="auto"/>
            </w:tcBorders>
            <w:vAlign w:val="center"/>
          </w:tcPr>
          <w:p w14:paraId="62FAD989" w14:textId="77777777" w:rsidR="00A93F85" w:rsidRPr="00A93F85" w:rsidRDefault="00A93F85" w:rsidP="00C957EF">
            <w:pPr>
              <w:spacing w:line="276" w:lineRule="auto"/>
              <w:jc w:val="center"/>
              <w:rPr>
                <w:color w:val="FF0000"/>
              </w:rPr>
            </w:pPr>
          </w:p>
        </w:tc>
        <w:tc>
          <w:tcPr>
            <w:tcW w:w="1214" w:type="dxa"/>
            <w:tcBorders>
              <w:top w:val="single" w:sz="4" w:space="0" w:color="auto"/>
              <w:left w:val="single" w:sz="4" w:space="0" w:color="auto"/>
              <w:bottom w:val="single" w:sz="4" w:space="0" w:color="auto"/>
              <w:right w:val="single" w:sz="4" w:space="0" w:color="auto"/>
            </w:tcBorders>
            <w:vAlign w:val="center"/>
          </w:tcPr>
          <w:p w14:paraId="4C78569A" w14:textId="77777777" w:rsidR="00A93F85" w:rsidRPr="00A93F85" w:rsidRDefault="00A93F85" w:rsidP="00C957EF">
            <w:pPr>
              <w:spacing w:line="276" w:lineRule="auto"/>
              <w:jc w:val="center"/>
              <w:rPr>
                <w:color w:val="FF0000"/>
              </w:rPr>
            </w:pPr>
          </w:p>
        </w:tc>
        <w:tc>
          <w:tcPr>
            <w:tcW w:w="1920" w:type="dxa"/>
            <w:tcBorders>
              <w:top w:val="single" w:sz="4" w:space="0" w:color="auto"/>
              <w:left w:val="single" w:sz="4" w:space="0" w:color="auto"/>
              <w:bottom w:val="single" w:sz="4" w:space="0" w:color="auto"/>
              <w:right w:val="single" w:sz="4" w:space="0" w:color="auto"/>
            </w:tcBorders>
            <w:vAlign w:val="center"/>
          </w:tcPr>
          <w:p w14:paraId="3F9F391F" w14:textId="77777777" w:rsidR="00A93F85" w:rsidRPr="00A93F85" w:rsidRDefault="00A93F85" w:rsidP="00C957EF">
            <w:pPr>
              <w:spacing w:line="276" w:lineRule="auto"/>
              <w:jc w:val="center"/>
              <w:rPr>
                <w:color w:val="FF0000"/>
              </w:rPr>
            </w:pPr>
          </w:p>
        </w:tc>
      </w:tr>
      <w:tr w:rsidR="00B63B03" w:rsidRPr="00A93F85" w14:paraId="3E8FADD9" w14:textId="77777777" w:rsidTr="00402D13">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120DF33B" w14:textId="3B60DDDB" w:rsidR="00A93F85" w:rsidRPr="0071557F" w:rsidRDefault="00453716" w:rsidP="00453716">
            <w:pPr>
              <w:jc w:val="both"/>
            </w:pPr>
            <w:r>
              <w:t>5.3. </w:t>
            </w:r>
            <w:r w:rsidR="00A93F85" w:rsidRPr="0071557F">
              <w:t xml:space="preserve">pašvaldību budžets </w:t>
            </w:r>
          </w:p>
        </w:tc>
        <w:tc>
          <w:tcPr>
            <w:tcW w:w="2532" w:type="dxa"/>
            <w:vMerge/>
            <w:tcBorders>
              <w:top w:val="single" w:sz="4" w:space="0" w:color="auto"/>
              <w:left w:val="single" w:sz="4" w:space="0" w:color="auto"/>
              <w:bottom w:val="single" w:sz="4" w:space="0" w:color="auto"/>
              <w:right w:val="single" w:sz="4" w:space="0" w:color="auto"/>
            </w:tcBorders>
            <w:vAlign w:val="center"/>
            <w:hideMark/>
          </w:tcPr>
          <w:p w14:paraId="3C38E29E" w14:textId="77777777" w:rsidR="00A93F85" w:rsidRPr="00A93F85" w:rsidRDefault="00A93F85" w:rsidP="00C957EF">
            <w:pPr>
              <w:spacing w:line="276" w:lineRule="auto"/>
              <w:rPr>
                <w:color w:val="FF0000"/>
              </w:rPr>
            </w:pPr>
          </w:p>
        </w:tc>
        <w:tc>
          <w:tcPr>
            <w:tcW w:w="1178" w:type="dxa"/>
            <w:tcBorders>
              <w:top w:val="single" w:sz="4" w:space="0" w:color="auto"/>
              <w:left w:val="single" w:sz="4" w:space="0" w:color="auto"/>
              <w:bottom w:val="single" w:sz="4" w:space="0" w:color="auto"/>
              <w:right w:val="single" w:sz="4" w:space="0" w:color="auto"/>
            </w:tcBorders>
            <w:vAlign w:val="center"/>
          </w:tcPr>
          <w:p w14:paraId="6D5AAC79" w14:textId="77777777" w:rsidR="00A93F85" w:rsidRPr="00A93F85" w:rsidRDefault="00A93F85" w:rsidP="00C957EF">
            <w:pPr>
              <w:spacing w:line="276" w:lineRule="auto"/>
              <w:jc w:val="center"/>
              <w:rPr>
                <w:color w:val="FF0000"/>
              </w:rPr>
            </w:pPr>
          </w:p>
        </w:tc>
        <w:tc>
          <w:tcPr>
            <w:tcW w:w="1236" w:type="dxa"/>
            <w:tcBorders>
              <w:top w:val="single" w:sz="4" w:space="0" w:color="auto"/>
              <w:left w:val="single" w:sz="4" w:space="0" w:color="auto"/>
              <w:bottom w:val="single" w:sz="4" w:space="0" w:color="auto"/>
              <w:right w:val="single" w:sz="4" w:space="0" w:color="auto"/>
            </w:tcBorders>
            <w:vAlign w:val="center"/>
          </w:tcPr>
          <w:p w14:paraId="4A979F6F" w14:textId="77777777" w:rsidR="00A93F85" w:rsidRPr="00A93F85" w:rsidRDefault="00A93F85" w:rsidP="00C957EF">
            <w:pPr>
              <w:spacing w:line="276" w:lineRule="auto"/>
              <w:jc w:val="center"/>
              <w:rPr>
                <w:color w:val="FF0000"/>
              </w:rPr>
            </w:pPr>
          </w:p>
        </w:tc>
        <w:tc>
          <w:tcPr>
            <w:tcW w:w="1214" w:type="dxa"/>
            <w:tcBorders>
              <w:top w:val="single" w:sz="4" w:space="0" w:color="auto"/>
              <w:left w:val="single" w:sz="4" w:space="0" w:color="auto"/>
              <w:bottom w:val="single" w:sz="4" w:space="0" w:color="auto"/>
              <w:right w:val="single" w:sz="4" w:space="0" w:color="auto"/>
            </w:tcBorders>
            <w:vAlign w:val="center"/>
          </w:tcPr>
          <w:p w14:paraId="35CC3A5E" w14:textId="77777777" w:rsidR="00A93F85" w:rsidRPr="00A93F85" w:rsidRDefault="00A93F85" w:rsidP="00C957EF">
            <w:pPr>
              <w:spacing w:line="276" w:lineRule="auto"/>
              <w:jc w:val="center"/>
              <w:rPr>
                <w:color w:val="FF0000"/>
              </w:rPr>
            </w:pPr>
          </w:p>
        </w:tc>
        <w:tc>
          <w:tcPr>
            <w:tcW w:w="1920" w:type="dxa"/>
            <w:tcBorders>
              <w:top w:val="single" w:sz="4" w:space="0" w:color="auto"/>
              <w:left w:val="single" w:sz="4" w:space="0" w:color="auto"/>
              <w:bottom w:val="single" w:sz="4" w:space="0" w:color="auto"/>
              <w:right w:val="single" w:sz="4" w:space="0" w:color="auto"/>
            </w:tcBorders>
            <w:vAlign w:val="center"/>
          </w:tcPr>
          <w:p w14:paraId="76E80834" w14:textId="77777777" w:rsidR="00A93F85" w:rsidRPr="00A93F85" w:rsidRDefault="00A93F85" w:rsidP="00C957EF">
            <w:pPr>
              <w:spacing w:line="276" w:lineRule="auto"/>
              <w:jc w:val="center"/>
              <w:rPr>
                <w:color w:val="FF0000"/>
              </w:rPr>
            </w:pPr>
          </w:p>
        </w:tc>
      </w:tr>
      <w:tr w:rsidR="00A93F85" w:rsidRPr="00A93F85" w14:paraId="7B8ACE3D" w14:textId="77777777" w:rsidTr="0043259A">
        <w:trPr>
          <w:jc w:val="center"/>
        </w:trPr>
        <w:tc>
          <w:tcPr>
            <w:tcW w:w="10060" w:type="dxa"/>
            <w:gridSpan w:val="6"/>
            <w:tcBorders>
              <w:top w:val="single" w:sz="4" w:space="0" w:color="auto"/>
              <w:left w:val="single" w:sz="4" w:space="0" w:color="auto"/>
              <w:bottom w:val="single" w:sz="4" w:space="0" w:color="auto"/>
              <w:right w:val="single" w:sz="4" w:space="0" w:color="auto"/>
            </w:tcBorders>
            <w:hideMark/>
          </w:tcPr>
          <w:p w14:paraId="290D3A85" w14:textId="77777777" w:rsidR="00A93F85" w:rsidRPr="00A93F85" w:rsidRDefault="00A93F85" w:rsidP="00C957EF">
            <w:pPr>
              <w:spacing w:line="276" w:lineRule="auto"/>
              <w:rPr>
                <w:color w:val="FF0000"/>
              </w:rPr>
            </w:pPr>
            <w:r w:rsidRPr="00EF0617">
              <w:t>6. Detalizēts ieņēmumu un izdevumu aprēķins (ja nepieciešams, detalizētu ieņēmumu un izdevumu aprēķinu var pievienot anotācijas pielikumā):</w:t>
            </w:r>
          </w:p>
        </w:tc>
      </w:tr>
      <w:tr w:rsidR="00A93F85" w:rsidRPr="00A93F85" w14:paraId="5CE7CE03" w14:textId="77777777" w:rsidTr="00402D13">
        <w:trPr>
          <w:jc w:val="center"/>
        </w:trPr>
        <w:tc>
          <w:tcPr>
            <w:tcW w:w="1980" w:type="dxa"/>
            <w:tcBorders>
              <w:top w:val="single" w:sz="4" w:space="0" w:color="auto"/>
              <w:left w:val="single" w:sz="4" w:space="0" w:color="auto"/>
              <w:bottom w:val="single" w:sz="4" w:space="0" w:color="auto"/>
              <w:right w:val="single" w:sz="4" w:space="0" w:color="auto"/>
            </w:tcBorders>
            <w:hideMark/>
          </w:tcPr>
          <w:p w14:paraId="1716F6C5" w14:textId="77777777" w:rsidR="00A93F85" w:rsidRPr="00EF0617" w:rsidRDefault="00A93F85" w:rsidP="00C957EF">
            <w:pPr>
              <w:spacing w:line="276" w:lineRule="auto"/>
            </w:pPr>
            <w:r w:rsidRPr="00EF0617">
              <w:t>6.1. Detalizēts ieņēmumu aprēķins</w:t>
            </w:r>
          </w:p>
        </w:tc>
        <w:tc>
          <w:tcPr>
            <w:tcW w:w="8080" w:type="dxa"/>
            <w:gridSpan w:val="5"/>
            <w:tcBorders>
              <w:top w:val="single" w:sz="4" w:space="0" w:color="auto"/>
              <w:left w:val="single" w:sz="4" w:space="0" w:color="auto"/>
              <w:bottom w:val="single" w:sz="4" w:space="0" w:color="auto"/>
              <w:right w:val="single" w:sz="4" w:space="0" w:color="auto"/>
            </w:tcBorders>
            <w:vAlign w:val="center"/>
            <w:hideMark/>
          </w:tcPr>
          <w:p w14:paraId="670599BD" w14:textId="77777777" w:rsidR="00A93F85" w:rsidRPr="00EF0617" w:rsidRDefault="00EF0617" w:rsidP="00DF4A3E">
            <w:pPr>
              <w:jc w:val="both"/>
              <w:rPr>
                <w:u w:val="single"/>
              </w:rPr>
            </w:pPr>
            <w:r w:rsidRPr="00EF0617">
              <w:rPr>
                <w:u w:val="single"/>
              </w:rPr>
              <w:t xml:space="preserve">Noteikumu projektā paredzētajam nav ietekmes uz izmaiņām valsts budžeta ieņēmumos </w:t>
            </w:r>
          </w:p>
        </w:tc>
      </w:tr>
      <w:tr w:rsidR="00A93F85" w:rsidRPr="00A93F85" w14:paraId="2C5C67AE" w14:textId="77777777" w:rsidTr="00402D13">
        <w:trPr>
          <w:jc w:val="center"/>
        </w:trPr>
        <w:tc>
          <w:tcPr>
            <w:tcW w:w="1980" w:type="dxa"/>
            <w:tcBorders>
              <w:top w:val="single" w:sz="4" w:space="0" w:color="auto"/>
              <w:left w:val="single" w:sz="4" w:space="0" w:color="auto"/>
              <w:bottom w:val="single" w:sz="4" w:space="0" w:color="auto"/>
              <w:right w:val="single" w:sz="4" w:space="0" w:color="auto"/>
            </w:tcBorders>
            <w:hideMark/>
          </w:tcPr>
          <w:p w14:paraId="43D72793" w14:textId="77777777" w:rsidR="00A93F85" w:rsidRPr="00A93F85" w:rsidRDefault="00A93F85" w:rsidP="00C957EF">
            <w:pPr>
              <w:spacing w:line="276" w:lineRule="auto"/>
              <w:rPr>
                <w:color w:val="FF0000"/>
              </w:rPr>
            </w:pPr>
            <w:r w:rsidRPr="00D30998">
              <w:t>6.2. Detalizēts izdevumu aprēķins</w:t>
            </w:r>
          </w:p>
        </w:tc>
        <w:tc>
          <w:tcPr>
            <w:tcW w:w="8080" w:type="dxa"/>
            <w:gridSpan w:val="5"/>
            <w:tcBorders>
              <w:top w:val="single" w:sz="4" w:space="0" w:color="auto"/>
              <w:left w:val="single" w:sz="4" w:space="0" w:color="auto"/>
              <w:bottom w:val="single" w:sz="4" w:space="0" w:color="auto"/>
              <w:right w:val="single" w:sz="4" w:space="0" w:color="auto"/>
            </w:tcBorders>
          </w:tcPr>
          <w:p w14:paraId="2A6808A1" w14:textId="7430CE72" w:rsidR="00015C39" w:rsidRPr="00015C39" w:rsidRDefault="00015C39">
            <w:pPr>
              <w:rPr>
                <w:u w:val="single"/>
              </w:rPr>
            </w:pPr>
            <w:r w:rsidRPr="00015C39">
              <w:rPr>
                <w:u w:val="single"/>
              </w:rPr>
              <w:t>Noteikumu projektā paredzētajam nav ietekmes uz izmaiņām valsts budžeta izdevumos</w:t>
            </w:r>
          </w:p>
          <w:tbl>
            <w:tblPr>
              <w:tblW w:w="7830" w:type="dxa"/>
              <w:tblLayout w:type="fixed"/>
              <w:tblLook w:val="01E0" w:firstRow="1" w:lastRow="1" w:firstColumn="1" w:lastColumn="1" w:noHBand="0" w:noVBand="0"/>
            </w:tblPr>
            <w:tblGrid>
              <w:gridCol w:w="7830"/>
            </w:tblGrid>
            <w:tr w:rsidR="00DC254B" w:rsidRPr="00784FA2" w14:paraId="2A233B01" w14:textId="77777777" w:rsidTr="00490CF9">
              <w:trPr>
                <w:trHeight w:val="142"/>
              </w:trPr>
              <w:tc>
                <w:tcPr>
                  <w:tcW w:w="7830" w:type="dxa"/>
                  <w:shd w:val="clear" w:color="auto" w:fill="auto"/>
                </w:tcPr>
                <w:p w14:paraId="0F6CEFF7" w14:textId="77777777" w:rsidR="00015C39" w:rsidRDefault="00015C39" w:rsidP="00A813DC">
                  <w:pPr>
                    <w:spacing w:after="120"/>
                    <w:ind w:left="-74"/>
                    <w:jc w:val="both"/>
                  </w:pPr>
                </w:p>
                <w:p w14:paraId="0D6EA919" w14:textId="68D37347" w:rsidR="00784FA2" w:rsidRPr="00B63B03" w:rsidRDefault="00461821" w:rsidP="00A813DC">
                  <w:pPr>
                    <w:spacing w:after="120"/>
                    <w:ind w:left="-74"/>
                    <w:jc w:val="both"/>
                  </w:pPr>
                  <w:r w:rsidRPr="00B63B03">
                    <w:t xml:space="preserve">Nepieciešamais finansējuma apmērs </w:t>
                  </w:r>
                  <w:r w:rsidR="0047038B">
                    <w:t xml:space="preserve">maznodrošinātu ģimeņu (personu) ar vidējo ienākumu līmeni līdz 188 </w:t>
                  </w:r>
                  <w:proofErr w:type="spellStart"/>
                  <w:r w:rsidR="003E7A5D" w:rsidRPr="003E7A5D">
                    <w:rPr>
                      <w:i/>
                    </w:rPr>
                    <w:t>euro</w:t>
                  </w:r>
                  <w:proofErr w:type="spellEnd"/>
                  <w:r w:rsidR="0047038B">
                    <w:t xml:space="preserve"> </w:t>
                  </w:r>
                  <w:r w:rsidRPr="00B63B03">
                    <w:rPr>
                      <w:b/>
                    </w:rPr>
                    <w:t>201</w:t>
                  </w:r>
                  <w:r w:rsidR="0047038B">
                    <w:rPr>
                      <w:b/>
                    </w:rPr>
                    <w:t>8</w:t>
                  </w:r>
                  <w:r w:rsidRPr="00B63B03">
                    <w:rPr>
                      <w:b/>
                    </w:rPr>
                    <w:t>.-20</w:t>
                  </w:r>
                  <w:r w:rsidR="0047038B">
                    <w:rPr>
                      <w:b/>
                    </w:rPr>
                    <w:t>20</w:t>
                  </w:r>
                  <w:r w:rsidRPr="00B63B03">
                    <w:t>. gadam un līdz darbības programmas ieviešanas beigām balstīts uz šādiem pieņēmumiem un statistiku:</w:t>
                  </w:r>
                </w:p>
                <w:p w14:paraId="30ABE00D" w14:textId="4E4518AE" w:rsidR="00784FA2" w:rsidRDefault="006E0BBE" w:rsidP="00A813DC">
                  <w:pPr>
                    <w:pStyle w:val="ListParagraph"/>
                    <w:numPr>
                      <w:ilvl w:val="0"/>
                      <w:numId w:val="17"/>
                    </w:numPr>
                    <w:spacing w:after="120" w:line="240" w:lineRule="auto"/>
                    <w:ind w:left="210" w:right="34" w:hanging="284"/>
                    <w:jc w:val="both"/>
                    <w:rPr>
                      <w:rFonts w:ascii="Times New Roman" w:hAnsi="Times New Roman"/>
                      <w:sz w:val="24"/>
                      <w:szCs w:val="24"/>
                    </w:rPr>
                  </w:pPr>
                  <w:r w:rsidRPr="006E0BBE">
                    <w:rPr>
                      <w:rFonts w:ascii="Times New Roman" w:hAnsi="Times New Roman"/>
                      <w:sz w:val="24"/>
                      <w:szCs w:val="24"/>
                    </w:rPr>
                    <w:lastRenderedPageBreak/>
                    <w:t>Ja 2015. gadā trūcīgas pe</w:t>
                  </w:r>
                  <w:r w:rsidR="007873B6">
                    <w:rPr>
                      <w:rFonts w:ascii="Times New Roman" w:hAnsi="Times New Roman"/>
                      <w:sz w:val="24"/>
                      <w:szCs w:val="24"/>
                    </w:rPr>
                    <w:t>rsonas statuss tika piešķirts 81 887</w:t>
                  </w:r>
                  <w:r w:rsidRPr="006E0BBE">
                    <w:rPr>
                      <w:rFonts w:ascii="Times New Roman" w:hAnsi="Times New Roman"/>
                      <w:sz w:val="24"/>
                      <w:szCs w:val="24"/>
                    </w:rPr>
                    <w:t xml:space="preserve"> personām, t.sk. 26 </w:t>
                  </w:r>
                  <w:r w:rsidR="007873B6">
                    <w:rPr>
                      <w:rFonts w:ascii="Times New Roman" w:hAnsi="Times New Roman"/>
                      <w:sz w:val="24"/>
                      <w:szCs w:val="24"/>
                    </w:rPr>
                    <w:t>468</w:t>
                  </w:r>
                  <w:r w:rsidRPr="006E0BBE">
                    <w:rPr>
                      <w:rFonts w:ascii="Times New Roman" w:hAnsi="Times New Roman"/>
                      <w:sz w:val="24"/>
                      <w:szCs w:val="24"/>
                    </w:rPr>
                    <w:t xml:space="preserve"> bērniem, tad 2016. gadā – 68 816 personām, t.sk. 20 851 bērniem, kas attiecīgi ir par 16</w:t>
                  </w:r>
                  <w:r w:rsidR="00DF4A3E">
                    <w:rPr>
                      <w:rFonts w:ascii="Times New Roman" w:hAnsi="Times New Roman"/>
                      <w:sz w:val="24"/>
                      <w:szCs w:val="24"/>
                    </w:rPr>
                    <w:t> </w:t>
                  </w:r>
                  <w:r w:rsidRPr="006E0BBE">
                    <w:rPr>
                      <w:rFonts w:ascii="Times New Roman" w:hAnsi="Times New Roman"/>
                      <w:sz w:val="24"/>
                      <w:szCs w:val="24"/>
                    </w:rPr>
                    <w:t>% un 21,</w:t>
                  </w:r>
                  <w:r w:rsidR="007873B6">
                    <w:rPr>
                      <w:rFonts w:ascii="Times New Roman" w:hAnsi="Times New Roman"/>
                      <w:sz w:val="24"/>
                      <w:szCs w:val="24"/>
                    </w:rPr>
                    <w:t>2</w:t>
                  </w:r>
                  <w:r w:rsidR="00DF4A3E">
                    <w:rPr>
                      <w:rFonts w:ascii="Times New Roman" w:hAnsi="Times New Roman"/>
                      <w:sz w:val="24"/>
                      <w:szCs w:val="24"/>
                    </w:rPr>
                    <w:t> </w:t>
                  </w:r>
                  <w:r w:rsidRPr="006E0BBE">
                    <w:rPr>
                      <w:rFonts w:ascii="Times New Roman" w:hAnsi="Times New Roman"/>
                      <w:sz w:val="24"/>
                      <w:szCs w:val="24"/>
                    </w:rPr>
                    <w:t>% mazāk nekā 2015. gadā</w:t>
                  </w:r>
                  <w:r w:rsidR="00EA109D" w:rsidRPr="00B63B03">
                    <w:rPr>
                      <w:rStyle w:val="FootnoteReference"/>
                      <w:sz w:val="24"/>
                      <w:szCs w:val="24"/>
                    </w:rPr>
                    <w:footnoteReference w:id="7"/>
                  </w:r>
                  <w:r w:rsidR="00784FA2" w:rsidRPr="00B63B03">
                    <w:rPr>
                      <w:rFonts w:ascii="Times New Roman" w:hAnsi="Times New Roman"/>
                      <w:sz w:val="24"/>
                      <w:szCs w:val="24"/>
                    </w:rPr>
                    <w:t>.</w:t>
                  </w:r>
                </w:p>
                <w:p w14:paraId="79C97966" w14:textId="4087C10E" w:rsidR="00784FA2" w:rsidRPr="00B63B03" w:rsidRDefault="00461821" w:rsidP="00A813DC">
                  <w:pPr>
                    <w:pStyle w:val="ListParagraph"/>
                    <w:numPr>
                      <w:ilvl w:val="0"/>
                      <w:numId w:val="17"/>
                    </w:numPr>
                    <w:spacing w:after="120" w:line="240" w:lineRule="auto"/>
                    <w:ind w:left="210" w:right="34" w:hanging="284"/>
                    <w:jc w:val="both"/>
                    <w:rPr>
                      <w:rFonts w:ascii="Times New Roman" w:hAnsi="Times New Roman"/>
                      <w:sz w:val="24"/>
                      <w:szCs w:val="24"/>
                    </w:rPr>
                  </w:pPr>
                  <w:r w:rsidRPr="00B63B03">
                    <w:rPr>
                      <w:rFonts w:ascii="Times New Roman" w:hAnsi="Times New Roman"/>
                      <w:sz w:val="24"/>
                      <w:szCs w:val="24"/>
                    </w:rPr>
                    <w:t>Balstoties uz 201</w:t>
                  </w:r>
                  <w:r w:rsidR="006E0BBE">
                    <w:rPr>
                      <w:rFonts w:ascii="Times New Roman" w:hAnsi="Times New Roman"/>
                      <w:sz w:val="24"/>
                      <w:szCs w:val="24"/>
                    </w:rPr>
                    <w:t>5</w:t>
                  </w:r>
                  <w:r w:rsidRPr="00B63B03">
                    <w:rPr>
                      <w:rFonts w:ascii="Times New Roman" w:hAnsi="Times New Roman"/>
                      <w:sz w:val="24"/>
                      <w:szCs w:val="24"/>
                    </w:rPr>
                    <w:t>.</w:t>
                  </w:r>
                  <w:r w:rsidR="00DF4A3E">
                    <w:rPr>
                      <w:rFonts w:ascii="Times New Roman" w:hAnsi="Times New Roman"/>
                      <w:sz w:val="24"/>
                      <w:szCs w:val="24"/>
                    </w:rPr>
                    <w:t xml:space="preserve"> </w:t>
                  </w:r>
                  <w:r w:rsidR="006E0BBE">
                    <w:rPr>
                      <w:rFonts w:ascii="Times New Roman" w:hAnsi="Times New Roman"/>
                      <w:sz w:val="24"/>
                      <w:szCs w:val="24"/>
                    </w:rPr>
                    <w:t>un 2016.</w:t>
                  </w:r>
                  <w:r w:rsidR="00DF4A3E">
                    <w:rPr>
                      <w:rFonts w:ascii="Times New Roman" w:hAnsi="Times New Roman"/>
                      <w:sz w:val="24"/>
                      <w:szCs w:val="24"/>
                    </w:rPr>
                    <w:t> </w:t>
                  </w:r>
                  <w:r w:rsidR="006E0BBE">
                    <w:rPr>
                      <w:rFonts w:ascii="Times New Roman" w:hAnsi="Times New Roman"/>
                      <w:sz w:val="24"/>
                      <w:szCs w:val="24"/>
                    </w:rPr>
                    <w:t>gada</w:t>
                  </w:r>
                  <w:r w:rsidRPr="00B63B03">
                    <w:rPr>
                      <w:rFonts w:ascii="Times New Roman" w:hAnsi="Times New Roman"/>
                      <w:sz w:val="24"/>
                      <w:szCs w:val="24"/>
                    </w:rPr>
                    <w:t xml:space="preserve"> statistiku un 201</w:t>
                  </w:r>
                  <w:r w:rsidR="006E0BBE">
                    <w:rPr>
                      <w:rFonts w:ascii="Times New Roman" w:hAnsi="Times New Roman"/>
                      <w:sz w:val="24"/>
                      <w:szCs w:val="24"/>
                    </w:rPr>
                    <w:t>7</w:t>
                  </w:r>
                  <w:r w:rsidRPr="00B63B03">
                    <w:rPr>
                      <w:rFonts w:ascii="Times New Roman" w:hAnsi="Times New Roman"/>
                      <w:sz w:val="24"/>
                      <w:szCs w:val="24"/>
                    </w:rPr>
                    <w:t>.</w:t>
                  </w:r>
                  <w:r w:rsidR="00EA109D" w:rsidRPr="00B63B03">
                    <w:rPr>
                      <w:rFonts w:ascii="Times New Roman" w:hAnsi="Times New Roman"/>
                      <w:sz w:val="24"/>
                      <w:szCs w:val="24"/>
                    </w:rPr>
                    <w:t> </w:t>
                  </w:r>
                  <w:r w:rsidRPr="00B63B03">
                    <w:rPr>
                      <w:rFonts w:ascii="Times New Roman" w:hAnsi="Times New Roman"/>
                      <w:sz w:val="24"/>
                      <w:szCs w:val="24"/>
                    </w:rPr>
                    <w:t xml:space="preserve">gada </w:t>
                  </w:r>
                  <w:r w:rsidR="00AC2C8A">
                    <w:rPr>
                      <w:rFonts w:ascii="Times New Roman" w:hAnsi="Times New Roman"/>
                      <w:sz w:val="24"/>
                      <w:szCs w:val="24"/>
                    </w:rPr>
                    <w:t>10</w:t>
                  </w:r>
                  <w:r w:rsidRPr="00B63B03">
                    <w:rPr>
                      <w:rFonts w:ascii="Times New Roman" w:hAnsi="Times New Roman"/>
                      <w:sz w:val="24"/>
                      <w:szCs w:val="24"/>
                    </w:rPr>
                    <w:t xml:space="preserve"> mēnešu operatīviem</w:t>
                  </w:r>
                  <w:r w:rsidR="00EA109D" w:rsidRPr="00B63B03">
                    <w:rPr>
                      <w:rFonts w:ascii="Times New Roman" w:hAnsi="Times New Roman"/>
                      <w:sz w:val="24"/>
                      <w:szCs w:val="24"/>
                    </w:rPr>
                    <w:t xml:space="preserve"> pašvaldību datiem un tendencēm, 201</w:t>
                  </w:r>
                  <w:r w:rsidR="006E0BBE">
                    <w:rPr>
                      <w:rFonts w:ascii="Times New Roman" w:hAnsi="Times New Roman"/>
                      <w:sz w:val="24"/>
                      <w:szCs w:val="24"/>
                    </w:rPr>
                    <w:t>7</w:t>
                  </w:r>
                  <w:r w:rsidR="00EA109D" w:rsidRPr="00B63B03">
                    <w:rPr>
                      <w:rFonts w:ascii="Times New Roman" w:hAnsi="Times New Roman"/>
                      <w:sz w:val="24"/>
                      <w:szCs w:val="24"/>
                    </w:rPr>
                    <w:t>. </w:t>
                  </w:r>
                  <w:r w:rsidRPr="00B63B03">
                    <w:rPr>
                      <w:rFonts w:ascii="Times New Roman" w:hAnsi="Times New Roman"/>
                      <w:sz w:val="24"/>
                      <w:szCs w:val="24"/>
                    </w:rPr>
                    <w:t xml:space="preserve">gadā trūcīgu personu skaits tiek prognozēts vidēji </w:t>
                  </w:r>
                  <w:r w:rsidR="006E0BBE">
                    <w:rPr>
                      <w:rFonts w:ascii="Times New Roman" w:hAnsi="Times New Roman"/>
                      <w:sz w:val="24"/>
                      <w:szCs w:val="24"/>
                    </w:rPr>
                    <w:t>45</w:t>
                  </w:r>
                  <w:r w:rsidR="00EA109D" w:rsidRPr="00B63B03">
                    <w:rPr>
                      <w:rFonts w:ascii="Times New Roman" w:hAnsi="Times New Roman"/>
                      <w:sz w:val="24"/>
                      <w:szCs w:val="24"/>
                    </w:rPr>
                    <w:t xml:space="preserve"> tūkst.</w:t>
                  </w:r>
                  <w:r w:rsidR="006C2F16">
                    <w:rPr>
                      <w:rFonts w:ascii="Times New Roman" w:hAnsi="Times New Roman"/>
                      <w:sz w:val="24"/>
                      <w:szCs w:val="24"/>
                    </w:rPr>
                    <w:t xml:space="preserve"> </w:t>
                  </w:r>
                  <w:r w:rsidR="006E0BBE">
                    <w:rPr>
                      <w:rFonts w:ascii="Times New Roman" w:hAnsi="Times New Roman"/>
                      <w:sz w:val="24"/>
                      <w:szCs w:val="24"/>
                    </w:rPr>
                    <w:t>personu</w:t>
                  </w:r>
                  <w:r w:rsidR="00EA109D" w:rsidRPr="00B63B03">
                    <w:rPr>
                      <w:rFonts w:ascii="Times New Roman" w:hAnsi="Times New Roman"/>
                      <w:sz w:val="24"/>
                      <w:szCs w:val="24"/>
                    </w:rPr>
                    <w:t xml:space="preserve"> mēnesī, </w:t>
                  </w:r>
                  <w:r w:rsidR="006E0BBE">
                    <w:rPr>
                      <w:rFonts w:ascii="Times New Roman" w:hAnsi="Times New Roman"/>
                      <w:sz w:val="24"/>
                      <w:szCs w:val="24"/>
                    </w:rPr>
                    <w:t>t.sk.</w:t>
                  </w:r>
                  <w:r w:rsidR="00490CF9">
                    <w:rPr>
                      <w:rFonts w:ascii="Times New Roman" w:hAnsi="Times New Roman"/>
                      <w:sz w:val="24"/>
                      <w:szCs w:val="24"/>
                    </w:rPr>
                    <w:t xml:space="preserve"> </w:t>
                  </w:r>
                  <w:r w:rsidR="006E0BBE">
                    <w:rPr>
                      <w:rFonts w:ascii="Times New Roman" w:hAnsi="Times New Roman"/>
                      <w:sz w:val="24"/>
                      <w:szCs w:val="24"/>
                    </w:rPr>
                    <w:t xml:space="preserve">12 tūkst. bērnu, </w:t>
                  </w:r>
                  <w:r w:rsidR="00EA109D" w:rsidRPr="00B63B03">
                    <w:rPr>
                      <w:rFonts w:ascii="Times New Roman" w:hAnsi="Times New Roman"/>
                      <w:sz w:val="24"/>
                      <w:szCs w:val="24"/>
                    </w:rPr>
                    <w:t>s</w:t>
                  </w:r>
                  <w:r w:rsidRPr="00B63B03">
                    <w:rPr>
                      <w:rFonts w:ascii="Times New Roman" w:hAnsi="Times New Roman"/>
                      <w:sz w:val="24"/>
                      <w:szCs w:val="24"/>
                    </w:rPr>
                    <w:t>avukārt 201</w:t>
                  </w:r>
                  <w:r w:rsidR="006E0BBE">
                    <w:rPr>
                      <w:rFonts w:ascii="Times New Roman" w:hAnsi="Times New Roman"/>
                      <w:sz w:val="24"/>
                      <w:szCs w:val="24"/>
                    </w:rPr>
                    <w:t>8</w:t>
                  </w:r>
                  <w:r w:rsidRPr="00B63B03">
                    <w:rPr>
                      <w:rFonts w:ascii="Times New Roman" w:hAnsi="Times New Roman"/>
                      <w:sz w:val="24"/>
                      <w:szCs w:val="24"/>
                    </w:rPr>
                    <w:t>.</w:t>
                  </w:r>
                  <w:r w:rsidR="00EA109D" w:rsidRPr="00B63B03">
                    <w:rPr>
                      <w:rFonts w:ascii="Times New Roman" w:hAnsi="Times New Roman"/>
                      <w:sz w:val="24"/>
                      <w:szCs w:val="24"/>
                    </w:rPr>
                    <w:t> </w:t>
                  </w:r>
                  <w:r w:rsidRPr="00B63B03">
                    <w:rPr>
                      <w:rFonts w:ascii="Times New Roman" w:hAnsi="Times New Roman"/>
                      <w:sz w:val="24"/>
                      <w:szCs w:val="24"/>
                    </w:rPr>
                    <w:t>gadā un turpmāk</w:t>
                  </w:r>
                  <w:r w:rsidR="006E0BBE">
                    <w:rPr>
                      <w:rFonts w:ascii="Times New Roman" w:hAnsi="Times New Roman"/>
                      <w:sz w:val="24"/>
                      <w:szCs w:val="24"/>
                    </w:rPr>
                    <w:t xml:space="preserve"> 42</w:t>
                  </w:r>
                  <w:r w:rsidR="00D42481" w:rsidRPr="00B63B03">
                    <w:rPr>
                      <w:rFonts w:ascii="Times New Roman" w:hAnsi="Times New Roman"/>
                      <w:sz w:val="24"/>
                      <w:szCs w:val="24"/>
                    </w:rPr>
                    <w:t> </w:t>
                  </w:r>
                  <w:r w:rsidRPr="00B63B03">
                    <w:rPr>
                      <w:rFonts w:ascii="Times New Roman" w:hAnsi="Times New Roman"/>
                      <w:sz w:val="24"/>
                      <w:szCs w:val="24"/>
                    </w:rPr>
                    <w:t>tūkst. mēnesī,</w:t>
                  </w:r>
                  <w:r w:rsidR="006E0BBE" w:rsidRPr="006E0BBE">
                    <w:rPr>
                      <w:rFonts w:ascii="Times New Roman" w:eastAsia="Times New Roman" w:hAnsi="Times New Roman"/>
                      <w:sz w:val="24"/>
                      <w:szCs w:val="24"/>
                      <w:lang w:eastAsia="lv-LV"/>
                    </w:rPr>
                    <w:t xml:space="preserve"> </w:t>
                  </w:r>
                  <w:r w:rsidR="006E0BBE" w:rsidRPr="006E0BBE">
                    <w:rPr>
                      <w:rFonts w:ascii="Times New Roman" w:hAnsi="Times New Roman"/>
                      <w:sz w:val="24"/>
                      <w:szCs w:val="24"/>
                    </w:rPr>
                    <w:t>t.sk.1</w:t>
                  </w:r>
                  <w:r w:rsidR="006E0BBE">
                    <w:rPr>
                      <w:rFonts w:ascii="Times New Roman" w:hAnsi="Times New Roman"/>
                      <w:sz w:val="24"/>
                      <w:szCs w:val="24"/>
                    </w:rPr>
                    <w:t>1</w:t>
                  </w:r>
                  <w:r w:rsidR="006E0BBE" w:rsidRPr="006E0BBE">
                    <w:rPr>
                      <w:rFonts w:ascii="Times New Roman" w:hAnsi="Times New Roman"/>
                      <w:sz w:val="24"/>
                      <w:szCs w:val="24"/>
                    </w:rPr>
                    <w:t xml:space="preserve"> tūkst. bērnu</w:t>
                  </w:r>
                  <w:r w:rsidR="006C2F16">
                    <w:rPr>
                      <w:rFonts w:ascii="Times New Roman" w:hAnsi="Times New Roman"/>
                      <w:sz w:val="24"/>
                      <w:szCs w:val="24"/>
                    </w:rPr>
                    <w:t xml:space="preserve">, </w:t>
                  </w:r>
                  <w:r w:rsidRPr="00B63B03">
                    <w:rPr>
                      <w:rFonts w:ascii="Times New Roman" w:hAnsi="Times New Roman"/>
                      <w:sz w:val="24"/>
                      <w:szCs w:val="24"/>
                    </w:rPr>
                    <w:t xml:space="preserve">t.i., samazinoties par vidēji </w:t>
                  </w:r>
                  <w:r w:rsidR="006E0BBE">
                    <w:rPr>
                      <w:rFonts w:ascii="Times New Roman" w:hAnsi="Times New Roman"/>
                      <w:sz w:val="24"/>
                      <w:szCs w:val="24"/>
                    </w:rPr>
                    <w:t>3</w:t>
                  </w:r>
                  <w:r w:rsidRPr="00B63B03">
                    <w:rPr>
                      <w:rFonts w:ascii="Times New Roman" w:hAnsi="Times New Roman"/>
                      <w:sz w:val="24"/>
                      <w:szCs w:val="24"/>
                    </w:rPr>
                    <w:t xml:space="preserve"> tūkst.</w:t>
                  </w:r>
                  <w:r w:rsidR="006C2F16">
                    <w:rPr>
                      <w:rFonts w:ascii="Times New Roman" w:hAnsi="Times New Roman"/>
                      <w:sz w:val="24"/>
                      <w:szCs w:val="24"/>
                    </w:rPr>
                    <w:t xml:space="preserve"> </w:t>
                  </w:r>
                  <w:r w:rsidR="006E0BBE">
                    <w:rPr>
                      <w:rFonts w:ascii="Times New Roman" w:hAnsi="Times New Roman"/>
                      <w:sz w:val="24"/>
                      <w:szCs w:val="24"/>
                    </w:rPr>
                    <w:t>personām</w:t>
                  </w:r>
                  <w:r w:rsidR="006C2F16">
                    <w:rPr>
                      <w:rFonts w:ascii="Times New Roman" w:hAnsi="Times New Roman"/>
                      <w:sz w:val="24"/>
                      <w:szCs w:val="24"/>
                    </w:rPr>
                    <w:t>, t.sk.</w:t>
                  </w:r>
                  <w:r w:rsidR="00490CF9">
                    <w:rPr>
                      <w:rFonts w:ascii="Times New Roman" w:hAnsi="Times New Roman"/>
                      <w:sz w:val="24"/>
                      <w:szCs w:val="24"/>
                    </w:rPr>
                    <w:t xml:space="preserve"> </w:t>
                  </w:r>
                  <w:r w:rsidR="006C2F16">
                    <w:rPr>
                      <w:rFonts w:ascii="Times New Roman" w:hAnsi="Times New Roman"/>
                      <w:sz w:val="24"/>
                      <w:szCs w:val="24"/>
                    </w:rPr>
                    <w:t>1 tūkst. bērnu</w:t>
                  </w:r>
                  <w:r w:rsidRPr="00B63B03">
                    <w:rPr>
                      <w:rFonts w:ascii="Times New Roman" w:hAnsi="Times New Roman"/>
                      <w:sz w:val="24"/>
                      <w:szCs w:val="24"/>
                    </w:rPr>
                    <w:t xml:space="preserve"> salīdzinot ar 201</w:t>
                  </w:r>
                  <w:r w:rsidR="006E0BBE">
                    <w:rPr>
                      <w:rFonts w:ascii="Times New Roman" w:hAnsi="Times New Roman"/>
                      <w:sz w:val="24"/>
                      <w:szCs w:val="24"/>
                    </w:rPr>
                    <w:t>7</w:t>
                  </w:r>
                  <w:r w:rsidRPr="00B63B03">
                    <w:rPr>
                      <w:rFonts w:ascii="Times New Roman" w:hAnsi="Times New Roman"/>
                      <w:sz w:val="24"/>
                      <w:szCs w:val="24"/>
                    </w:rPr>
                    <w:t>.</w:t>
                  </w:r>
                  <w:r w:rsidR="00D42481" w:rsidRPr="00B63B03">
                    <w:rPr>
                      <w:rFonts w:ascii="Times New Roman" w:hAnsi="Times New Roman"/>
                      <w:sz w:val="24"/>
                      <w:szCs w:val="24"/>
                    </w:rPr>
                    <w:t> </w:t>
                  </w:r>
                  <w:r w:rsidRPr="00B63B03">
                    <w:rPr>
                      <w:rFonts w:ascii="Times New Roman" w:hAnsi="Times New Roman"/>
                      <w:sz w:val="24"/>
                      <w:szCs w:val="24"/>
                    </w:rPr>
                    <w:t>gadu.</w:t>
                  </w:r>
                </w:p>
                <w:p w14:paraId="46159402" w14:textId="7B66A2B4" w:rsidR="00784FA2" w:rsidRPr="00B63B03" w:rsidRDefault="006C2F16" w:rsidP="00A813DC">
                  <w:pPr>
                    <w:pStyle w:val="ListParagraph"/>
                    <w:numPr>
                      <w:ilvl w:val="0"/>
                      <w:numId w:val="17"/>
                    </w:numPr>
                    <w:spacing w:after="0" w:line="240" w:lineRule="auto"/>
                    <w:ind w:left="209" w:right="34" w:hanging="283"/>
                    <w:jc w:val="both"/>
                    <w:rPr>
                      <w:rFonts w:ascii="Times New Roman" w:hAnsi="Times New Roman"/>
                      <w:sz w:val="24"/>
                      <w:szCs w:val="24"/>
                    </w:rPr>
                  </w:pPr>
                  <w:r>
                    <w:rPr>
                      <w:rFonts w:ascii="Times New Roman" w:hAnsi="Times New Roman"/>
                      <w:sz w:val="24"/>
                      <w:szCs w:val="24"/>
                    </w:rPr>
                    <w:t xml:space="preserve">Papildus indikatīvi </w:t>
                  </w:r>
                  <w:r w:rsidRPr="009D1BDE">
                    <w:rPr>
                      <w:rFonts w:ascii="Times New Roman" w:hAnsi="Times New Roman"/>
                      <w:sz w:val="24"/>
                      <w:szCs w:val="24"/>
                    </w:rPr>
                    <w:t xml:space="preserve">līdz </w:t>
                  </w:r>
                  <w:r w:rsidR="00C809D2">
                    <w:rPr>
                      <w:rFonts w:ascii="Times New Roman" w:hAnsi="Times New Roman"/>
                      <w:sz w:val="24"/>
                      <w:szCs w:val="24"/>
                    </w:rPr>
                    <w:t>2</w:t>
                  </w:r>
                  <w:r w:rsidRPr="009D1BDE">
                    <w:rPr>
                      <w:rFonts w:ascii="Times New Roman" w:hAnsi="Times New Roman"/>
                      <w:sz w:val="24"/>
                      <w:szCs w:val="24"/>
                    </w:rPr>
                    <w:t xml:space="preserve"> tūkst. personām</w:t>
                  </w:r>
                  <w:r w:rsidR="00C809D2">
                    <w:rPr>
                      <w:rFonts w:ascii="Times New Roman" w:hAnsi="Times New Roman"/>
                      <w:sz w:val="24"/>
                      <w:szCs w:val="24"/>
                    </w:rPr>
                    <w:t xml:space="preserve"> gadā</w:t>
                  </w:r>
                  <w:r w:rsidRPr="009D1BDE">
                    <w:rPr>
                      <w:rFonts w:ascii="Times New Roman" w:hAnsi="Times New Roman"/>
                      <w:sz w:val="24"/>
                      <w:szCs w:val="24"/>
                    </w:rPr>
                    <w:t>, t.sk.,</w:t>
                  </w:r>
                  <w:r w:rsidR="00211ACF" w:rsidRPr="009D1BDE">
                    <w:rPr>
                      <w:rFonts w:ascii="Times New Roman" w:hAnsi="Times New Roman"/>
                      <w:sz w:val="24"/>
                      <w:szCs w:val="24"/>
                    </w:rPr>
                    <w:t xml:space="preserve"> </w:t>
                  </w:r>
                  <w:r w:rsidRPr="009D1BDE">
                    <w:rPr>
                      <w:rFonts w:ascii="Times New Roman" w:hAnsi="Times New Roman"/>
                      <w:sz w:val="24"/>
                      <w:szCs w:val="24"/>
                    </w:rPr>
                    <w:t>0</w:t>
                  </w:r>
                  <w:r w:rsidR="00DF4A3E">
                    <w:rPr>
                      <w:rFonts w:ascii="Times New Roman" w:hAnsi="Times New Roman"/>
                      <w:sz w:val="24"/>
                      <w:szCs w:val="24"/>
                    </w:rPr>
                    <w:t>,</w:t>
                  </w:r>
                  <w:r w:rsidR="00C809D2">
                    <w:rPr>
                      <w:rFonts w:ascii="Times New Roman" w:hAnsi="Times New Roman"/>
                      <w:sz w:val="24"/>
                      <w:szCs w:val="24"/>
                    </w:rPr>
                    <w:t>5</w:t>
                  </w:r>
                  <w:r w:rsidR="00211ACF" w:rsidRPr="009D1BDE">
                    <w:rPr>
                      <w:rFonts w:ascii="Times New Roman" w:hAnsi="Times New Roman"/>
                      <w:sz w:val="24"/>
                      <w:szCs w:val="24"/>
                    </w:rPr>
                    <w:t xml:space="preserve"> </w:t>
                  </w:r>
                  <w:r w:rsidRPr="009D1BDE">
                    <w:rPr>
                      <w:rFonts w:ascii="Times New Roman" w:hAnsi="Times New Roman"/>
                      <w:sz w:val="24"/>
                      <w:szCs w:val="24"/>
                    </w:rPr>
                    <w:t>tūkst</w:t>
                  </w:r>
                  <w:r w:rsidR="00211ACF" w:rsidRPr="009D1BDE">
                    <w:rPr>
                      <w:rFonts w:ascii="Times New Roman" w:hAnsi="Times New Roman"/>
                      <w:sz w:val="24"/>
                      <w:szCs w:val="24"/>
                    </w:rPr>
                    <w:t>.</w:t>
                  </w:r>
                  <w:r>
                    <w:rPr>
                      <w:rFonts w:ascii="Times New Roman" w:hAnsi="Times New Roman"/>
                      <w:sz w:val="24"/>
                      <w:szCs w:val="24"/>
                    </w:rPr>
                    <w:t xml:space="preserve">  bērniem pašvaldības izsniedz izziņu par atbalsta nepieciešamību krīzes situācijā. </w:t>
                  </w:r>
                </w:p>
                <w:p w14:paraId="3CA6F204" w14:textId="074F6BCC" w:rsidR="00784FA2" w:rsidRDefault="00EA42F6" w:rsidP="00A813DC">
                  <w:pPr>
                    <w:pStyle w:val="ListParagraph"/>
                    <w:numPr>
                      <w:ilvl w:val="0"/>
                      <w:numId w:val="17"/>
                    </w:numPr>
                    <w:spacing w:after="120" w:line="240" w:lineRule="auto"/>
                    <w:ind w:left="210" w:right="34" w:hanging="284"/>
                    <w:jc w:val="both"/>
                    <w:rPr>
                      <w:rFonts w:ascii="Times New Roman" w:hAnsi="Times New Roman"/>
                      <w:sz w:val="24"/>
                      <w:szCs w:val="24"/>
                    </w:rPr>
                  </w:pPr>
                  <w:r>
                    <w:rPr>
                      <w:rFonts w:ascii="Times New Roman" w:hAnsi="Times New Roman"/>
                      <w:sz w:val="24"/>
                      <w:szCs w:val="24"/>
                    </w:rPr>
                    <w:t>Pamatojoties uz 2015.</w:t>
                  </w:r>
                  <w:r w:rsidR="006135A0">
                    <w:rPr>
                      <w:rFonts w:ascii="Times New Roman" w:hAnsi="Times New Roman"/>
                      <w:sz w:val="24"/>
                      <w:szCs w:val="24"/>
                    </w:rPr>
                    <w:t xml:space="preserve"> </w:t>
                  </w:r>
                  <w:r>
                    <w:rPr>
                      <w:rFonts w:ascii="Times New Roman" w:hAnsi="Times New Roman"/>
                      <w:sz w:val="24"/>
                      <w:szCs w:val="24"/>
                    </w:rPr>
                    <w:t>gada statistiku par maznodrošinātām ģimenēm (personām) un 2017.</w:t>
                  </w:r>
                  <w:r w:rsidR="006135A0">
                    <w:rPr>
                      <w:rFonts w:ascii="Times New Roman" w:hAnsi="Times New Roman"/>
                      <w:sz w:val="24"/>
                      <w:szCs w:val="24"/>
                    </w:rPr>
                    <w:t xml:space="preserve"> </w:t>
                  </w:r>
                  <w:r>
                    <w:rPr>
                      <w:rFonts w:ascii="Times New Roman" w:hAnsi="Times New Roman"/>
                      <w:sz w:val="24"/>
                      <w:szCs w:val="24"/>
                    </w:rPr>
                    <w:t xml:space="preserve">gada </w:t>
                  </w:r>
                  <w:r w:rsidR="00AC2C8A">
                    <w:rPr>
                      <w:rFonts w:ascii="Times New Roman" w:hAnsi="Times New Roman"/>
                      <w:sz w:val="24"/>
                      <w:szCs w:val="24"/>
                    </w:rPr>
                    <w:t>1</w:t>
                  </w:r>
                  <w:r w:rsidR="00505FAE">
                    <w:rPr>
                      <w:rFonts w:ascii="Times New Roman" w:hAnsi="Times New Roman"/>
                      <w:sz w:val="24"/>
                      <w:szCs w:val="24"/>
                    </w:rPr>
                    <w:t>1</w:t>
                  </w:r>
                  <w:r>
                    <w:rPr>
                      <w:rFonts w:ascii="Times New Roman" w:hAnsi="Times New Roman"/>
                      <w:sz w:val="24"/>
                      <w:szCs w:val="24"/>
                    </w:rPr>
                    <w:t xml:space="preserve"> mēnešos iezīmējušos tendenci</w:t>
                  </w:r>
                  <w:r w:rsidR="009E19E9">
                    <w:rPr>
                      <w:rFonts w:ascii="Times New Roman" w:hAnsi="Times New Roman"/>
                      <w:sz w:val="24"/>
                      <w:szCs w:val="24"/>
                    </w:rPr>
                    <w:t>,</w:t>
                  </w:r>
                  <w:r>
                    <w:rPr>
                      <w:rFonts w:ascii="Times New Roman" w:hAnsi="Times New Roman"/>
                      <w:sz w:val="24"/>
                      <w:szCs w:val="24"/>
                    </w:rPr>
                    <w:t xml:space="preserve"> atbalsta saņēmēju skaits indikatīvi</w:t>
                  </w:r>
                  <w:r w:rsidR="00AC2C8A">
                    <w:rPr>
                      <w:rFonts w:ascii="Times New Roman" w:hAnsi="Times New Roman"/>
                      <w:sz w:val="24"/>
                      <w:szCs w:val="24"/>
                    </w:rPr>
                    <w:t xml:space="preserve"> var</w:t>
                  </w:r>
                  <w:r>
                    <w:rPr>
                      <w:rFonts w:ascii="Times New Roman" w:hAnsi="Times New Roman"/>
                      <w:sz w:val="24"/>
                      <w:szCs w:val="24"/>
                    </w:rPr>
                    <w:t xml:space="preserve"> palielinā</w:t>
                  </w:r>
                  <w:r w:rsidR="00AC2C8A">
                    <w:rPr>
                      <w:rFonts w:ascii="Times New Roman" w:hAnsi="Times New Roman"/>
                      <w:sz w:val="24"/>
                      <w:szCs w:val="24"/>
                    </w:rPr>
                    <w:t>t</w:t>
                  </w:r>
                  <w:r>
                    <w:rPr>
                      <w:rFonts w:ascii="Times New Roman" w:hAnsi="Times New Roman"/>
                      <w:sz w:val="24"/>
                      <w:szCs w:val="24"/>
                    </w:rPr>
                    <w:t>ies par</w:t>
                  </w:r>
                  <w:r w:rsidR="006135A0">
                    <w:rPr>
                      <w:rFonts w:ascii="Times New Roman" w:hAnsi="Times New Roman"/>
                      <w:sz w:val="24"/>
                      <w:szCs w:val="24"/>
                    </w:rPr>
                    <w:t xml:space="preserve"> 26</w:t>
                  </w:r>
                  <w:r w:rsidR="00DF4A3E">
                    <w:rPr>
                      <w:rFonts w:ascii="Times New Roman" w:hAnsi="Times New Roman"/>
                      <w:sz w:val="24"/>
                      <w:szCs w:val="24"/>
                    </w:rPr>
                    <w:t> </w:t>
                  </w:r>
                  <w:r w:rsidR="006135A0">
                    <w:rPr>
                      <w:rFonts w:ascii="Times New Roman" w:hAnsi="Times New Roman"/>
                      <w:sz w:val="24"/>
                      <w:szCs w:val="24"/>
                    </w:rPr>
                    <w:t>% - 31</w:t>
                  </w:r>
                  <w:r w:rsidR="00DF4A3E">
                    <w:rPr>
                      <w:rFonts w:ascii="Times New Roman" w:hAnsi="Times New Roman"/>
                      <w:sz w:val="24"/>
                      <w:szCs w:val="24"/>
                    </w:rPr>
                    <w:t>,</w:t>
                  </w:r>
                  <w:r w:rsidR="006135A0">
                    <w:rPr>
                      <w:rFonts w:ascii="Times New Roman" w:hAnsi="Times New Roman"/>
                      <w:sz w:val="24"/>
                      <w:szCs w:val="24"/>
                    </w:rPr>
                    <w:t>5</w:t>
                  </w:r>
                  <w:r w:rsidR="00DF4A3E">
                    <w:rPr>
                      <w:rFonts w:ascii="Times New Roman" w:hAnsi="Times New Roman"/>
                      <w:sz w:val="24"/>
                      <w:szCs w:val="24"/>
                    </w:rPr>
                    <w:t> </w:t>
                  </w:r>
                  <w:r w:rsidR="006135A0">
                    <w:rPr>
                      <w:rFonts w:ascii="Times New Roman" w:hAnsi="Times New Roman"/>
                      <w:sz w:val="24"/>
                      <w:szCs w:val="24"/>
                    </w:rPr>
                    <w:t>%</w:t>
                  </w:r>
                  <w:r>
                    <w:rPr>
                      <w:rFonts w:ascii="Times New Roman" w:hAnsi="Times New Roman"/>
                      <w:sz w:val="24"/>
                      <w:szCs w:val="24"/>
                    </w:rPr>
                    <w:t xml:space="preserve"> </w:t>
                  </w:r>
                  <w:r w:rsidR="006135A0">
                    <w:rPr>
                      <w:rFonts w:ascii="Times New Roman" w:hAnsi="Times New Roman"/>
                      <w:sz w:val="24"/>
                      <w:szCs w:val="24"/>
                    </w:rPr>
                    <w:t>vai vidēji 28</w:t>
                  </w:r>
                  <w:r w:rsidR="00DF4A3E">
                    <w:rPr>
                      <w:rFonts w:ascii="Times New Roman" w:hAnsi="Times New Roman"/>
                      <w:sz w:val="24"/>
                      <w:szCs w:val="24"/>
                    </w:rPr>
                    <w:t>,</w:t>
                  </w:r>
                  <w:r w:rsidR="006135A0">
                    <w:rPr>
                      <w:rFonts w:ascii="Times New Roman" w:hAnsi="Times New Roman"/>
                      <w:sz w:val="24"/>
                      <w:szCs w:val="24"/>
                    </w:rPr>
                    <w:t>75</w:t>
                  </w:r>
                  <w:r w:rsidR="00DF4A3E">
                    <w:rPr>
                      <w:rFonts w:ascii="Times New Roman" w:hAnsi="Times New Roman"/>
                      <w:sz w:val="24"/>
                      <w:szCs w:val="24"/>
                    </w:rPr>
                    <w:t> </w:t>
                  </w:r>
                  <w:r w:rsidR="006135A0">
                    <w:rPr>
                      <w:rFonts w:ascii="Times New Roman" w:hAnsi="Times New Roman"/>
                      <w:sz w:val="24"/>
                      <w:szCs w:val="24"/>
                    </w:rPr>
                    <w:t>%</w:t>
                  </w:r>
                  <w:r w:rsidR="0029408F">
                    <w:rPr>
                      <w:rFonts w:ascii="Times New Roman" w:hAnsi="Times New Roman"/>
                      <w:sz w:val="24"/>
                      <w:szCs w:val="24"/>
                    </w:rPr>
                    <w:t xml:space="preserve"> un sasnieg</w:t>
                  </w:r>
                  <w:r w:rsidR="00AC2C8A">
                    <w:rPr>
                      <w:rFonts w:ascii="Times New Roman" w:hAnsi="Times New Roman"/>
                      <w:sz w:val="24"/>
                      <w:szCs w:val="24"/>
                    </w:rPr>
                    <w:t>t</w:t>
                  </w:r>
                  <w:r w:rsidR="0029408F">
                    <w:rPr>
                      <w:rFonts w:ascii="Times New Roman" w:hAnsi="Times New Roman"/>
                      <w:sz w:val="24"/>
                      <w:szCs w:val="24"/>
                    </w:rPr>
                    <w:t xml:space="preserve"> </w:t>
                  </w:r>
                  <w:r w:rsidR="00653D7B">
                    <w:rPr>
                      <w:rFonts w:ascii="Times New Roman" w:hAnsi="Times New Roman"/>
                      <w:sz w:val="24"/>
                      <w:szCs w:val="24"/>
                    </w:rPr>
                    <w:t>2018.</w:t>
                  </w:r>
                  <w:r w:rsidR="00CB44F2">
                    <w:rPr>
                      <w:rFonts w:ascii="Times New Roman" w:hAnsi="Times New Roman"/>
                      <w:sz w:val="24"/>
                      <w:szCs w:val="24"/>
                    </w:rPr>
                    <w:t xml:space="preserve"> </w:t>
                  </w:r>
                  <w:r w:rsidR="00653D7B">
                    <w:rPr>
                      <w:rFonts w:ascii="Times New Roman" w:hAnsi="Times New Roman"/>
                      <w:sz w:val="24"/>
                      <w:szCs w:val="24"/>
                    </w:rPr>
                    <w:t xml:space="preserve">gadā </w:t>
                  </w:r>
                  <w:r w:rsidR="0029408F">
                    <w:rPr>
                      <w:rFonts w:ascii="Times New Roman" w:hAnsi="Times New Roman"/>
                      <w:sz w:val="24"/>
                      <w:szCs w:val="24"/>
                    </w:rPr>
                    <w:t>vidēji 57</w:t>
                  </w:r>
                  <w:r w:rsidR="006135A0">
                    <w:rPr>
                      <w:rFonts w:ascii="Times New Roman" w:hAnsi="Times New Roman"/>
                      <w:sz w:val="24"/>
                      <w:szCs w:val="24"/>
                    </w:rPr>
                    <w:t xml:space="preserve"> </w:t>
                  </w:r>
                  <w:r w:rsidR="0029408F">
                    <w:rPr>
                      <w:rFonts w:ascii="Times New Roman" w:hAnsi="Times New Roman"/>
                      <w:sz w:val="24"/>
                      <w:szCs w:val="24"/>
                    </w:rPr>
                    <w:t>tūkst. personas mēnesī, kas ir analogi 2015.</w:t>
                  </w:r>
                  <w:r w:rsidR="009E19E9">
                    <w:rPr>
                      <w:rFonts w:ascii="Times New Roman" w:hAnsi="Times New Roman"/>
                      <w:sz w:val="24"/>
                      <w:szCs w:val="24"/>
                    </w:rPr>
                    <w:t xml:space="preserve"> </w:t>
                  </w:r>
                  <w:r w:rsidR="0029408F">
                    <w:rPr>
                      <w:rFonts w:ascii="Times New Roman" w:hAnsi="Times New Roman"/>
                      <w:sz w:val="24"/>
                      <w:szCs w:val="24"/>
                    </w:rPr>
                    <w:t>gada situācijai.</w:t>
                  </w:r>
                </w:p>
                <w:p w14:paraId="63673B1C" w14:textId="0ED35224" w:rsidR="009E19E9" w:rsidRPr="009E19E9" w:rsidRDefault="00461821" w:rsidP="004C3D0C">
                  <w:pPr>
                    <w:pStyle w:val="ListParagraph"/>
                    <w:numPr>
                      <w:ilvl w:val="0"/>
                      <w:numId w:val="17"/>
                    </w:numPr>
                    <w:spacing w:line="240" w:lineRule="auto"/>
                    <w:ind w:left="209" w:hanging="283"/>
                    <w:jc w:val="both"/>
                    <w:rPr>
                      <w:rFonts w:ascii="Times New Roman" w:hAnsi="Times New Roman"/>
                      <w:b/>
                      <w:sz w:val="24"/>
                      <w:szCs w:val="24"/>
                    </w:rPr>
                  </w:pPr>
                  <w:r w:rsidRPr="006A27E7">
                    <w:rPr>
                      <w:rFonts w:ascii="Times New Roman" w:hAnsi="Times New Roman"/>
                      <w:sz w:val="24"/>
                      <w:szCs w:val="24"/>
                    </w:rPr>
                    <w:t xml:space="preserve">Ievērtējot </w:t>
                  </w:r>
                  <w:r w:rsidR="006A27E7" w:rsidRPr="006A27E7">
                    <w:rPr>
                      <w:rFonts w:ascii="Times New Roman" w:hAnsi="Times New Roman"/>
                      <w:sz w:val="24"/>
                      <w:szCs w:val="24"/>
                    </w:rPr>
                    <w:t>2</w:t>
                  </w:r>
                  <w:r w:rsidRPr="006A27E7">
                    <w:rPr>
                      <w:rFonts w:ascii="Times New Roman" w:hAnsi="Times New Roman"/>
                      <w:sz w:val="24"/>
                      <w:szCs w:val="24"/>
                    </w:rPr>
                    <w:t>.,</w:t>
                  </w:r>
                  <w:r w:rsidR="00DF4A3E">
                    <w:rPr>
                      <w:rFonts w:ascii="Times New Roman" w:hAnsi="Times New Roman"/>
                      <w:sz w:val="24"/>
                      <w:szCs w:val="24"/>
                    </w:rPr>
                    <w:t xml:space="preserve"> </w:t>
                  </w:r>
                  <w:r w:rsidR="006A27E7" w:rsidRPr="006A27E7">
                    <w:rPr>
                      <w:rFonts w:ascii="Times New Roman" w:hAnsi="Times New Roman"/>
                      <w:sz w:val="24"/>
                      <w:szCs w:val="24"/>
                    </w:rPr>
                    <w:t>3.un 4</w:t>
                  </w:r>
                  <w:r w:rsidRPr="006A27E7">
                    <w:rPr>
                      <w:rFonts w:ascii="Times New Roman" w:hAnsi="Times New Roman"/>
                      <w:sz w:val="24"/>
                      <w:szCs w:val="24"/>
                    </w:rPr>
                    <w:t>.</w:t>
                  </w:r>
                  <w:r w:rsidR="00DF4A3E">
                    <w:rPr>
                      <w:rFonts w:ascii="Times New Roman" w:hAnsi="Times New Roman"/>
                      <w:sz w:val="24"/>
                      <w:szCs w:val="24"/>
                    </w:rPr>
                    <w:t> </w:t>
                  </w:r>
                  <w:r w:rsidRPr="006A27E7">
                    <w:rPr>
                      <w:rFonts w:ascii="Times New Roman" w:hAnsi="Times New Roman"/>
                      <w:sz w:val="24"/>
                      <w:szCs w:val="24"/>
                    </w:rPr>
                    <w:t xml:space="preserve">punktā minētos pieņēmumus un plānoto nosacījumu maiņu, </w:t>
                  </w:r>
                  <w:r w:rsidR="006A27E7" w:rsidRPr="006A27E7">
                    <w:rPr>
                      <w:rFonts w:ascii="Times New Roman" w:hAnsi="Times New Roman"/>
                      <w:sz w:val="24"/>
                      <w:szCs w:val="24"/>
                    </w:rPr>
                    <w:t>un jau notikušos</w:t>
                  </w:r>
                  <w:r w:rsidR="006A27E7">
                    <w:rPr>
                      <w:rFonts w:ascii="Times New Roman" w:hAnsi="Times New Roman"/>
                      <w:sz w:val="24"/>
                      <w:szCs w:val="24"/>
                    </w:rPr>
                    <w:t xml:space="preserve"> 2016.</w:t>
                  </w:r>
                  <w:r w:rsidR="00DF4A3E">
                    <w:rPr>
                      <w:rFonts w:ascii="Times New Roman" w:hAnsi="Times New Roman"/>
                      <w:sz w:val="24"/>
                      <w:szCs w:val="24"/>
                    </w:rPr>
                    <w:t> </w:t>
                  </w:r>
                  <w:r w:rsidR="006A27E7">
                    <w:rPr>
                      <w:rFonts w:ascii="Times New Roman" w:hAnsi="Times New Roman"/>
                      <w:sz w:val="24"/>
                      <w:szCs w:val="24"/>
                    </w:rPr>
                    <w:t>gada</w:t>
                  </w:r>
                  <w:r w:rsidRPr="006A27E7">
                    <w:rPr>
                      <w:rFonts w:ascii="Times New Roman" w:hAnsi="Times New Roman"/>
                      <w:sz w:val="24"/>
                      <w:szCs w:val="24"/>
                    </w:rPr>
                    <w:t xml:space="preserve"> preču iepirkumu uz trīs gadiem </w:t>
                  </w:r>
                  <w:r w:rsidR="006A27E7">
                    <w:rPr>
                      <w:rFonts w:ascii="Times New Roman" w:hAnsi="Times New Roman"/>
                      <w:sz w:val="24"/>
                      <w:szCs w:val="24"/>
                    </w:rPr>
                    <w:t>(2017.,</w:t>
                  </w:r>
                  <w:r w:rsidR="00DF4A3E">
                    <w:rPr>
                      <w:rFonts w:ascii="Times New Roman" w:hAnsi="Times New Roman"/>
                      <w:sz w:val="24"/>
                      <w:szCs w:val="24"/>
                    </w:rPr>
                    <w:t xml:space="preserve"> </w:t>
                  </w:r>
                  <w:r w:rsidR="006A27E7">
                    <w:rPr>
                      <w:rFonts w:ascii="Times New Roman" w:hAnsi="Times New Roman"/>
                      <w:sz w:val="24"/>
                      <w:szCs w:val="24"/>
                    </w:rPr>
                    <w:t>2018.,</w:t>
                  </w:r>
                  <w:r w:rsidR="00DF4A3E">
                    <w:rPr>
                      <w:rFonts w:ascii="Times New Roman" w:hAnsi="Times New Roman"/>
                      <w:sz w:val="24"/>
                      <w:szCs w:val="24"/>
                    </w:rPr>
                    <w:t xml:space="preserve"> </w:t>
                  </w:r>
                  <w:r w:rsidR="006A27E7">
                    <w:rPr>
                      <w:rFonts w:ascii="Times New Roman" w:hAnsi="Times New Roman"/>
                      <w:sz w:val="24"/>
                      <w:szCs w:val="24"/>
                    </w:rPr>
                    <w:t xml:space="preserve">2019.) </w:t>
                  </w:r>
                  <w:r w:rsidRPr="006A27E7">
                    <w:rPr>
                      <w:rFonts w:ascii="Times New Roman" w:hAnsi="Times New Roman"/>
                      <w:sz w:val="24"/>
                      <w:szCs w:val="24"/>
                    </w:rPr>
                    <w:t xml:space="preserve">un pieņemot, ka situācija un nosacījumi turpmākajos </w:t>
                  </w:r>
                  <w:r w:rsidR="006A27E7">
                    <w:rPr>
                      <w:rFonts w:ascii="Times New Roman" w:hAnsi="Times New Roman"/>
                      <w:sz w:val="24"/>
                      <w:szCs w:val="24"/>
                    </w:rPr>
                    <w:t>divos</w:t>
                  </w:r>
                  <w:r w:rsidRPr="006A27E7">
                    <w:rPr>
                      <w:rFonts w:ascii="Times New Roman" w:hAnsi="Times New Roman"/>
                      <w:sz w:val="24"/>
                      <w:szCs w:val="24"/>
                    </w:rPr>
                    <w:t xml:space="preserve"> gados (201</w:t>
                  </w:r>
                  <w:r w:rsidR="006A27E7" w:rsidRPr="006A27E7">
                    <w:rPr>
                      <w:rFonts w:ascii="Times New Roman" w:hAnsi="Times New Roman"/>
                      <w:sz w:val="24"/>
                      <w:szCs w:val="24"/>
                    </w:rPr>
                    <w:t>8</w:t>
                  </w:r>
                  <w:r w:rsidRPr="006A27E7">
                    <w:rPr>
                      <w:rFonts w:ascii="Times New Roman" w:hAnsi="Times New Roman"/>
                      <w:sz w:val="24"/>
                      <w:szCs w:val="24"/>
                    </w:rPr>
                    <w:t>.,</w:t>
                  </w:r>
                  <w:r w:rsidR="00DF4A3E">
                    <w:rPr>
                      <w:rFonts w:ascii="Times New Roman" w:hAnsi="Times New Roman"/>
                      <w:sz w:val="24"/>
                      <w:szCs w:val="24"/>
                    </w:rPr>
                    <w:t xml:space="preserve"> </w:t>
                  </w:r>
                  <w:r w:rsidRPr="006A27E7">
                    <w:rPr>
                      <w:rFonts w:ascii="Times New Roman" w:hAnsi="Times New Roman"/>
                      <w:sz w:val="24"/>
                      <w:szCs w:val="24"/>
                    </w:rPr>
                    <w:t>201</w:t>
                  </w:r>
                  <w:r w:rsidR="006A27E7" w:rsidRPr="006A27E7">
                    <w:rPr>
                      <w:rFonts w:ascii="Times New Roman" w:hAnsi="Times New Roman"/>
                      <w:sz w:val="24"/>
                      <w:szCs w:val="24"/>
                    </w:rPr>
                    <w:t>9</w:t>
                  </w:r>
                  <w:r w:rsidRPr="006A27E7">
                    <w:rPr>
                      <w:rFonts w:ascii="Times New Roman" w:hAnsi="Times New Roman"/>
                      <w:sz w:val="24"/>
                      <w:szCs w:val="24"/>
                    </w:rPr>
                    <w:t>.) ir bez būtiskām izmaiņām</w:t>
                  </w:r>
                  <w:r w:rsidR="00D42481" w:rsidRPr="006A27E7">
                    <w:rPr>
                      <w:rFonts w:ascii="Times New Roman" w:hAnsi="Times New Roman"/>
                      <w:sz w:val="24"/>
                      <w:szCs w:val="24"/>
                    </w:rPr>
                    <w:t>,</w:t>
                  </w:r>
                  <w:r w:rsidRPr="006A27E7">
                    <w:rPr>
                      <w:rFonts w:ascii="Times New Roman" w:hAnsi="Times New Roman"/>
                      <w:sz w:val="24"/>
                      <w:szCs w:val="24"/>
                    </w:rPr>
                    <w:t xml:space="preserve"> </w:t>
                  </w:r>
                  <w:r w:rsidR="006A27E7">
                    <w:rPr>
                      <w:rFonts w:ascii="Times New Roman" w:hAnsi="Times New Roman"/>
                      <w:sz w:val="24"/>
                      <w:szCs w:val="24"/>
                    </w:rPr>
                    <w:t xml:space="preserve">nepieciešamais finansējums papildus atbalsta sniegšanai: pārtikas un pamata materiālās palīdzības preču iegādei un izdales nodrošināšanai, kā arī papildpasākumu īstenošanai </w:t>
                  </w:r>
                  <w:r w:rsidR="006A27E7" w:rsidRPr="009E19E9">
                    <w:rPr>
                      <w:rFonts w:ascii="Times New Roman" w:hAnsi="Times New Roman"/>
                      <w:sz w:val="24"/>
                      <w:szCs w:val="24"/>
                    </w:rPr>
                    <w:t>n</w:t>
                  </w:r>
                  <w:r w:rsidR="009E19E9" w:rsidRPr="009E19E9">
                    <w:rPr>
                      <w:rFonts w:ascii="Times New Roman" w:hAnsi="Times New Roman"/>
                      <w:sz w:val="24"/>
                      <w:szCs w:val="24"/>
                    </w:rPr>
                    <w:t>odrošināms likumā “Par valsts budžetu 201</w:t>
                  </w:r>
                  <w:r w:rsidR="00591B70">
                    <w:rPr>
                      <w:rFonts w:ascii="Times New Roman" w:hAnsi="Times New Roman"/>
                      <w:sz w:val="24"/>
                      <w:szCs w:val="24"/>
                    </w:rPr>
                    <w:t>8</w:t>
                  </w:r>
                  <w:r w:rsidR="009E19E9" w:rsidRPr="009E19E9">
                    <w:rPr>
                      <w:rFonts w:ascii="Times New Roman" w:hAnsi="Times New Roman"/>
                      <w:sz w:val="24"/>
                      <w:szCs w:val="24"/>
                    </w:rPr>
                    <w:t>. gadam” un “Par vidēja termiņa budžeta ietvaru 2018., 2019. un 2020. gadam” piešķirto budžeta līdzekļu ietvaros.</w:t>
                  </w:r>
                </w:p>
                <w:p w14:paraId="0468236A" w14:textId="69789AFD" w:rsidR="00461821" w:rsidRPr="0069252C" w:rsidRDefault="009E19E9" w:rsidP="00DF4A3E">
                  <w:pPr>
                    <w:pStyle w:val="FootnoteText"/>
                    <w:spacing w:before="120"/>
                    <w:ind w:left="-113" w:right="-108"/>
                    <w:rPr>
                      <w:sz w:val="24"/>
                      <w:szCs w:val="24"/>
                      <w:u w:val="single"/>
                    </w:rPr>
                  </w:pPr>
                  <w:r>
                    <w:rPr>
                      <w:sz w:val="24"/>
                      <w:szCs w:val="24"/>
                    </w:rPr>
                    <w:t>T</w:t>
                  </w:r>
                  <w:r w:rsidR="00461821" w:rsidRPr="0086288F">
                    <w:rPr>
                      <w:sz w:val="24"/>
                      <w:szCs w:val="24"/>
                    </w:rPr>
                    <w:t>ā kā aprēķini veikti indikatīvi (</w:t>
                  </w:r>
                  <w:r>
                    <w:rPr>
                      <w:sz w:val="24"/>
                      <w:szCs w:val="24"/>
                    </w:rPr>
                    <w:t>2019.</w:t>
                  </w:r>
                  <w:r w:rsidR="00DF4A3E">
                    <w:rPr>
                      <w:sz w:val="24"/>
                      <w:szCs w:val="24"/>
                    </w:rPr>
                    <w:t> </w:t>
                  </w:r>
                  <w:r>
                    <w:rPr>
                      <w:sz w:val="24"/>
                      <w:szCs w:val="24"/>
                    </w:rPr>
                    <w:t xml:space="preserve">gada </w:t>
                  </w:r>
                  <w:r w:rsidR="00461821" w:rsidRPr="0086288F">
                    <w:rPr>
                      <w:sz w:val="24"/>
                      <w:szCs w:val="24"/>
                    </w:rPr>
                    <w:t xml:space="preserve">iepirkuma rezultātā anotācijā prognozētās izmaksas precizēsies) un arī atbalsta saņēmēju skaits, ievērojot ekonomiskās situācijas izmaiņas, ir mainīgs, iespējami precizējumi gan saņēmēju skaita ziņā, gan izdalāmo </w:t>
                  </w:r>
                  <w:r w:rsidR="0086288F" w:rsidRPr="0086288F">
                    <w:rPr>
                      <w:sz w:val="24"/>
                      <w:szCs w:val="24"/>
                    </w:rPr>
                    <w:t>komplektu</w:t>
                  </w:r>
                  <w:r w:rsidR="00461821" w:rsidRPr="0086288F">
                    <w:rPr>
                      <w:sz w:val="24"/>
                      <w:szCs w:val="24"/>
                    </w:rPr>
                    <w:t xml:space="preserve"> un preču vērtībā.</w:t>
                  </w:r>
                </w:p>
              </w:tc>
            </w:tr>
          </w:tbl>
          <w:p w14:paraId="78F00E2A" w14:textId="6CA4A8E1" w:rsidR="00484660" w:rsidRPr="00A93F85" w:rsidRDefault="00484660" w:rsidP="00B63B03">
            <w:pPr>
              <w:spacing w:after="120" w:line="276" w:lineRule="auto"/>
              <w:jc w:val="both"/>
              <w:rPr>
                <w:b/>
                <w:color w:val="FF0000"/>
                <w:u w:val="single"/>
              </w:rPr>
            </w:pPr>
          </w:p>
        </w:tc>
      </w:tr>
      <w:tr w:rsidR="000541CB" w:rsidRPr="00A93F85" w14:paraId="5E87DDCD" w14:textId="77777777" w:rsidTr="00402D13">
        <w:trPr>
          <w:jc w:val="center"/>
        </w:trPr>
        <w:tc>
          <w:tcPr>
            <w:tcW w:w="1980" w:type="dxa"/>
            <w:tcBorders>
              <w:top w:val="single" w:sz="4" w:space="0" w:color="auto"/>
              <w:left w:val="single" w:sz="4" w:space="0" w:color="auto"/>
              <w:bottom w:val="single" w:sz="4" w:space="0" w:color="auto"/>
              <w:right w:val="single" w:sz="4" w:space="0" w:color="auto"/>
            </w:tcBorders>
          </w:tcPr>
          <w:p w14:paraId="7850B9C5" w14:textId="1542F5A2" w:rsidR="000541CB" w:rsidRPr="000541CB" w:rsidRDefault="000541CB" w:rsidP="000652F4">
            <w:pPr>
              <w:pStyle w:val="ListParagraph"/>
              <w:numPr>
                <w:ilvl w:val="0"/>
                <w:numId w:val="20"/>
              </w:numPr>
              <w:spacing w:before="120"/>
              <w:ind w:left="357" w:hanging="357"/>
              <w:rPr>
                <w:rFonts w:ascii="Times New Roman" w:hAnsi="Times New Roman"/>
                <w:sz w:val="24"/>
                <w:szCs w:val="24"/>
              </w:rPr>
            </w:pPr>
            <w:r w:rsidRPr="00DA7AAE">
              <w:rPr>
                <w:rFonts w:ascii="Times New Roman" w:hAnsi="Times New Roman"/>
                <w:sz w:val="24"/>
                <w:szCs w:val="24"/>
              </w:rPr>
              <w:lastRenderedPageBreak/>
              <w:t>Cita informācija</w:t>
            </w:r>
          </w:p>
        </w:tc>
        <w:tc>
          <w:tcPr>
            <w:tcW w:w="8080" w:type="dxa"/>
            <w:gridSpan w:val="5"/>
            <w:tcBorders>
              <w:top w:val="single" w:sz="4" w:space="0" w:color="auto"/>
              <w:left w:val="single" w:sz="4" w:space="0" w:color="auto"/>
              <w:bottom w:val="single" w:sz="4" w:space="0" w:color="auto"/>
              <w:right w:val="single" w:sz="4" w:space="0" w:color="auto"/>
            </w:tcBorders>
          </w:tcPr>
          <w:p w14:paraId="1D29FE5E" w14:textId="0A8AC6B0" w:rsidR="000652F4" w:rsidRDefault="000652F4" w:rsidP="000652F4">
            <w:pPr>
              <w:tabs>
                <w:tab w:val="left" w:pos="519"/>
              </w:tabs>
              <w:spacing w:before="120"/>
              <w:ind w:left="34" w:right="34"/>
              <w:jc w:val="both"/>
              <w:rPr>
                <w:b/>
              </w:rPr>
            </w:pPr>
            <w:r>
              <w:rPr>
                <w:color w:val="000000"/>
              </w:rPr>
              <w:t xml:space="preserve">Pasākums tiks </w:t>
            </w:r>
            <w:r w:rsidR="0001555F">
              <w:rPr>
                <w:color w:val="000000"/>
              </w:rPr>
              <w:t xml:space="preserve">īstenots </w:t>
            </w:r>
            <w:r>
              <w:rPr>
                <w:color w:val="000000"/>
              </w:rPr>
              <w:t>likum</w:t>
            </w:r>
            <w:r w:rsidR="008D17BA">
              <w:rPr>
                <w:color w:val="000000"/>
              </w:rPr>
              <w:t>a</w:t>
            </w:r>
            <w:r w:rsidR="005F3CF6">
              <w:rPr>
                <w:color w:val="000000"/>
              </w:rPr>
              <w:t xml:space="preserve"> “Par valsts budžetu 201</w:t>
            </w:r>
            <w:r w:rsidR="00EC6C6C">
              <w:rPr>
                <w:color w:val="000000"/>
              </w:rPr>
              <w:t>8</w:t>
            </w:r>
            <w:r w:rsidR="005F3CF6">
              <w:rPr>
                <w:color w:val="000000"/>
              </w:rPr>
              <w:t>. gadam”</w:t>
            </w:r>
            <w:r w:rsidR="0001555F">
              <w:rPr>
                <w:color w:val="000000"/>
              </w:rPr>
              <w:t xml:space="preserve"> </w:t>
            </w:r>
            <w:r w:rsidR="005F3CF6">
              <w:rPr>
                <w:color w:val="000000"/>
              </w:rPr>
              <w:t>un</w:t>
            </w:r>
            <w:r w:rsidR="0001555F">
              <w:rPr>
                <w:color w:val="000000"/>
              </w:rPr>
              <w:t xml:space="preserve"> </w:t>
            </w:r>
            <w:r>
              <w:rPr>
                <w:color w:val="000000"/>
              </w:rPr>
              <w:t>“Par vidēja termiņa budžeta ietvaru 201</w:t>
            </w:r>
            <w:r w:rsidR="005F3CF6">
              <w:rPr>
                <w:color w:val="000000"/>
              </w:rPr>
              <w:t>8</w:t>
            </w:r>
            <w:r>
              <w:rPr>
                <w:color w:val="000000"/>
              </w:rPr>
              <w:t>., 201</w:t>
            </w:r>
            <w:r w:rsidR="005F3CF6">
              <w:rPr>
                <w:color w:val="000000"/>
              </w:rPr>
              <w:t>9</w:t>
            </w:r>
            <w:r>
              <w:rPr>
                <w:color w:val="000000"/>
              </w:rPr>
              <w:t>. un 20</w:t>
            </w:r>
            <w:r w:rsidR="005F3CF6">
              <w:rPr>
                <w:color w:val="000000"/>
              </w:rPr>
              <w:t>20</w:t>
            </w:r>
            <w:r>
              <w:rPr>
                <w:color w:val="000000"/>
              </w:rPr>
              <w:t>. gadam” piešķirto budžeta līdzekļu ietvaros.</w:t>
            </w:r>
          </w:p>
          <w:p w14:paraId="45D5EC66" w14:textId="2AB6D805" w:rsidR="000541CB" w:rsidRPr="00D6632F" w:rsidRDefault="000541CB" w:rsidP="000652F4">
            <w:pPr>
              <w:tabs>
                <w:tab w:val="left" w:pos="519"/>
              </w:tabs>
              <w:spacing w:before="60"/>
              <w:ind w:left="34" w:right="34"/>
              <w:jc w:val="both"/>
            </w:pPr>
            <w:r w:rsidRPr="00D6632F">
              <w:t>Pavisam kopā pasākumiem pārtikas un pamata materiālās palīdzības nodrošināšanai iedzīvotājiem</w:t>
            </w:r>
            <w:r w:rsidR="005F3CF6" w:rsidRPr="00D6632F">
              <w:t xml:space="preserve"> 2017. gadam un</w:t>
            </w:r>
            <w:r w:rsidRPr="00D6632F">
              <w:t xml:space="preserve"> 201</w:t>
            </w:r>
            <w:r w:rsidR="005F3CF6" w:rsidRPr="00D6632F">
              <w:t>8</w:t>
            </w:r>
            <w:r w:rsidRPr="00D6632F">
              <w:t>. - 20</w:t>
            </w:r>
            <w:r w:rsidR="005F3CF6" w:rsidRPr="00D6632F">
              <w:t>20</w:t>
            </w:r>
            <w:r w:rsidRPr="00D6632F">
              <w:t>. gadam darbības programmā paredzēt</w:t>
            </w:r>
            <w:r w:rsidR="0001555F" w:rsidRPr="00D6632F">
              <w:t>s</w:t>
            </w:r>
            <w:r w:rsidRPr="00D6632F">
              <w:t xml:space="preserve"> </w:t>
            </w:r>
            <w:r w:rsidR="0001555F" w:rsidRPr="00D6632F">
              <w:t xml:space="preserve">un </w:t>
            </w:r>
            <w:r w:rsidRPr="00D6632F">
              <w:t>atbilstoši Sabiedrības integrācijas fondam (turpmāk - SIF) – valsts budžeta bāzes izdevumos plānots finansējums precēm un pakalpojumiem</w:t>
            </w:r>
            <w:r w:rsidR="0001555F" w:rsidRPr="00D6632F">
              <w:t xml:space="preserve"> 2</w:t>
            </w:r>
            <w:r w:rsidR="00D31630" w:rsidRPr="00D6632F">
              <w:t>5</w:t>
            </w:r>
            <w:r w:rsidR="0001555F" w:rsidRPr="00D6632F">
              <w:t> </w:t>
            </w:r>
            <w:r w:rsidR="00D31630" w:rsidRPr="00D6632F">
              <w:t>903</w:t>
            </w:r>
            <w:r w:rsidR="0001555F" w:rsidRPr="00D6632F">
              <w:t xml:space="preserve"> </w:t>
            </w:r>
            <w:r w:rsidR="00D31630" w:rsidRPr="00D6632F">
              <w:t>957</w:t>
            </w:r>
            <w:r w:rsidR="0001555F" w:rsidRPr="00D6632F">
              <w:t xml:space="preserve"> </w:t>
            </w:r>
            <w:proofErr w:type="spellStart"/>
            <w:r w:rsidR="003E7A5D" w:rsidRPr="003E7A5D">
              <w:rPr>
                <w:i/>
              </w:rPr>
              <w:t>euro</w:t>
            </w:r>
            <w:proofErr w:type="spellEnd"/>
            <w:r w:rsidRPr="00D6632F">
              <w:t xml:space="preserve"> (skatīt 3.</w:t>
            </w:r>
            <w:r w:rsidR="00F80B4B" w:rsidRPr="00D6632F">
              <w:t> </w:t>
            </w:r>
            <w:r w:rsidRPr="00D6632F">
              <w:t>tabulā).</w:t>
            </w:r>
          </w:p>
          <w:p w14:paraId="3ADAE87C" w14:textId="4AFEA9C3" w:rsidR="000541CB" w:rsidRPr="00B06831" w:rsidRDefault="000541CB" w:rsidP="000652F4">
            <w:pPr>
              <w:pStyle w:val="FootnoteText"/>
              <w:spacing w:line="276" w:lineRule="auto"/>
              <w:ind w:left="-113" w:right="34"/>
              <w:jc w:val="right"/>
              <w:rPr>
                <w:sz w:val="24"/>
                <w:szCs w:val="24"/>
              </w:rPr>
            </w:pPr>
            <w:r w:rsidRPr="00B06831">
              <w:rPr>
                <w:sz w:val="24"/>
                <w:szCs w:val="24"/>
              </w:rPr>
              <w:t>3.</w:t>
            </w:r>
            <w:r w:rsidR="00DF4A3E">
              <w:rPr>
                <w:sz w:val="24"/>
                <w:szCs w:val="24"/>
              </w:rPr>
              <w:t> </w:t>
            </w:r>
            <w:r w:rsidRPr="00B06831">
              <w:rPr>
                <w:sz w:val="24"/>
                <w:szCs w:val="24"/>
              </w:rPr>
              <w:t>tabula</w:t>
            </w:r>
          </w:p>
          <w:tbl>
            <w:tblPr>
              <w:tblStyle w:val="TableGrid"/>
              <w:tblW w:w="4694" w:type="pct"/>
              <w:jc w:val="center"/>
              <w:tblLayout w:type="fixed"/>
              <w:tblLook w:val="04A0" w:firstRow="1" w:lastRow="0" w:firstColumn="1" w:lastColumn="0" w:noHBand="0" w:noVBand="1"/>
            </w:tblPr>
            <w:tblGrid>
              <w:gridCol w:w="4145"/>
              <w:gridCol w:w="3228"/>
            </w:tblGrid>
            <w:tr w:rsidR="000541CB" w:rsidRPr="00B06831" w14:paraId="137D981B" w14:textId="77777777" w:rsidTr="000652F4">
              <w:trPr>
                <w:trHeight w:val="101"/>
                <w:jc w:val="center"/>
              </w:trPr>
              <w:tc>
                <w:tcPr>
                  <w:tcW w:w="2811" w:type="pct"/>
                  <w:shd w:val="clear" w:color="auto" w:fill="auto"/>
                </w:tcPr>
                <w:p w14:paraId="7B15B84E" w14:textId="77777777" w:rsidR="000541CB" w:rsidRPr="00B63B03" w:rsidRDefault="000541CB" w:rsidP="000541CB">
                  <w:pPr>
                    <w:pStyle w:val="FootnoteText"/>
                    <w:rPr>
                      <w:sz w:val="22"/>
                      <w:szCs w:val="22"/>
                    </w:rPr>
                  </w:pPr>
                </w:p>
              </w:tc>
              <w:tc>
                <w:tcPr>
                  <w:tcW w:w="2189" w:type="pct"/>
                  <w:shd w:val="clear" w:color="auto" w:fill="auto"/>
                </w:tcPr>
                <w:p w14:paraId="0B4C91AF" w14:textId="77777777" w:rsidR="000541CB" w:rsidRPr="00B63B03" w:rsidRDefault="000541CB" w:rsidP="000541CB">
                  <w:pPr>
                    <w:pStyle w:val="FootnoteText"/>
                    <w:ind w:left="-113"/>
                    <w:jc w:val="center"/>
                    <w:rPr>
                      <w:sz w:val="22"/>
                      <w:szCs w:val="22"/>
                    </w:rPr>
                  </w:pPr>
                  <w:r>
                    <w:rPr>
                      <w:sz w:val="22"/>
                      <w:szCs w:val="22"/>
                    </w:rPr>
                    <w:t>Finansējums, EUR</w:t>
                  </w:r>
                </w:p>
              </w:tc>
            </w:tr>
            <w:tr w:rsidR="000541CB" w:rsidRPr="00B06831" w14:paraId="16F24096" w14:textId="77777777" w:rsidTr="000652F4">
              <w:trPr>
                <w:trHeight w:val="101"/>
                <w:jc w:val="center"/>
              </w:trPr>
              <w:tc>
                <w:tcPr>
                  <w:tcW w:w="2811" w:type="pct"/>
                  <w:shd w:val="clear" w:color="auto" w:fill="auto"/>
                </w:tcPr>
                <w:p w14:paraId="5440F9C2" w14:textId="3B21BF67" w:rsidR="000541CB" w:rsidRPr="00B63B03" w:rsidRDefault="000541CB" w:rsidP="000541CB">
                  <w:pPr>
                    <w:pStyle w:val="FootnoteText"/>
                    <w:rPr>
                      <w:sz w:val="22"/>
                      <w:szCs w:val="22"/>
                    </w:rPr>
                  </w:pPr>
                  <w:r w:rsidRPr="00B63B03">
                    <w:rPr>
                      <w:sz w:val="22"/>
                      <w:szCs w:val="22"/>
                    </w:rPr>
                    <w:t>Paredzēts Darbības programmā (DP)</w:t>
                  </w:r>
                  <w:r w:rsidR="005F3CF6">
                    <w:rPr>
                      <w:sz w:val="22"/>
                      <w:szCs w:val="22"/>
                    </w:rPr>
                    <w:t xml:space="preserve"> kopā</w:t>
                  </w:r>
                </w:p>
              </w:tc>
              <w:tc>
                <w:tcPr>
                  <w:tcW w:w="2189" w:type="pct"/>
                  <w:shd w:val="clear" w:color="auto" w:fill="auto"/>
                </w:tcPr>
                <w:p w14:paraId="5BBA58EC" w14:textId="77777777" w:rsidR="000541CB" w:rsidRPr="00B63B03" w:rsidRDefault="000541CB" w:rsidP="000541CB">
                  <w:pPr>
                    <w:pStyle w:val="FootnoteText"/>
                    <w:ind w:left="-113" w:right="1055"/>
                    <w:jc w:val="right"/>
                    <w:rPr>
                      <w:b/>
                      <w:iCs/>
                      <w:sz w:val="22"/>
                      <w:szCs w:val="22"/>
                    </w:rPr>
                  </w:pPr>
                  <w:r w:rsidRPr="00B63B03">
                    <w:rPr>
                      <w:b/>
                      <w:iCs/>
                      <w:sz w:val="22"/>
                      <w:szCs w:val="22"/>
                    </w:rPr>
                    <w:t xml:space="preserve">45 850 878 </w:t>
                  </w:r>
                </w:p>
              </w:tc>
            </w:tr>
            <w:tr w:rsidR="000541CB" w:rsidRPr="00B06831" w14:paraId="04E71F81" w14:textId="77777777" w:rsidTr="000652F4">
              <w:trPr>
                <w:trHeight w:val="165"/>
                <w:jc w:val="center"/>
              </w:trPr>
              <w:tc>
                <w:tcPr>
                  <w:tcW w:w="2811" w:type="pct"/>
                  <w:shd w:val="clear" w:color="auto" w:fill="auto"/>
                </w:tcPr>
                <w:p w14:paraId="66A46EB7" w14:textId="26C37223" w:rsidR="000541CB" w:rsidRPr="00B63B03" w:rsidRDefault="000541CB" w:rsidP="009A28DE">
                  <w:pPr>
                    <w:pStyle w:val="FootnoteText"/>
                    <w:rPr>
                      <w:sz w:val="22"/>
                      <w:szCs w:val="22"/>
                    </w:rPr>
                  </w:pPr>
                  <w:r w:rsidRPr="00B63B03">
                    <w:rPr>
                      <w:sz w:val="22"/>
                      <w:szCs w:val="22"/>
                    </w:rPr>
                    <w:t>Valsts budžetā līdz 201</w:t>
                  </w:r>
                  <w:r w:rsidR="009A28DE">
                    <w:rPr>
                      <w:sz w:val="22"/>
                      <w:szCs w:val="22"/>
                    </w:rPr>
                    <w:t>7</w:t>
                  </w:r>
                  <w:r w:rsidRPr="00B63B03">
                    <w:rPr>
                      <w:sz w:val="22"/>
                      <w:szCs w:val="22"/>
                    </w:rPr>
                    <w:t>. gadam</w:t>
                  </w:r>
                </w:p>
              </w:tc>
              <w:tc>
                <w:tcPr>
                  <w:tcW w:w="2189" w:type="pct"/>
                  <w:shd w:val="clear" w:color="auto" w:fill="auto"/>
                </w:tcPr>
                <w:p w14:paraId="4D385379" w14:textId="478E4BC2" w:rsidR="000541CB" w:rsidRPr="00B63B03" w:rsidRDefault="009A28DE" w:rsidP="009A28DE">
                  <w:pPr>
                    <w:pStyle w:val="FootnoteText"/>
                    <w:ind w:left="-113" w:right="1055"/>
                    <w:jc w:val="right"/>
                    <w:rPr>
                      <w:sz w:val="22"/>
                      <w:szCs w:val="22"/>
                    </w:rPr>
                  </w:pPr>
                  <w:r>
                    <w:rPr>
                      <w:sz w:val="22"/>
                      <w:szCs w:val="22"/>
                    </w:rPr>
                    <w:t>7 227 381</w:t>
                  </w:r>
                </w:p>
              </w:tc>
            </w:tr>
            <w:tr w:rsidR="000541CB" w:rsidRPr="00B06831" w14:paraId="6F16275E" w14:textId="77777777" w:rsidTr="000652F4">
              <w:trPr>
                <w:trHeight w:val="74"/>
                <w:jc w:val="center"/>
              </w:trPr>
              <w:tc>
                <w:tcPr>
                  <w:tcW w:w="2811" w:type="pct"/>
                  <w:shd w:val="clear" w:color="auto" w:fill="auto"/>
                </w:tcPr>
                <w:p w14:paraId="5BE2C702" w14:textId="77777777" w:rsidR="000541CB" w:rsidRPr="00B63B03" w:rsidRDefault="000541CB" w:rsidP="000541CB">
                  <w:pPr>
                    <w:pStyle w:val="FootnoteText"/>
                    <w:rPr>
                      <w:sz w:val="22"/>
                      <w:szCs w:val="22"/>
                    </w:rPr>
                  </w:pPr>
                  <w:r w:rsidRPr="00B63B03">
                    <w:rPr>
                      <w:b/>
                      <w:sz w:val="22"/>
                      <w:szCs w:val="22"/>
                    </w:rPr>
                    <w:t>2017. gadā</w:t>
                  </w:r>
                </w:p>
              </w:tc>
              <w:tc>
                <w:tcPr>
                  <w:tcW w:w="2189" w:type="pct"/>
                  <w:shd w:val="clear" w:color="auto" w:fill="auto"/>
                </w:tcPr>
                <w:p w14:paraId="25F97BFC" w14:textId="3E877D16" w:rsidR="000541CB" w:rsidRPr="00B63B03" w:rsidRDefault="009E6A42" w:rsidP="00036081">
                  <w:pPr>
                    <w:pStyle w:val="FootnoteText"/>
                    <w:ind w:left="-113" w:right="1055"/>
                    <w:jc w:val="right"/>
                    <w:rPr>
                      <w:iCs/>
                      <w:sz w:val="22"/>
                      <w:szCs w:val="22"/>
                    </w:rPr>
                  </w:pPr>
                  <w:r>
                    <w:rPr>
                      <w:b/>
                      <w:iCs/>
                      <w:sz w:val="22"/>
                      <w:szCs w:val="22"/>
                    </w:rPr>
                    <w:t>5 346 267</w:t>
                  </w:r>
                </w:p>
              </w:tc>
            </w:tr>
            <w:tr w:rsidR="000541CB" w:rsidRPr="00B06831" w14:paraId="29A04D5E" w14:textId="77777777" w:rsidTr="000652F4">
              <w:trPr>
                <w:trHeight w:val="165"/>
                <w:jc w:val="center"/>
              </w:trPr>
              <w:tc>
                <w:tcPr>
                  <w:tcW w:w="2811" w:type="pct"/>
                  <w:shd w:val="clear" w:color="auto" w:fill="auto"/>
                </w:tcPr>
                <w:p w14:paraId="3FF14386" w14:textId="77777777" w:rsidR="000541CB" w:rsidRPr="005F3CF6" w:rsidRDefault="000541CB" w:rsidP="000541CB">
                  <w:pPr>
                    <w:pStyle w:val="FootnoteText"/>
                    <w:rPr>
                      <w:sz w:val="22"/>
                      <w:szCs w:val="22"/>
                    </w:rPr>
                  </w:pPr>
                  <w:r w:rsidRPr="005F3CF6">
                    <w:rPr>
                      <w:sz w:val="22"/>
                      <w:szCs w:val="22"/>
                    </w:rPr>
                    <w:t>2018. gadā</w:t>
                  </w:r>
                </w:p>
              </w:tc>
              <w:tc>
                <w:tcPr>
                  <w:tcW w:w="2189" w:type="pct"/>
                  <w:shd w:val="clear" w:color="auto" w:fill="auto"/>
                </w:tcPr>
                <w:p w14:paraId="25B8479E" w14:textId="77777777" w:rsidR="000541CB" w:rsidRPr="005F3CF6" w:rsidRDefault="000541CB" w:rsidP="000541CB">
                  <w:pPr>
                    <w:pStyle w:val="FootnoteText"/>
                    <w:ind w:left="-113" w:right="1055"/>
                    <w:jc w:val="right"/>
                    <w:rPr>
                      <w:sz w:val="22"/>
                      <w:szCs w:val="22"/>
                    </w:rPr>
                  </w:pPr>
                  <w:r w:rsidRPr="005F3CF6">
                    <w:rPr>
                      <w:iCs/>
                      <w:sz w:val="22"/>
                      <w:szCs w:val="22"/>
                    </w:rPr>
                    <w:t xml:space="preserve">6 713 335 </w:t>
                  </w:r>
                </w:p>
              </w:tc>
            </w:tr>
            <w:tr w:rsidR="000541CB" w:rsidRPr="00B06831" w14:paraId="3475219D" w14:textId="77777777" w:rsidTr="000652F4">
              <w:trPr>
                <w:trHeight w:val="211"/>
                <w:jc w:val="center"/>
              </w:trPr>
              <w:tc>
                <w:tcPr>
                  <w:tcW w:w="2811" w:type="pct"/>
                  <w:shd w:val="clear" w:color="auto" w:fill="auto"/>
                </w:tcPr>
                <w:p w14:paraId="05C4E83E" w14:textId="77777777" w:rsidR="000541CB" w:rsidRPr="005F3CF6" w:rsidRDefault="000541CB" w:rsidP="000541CB">
                  <w:pPr>
                    <w:pStyle w:val="FootnoteText"/>
                    <w:rPr>
                      <w:sz w:val="22"/>
                      <w:szCs w:val="22"/>
                    </w:rPr>
                  </w:pPr>
                  <w:r w:rsidRPr="005F3CF6">
                    <w:rPr>
                      <w:sz w:val="22"/>
                      <w:szCs w:val="22"/>
                    </w:rPr>
                    <w:t>2019. gadā</w:t>
                  </w:r>
                </w:p>
              </w:tc>
              <w:tc>
                <w:tcPr>
                  <w:tcW w:w="2189" w:type="pct"/>
                  <w:shd w:val="clear" w:color="auto" w:fill="auto"/>
                </w:tcPr>
                <w:p w14:paraId="6E0E44DF" w14:textId="7E24D6A2" w:rsidR="000541CB" w:rsidRPr="005F3CF6" w:rsidRDefault="000541CB" w:rsidP="00666E50">
                  <w:pPr>
                    <w:pStyle w:val="FootnoteText"/>
                    <w:ind w:left="-113" w:right="1055"/>
                    <w:jc w:val="right"/>
                    <w:rPr>
                      <w:sz w:val="22"/>
                      <w:szCs w:val="22"/>
                    </w:rPr>
                  </w:pPr>
                  <w:r w:rsidRPr="005F3CF6">
                    <w:rPr>
                      <w:iCs/>
                      <w:sz w:val="22"/>
                      <w:szCs w:val="22"/>
                    </w:rPr>
                    <w:t>6 853 64</w:t>
                  </w:r>
                  <w:r w:rsidR="00666E50" w:rsidRPr="005F3CF6">
                    <w:rPr>
                      <w:iCs/>
                      <w:sz w:val="22"/>
                      <w:szCs w:val="22"/>
                    </w:rPr>
                    <w:t>1</w:t>
                  </w:r>
                </w:p>
              </w:tc>
            </w:tr>
            <w:tr w:rsidR="009A28DE" w:rsidRPr="00B06831" w14:paraId="75987AC4" w14:textId="77777777" w:rsidTr="000652F4">
              <w:trPr>
                <w:trHeight w:val="165"/>
                <w:jc w:val="center"/>
              </w:trPr>
              <w:tc>
                <w:tcPr>
                  <w:tcW w:w="2811" w:type="pct"/>
                  <w:shd w:val="clear" w:color="auto" w:fill="auto"/>
                </w:tcPr>
                <w:p w14:paraId="3BD79C46" w14:textId="7F04F397" w:rsidR="009A28DE" w:rsidRPr="005F3CF6" w:rsidRDefault="009A28DE" w:rsidP="000541CB">
                  <w:pPr>
                    <w:pStyle w:val="FootnoteText"/>
                    <w:rPr>
                      <w:sz w:val="22"/>
                      <w:szCs w:val="22"/>
                    </w:rPr>
                  </w:pPr>
                  <w:r w:rsidRPr="005F3CF6">
                    <w:rPr>
                      <w:sz w:val="22"/>
                      <w:szCs w:val="22"/>
                    </w:rPr>
                    <w:t>2020. gadā</w:t>
                  </w:r>
                </w:p>
              </w:tc>
              <w:tc>
                <w:tcPr>
                  <w:tcW w:w="2189" w:type="pct"/>
                  <w:shd w:val="clear" w:color="auto" w:fill="auto"/>
                </w:tcPr>
                <w:p w14:paraId="5992F39C" w14:textId="03AF1C49" w:rsidR="009A28DE" w:rsidRPr="005F3CF6" w:rsidRDefault="009A28DE" w:rsidP="00666E50">
                  <w:pPr>
                    <w:pStyle w:val="FootnoteText"/>
                    <w:ind w:left="-113" w:right="1055"/>
                    <w:jc w:val="right"/>
                    <w:rPr>
                      <w:sz w:val="22"/>
                      <w:szCs w:val="22"/>
                    </w:rPr>
                  </w:pPr>
                  <w:r w:rsidRPr="005F3CF6">
                    <w:rPr>
                      <w:sz w:val="22"/>
                      <w:szCs w:val="22"/>
                    </w:rPr>
                    <w:t>6 99</w:t>
                  </w:r>
                  <w:r w:rsidR="00666E50" w:rsidRPr="005F3CF6">
                    <w:rPr>
                      <w:sz w:val="22"/>
                      <w:szCs w:val="22"/>
                    </w:rPr>
                    <w:t>0</w:t>
                  </w:r>
                  <w:r w:rsidRPr="005F3CF6">
                    <w:rPr>
                      <w:sz w:val="22"/>
                      <w:szCs w:val="22"/>
                    </w:rPr>
                    <w:t xml:space="preserve"> </w:t>
                  </w:r>
                  <w:r w:rsidR="00666E50" w:rsidRPr="005F3CF6">
                    <w:rPr>
                      <w:sz w:val="22"/>
                      <w:szCs w:val="22"/>
                    </w:rPr>
                    <w:t>714</w:t>
                  </w:r>
                </w:p>
              </w:tc>
            </w:tr>
            <w:tr w:rsidR="000541CB" w:rsidRPr="00B06831" w14:paraId="02FF400F" w14:textId="77777777" w:rsidTr="000652F4">
              <w:trPr>
                <w:trHeight w:val="165"/>
                <w:jc w:val="center"/>
              </w:trPr>
              <w:tc>
                <w:tcPr>
                  <w:tcW w:w="2811" w:type="pct"/>
                  <w:shd w:val="clear" w:color="auto" w:fill="auto"/>
                </w:tcPr>
                <w:p w14:paraId="0C974E98" w14:textId="50A0765B" w:rsidR="000541CB" w:rsidRPr="00B63B03" w:rsidRDefault="000541CB" w:rsidP="009A28DE">
                  <w:pPr>
                    <w:pStyle w:val="FootnoteText"/>
                    <w:rPr>
                      <w:b/>
                      <w:sz w:val="22"/>
                      <w:szCs w:val="22"/>
                    </w:rPr>
                  </w:pPr>
                  <w:r w:rsidRPr="00B63B03">
                    <w:rPr>
                      <w:b/>
                      <w:sz w:val="22"/>
                      <w:szCs w:val="22"/>
                    </w:rPr>
                    <w:t>kopā 201</w:t>
                  </w:r>
                  <w:r w:rsidR="009A28DE">
                    <w:rPr>
                      <w:b/>
                      <w:sz w:val="22"/>
                      <w:szCs w:val="22"/>
                    </w:rPr>
                    <w:t>8</w:t>
                  </w:r>
                  <w:r w:rsidRPr="00B63B03">
                    <w:rPr>
                      <w:b/>
                      <w:sz w:val="22"/>
                      <w:szCs w:val="22"/>
                    </w:rPr>
                    <w:t>.-20</w:t>
                  </w:r>
                  <w:r w:rsidR="009A28DE">
                    <w:rPr>
                      <w:b/>
                      <w:sz w:val="22"/>
                      <w:szCs w:val="22"/>
                    </w:rPr>
                    <w:t>20</w:t>
                  </w:r>
                  <w:r w:rsidRPr="00B63B03">
                    <w:rPr>
                      <w:b/>
                      <w:sz w:val="22"/>
                      <w:szCs w:val="22"/>
                    </w:rPr>
                    <w:t>. gadā</w:t>
                  </w:r>
                </w:p>
              </w:tc>
              <w:tc>
                <w:tcPr>
                  <w:tcW w:w="2189" w:type="pct"/>
                  <w:shd w:val="clear" w:color="auto" w:fill="auto"/>
                </w:tcPr>
                <w:p w14:paraId="23AEC66E" w14:textId="2C23B374" w:rsidR="000541CB" w:rsidRPr="005F3CF6" w:rsidRDefault="000541CB" w:rsidP="00666E50">
                  <w:pPr>
                    <w:pStyle w:val="FootnoteText"/>
                    <w:ind w:left="-113" w:right="1055"/>
                    <w:jc w:val="right"/>
                    <w:rPr>
                      <w:b/>
                      <w:iCs/>
                      <w:sz w:val="22"/>
                      <w:szCs w:val="22"/>
                    </w:rPr>
                  </w:pPr>
                  <w:r w:rsidRPr="005F3CF6">
                    <w:rPr>
                      <w:b/>
                      <w:sz w:val="22"/>
                      <w:szCs w:val="22"/>
                    </w:rPr>
                    <w:t>20 </w:t>
                  </w:r>
                  <w:r w:rsidR="009A28DE" w:rsidRPr="005F3CF6">
                    <w:rPr>
                      <w:b/>
                      <w:sz w:val="22"/>
                      <w:szCs w:val="22"/>
                    </w:rPr>
                    <w:t>5</w:t>
                  </w:r>
                  <w:r w:rsidR="00666E50" w:rsidRPr="005F3CF6">
                    <w:rPr>
                      <w:b/>
                      <w:sz w:val="22"/>
                      <w:szCs w:val="22"/>
                    </w:rPr>
                    <w:t>57</w:t>
                  </w:r>
                  <w:r w:rsidRPr="005F3CF6">
                    <w:rPr>
                      <w:b/>
                      <w:sz w:val="22"/>
                      <w:szCs w:val="22"/>
                    </w:rPr>
                    <w:t> </w:t>
                  </w:r>
                  <w:r w:rsidR="009A28DE" w:rsidRPr="005F3CF6">
                    <w:rPr>
                      <w:b/>
                      <w:sz w:val="22"/>
                      <w:szCs w:val="22"/>
                    </w:rPr>
                    <w:t>6</w:t>
                  </w:r>
                  <w:r w:rsidR="00666E50" w:rsidRPr="005F3CF6">
                    <w:rPr>
                      <w:b/>
                      <w:sz w:val="22"/>
                      <w:szCs w:val="22"/>
                    </w:rPr>
                    <w:t>90</w:t>
                  </w:r>
                  <w:r w:rsidRPr="005F3CF6">
                    <w:rPr>
                      <w:b/>
                      <w:sz w:val="22"/>
                      <w:szCs w:val="22"/>
                    </w:rPr>
                    <w:t xml:space="preserve"> </w:t>
                  </w:r>
                </w:p>
              </w:tc>
            </w:tr>
            <w:tr w:rsidR="000541CB" w:rsidRPr="00B06831" w14:paraId="2B312378" w14:textId="77777777" w:rsidTr="000652F4">
              <w:trPr>
                <w:trHeight w:val="77"/>
                <w:jc w:val="center"/>
              </w:trPr>
              <w:tc>
                <w:tcPr>
                  <w:tcW w:w="2811" w:type="pct"/>
                  <w:shd w:val="clear" w:color="auto" w:fill="auto"/>
                </w:tcPr>
                <w:p w14:paraId="1549279D" w14:textId="75FC01A3" w:rsidR="000541CB" w:rsidRPr="00B63B03" w:rsidRDefault="000541CB" w:rsidP="009A28DE">
                  <w:pPr>
                    <w:pStyle w:val="FootnoteText"/>
                    <w:jc w:val="left"/>
                    <w:rPr>
                      <w:b/>
                      <w:sz w:val="22"/>
                      <w:szCs w:val="22"/>
                    </w:rPr>
                  </w:pPr>
                  <w:r w:rsidRPr="00B63B03">
                    <w:rPr>
                      <w:sz w:val="22"/>
                      <w:szCs w:val="22"/>
                    </w:rPr>
                    <w:t>No 202</w:t>
                  </w:r>
                  <w:r w:rsidR="009A28DE">
                    <w:rPr>
                      <w:sz w:val="22"/>
                      <w:szCs w:val="22"/>
                    </w:rPr>
                    <w:t>1</w:t>
                  </w:r>
                  <w:r w:rsidRPr="00B63B03">
                    <w:rPr>
                      <w:sz w:val="22"/>
                      <w:szCs w:val="22"/>
                    </w:rPr>
                    <w:t>. gada līdz DP ieviešanas beigām</w:t>
                  </w:r>
                </w:p>
              </w:tc>
              <w:tc>
                <w:tcPr>
                  <w:tcW w:w="2189" w:type="pct"/>
                  <w:shd w:val="clear" w:color="auto" w:fill="auto"/>
                </w:tcPr>
                <w:p w14:paraId="3281734D" w14:textId="52AF2CB1" w:rsidR="000541CB" w:rsidRPr="00B63B03" w:rsidRDefault="008A3C0C" w:rsidP="00157B46">
                  <w:pPr>
                    <w:pStyle w:val="FootnoteText"/>
                    <w:numPr>
                      <w:ilvl w:val="0"/>
                      <w:numId w:val="34"/>
                    </w:numPr>
                    <w:ind w:right="1055"/>
                    <w:jc w:val="right"/>
                    <w:rPr>
                      <w:sz w:val="22"/>
                      <w:szCs w:val="22"/>
                    </w:rPr>
                  </w:pPr>
                  <w:r>
                    <w:rPr>
                      <w:sz w:val="22"/>
                      <w:szCs w:val="22"/>
                    </w:rPr>
                    <w:t>719</w:t>
                  </w:r>
                  <w:r w:rsidR="00157B46">
                    <w:rPr>
                      <w:sz w:val="22"/>
                      <w:szCs w:val="22"/>
                    </w:rPr>
                    <w:t> </w:t>
                  </w:r>
                  <w:r>
                    <w:rPr>
                      <w:sz w:val="22"/>
                      <w:szCs w:val="22"/>
                    </w:rPr>
                    <w:t>540</w:t>
                  </w:r>
                  <w:r w:rsidR="00157B46">
                    <w:rPr>
                      <w:sz w:val="22"/>
                      <w:szCs w:val="22"/>
                    </w:rPr>
                    <w:t>*</w:t>
                  </w:r>
                </w:p>
              </w:tc>
            </w:tr>
          </w:tbl>
          <w:p w14:paraId="172A8BE9" w14:textId="77777777" w:rsidR="000541CB" w:rsidRPr="00784FA2" w:rsidRDefault="000541CB" w:rsidP="000541CB">
            <w:pPr>
              <w:pStyle w:val="FootnoteText"/>
              <w:ind w:left="-113"/>
              <w:rPr>
                <w:sz w:val="24"/>
                <w:szCs w:val="24"/>
              </w:rPr>
            </w:pPr>
          </w:p>
          <w:p w14:paraId="6452B844" w14:textId="77777777" w:rsidR="00157B46" w:rsidRPr="008B5C42" w:rsidRDefault="00157B46" w:rsidP="00435F65">
            <w:pPr>
              <w:jc w:val="right"/>
              <w:rPr>
                <w:i/>
                <w:sz w:val="20"/>
                <w:szCs w:val="20"/>
              </w:rPr>
            </w:pPr>
            <w:r w:rsidRPr="008B5C42">
              <w:rPr>
                <w:i/>
                <w:sz w:val="20"/>
                <w:szCs w:val="20"/>
              </w:rPr>
              <w:lastRenderedPageBreak/>
              <w:t xml:space="preserve">* Finansējums no 2021. gada līdz darbības programmas ieviešanas </w:t>
            </w:r>
          </w:p>
          <w:p w14:paraId="5474078E" w14:textId="77777777" w:rsidR="00157B46" w:rsidRPr="008B5C42" w:rsidRDefault="00157B46" w:rsidP="00435F65">
            <w:pPr>
              <w:jc w:val="right"/>
              <w:rPr>
                <w:i/>
                <w:sz w:val="20"/>
                <w:szCs w:val="20"/>
              </w:rPr>
            </w:pPr>
            <w:r w:rsidRPr="008B5C42">
              <w:rPr>
                <w:i/>
                <w:sz w:val="20"/>
                <w:szCs w:val="20"/>
              </w:rPr>
              <w:t xml:space="preserve">beigām norādīts indikatīvi, atbilstoši darbības programmā </w:t>
            </w:r>
          </w:p>
          <w:p w14:paraId="7C87A092" w14:textId="0252C049" w:rsidR="00157B46" w:rsidRPr="008B5C42" w:rsidRDefault="00157B46" w:rsidP="00435F65">
            <w:pPr>
              <w:jc w:val="right"/>
              <w:rPr>
                <w:i/>
                <w:sz w:val="20"/>
                <w:szCs w:val="20"/>
              </w:rPr>
            </w:pPr>
            <w:r w:rsidRPr="008B5C42">
              <w:rPr>
                <w:i/>
                <w:sz w:val="20"/>
                <w:szCs w:val="20"/>
              </w:rPr>
              <w:t>paredzētajam, nevis valsts budžetā plānotajam</w:t>
            </w:r>
          </w:p>
          <w:p w14:paraId="4BF3AEDB" w14:textId="1F3C5517" w:rsidR="005C1C3F" w:rsidRPr="00485069" w:rsidRDefault="000541CB" w:rsidP="00D6632F">
            <w:pPr>
              <w:tabs>
                <w:tab w:val="left" w:pos="519"/>
              </w:tabs>
              <w:spacing w:before="240"/>
              <w:jc w:val="both"/>
            </w:pPr>
            <w:r w:rsidRPr="000541CB">
              <w:t>SIF veikto (trūcīgām un krīzes situācijā esošām ģimenēm paredzēto) pārtikas preču un higiēnas un saimniecības preču 2015.</w:t>
            </w:r>
            <w:r w:rsidR="00DF4A3E">
              <w:t xml:space="preserve"> </w:t>
            </w:r>
            <w:r w:rsidRPr="000541CB">
              <w:t>un 2016. gada publisko iepirkumu rezultātā izveidojusies finanšu ekonomija. Papildus finanšu ietekme ir izdalāmo komplektu skaita samazinājumam atbalsta saņēmēju skaita izmaiņu rezultātā</w:t>
            </w:r>
            <w:r w:rsidR="001C4A67">
              <w:t xml:space="preserve">, </w:t>
            </w:r>
            <w:r w:rsidR="001C4A67" w:rsidRPr="001C4A67">
              <w:t xml:space="preserve">skatīt </w:t>
            </w:r>
            <w:r w:rsidR="001C4A67">
              <w:t xml:space="preserve">I sadaļas </w:t>
            </w:r>
            <w:r w:rsidR="001C4A67" w:rsidRPr="001C4A67">
              <w:t>2. punktu</w:t>
            </w:r>
            <w:r w:rsidR="001C4A67">
              <w:t xml:space="preserve">. </w:t>
            </w:r>
            <w:r w:rsidRPr="000541CB">
              <w:t xml:space="preserve"> </w:t>
            </w:r>
            <w:r w:rsidR="008C1B9D">
              <w:t xml:space="preserve">Tā rezultātā </w:t>
            </w:r>
            <w:r w:rsidRPr="000541CB">
              <w:t>2015., 2016.</w:t>
            </w:r>
            <w:r w:rsidR="001F25D9">
              <w:t xml:space="preserve"> </w:t>
            </w:r>
            <w:r w:rsidR="00D31630">
              <w:t>un 2017.</w:t>
            </w:r>
            <w:r w:rsidRPr="000541CB">
              <w:t xml:space="preserve"> gadā</w:t>
            </w:r>
            <w:r w:rsidR="001C4A67">
              <w:t xml:space="preserve"> kopumā finanšu ietaupījums ir </w:t>
            </w:r>
            <w:r w:rsidR="00D31630">
              <w:t>6 769 018</w:t>
            </w:r>
            <w:r w:rsidR="001C4A67">
              <w:t xml:space="preserve"> </w:t>
            </w:r>
            <w:proofErr w:type="spellStart"/>
            <w:r w:rsidR="003E7A5D" w:rsidRPr="003E7A5D">
              <w:rPr>
                <w:i/>
              </w:rPr>
              <w:t>euro</w:t>
            </w:r>
            <w:proofErr w:type="spellEnd"/>
            <w:r w:rsidR="00A568E7">
              <w:t>.</w:t>
            </w:r>
            <w:r w:rsidR="001C4A67">
              <w:t xml:space="preserve"> </w:t>
            </w:r>
            <w:r w:rsidR="00A568E7">
              <w:t>Š</w:t>
            </w:r>
            <w:r w:rsidR="008C1B9D">
              <w:t xml:space="preserve">ī </w:t>
            </w:r>
            <w:r w:rsidR="008C1B9D" w:rsidRPr="008C1B9D">
              <w:t>ekonomija ļauj pārtikas nenodrošinātības un pamata materiālās nenodrošinātības pasākumiem paredzētā finansējuma ietvaros</w:t>
            </w:r>
            <w:r w:rsidR="001C4A67">
              <w:t xml:space="preserve"> </w:t>
            </w:r>
            <w:r w:rsidR="008C1B9D">
              <w:t>nodrošināt</w:t>
            </w:r>
            <w:r w:rsidR="001C4A67">
              <w:t xml:space="preserve"> atbalsta saņēmēju loka paplašināšan</w:t>
            </w:r>
            <w:r w:rsidR="008C1B9D">
              <w:t>os</w:t>
            </w:r>
            <w:r w:rsidR="001C4A67">
              <w:t xml:space="preserve"> un papildus izdalāmo komplektu iegād</w:t>
            </w:r>
            <w:r w:rsidR="008C1B9D">
              <w:t>e</w:t>
            </w:r>
            <w:r w:rsidR="001C4A67">
              <w:t>s un izdalīšanas izmaks</w:t>
            </w:r>
            <w:r w:rsidR="008C1B9D">
              <w:t>as</w:t>
            </w:r>
            <w:r w:rsidR="00D6632F">
              <w:t>.</w:t>
            </w:r>
            <w:r w:rsidR="005C1C3F" w:rsidRPr="00DF4F91">
              <w:rPr>
                <w:color w:val="FF0000"/>
              </w:rPr>
              <w:t xml:space="preserve"> </w:t>
            </w:r>
          </w:p>
        </w:tc>
      </w:tr>
    </w:tbl>
    <w:p w14:paraId="7A207306" w14:textId="02A85E0B" w:rsidR="009A47DE" w:rsidRDefault="009A47DE" w:rsidP="00C957EF">
      <w:pPr>
        <w:spacing w:line="276" w:lineRule="auto"/>
        <w:jc w:val="cente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7460A5" w:rsidRPr="007460A5" w14:paraId="01EDE5CF" w14:textId="77777777" w:rsidTr="00737B79">
        <w:trPr>
          <w:jc w:val="center"/>
        </w:trPr>
        <w:tc>
          <w:tcPr>
            <w:tcW w:w="10060" w:type="dxa"/>
            <w:tcBorders>
              <w:top w:val="single" w:sz="4" w:space="0" w:color="auto"/>
              <w:left w:val="single" w:sz="4" w:space="0" w:color="auto"/>
              <w:bottom w:val="single" w:sz="4" w:space="0" w:color="auto"/>
              <w:right w:val="single" w:sz="4" w:space="0" w:color="auto"/>
            </w:tcBorders>
            <w:hideMark/>
          </w:tcPr>
          <w:p w14:paraId="3F322623" w14:textId="4362CD73" w:rsidR="007460A5" w:rsidRPr="007460A5" w:rsidRDefault="007460A5" w:rsidP="00737B79">
            <w:pPr>
              <w:spacing w:before="120" w:after="120" w:line="276" w:lineRule="auto"/>
              <w:jc w:val="center"/>
              <w:rPr>
                <w:b/>
              </w:rPr>
            </w:pPr>
            <w:r w:rsidRPr="007460A5">
              <w:rPr>
                <w:b/>
                <w:bCs/>
                <w:shd w:val="clear" w:color="auto" w:fill="FFFFFF"/>
              </w:rPr>
              <w:t>IV. Tiesību akta projekta ietekme uz spēkā esošo tiesību normu sistēmu</w:t>
            </w:r>
          </w:p>
        </w:tc>
      </w:tr>
      <w:tr w:rsidR="007460A5" w:rsidRPr="007460A5" w14:paraId="4A00A159" w14:textId="77777777" w:rsidTr="00737B79">
        <w:trPr>
          <w:jc w:val="center"/>
        </w:trPr>
        <w:tc>
          <w:tcPr>
            <w:tcW w:w="10060" w:type="dxa"/>
            <w:tcBorders>
              <w:top w:val="single" w:sz="4" w:space="0" w:color="auto"/>
              <w:left w:val="single" w:sz="4" w:space="0" w:color="auto"/>
              <w:bottom w:val="single" w:sz="4" w:space="0" w:color="auto"/>
              <w:right w:val="single" w:sz="4" w:space="0" w:color="auto"/>
            </w:tcBorders>
            <w:hideMark/>
          </w:tcPr>
          <w:p w14:paraId="78074575" w14:textId="613F98F5" w:rsidR="007460A5" w:rsidRPr="008B5C42" w:rsidRDefault="007460A5" w:rsidP="00737B79">
            <w:pPr>
              <w:spacing w:line="276" w:lineRule="auto"/>
              <w:jc w:val="center"/>
            </w:pPr>
            <w:r w:rsidRPr="008B5C42">
              <w:t>Projekts šo jomu neskar</w:t>
            </w:r>
          </w:p>
        </w:tc>
      </w:tr>
    </w:tbl>
    <w:p w14:paraId="72CC96CC" w14:textId="77777777" w:rsidR="007460A5" w:rsidRPr="007460A5" w:rsidRDefault="007460A5" w:rsidP="00C957EF">
      <w:pPr>
        <w:spacing w:line="276" w:lineRule="auto"/>
        <w:jc w:val="center"/>
      </w:pPr>
    </w:p>
    <w:p w14:paraId="49E99C00" w14:textId="77777777" w:rsidR="009A47DE" w:rsidRPr="007460A5" w:rsidRDefault="009A47DE" w:rsidP="00C957EF">
      <w:pPr>
        <w:spacing w:line="276" w:lineRule="auto"/>
        <w:jc w:val="cente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7460A5" w:rsidRPr="007460A5" w14:paraId="759945FA" w14:textId="77777777" w:rsidTr="00C647D0">
        <w:trPr>
          <w:jc w:val="center"/>
        </w:trPr>
        <w:tc>
          <w:tcPr>
            <w:tcW w:w="10060" w:type="dxa"/>
            <w:tcBorders>
              <w:top w:val="single" w:sz="4" w:space="0" w:color="auto"/>
              <w:left w:val="single" w:sz="4" w:space="0" w:color="auto"/>
              <w:bottom w:val="single" w:sz="4" w:space="0" w:color="auto"/>
              <w:right w:val="single" w:sz="4" w:space="0" w:color="auto"/>
            </w:tcBorders>
            <w:hideMark/>
          </w:tcPr>
          <w:p w14:paraId="018565A6" w14:textId="77777777" w:rsidR="00C647D0" w:rsidRPr="007460A5" w:rsidRDefault="00C647D0" w:rsidP="00DA1EA0">
            <w:pPr>
              <w:spacing w:before="120" w:after="120" w:line="276" w:lineRule="auto"/>
              <w:jc w:val="center"/>
              <w:rPr>
                <w:b/>
              </w:rPr>
            </w:pPr>
            <w:r w:rsidRPr="007460A5">
              <w:rPr>
                <w:b/>
              </w:rPr>
              <w:t xml:space="preserve">V. </w:t>
            </w:r>
            <w:r w:rsidRPr="007460A5">
              <w:rPr>
                <w:b/>
                <w:bCs/>
                <w:shd w:val="clear" w:color="auto" w:fill="FFFFFF"/>
              </w:rPr>
              <w:t>Tiesību akta projekta atbilstība Latvijas Republikas</w:t>
            </w:r>
            <w:r w:rsidRPr="007460A5">
              <w:rPr>
                <w:b/>
              </w:rPr>
              <w:t xml:space="preserve"> starptautiskajām saistībām</w:t>
            </w:r>
          </w:p>
        </w:tc>
      </w:tr>
      <w:tr w:rsidR="00BB42DC" w:rsidRPr="007460A5" w14:paraId="273F82D6" w14:textId="77777777" w:rsidTr="00A21675">
        <w:trPr>
          <w:trHeight w:val="384"/>
          <w:jc w:val="center"/>
        </w:trPr>
        <w:tc>
          <w:tcPr>
            <w:tcW w:w="10060" w:type="dxa"/>
            <w:tcBorders>
              <w:top w:val="single" w:sz="4" w:space="0" w:color="auto"/>
              <w:left w:val="single" w:sz="4" w:space="0" w:color="auto"/>
              <w:right w:val="single" w:sz="4" w:space="0" w:color="auto"/>
            </w:tcBorders>
          </w:tcPr>
          <w:p w14:paraId="7091DFB1" w14:textId="3BEE83DC" w:rsidR="00BB42DC" w:rsidRPr="008B5C42" w:rsidRDefault="00BB42DC" w:rsidP="00C647D0">
            <w:pPr>
              <w:spacing w:line="276" w:lineRule="auto"/>
              <w:jc w:val="center"/>
            </w:pPr>
            <w:r w:rsidRPr="008B5C42">
              <w:t>Projekts šo jomu neskar</w:t>
            </w:r>
          </w:p>
        </w:tc>
      </w:tr>
    </w:tbl>
    <w:p w14:paraId="74CE8615" w14:textId="77777777" w:rsidR="00C647D0" w:rsidRDefault="00C647D0" w:rsidP="00C647D0">
      <w:pPr>
        <w:spacing w:line="276" w:lineRule="auto"/>
        <w:jc w:val="center"/>
        <w:rPr>
          <w:b/>
        </w:rPr>
      </w:pPr>
    </w:p>
    <w:p w14:paraId="71D8C258" w14:textId="77777777" w:rsidR="00575B8A" w:rsidRPr="00C647D0" w:rsidRDefault="00575B8A" w:rsidP="00C647D0">
      <w:pPr>
        <w:spacing w:line="276" w:lineRule="auto"/>
        <w:jc w:val="center"/>
        <w:rPr>
          <w:b/>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2344"/>
        <w:gridCol w:w="7088"/>
      </w:tblGrid>
      <w:tr w:rsidR="009A47DE" w:rsidRPr="00A93F85" w14:paraId="3E73978E" w14:textId="77777777" w:rsidTr="00E57849">
        <w:trPr>
          <w:jc w:val="center"/>
        </w:trPr>
        <w:tc>
          <w:tcPr>
            <w:tcW w:w="10060" w:type="dxa"/>
            <w:gridSpan w:val="3"/>
            <w:shd w:val="clear" w:color="auto" w:fill="auto"/>
          </w:tcPr>
          <w:p w14:paraId="1ECD20E4" w14:textId="77777777" w:rsidR="009A47DE" w:rsidRPr="00A93F85" w:rsidRDefault="009A47DE" w:rsidP="00DA1EA0">
            <w:pPr>
              <w:spacing w:before="120" w:after="120" w:line="276" w:lineRule="auto"/>
              <w:jc w:val="center"/>
              <w:rPr>
                <w:b/>
              </w:rPr>
            </w:pPr>
            <w:r w:rsidRPr="00A93F85">
              <w:rPr>
                <w:b/>
              </w:rPr>
              <w:t>VI. Sabiedrības līdzdalība un komunikācijas aktivitātes</w:t>
            </w:r>
          </w:p>
        </w:tc>
      </w:tr>
      <w:tr w:rsidR="002A62F4" w:rsidRPr="00A93F85" w14:paraId="1F47EDA1" w14:textId="77777777" w:rsidTr="00A66C76">
        <w:trPr>
          <w:jc w:val="center"/>
        </w:trPr>
        <w:tc>
          <w:tcPr>
            <w:tcW w:w="628" w:type="dxa"/>
            <w:shd w:val="clear" w:color="auto" w:fill="auto"/>
          </w:tcPr>
          <w:p w14:paraId="7389FC6C" w14:textId="77777777" w:rsidR="002A62F4" w:rsidRPr="00A93F85" w:rsidRDefault="002A62F4" w:rsidP="002A62F4">
            <w:pPr>
              <w:spacing w:after="240" w:line="276" w:lineRule="auto"/>
            </w:pPr>
            <w:r w:rsidRPr="00A93F85">
              <w:t xml:space="preserve">1. </w:t>
            </w:r>
          </w:p>
        </w:tc>
        <w:tc>
          <w:tcPr>
            <w:tcW w:w="2344" w:type="dxa"/>
            <w:shd w:val="clear" w:color="auto" w:fill="auto"/>
          </w:tcPr>
          <w:p w14:paraId="0FA5B346" w14:textId="77777777" w:rsidR="002A62F4" w:rsidRPr="00DD3DAC" w:rsidRDefault="002A62F4" w:rsidP="002A62F4">
            <w:pPr>
              <w:pStyle w:val="naiskr"/>
              <w:spacing w:before="0" w:after="240" w:line="276" w:lineRule="auto"/>
              <w:ind w:left="-23" w:right="-79"/>
            </w:pPr>
            <w:r w:rsidRPr="00A93F85">
              <w:t>Plānotās sabiedrības līdzdalības un komunikācijas aktivitātes saistībā ar projektu</w:t>
            </w:r>
          </w:p>
        </w:tc>
        <w:tc>
          <w:tcPr>
            <w:tcW w:w="7088" w:type="dxa"/>
            <w:shd w:val="clear" w:color="auto" w:fill="auto"/>
          </w:tcPr>
          <w:p w14:paraId="57A2D663" w14:textId="77777777" w:rsidR="002A62F4" w:rsidRPr="00C668A8" w:rsidRDefault="002A62F4" w:rsidP="00DA1EA0">
            <w:pPr>
              <w:spacing w:before="120"/>
              <w:jc w:val="both"/>
              <w:rPr>
                <w:iCs/>
              </w:rPr>
            </w:pPr>
            <w:r w:rsidRPr="00C668A8">
              <w:rPr>
                <w:iCs/>
              </w:rPr>
              <w:t>Sabiedrības līdzdalību noteikumu projekta izstrādē nodrošina:</w:t>
            </w:r>
          </w:p>
          <w:p w14:paraId="1D077779" w14:textId="77777777" w:rsidR="002A62F4" w:rsidRPr="00C668A8" w:rsidRDefault="002A62F4" w:rsidP="00DA1EA0">
            <w:pPr>
              <w:pStyle w:val="ListParagraph"/>
              <w:numPr>
                <w:ilvl w:val="0"/>
                <w:numId w:val="4"/>
              </w:numPr>
              <w:spacing w:before="120" w:after="0" w:line="240" w:lineRule="auto"/>
              <w:jc w:val="both"/>
              <w:rPr>
                <w:rFonts w:ascii="Times New Roman" w:hAnsi="Times New Roman"/>
                <w:iCs/>
                <w:sz w:val="24"/>
                <w:szCs w:val="24"/>
              </w:rPr>
            </w:pPr>
            <w:r w:rsidRPr="00C668A8">
              <w:rPr>
                <w:rFonts w:ascii="Times New Roman" w:hAnsi="Times New Roman"/>
                <w:iCs/>
                <w:sz w:val="24"/>
                <w:szCs w:val="24"/>
              </w:rPr>
              <w:t>Fonda konsultatīvās darba grupas iesaiste (2017. gada 8. jūnijā) un tās ietvaros panāktās vienošanās par pilnveidojumiem iestrādāšana noteikumu projektā, skatīt VI sadaļas 2.1. punktu;</w:t>
            </w:r>
          </w:p>
          <w:p w14:paraId="427F2FD4" w14:textId="5310FA51" w:rsidR="002A62F4" w:rsidRPr="00C668A8" w:rsidRDefault="002A62F4" w:rsidP="00DA1EA0">
            <w:pPr>
              <w:pStyle w:val="ListParagraph"/>
              <w:numPr>
                <w:ilvl w:val="0"/>
                <w:numId w:val="4"/>
              </w:numPr>
              <w:spacing w:before="120" w:after="0" w:line="240" w:lineRule="auto"/>
              <w:jc w:val="both"/>
              <w:rPr>
                <w:rFonts w:ascii="Times New Roman" w:hAnsi="Times New Roman"/>
                <w:iCs/>
                <w:sz w:val="24"/>
                <w:szCs w:val="24"/>
              </w:rPr>
            </w:pPr>
            <w:r w:rsidRPr="00C668A8">
              <w:rPr>
                <w:rFonts w:ascii="Times New Roman" w:hAnsi="Times New Roman"/>
                <w:iCs/>
                <w:sz w:val="24"/>
                <w:szCs w:val="24"/>
              </w:rPr>
              <w:t>noteikumu projekta apspriešana un viedokļu uzklausīšana darba grupas sanāksmēs un sarakstē, piedaloties Latvija Pašvaldību savienības (turpmāk</w:t>
            </w:r>
            <w:r w:rsidR="009C1E46" w:rsidRPr="00C668A8">
              <w:rPr>
                <w:rFonts w:ascii="Times New Roman" w:hAnsi="Times New Roman"/>
                <w:iCs/>
                <w:sz w:val="24"/>
                <w:szCs w:val="24"/>
              </w:rPr>
              <w:t xml:space="preserve"> </w:t>
            </w:r>
            <w:r w:rsidRPr="00C668A8">
              <w:rPr>
                <w:rFonts w:ascii="Times New Roman" w:hAnsi="Times New Roman"/>
                <w:iCs/>
                <w:sz w:val="24"/>
                <w:szCs w:val="24"/>
              </w:rPr>
              <w:t>-</w:t>
            </w:r>
            <w:r w:rsidR="009C1E46" w:rsidRPr="00C668A8">
              <w:rPr>
                <w:rFonts w:ascii="Times New Roman" w:hAnsi="Times New Roman"/>
                <w:iCs/>
                <w:sz w:val="24"/>
                <w:szCs w:val="24"/>
              </w:rPr>
              <w:t xml:space="preserve"> </w:t>
            </w:r>
            <w:r w:rsidRPr="00C668A8">
              <w:rPr>
                <w:rFonts w:ascii="Times New Roman" w:hAnsi="Times New Roman"/>
                <w:iCs/>
                <w:sz w:val="24"/>
                <w:szCs w:val="24"/>
              </w:rPr>
              <w:t>LPS), vairāku pašvaldību sociālo dienestu, kas aktīvi iesaistījušies Fonda atbalsta sniegšanā, Latvijas Pašvaldību sociālo dienestu vadītāju apvienības un Fonda vadošās iestādes pārstāvjiem 2017. gada 26. jūnija sanāksmē, elektroniskajā viedokļu apmaiņā par pilnveidoto priekšlikumu 2017. gada septembrī un diskusijā “</w:t>
            </w:r>
            <w:r w:rsidRPr="00C668A8">
              <w:rPr>
                <w:rFonts w:ascii="Times New Roman" w:hAnsi="Times New Roman"/>
                <w:bCs/>
                <w:iCs/>
                <w:sz w:val="24"/>
                <w:szCs w:val="24"/>
              </w:rPr>
              <w:t>Par izmaiņām Eiropas Atbalsta fonda vistrūcīgākajām personām atbalsta saņemšanas nosacījumos”</w:t>
            </w:r>
            <w:r w:rsidRPr="00C668A8">
              <w:rPr>
                <w:rFonts w:ascii="Times New Roman" w:hAnsi="Times New Roman"/>
                <w:iCs/>
                <w:sz w:val="24"/>
                <w:szCs w:val="24"/>
              </w:rPr>
              <w:t xml:space="preserve"> LPS Veselības un sociālo jautājumu komitejas 2017. gada 11. oktobra sēdē,</w:t>
            </w:r>
            <w:r w:rsidRPr="00C668A8">
              <w:rPr>
                <w:rFonts w:ascii="Times New Roman" w:eastAsia="Times New Roman" w:hAnsi="Times New Roman"/>
                <w:iCs/>
                <w:sz w:val="24"/>
                <w:szCs w:val="24"/>
                <w:lang w:eastAsia="lv-LV"/>
              </w:rPr>
              <w:t xml:space="preserve"> </w:t>
            </w:r>
            <w:r w:rsidRPr="00C668A8">
              <w:rPr>
                <w:rFonts w:ascii="Times New Roman" w:hAnsi="Times New Roman"/>
                <w:iCs/>
                <w:sz w:val="24"/>
                <w:szCs w:val="24"/>
              </w:rPr>
              <w:t>skatīt VI</w:t>
            </w:r>
            <w:r w:rsidR="008722AA" w:rsidRPr="00C668A8">
              <w:rPr>
                <w:rFonts w:ascii="Times New Roman" w:hAnsi="Times New Roman"/>
                <w:iCs/>
                <w:sz w:val="24"/>
                <w:szCs w:val="24"/>
              </w:rPr>
              <w:t> </w:t>
            </w:r>
            <w:r w:rsidRPr="00C668A8">
              <w:rPr>
                <w:rFonts w:ascii="Times New Roman" w:hAnsi="Times New Roman"/>
                <w:iCs/>
                <w:sz w:val="24"/>
                <w:szCs w:val="24"/>
              </w:rPr>
              <w:t>sadaļas 2.2. punktu;</w:t>
            </w:r>
          </w:p>
          <w:p w14:paraId="245AADCF" w14:textId="04A8AF8E" w:rsidR="002A62F4" w:rsidRPr="00C668A8" w:rsidRDefault="002A62F4" w:rsidP="00DA1EA0">
            <w:pPr>
              <w:pStyle w:val="ListParagraph"/>
              <w:numPr>
                <w:ilvl w:val="0"/>
                <w:numId w:val="4"/>
              </w:numPr>
              <w:spacing w:before="120" w:after="0" w:line="240" w:lineRule="auto"/>
              <w:jc w:val="both"/>
              <w:rPr>
                <w:rFonts w:ascii="Times New Roman" w:hAnsi="Times New Roman"/>
                <w:iCs/>
                <w:sz w:val="24"/>
                <w:szCs w:val="24"/>
              </w:rPr>
            </w:pPr>
            <w:r w:rsidRPr="00C668A8">
              <w:rPr>
                <w:rFonts w:ascii="Times New Roman" w:hAnsi="Times New Roman"/>
                <w:iCs/>
                <w:sz w:val="24"/>
                <w:szCs w:val="24"/>
              </w:rPr>
              <w:t>Fonda atbalsta nosacījumu izmaiņu apspriešana ikgadējā Fonda darbības programmas novērtēšanas sanāksmē 2017.</w:t>
            </w:r>
            <w:r w:rsidR="009C1E46" w:rsidRPr="00C668A8">
              <w:rPr>
                <w:rFonts w:ascii="Times New Roman" w:hAnsi="Times New Roman"/>
                <w:iCs/>
                <w:sz w:val="24"/>
                <w:szCs w:val="24"/>
              </w:rPr>
              <w:t> </w:t>
            </w:r>
            <w:r w:rsidRPr="00C668A8">
              <w:rPr>
                <w:rFonts w:ascii="Times New Roman" w:hAnsi="Times New Roman"/>
                <w:iCs/>
                <w:sz w:val="24"/>
                <w:szCs w:val="24"/>
              </w:rPr>
              <w:t>gada 1.</w:t>
            </w:r>
            <w:r w:rsidR="009C1E46" w:rsidRPr="00C668A8">
              <w:rPr>
                <w:rFonts w:ascii="Times New Roman" w:hAnsi="Times New Roman"/>
                <w:iCs/>
                <w:sz w:val="24"/>
                <w:szCs w:val="24"/>
              </w:rPr>
              <w:t> </w:t>
            </w:r>
            <w:r w:rsidRPr="00C668A8">
              <w:rPr>
                <w:rFonts w:ascii="Times New Roman" w:hAnsi="Times New Roman"/>
                <w:iCs/>
                <w:sz w:val="24"/>
                <w:szCs w:val="24"/>
              </w:rPr>
              <w:t>decembrī, piedaloties Fonda konsultatīvajai darba grupai, Eiropas Komisijas pārstāvjiem, visām Fonda vadībā iesaistītajām iestādē</w:t>
            </w:r>
            <w:r w:rsidR="00AF7FB9">
              <w:rPr>
                <w:rFonts w:ascii="Times New Roman" w:hAnsi="Times New Roman"/>
                <w:iCs/>
                <w:sz w:val="24"/>
                <w:szCs w:val="24"/>
              </w:rPr>
              <w:t>m</w:t>
            </w:r>
            <w:r w:rsidRPr="00C668A8">
              <w:rPr>
                <w:rFonts w:ascii="Times New Roman" w:hAnsi="Times New Roman"/>
                <w:iCs/>
                <w:sz w:val="24"/>
                <w:szCs w:val="24"/>
              </w:rPr>
              <w:t xml:space="preserve"> un Fonda ieviešanā iesaistītajām partnerorganizācijām, skatīt VI</w:t>
            </w:r>
            <w:r w:rsidR="008722AA" w:rsidRPr="00C668A8">
              <w:rPr>
                <w:rFonts w:ascii="Times New Roman" w:hAnsi="Times New Roman"/>
                <w:iCs/>
                <w:sz w:val="24"/>
                <w:szCs w:val="24"/>
              </w:rPr>
              <w:t> </w:t>
            </w:r>
            <w:r w:rsidRPr="00C668A8">
              <w:rPr>
                <w:rFonts w:ascii="Times New Roman" w:hAnsi="Times New Roman"/>
                <w:iCs/>
                <w:sz w:val="24"/>
                <w:szCs w:val="24"/>
              </w:rPr>
              <w:t>sadaļas 2.3. punktu;</w:t>
            </w:r>
          </w:p>
          <w:p w14:paraId="6F295251" w14:textId="1794E140" w:rsidR="002A62F4" w:rsidRPr="00C668A8" w:rsidRDefault="00C668A8" w:rsidP="00DA1EA0">
            <w:pPr>
              <w:pStyle w:val="ListParagraph"/>
              <w:numPr>
                <w:ilvl w:val="0"/>
                <w:numId w:val="4"/>
              </w:numPr>
              <w:spacing w:before="120" w:after="120" w:line="240" w:lineRule="auto"/>
              <w:ind w:left="357" w:hanging="357"/>
              <w:jc w:val="both"/>
              <w:rPr>
                <w:rFonts w:ascii="Times New Roman" w:hAnsi="Times New Roman"/>
                <w:iCs/>
                <w:sz w:val="24"/>
                <w:szCs w:val="24"/>
              </w:rPr>
            </w:pPr>
            <w:r w:rsidRPr="00C668A8">
              <w:rPr>
                <w:rFonts w:ascii="Times New Roman" w:hAnsi="Times New Roman"/>
                <w:iCs/>
                <w:sz w:val="24"/>
                <w:szCs w:val="24"/>
              </w:rPr>
              <w:t>n</w:t>
            </w:r>
            <w:r w:rsidR="002A62F4" w:rsidRPr="00C668A8">
              <w:rPr>
                <w:rFonts w:ascii="Times New Roman" w:hAnsi="Times New Roman"/>
                <w:iCs/>
                <w:sz w:val="24"/>
                <w:szCs w:val="24"/>
              </w:rPr>
              <w:t xml:space="preserve">oteikumu projekta ievietošana Labklājības ministrijas tīmekļa vietnē 2017. gada 8. decembrī, t.i., pirms noteikumu izsludināšanas valsts sekretāru sanāksmē un aicinājums sadarbības partneriem un </w:t>
            </w:r>
            <w:r w:rsidR="002A62F4" w:rsidRPr="00C668A8">
              <w:rPr>
                <w:rFonts w:ascii="Times New Roman" w:hAnsi="Times New Roman"/>
                <w:iCs/>
                <w:sz w:val="24"/>
                <w:szCs w:val="24"/>
              </w:rPr>
              <w:lastRenderedPageBreak/>
              <w:t>iedzīvotājiem izteikt viedokļus un priekšlikumus. Sabiedrības pārstāvji var līdzdarboties noteikumu izstrādē, sniedzot atzinumu par tiem arī pēc izsludināšanas Valsts sekretāru sanāksmē.</w:t>
            </w:r>
          </w:p>
        </w:tc>
      </w:tr>
      <w:tr w:rsidR="002A62F4" w:rsidRPr="007474B9" w14:paraId="2352D4DD" w14:textId="77777777" w:rsidTr="00A66C76">
        <w:trPr>
          <w:jc w:val="center"/>
        </w:trPr>
        <w:tc>
          <w:tcPr>
            <w:tcW w:w="628" w:type="dxa"/>
            <w:shd w:val="clear" w:color="auto" w:fill="auto"/>
          </w:tcPr>
          <w:p w14:paraId="25740B3D" w14:textId="77777777" w:rsidR="002A62F4" w:rsidRPr="00A93F85" w:rsidRDefault="002A62F4" w:rsidP="002A62F4">
            <w:pPr>
              <w:spacing w:line="276" w:lineRule="auto"/>
            </w:pPr>
            <w:r w:rsidRPr="00A93F85">
              <w:lastRenderedPageBreak/>
              <w:t xml:space="preserve">2. </w:t>
            </w:r>
          </w:p>
        </w:tc>
        <w:tc>
          <w:tcPr>
            <w:tcW w:w="2344" w:type="dxa"/>
            <w:shd w:val="clear" w:color="auto" w:fill="auto"/>
          </w:tcPr>
          <w:p w14:paraId="6FDFDD27" w14:textId="77777777" w:rsidR="002A62F4" w:rsidRPr="00A93F85" w:rsidRDefault="002A62F4" w:rsidP="002A62F4">
            <w:pPr>
              <w:pStyle w:val="naiskr"/>
              <w:spacing w:before="0" w:after="0" w:line="276" w:lineRule="auto"/>
              <w:ind w:left="57" w:right="57"/>
            </w:pPr>
            <w:r w:rsidRPr="00DD3DAC">
              <w:t xml:space="preserve">Sabiedrības līdzdalība projekta izstrādē </w:t>
            </w:r>
          </w:p>
        </w:tc>
        <w:tc>
          <w:tcPr>
            <w:tcW w:w="7088" w:type="dxa"/>
            <w:shd w:val="clear" w:color="auto" w:fill="auto"/>
          </w:tcPr>
          <w:p w14:paraId="5279EBEF" w14:textId="442277DC" w:rsidR="002A62F4" w:rsidRPr="002E357B" w:rsidRDefault="002A62F4" w:rsidP="00DA1EA0">
            <w:pPr>
              <w:pStyle w:val="ListParagraph"/>
              <w:numPr>
                <w:ilvl w:val="0"/>
                <w:numId w:val="15"/>
              </w:numPr>
              <w:spacing w:before="120" w:after="120" w:line="240" w:lineRule="auto"/>
              <w:ind w:left="357" w:hanging="357"/>
              <w:jc w:val="both"/>
              <w:rPr>
                <w:rFonts w:ascii="Times New Roman" w:hAnsi="Times New Roman"/>
                <w:iCs/>
                <w:sz w:val="24"/>
                <w:szCs w:val="24"/>
              </w:rPr>
            </w:pPr>
            <w:r w:rsidRPr="002E357B">
              <w:rPr>
                <w:rFonts w:ascii="Times New Roman" w:hAnsi="Times New Roman"/>
                <w:iCs/>
                <w:sz w:val="24"/>
                <w:szCs w:val="24"/>
              </w:rPr>
              <w:t xml:space="preserve">Fonda konsultatīvā darba grupa sanāksmē pozitīvi novērtēja Fonda vadošās iestrādes izstrādātu priekšlikumu par personu loka, kas tiesīgi saņemt </w:t>
            </w:r>
            <w:r w:rsidR="004C6C48">
              <w:rPr>
                <w:rFonts w:ascii="Times New Roman" w:hAnsi="Times New Roman"/>
                <w:iCs/>
                <w:sz w:val="24"/>
                <w:szCs w:val="24"/>
              </w:rPr>
              <w:t xml:space="preserve">paplašinātu </w:t>
            </w:r>
            <w:r w:rsidRPr="002E357B">
              <w:rPr>
                <w:rFonts w:ascii="Times New Roman" w:hAnsi="Times New Roman"/>
                <w:iCs/>
                <w:sz w:val="24"/>
                <w:szCs w:val="24"/>
              </w:rPr>
              <w:t>atbalstu, un pauda atbalstu iniciatīvas tālākai virzībai;</w:t>
            </w:r>
          </w:p>
          <w:p w14:paraId="2A5D02EC" w14:textId="6E113FA5" w:rsidR="002A62F4" w:rsidRPr="002E357B" w:rsidRDefault="002A62F4" w:rsidP="00DA1EA0">
            <w:pPr>
              <w:pStyle w:val="ListParagraph"/>
              <w:numPr>
                <w:ilvl w:val="0"/>
                <w:numId w:val="15"/>
              </w:numPr>
              <w:spacing w:before="120" w:after="120" w:line="240" w:lineRule="auto"/>
              <w:ind w:left="357" w:hanging="357"/>
              <w:jc w:val="both"/>
              <w:rPr>
                <w:rFonts w:ascii="Times New Roman" w:hAnsi="Times New Roman"/>
                <w:iCs/>
                <w:sz w:val="24"/>
                <w:szCs w:val="24"/>
              </w:rPr>
            </w:pPr>
            <w:r w:rsidRPr="002E357B">
              <w:rPr>
                <w:rFonts w:ascii="Times New Roman" w:hAnsi="Times New Roman"/>
                <w:iCs/>
                <w:sz w:val="24"/>
                <w:szCs w:val="24"/>
              </w:rPr>
              <w:t>atsevišķu viedokli par noteikumu projektā paredzēto tehnisk</w:t>
            </w:r>
            <w:r w:rsidR="00AF7FB9">
              <w:rPr>
                <w:rFonts w:ascii="Times New Roman" w:hAnsi="Times New Roman"/>
                <w:iCs/>
                <w:sz w:val="24"/>
                <w:szCs w:val="24"/>
              </w:rPr>
              <w:t>o</w:t>
            </w:r>
            <w:r w:rsidRPr="002E357B">
              <w:rPr>
                <w:rFonts w:ascii="Times New Roman" w:hAnsi="Times New Roman"/>
                <w:iCs/>
                <w:sz w:val="24"/>
                <w:szCs w:val="24"/>
              </w:rPr>
              <w:t xml:space="preserve"> (administratīv</w:t>
            </w:r>
            <w:r w:rsidR="00AF7FB9">
              <w:rPr>
                <w:rFonts w:ascii="Times New Roman" w:hAnsi="Times New Roman"/>
                <w:iCs/>
                <w:sz w:val="24"/>
                <w:szCs w:val="24"/>
              </w:rPr>
              <w:t>o</w:t>
            </w:r>
            <w:r w:rsidRPr="002E357B">
              <w:rPr>
                <w:rFonts w:ascii="Times New Roman" w:hAnsi="Times New Roman"/>
                <w:iCs/>
                <w:sz w:val="24"/>
                <w:szCs w:val="24"/>
              </w:rPr>
              <w:t>) nodrošinā</w:t>
            </w:r>
            <w:r w:rsidR="00AF7FB9">
              <w:rPr>
                <w:rFonts w:ascii="Times New Roman" w:hAnsi="Times New Roman"/>
                <w:iCs/>
                <w:sz w:val="24"/>
                <w:szCs w:val="24"/>
              </w:rPr>
              <w:t>jumu</w:t>
            </w:r>
            <w:r w:rsidRPr="002E357B">
              <w:rPr>
                <w:rFonts w:ascii="Times New Roman" w:hAnsi="Times New Roman"/>
                <w:iCs/>
                <w:sz w:val="24"/>
                <w:szCs w:val="24"/>
              </w:rPr>
              <w:t xml:space="preserve"> pauda LPS. Darba grupas sanāksmēs, viedokļu apmaiņā un diskusijā LPS Veselības un sociālo jautājumu komitejā netika panākta vienošanās par pašvaldību saistošajos noteikumos noteiktās </w:t>
            </w:r>
            <w:r w:rsidRPr="002E357B">
              <w:rPr>
                <w:rFonts w:ascii="Times New Roman" w:hAnsi="Times New Roman"/>
                <w:iCs/>
                <w:sz w:val="24"/>
                <w:szCs w:val="24"/>
                <w:u w:val="single"/>
              </w:rPr>
              <w:t>izziņas maznodrošinātajiem iedzīvotājiem</w:t>
            </w:r>
            <w:r w:rsidRPr="002E357B">
              <w:rPr>
                <w:rFonts w:ascii="Times New Roman" w:hAnsi="Times New Roman"/>
                <w:iCs/>
                <w:sz w:val="24"/>
                <w:szCs w:val="24"/>
              </w:rPr>
              <w:t xml:space="preserve"> piemērošanu Fonda atbalsta saņemšanā, vienlaikus paredzot Latvijā vienotu ienākumu līmeni (zem 188 </w:t>
            </w:r>
            <w:proofErr w:type="spellStart"/>
            <w:r w:rsidR="003E7A5D">
              <w:rPr>
                <w:i/>
              </w:rPr>
              <w:t>euro</w:t>
            </w:r>
            <w:proofErr w:type="spellEnd"/>
            <w:r w:rsidRPr="002E357B">
              <w:rPr>
                <w:rFonts w:ascii="Times New Roman" w:hAnsi="Times New Roman"/>
                <w:iCs/>
                <w:sz w:val="24"/>
                <w:szCs w:val="24"/>
              </w:rPr>
              <w:t>), pie kura ģimenes (personas) tiesīgas saņemt Fonda atbalstu;</w:t>
            </w:r>
          </w:p>
          <w:p w14:paraId="4D45DC12" w14:textId="09226A59" w:rsidR="002A62F4" w:rsidRPr="002E357B" w:rsidRDefault="002A62F4" w:rsidP="00DA1EA0">
            <w:pPr>
              <w:pStyle w:val="ListParagraph"/>
              <w:numPr>
                <w:ilvl w:val="0"/>
                <w:numId w:val="15"/>
              </w:numPr>
              <w:spacing w:before="120" w:after="120" w:line="240" w:lineRule="auto"/>
              <w:ind w:left="357" w:hanging="357"/>
              <w:jc w:val="both"/>
              <w:rPr>
                <w:rFonts w:ascii="Times New Roman" w:hAnsi="Times New Roman"/>
                <w:iCs/>
                <w:sz w:val="24"/>
                <w:szCs w:val="24"/>
              </w:rPr>
            </w:pPr>
            <w:r w:rsidRPr="002E357B">
              <w:rPr>
                <w:rFonts w:ascii="Times New Roman" w:hAnsi="Times New Roman"/>
                <w:iCs/>
                <w:sz w:val="24"/>
                <w:szCs w:val="24"/>
              </w:rPr>
              <w:t>ikgadējā Fonda darbības programmas novērtēšanas sanāksmē prezentēts priekšlikums - n</w:t>
            </w:r>
            <w:r w:rsidRPr="002E357B">
              <w:rPr>
                <w:rFonts w:ascii="Times New Roman" w:hAnsi="Times New Roman"/>
                <w:sz w:val="24"/>
                <w:szCs w:val="24"/>
              </w:rPr>
              <w:t xml:space="preserve">olūkā veicināt personu loka paplašināšanas uzsākšanu, noteikumu projektā paredzēt, ka pašvaldības brīvprātīgi var izmantot iespēju noteikt labvēlīgākus nosacījumus maznodrošinātu iedzīvotāju ar vidējo ienākumu līmeni līdz 188 </w:t>
            </w:r>
            <w:proofErr w:type="spellStart"/>
            <w:r w:rsidR="003E7A5D" w:rsidRPr="003E7A5D">
              <w:rPr>
                <w:rFonts w:ascii="Times New Roman" w:hAnsi="Times New Roman"/>
                <w:i/>
                <w:sz w:val="24"/>
                <w:szCs w:val="24"/>
              </w:rPr>
              <w:t>euro</w:t>
            </w:r>
            <w:proofErr w:type="spellEnd"/>
            <w:r w:rsidRPr="002E357B">
              <w:rPr>
                <w:rFonts w:ascii="Times New Roman" w:hAnsi="Times New Roman"/>
                <w:sz w:val="24"/>
                <w:szCs w:val="24"/>
              </w:rPr>
              <w:t xml:space="preserve"> atbalstam no Fonda.</w:t>
            </w:r>
            <w:r w:rsidRPr="002E357B">
              <w:rPr>
                <w:rFonts w:ascii="Times New Roman" w:eastAsia="Times New Roman" w:hAnsi="Times New Roman"/>
                <w:iCs/>
                <w:sz w:val="24"/>
                <w:szCs w:val="24"/>
                <w:lang w:eastAsia="lv-LV"/>
              </w:rPr>
              <w:t xml:space="preserve"> </w:t>
            </w:r>
            <w:r w:rsidRPr="002E357B">
              <w:rPr>
                <w:rFonts w:ascii="Times New Roman" w:hAnsi="Times New Roman"/>
                <w:iCs/>
                <w:sz w:val="24"/>
                <w:szCs w:val="24"/>
              </w:rPr>
              <w:t>Ienākumu līmeņa iestrāde SOPA un attiecīgas atzīmes nodrošināšana neradīs pašvaldību sociālajiem dienestiem papildus administratīvo slogu. Saņemts konceptuāls atbalsts no EK pārstāvjiem un visiem sanāksmes dalībniekiem un aicinājums iespējami īsā laikā pabeigt priekšlikuma iestrādi noteikumu projektā;</w:t>
            </w:r>
          </w:p>
          <w:p w14:paraId="224099A3" w14:textId="1182913D" w:rsidR="002A62F4" w:rsidRPr="007474B9" w:rsidRDefault="002A62F4" w:rsidP="00C66F5D">
            <w:pPr>
              <w:pStyle w:val="ListParagraph"/>
              <w:numPr>
                <w:ilvl w:val="0"/>
                <w:numId w:val="15"/>
              </w:numPr>
              <w:spacing w:before="120" w:after="120" w:line="240" w:lineRule="auto"/>
              <w:ind w:left="357" w:hanging="357"/>
              <w:jc w:val="both"/>
              <w:rPr>
                <w:iCs/>
                <w:color w:val="000000"/>
              </w:rPr>
            </w:pPr>
            <w:r w:rsidRPr="002E357B">
              <w:rPr>
                <w:rFonts w:ascii="Times New Roman" w:hAnsi="Times New Roman"/>
                <w:iCs/>
                <w:sz w:val="24"/>
                <w:szCs w:val="24"/>
              </w:rPr>
              <w:t xml:space="preserve">nosakot preču satura un kvalitātes prasības, Labklājības ministrija veikusi </w:t>
            </w:r>
            <w:r w:rsidRPr="002E357B">
              <w:rPr>
                <w:rFonts w:ascii="Times New Roman" w:hAnsi="Times New Roman"/>
                <w:iCs/>
                <w:color w:val="000000"/>
                <w:sz w:val="24"/>
                <w:szCs w:val="24"/>
              </w:rPr>
              <w:t>papildu konsultācijas ar kompetentajām institūcijām, kuru funkcijas saistītas ar pārtikas apriti, drošumu un kvalitāti (iesaistīt</w:t>
            </w:r>
            <w:r w:rsidR="00C66F5D">
              <w:rPr>
                <w:rFonts w:ascii="Times New Roman" w:hAnsi="Times New Roman"/>
                <w:iCs/>
                <w:color w:val="000000"/>
                <w:sz w:val="24"/>
                <w:szCs w:val="24"/>
              </w:rPr>
              <w:t>s</w:t>
            </w:r>
            <w:r w:rsidRPr="002E357B">
              <w:rPr>
                <w:rFonts w:ascii="Times New Roman" w:hAnsi="Times New Roman"/>
                <w:iCs/>
                <w:color w:val="000000"/>
                <w:sz w:val="24"/>
                <w:szCs w:val="24"/>
              </w:rPr>
              <w:t xml:space="preserve"> </w:t>
            </w:r>
            <w:r w:rsidR="00766BD2">
              <w:rPr>
                <w:rFonts w:ascii="Times New Roman" w:hAnsi="Times New Roman"/>
                <w:iCs/>
                <w:color w:val="000000"/>
                <w:sz w:val="24"/>
                <w:szCs w:val="24"/>
              </w:rPr>
              <w:t xml:space="preserve">Zemkopības ministrija un </w:t>
            </w:r>
            <w:r w:rsidRPr="002E357B">
              <w:rPr>
                <w:rFonts w:ascii="Times New Roman" w:hAnsi="Times New Roman"/>
                <w:iCs/>
                <w:sz w:val="24"/>
                <w:szCs w:val="24"/>
                <w:lang w:eastAsia="ar-SA"/>
              </w:rPr>
              <w:t>Pārtikas veterinārais dienests</w:t>
            </w:r>
            <w:r w:rsidRPr="002E357B">
              <w:rPr>
                <w:rFonts w:ascii="Times New Roman" w:hAnsi="Times New Roman"/>
                <w:iCs/>
                <w:sz w:val="24"/>
                <w:szCs w:val="24"/>
              </w:rPr>
              <w:t>)</w:t>
            </w:r>
            <w:r w:rsidR="009C1E46">
              <w:rPr>
                <w:rFonts w:ascii="Times New Roman" w:hAnsi="Times New Roman"/>
                <w:iCs/>
                <w:sz w:val="24"/>
                <w:szCs w:val="24"/>
              </w:rPr>
              <w:t>.</w:t>
            </w:r>
          </w:p>
        </w:tc>
      </w:tr>
      <w:tr w:rsidR="009A47DE" w:rsidRPr="00C658C9" w14:paraId="70C3B3EF" w14:textId="77777777" w:rsidTr="00A66C76">
        <w:trPr>
          <w:jc w:val="center"/>
        </w:trPr>
        <w:tc>
          <w:tcPr>
            <w:tcW w:w="628" w:type="dxa"/>
            <w:shd w:val="clear" w:color="auto" w:fill="auto"/>
          </w:tcPr>
          <w:p w14:paraId="3BBCE32C" w14:textId="77777777" w:rsidR="009A47DE" w:rsidRPr="00A93F85" w:rsidRDefault="009A47DE" w:rsidP="00E57849">
            <w:pPr>
              <w:spacing w:line="276" w:lineRule="auto"/>
            </w:pPr>
            <w:r w:rsidRPr="00A93F85">
              <w:t>3.</w:t>
            </w:r>
          </w:p>
        </w:tc>
        <w:tc>
          <w:tcPr>
            <w:tcW w:w="2344" w:type="dxa"/>
            <w:shd w:val="clear" w:color="auto" w:fill="auto"/>
          </w:tcPr>
          <w:p w14:paraId="5863F45C" w14:textId="77777777" w:rsidR="009A47DE" w:rsidRPr="00A93F85" w:rsidRDefault="009A47DE" w:rsidP="00E57849">
            <w:pPr>
              <w:pStyle w:val="naiskr"/>
              <w:spacing w:before="0" w:after="0" w:line="276" w:lineRule="auto"/>
              <w:ind w:left="57" w:right="57"/>
            </w:pPr>
            <w:r w:rsidRPr="00DD3DAC">
              <w:t>Sabiedrības līdzdalības rezultāti</w:t>
            </w:r>
            <w:r w:rsidRPr="00A93F85">
              <w:t xml:space="preserve"> </w:t>
            </w:r>
          </w:p>
        </w:tc>
        <w:tc>
          <w:tcPr>
            <w:tcW w:w="7088" w:type="dxa"/>
            <w:shd w:val="clear" w:color="auto" w:fill="auto"/>
          </w:tcPr>
          <w:p w14:paraId="4ED15FC0" w14:textId="6AC4C3A7" w:rsidR="009D641C" w:rsidRPr="00D830F1" w:rsidRDefault="009D641C" w:rsidP="00DA1EA0">
            <w:pPr>
              <w:pStyle w:val="ListParagraph"/>
              <w:numPr>
                <w:ilvl w:val="0"/>
                <w:numId w:val="18"/>
              </w:numPr>
              <w:suppressAutoHyphens/>
              <w:spacing w:before="120" w:after="0" w:line="240" w:lineRule="auto"/>
              <w:ind w:left="317" w:right="57"/>
              <w:jc w:val="both"/>
              <w:rPr>
                <w:rFonts w:ascii="Times New Roman" w:hAnsi="Times New Roman"/>
                <w:iCs/>
                <w:sz w:val="24"/>
                <w:szCs w:val="24"/>
                <w:lang w:eastAsia="ar-SA"/>
              </w:rPr>
            </w:pPr>
            <w:r w:rsidRPr="00D830F1">
              <w:rPr>
                <w:rFonts w:ascii="Times New Roman" w:hAnsi="Times New Roman"/>
                <w:iCs/>
                <w:sz w:val="24"/>
                <w:szCs w:val="24"/>
                <w:lang w:eastAsia="ar-SA"/>
              </w:rPr>
              <w:t>Pamatojoties uz konsultatīvajā darba grupā atbalstīto priekšlikumu attīstību</w:t>
            </w:r>
            <w:r w:rsidR="0030494C">
              <w:rPr>
                <w:rFonts w:ascii="Times New Roman" w:hAnsi="Times New Roman"/>
                <w:iCs/>
                <w:sz w:val="24"/>
                <w:szCs w:val="24"/>
                <w:lang w:eastAsia="ar-SA"/>
              </w:rPr>
              <w:t>,</w:t>
            </w:r>
            <w:r w:rsidRPr="00D830F1">
              <w:rPr>
                <w:rFonts w:ascii="Times New Roman" w:hAnsi="Times New Roman"/>
                <w:iCs/>
                <w:sz w:val="24"/>
                <w:szCs w:val="24"/>
                <w:lang w:eastAsia="ar-SA"/>
              </w:rPr>
              <w:t xml:space="preserve"> un ikgadējā Fonda darbības programmas novērtēšanas sanāksmē panākto vienošanos un viedokļu saskaņojumu, sagatavots noteikumu projekts;</w:t>
            </w:r>
          </w:p>
          <w:p w14:paraId="3400F5F2" w14:textId="77777777" w:rsidR="0030494C" w:rsidRDefault="009D641C" w:rsidP="00DA1EA0">
            <w:pPr>
              <w:pStyle w:val="ListParagraph"/>
              <w:numPr>
                <w:ilvl w:val="0"/>
                <w:numId w:val="18"/>
              </w:numPr>
              <w:suppressAutoHyphens/>
              <w:spacing w:before="120" w:after="0" w:line="240" w:lineRule="auto"/>
              <w:ind w:left="317" w:right="57"/>
              <w:jc w:val="both"/>
              <w:rPr>
                <w:rFonts w:ascii="Times New Roman" w:hAnsi="Times New Roman"/>
                <w:iCs/>
                <w:sz w:val="24"/>
                <w:szCs w:val="24"/>
                <w:lang w:eastAsia="ar-SA"/>
              </w:rPr>
            </w:pPr>
            <w:r>
              <w:rPr>
                <w:rFonts w:ascii="Times New Roman" w:hAnsi="Times New Roman"/>
                <w:iCs/>
                <w:sz w:val="24"/>
                <w:szCs w:val="24"/>
                <w:lang w:eastAsia="ar-SA"/>
              </w:rPr>
              <w:t>a</w:t>
            </w:r>
            <w:r w:rsidRPr="00D830F1">
              <w:rPr>
                <w:rFonts w:ascii="Times New Roman" w:hAnsi="Times New Roman"/>
                <w:iCs/>
                <w:sz w:val="24"/>
                <w:szCs w:val="24"/>
                <w:lang w:eastAsia="ar-SA"/>
              </w:rPr>
              <w:t xml:space="preserve">tsaucoties uz </w:t>
            </w:r>
            <w:r w:rsidR="0030494C">
              <w:rPr>
                <w:rFonts w:ascii="Times New Roman" w:hAnsi="Times New Roman"/>
                <w:iCs/>
                <w:sz w:val="24"/>
                <w:szCs w:val="24"/>
                <w:lang w:eastAsia="ar-SA"/>
              </w:rPr>
              <w:t xml:space="preserve">VI sadaļas </w:t>
            </w:r>
            <w:r w:rsidRPr="00D830F1">
              <w:rPr>
                <w:rFonts w:ascii="Times New Roman" w:hAnsi="Times New Roman"/>
                <w:iCs/>
                <w:sz w:val="24"/>
                <w:szCs w:val="24"/>
                <w:lang w:eastAsia="ar-SA"/>
              </w:rPr>
              <w:t>2.4. punktā minētajām konsultācijām, viedokļu un informācijas apmaiņas rezultātā papildināti pārtikas preču satura un kvalitātes kritēriji</w:t>
            </w:r>
            <w:r w:rsidR="0030494C">
              <w:rPr>
                <w:rFonts w:ascii="Times New Roman" w:hAnsi="Times New Roman"/>
                <w:iCs/>
                <w:sz w:val="24"/>
                <w:szCs w:val="24"/>
                <w:lang w:eastAsia="ar-SA"/>
              </w:rPr>
              <w:t>;</w:t>
            </w:r>
          </w:p>
          <w:p w14:paraId="4533D6C9" w14:textId="47F1A522" w:rsidR="009A47DE" w:rsidRPr="00C658C9" w:rsidRDefault="0030494C" w:rsidP="00DA1EA0">
            <w:pPr>
              <w:pStyle w:val="ListParagraph"/>
              <w:numPr>
                <w:ilvl w:val="0"/>
                <w:numId w:val="18"/>
              </w:numPr>
              <w:suppressAutoHyphens/>
              <w:spacing w:before="120" w:after="120" w:line="240" w:lineRule="auto"/>
              <w:ind w:left="312" w:right="57" w:hanging="357"/>
              <w:jc w:val="both"/>
              <w:rPr>
                <w:lang w:eastAsia="ar-SA"/>
              </w:rPr>
            </w:pPr>
            <w:r w:rsidRPr="0030494C">
              <w:rPr>
                <w:rFonts w:ascii="Times New Roman" w:hAnsi="Times New Roman"/>
                <w:iCs/>
                <w:sz w:val="24"/>
                <w:szCs w:val="24"/>
                <w:lang w:eastAsia="ar-SA"/>
              </w:rPr>
              <w:t>noteikumu projekts oficiālās saskaņošanas ietvaros tiks saskaņots ar Latvijas Pašvaldību savienību.</w:t>
            </w:r>
            <w:r w:rsidR="0025171C">
              <w:rPr>
                <w:rFonts w:ascii="Times New Roman" w:hAnsi="Times New Roman"/>
                <w:iCs/>
                <w:sz w:val="24"/>
                <w:szCs w:val="24"/>
                <w:lang w:eastAsia="ar-SA"/>
              </w:rPr>
              <w:t xml:space="preserve"> </w:t>
            </w:r>
          </w:p>
        </w:tc>
      </w:tr>
      <w:tr w:rsidR="009A47DE" w:rsidRPr="00A93F85" w14:paraId="43F4B6CF" w14:textId="77777777" w:rsidTr="00A66C76">
        <w:trPr>
          <w:jc w:val="center"/>
        </w:trPr>
        <w:tc>
          <w:tcPr>
            <w:tcW w:w="628" w:type="dxa"/>
            <w:shd w:val="clear" w:color="auto" w:fill="auto"/>
          </w:tcPr>
          <w:p w14:paraId="1EDACCA4" w14:textId="77777777" w:rsidR="009A47DE" w:rsidRPr="00A93F85" w:rsidRDefault="009A47DE" w:rsidP="00E57849">
            <w:pPr>
              <w:spacing w:line="276" w:lineRule="auto"/>
            </w:pPr>
            <w:r w:rsidRPr="00A93F85">
              <w:t>4.</w:t>
            </w:r>
          </w:p>
        </w:tc>
        <w:tc>
          <w:tcPr>
            <w:tcW w:w="2344" w:type="dxa"/>
            <w:shd w:val="clear" w:color="auto" w:fill="auto"/>
          </w:tcPr>
          <w:p w14:paraId="4AE969F2" w14:textId="77777777" w:rsidR="009A47DE" w:rsidRPr="00A93F85" w:rsidRDefault="009A47DE" w:rsidP="00E57849">
            <w:pPr>
              <w:pStyle w:val="naiskr"/>
              <w:spacing w:before="0" w:after="0" w:line="276" w:lineRule="auto"/>
              <w:ind w:left="57" w:right="57"/>
            </w:pPr>
            <w:r w:rsidRPr="00A93F85">
              <w:t>Cita informācija</w:t>
            </w:r>
          </w:p>
        </w:tc>
        <w:tc>
          <w:tcPr>
            <w:tcW w:w="7088" w:type="dxa"/>
            <w:shd w:val="clear" w:color="auto" w:fill="auto"/>
          </w:tcPr>
          <w:p w14:paraId="779255DB" w14:textId="77777777" w:rsidR="009A47DE" w:rsidRPr="00A93F85" w:rsidRDefault="009A47DE" w:rsidP="00E57849">
            <w:pPr>
              <w:spacing w:line="276" w:lineRule="auto"/>
              <w:jc w:val="both"/>
              <w:rPr>
                <w:color w:val="000000"/>
              </w:rPr>
            </w:pPr>
            <w:r w:rsidRPr="00A93F85">
              <w:rPr>
                <w:color w:val="000000"/>
              </w:rPr>
              <w:t>Nav.</w:t>
            </w:r>
          </w:p>
        </w:tc>
      </w:tr>
    </w:tbl>
    <w:p w14:paraId="5439CCF7" w14:textId="77777777" w:rsidR="009A47DE" w:rsidRDefault="009A47DE" w:rsidP="00C957EF">
      <w:pPr>
        <w:spacing w:line="276" w:lineRule="auto"/>
        <w:jc w:val="center"/>
      </w:pPr>
    </w:p>
    <w:p w14:paraId="216DD513" w14:textId="77777777" w:rsidR="008B5C42" w:rsidRDefault="008B5C42" w:rsidP="00C957EF">
      <w:pPr>
        <w:spacing w:line="276" w:lineRule="auto"/>
        <w:jc w:val="cente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395"/>
        <w:gridCol w:w="5103"/>
      </w:tblGrid>
      <w:tr w:rsidR="00194614" w:rsidRPr="006A7D0B" w14:paraId="404A12F6" w14:textId="77777777" w:rsidTr="00503DD7">
        <w:tc>
          <w:tcPr>
            <w:tcW w:w="10065" w:type="dxa"/>
            <w:gridSpan w:val="3"/>
            <w:shd w:val="clear" w:color="auto" w:fill="auto"/>
          </w:tcPr>
          <w:p w14:paraId="513A2FD6" w14:textId="77777777" w:rsidR="00194614" w:rsidRPr="006A7D0B" w:rsidRDefault="00194614" w:rsidP="00DA1EA0">
            <w:pPr>
              <w:spacing w:before="120" w:after="120" w:line="276" w:lineRule="auto"/>
              <w:jc w:val="center"/>
              <w:rPr>
                <w:b/>
              </w:rPr>
            </w:pPr>
            <w:r w:rsidRPr="006A7D0B">
              <w:rPr>
                <w:b/>
              </w:rPr>
              <w:t>VII</w:t>
            </w:r>
            <w:r w:rsidR="00DC37D9" w:rsidRPr="006A7D0B">
              <w:rPr>
                <w:b/>
              </w:rPr>
              <w:t>.</w:t>
            </w:r>
            <w:r w:rsidRPr="006A7D0B">
              <w:rPr>
                <w:b/>
              </w:rPr>
              <w:t xml:space="preserve"> Tiesību akta projekta izpildes nodrošināšana un tās ietekme uz institūcijām</w:t>
            </w:r>
          </w:p>
        </w:tc>
      </w:tr>
      <w:tr w:rsidR="00B76D85" w:rsidRPr="00B76D85" w14:paraId="72087142" w14:textId="77777777" w:rsidTr="00575B8A">
        <w:tc>
          <w:tcPr>
            <w:tcW w:w="567" w:type="dxa"/>
            <w:shd w:val="clear" w:color="auto" w:fill="auto"/>
          </w:tcPr>
          <w:p w14:paraId="74C6489F" w14:textId="77777777" w:rsidR="00B76D85" w:rsidRPr="00B76D85" w:rsidRDefault="00194614" w:rsidP="00C957EF">
            <w:pPr>
              <w:spacing w:line="276" w:lineRule="auto"/>
            </w:pPr>
            <w:r>
              <w:t>1</w:t>
            </w:r>
            <w:r w:rsidR="00B76D85">
              <w:t xml:space="preserve">. </w:t>
            </w:r>
          </w:p>
        </w:tc>
        <w:tc>
          <w:tcPr>
            <w:tcW w:w="4395" w:type="dxa"/>
            <w:shd w:val="clear" w:color="auto" w:fill="auto"/>
            <w:vAlign w:val="center"/>
          </w:tcPr>
          <w:p w14:paraId="75DCF31F" w14:textId="77777777" w:rsidR="00B76D85" w:rsidRPr="009B0739" w:rsidRDefault="00194614" w:rsidP="00C957EF">
            <w:pPr>
              <w:spacing w:line="276" w:lineRule="auto"/>
            </w:pPr>
            <w:r w:rsidRPr="009B0739">
              <w:t>Projekta izpildē iesaistītās institūcijas</w:t>
            </w:r>
          </w:p>
        </w:tc>
        <w:tc>
          <w:tcPr>
            <w:tcW w:w="5103" w:type="dxa"/>
            <w:shd w:val="clear" w:color="auto" w:fill="auto"/>
            <w:vAlign w:val="center"/>
          </w:tcPr>
          <w:p w14:paraId="3867D3BD" w14:textId="77777777" w:rsidR="00B76D85" w:rsidRDefault="00136093" w:rsidP="00E428EB">
            <w:pPr>
              <w:jc w:val="both"/>
              <w:rPr>
                <w:color w:val="000000"/>
              </w:rPr>
            </w:pPr>
            <w:r>
              <w:rPr>
                <w:color w:val="000000"/>
              </w:rPr>
              <w:t>Labklājības ministrija</w:t>
            </w:r>
          </w:p>
          <w:p w14:paraId="0232CDA9" w14:textId="77777777" w:rsidR="00136093" w:rsidRPr="002A2700" w:rsidRDefault="00136093" w:rsidP="00E428EB">
            <w:pPr>
              <w:jc w:val="both"/>
              <w:rPr>
                <w:color w:val="000000"/>
              </w:rPr>
            </w:pPr>
            <w:r>
              <w:rPr>
                <w:color w:val="000000"/>
              </w:rPr>
              <w:t>Sabiedrības integrācijas fonds</w:t>
            </w:r>
          </w:p>
        </w:tc>
      </w:tr>
      <w:tr w:rsidR="006A694C" w:rsidRPr="00B76D85" w14:paraId="045351F3" w14:textId="77777777" w:rsidTr="00575B8A">
        <w:tc>
          <w:tcPr>
            <w:tcW w:w="567" w:type="dxa"/>
            <w:shd w:val="clear" w:color="auto" w:fill="auto"/>
          </w:tcPr>
          <w:p w14:paraId="48EDD8E7" w14:textId="77777777" w:rsidR="006A694C" w:rsidRPr="00B76D85" w:rsidRDefault="006A694C" w:rsidP="00C957EF">
            <w:pPr>
              <w:spacing w:line="276" w:lineRule="auto"/>
            </w:pPr>
            <w:r>
              <w:t xml:space="preserve">2. </w:t>
            </w:r>
          </w:p>
        </w:tc>
        <w:tc>
          <w:tcPr>
            <w:tcW w:w="4395" w:type="dxa"/>
            <w:shd w:val="clear" w:color="auto" w:fill="auto"/>
            <w:vAlign w:val="center"/>
          </w:tcPr>
          <w:p w14:paraId="67A70449" w14:textId="23E8E7F5" w:rsidR="006A694C" w:rsidRPr="009B0739" w:rsidRDefault="006A694C" w:rsidP="00C957EF">
            <w:pPr>
              <w:spacing w:line="276" w:lineRule="auto"/>
            </w:pPr>
            <w:r w:rsidRPr="009B0739">
              <w:t>Projekta izpildes ietekme uz pār</w:t>
            </w:r>
            <w:r w:rsidRPr="009B0739">
              <w:softHyphen/>
              <w:t>valdes funkcijām un institucionālo struktūru</w:t>
            </w:r>
          </w:p>
          <w:p w14:paraId="0D5C53B7" w14:textId="77777777" w:rsidR="006A694C" w:rsidRPr="009B0739" w:rsidRDefault="006A694C" w:rsidP="00C957EF">
            <w:pPr>
              <w:spacing w:line="276" w:lineRule="auto"/>
            </w:pPr>
            <w:r w:rsidRPr="009B0739">
              <w:lastRenderedPageBreak/>
              <w:t>Jaunu institūciju izveide, esošu institūciju likvidācija vai reorga</w:t>
            </w:r>
            <w:r w:rsidRPr="009B0739">
              <w:softHyphen/>
              <w:t>nizācija, to ietekme uz institūcijas cilvēkresursiem</w:t>
            </w:r>
          </w:p>
        </w:tc>
        <w:tc>
          <w:tcPr>
            <w:tcW w:w="5103" w:type="dxa"/>
            <w:shd w:val="clear" w:color="auto" w:fill="auto"/>
            <w:vAlign w:val="center"/>
          </w:tcPr>
          <w:p w14:paraId="2A045C3D" w14:textId="77777777" w:rsidR="006A694C" w:rsidRPr="002A2700" w:rsidRDefault="006A694C" w:rsidP="00E428EB">
            <w:pPr>
              <w:jc w:val="both"/>
              <w:rPr>
                <w:color w:val="000000"/>
              </w:rPr>
            </w:pPr>
            <w:r w:rsidRPr="002A2700">
              <w:rPr>
                <w:color w:val="000000"/>
              </w:rPr>
              <w:lastRenderedPageBreak/>
              <w:t>Noteikumu projekts neparedz</w:t>
            </w:r>
            <w:r w:rsidR="00136093">
              <w:rPr>
                <w:color w:val="000000"/>
              </w:rPr>
              <w:t xml:space="preserve"> </w:t>
            </w:r>
            <w:r w:rsidRPr="002A2700">
              <w:rPr>
                <w:color w:val="000000"/>
              </w:rPr>
              <w:t>funkciju paplašināšanu vai sašaur</w:t>
            </w:r>
            <w:r w:rsidR="00A75348">
              <w:rPr>
                <w:color w:val="000000"/>
              </w:rPr>
              <w:t xml:space="preserve">ināšanu, kā arī neietekmē </w:t>
            </w:r>
            <w:r w:rsidR="00A75348">
              <w:rPr>
                <w:color w:val="000000"/>
              </w:rPr>
              <w:lastRenderedPageBreak/>
              <w:t xml:space="preserve">pieejamos cilvēkresursus. </w:t>
            </w:r>
          </w:p>
        </w:tc>
      </w:tr>
      <w:tr w:rsidR="006A694C" w:rsidRPr="00B76D85" w14:paraId="2865CB41" w14:textId="77777777" w:rsidTr="00503DD7">
        <w:tc>
          <w:tcPr>
            <w:tcW w:w="567" w:type="dxa"/>
            <w:shd w:val="clear" w:color="auto" w:fill="auto"/>
          </w:tcPr>
          <w:p w14:paraId="0B7B9D30" w14:textId="77777777" w:rsidR="006A694C" w:rsidRDefault="006A694C" w:rsidP="00C957EF">
            <w:pPr>
              <w:spacing w:line="276" w:lineRule="auto"/>
            </w:pPr>
            <w:r>
              <w:lastRenderedPageBreak/>
              <w:t xml:space="preserve">3. </w:t>
            </w:r>
          </w:p>
        </w:tc>
        <w:tc>
          <w:tcPr>
            <w:tcW w:w="4395" w:type="dxa"/>
            <w:shd w:val="clear" w:color="auto" w:fill="auto"/>
          </w:tcPr>
          <w:p w14:paraId="2049FFF9" w14:textId="77777777" w:rsidR="006A694C" w:rsidRPr="006A7D0B" w:rsidRDefault="006A694C" w:rsidP="00C957EF">
            <w:pPr>
              <w:spacing w:line="276" w:lineRule="auto"/>
              <w:rPr>
                <w:sz w:val="22"/>
                <w:szCs w:val="22"/>
              </w:rPr>
            </w:pPr>
            <w:r w:rsidRPr="006A7D0B">
              <w:rPr>
                <w:sz w:val="22"/>
                <w:szCs w:val="22"/>
              </w:rPr>
              <w:t>Cita informācija</w:t>
            </w:r>
          </w:p>
        </w:tc>
        <w:tc>
          <w:tcPr>
            <w:tcW w:w="5103" w:type="dxa"/>
            <w:shd w:val="clear" w:color="auto" w:fill="auto"/>
          </w:tcPr>
          <w:p w14:paraId="51EDBC83" w14:textId="77777777" w:rsidR="006A694C" w:rsidRPr="002A2700" w:rsidRDefault="006A694C" w:rsidP="00C957EF">
            <w:pPr>
              <w:spacing w:line="276" w:lineRule="auto"/>
              <w:jc w:val="both"/>
              <w:rPr>
                <w:color w:val="000000"/>
              </w:rPr>
            </w:pPr>
            <w:r w:rsidRPr="002A2700">
              <w:rPr>
                <w:color w:val="000000"/>
              </w:rPr>
              <w:t>Nav.</w:t>
            </w:r>
          </w:p>
        </w:tc>
      </w:tr>
    </w:tbl>
    <w:p w14:paraId="64333209" w14:textId="77777777" w:rsidR="004B2F3F" w:rsidRDefault="004B2F3F" w:rsidP="00C957EF">
      <w:pPr>
        <w:spacing w:line="276" w:lineRule="auto"/>
      </w:pPr>
    </w:p>
    <w:p w14:paraId="53D60B17" w14:textId="77777777" w:rsidR="00FE5D00" w:rsidRDefault="00FE5D00" w:rsidP="00C957EF">
      <w:pPr>
        <w:spacing w:line="276" w:lineRule="auto"/>
        <w:jc w:val="center"/>
      </w:pPr>
    </w:p>
    <w:p w14:paraId="27965DEF" w14:textId="77777777" w:rsidR="00E26FD9" w:rsidRDefault="00E26FD9" w:rsidP="00C957EF">
      <w:pPr>
        <w:spacing w:line="276" w:lineRule="auto"/>
        <w:jc w:val="center"/>
      </w:pPr>
    </w:p>
    <w:p w14:paraId="4E9E505F" w14:textId="77777777" w:rsidR="00E26FD9" w:rsidRDefault="00E26FD9" w:rsidP="00C957EF">
      <w:pPr>
        <w:spacing w:line="276" w:lineRule="auto"/>
        <w:jc w:val="center"/>
      </w:pPr>
    </w:p>
    <w:p w14:paraId="2A7E2F58" w14:textId="77777777" w:rsidR="00E26FD9" w:rsidRDefault="00E26FD9" w:rsidP="00C957EF">
      <w:pPr>
        <w:spacing w:line="276" w:lineRule="auto"/>
        <w:jc w:val="center"/>
      </w:pPr>
    </w:p>
    <w:p w14:paraId="191529DE" w14:textId="77777777" w:rsidR="00F576C7" w:rsidRDefault="00F576C7" w:rsidP="00C957EF">
      <w:pPr>
        <w:spacing w:line="276" w:lineRule="auto"/>
        <w:ind w:firstLine="720"/>
      </w:pPr>
    </w:p>
    <w:p w14:paraId="5BF3EE82" w14:textId="571F810F" w:rsidR="003B7D11" w:rsidRPr="003B7D11" w:rsidRDefault="003B7D11" w:rsidP="00C957EF">
      <w:pPr>
        <w:spacing w:line="276" w:lineRule="auto"/>
        <w:ind w:firstLine="720"/>
      </w:pPr>
      <w:r w:rsidRPr="008B0AD5">
        <w:t>Labklājības ministrs</w:t>
      </w:r>
      <w:r w:rsidRPr="008B0AD5">
        <w:tab/>
      </w:r>
      <w:r w:rsidRPr="008B0AD5">
        <w:tab/>
      </w:r>
      <w:r w:rsidRPr="008B0AD5">
        <w:tab/>
      </w:r>
      <w:r w:rsidRPr="008B0AD5">
        <w:tab/>
      </w:r>
      <w:r w:rsidRPr="008B0AD5">
        <w:tab/>
      </w:r>
      <w:r w:rsidRPr="008B0AD5">
        <w:tab/>
      </w:r>
      <w:r w:rsidR="002C1139">
        <w:t>J.</w:t>
      </w:r>
      <w:r w:rsidR="00E428EB">
        <w:t> </w:t>
      </w:r>
      <w:r w:rsidR="002C1139">
        <w:t>Reirs</w:t>
      </w:r>
    </w:p>
    <w:p w14:paraId="3811C84B" w14:textId="77777777" w:rsidR="003B7D11" w:rsidRDefault="003B7D11" w:rsidP="00C957EF">
      <w:pPr>
        <w:spacing w:line="276" w:lineRule="auto"/>
        <w:ind w:firstLine="720"/>
        <w:rPr>
          <w:sz w:val="20"/>
          <w:szCs w:val="20"/>
        </w:rPr>
      </w:pPr>
    </w:p>
    <w:p w14:paraId="5E6D7109" w14:textId="77777777" w:rsidR="00E26FD9" w:rsidRDefault="00E26FD9" w:rsidP="00C957EF">
      <w:pPr>
        <w:spacing w:line="276" w:lineRule="auto"/>
        <w:ind w:firstLine="720"/>
        <w:rPr>
          <w:sz w:val="20"/>
          <w:szCs w:val="20"/>
        </w:rPr>
      </w:pPr>
    </w:p>
    <w:p w14:paraId="0977878C" w14:textId="77777777" w:rsidR="003A77CA" w:rsidRDefault="003A77CA" w:rsidP="00C957EF">
      <w:pPr>
        <w:spacing w:line="276" w:lineRule="auto"/>
        <w:ind w:firstLine="720"/>
      </w:pPr>
    </w:p>
    <w:p w14:paraId="1D3DC1A3" w14:textId="50DB55CD" w:rsidR="00D1113A" w:rsidRPr="003A77CA" w:rsidRDefault="003A77CA" w:rsidP="00C957EF">
      <w:pPr>
        <w:spacing w:line="276" w:lineRule="auto"/>
        <w:ind w:firstLine="720"/>
      </w:pPr>
      <w:r w:rsidRPr="003A77CA">
        <w:t xml:space="preserve">Labklājības ministrijas valsts sekretārs </w:t>
      </w:r>
      <w:r>
        <w:t xml:space="preserve">                                 I.Alliks</w:t>
      </w:r>
    </w:p>
    <w:p w14:paraId="653A3C44" w14:textId="77777777" w:rsidR="00D1113A" w:rsidRDefault="00D1113A" w:rsidP="00C957EF">
      <w:pPr>
        <w:spacing w:line="276" w:lineRule="auto"/>
        <w:ind w:firstLine="720"/>
        <w:rPr>
          <w:sz w:val="20"/>
          <w:szCs w:val="20"/>
        </w:rPr>
      </w:pPr>
    </w:p>
    <w:p w14:paraId="40170663" w14:textId="77777777" w:rsidR="00D1113A" w:rsidRDefault="00D1113A" w:rsidP="00C957EF">
      <w:pPr>
        <w:spacing w:line="276" w:lineRule="auto"/>
        <w:ind w:firstLine="720"/>
        <w:rPr>
          <w:sz w:val="20"/>
          <w:szCs w:val="20"/>
        </w:rPr>
      </w:pPr>
    </w:p>
    <w:p w14:paraId="61A4A314" w14:textId="77777777" w:rsidR="00E26FD9" w:rsidRDefault="00E26FD9" w:rsidP="00C957EF">
      <w:pPr>
        <w:spacing w:line="276" w:lineRule="auto"/>
        <w:ind w:firstLine="720"/>
        <w:rPr>
          <w:sz w:val="20"/>
          <w:szCs w:val="20"/>
        </w:rPr>
      </w:pPr>
    </w:p>
    <w:p w14:paraId="04112A42" w14:textId="77777777" w:rsidR="00E26FD9" w:rsidRDefault="00E26FD9" w:rsidP="00C957EF">
      <w:pPr>
        <w:spacing w:line="276" w:lineRule="auto"/>
        <w:ind w:firstLine="720"/>
        <w:rPr>
          <w:sz w:val="20"/>
          <w:szCs w:val="20"/>
        </w:rPr>
      </w:pPr>
    </w:p>
    <w:p w14:paraId="218EE059" w14:textId="77777777" w:rsidR="00E26FD9" w:rsidRDefault="00E26FD9" w:rsidP="00C957EF">
      <w:pPr>
        <w:spacing w:line="276" w:lineRule="auto"/>
        <w:ind w:firstLine="720"/>
        <w:rPr>
          <w:sz w:val="20"/>
          <w:szCs w:val="20"/>
        </w:rPr>
      </w:pPr>
    </w:p>
    <w:p w14:paraId="01417CEB" w14:textId="77777777" w:rsidR="00E26FD9" w:rsidRDefault="00E26FD9" w:rsidP="00C957EF">
      <w:pPr>
        <w:spacing w:line="276" w:lineRule="auto"/>
        <w:ind w:firstLine="720"/>
        <w:rPr>
          <w:sz w:val="20"/>
          <w:szCs w:val="20"/>
        </w:rPr>
      </w:pPr>
    </w:p>
    <w:p w14:paraId="4861FAE5" w14:textId="77777777" w:rsidR="00E26FD9" w:rsidRDefault="00E26FD9" w:rsidP="00C957EF">
      <w:pPr>
        <w:spacing w:line="276" w:lineRule="auto"/>
        <w:ind w:firstLine="720"/>
        <w:rPr>
          <w:sz w:val="20"/>
          <w:szCs w:val="20"/>
        </w:rPr>
      </w:pPr>
    </w:p>
    <w:p w14:paraId="7000E3DE" w14:textId="77777777" w:rsidR="00E26FD9" w:rsidRDefault="00E26FD9" w:rsidP="00C957EF">
      <w:pPr>
        <w:spacing w:line="276" w:lineRule="auto"/>
        <w:ind w:firstLine="720"/>
        <w:rPr>
          <w:sz w:val="20"/>
          <w:szCs w:val="20"/>
        </w:rPr>
      </w:pPr>
    </w:p>
    <w:p w14:paraId="6D32B33B" w14:textId="77777777" w:rsidR="00E26FD9" w:rsidRDefault="00E26FD9" w:rsidP="00C957EF">
      <w:pPr>
        <w:spacing w:line="276" w:lineRule="auto"/>
        <w:ind w:firstLine="720"/>
        <w:rPr>
          <w:sz w:val="20"/>
          <w:szCs w:val="20"/>
        </w:rPr>
      </w:pPr>
    </w:p>
    <w:p w14:paraId="4D12DABD" w14:textId="77777777" w:rsidR="00E26FD9" w:rsidRDefault="00E26FD9" w:rsidP="00C957EF">
      <w:pPr>
        <w:spacing w:line="276" w:lineRule="auto"/>
        <w:ind w:firstLine="720"/>
        <w:rPr>
          <w:sz w:val="20"/>
          <w:szCs w:val="20"/>
        </w:rPr>
      </w:pPr>
    </w:p>
    <w:p w14:paraId="675E6BAF" w14:textId="77777777" w:rsidR="00E26FD9" w:rsidRDefault="00E26FD9" w:rsidP="00C957EF">
      <w:pPr>
        <w:spacing w:line="276" w:lineRule="auto"/>
        <w:ind w:firstLine="720"/>
        <w:rPr>
          <w:sz w:val="20"/>
          <w:szCs w:val="20"/>
        </w:rPr>
      </w:pPr>
    </w:p>
    <w:p w14:paraId="2C560F69" w14:textId="77777777" w:rsidR="00E26FD9" w:rsidRDefault="00E26FD9" w:rsidP="00C957EF">
      <w:pPr>
        <w:spacing w:line="276" w:lineRule="auto"/>
        <w:ind w:firstLine="720"/>
        <w:rPr>
          <w:sz w:val="20"/>
          <w:szCs w:val="20"/>
        </w:rPr>
      </w:pPr>
    </w:p>
    <w:p w14:paraId="4E5CDA95" w14:textId="5FF130BB" w:rsidR="003B7D11" w:rsidRPr="00F761DD" w:rsidRDefault="003B7D11" w:rsidP="00C957EF">
      <w:pPr>
        <w:spacing w:line="276" w:lineRule="auto"/>
        <w:rPr>
          <w:sz w:val="20"/>
          <w:szCs w:val="20"/>
        </w:rPr>
      </w:pPr>
      <w:r w:rsidRPr="00F761DD">
        <w:rPr>
          <w:sz w:val="20"/>
          <w:szCs w:val="20"/>
        </w:rPr>
        <w:fldChar w:fldCharType="begin"/>
      </w:r>
      <w:r w:rsidRPr="00F761DD">
        <w:rPr>
          <w:sz w:val="20"/>
          <w:szCs w:val="20"/>
        </w:rPr>
        <w:instrText xml:space="preserve"> TIME \@ "dd.MM.yyyy H:mm" </w:instrText>
      </w:r>
      <w:r w:rsidRPr="00F761DD">
        <w:rPr>
          <w:sz w:val="20"/>
          <w:szCs w:val="20"/>
        </w:rPr>
        <w:fldChar w:fldCharType="separate"/>
      </w:r>
      <w:r w:rsidR="00575B8A">
        <w:rPr>
          <w:noProof/>
          <w:sz w:val="20"/>
          <w:szCs w:val="20"/>
        </w:rPr>
        <w:t>07.02.2018 13:20</w:t>
      </w:r>
      <w:r w:rsidRPr="00F761DD">
        <w:rPr>
          <w:sz w:val="20"/>
          <w:szCs w:val="20"/>
        </w:rPr>
        <w:fldChar w:fldCharType="end"/>
      </w:r>
    </w:p>
    <w:p w14:paraId="5B3A5F11" w14:textId="38FFB864" w:rsidR="00134B13" w:rsidRPr="00134B13" w:rsidRDefault="00575B8A" w:rsidP="00C957EF">
      <w:pPr>
        <w:spacing w:line="276" w:lineRule="auto"/>
        <w:jc w:val="both"/>
        <w:rPr>
          <w:sz w:val="20"/>
          <w:szCs w:val="20"/>
        </w:rPr>
      </w:pPr>
      <w:r>
        <w:rPr>
          <w:sz w:val="20"/>
          <w:szCs w:val="20"/>
        </w:rPr>
        <w:t>3960</w:t>
      </w:r>
    </w:p>
    <w:p w14:paraId="5D0A449F" w14:textId="77777777" w:rsidR="00C66F5D" w:rsidRPr="007D1033" w:rsidRDefault="00C66F5D" w:rsidP="00C66F5D">
      <w:pPr>
        <w:spacing w:line="276" w:lineRule="auto"/>
        <w:rPr>
          <w:sz w:val="20"/>
          <w:szCs w:val="20"/>
        </w:rPr>
      </w:pPr>
      <w:r>
        <w:rPr>
          <w:sz w:val="20"/>
          <w:szCs w:val="20"/>
        </w:rPr>
        <w:t>Z.Kaljo</w:t>
      </w:r>
    </w:p>
    <w:p w14:paraId="6DF7663E" w14:textId="77777777" w:rsidR="00C66F5D" w:rsidRPr="007D1033" w:rsidRDefault="00C66F5D" w:rsidP="00C66F5D">
      <w:pPr>
        <w:spacing w:line="276" w:lineRule="auto"/>
        <w:rPr>
          <w:sz w:val="20"/>
          <w:szCs w:val="20"/>
        </w:rPr>
      </w:pPr>
      <w:r w:rsidRPr="007D1033">
        <w:rPr>
          <w:sz w:val="20"/>
          <w:szCs w:val="20"/>
        </w:rPr>
        <w:t>Tāl.67201</w:t>
      </w:r>
      <w:r>
        <w:rPr>
          <w:sz w:val="20"/>
          <w:szCs w:val="20"/>
        </w:rPr>
        <w:t>653</w:t>
      </w:r>
    </w:p>
    <w:p w14:paraId="471A5A99" w14:textId="37DC94B1" w:rsidR="00C66F5D" w:rsidRDefault="00695C6D" w:rsidP="00C66F5D">
      <w:pPr>
        <w:spacing w:line="276" w:lineRule="auto"/>
      </w:pPr>
      <w:hyperlink r:id="rId13" w:history="1">
        <w:r w:rsidR="00C66F5D" w:rsidRPr="007C15A4">
          <w:rPr>
            <w:rStyle w:val="Hyperlink"/>
            <w:sz w:val="20"/>
            <w:szCs w:val="20"/>
          </w:rPr>
          <w:t>Zane.Kaljo@lm.gov.lv</w:t>
        </w:r>
      </w:hyperlink>
    </w:p>
    <w:p w14:paraId="536F331B" w14:textId="5F14DC1D" w:rsidR="009F5A5E" w:rsidRPr="007D1033" w:rsidRDefault="009F5A5E" w:rsidP="009F5A5E">
      <w:pPr>
        <w:spacing w:line="276" w:lineRule="auto"/>
        <w:rPr>
          <w:sz w:val="20"/>
          <w:szCs w:val="20"/>
        </w:rPr>
      </w:pPr>
      <w:r>
        <w:rPr>
          <w:sz w:val="20"/>
          <w:szCs w:val="20"/>
        </w:rPr>
        <w:t>L. Grafa</w:t>
      </w:r>
    </w:p>
    <w:p w14:paraId="6C08866C" w14:textId="6B68EBD8" w:rsidR="009F5A5E" w:rsidRPr="007D1033" w:rsidRDefault="009F5A5E" w:rsidP="009F5A5E">
      <w:pPr>
        <w:spacing w:line="276" w:lineRule="auto"/>
        <w:rPr>
          <w:sz w:val="20"/>
          <w:szCs w:val="20"/>
        </w:rPr>
      </w:pPr>
      <w:r w:rsidRPr="007D1033">
        <w:rPr>
          <w:sz w:val="20"/>
          <w:szCs w:val="20"/>
        </w:rPr>
        <w:t>Tāl.67201</w:t>
      </w:r>
      <w:r>
        <w:rPr>
          <w:sz w:val="20"/>
          <w:szCs w:val="20"/>
        </w:rPr>
        <w:t>679</w:t>
      </w:r>
    </w:p>
    <w:p w14:paraId="1E19C17E" w14:textId="444E6CDE" w:rsidR="009F5A5E" w:rsidRDefault="00695C6D" w:rsidP="009F5A5E">
      <w:pPr>
        <w:spacing w:line="276" w:lineRule="auto"/>
        <w:rPr>
          <w:sz w:val="20"/>
          <w:szCs w:val="20"/>
        </w:rPr>
      </w:pPr>
      <w:hyperlink r:id="rId14" w:history="1">
        <w:r w:rsidR="009F5A5E" w:rsidRPr="00033878">
          <w:rPr>
            <w:rStyle w:val="Hyperlink"/>
            <w:sz w:val="20"/>
            <w:szCs w:val="20"/>
          </w:rPr>
          <w:t>Lauma.Grafa@lm.gov.lv</w:t>
        </w:r>
      </w:hyperlink>
      <w:bookmarkStart w:id="0" w:name="_GoBack"/>
      <w:bookmarkEnd w:id="0"/>
    </w:p>
    <w:p w14:paraId="4E4087FD" w14:textId="3AD44703" w:rsidR="00695C6D" w:rsidRPr="007D1033" w:rsidRDefault="00695C6D" w:rsidP="00695C6D">
      <w:pPr>
        <w:spacing w:line="276" w:lineRule="auto"/>
        <w:rPr>
          <w:sz w:val="20"/>
          <w:szCs w:val="20"/>
        </w:rPr>
      </w:pPr>
      <w:r>
        <w:rPr>
          <w:sz w:val="20"/>
          <w:szCs w:val="20"/>
        </w:rPr>
        <w:t>I.Latviete</w:t>
      </w:r>
    </w:p>
    <w:p w14:paraId="3AA59C9E" w14:textId="0AC8CD9E" w:rsidR="00C66F5D" w:rsidRDefault="00695C6D" w:rsidP="00695C6D">
      <w:pPr>
        <w:spacing w:line="276" w:lineRule="auto"/>
        <w:rPr>
          <w:sz w:val="20"/>
          <w:szCs w:val="20"/>
        </w:rPr>
      </w:pPr>
      <w:r w:rsidRPr="007D1033">
        <w:rPr>
          <w:sz w:val="20"/>
          <w:szCs w:val="20"/>
        </w:rPr>
        <w:t>Tāl.67201</w:t>
      </w:r>
      <w:r>
        <w:rPr>
          <w:sz w:val="20"/>
          <w:szCs w:val="20"/>
        </w:rPr>
        <w:t>560</w:t>
      </w:r>
    </w:p>
    <w:p w14:paraId="23298465" w14:textId="782FDDCE" w:rsidR="00695C6D" w:rsidRDefault="00695C6D" w:rsidP="00695C6D">
      <w:pPr>
        <w:spacing w:line="276" w:lineRule="auto"/>
        <w:rPr>
          <w:sz w:val="20"/>
          <w:szCs w:val="20"/>
        </w:rPr>
      </w:pPr>
      <w:hyperlink r:id="rId15" w:history="1">
        <w:r w:rsidRPr="0001463A">
          <w:rPr>
            <w:rStyle w:val="Hyperlink"/>
            <w:sz w:val="20"/>
            <w:szCs w:val="20"/>
          </w:rPr>
          <w:t>Ilze.latviete@lm.gov.lv</w:t>
        </w:r>
      </w:hyperlink>
    </w:p>
    <w:p w14:paraId="5484DF58" w14:textId="77777777" w:rsidR="00695C6D" w:rsidRDefault="00695C6D" w:rsidP="00695C6D">
      <w:pPr>
        <w:spacing w:line="276" w:lineRule="auto"/>
      </w:pPr>
    </w:p>
    <w:sectPr w:rsidR="00695C6D" w:rsidSect="00ED5D34">
      <w:headerReference w:type="even" r:id="rId16"/>
      <w:headerReference w:type="default" r:id="rId17"/>
      <w:footerReference w:type="default" r:id="rId18"/>
      <w:footerReference w:type="first" r:id="rId1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CC9B2" w14:textId="77777777" w:rsidR="00AE53E4" w:rsidRDefault="00AE53E4">
      <w:r>
        <w:separator/>
      </w:r>
    </w:p>
  </w:endnote>
  <w:endnote w:type="continuationSeparator" w:id="0">
    <w:p w14:paraId="41C75BDA" w14:textId="77777777" w:rsidR="00AE53E4" w:rsidRDefault="00AE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HelveticaL-Book">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65B67" w14:textId="77777777" w:rsidR="00A21675" w:rsidRDefault="00A21675" w:rsidP="00B370AB">
    <w:pPr>
      <w:pStyle w:val="Footer"/>
      <w:jc w:val="both"/>
      <w:rPr>
        <w:sz w:val="20"/>
        <w:szCs w:val="20"/>
      </w:rPr>
    </w:pPr>
  </w:p>
  <w:p w14:paraId="68C697CE" w14:textId="294A3DD3" w:rsidR="00A21675" w:rsidRPr="003C22D6" w:rsidRDefault="00A21675" w:rsidP="006447CD">
    <w:pPr>
      <w:pStyle w:val="Footer"/>
      <w:jc w:val="center"/>
      <w:rPr>
        <w:sz w:val="20"/>
        <w:szCs w:val="20"/>
      </w:rPr>
    </w:pPr>
    <w:r w:rsidRPr="003C22D6">
      <w:rPr>
        <w:sz w:val="20"/>
        <w:szCs w:val="20"/>
      </w:rPr>
      <w:fldChar w:fldCharType="begin"/>
    </w:r>
    <w:r w:rsidRPr="003C22D6">
      <w:rPr>
        <w:sz w:val="20"/>
        <w:szCs w:val="20"/>
      </w:rPr>
      <w:instrText xml:space="preserve"> FILENAME \* MERGEFORMAT </w:instrText>
    </w:r>
    <w:r w:rsidRPr="003C22D6">
      <w:rPr>
        <w:sz w:val="20"/>
        <w:szCs w:val="20"/>
      </w:rPr>
      <w:fldChar w:fldCharType="separate"/>
    </w:r>
    <w:r w:rsidRPr="003C22D6">
      <w:rPr>
        <w:noProof/>
        <w:sz w:val="20"/>
        <w:szCs w:val="20"/>
      </w:rPr>
      <w:t>LMAnot_07022018_MKN727groz</w:t>
    </w:r>
    <w:r w:rsidRPr="003C22D6">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B62CB" w14:textId="56CCE263" w:rsidR="00A21675" w:rsidRPr="00A20CAA" w:rsidRDefault="00A21675" w:rsidP="005B50C2">
    <w:pPr>
      <w:pStyle w:val="Footer"/>
      <w:jc w:val="center"/>
      <w:rPr>
        <w:sz w:val="20"/>
        <w:szCs w:val="20"/>
      </w:rPr>
    </w:pPr>
    <w:r w:rsidRPr="00A20CAA">
      <w:rPr>
        <w:sz w:val="20"/>
        <w:szCs w:val="20"/>
      </w:rPr>
      <w:fldChar w:fldCharType="begin"/>
    </w:r>
    <w:r w:rsidRPr="00A20CAA">
      <w:rPr>
        <w:sz w:val="20"/>
        <w:szCs w:val="20"/>
      </w:rPr>
      <w:instrText xml:space="preserve"> FILENAME \* MERGEFORMAT </w:instrText>
    </w:r>
    <w:r w:rsidRPr="00A20CAA">
      <w:rPr>
        <w:sz w:val="20"/>
        <w:szCs w:val="20"/>
      </w:rPr>
      <w:fldChar w:fldCharType="separate"/>
    </w:r>
    <w:r w:rsidRPr="00A20CAA">
      <w:rPr>
        <w:noProof/>
        <w:sz w:val="20"/>
        <w:szCs w:val="20"/>
      </w:rPr>
      <w:t>LMAnot_07022018_MKN727groz</w:t>
    </w:r>
    <w:r w:rsidRPr="00A20CA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0340C" w14:textId="77777777" w:rsidR="00AE53E4" w:rsidRDefault="00AE53E4">
      <w:r>
        <w:separator/>
      </w:r>
    </w:p>
  </w:footnote>
  <w:footnote w:type="continuationSeparator" w:id="0">
    <w:p w14:paraId="689CE7DD" w14:textId="77777777" w:rsidR="00AE53E4" w:rsidRDefault="00AE53E4">
      <w:r>
        <w:continuationSeparator/>
      </w:r>
    </w:p>
  </w:footnote>
  <w:footnote w:id="1">
    <w:p w14:paraId="58C59A7B" w14:textId="77777777" w:rsidR="00A21675" w:rsidRPr="001B7922" w:rsidRDefault="00A21675" w:rsidP="00295C52">
      <w:pPr>
        <w:pStyle w:val="FootnoteText"/>
      </w:pPr>
      <w:r w:rsidRPr="001B7922">
        <w:rPr>
          <w:rStyle w:val="FootnoteReference"/>
        </w:rPr>
        <w:footnoteRef/>
      </w:r>
      <w:r w:rsidRPr="001B7922">
        <w:t xml:space="preserve"> Ministru kabineta 2015. gada 8. decembra noteikumi Nr.703 „Grozījumi Ministru kabineta 2014. gada 25.</w:t>
      </w:r>
      <w:r>
        <w:t> </w:t>
      </w:r>
      <w:r w:rsidRPr="001B7922">
        <w:t>novembra noteikumos Nr.727 „Darbības programmas ”Pārtikas un pamata materiālās palīdzības sniegšana vistrūcīgākajām personām 2014.-2020. gada plānošanas periodā”</w:t>
      </w:r>
    </w:p>
  </w:footnote>
  <w:footnote w:id="2">
    <w:p w14:paraId="28CB39D3" w14:textId="77777777" w:rsidR="00A21675" w:rsidRPr="00AA2F4E" w:rsidRDefault="00A21675" w:rsidP="00C57FF1">
      <w:pPr>
        <w:pStyle w:val="FootnoteText"/>
        <w:ind w:right="43"/>
        <w:rPr>
          <w14:textOutline w14:w="9525" w14:cap="rnd" w14:cmpd="sng" w14:algn="ctr">
            <w14:solidFill>
              <w14:schemeClr w14:val="bg1"/>
            </w14:solidFill>
            <w14:prstDash w14:val="solid"/>
            <w14:bevel/>
          </w14:textOutline>
        </w:rPr>
      </w:pPr>
      <w:r w:rsidRPr="00E841A7">
        <w:rPr>
          <w:rStyle w:val="FootnoteReference"/>
        </w:rPr>
        <w:footnoteRef/>
      </w:r>
      <w:r w:rsidRPr="00E841A7">
        <w:t xml:space="preserve"> CSP datubāze; NIG05. Nabadzības riska indekss pēc mājsaimniecības tipa (%); skatīts 01.0</w:t>
      </w:r>
      <w:r>
        <w:t>6</w:t>
      </w:r>
      <w:r w:rsidRPr="00E841A7">
        <w:t>.2017.</w:t>
      </w:r>
      <w:r w:rsidRPr="00D53316">
        <w:rPr>
          <w:bCs/>
          <w:color w:val="222222"/>
          <w:shd w:val="clear" w:color="auto" w:fill="FFFFFF"/>
        </w:rPr>
        <w:t xml:space="preserve"> </w:t>
      </w:r>
    </w:p>
  </w:footnote>
  <w:footnote w:id="3">
    <w:p w14:paraId="493498C9" w14:textId="77777777" w:rsidR="00A21675" w:rsidRPr="00E841A7" w:rsidRDefault="00A21675" w:rsidP="003B36C0">
      <w:pPr>
        <w:pStyle w:val="FootnoteText"/>
      </w:pPr>
      <w:r w:rsidRPr="00E841A7">
        <w:rPr>
          <w:rStyle w:val="FootnoteReference"/>
        </w:rPr>
        <w:footnoteRef/>
      </w:r>
      <w:r w:rsidRPr="00E841A7">
        <w:t xml:space="preserve"> Ministru kabineta 2010.</w:t>
      </w:r>
      <w:r>
        <w:t> </w:t>
      </w:r>
      <w:r w:rsidRPr="00E841A7">
        <w:t>gada 30.</w:t>
      </w:r>
      <w:r>
        <w:t> </w:t>
      </w:r>
      <w:r w:rsidRPr="00E841A7">
        <w:t>marta noteikumi Nr.299 “Noteikumi par ģimenes vai atsevišķi dzīvojošas personas atzīšanu par trūcīgu” (prot. Nr.16 33.§) Pieejams:https://likumi.lv/ta/id/207462-noteikumi-par-gimenes-vai-atseviski-dzivojosas-personas-atzisanu-par-trucigu</w:t>
      </w:r>
    </w:p>
  </w:footnote>
  <w:footnote w:id="4">
    <w:p w14:paraId="0ED5B2FB" w14:textId="1B4C8FCA" w:rsidR="00A21675" w:rsidRDefault="00A21675">
      <w:pPr>
        <w:pStyle w:val="FootnoteText"/>
      </w:pPr>
      <w:r>
        <w:rPr>
          <w:rStyle w:val="FootnoteReference"/>
        </w:rPr>
        <w:footnoteRef/>
      </w:r>
      <w:r>
        <w:t xml:space="preserve"> </w:t>
      </w:r>
      <w:r w:rsidRPr="005031C2">
        <w:t>http://tap.mk.gov.lv/lv/mk/tap/?pid=40415197</w:t>
      </w:r>
    </w:p>
  </w:footnote>
  <w:footnote w:id="5">
    <w:p w14:paraId="35FE41B2" w14:textId="7D400D56" w:rsidR="00A21675" w:rsidRDefault="00A21675" w:rsidP="00F3308B">
      <w:pPr>
        <w:pStyle w:val="FootnoteText"/>
      </w:pPr>
      <w:r>
        <w:rPr>
          <w:rStyle w:val="FootnoteReference"/>
        </w:rPr>
        <w:footnoteRef/>
      </w:r>
      <w:r>
        <w:t xml:space="preserve"> 1994. gada 19. maija likums “Par pašvaldībām” 15. panta 7) punkts</w:t>
      </w:r>
    </w:p>
  </w:footnote>
  <w:footnote w:id="6">
    <w:p w14:paraId="0C691EC0" w14:textId="4D916EBF" w:rsidR="00A21675" w:rsidRPr="000E19C0" w:rsidRDefault="00A21675" w:rsidP="007204CA">
      <w:pPr>
        <w:pStyle w:val="FootnoteText"/>
      </w:pPr>
      <w:r w:rsidRPr="000E19C0">
        <w:rPr>
          <w:rStyle w:val="FootnoteReference"/>
        </w:rPr>
        <w:footnoteRef/>
      </w:r>
      <w:r w:rsidRPr="000E19C0">
        <w:t>2010. gada 30. marta MK noteikumi Nr.299 „Noteikumi par ģimenes vai atseviš</w:t>
      </w:r>
      <w:r>
        <w:t>ķi</w:t>
      </w:r>
      <w:r w:rsidRPr="000E19C0">
        <w:t xml:space="preserve"> dzīvojošas personas atzīšanu par trūcīgu”</w:t>
      </w:r>
    </w:p>
  </w:footnote>
  <w:footnote w:id="7">
    <w:p w14:paraId="0098C282" w14:textId="0962A541" w:rsidR="00A21675" w:rsidRDefault="00A21675">
      <w:pPr>
        <w:pStyle w:val="FootnoteText"/>
      </w:pPr>
      <w:r>
        <w:rPr>
          <w:rStyle w:val="FootnoteReference"/>
        </w:rPr>
        <w:footnoteRef/>
      </w:r>
      <w:r>
        <w:t xml:space="preserve"> </w:t>
      </w:r>
      <w:r w:rsidRPr="00EA109D">
        <w:t>Pārskati par sociālajiem pakalpojumiem un sociālo palīdzību novada/republikas pilsētas pašvaldībā 201</w:t>
      </w:r>
      <w:r>
        <w:t>5 un 2016</w:t>
      </w:r>
      <w:r w:rsidRPr="00EA109D">
        <w:t xml:space="preserve">. gadā. Pieejams: </w:t>
      </w:r>
      <w:hyperlink r:id="rId1" w:history="1">
        <w:r w:rsidRPr="006B1525">
          <w:rPr>
            <w:rStyle w:val="Hyperlink"/>
          </w:rPr>
          <w:t>http://www.lm.gov.lv/text/2715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D2AC7" w14:textId="77777777" w:rsidR="00A21675" w:rsidRDefault="00A21675"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2EF7F4" w14:textId="77777777" w:rsidR="00A21675" w:rsidRDefault="00A216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2CF3F" w14:textId="77777777" w:rsidR="00A21675" w:rsidRDefault="00A21675"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5C6D">
      <w:rPr>
        <w:rStyle w:val="PageNumber"/>
        <w:noProof/>
      </w:rPr>
      <w:t>13</w:t>
    </w:r>
    <w:r>
      <w:rPr>
        <w:rStyle w:val="PageNumber"/>
      </w:rPr>
      <w:fldChar w:fldCharType="end"/>
    </w:r>
  </w:p>
  <w:p w14:paraId="193593D5" w14:textId="77777777" w:rsidR="00A21675" w:rsidRDefault="00A216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428"/>
    <w:multiLevelType w:val="hybridMultilevel"/>
    <w:tmpl w:val="A3BE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942FAC"/>
    <w:multiLevelType w:val="hybridMultilevel"/>
    <w:tmpl w:val="0D3895AE"/>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3656F96"/>
    <w:multiLevelType w:val="hybridMultilevel"/>
    <w:tmpl w:val="92AC6C0E"/>
    <w:lvl w:ilvl="0" w:tplc="04260001">
      <w:start w:val="1"/>
      <w:numFmt w:val="bullet"/>
      <w:lvlText w:val=""/>
      <w:lvlJc w:val="left"/>
      <w:pPr>
        <w:ind w:left="1104" w:hanging="360"/>
      </w:pPr>
      <w:rPr>
        <w:rFonts w:ascii="Symbol" w:hAnsi="Symbol" w:hint="default"/>
      </w:rPr>
    </w:lvl>
    <w:lvl w:ilvl="1" w:tplc="04260003" w:tentative="1">
      <w:start w:val="1"/>
      <w:numFmt w:val="bullet"/>
      <w:lvlText w:val="o"/>
      <w:lvlJc w:val="left"/>
      <w:pPr>
        <w:ind w:left="1824" w:hanging="360"/>
      </w:pPr>
      <w:rPr>
        <w:rFonts w:ascii="Courier New" w:hAnsi="Courier New" w:cs="Courier New" w:hint="default"/>
      </w:rPr>
    </w:lvl>
    <w:lvl w:ilvl="2" w:tplc="04260005" w:tentative="1">
      <w:start w:val="1"/>
      <w:numFmt w:val="bullet"/>
      <w:lvlText w:val=""/>
      <w:lvlJc w:val="left"/>
      <w:pPr>
        <w:ind w:left="2544" w:hanging="360"/>
      </w:pPr>
      <w:rPr>
        <w:rFonts w:ascii="Wingdings" w:hAnsi="Wingdings" w:hint="default"/>
      </w:rPr>
    </w:lvl>
    <w:lvl w:ilvl="3" w:tplc="04260001" w:tentative="1">
      <w:start w:val="1"/>
      <w:numFmt w:val="bullet"/>
      <w:lvlText w:val=""/>
      <w:lvlJc w:val="left"/>
      <w:pPr>
        <w:ind w:left="3264" w:hanging="360"/>
      </w:pPr>
      <w:rPr>
        <w:rFonts w:ascii="Symbol" w:hAnsi="Symbol" w:hint="default"/>
      </w:rPr>
    </w:lvl>
    <w:lvl w:ilvl="4" w:tplc="04260003" w:tentative="1">
      <w:start w:val="1"/>
      <w:numFmt w:val="bullet"/>
      <w:lvlText w:val="o"/>
      <w:lvlJc w:val="left"/>
      <w:pPr>
        <w:ind w:left="3984" w:hanging="360"/>
      </w:pPr>
      <w:rPr>
        <w:rFonts w:ascii="Courier New" w:hAnsi="Courier New" w:cs="Courier New" w:hint="default"/>
      </w:rPr>
    </w:lvl>
    <w:lvl w:ilvl="5" w:tplc="04260005" w:tentative="1">
      <w:start w:val="1"/>
      <w:numFmt w:val="bullet"/>
      <w:lvlText w:val=""/>
      <w:lvlJc w:val="left"/>
      <w:pPr>
        <w:ind w:left="4704" w:hanging="360"/>
      </w:pPr>
      <w:rPr>
        <w:rFonts w:ascii="Wingdings" w:hAnsi="Wingdings" w:hint="default"/>
      </w:rPr>
    </w:lvl>
    <w:lvl w:ilvl="6" w:tplc="04260001" w:tentative="1">
      <w:start w:val="1"/>
      <w:numFmt w:val="bullet"/>
      <w:lvlText w:val=""/>
      <w:lvlJc w:val="left"/>
      <w:pPr>
        <w:ind w:left="5424" w:hanging="360"/>
      </w:pPr>
      <w:rPr>
        <w:rFonts w:ascii="Symbol" w:hAnsi="Symbol" w:hint="default"/>
      </w:rPr>
    </w:lvl>
    <w:lvl w:ilvl="7" w:tplc="04260003" w:tentative="1">
      <w:start w:val="1"/>
      <w:numFmt w:val="bullet"/>
      <w:lvlText w:val="o"/>
      <w:lvlJc w:val="left"/>
      <w:pPr>
        <w:ind w:left="6144" w:hanging="360"/>
      </w:pPr>
      <w:rPr>
        <w:rFonts w:ascii="Courier New" w:hAnsi="Courier New" w:cs="Courier New" w:hint="default"/>
      </w:rPr>
    </w:lvl>
    <w:lvl w:ilvl="8" w:tplc="04260005" w:tentative="1">
      <w:start w:val="1"/>
      <w:numFmt w:val="bullet"/>
      <w:lvlText w:val=""/>
      <w:lvlJc w:val="left"/>
      <w:pPr>
        <w:ind w:left="6864" w:hanging="360"/>
      </w:pPr>
      <w:rPr>
        <w:rFonts w:ascii="Wingdings" w:hAnsi="Wingdings" w:hint="default"/>
      </w:rPr>
    </w:lvl>
  </w:abstractNum>
  <w:abstractNum w:abstractNumId="3" w15:restartNumberingAfterBreak="0">
    <w:nsid w:val="04793C9F"/>
    <w:multiLevelType w:val="multilevel"/>
    <w:tmpl w:val="B3E4B470"/>
    <w:lvl w:ilvl="0">
      <w:start w:val="1"/>
      <w:numFmt w:val="decimal"/>
      <w:lvlText w:val="%1."/>
      <w:lvlJc w:val="left"/>
      <w:pPr>
        <w:ind w:left="501" w:hanging="360"/>
      </w:pPr>
      <w:rPr>
        <w:rFonts w:ascii="Times New Roman" w:hAnsi="Times New Roman" w:cs="Times New Roman" w:hint="default"/>
        <w:sz w:val="24"/>
        <w:szCs w:val="24"/>
      </w:rPr>
    </w:lvl>
    <w:lvl w:ilvl="1">
      <w:start w:val="1"/>
      <w:numFmt w:val="decimal"/>
      <w:lvlText w:val="%1.%2."/>
      <w:lvlJc w:val="left"/>
      <w:pPr>
        <w:ind w:left="933" w:hanging="432"/>
      </w:pPr>
    </w:lvl>
    <w:lvl w:ilvl="2">
      <w:start w:val="1"/>
      <w:numFmt w:val="decimal"/>
      <w:lvlText w:val="%1.%2.%3."/>
      <w:lvlJc w:val="left"/>
      <w:pPr>
        <w:ind w:left="1365" w:hanging="504"/>
      </w:pPr>
    </w:lvl>
    <w:lvl w:ilvl="3">
      <w:start w:val="1"/>
      <w:numFmt w:val="decimal"/>
      <w:lvlText w:val="%1.%2.%3.%4."/>
      <w:lvlJc w:val="left"/>
      <w:pPr>
        <w:ind w:left="1869" w:hanging="648"/>
      </w:pPr>
    </w:lvl>
    <w:lvl w:ilvl="4">
      <w:start w:val="1"/>
      <w:numFmt w:val="decimal"/>
      <w:lvlText w:val="%1.%2.%3.%4.%5."/>
      <w:lvlJc w:val="left"/>
      <w:pPr>
        <w:ind w:left="2373" w:hanging="792"/>
      </w:pPr>
    </w:lvl>
    <w:lvl w:ilvl="5">
      <w:start w:val="1"/>
      <w:numFmt w:val="decimal"/>
      <w:lvlText w:val="%1.%2.%3.%4.%5.%6."/>
      <w:lvlJc w:val="left"/>
      <w:pPr>
        <w:ind w:left="2877" w:hanging="936"/>
      </w:pPr>
    </w:lvl>
    <w:lvl w:ilvl="6">
      <w:start w:val="1"/>
      <w:numFmt w:val="decimal"/>
      <w:lvlText w:val="%1.%2.%3.%4.%5.%6.%7."/>
      <w:lvlJc w:val="left"/>
      <w:pPr>
        <w:ind w:left="3381" w:hanging="1080"/>
      </w:pPr>
    </w:lvl>
    <w:lvl w:ilvl="7">
      <w:start w:val="1"/>
      <w:numFmt w:val="decimal"/>
      <w:lvlText w:val="%1.%2.%3.%4.%5.%6.%7.%8."/>
      <w:lvlJc w:val="left"/>
      <w:pPr>
        <w:ind w:left="3885" w:hanging="1224"/>
      </w:pPr>
    </w:lvl>
    <w:lvl w:ilvl="8">
      <w:start w:val="1"/>
      <w:numFmt w:val="decimal"/>
      <w:lvlText w:val="%1.%2.%3.%4.%5.%6.%7.%8.%9."/>
      <w:lvlJc w:val="left"/>
      <w:pPr>
        <w:ind w:left="4461" w:hanging="1440"/>
      </w:pPr>
    </w:lvl>
  </w:abstractNum>
  <w:abstractNum w:abstractNumId="4" w15:restartNumberingAfterBreak="0">
    <w:nsid w:val="04FC7635"/>
    <w:multiLevelType w:val="hybridMultilevel"/>
    <w:tmpl w:val="99664AC6"/>
    <w:lvl w:ilvl="0" w:tplc="EA92876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390F70"/>
    <w:multiLevelType w:val="hybridMultilevel"/>
    <w:tmpl w:val="F11E97EE"/>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6" w15:restartNumberingAfterBreak="0">
    <w:nsid w:val="0EBD262C"/>
    <w:multiLevelType w:val="hybridMultilevel"/>
    <w:tmpl w:val="D124DFD2"/>
    <w:lvl w:ilvl="0" w:tplc="421E00BC">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0558D5"/>
    <w:multiLevelType w:val="hybridMultilevel"/>
    <w:tmpl w:val="6AF6BBF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8" w15:restartNumberingAfterBreak="0">
    <w:nsid w:val="18D029BD"/>
    <w:multiLevelType w:val="hybridMultilevel"/>
    <w:tmpl w:val="510CBCBA"/>
    <w:lvl w:ilvl="0" w:tplc="C4CC5436">
      <w:start w:val="1"/>
      <w:numFmt w:val="decimal"/>
      <w:lvlText w:val="(%1)"/>
      <w:lvlJc w:val="left"/>
      <w:pPr>
        <w:ind w:left="6031" w:hanging="360"/>
      </w:pPr>
      <w:rPr>
        <w:rFonts w:ascii="Times New Roman" w:hAnsi="Times New Roman" w:cs="Times New Roman" w:hint="default"/>
        <w:b w:val="0"/>
        <w:i w:val="0"/>
        <w:sz w:val="24"/>
        <w:szCs w:val="24"/>
      </w:rPr>
    </w:lvl>
    <w:lvl w:ilvl="1" w:tplc="04260019">
      <w:start w:val="1"/>
      <w:numFmt w:val="lowerLetter"/>
      <w:lvlText w:val="%2."/>
      <w:lvlJc w:val="left"/>
      <w:pPr>
        <w:ind w:left="1440" w:hanging="360"/>
      </w:pPr>
      <w:rPr>
        <w:rFonts w:cs="Times New Roman"/>
      </w:rPr>
    </w:lvl>
    <w:lvl w:ilvl="2" w:tplc="F0DCB9CE">
      <w:start w:val="1"/>
      <w:numFmt w:val="decimal"/>
      <w:lvlText w:val="%3)"/>
      <w:lvlJc w:val="left"/>
      <w:pPr>
        <w:ind w:left="2370" w:hanging="390"/>
      </w:pPr>
      <w:rPr>
        <w:rFonts w:cs="Times New Roman" w:hint="default"/>
      </w:rPr>
    </w:lvl>
    <w:lvl w:ilvl="3" w:tplc="185E27DC">
      <w:start w:val="1"/>
      <w:numFmt w:val="decimal"/>
      <w:lvlText w:val="%4."/>
      <w:lvlJc w:val="left"/>
      <w:pPr>
        <w:ind w:left="2880" w:hanging="360"/>
      </w:pPr>
      <w:rPr>
        <w:rFonts w:cs="Times New Roman" w:hint="default"/>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19E21C18"/>
    <w:multiLevelType w:val="multilevel"/>
    <w:tmpl w:val="F76A1DF6"/>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B07409"/>
    <w:multiLevelType w:val="multilevel"/>
    <w:tmpl w:val="B3E4B47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52635C"/>
    <w:multiLevelType w:val="hybridMultilevel"/>
    <w:tmpl w:val="8ACEAB30"/>
    <w:lvl w:ilvl="0" w:tplc="18DC3180">
      <w:start w:val="12"/>
      <w:numFmt w:val="decimal"/>
      <w:lvlText w:val="%1"/>
      <w:lvlJc w:val="left"/>
      <w:pPr>
        <w:ind w:left="247" w:hanging="360"/>
      </w:pPr>
      <w:rPr>
        <w:rFonts w:hint="default"/>
      </w:rPr>
    </w:lvl>
    <w:lvl w:ilvl="1" w:tplc="04260019" w:tentative="1">
      <w:start w:val="1"/>
      <w:numFmt w:val="lowerLetter"/>
      <w:lvlText w:val="%2."/>
      <w:lvlJc w:val="left"/>
      <w:pPr>
        <w:ind w:left="967" w:hanging="360"/>
      </w:pPr>
    </w:lvl>
    <w:lvl w:ilvl="2" w:tplc="0426001B" w:tentative="1">
      <w:start w:val="1"/>
      <w:numFmt w:val="lowerRoman"/>
      <w:lvlText w:val="%3."/>
      <w:lvlJc w:val="right"/>
      <w:pPr>
        <w:ind w:left="1687" w:hanging="180"/>
      </w:pPr>
    </w:lvl>
    <w:lvl w:ilvl="3" w:tplc="0426000F" w:tentative="1">
      <w:start w:val="1"/>
      <w:numFmt w:val="decimal"/>
      <w:lvlText w:val="%4."/>
      <w:lvlJc w:val="left"/>
      <w:pPr>
        <w:ind w:left="2407" w:hanging="360"/>
      </w:pPr>
    </w:lvl>
    <w:lvl w:ilvl="4" w:tplc="04260019" w:tentative="1">
      <w:start w:val="1"/>
      <w:numFmt w:val="lowerLetter"/>
      <w:lvlText w:val="%5."/>
      <w:lvlJc w:val="left"/>
      <w:pPr>
        <w:ind w:left="3127" w:hanging="360"/>
      </w:pPr>
    </w:lvl>
    <w:lvl w:ilvl="5" w:tplc="0426001B" w:tentative="1">
      <w:start w:val="1"/>
      <w:numFmt w:val="lowerRoman"/>
      <w:lvlText w:val="%6."/>
      <w:lvlJc w:val="right"/>
      <w:pPr>
        <w:ind w:left="3847" w:hanging="180"/>
      </w:pPr>
    </w:lvl>
    <w:lvl w:ilvl="6" w:tplc="0426000F" w:tentative="1">
      <w:start w:val="1"/>
      <w:numFmt w:val="decimal"/>
      <w:lvlText w:val="%7."/>
      <w:lvlJc w:val="left"/>
      <w:pPr>
        <w:ind w:left="4567" w:hanging="360"/>
      </w:pPr>
    </w:lvl>
    <w:lvl w:ilvl="7" w:tplc="04260019" w:tentative="1">
      <w:start w:val="1"/>
      <w:numFmt w:val="lowerLetter"/>
      <w:lvlText w:val="%8."/>
      <w:lvlJc w:val="left"/>
      <w:pPr>
        <w:ind w:left="5287" w:hanging="360"/>
      </w:pPr>
    </w:lvl>
    <w:lvl w:ilvl="8" w:tplc="0426001B" w:tentative="1">
      <w:start w:val="1"/>
      <w:numFmt w:val="lowerRoman"/>
      <w:lvlText w:val="%9."/>
      <w:lvlJc w:val="right"/>
      <w:pPr>
        <w:ind w:left="6007" w:hanging="180"/>
      </w:pPr>
    </w:lvl>
  </w:abstractNum>
  <w:abstractNum w:abstractNumId="12" w15:restartNumberingAfterBreak="0">
    <w:nsid w:val="2ECA2759"/>
    <w:multiLevelType w:val="multilevel"/>
    <w:tmpl w:val="F2E87316"/>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666" w:hanging="720"/>
      </w:pPr>
      <w:rPr>
        <w:rFonts w:hint="default"/>
        <w:b/>
      </w:rPr>
    </w:lvl>
    <w:lvl w:ilvl="3">
      <w:start w:val="1"/>
      <w:numFmt w:val="decimal"/>
      <w:lvlText w:val="%1.%2.%3.%4."/>
      <w:lvlJc w:val="left"/>
      <w:pPr>
        <w:ind w:left="2139" w:hanging="720"/>
      </w:pPr>
      <w:rPr>
        <w:rFonts w:hint="default"/>
        <w:b/>
      </w:rPr>
    </w:lvl>
    <w:lvl w:ilvl="4">
      <w:start w:val="1"/>
      <w:numFmt w:val="decimal"/>
      <w:lvlText w:val="%1.%2.%3.%4.%5."/>
      <w:lvlJc w:val="left"/>
      <w:pPr>
        <w:ind w:left="2972" w:hanging="1080"/>
      </w:pPr>
      <w:rPr>
        <w:rFonts w:hint="default"/>
        <w:b/>
      </w:rPr>
    </w:lvl>
    <w:lvl w:ilvl="5">
      <w:start w:val="1"/>
      <w:numFmt w:val="decimal"/>
      <w:lvlText w:val="%1.%2.%3.%4.%5.%6."/>
      <w:lvlJc w:val="left"/>
      <w:pPr>
        <w:ind w:left="3445" w:hanging="1080"/>
      </w:pPr>
      <w:rPr>
        <w:rFonts w:hint="default"/>
        <w:b/>
      </w:rPr>
    </w:lvl>
    <w:lvl w:ilvl="6">
      <w:start w:val="1"/>
      <w:numFmt w:val="decimal"/>
      <w:lvlText w:val="%1.%2.%3.%4.%5.%6.%7."/>
      <w:lvlJc w:val="left"/>
      <w:pPr>
        <w:ind w:left="4278" w:hanging="1440"/>
      </w:pPr>
      <w:rPr>
        <w:rFonts w:hint="default"/>
        <w:b/>
      </w:rPr>
    </w:lvl>
    <w:lvl w:ilvl="7">
      <w:start w:val="1"/>
      <w:numFmt w:val="decimal"/>
      <w:lvlText w:val="%1.%2.%3.%4.%5.%6.%7.%8."/>
      <w:lvlJc w:val="left"/>
      <w:pPr>
        <w:ind w:left="4751" w:hanging="1440"/>
      </w:pPr>
      <w:rPr>
        <w:rFonts w:hint="default"/>
        <w:b/>
      </w:rPr>
    </w:lvl>
    <w:lvl w:ilvl="8">
      <w:start w:val="1"/>
      <w:numFmt w:val="decimal"/>
      <w:lvlText w:val="%1.%2.%3.%4.%5.%6.%7.%8.%9."/>
      <w:lvlJc w:val="left"/>
      <w:pPr>
        <w:ind w:left="5584" w:hanging="1800"/>
      </w:pPr>
      <w:rPr>
        <w:rFonts w:hint="default"/>
        <w:b/>
      </w:rPr>
    </w:lvl>
  </w:abstractNum>
  <w:abstractNum w:abstractNumId="13" w15:restartNumberingAfterBreak="0">
    <w:nsid w:val="300E3FBB"/>
    <w:multiLevelType w:val="hybridMultilevel"/>
    <w:tmpl w:val="C218C6E4"/>
    <w:lvl w:ilvl="0" w:tplc="9BCE999E">
      <w:start w:val="1"/>
      <w:numFmt w:val="bullet"/>
      <w:lvlText w:val="-"/>
      <w:lvlJc w:val="left"/>
      <w:pPr>
        <w:ind w:left="720" w:hanging="360"/>
      </w:pPr>
      <w:rPr>
        <w:rFonts w:ascii="Times New Roman" w:eastAsia="Times New Roman" w:hAnsi="Times New Roman" w:cs="Times New Roman"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5860A5"/>
    <w:multiLevelType w:val="multilevel"/>
    <w:tmpl w:val="BE88DA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F12D03"/>
    <w:multiLevelType w:val="hybridMultilevel"/>
    <w:tmpl w:val="163C45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84C07CF"/>
    <w:multiLevelType w:val="multilevel"/>
    <w:tmpl w:val="5EFECF6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38650B"/>
    <w:multiLevelType w:val="hybridMultilevel"/>
    <w:tmpl w:val="D40AFB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5E47CBF"/>
    <w:multiLevelType w:val="multilevel"/>
    <w:tmpl w:val="970AD6BE"/>
    <w:lvl w:ilvl="0">
      <w:start w:val="7"/>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502"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6C6F42"/>
    <w:multiLevelType w:val="hybridMultilevel"/>
    <w:tmpl w:val="09C291AA"/>
    <w:lvl w:ilvl="0" w:tplc="0426000B">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0" w15:restartNumberingAfterBreak="0">
    <w:nsid w:val="56147FFB"/>
    <w:multiLevelType w:val="hybridMultilevel"/>
    <w:tmpl w:val="DA0EDE70"/>
    <w:lvl w:ilvl="0" w:tplc="BA5AB46A">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EDE31A3"/>
    <w:multiLevelType w:val="multilevel"/>
    <w:tmpl w:val="0000450C"/>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834" w:hanging="720"/>
      </w:pPr>
    </w:lvl>
    <w:lvl w:ilvl="3">
      <w:start w:val="1"/>
      <w:numFmt w:val="decimal"/>
      <w:lvlText w:val="%1.%2.%3.%4."/>
      <w:lvlJc w:val="left"/>
      <w:pPr>
        <w:ind w:left="891" w:hanging="720"/>
      </w:pPr>
    </w:lvl>
    <w:lvl w:ilvl="4">
      <w:start w:val="1"/>
      <w:numFmt w:val="decimal"/>
      <w:lvlText w:val="%1.%2.%3.%4.%5."/>
      <w:lvlJc w:val="left"/>
      <w:pPr>
        <w:ind w:left="1308" w:hanging="1080"/>
      </w:pPr>
    </w:lvl>
    <w:lvl w:ilvl="5">
      <w:start w:val="1"/>
      <w:numFmt w:val="decimal"/>
      <w:lvlText w:val="%1.%2.%3.%4.%5.%6."/>
      <w:lvlJc w:val="left"/>
      <w:pPr>
        <w:ind w:left="1365" w:hanging="1080"/>
      </w:pPr>
    </w:lvl>
    <w:lvl w:ilvl="6">
      <w:start w:val="1"/>
      <w:numFmt w:val="decimal"/>
      <w:lvlText w:val="%1.%2.%3.%4.%5.%6.%7."/>
      <w:lvlJc w:val="left"/>
      <w:pPr>
        <w:ind w:left="1782" w:hanging="1440"/>
      </w:pPr>
    </w:lvl>
    <w:lvl w:ilvl="7">
      <w:start w:val="1"/>
      <w:numFmt w:val="decimal"/>
      <w:lvlText w:val="%1.%2.%3.%4.%5.%6.%7.%8."/>
      <w:lvlJc w:val="left"/>
      <w:pPr>
        <w:ind w:left="1839" w:hanging="1440"/>
      </w:pPr>
    </w:lvl>
    <w:lvl w:ilvl="8">
      <w:start w:val="1"/>
      <w:numFmt w:val="decimal"/>
      <w:lvlText w:val="%1.%2.%3.%4.%5.%6.%7.%8.%9."/>
      <w:lvlJc w:val="left"/>
      <w:pPr>
        <w:ind w:left="2256" w:hanging="1800"/>
      </w:pPr>
    </w:lvl>
  </w:abstractNum>
  <w:abstractNum w:abstractNumId="22" w15:restartNumberingAfterBreak="0">
    <w:nsid w:val="60DB0403"/>
    <w:multiLevelType w:val="hybridMultilevel"/>
    <w:tmpl w:val="D6DAE93A"/>
    <w:lvl w:ilvl="0" w:tplc="F536B144">
      <w:start w:val="1"/>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BC7074D"/>
    <w:multiLevelType w:val="hybridMultilevel"/>
    <w:tmpl w:val="30E07BC0"/>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D">
      <w:start w:val="1"/>
      <w:numFmt w:val="bullet"/>
      <w:lvlText w:val=""/>
      <w:lvlJc w:val="left"/>
      <w:pPr>
        <w:ind w:left="644" w:hanging="360"/>
      </w:pPr>
      <w:rPr>
        <w:rFonts w:ascii="Wingdings" w:hAnsi="Wingdings"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BD80A2B"/>
    <w:multiLevelType w:val="multilevel"/>
    <w:tmpl w:val="3CA041A2"/>
    <w:lvl w:ilvl="0">
      <w:start w:val="3"/>
      <w:numFmt w:val="decimal"/>
      <w:lvlText w:val="%1."/>
      <w:lvlJc w:val="left"/>
      <w:pPr>
        <w:ind w:left="644" w:hanging="360"/>
      </w:pPr>
      <w:rPr>
        <w:rFonts w:ascii="Times New Roman" w:hAnsi="Times New Roman" w:cs="Times New Roman" w:hint="default"/>
        <w:b/>
        <w:sz w:val="24"/>
        <w:szCs w:val="24"/>
      </w:rPr>
    </w:lvl>
    <w:lvl w:ilvl="1">
      <w:start w:val="1"/>
      <w:numFmt w:val="decimal"/>
      <w:lvlText w:val="%1.%2."/>
      <w:lvlJc w:val="left"/>
      <w:pPr>
        <w:ind w:left="749" w:hanging="360"/>
      </w:pPr>
      <w:rPr>
        <w:rFonts w:ascii="Times New Roman" w:hAnsi="Times New Roman" w:cs="Times New Roman" w:hint="default"/>
        <w:b/>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25" w15:restartNumberingAfterBreak="0">
    <w:nsid w:val="74965CFB"/>
    <w:multiLevelType w:val="hybridMultilevel"/>
    <w:tmpl w:val="9E1E77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5C60572"/>
    <w:multiLevelType w:val="multilevel"/>
    <w:tmpl w:val="F7B6C222"/>
    <w:lvl w:ilvl="0">
      <w:start w:val="1"/>
      <w:numFmt w:val="decimal"/>
      <w:lvlText w:val="%1."/>
      <w:lvlJc w:val="left"/>
      <w:pPr>
        <w:ind w:left="1080" w:hanging="72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76711796"/>
    <w:multiLevelType w:val="hybridMultilevel"/>
    <w:tmpl w:val="E6EEC66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6A31DB4"/>
    <w:multiLevelType w:val="hybridMultilevel"/>
    <w:tmpl w:val="17625F6E"/>
    <w:lvl w:ilvl="0" w:tplc="FCCE0640">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7901C30"/>
    <w:multiLevelType w:val="hybridMultilevel"/>
    <w:tmpl w:val="87A0AFD4"/>
    <w:lvl w:ilvl="0" w:tplc="0426000D">
      <w:start w:val="1"/>
      <w:numFmt w:val="bullet"/>
      <w:lvlText w:val=""/>
      <w:lvlJc w:val="left"/>
      <w:pPr>
        <w:ind w:left="780" w:hanging="42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7D21456"/>
    <w:multiLevelType w:val="multilevel"/>
    <w:tmpl w:val="3FE8300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C97049"/>
    <w:multiLevelType w:val="hybridMultilevel"/>
    <w:tmpl w:val="FBC8BEA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E3D3611"/>
    <w:multiLevelType w:val="hybridMultilevel"/>
    <w:tmpl w:val="9E92F84C"/>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9"/>
  </w:num>
  <w:num w:numId="3">
    <w:abstractNumId w:val="12"/>
  </w:num>
  <w:num w:numId="4">
    <w:abstractNumId w:val="14"/>
  </w:num>
  <w:num w:numId="5">
    <w:abstractNumId w:val="0"/>
  </w:num>
  <w:num w:numId="6">
    <w:abstractNumId w:val="29"/>
  </w:num>
  <w:num w:numId="7">
    <w:abstractNumId w:val="23"/>
  </w:num>
  <w:num w:numId="8">
    <w:abstractNumId w:val="1"/>
  </w:num>
  <w:num w:numId="9">
    <w:abstractNumId w:val="6"/>
  </w:num>
  <w:num w:numId="10">
    <w:abstractNumId w:val="5"/>
  </w:num>
  <w:num w:numId="11">
    <w:abstractNumId w:val="31"/>
  </w:num>
  <w:num w:numId="12">
    <w:abstractNumId w:val="25"/>
  </w:num>
  <w:num w:numId="13">
    <w:abstractNumId w:val="13"/>
  </w:num>
  <w:num w:numId="14">
    <w:abstractNumId w:val="30"/>
  </w:num>
  <w:num w:numId="15">
    <w:abstractNumId w:val="3"/>
  </w:num>
  <w:num w:numId="16">
    <w:abstractNumId w:val="15"/>
  </w:num>
  <w:num w:numId="17">
    <w:abstractNumId w:val="16"/>
  </w:num>
  <w:num w:numId="18">
    <w:abstractNumId w:val="4"/>
  </w:num>
  <w:num w:numId="19">
    <w:abstractNumId w:val="20"/>
  </w:num>
  <w:num w:numId="20">
    <w:abstractNumId w:val="18"/>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8"/>
  </w:num>
  <w:num w:numId="24">
    <w:abstractNumId w:val="22"/>
  </w:num>
  <w:num w:numId="25">
    <w:abstractNumId w:val="2"/>
  </w:num>
  <w:num w:numId="26">
    <w:abstractNumId w:val="17"/>
  </w:num>
  <w:num w:numId="27">
    <w:abstractNumId w:val="19"/>
  </w:num>
  <w:num w:numId="28">
    <w:abstractNumId w:val="27"/>
  </w:num>
  <w:num w:numId="29">
    <w:abstractNumId w:val="32"/>
  </w:num>
  <w:num w:numId="30">
    <w:abstractNumId w:val="2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85"/>
    <w:rsid w:val="00000186"/>
    <w:rsid w:val="000003CB"/>
    <w:rsid w:val="000010EF"/>
    <w:rsid w:val="00004277"/>
    <w:rsid w:val="000046B2"/>
    <w:rsid w:val="000049FD"/>
    <w:rsid w:val="00004BE3"/>
    <w:rsid w:val="00010C24"/>
    <w:rsid w:val="0001203B"/>
    <w:rsid w:val="00012BCF"/>
    <w:rsid w:val="00014889"/>
    <w:rsid w:val="0001555F"/>
    <w:rsid w:val="00015C39"/>
    <w:rsid w:val="000162FD"/>
    <w:rsid w:val="000179FA"/>
    <w:rsid w:val="00017E5D"/>
    <w:rsid w:val="00020B4F"/>
    <w:rsid w:val="0002117E"/>
    <w:rsid w:val="000232EB"/>
    <w:rsid w:val="000251D9"/>
    <w:rsid w:val="000260C1"/>
    <w:rsid w:val="000264C9"/>
    <w:rsid w:val="00027414"/>
    <w:rsid w:val="000279CC"/>
    <w:rsid w:val="0003124C"/>
    <w:rsid w:val="00031FE4"/>
    <w:rsid w:val="00032166"/>
    <w:rsid w:val="00032FCA"/>
    <w:rsid w:val="000344C0"/>
    <w:rsid w:val="00034970"/>
    <w:rsid w:val="00035116"/>
    <w:rsid w:val="00036081"/>
    <w:rsid w:val="00036245"/>
    <w:rsid w:val="00036804"/>
    <w:rsid w:val="000368D3"/>
    <w:rsid w:val="000371BA"/>
    <w:rsid w:val="0003757E"/>
    <w:rsid w:val="00037BB3"/>
    <w:rsid w:val="00042D67"/>
    <w:rsid w:val="00043389"/>
    <w:rsid w:val="00044D68"/>
    <w:rsid w:val="000450B6"/>
    <w:rsid w:val="00046760"/>
    <w:rsid w:val="00046EAC"/>
    <w:rsid w:val="000476FC"/>
    <w:rsid w:val="00047A2F"/>
    <w:rsid w:val="0005009C"/>
    <w:rsid w:val="000509A8"/>
    <w:rsid w:val="00051DFE"/>
    <w:rsid w:val="000541CB"/>
    <w:rsid w:val="00056345"/>
    <w:rsid w:val="00057176"/>
    <w:rsid w:val="0006002A"/>
    <w:rsid w:val="000601A9"/>
    <w:rsid w:val="0006076A"/>
    <w:rsid w:val="00060968"/>
    <w:rsid w:val="00061004"/>
    <w:rsid w:val="00062FB2"/>
    <w:rsid w:val="000652F4"/>
    <w:rsid w:val="00065FDF"/>
    <w:rsid w:val="00067067"/>
    <w:rsid w:val="0007050B"/>
    <w:rsid w:val="000713E1"/>
    <w:rsid w:val="000736E1"/>
    <w:rsid w:val="00073EED"/>
    <w:rsid w:val="00076D11"/>
    <w:rsid w:val="00076F4B"/>
    <w:rsid w:val="00077721"/>
    <w:rsid w:val="00080296"/>
    <w:rsid w:val="000827F3"/>
    <w:rsid w:val="000829C1"/>
    <w:rsid w:val="00082DB1"/>
    <w:rsid w:val="0008362C"/>
    <w:rsid w:val="00084CB0"/>
    <w:rsid w:val="000902BF"/>
    <w:rsid w:val="000904CC"/>
    <w:rsid w:val="0009279B"/>
    <w:rsid w:val="00092A3D"/>
    <w:rsid w:val="00093744"/>
    <w:rsid w:val="000937D2"/>
    <w:rsid w:val="0009450F"/>
    <w:rsid w:val="00095D94"/>
    <w:rsid w:val="0009784B"/>
    <w:rsid w:val="000A1073"/>
    <w:rsid w:val="000A1D01"/>
    <w:rsid w:val="000A1D1F"/>
    <w:rsid w:val="000A35D2"/>
    <w:rsid w:val="000A38B2"/>
    <w:rsid w:val="000A4827"/>
    <w:rsid w:val="000A4A8D"/>
    <w:rsid w:val="000A5509"/>
    <w:rsid w:val="000A7827"/>
    <w:rsid w:val="000B2B50"/>
    <w:rsid w:val="000B67FC"/>
    <w:rsid w:val="000B6A7F"/>
    <w:rsid w:val="000B78EC"/>
    <w:rsid w:val="000C1623"/>
    <w:rsid w:val="000C1D63"/>
    <w:rsid w:val="000C23D3"/>
    <w:rsid w:val="000C29B0"/>
    <w:rsid w:val="000C4D05"/>
    <w:rsid w:val="000C4DFE"/>
    <w:rsid w:val="000C608E"/>
    <w:rsid w:val="000C70AC"/>
    <w:rsid w:val="000D0DA0"/>
    <w:rsid w:val="000D0EC0"/>
    <w:rsid w:val="000D1449"/>
    <w:rsid w:val="000D30CD"/>
    <w:rsid w:val="000D62DD"/>
    <w:rsid w:val="000D709C"/>
    <w:rsid w:val="000D740B"/>
    <w:rsid w:val="000D7C1A"/>
    <w:rsid w:val="000E0762"/>
    <w:rsid w:val="000E0C7D"/>
    <w:rsid w:val="000E1F9F"/>
    <w:rsid w:val="000E384F"/>
    <w:rsid w:val="000E3F26"/>
    <w:rsid w:val="000E421B"/>
    <w:rsid w:val="000E678C"/>
    <w:rsid w:val="000F2ADA"/>
    <w:rsid w:val="000F2C0D"/>
    <w:rsid w:val="000F305C"/>
    <w:rsid w:val="000F3932"/>
    <w:rsid w:val="000F40BD"/>
    <w:rsid w:val="000F4E87"/>
    <w:rsid w:val="000F5F6B"/>
    <w:rsid w:val="000F5FAE"/>
    <w:rsid w:val="0010003E"/>
    <w:rsid w:val="001000FA"/>
    <w:rsid w:val="00102682"/>
    <w:rsid w:val="00104C47"/>
    <w:rsid w:val="0010559C"/>
    <w:rsid w:val="0010720E"/>
    <w:rsid w:val="00111137"/>
    <w:rsid w:val="001121F2"/>
    <w:rsid w:val="001141FC"/>
    <w:rsid w:val="001149F8"/>
    <w:rsid w:val="00115437"/>
    <w:rsid w:val="00116098"/>
    <w:rsid w:val="0012151E"/>
    <w:rsid w:val="00121967"/>
    <w:rsid w:val="0012268B"/>
    <w:rsid w:val="00122F3D"/>
    <w:rsid w:val="00124853"/>
    <w:rsid w:val="00125907"/>
    <w:rsid w:val="00125B86"/>
    <w:rsid w:val="00126C64"/>
    <w:rsid w:val="00126F3E"/>
    <w:rsid w:val="001272CE"/>
    <w:rsid w:val="00130C31"/>
    <w:rsid w:val="0013104F"/>
    <w:rsid w:val="00131478"/>
    <w:rsid w:val="0013206C"/>
    <w:rsid w:val="001329F5"/>
    <w:rsid w:val="00133BF5"/>
    <w:rsid w:val="001349F4"/>
    <w:rsid w:val="00134B13"/>
    <w:rsid w:val="00134B34"/>
    <w:rsid w:val="001350F4"/>
    <w:rsid w:val="00136093"/>
    <w:rsid w:val="001377FA"/>
    <w:rsid w:val="001400D2"/>
    <w:rsid w:val="001401BD"/>
    <w:rsid w:val="00140FCC"/>
    <w:rsid w:val="00140FE6"/>
    <w:rsid w:val="00141C78"/>
    <w:rsid w:val="00142012"/>
    <w:rsid w:val="001429BD"/>
    <w:rsid w:val="00143584"/>
    <w:rsid w:val="001435A8"/>
    <w:rsid w:val="001443DF"/>
    <w:rsid w:val="00144759"/>
    <w:rsid w:val="00144C2C"/>
    <w:rsid w:val="0014735C"/>
    <w:rsid w:val="00147461"/>
    <w:rsid w:val="00147E93"/>
    <w:rsid w:val="00152425"/>
    <w:rsid w:val="00152E95"/>
    <w:rsid w:val="0015554F"/>
    <w:rsid w:val="00156285"/>
    <w:rsid w:val="00157B46"/>
    <w:rsid w:val="00160901"/>
    <w:rsid w:val="00160D17"/>
    <w:rsid w:val="00167021"/>
    <w:rsid w:val="00167401"/>
    <w:rsid w:val="00170E63"/>
    <w:rsid w:val="00171437"/>
    <w:rsid w:val="001730D2"/>
    <w:rsid w:val="0017347A"/>
    <w:rsid w:val="00174A87"/>
    <w:rsid w:val="00175BDF"/>
    <w:rsid w:val="00176664"/>
    <w:rsid w:val="00180EE4"/>
    <w:rsid w:val="00181FF1"/>
    <w:rsid w:val="0018200B"/>
    <w:rsid w:val="0018309A"/>
    <w:rsid w:val="00183CF3"/>
    <w:rsid w:val="00184012"/>
    <w:rsid w:val="00184125"/>
    <w:rsid w:val="00184B14"/>
    <w:rsid w:val="00184EB5"/>
    <w:rsid w:val="00185E65"/>
    <w:rsid w:val="001869A8"/>
    <w:rsid w:val="0018705E"/>
    <w:rsid w:val="0018742F"/>
    <w:rsid w:val="00191899"/>
    <w:rsid w:val="00191E0E"/>
    <w:rsid w:val="00194614"/>
    <w:rsid w:val="00196738"/>
    <w:rsid w:val="00196EF2"/>
    <w:rsid w:val="001A0496"/>
    <w:rsid w:val="001A262E"/>
    <w:rsid w:val="001A354E"/>
    <w:rsid w:val="001A360B"/>
    <w:rsid w:val="001A51E6"/>
    <w:rsid w:val="001B3809"/>
    <w:rsid w:val="001B42A2"/>
    <w:rsid w:val="001B7328"/>
    <w:rsid w:val="001B7922"/>
    <w:rsid w:val="001C0089"/>
    <w:rsid w:val="001C0D90"/>
    <w:rsid w:val="001C13D7"/>
    <w:rsid w:val="001C1991"/>
    <w:rsid w:val="001C2D55"/>
    <w:rsid w:val="001C4A67"/>
    <w:rsid w:val="001C509E"/>
    <w:rsid w:val="001C67A6"/>
    <w:rsid w:val="001C7453"/>
    <w:rsid w:val="001D0050"/>
    <w:rsid w:val="001D0AEA"/>
    <w:rsid w:val="001D0B42"/>
    <w:rsid w:val="001D1950"/>
    <w:rsid w:val="001D1952"/>
    <w:rsid w:val="001D1C3C"/>
    <w:rsid w:val="001D3BDF"/>
    <w:rsid w:val="001D42CD"/>
    <w:rsid w:val="001D5567"/>
    <w:rsid w:val="001D76B1"/>
    <w:rsid w:val="001D7806"/>
    <w:rsid w:val="001D7AD1"/>
    <w:rsid w:val="001E1307"/>
    <w:rsid w:val="001E184A"/>
    <w:rsid w:val="001E19A9"/>
    <w:rsid w:val="001E32B4"/>
    <w:rsid w:val="001E50B0"/>
    <w:rsid w:val="001E5828"/>
    <w:rsid w:val="001E5C57"/>
    <w:rsid w:val="001F2420"/>
    <w:rsid w:val="001F25D9"/>
    <w:rsid w:val="001F3077"/>
    <w:rsid w:val="001F40FF"/>
    <w:rsid w:val="001F59DB"/>
    <w:rsid w:val="001F5C5E"/>
    <w:rsid w:val="001F5D7D"/>
    <w:rsid w:val="001F6C96"/>
    <w:rsid w:val="00200652"/>
    <w:rsid w:val="00201973"/>
    <w:rsid w:val="00205A93"/>
    <w:rsid w:val="00206B50"/>
    <w:rsid w:val="00206FB6"/>
    <w:rsid w:val="002075C5"/>
    <w:rsid w:val="00210BDA"/>
    <w:rsid w:val="00211ACF"/>
    <w:rsid w:val="002142DC"/>
    <w:rsid w:val="00214B96"/>
    <w:rsid w:val="002157A8"/>
    <w:rsid w:val="00215A6B"/>
    <w:rsid w:val="00216591"/>
    <w:rsid w:val="002175D9"/>
    <w:rsid w:val="0021789A"/>
    <w:rsid w:val="00223647"/>
    <w:rsid w:val="00223A63"/>
    <w:rsid w:val="00224061"/>
    <w:rsid w:val="002242CB"/>
    <w:rsid w:val="0022698A"/>
    <w:rsid w:val="00226F75"/>
    <w:rsid w:val="00227FDF"/>
    <w:rsid w:val="00230358"/>
    <w:rsid w:val="00230730"/>
    <w:rsid w:val="00231FB8"/>
    <w:rsid w:val="0023232C"/>
    <w:rsid w:val="00232C33"/>
    <w:rsid w:val="00232C58"/>
    <w:rsid w:val="0023478C"/>
    <w:rsid w:val="00234C48"/>
    <w:rsid w:val="002354DF"/>
    <w:rsid w:val="00236797"/>
    <w:rsid w:val="00237649"/>
    <w:rsid w:val="00242D7D"/>
    <w:rsid w:val="002432E7"/>
    <w:rsid w:val="002448FD"/>
    <w:rsid w:val="00246A7C"/>
    <w:rsid w:val="00247529"/>
    <w:rsid w:val="00247DF0"/>
    <w:rsid w:val="002500CB"/>
    <w:rsid w:val="00250408"/>
    <w:rsid w:val="0025171C"/>
    <w:rsid w:val="00252213"/>
    <w:rsid w:val="00252F69"/>
    <w:rsid w:val="00257250"/>
    <w:rsid w:val="00257DD4"/>
    <w:rsid w:val="002607A6"/>
    <w:rsid w:val="00261071"/>
    <w:rsid w:val="00261EF0"/>
    <w:rsid w:val="00261F5F"/>
    <w:rsid w:val="00262EBA"/>
    <w:rsid w:val="002640D9"/>
    <w:rsid w:val="002650BA"/>
    <w:rsid w:val="002654CD"/>
    <w:rsid w:val="002662E3"/>
    <w:rsid w:val="002700EF"/>
    <w:rsid w:val="00270E4A"/>
    <w:rsid w:val="00271F7F"/>
    <w:rsid w:val="00273F99"/>
    <w:rsid w:val="002747BA"/>
    <w:rsid w:val="0027527C"/>
    <w:rsid w:val="00275E90"/>
    <w:rsid w:val="00276E78"/>
    <w:rsid w:val="00277E18"/>
    <w:rsid w:val="00280120"/>
    <w:rsid w:val="0028162B"/>
    <w:rsid w:val="00284191"/>
    <w:rsid w:val="00286F60"/>
    <w:rsid w:val="002914FF"/>
    <w:rsid w:val="00291E67"/>
    <w:rsid w:val="00293013"/>
    <w:rsid w:val="002930C8"/>
    <w:rsid w:val="002937C6"/>
    <w:rsid w:val="00294074"/>
    <w:rsid w:val="0029408F"/>
    <w:rsid w:val="00294671"/>
    <w:rsid w:val="00294E7C"/>
    <w:rsid w:val="00295C52"/>
    <w:rsid w:val="00296A90"/>
    <w:rsid w:val="002A1B5B"/>
    <w:rsid w:val="002A2700"/>
    <w:rsid w:val="002A4530"/>
    <w:rsid w:val="002A62F4"/>
    <w:rsid w:val="002A6FD7"/>
    <w:rsid w:val="002B0A9D"/>
    <w:rsid w:val="002B167B"/>
    <w:rsid w:val="002B1867"/>
    <w:rsid w:val="002B264A"/>
    <w:rsid w:val="002B333B"/>
    <w:rsid w:val="002B4ECF"/>
    <w:rsid w:val="002B615F"/>
    <w:rsid w:val="002B6A76"/>
    <w:rsid w:val="002B6ABC"/>
    <w:rsid w:val="002C1139"/>
    <w:rsid w:val="002C234A"/>
    <w:rsid w:val="002C5F4C"/>
    <w:rsid w:val="002C6ABF"/>
    <w:rsid w:val="002C77FF"/>
    <w:rsid w:val="002C7C67"/>
    <w:rsid w:val="002C7EAA"/>
    <w:rsid w:val="002D175B"/>
    <w:rsid w:val="002D2124"/>
    <w:rsid w:val="002D35DB"/>
    <w:rsid w:val="002D37AB"/>
    <w:rsid w:val="002D529C"/>
    <w:rsid w:val="002D5363"/>
    <w:rsid w:val="002D78E9"/>
    <w:rsid w:val="002E11C5"/>
    <w:rsid w:val="002E1265"/>
    <w:rsid w:val="002E1514"/>
    <w:rsid w:val="002E224D"/>
    <w:rsid w:val="002E2ABC"/>
    <w:rsid w:val="002E3B40"/>
    <w:rsid w:val="002E50C4"/>
    <w:rsid w:val="002E5400"/>
    <w:rsid w:val="002E605C"/>
    <w:rsid w:val="002E6C28"/>
    <w:rsid w:val="002E721A"/>
    <w:rsid w:val="002F062E"/>
    <w:rsid w:val="002F1F3D"/>
    <w:rsid w:val="002F2FD3"/>
    <w:rsid w:val="002F42A2"/>
    <w:rsid w:val="002F482A"/>
    <w:rsid w:val="00301FF8"/>
    <w:rsid w:val="00302138"/>
    <w:rsid w:val="003023A0"/>
    <w:rsid w:val="003027C8"/>
    <w:rsid w:val="00302CB3"/>
    <w:rsid w:val="003042AF"/>
    <w:rsid w:val="0030494C"/>
    <w:rsid w:val="00304D08"/>
    <w:rsid w:val="003053F0"/>
    <w:rsid w:val="003068BD"/>
    <w:rsid w:val="00307F36"/>
    <w:rsid w:val="003116BA"/>
    <w:rsid w:val="003125A1"/>
    <w:rsid w:val="0031341B"/>
    <w:rsid w:val="00314565"/>
    <w:rsid w:val="00316BC4"/>
    <w:rsid w:val="003175E6"/>
    <w:rsid w:val="003201D7"/>
    <w:rsid w:val="00322167"/>
    <w:rsid w:val="003225B3"/>
    <w:rsid w:val="00323B18"/>
    <w:rsid w:val="00323B2B"/>
    <w:rsid w:val="003251E6"/>
    <w:rsid w:val="00327684"/>
    <w:rsid w:val="00330A50"/>
    <w:rsid w:val="00330B59"/>
    <w:rsid w:val="00330E6E"/>
    <w:rsid w:val="00331033"/>
    <w:rsid w:val="00334F02"/>
    <w:rsid w:val="0033776D"/>
    <w:rsid w:val="00337E07"/>
    <w:rsid w:val="003408CE"/>
    <w:rsid w:val="00340DB2"/>
    <w:rsid w:val="0034331F"/>
    <w:rsid w:val="00345AC3"/>
    <w:rsid w:val="00346A87"/>
    <w:rsid w:val="00350F7B"/>
    <w:rsid w:val="003521F3"/>
    <w:rsid w:val="003524CD"/>
    <w:rsid w:val="003529E8"/>
    <w:rsid w:val="003532CC"/>
    <w:rsid w:val="003539EE"/>
    <w:rsid w:val="00354249"/>
    <w:rsid w:val="00354D6D"/>
    <w:rsid w:val="00357C5A"/>
    <w:rsid w:val="00357E36"/>
    <w:rsid w:val="003626E2"/>
    <w:rsid w:val="00363534"/>
    <w:rsid w:val="00363857"/>
    <w:rsid w:val="0036402F"/>
    <w:rsid w:val="00364178"/>
    <w:rsid w:val="00364388"/>
    <w:rsid w:val="003658BA"/>
    <w:rsid w:val="003668DA"/>
    <w:rsid w:val="003670FB"/>
    <w:rsid w:val="003675BC"/>
    <w:rsid w:val="003675F1"/>
    <w:rsid w:val="003679AE"/>
    <w:rsid w:val="003706C0"/>
    <w:rsid w:val="00370933"/>
    <w:rsid w:val="003722CF"/>
    <w:rsid w:val="00372BBA"/>
    <w:rsid w:val="0037326D"/>
    <w:rsid w:val="00373934"/>
    <w:rsid w:val="00374332"/>
    <w:rsid w:val="00375296"/>
    <w:rsid w:val="00376F8D"/>
    <w:rsid w:val="003803BC"/>
    <w:rsid w:val="003804C1"/>
    <w:rsid w:val="00380F5C"/>
    <w:rsid w:val="003819E0"/>
    <w:rsid w:val="00383D22"/>
    <w:rsid w:val="0038455F"/>
    <w:rsid w:val="003857EF"/>
    <w:rsid w:val="00385EC9"/>
    <w:rsid w:val="0038652B"/>
    <w:rsid w:val="00386C06"/>
    <w:rsid w:val="00386CC2"/>
    <w:rsid w:val="00391C74"/>
    <w:rsid w:val="0039354F"/>
    <w:rsid w:val="003948D6"/>
    <w:rsid w:val="00394A97"/>
    <w:rsid w:val="003962C4"/>
    <w:rsid w:val="003A2C83"/>
    <w:rsid w:val="003A6E33"/>
    <w:rsid w:val="003A774C"/>
    <w:rsid w:val="003A77CA"/>
    <w:rsid w:val="003A7CD2"/>
    <w:rsid w:val="003B212C"/>
    <w:rsid w:val="003B306A"/>
    <w:rsid w:val="003B36C0"/>
    <w:rsid w:val="003B4106"/>
    <w:rsid w:val="003B5452"/>
    <w:rsid w:val="003B59A0"/>
    <w:rsid w:val="003B5ADB"/>
    <w:rsid w:val="003B5D70"/>
    <w:rsid w:val="003B629D"/>
    <w:rsid w:val="003B6467"/>
    <w:rsid w:val="003B7D11"/>
    <w:rsid w:val="003C16D5"/>
    <w:rsid w:val="003C22D6"/>
    <w:rsid w:val="003C4869"/>
    <w:rsid w:val="003C650F"/>
    <w:rsid w:val="003C66CE"/>
    <w:rsid w:val="003C6948"/>
    <w:rsid w:val="003D0A12"/>
    <w:rsid w:val="003D164C"/>
    <w:rsid w:val="003D2E74"/>
    <w:rsid w:val="003D329B"/>
    <w:rsid w:val="003D367E"/>
    <w:rsid w:val="003D44D0"/>
    <w:rsid w:val="003D536E"/>
    <w:rsid w:val="003D5E86"/>
    <w:rsid w:val="003D6AB9"/>
    <w:rsid w:val="003E07C8"/>
    <w:rsid w:val="003E1947"/>
    <w:rsid w:val="003E412C"/>
    <w:rsid w:val="003E5101"/>
    <w:rsid w:val="003E5C05"/>
    <w:rsid w:val="003E619B"/>
    <w:rsid w:val="003E63A1"/>
    <w:rsid w:val="003E6618"/>
    <w:rsid w:val="003E7A5D"/>
    <w:rsid w:val="003F1078"/>
    <w:rsid w:val="003F1E2F"/>
    <w:rsid w:val="003F27FC"/>
    <w:rsid w:val="003F2A68"/>
    <w:rsid w:val="003F2D05"/>
    <w:rsid w:val="003F31D2"/>
    <w:rsid w:val="003F489F"/>
    <w:rsid w:val="003F4BB4"/>
    <w:rsid w:val="003F7EB1"/>
    <w:rsid w:val="00400423"/>
    <w:rsid w:val="00402D13"/>
    <w:rsid w:val="004041F2"/>
    <w:rsid w:val="00404BBC"/>
    <w:rsid w:val="0040663A"/>
    <w:rsid w:val="00410E77"/>
    <w:rsid w:val="004111DD"/>
    <w:rsid w:val="0041151B"/>
    <w:rsid w:val="00413919"/>
    <w:rsid w:val="00413C5F"/>
    <w:rsid w:val="00413DA5"/>
    <w:rsid w:val="0041662A"/>
    <w:rsid w:val="00417F39"/>
    <w:rsid w:val="00420520"/>
    <w:rsid w:val="00421529"/>
    <w:rsid w:val="00422841"/>
    <w:rsid w:val="00424867"/>
    <w:rsid w:val="00425DFD"/>
    <w:rsid w:val="00426662"/>
    <w:rsid w:val="004302F9"/>
    <w:rsid w:val="00430A23"/>
    <w:rsid w:val="0043259A"/>
    <w:rsid w:val="00433352"/>
    <w:rsid w:val="00435F65"/>
    <w:rsid w:val="004365EC"/>
    <w:rsid w:val="004373E9"/>
    <w:rsid w:val="004374DE"/>
    <w:rsid w:val="00437D93"/>
    <w:rsid w:val="00440A1F"/>
    <w:rsid w:val="00441361"/>
    <w:rsid w:val="00441E67"/>
    <w:rsid w:val="0044216A"/>
    <w:rsid w:val="004429DA"/>
    <w:rsid w:val="00443853"/>
    <w:rsid w:val="00443E52"/>
    <w:rsid w:val="00446C72"/>
    <w:rsid w:val="00447838"/>
    <w:rsid w:val="00447FA7"/>
    <w:rsid w:val="004506E8"/>
    <w:rsid w:val="004513E4"/>
    <w:rsid w:val="00452E08"/>
    <w:rsid w:val="00453716"/>
    <w:rsid w:val="00454F86"/>
    <w:rsid w:val="004551D6"/>
    <w:rsid w:val="00456442"/>
    <w:rsid w:val="0045648D"/>
    <w:rsid w:val="004570AE"/>
    <w:rsid w:val="004615A2"/>
    <w:rsid w:val="00461821"/>
    <w:rsid w:val="00461B31"/>
    <w:rsid w:val="004638EB"/>
    <w:rsid w:val="00463FE3"/>
    <w:rsid w:val="00465A9E"/>
    <w:rsid w:val="00466487"/>
    <w:rsid w:val="00466776"/>
    <w:rsid w:val="00467E20"/>
    <w:rsid w:val="0047038B"/>
    <w:rsid w:val="004707DB"/>
    <w:rsid w:val="00473F06"/>
    <w:rsid w:val="0047603C"/>
    <w:rsid w:val="0048071D"/>
    <w:rsid w:val="004811B1"/>
    <w:rsid w:val="00484660"/>
    <w:rsid w:val="00484F8D"/>
    <w:rsid w:val="00485069"/>
    <w:rsid w:val="0048523A"/>
    <w:rsid w:val="00485B50"/>
    <w:rsid w:val="0048663C"/>
    <w:rsid w:val="00490CF9"/>
    <w:rsid w:val="00491216"/>
    <w:rsid w:val="00491392"/>
    <w:rsid w:val="00492E35"/>
    <w:rsid w:val="00493119"/>
    <w:rsid w:val="00494320"/>
    <w:rsid w:val="00494652"/>
    <w:rsid w:val="00496FDE"/>
    <w:rsid w:val="004A0240"/>
    <w:rsid w:val="004A1651"/>
    <w:rsid w:val="004A3DBE"/>
    <w:rsid w:val="004B0C0C"/>
    <w:rsid w:val="004B1AE5"/>
    <w:rsid w:val="004B27DC"/>
    <w:rsid w:val="004B2C33"/>
    <w:rsid w:val="004B2F3F"/>
    <w:rsid w:val="004B3B53"/>
    <w:rsid w:val="004B4C1B"/>
    <w:rsid w:val="004B6518"/>
    <w:rsid w:val="004C129A"/>
    <w:rsid w:val="004C22FE"/>
    <w:rsid w:val="004C289C"/>
    <w:rsid w:val="004C3D0C"/>
    <w:rsid w:val="004C4FE3"/>
    <w:rsid w:val="004C5574"/>
    <w:rsid w:val="004C6C48"/>
    <w:rsid w:val="004D2D92"/>
    <w:rsid w:val="004D39AB"/>
    <w:rsid w:val="004D4815"/>
    <w:rsid w:val="004D51B8"/>
    <w:rsid w:val="004D6A07"/>
    <w:rsid w:val="004D71C0"/>
    <w:rsid w:val="004E0FE8"/>
    <w:rsid w:val="004E1B32"/>
    <w:rsid w:val="004E1C7C"/>
    <w:rsid w:val="004E24B8"/>
    <w:rsid w:val="004E27CE"/>
    <w:rsid w:val="004E3377"/>
    <w:rsid w:val="004E34D2"/>
    <w:rsid w:val="004E3D80"/>
    <w:rsid w:val="004E3EF8"/>
    <w:rsid w:val="004E65EB"/>
    <w:rsid w:val="004E772A"/>
    <w:rsid w:val="004F02FB"/>
    <w:rsid w:val="004F42E2"/>
    <w:rsid w:val="004F4524"/>
    <w:rsid w:val="004F4F50"/>
    <w:rsid w:val="00500860"/>
    <w:rsid w:val="00502F62"/>
    <w:rsid w:val="00502FAE"/>
    <w:rsid w:val="00503DD7"/>
    <w:rsid w:val="00504640"/>
    <w:rsid w:val="00505FAE"/>
    <w:rsid w:val="0050641F"/>
    <w:rsid w:val="00510A17"/>
    <w:rsid w:val="00510F83"/>
    <w:rsid w:val="0051235A"/>
    <w:rsid w:val="005131D9"/>
    <w:rsid w:val="00513CCD"/>
    <w:rsid w:val="0051686C"/>
    <w:rsid w:val="00516A1D"/>
    <w:rsid w:val="00520165"/>
    <w:rsid w:val="0052064B"/>
    <w:rsid w:val="0052272B"/>
    <w:rsid w:val="00524303"/>
    <w:rsid w:val="00524443"/>
    <w:rsid w:val="00524C52"/>
    <w:rsid w:val="0052554F"/>
    <w:rsid w:val="0052683A"/>
    <w:rsid w:val="005269A3"/>
    <w:rsid w:val="00526AAF"/>
    <w:rsid w:val="00526DD0"/>
    <w:rsid w:val="00527714"/>
    <w:rsid w:val="00530882"/>
    <w:rsid w:val="00530CD1"/>
    <w:rsid w:val="0053295A"/>
    <w:rsid w:val="0053299C"/>
    <w:rsid w:val="00537432"/>
    <w:rsid w:val="00542C64"/>
    <w:rsid w:val="005438FE"/>
    <w:rsid w:val="005439E6"/>
    <w:rsid w:val="00546228"/>
    <w:rsid w:val="00546425"/>
    <w:rsid w:val="0054664E"/>
    <w:rsid w:val="00551014"/>
    <w:rsid w:val="00551EF6"/>
    <w:rsid w:val="00552B24"/>
    <w:rsid w:val="00552F6F"/>
    <w:rsid w:val="00552FC1"/>
    <w:rsid w:val="00555E7F"/>
    <w:rsid w:val="00555F29"/>
    <w:rsid w:val="00556139"/>
    <w:rsid w:val="00556E5C"/>
    <w:rsid w:val="00561FA5"/>
    <w:rsid w:val="00562A32"/>
    <w:rsid w:val="00565220"/>
    <w:rsid w:val="0056713F"/>
    <w:rsid w:val="005674DC"/>
    <w:rsid w:val="0057031B"/>
    <w:rsid w:val="0057037E"/>
    <w:rsid w:val="005720CD"/>
    <w:rsid w:val="00572343"/>
    <w:rsid w:val="005727D7"/>
    <w:rsid w:val="00572F13"/>
    <w:rsid w:val="00573CCB"/>
    <w:rsid w:val="00575052"/>
    <w:rsid w:val="00575812"/>
    <w:rsid w:val="00575B8A"/>
    <w:rsid w:val="005774A7"/>
    <w:rsid w:val="00577DC2"/>
    <w:rsid w:val="005805BC"/>
    <w:rsid w:val="005816D7"/>
    <w:rsid w:val="00581A17"/>
    <w:rsid w:val="00582B65"/>
    <w:rsid w:val="0058386D"/>
    <w:rsid w:val="00587020"/>
    <w:rsid w:val="005919CE"/>
    <w:rsid w:val="00591B70"/>
    <w:rsid w:val="0059313D"/>
    <w:rsid w:val="005955D0"/>
    <w:rsid w:val="00596450"/>
    <w:rsid w:val="0059781B"/>
    <w:rsid w:val="00597923"/>
    <w:rsid w:val="005A06ED"/>
    <w:rsid w:val="005A193A"/>
    <w:rsid w:val="005A2892"/>
    <w:rsid w:val="005A4C43"/>
    <w:rsid w:val="005A5741"/>
    <w:rsid w:val="005A7AA2"/>
    <w:rsid w:val="005A7D98"/>
    <w:rsid w:val="005B3D35"/>
    <w:rsid w:val="005B50C2"/>
    <w:rsid w:val="005B7B1E"/>
    <w:rsid w:val="005B7E07"/>
    <w:rsid w:val="005B7FE4"/>
    <w:rsid w:val="005C01A9"/>
    <w:rsid w:val="005C0B7B"/>
    <w:rsid w:val="005C12AD"/>
    <w:rsid w:val="005C1AD8"/>
    <w:rsid w:val="005C1C3F"/>
    <w:rsid w:val="005C20E5"/>
    <w:rsid w:val="005C23CC"/>
    <w:rsid w:val="005C2725"/>
    <w:rsid w:val="005C3A67"/>
    <w:rsid w:val="005C56C0"/>
    <w:rsid w:val="005C7308"/>
    <w:rsid w:val="005C7D74"/>
    <w:rsid w:val="005D1A6A"/>
    <w:rsid w:val="005D585F"/>
    <w:rsid w:val="005D6371"/>
    <w:rsid w:val="005D6D0B"/>
    <w:rsid w:val="005D721F"/>
    <w:rsid w:val="005E03A8"/>
    <w:rsid w:val="005E1597"/>
    <w:rsid w:val="005E344B"/>
    <w:rsid w:val="005E56BA"/>
    <w:rsid w:val="005F0019"/>
    <w:rsid w:val="005F128A"/>
    <w:rsid w:val="005F1649"/>
    <w:rsid w:val="005F1E99"/>
    <w:rsid w:val="005F23F9"/>
    <w:rsid w:val="005F2445"/>
    <w:rsid w:val="005F36A1"/>
    <w:rsid w:val="005F3ABB"/>
    <w:rsid w:val="005F3CF6"/>
    <w:rsid w:val="005F5484"/>
    <w:rsid w:val="005F63DD"/>
    <w:rsid w:val="005F6E36"/>
    <w:rsid w:val="005F703D"/>
    <w:rsid w:val="005F7552"/>
    <w:rsid w:val="006013A1"/>
    <w:rsid w:val="00603936"/>
    <w:rsid w:val="00603A97"/>
    <w:rsid w:val="00605089"/>
    <w:rsid w:val="00606886"/>
    <w:rsid w:val="00606F3D"/>
    <w:rsid w:val="006072C8"/>
    <w:rsid w:val="00610790"/>
    <w:rsid w:val="00611828"/>
    <w:rsid w:val="00611B34"/>
    <w:rsid w:val="006135A0"/>
    <w:rsid w:val="0061393B"/>
    <w:rsid w:val="0061475F"/>
    <w:rsid w:val="00614AAD"/>
    <w:rsid w:val="00614F38"/>
    <w:rsid w:val="00617341"/>
    <w:rsid w:val="00620CE1"/>
    <w:rsid w:val="00621B75"/>
    <w:rsid w:val="00622B16"/>
    <w:rsid w:val="0062529F"/>
    <w:rsid w:val="00626053"/>
    <w:rsid w:val="00626D1A"/>
    <w:rsid w:val="00627371"/>
    <w:rsid w:val="0062749E"/>
    <w:rsid w:val="00627593"/>
    <w:rsid w:val="006300EE"/>
    <w:rsid w:val="006309E9"/>
    <w:rsid w:val="00630B60"/>
    <w:rsid w:val="00631C59"/>
    <w:rsid w:val="00631C8A"/>
    <w:rsid w:val="00632558"/>
    <w:rsid w:val="00634A1B"/>
    <w:rsid w:val="00634DB9"/>
    <w:rsid w:val="0063566C"/>
    <w:rsid w:val="0063621D"/>
    <w:rsid w:val="006364F3"/>
    <w:rsid w:val="00641621"/>
    <w:rsid w:val="0064295C"/>
    <w:rsid w:val="006437E9"/>
    <w:rsid w:val="00643C2F"/>
    <w:rsid w:val="006447CD"/>
    <w:rsid w:val="006462CD"/>
    <w:rsid w:val="00646EEF"/>
    <w:rsid w:val="00652EBD"/>
    <w:rsid w:val="006539B1"/>
    <w:rsid w:val="00653B3B"/>
    <w:rsid w:val="00653D7B"/>
    <w:rsid w:val="006540EA"/>
    <w:rsid w:val="00655A75"/>
    <w:rsid w:val="006577ED"/>
    <w:rsid w:val="006630BA"/>
    <w:rsid w:val="00663829"/>
    <w:rsid w:val="00665040"/>
    <w:rsid w:val="00665429"/>
    <w:rsid w:val="00665574"/>
    <w:rsid w:val="00665E6D"/>
    <w:rsid w:val="00666E50"/>
    <w:rsid w:val="00667051"/>
    <w:rsid w:val="00667716"/>
    <w:rsid w:val="0067045B"/>
    <w:rsid w:val="00670DF0"/>
    <w:rsid w:val="006716F6"/>
    <w:rsid w:val="00672129"/>
    <w:rsid w:val="0067300A"/>
    <w:rsid w:val="006745B7"/>
    <w:rsid w:val="00680E17"/>
    <w:rsid w:val="006814CC"/>
    <w:rsid w:val="00681C17"/>
    <w:rsid w:val="00681D55"/>
    <w:rsid w:val="00681EF1"/>
    <w:rsid w:val="006826A6"/>
    <w:rsid w:val="006843B4"/>
    <w:rsid w:val="00684571"/>
    <w:rsid w:val="0068598D"/>
    <w:rsid w:val="0068651F"/>
    <w:rsid w:val="006870B0"/>
    <w:rsid w:val="0069030A"/>
    <w:rsid w:val="00691F33"/>
    <w:rsid w:val="0069252C"/>
    <w:rsid w:val="00694A74"/>
    <w:rsid w:val="00694DC1"/>
    <w:rsid w:val="00695209"/>
    <w:rsid w:val="00695242"/>
    <w:rsid w:val="00695C6D"/>
    <w:rsid w:val="006978FC"/>
    <w:rsid w:val="006A0299"/>
    <w:rsid w:val="006A0595"/>
    <w:rsid w:val="006A0C6E"/>
    <w:rsid w:val="006A1718"/>
    <w:rsid w:val="006A261A"/>
    <w:rsid w:val="006A2786"/>
    <w:rsid w:val="006A27E7"/>
    <w:rsid w:val="006A3479"/>
    <w:rsid w:val="006A43A6"/>
    <w:rsid w:val="006A4903"/>
    <w:rsid w:val="006A694C"/>
    <w:rsid w:val="006A6AD8"/>
    <w:rsid w:val="006A7824"/>
    <w:rsid w:val="006A7D0B"/>
    <w:rsid w:val="006B05E5"/>
    <w:rsid w:val="006B104E"/>
    <w:rsid w:val="006B1522"/>
    <w:rsid w:val="006B1842"/>
    <w:rsid w:val="006B1EA1"/>
    <w:rsid w:val="006B45C3"/>
    <w:rsid w:val="006B5C11"/>
    <w:rsid w:val="006B6496"/>
    <w:rsid w:val="006B70AB"/>
    <w:rsid w:val="006B73F1"/>
    <w:rsid w:val="006B7AAD"/>
    <w:rsid w:val="006C0077"/>
    <w:rsid w:val="006C0CCD"/>
    <w:rsid w:val="006C1DF6"/>
    <w:rsid w:val="006C215F"/>
    <w:rsid w:val="006C2F16"/>
    <w:rsid w:val="006C4A58"/>
    <w:rsid w:val="006D0230"/>
    <w:rsid w:val="006D03FF"/>
    <w:rsid w:val="006D1046"/>
    <w:rsid w:val="006D3874"/>
    <w:rsid w:val="006D3A0C"/>
    <w:rsid w:val="006D58CF"/>
    <w:rsid w:val="006D6455"/>
    <w:rsid w:val="006D7ACC"/>
    <w:rsid w:val="006E0BBE"/>
    <w:rsid w:val="006E23BC"/>
    <w:rsid w:val="006E258A"/>
    <w:rsid w:val="006E3120"/>
    <w:rsid w:val="006E3312"/>
    <w:rsid w:val="006E3369"/>
    <w:rsid w:val="006E4BC8"/>
    <w:rsid w:val="006E668F"/>
    <w:rsid w:val="006F1D11"/>
    <w:rsid w:val="006F2C2C"/>
    <w:rsid w:val="006F40D5"/>
    <w:rsid w:val="006F4B62"/>
    <w:rsid w:val="006F76E1"/>
    <w:rsid w:val="00700EAF"/>
    <w:rsid w:val="00700F4E"/>
    <w:rsid w:val="0070315C"/>
    <w:rsid w:val="00703FD6"/>
    <w:rsid w:val="00704C57"/>
    <w:rsid w:val="00705263"/>
    <w:rsid w:val="00705CCC"/>
    <w:rsid w:val="00707863"/>
    <w:rsid w:val="0071113B"/>
    <w:rsid w:val="0071151B"/>
    <w:rsid w:val="00711C5D"/>
    <w:rsid w:val="0071283F"/>
    <w:rsid w:val="00713059"/>
    <w:rsid w:val="00714465"/>
    <w:rsid w:val="0071557F"/>
    <w:rsid w:val="00716DE7"/>
    <w:rsid w:val="00717E69"/>
    <w:rsid w:val="007204CA"/>
    <w:rsid w:val="0072078B"/>
    <w:rsid w:val="0072181A"/>
    <w:rsid w:val="007218D4"/>
    <w:rsid w:val="00722AE8"/>
    <w:rsid w:val="00724239"/>
    <w:rsid w:val="00724BC7"/>
    <w:rsid w:val="007259D5"/>
    <w:rsid w:val="00726958"/>
    <w:rsid w:val="00730409"/>
    <w:rsid w:val="00732734"/>
    <w:rsid w:val="007337A1"/>
    <w:rsid w:val="0073415E"/>
    <w:rsid w:val="00734A90"/>
    <w:rsid w:val="00734D90"/>
    <w:rsid w:val="00735B9C"/>
    <w:rsid w:val="0073684E"/>
    <w:rsid w:val="00737143"/>
    <w:rsid w:val="00737B79"/>
    <w:rsid w:val="0074072C"/>
    <w:rsid w:val="0074118D"/>
    <w:rsid w:val="00741AC9"/>
    <w:rsid w:val="00742310"/>
    <w:rsid w:val="0074308C"/>
    <w:rsid w:val="00743C4D"/>
    <w:rsid w:val="007450F9"/>
    <w:rsid w:val="007460A5"/>
    <w:rsid w:val="00746479"/>
    <w:rsid w:val="00746A9C"/>
    <w:rsid w:val="0074722B"/>
    <w:rsid w:val="007474B9"/>
    <w:rsid w:val="007500F0"/>
    <w:rsid w:val="00750273"/>
    <w:rsid w:val="007513BD"/>
    <w:rsid w:val="007522E3"/>
    <w:rsid w:val="007529BA"/>
    <w:rsid w:val="00753269"/>
    <w:rsid w:val="00755242"/>
    <w:rsid w:val="0076033E"/>
    <w:rsid w:val="0076105D"/>
    <w:rsid w:val="00762A81"/>
    <w:rsid w:val="007663EE"/>
    <w:rsid w:val="00766BD2"/>
    <w:rsid w:val="00766D37"/>
    <w:rsid w:val="007676EF"/>
    <w:rsid w:val="00767873"/>
    <w:rsid w:val="00773110"/>
    <w:rsid w:val="007747A5"/>
    <w:rsid w:val="00774C0D"/>
    <w:rsid w:val="00775436"/>
    <w:rsid w:val="0077652F"/>
    <w:rsid w:val="0078039C"/>
    <w:rsid w:val="00780539"/>
    <w:rsid w:val="00781BA3"/>
    <w:rsid w:val="007821D3"/>
    <w:rsid w:val="007827C4"/>
    <w:rsid w:val="007828EE"/>
    <w:rsid w:val="00783E57"/>
    <w:rsid w:val="00784868"/>
    <w:rsid w:val="00784FA2"/>
    <w:rsid w:val="00785DED"/>
    <w:rsid w:val="007873B6"/>
    <w:rsid w:val="00787CD7"/>
    <w:rsid w:val="00790C04"/>
    <w:rsid w:val="00790EFB"/>
    <w:rsid w:val="00792B1A"/>
    <w:rsid w:val="00794B21"/>
    <w:rsid w:val="00794DC7"/>
    <w:rsid w:val="00795FAC"/>
    <w:rsid w:val="007974A9"/>
    <w:rsid w:val="00797B5D"/>
    <w:rsid w:val="007A0939"/>
    <w:rsid w:val="007A138C"/>
    <w:rsid w:val="007A2C82"/>
    <w:rsid w:val="007A322F"/>
    <w:rsid w:val="007A3E47"/>
    <w:rsid w:val="007A54D2"/>
    <w:rsid w:val="007A6706"/>
    <w:rsid w:val="007A6A56"/>
    <w:rsid w:val="007A6F6F"/>
    <w:rsid w:val="007A7792"/>
    <w:rsid w:val="007B0E2A"/>
    <w:rsid w:val="007B37AB"/>
    <w:rsid w:val="007B4CF9"/>
    <w:rsid w:val="007B614D"/>
    <w:rsid w:val="007B76F6"/>
    <w:rsid w:val="007C02BE"/>
    <w:rsid w:val="007C0E0C"/>
    <w:rsid w:val="007C26E2"/>
    <w:rsid w:val="007C2CC8"/>
    <w:rsid w:val="007C37CD"/>
    <w:rsid w:val="007C3D03"/>
    <w:rsid w:val="007C4B9C"/>
    <w:rsid w:val="007C59AD"/>
    <w:rsid w:val="007C60DF"/>
    <w:rsid w:val="007C6887"/>
    <w:rsid w:val="007C6CD2"/>
    <w:rsid w:val="007C74B4"/>
    <w:rsid w:val="007C7628"/>
    <w:rsid w:val="007D1033"/>
    <w:rsid w:val="007D3181"/>
    <w:rsid w:val="007D59CD"/>
    <w:rsid w:val="007D5CD5"/>
    <w:rsid w:val="007D6967"/>
    <w:rsid w:val="007D69C2"/>
    <w:rsid w:val="007E2768"/>
    <w:rsid w:val="007E6348"/>
    <w:rsid w:val="007E7678"/>
    <w:rsid w:val="007E7854"/>
    <w:rsid w:val="007F09E1"/>
    <w:rsid w:val="007F1969"/>
    <w:rsid w:val="007F1E46"/>
    <w:rsid w:val="007F2251"/>
    <w:rsid w:val="007F2580"/>
    <w:rsid w:val="007F25C7"/>
    <w:rsid w:val="007F3FE7"/>
    <w:rsid w:val="007F4F96"/>
    <w:rsid w:val="007F5EE5"/>
    <w:rsid w:val="007F777B"/>
    <w:rsid w:val="007F7AD1"/>
    <w:rsid w:val="008000B6"/>
    <w:rsid w:val="00800BD6"/>
    <w:rsid w:val="00800E35"/>
    <w:rsid w:val="00800E5F"/>
    <w:rsid w:val="00800F76"/>
    <w:rsid w:val="008010AE"/>
    <w:rsid w:val="008011D6"/>
    <w:rsid w:val="008013C7"/>
    <w:rsid w:val="008028B0"/>
    <w:rsid w:val="008048D9"/>
    <w:rsid w:val="00804BFE"/>
    <w:rsid w:val="00805592"/>
    <w:rsid w:val="00807340"/>
    <w:rsid w:val="0080774E"/>
    <w:rsid w:val="00811C7B"/>
    <w:rsid w:val="008163BB"/>
    <w:rsid w:val="008168A8"/>
    <w:rsid w:val="00820049"/>
    <w:rsid w:val="00821AAF"/>
    <w:rsid w:val="008237F8"/>
    <w:rsid w:val="00824647"/>
    <w:rsid w:val="00825D03"/>
    <w:rsid w:val="008277D6"/>
    <w:rsid w:val="00827930"/>
    <w:rsid w:val="00832AD8"/>
    <w:rsid w:val="00840698"/>
    <w:rsid w:val="008413E0"/>
    <w:rsid w:val="00845145"/>
    <w:rsid w:val="0084516D"/>
    <w:rsid w:val="00846301"/>
    <w:rsid w:val="0084656D"/>
    <w:rsid w:val="00852F2B"/>
    <w:rsid w:val="008548A1"/>
    <w:rsid w:val="008548FC"/>
    <w:rsid w:val="00855004"/>
    <w:rsid w:val="00856CD4"/>
    <w:rsid w:val="00857C43"/>
    <w:rsid w:val="0086232E"/>
    <w:rsid w:val="0086268F"/>
    <w:rsid w:val="0086288F"/>
    <w:rsid w:val="0086295C"/>
    <w:rsid w:val="00862B01"/>
    <w:rsid w:val="0086347A"/>
    <w:rsid w:val="0086409C"/>
    <w:rsid w:val="008643E8"/>
    <w:rsid w:val="008649C0"/>
    <w:rsid w:val="00864B05"/>
    <w:rsid w:val="00865A0F"/>
    <w:rsid w:val="008660C5"/>
    <w:rsid w:val="008667F9"/>
    <w:rsid w:val="00866E80"/>
    <w:rsid w:val="00866EEB"/>
    <w:rsid w:val="00866F51"/>
    <w:rsid w:val="00867326"/>
    <w:rsid w:val="00870749"/>
    <w:rsid w:val="00870C13"/>
    <w:rsid w:val="008710FF"/>
    <w:rsid w:val="008722AA"/>
    <w:rsid w:val="00873BDD"/>
    <w:rsid w:val="00874B41"/>
    <w:rsid w:val="00874F46"/>
    <w:rsid w:val="00881E55"/>
    <w:rsid w:val="00883A3C"/>
    <w:rsid w:val="0088548E"/>
    <w:rsid w:val="00885D44"/>
    <w:rsid w:val="008877FE"/>
    <w:rsid w:val="00887BC2"/>
    <w:rsid w:val="00890003"/>
    <w:rsid w:val="00892E0D"/>
    <w:rsid w:val="00893319"/>
    <w:rsid w:val="00894AA4"/>
    <w:rsid w:val="00895B62"/>
    <w:rsid w:val="00896551"/>
    <w:rsid w:val="008971DD"/>
    <w:rsid w:val="00897327"/>
    <w:rsid w:val="00897AEF"/>
    <w:rsid w:val="008A1531"/>
    <w:rsid w:val="008A1556"/>
    <w:rsid w:val="008A1E2A"/>
    <w:rsid w:val="008A2BD9"/>
    <w:rsid w:val="008A33AD"/>
    <w:rsid w:val="008A3C0C"/>
    <w:rsid w:val="008A56CB"/>
    <w:rsid w:val="008A59D2"/>
    <w:rsid w:val="008A60B5"/>
    <w:rsid w:val="008A6A60"/>
    <w:rsid w:val="008B0AD5"/>
    <w:rsid w:val="008B13D8"/>
    <w:rsid w:val="008B41C2"/>
    <w:rsid w:val="008B5C42"/>
    <w:rsid w:val="008B5F72"/>
    <w:rsid w:val="008B7535"/>
    <w:rsid w:val="008B78E5"/>
    <w:rsid w:val="008B79E4"/>
    <w:rsid w:val="008C0B62"/>
    <w:rsid w:val="008C1A5B"/>
    <w:rsid w:val="008C1B9D"/>
    <w:rsid w:val="008C2922"/>
    <w:rsid w:val="008C38F1"/>
    <w:rsid w:val="008C58E1"/>
    <w:rsid w:val="008C5FDF"/>
    <w:rsid w:val="008C7291"/>
    <w:rsid w:val="008D17BA"/>
    <w:rsid w:val="008D1BE0"/>
    <w:rsid w:val="008D3A8A"/>
    <w:rsid w:val="008D5565"/>
    <w:rsid w:val="008D5B54"/>
    <w:rsid w:val="008D73C7"/>
    <w:rsid w:val="008E0618"/>
    <w:rsid w:val="008E0E87"/>
    <w:rsid w:val="008E1C68"/>
    <w:rsid w:val="008E336C"/>
    <w:rsid w:val="008E4709"/>
    <w:rsid w:val="008E4C40"/>
    <w:rsid w:val="008E69EF"/>
    <w:rsid w:val="008E6F07"/>
    <w:rsid w:val="008E7889"/>
    <w:rsid w:val="008E797B"/>
    <w:rsid w:val="008F039A"/>
    <w:rsid w:val="008F1097"/>
    <w:rsid w:val="008F10A1"/>
    <w:rsid w:val="008F1CB6"/>
    <w:rsid w:val="008F1F84"/>
    <w:rsid w:val="008F2FD0"/>
    <w:rsid w:val="008F33D9"/>
    <w:rsid w:val="008F594F"/>
    <w:rsid w:val="008F5995"/>
    <w:rsid w:val="008F61D5"/>
    <w:rsid w:val="008F6B05"/>
    <w:rsid w:val="008F7BA3"/>
    <w:rsid w:val="009019EB"/>
    <w:rsid w:val="00902789"/>
    <w:rsid w:val="0090292B"/>
    <w:rsid w:val="009030B0"/>
    <w:rsid w:val="00905103"/>
    <w:rsid w:val="00906323"/>
    <w:rsid w:val="00906632"/>
    <w:rsid w:val="00907D80"/>
    <w:rsid w:val="00912EBD"/>
    <w:rsid w:val="00912FC6"/>
    <w:rsid w:val="0091403B"/>
    <w:rsid w:val="00914CC5"/>
    <w:rsid w:val="009159E6"/>
    <w:rsid w:val="009175FF"/>
    <w:rsid w:val="00917B30"/>
    <w:rsid w:val="00917CF6"/>
    <w:rsid w:val="009212A0"/>
    <w:rsid w:val="00923C70"/>
    <w:rsid w:val="009250EC"/>
    <w:rsid w:val="00926193"/>
    <w:rsid w:val="009275D4"/>
    <w:rsid w:val="00930176"/>
    <w:rsid w:val="00932D58"/>
    <w:rsid w:val="009333B3"/>
    <w:rsid w:val="00935337"/>
    <w:rsid w:val="00935AFC"/>
    <w:rsid w:val="009367D8"/>
    <w:rsid w:val="009368EA"/>
    <w:rsid w:val="00936AC0"/>
    <w:rsid w:val="009417C4"/>
    <w:rsid w:val="00941E90"/>
    <w:rsid w:val="009431A2"/>
    <w:rsid w:val="00943896"/>
    <w:rsid w:val="00943EA9"/>
    <w:rsid w:val="00944630"/>
    <w:rsid w:val="00945D81"/>
    <w:rsid w:val="00945FFA"/>
    <w:rsid w:val="00946311"/>
    <w:rsid w:val="00946A86"/>
    <w:rsid w:val="00950568"/>
    <w:rsid w:val="00951E0F"/>
    <w:rsid w:val="009521F4"/>
    <w:rsid w:val="009524BB"/>
    <w:rsid w:val="00952814"/>
    <w:rsid w:val="00952E2D"/>
    <w:rsid w:val="00953258"/>
    <w:rsid w:val="00953C07"/>
    <w:rsid w:val="00955669"/>
    <w:rsid w:val="0095728B"/>
    <w:rsid w:val="00961F2C"/>
    <w:rsid w:val="00964074"/>
    <w:rsid w:val="009659CF"/>
    <w:rsid w:val="00966185"/>
    <w:rsid w:val="00966480"/>
    <w:rsid w:val="00967917"/>
    <w:rsid w:val="00970AFC"/>
    <w:rsid w:val="00970B8C"/>
    <w:rsid w:val="009711AB"/>
    <w:rsid w:val="0097192B"/>
    <w:rsid w:val="00972F05"/>
    <w:rsid w:val="009758D3"/>
    <w:rsid w:val="00977757"/>
    <w:rsid w:val="00977B46"/>
    <w:rsid w:val="00980EF1"/>
    <w:rsid w:val="0098113F"/>
    <w:rsid w:val="009816D9"/>
    <w:rsid w:val="009823A4"/>
    <w:rsid w:val="00985112"/>
    <w:rsid w:val="00990AC8"/>
    <w:rsid w:val="00990CE7"/>
    <w:rsid w:val="009919DC"/>
    <w:rsid w:val="00997A62"/>
    <w:rsid w:val="009A186A"/>
    <w:rsid w:val="009A2119"/>
    <w:rsid w:val="009A28DE"/>
    <w:rsid w:val="009A3081"/>
    <w:rsid w:val="009A3E8A"/>
    <w:rsid w:val="009A47DE"/>
    <w:rsid w:val="009A518E"/>
    <w:rsid w:val="009A5ECB"/>
    <w:rsid w:val="009A65F3"/>
    <w:rsid w:val="009A69D2"/>
    <w:rsid w:val="009B01C4"/>
    <w:rsid w:val="009B0739"/>
    <w:rsid w:val="009B0834"/>
    <w:rsid w:val="009B20CD"/>
    <w:rsid w:val="009B38D5"/>
    <w:rsid w:val="009B39BF"/>
    <w:rsid w:val="009B60AC"/>
    <w:rsid w:val="009B64D4"/>
    <w:rsid w:val="009B7085"/>
    <w:rsid w:val="009B76F8"/>
    <w:rsid w:val="009C1E46"/>
    <w:rsid w:val="009C51EA"/>
    <w:rsid w:val="009C5DA7"/>
    <w:rsid w:val="009C68C2"/>
    <w:rsid w:val="009D0B26"/>
    <w:rsid w:val="009D1BDE"/>
    <w:rsid w:val="009D2D52"/>
    <w:rsid w:val="009D375C"/>
    <w:rsid w:val="009D4901"/>
    <w:rsid w:val="009D6253"/>
    <w:rsid w:val="009D641C"/>
    <w:rsid w:val="009D691A"/>
    <w:rsid w:val="009D72F8"/>
    <w:rsid w:val="009D7FE8"/>
    <w:rsid w:val="009E19E9"/>
    <w:rsid w:val="009E2A09"/>
    <w:rsid w:val="009E2B68"/>
    <w:rsid w:val="009E2C0B"/>
    <w:rsid w:val="009E514D"/>
    <w:rsid w:val="009E6A42"/>
    <w:rsid w:val="009F0464"/>
    <w:rsid w:val="009F15AA"/>
    <w:rsid w:val="009F16B8"/>
    <w:rsid w:val="009F3688"/>
    <w:rsid w:val="009F5A5E"/>
    <w:rsid w:val="009F5B90"/>
    <w:rsid w:val="009F5F90"/>
    <w:rsid w:val="00A00DBC"/>
    <w:rsid w:val="00A01E6F"/>
    <w:rsid w:val="00A05C39"/>
    <w:rsid w:val="00A05F80"/>
    <w:rsid w:val="00A06ACD"/>
    <w:rsid w:val="00A07DA0"/>
    <w:rsid w:val="00A1029B"/>
    <w:rsid w:val="00A108E8"/>
    <w:rsid w:val="00A11FE2"/>
    <w:rsid w:val="00A148CC"/>
    <w:rsid w:val="00A14F15"/>
    <w:rsid w:val="00A17115"/>
    <w:rsid w:val="00A171B8"/>
    <w:rsid w:val="00A20439"/>
    <w:rsid w:val="00A20925"/>
    <w:rsid w:val="00A20CAA"/>
    <w:rsid w:val="00A21675"/>
    <w:rsid w:val="00A24503"/>
    <w:rsid w:val="00A24845"/>
    <w:rsid w:val="00A26BDE"/>
    <w:rsid w:val="00A26D8B"/>
    <w:rsid w:val="00A3154F"/>
    <w:rsid w:val="00A32A40"/>
    <w:rsid w:val="00A32E82"/>
    <w:rsid w:val="00A338F3"/>
    <w:rsid w:val="00A36882"/>
    <w:rsid w:val="00A36979"/>
    <w:rsid w:val="00A37061"/>
    <w:rsid w:val="00A37589"/>
    <w:rsid w:val="00A40632"/>
    <w:rsid w:val="00A40DB6"/>
    <w:rsid w:val="00A426BD"/>
    <w:rsid w:val="00A42B4E"/>
    <w:rsid w:val="00A4307F"/>
    <w:rsid w:val="00A4498A"/>
    <w:rsid w:val="00A453A9"/>
    <w:rsid w:val="00A45A20"/>
    <w:rsid w:val="00A46967"/>
    <w:rsid w:val="00A46FD8"/>
    <w:rsid w:val="00A4726E"/>
    <w:rsid w:val="00A5283D"/>
    <w:rsid w:val="00A5322C"/>
    <w:rsid w:val="00A550C3"/>
    <w:rsid w:val="00A5510A"/>
    <w:rsid w:val="00A55A48"/>
    <w:rsid w:val="00A565FF"/>
    <w:rsid w:val="00A5688E"/>
    <w:rsid w:val="00A568E7"/>
    <w:rsid w:val="00A56E2C"/>
    <w:rsid w:val="00A6276C"/>
    <w:rsid w:val="00A63A89"/>
    <w:rsid w:val="00A63D50"/>
    <w:rsid w:val="00A6407A"/>
    <w:rsid w:val="00A6445C"/>
    <w:rsid w:val="00A66C76"/>
    <w:rsid w:val="00A67699"/>
    <w:rsid w:val="00A72976"/>
    <w:rsid w:val="00A7497F"/>
    <w:rsid w:val="00A74ABE"/>
    <w:rsid w:val="00A75348"/>
    <w:rsid w:val="00A75A87"/>
    <w:rsid w:val="00A7666F"/>
    <w:rsid w:val="00A77540"/>
    <w:rsid w:val="00A80097"/>
    <w:rsid w:val="00A813DC"/>
    <w:rsid w:val="00A81499"/>
    <w:rsid w:val="00A84460"/>
    <w:rsid w:val="00A84932"/>
    <w:rsid w:val="00A8517D"/>
    <w:rsid w:val="00A85778"/>
    <w:rsid w:val="00A862E3"/>
    <w:rsid w:val="00A86740"/>
    <w:rsid w:val="00A86889"/>
    <w:rsid w:val="00A8697F"/>
    <w:rsid w:val="00A87C96"/>
    <w:rsid w:val="00A9222C"/>
    <w:rsid w:val="00A93F85"/>
    <w:rsid w:val="00A94F56"/>
    <w:rsid w:val="00A96D6E"/>
    <w:rsid w:val="00A9761D"/>
    <w:rsid w:val="00AA0475"/>
    <w:rsid w:val="00AA1C53"/>
    <w:rsid w:val="00AA2F4E"/>
    <w:rsid w:val="00AA393B"/>
    <w:rsid w:val="00AA3CB3"/>
    <w:rsid w:val="00AA63A5"/>
    <w:rsid w:val="00AA6B1E"/>
    <w:rsid w:val="00AA7165"/>
    <w:rsid w:val="00AA759D"/>
    <w:rsid w:val="00AB0FF7"/>
    <w:rsid w:val="00AB1E26"/>
    <w:rsid w:val="00AB2740"/>
    <w:rsid w:val="00AB478F"/>
    <w:rsid w:val="00AB4F5B"/>
    <w:rsid w:val="00AB63BF"/>
    <w:rsid w:val="00AB780A"/>
    <w:rsid w:val="00AB7A33"/>
    <w:rsid w:val="00AB7A8F"/>
    <w:rsid w:val="00AB7E26"/>
    <w:rsid w:val="00AC1A24"/>
    <w:rsid w:val="00AC2862"/>
    <w:rsid w:val="00AC2C8A"/>
    <w:rsid w:val="00AC2DE8"/>
    <w:rsid w:val="00AC31ED"/>
    <w:rsid w:val="00AC36BF"/>
    <w:rsid w:val="00AC3B03"/>
    <w:rsid w:val="00AC404C"/>
    <w:rsid w:val="00AC61C3"/>
    <w:rsid w:val="00AC73A4"/>
    <w:rsid w:val="00AD19EC"/>
    <w:rsid w:val="00AD2999"/>
    <w:rsid w:val="00AD31D2"/>
    <w:rsid w:val="00AD3F01"/>
    <w:rsid w:val="00AD49BA"/>
    <w:rsid w:val="00AD4C91"/>
    <w:rsid w:val="00AD7547"/>
    <w:rsid w:val="00AE0B2E"/>
    <w:rsid w:val="00AE22C5"/>
    <w:rsid w:val="00AE53E4"/>
    <w:rsid w:val="00AE657E"/>
    <w:rsid w:val="00AE768A"/>
    <w:rsid w:val="00AF2AA3"/>
    <w:rsid w:val="00AF4AB2"/>
    <w:rsid w:val="00AF4E96"/>
    <w:rsid w:val="00AF706B"/>
    <w:rsid w:val="00AF7FB9"/>
    <w:rsid w:val="00B006A4"/>
    <w:rsid w:val="00B007D7"/>
    <w:rsid w:val="00B00D42"/>
    <w:rsid w:val="00B00EB5"/>
    <w:rsid w:val="00B037D5"/>
    <w:rsid w:val="00B06472"/>
    <w:rsid w:val="00B06831"/>
    <w:rsid w:val="00B100D6"/>
    <w:rsid w:val="00B10115"/>
    <w:rsid w:val="00B10B5D"/>
    <w:rsid w:val="00B10EDB"/>
    <w:rsid w:val="00B11963"/>
    <w:rsid w:val="00B12065"/>
    <w:rsid w:val="00B126CD"/>
    <w:rsid w:val="00B12838"/>
    <w:rsid w:val="00B1518D"/>
    <w:rsid w:val="00B21287"/>
    <w:rsid w:val="00B23557"/>
    <w:rsid w:val="00B26604"/>
    <w:rsid w:val="00B268A9"/>
    <w:rsid w:val="00B303BD"/>
    <w:rsid w:val="00B31DF8"/>
    <w:rsid w:val="00B320F5"/>
    <w:rsid w:val="00B32F74"/>
    <w:rsid w:val="00B34947"/>
    <w:rsid w:val="00B35796"/>
    <w:rsid w:val="00B370AB"/>
    <w:rsid w:val="00B40E80"/>
    <w:rsid w:val="00B445F0"/>
    <w:rsid w:val="00B44E4F"/>
    <w:rsid w:val="00B46A91"/>
    <w:rsid w:val="00B47384"/>
    <w:rsid w:val="00B502EE"/>
    <w:rsid w:val="00B511AA"/>
    <w:rsid w:val="00B51229"/>
    <w:rsid w:val="00B515B6"/>
    <w:rsid w:val="00B53295"/>
    <w:rsid w:val="00B53D7D"/>
    <w:rsid w:val="00B5405A"/>
    <w:rsid w:val="00B54170"/>
    <w:rsid w:val="00B542A7"/>
    <w:rsid w:val="00B54D14"/>
    <w:rsid w:val="00B61470"/>
    <w:rsid w:val="00B61D11"/>
    <w:rsid w:val="00B63B03"/>
    <w:rsid w:val="00B6462C"/>
    <w:rsid w:val="00B66232"/>
    <w:rsid w:val="00B6734D"/>
    <w:rsid w:val="00B67995"/>
    <w:rsid w:val="00B702A6"/>
    <w:rsid w:val="00B70D19"/>
    <w:rsid w:val="00B726DA"/>
    <w:rsid w:val="00B759BD"/>
    <w:rsid w:val="00B75B3B"/>
    <w:rsid w:val="00B76392"/>
    <w:rsid w:val="00B7658C"/>
    <w:rsid w:val="00B76D85"/>
    <w:rsid w:val="00B76EBD"/>
    <w:rsid w:val="00B7785F"/>
    <w:rsid w:val="00B81629"/>
    <w:rsid w:val="00B81B48"/>
    <w:rsid w:val="00B8295E"/>
    <w:rsid w:val="00B835FF"/>
    <w:rsid w:val="00B86491"/>
    <w:rsid w:val="00B86F9E"/>
    <w:rsid w:val="00B87C96"/>
    <w:rsid w:val="00B9114A"/>
    <w:rsid w:val="00B93731"/>
    <w:rsid w:val="00B9568B"/>
    <w:rsid w:val="00B96328"/>
    <w:rsid w:val="00B97923"/>
    <w:rsid w:val="00B97C72"/>
    <w:rsid w:val="00BA32DF"/>
    <w:rsid w:val="00BA4523"/>
    <w:rsid w:val="00BA4F1A"/>
    <w:rsid w:val="00BA575E"/>
    <w:rsid w:val="00BA5DCD"/>
    <w:rsid w:val="00BA772B"/>
    <w:rsid w:val="00BA7BC8"/>
    <w:rsid w:val="00BB0113"/>
    <w:rsid w:val="00BB0E5B"/>
    <w:rsid w:val="00BB0FDF"/>
    <w:rsid w:val="00BB10C3"/>
    <w:rsid w:val="00BB42DC"/>
    <w:rsid w:val="00BB50B2"/>
    <w:rsid w:val="00BB6C1D"/>
    <w:rsid w:val="00BC34DF"/>
    <w:rsid w:val="00BC4041"/>
    <w:rsid w:val="00BC55A2"/>
    <w:rsid w:val="00BC6902"/>
    <w:rsid w:val="00BC7920"/>
    <w:rsid w:val="00BD02C4"/>
    <w:rsid w:val="00BD0940"/>
    <w:rsid w:val="00BD2E0D"/>
    <w:rsid w:val="00BD2EB6"/>
    <w:rsid w:val="00BD392F"/>
    <w:rsid w:val="00BD3C65"/>
    <w:rsid w:val="00BD4AB8"/>
    <w:rsid w:val="00BD75C4"/>
    <w:rsid w:val="00BE368A"/>
    <w:rsid w:val="00BE52B1"/>
    <w:rsid w:val="00BE56AC"/>
    <w:rsid w:val="00BE6E0F"/>
    <w:rsid w:val="00BE710B"/>
    <w:rsid w:val="00BE7750"/>
    <w:rsid w:val="00BF0154"/>
    <w:rsid w:val="00BF1A20"/>
    <w:rsid w:val="00BF2092"/>
    <w:rsid w:val="00BF22D0"/>
    <w:rsid w:val="00BF43E1"/>
    <w:rsid w:val="00BF50AE"/>
    <w:rsid w:val="00BF5335"/>
    <w:rsid w:val="00BF5EA2"/>
    <w:rsid w:val="00C0083B"/>
    <w:rsid w:val="00C01716"/>
    <w:rsid w:val="00C03426"/>
    <w:rsid w:val="00C057D3"/>
    <w:rsid w:val="00C07711"/>
    <w:rsid w:val="00C11CD2"/>
    <w:rsid w:val="00C147C0"/>
    <w:rsid w:val="00C17418"/>
    <w:rsid w:val="00C179F8"/>
    <w:rsid w:val="00C17EFB"/>
    <w:rsid w:val="00C20C46"/>
    <w:rsid w:val="00C219E4"/>
    <w:rsid w:val="00C322DC"/>
    <w:rsid w:val="00C324C0"/>
    <w:rsid w:val="00C40B5B"/>
    <w:rsid w:val="00C41EC6"/>
    <w:rsid w:val="00C453FD"/>
    <w:rsid w:val="00C46D1C"/>
    <w:rsid w:val="00C50FE2"/>
    <w:rsid w:val="00C51021"/>
    <w:rsid w:val="00C52552"/>
    <w:rsid w:val="00C52A6E"/>
    <w:rsid w:val="00C53B4A"/>
    <w:rsid w:val="00C54AF2"/>
    <w:rsid w:val="00C54AF4"/>
    <w:rsid w:val="00C5638B"/>
    <w:rsid w:val="00C57FF1"/>
    <w:rsid w:val="00C60642"/>
    <w:rsid w:val="00C608F8"/>
    <w:rsid w:val="00C61919"/>
    <w:rsid w:val="00C647D0"/>
    <w:rsid w:val="00C657FB"/>
    <w:rsid w:val="00C658C9"/>
    <w:rsid w:val="00C668A8"/>
    <w:rsid w:val="00C66BD4"/>
    <w:rsid w:val="00C66F5D"/>
    <w:rsid w:val="00C71966"/>
    <w:rsid w:val="00C7462C"/>
    <w:rsid w:val="00C75B7E"/>
    <w:rsid w:val="00C76661"/>
    <w:rsid w:val="00C7680B"/>
    <w:rsid w:val="00C76E86"/>
    <w:rsid w:val="00C775B7"/>
    <w:rsid w:val="00C775F1"/>
    <w:rsid w:val="00C77ECB"/>
    <w:rsid w:val="00C80934"/>
    <w:rsid w:val="00C809D2"/>
    <w:rsid w:val="00C81D43"/>
    <w:rsid w:val="00C82E21"/>
    <w:rsid w:val="00C858EC"/>
    <w:rsid w:val="00C879CA"/>
    <w:rsid w:val="00C90476"/>
    <w:rsid w:val="00C90E96"/>
    <w:rsid w:val="00C91328"/>
    <w:rsid w:val="00C9578E"/>
    <w:rsid w:val="00C957EF"/>
    <w:rsid w:val="00C97816"/>
    <w:rsid w:val="00CA06E6"/>
    <w:rsid w:val="00CA07F1"/>
    <w:rsid w:val="00CA2DD6"/>
    <w:rsid w:val="00CA3A4A"/>
    <w:rsid w:val="00CA5031"/>
    <w:rsid w:val="00CB44F2"/>
    <w:rsid w:val="00CB5019"/>
    <w:rsid w:val="00CB6FD6"/>
    <w:rsid w:val="00CB70EB"/>
    <w:rsid w:val="00CB7609"/>
    <w:rsid w:val="00CC006B"/>
    <w:rsid w:val="00CC11E3"/>
    <w:rsid w:val="00CC225C"/>
    <w:rsid w:val="00CC271E"/>
    <w:rsid w:val="00CC35E5"/>
    <w:rsid w:val="00CC48CF"/>
    <w:rsid w:val="00CC4C23"/>
    <w:rsid w:val="00CC4CFE"/>
    <w:rsid w:val="00CC5EA2"/>
    <w:rsid w:val="00CC60B0"/>
    <w:rsid w:val="00CC7253"/>
    <w:rsid w:val="00CD0DEC"/>
    <w:rsid w:val="00CD1DE4"/>
    <w:rsid w:val="00CD33C7"/>
    <w:rsid w:val="00CD4CD8"/>
    <w:rsid w:val="00CD5210"/>
    <w:rsid w:val="00CD6908"/>
    <w:rsid w:val="00CD74BA"/>
    <w:rsid w:val="00CD7874"/>
    <w:rsid w:val="00CE2D64"/>
    <w:rsid w:val="00CE3E52"/>
    <w:rsid w:val="00CE48D0"/>
    <w:rsid w:val="00CE5963"/>
    <w:rsid w:val="00CE5B20"/>
    <w:rsid w:val="00CE7B31"/>
    <w:rsid w:val="00CF1C0C"/>
    <w:rsid w:val="00CF4EB2"/>
    <w:rsid w:val="00CF4F20"/>
    <w:rsid w:val="00CF5FB7"/>
    <w:rsid w:val="00CF62A8"/>
    <w:rsid w:val="00D0203A"/>
    <w:rsid w:val="00D03785"/>
    <w:rsid w:val="00D057C9"/>
    <w:rsid w:val="00D06247"/>
    <w:rsid w:val="00D0665B"/>
    <w:rsid w:val="00D0766C"/>
    <w:rsid w:val="00D077A1"/>
    <w:rsid w:val="00D10773"/>
    <w:rsid w:val="00D1113A"/>
    <w:rsid w:val="00D11F1B"/>
    <w:rsid w:val="00D12C2E"/>
    <w:rsid w:val="00D161E1"/>
    <w:rsid w:val="00D174AE"/>
    <w:rsid w:val="00D17C39"/>
    <w:rsid w:val="00D20127"/>
    <w:rsid w:val="00D2119B"/>
    <w:rsid w:val="00D22CD3"/>
    <w:rsid w:val="00D23542"/>
    <w:rsid w:val="00D24B0F"/>
    <w:rsid w:val="00D24F66"/>
    <w:rsid w:val="00D259C0"/>
    <w:rsid w:val="00D259EF"/>
    <w:rsid w:val="00D25CD8"/>
    <w:rsid w:val="00D25D1F"/>
    <w:rsid w:val="00D266F6"/>
    <w:rsid w:val="00D26856"/>
    <w:rsid w:val="00D30998"/>
    <w:rsid w:val="00D30B48"/>
    <w:rsid w:val="00D30EA3"/>
    <w:rsid w:val="00D31630"/>
    <w:rsid w:val="00D323E0"/>
    <w:rsid w:val="00D32C64"/>
    <w:rsid w:val="00D335CE"/>
    <w:rsid w:val="00D338F6"/>
    <w:rsid w:val="00D347F4"/>
    <w:rsid w:val="00D35A01"/>
    <w:rsid w:val="00D42001"/>
    <w:rsid w:val="00D422CD"/>
    <w:rsid w:val="00D42481"/>
    <w:rsid w:val="00D43B25"/>
    <w:rsid w:val="00D4440C"/>
    <w:rsid w:val="00D46945"/>
    <w:rsid w:val="00D46A70"/>
    <w:rsid w:val="00D50697"/>
    <w:rsid w:val="00D508CB"/>
    <w:rsid w:val="00D51C49"/>
    <w:rsid w:val="00D52B89"/>
    <w:rsid w:val="00D5358F"/>
    <w:rsid w:val="00D5430A"/>
    <w:rsid w:val="00D54B5C"/>
    <w:rsid w:val="00D55346"/>
    <w:rsid w:val="00D55C5F"/>
    <w:rsid w:val="00D56ADF"/>
    <w:rsid w:val="00D57874"/>
    <w:rsid w:val="00D612C4"/>
    <w:rsid w:val="00D62A34"/>
    <w:rsid w:val="00D6361A"/>
    <w:rsid w:val="00D6613B"/>
    <w:rsid w:val="00D6632F"/>
    <w:rsid w:val="00D67089"/>
    <w:rsid w:val="00D672A9"/>
    <w:rsid w:val="00D67D4C"/>
    <w:rsid w:val="00D67F15"/>
    <w:rsid w:val="00D71454"/>
    <w:rsid w:val="00D72028"/>
    <w:rsid w:val="00D743A6"/>
    <w:rsid w:val="00D7481C"/>
    <w:rsid w:val="00D7538F"/>
    <w:rsid w:val="00D75712"/>
    <w:rsid w:val="00D76399"/>
    <w:rsid w:val="00D80CFB"/>
    <w:rsid w:val="00D8265D"/>
    <w:rsid w:val="00D827E3"/>
    <w:rsid w:val="00D82864"/>
    <w:rsid w:val="00D832C0"/>
    <w:rsid w:val="00D84463"/>
    <w:rsid w:val="00D848E1"/>
    <w:rsid w:val="00D85C44"/>
    <w:rsid w:val="00D860E1"/>
    <w:rsid w:val="00D87023"/>
    <w:rsid w:val="00D90238"/>
    <w:rsid w:val="00D92A9E"/>
    <w:rsid w:val="00D92F24"/>
    <w:rsid w:val="00D9322F"/>
    <w:rsid w:val="00D94595"/>
    <w:rsid w:val="00D9485A"/>
    <w:rsid w:val="00D94C88"/>
    <w:rsid w:val="00D95119"/>
    <w:rsid w:val="00D96FB3"/>
    <w:rsid w:val="00D97305"/>
    <w:rsid w:val="00DA14E4"/>
    <w:rsid w:val="00DA1EA0"/>
    <w:rsid w:val="00DA270D"/>
    <w:rsid w:val="00DA33F7"/>
    <w:rsid w:val="00DA6C41"/>
    <w:rsid w:val="00DA6C76"/>
    <w:rsid w:val="00DA7AAE"/>
    <w:rsid w:val="00DB10A6"/>
    <w:rsid w:val="00DB11D9"/>
    <w:rsid w:val="00DB2E33"/>
    <w:rsid w:val="00DB3435"/>
    <w:rsid w:val="00DB3C44"/>
    <w:rsid w:val="00DB4297"/>
    <w:rsid w:val="00DB4594"/>
    <w:rsid w:val="00DB4DD4"/>
    <w:rsid w:val="00DB59AB"/>
    <w:rsid w:val="00DB64DD"/>
    <w:rsid w:val="00DB65A1"/>
    <w:rsid w:val="00DB67EF"/>
    <w:rsid w:val="00DC0D21"/>
    <w:rsid w:val="00DC17E4"/>
    <w:rsid w:val="00DC1D36"/>
    <w:rsid w:val="00DC254B"/>
    <w:rsid w:val="00DC2F2D"/>
    <w:rsid w:val="00DC2FF4"/>
    <w:rsid w:val="00DC37D9"/>
    <w:rsid w:val="00DC40B0"/>
    <w:rsid w:val="00DC4381"/>
    <w:rsid w:val="00DC4660"/>
    <w:rsid w:val="00DD0296"/>
    <w:rsid w:val="00DD0AD2"/>
    <w:rsid w:val="00DD0B19"/>
    <w:rsid w:val="00DD37F8"/>
    <w:rsid w:val="00DD3DAC"/>
    <w:rsid w:val="00DD461A"/>
    <w:rsid w:val="00DD566B"/>
    <w:rsid w:val="00DD6FE1"/>
    <w:rsid w:val="00DE1E7E"/>
    <w:rsid w:val="00DE3983"/>
    <w:rsid w:val="00DE3BE9"/>
    <w:rsid w:val="00DE42E3"/>
    <w:rsid w:val="00DE4DDC"/>
    <w:rsid w:val="00DE50BB"/>
    <w:rsid w:val="00DE59D6"/>
    <w:rsid w:val="00DE672D"/>
    <w:rsid w:val="00DE6797"/>
    <w:rsid w:val="00DE6C6B"/>
    <w:rsid w:val="00DE7C61"/>
    <w:rsid w:val="00DF08EC"/>
    <w:rsid w:val="00DF13EE"/>
    <w:rsid w:val="00DF2A52"/>
    <w:rsid w:val="00DF3893"/>
    <w:rsid w:val="00DF476E"/>
    <w:rsid w:val="00DF4A3E"/>
    <w:rsid w:val="00DF4D5C"/>
    <w:rsid w:val="00DF4F91"/>
    <w:rsid w:val="00DF6A0A"/>
    <w:rsid w:val="00DF6BE2"/>
    <w:rsid w:val="00E0093D"/>
    <w:rsid w:val="00E00992"/>
    <w:rsid w:val="00E00B04"/>
    <w:rsid w:val="00E0677F"/>
    <w:rsid w:val="00E100EE"/>
    <w:rsid w:val="00E1013D"/>
    <w:rsid w:val="00E10F98"/>
    <w:rsid w:val="00E1162E"/>
    <w:rsid w:val="00E13C97"/>
    <w:rsid w:val="00E16155"/>
    <w:rsid w:val="00E16E8F"/>
    <w:rsid w:val="00E17963"/>
    <w:rsid w:val="00E2008A"/>
    <w:rsid w:val="00E20CC2"/>
    <w:rsid w:val="00E21DFF"/>
    <w:rsid w:val="00E223C9"/>
    <w:rsid w:val="00E2415E"/>
    <w:rsid w:val="00E24720"/>
    <w:rsid w:val="00E2524F"/>
    <w:rsid w:val="00E26FD9"/>
    <w:rsid w:val="00E30A6D"/>
    <w:rsid w:val="00E31481"/>
    <w:rsid w:val="00E32CC8"/>
    <w:rsid w:val="00E335C8"/>
    <w:rsid w:val="00E33A04"/>
    <w:rsid w:val="00E37DB0"/>
    <w:rsid w:val="00E40160"/>
    <w:rsid w:val="00E4018E"/>
    <w:rsid w:val="00E41DC1"/>
    <w:rsid w:val="00E428EB"/>
    <w:rsid w:val="00E431E4"/>
    <w:rsid w:val="00E4509D"/>
    <w:rsid w:val="00E47AD9"/>
    <w:rsid w:val="00E52083"/>
    <w:rsid w:val="00E520D6"/>
    <w:rsid w:val="00E532BA"/>
    <w:rsid w:val="00E54341"/>
    <w:rsid w:val="00E560F4"/>
    <w:rsid w:val="00E57173"/>
    <w:rsid w:val="00E57849"/>
    <w:rsid w:val="00E57C15"/>
    <w:rsid w:val="00E61EFE"/>
    <w:rsid w:val="00E63231"/>
    <w:rsid w:val="00E64801"/>
    <w:rsid w:val="00E65863"/>
    <w:rsid w:val="00E67F36"/>
    <w:rsid w:val="00E72FAB"/>
    <w:rsid w:val="00E80579"/>
    <w:rsid w:val="00E80D1B"/>
    <w:rsid w:val="00E827C0"/>
    <w:rsid w:val="00E8291C"/>
    <w:rsid w:val="00E8315F"/>
    <w:rsid w:val="00E83C51"/>
    <w:rsid w:val="00E83E73"/>
    <w:rsid w:val="00E842A4"/>
    <w:rsid w:val="00E842AB"/>
    <w:rsid w:val="00E85268"/>
    <w:rsid w:val="00E85415"/>
    <w:rsid w:val="00E85C09"/>
    <w:rsid w:val="00E85E02"/>
    <w:rsid w:val="00E8666B"/>
    <w:rsid w:val="00E908AD"/>
    <w:rsid w:val="00E91398"/>
    <w:rsid w:val="00E9447B"/>
    <w:rsid w:val="00E960EB"/>
    <w:rsid w:val="00E97DE6"/>
    <w:rsid w:val="00EA0AA5"/>
    <w:rsid w:val="00EA109D"/>
    <w:rsid w:val="00EA20A6"/>
    <w:rsid w:val="00EA2A84"/>
    <w:rsid w:val="00EA2BDC"/>
    <w:rsid w:val="00EA2D19"/>
    <w:rsid w:val="00EA316B"/>
    <w:rsid w:val="00EA42F6"/>
    <w:rsid w:val="00EB03B7"/>
    <w:rsid w:val="00EB0F03"/>
    <w:rsid w:val="00EB11D4"/>
    <w:rsid w:val="00EB17CB"/>
    <w:rsid w:val="00EB2C5D"/>
    <w:rsid w:val="00EB2C79"/>
    <w:rsid w:val="00EB33D7"/>
    <w:rsid w:val="00EB3DD2"/>
    <w:rsid w:val="00EB7FDB"/>
    <w:rsid w:val="00EC01E4"/>
    <w:rsid w:val="00EC0548"/>
    <w:rsid w:val="00EC0A32"/>
    <w:rsid w:val="00EC263A"/>
    <w:rsid w:val="00EC3FF5"/>
    <w:rsid w:val="00EC6491"/>
    <w:rsid w:val="00EC6C6C"/>
    <w:rsid w:val="00EC70F1"/>
    <w:rsid w:val="00ED550E"/>
    <w:rsid w:val="00ED5D34"/>
    <w:rsid w:val="00ED6284"/>
    <w:rsid w:val="00ED6EDF"/>
    <w:rsid w:val="00ED7ABB"/>
    <w:rsid w:val="00ED7E0C"/>
    <w:rsid w:val="00EE0272"/>
    <w:rsid w:val="00EE1E2D"/>
    <w:rsid w:val="00EE28C5"/>
    <w:rsid w:val="00EE51C2"/>
    <w:rsid w:val="00EE592D"/>
    <w:rsid w:val="00EE64A9"/>
    <w:rsid w:val="00EE67FE"/>
    <w:rsid w:val="00EE6861"/>
    <w:rsid w:val="00EE6B1B"/>
    <w:rsid w:val="00EE6F8F"/>
    <w:rsid w:val="00EE7953"/>
    <w:rsid w:val="00EF0617"/>
    <w:rsid w:val="00EF1873"/>
    <w:rsid w:val="00EF418E"/>
    <w:rsid w:val="00EF4771"/>
    <w:rsid w:val="00EF4D0A"/>
    <w:rsid w:val="00EF5285"/>
    <w:rsid w:val="00EF5D0C"/>
    <w:rsid w:val="00EF5D9D"/>
    <w:rsid w:val="00EF68D0"/>
    <w:rsid w:val="00F00096"/>
    <w:rsid w:val="00F0025D"/>
    <w:rsid w:val="00F02645"/>
    <w:rsid w:val="00F03087"/>
    <w:rsid w:val="00F03772"/>
    <w:rsid w:val="00F04A78"/>
    <w:rsid w:val="00F04BE4"/>
    <w:rsid w:val="00F075AD"/>
    <w:rsid w:val="00F07D2A"/>
    <w:rsid w:val="00F111F3"/>
    <w:rsid w:val="00F13195"/>
    <w:rsid w:val="00F13AE7"/>
    <w:rsid w:val="00F14670"/>
    <w:rsid w:val="00F15334"/>
    <w:rsid w:val="00F169FA"/>
    <w:rsid w:val="00F17210"/>
    <w:rsid w:val="00F2143F"/>
    <w:rsid w:val="00F2273E"/>
    <w:rsid w:val="00F23E23"/>
    <w:rsid w:val="00F242A2"/>
    <w:rsid w:val="00F25FC2"/>
    <w:rsid w:val="00F26732"/>
    <w:rsid w:val="00F2767A"/>
    <w:rsid w:val="00F27C1E"/>
    <w:rsid w:val="00F27CB4"/>
    <w:rsid w:val="00F31547"/>
    <w:rsid w:val="00F31A97"/>
    <w:rsid w:val="00F32D78"/>
    <w:rsid w:val="00F3308B"/>
    <w:rsid w:val="00F33D16"/>
    <w:rsid w:val="00F33D35"/>
    <w:rsid w:val="00F34B0F"/>
    <w:rsid w:val="00F34DE0"/>
    <w:rsid w:val="00F34F15"/>
    <w:rsid w:val="00F3556B"/>
    <w:rsid w:val="00F370CB"/>
    <w:rsid w:val="00F37220"/>
    <w:rsid w:val="00F3743E"/>
    <w:rsid w:val="00F37904"/>
    <w:rsid w:val="00F40E5A"/>
    <w:rsid w:val="00F40EEA"/>
    <w:rsid w:val="00F40F2D"/>
    <w:rsid w:val="00F41AAE"/>
    <w:rsid w:val="00F423F6"/>
    <w:rsid w:val="00F4446B"/>
    <w:rsid w:val="00F44E64"/>
    <w:rsid w:val="00F45647"/>
    <w:rsid w:val="00F47DD9"/>
    <w:rsid w:val="00F501C1"/>
    <w:rsid w:val="00F55C31"/>
    <w:rsid w:val="00F55EC2"/>
    <w:rsid w:val="00F5672D"/>
    <w:rsid w:val="00F570E6"/>
    <w:rsid w:val="00F576C7"/>
    <w:rsid w:val="00F60E13"/>
    <w:rsid w:val="00F62DAB"/>
    <w:rsid w:val="00F642E4"/>
    <w:rsid w:val="00F65647"/>
    <w:rsid w:val="00F6628F"/>
    <w:rsid w:val="00F66B8A"/>
    <w:rsid w:val="00F6713B"/>
    <w:rsid w:val="00F71B4A"/>
    <w:rsid w:val="00F76110"/>
    <w:rsid w:val="00F761DD"/>
    <w:rsid w:val="00F76439"/>
    <w:rsid w:val="00F808F1"/>
    <w:rsid w:val="00F80AB4"/>
    <w:rsid w:val="00F80B4B"/>
    <w:rsid w:val="00F81547"/>
    <w:rsid w:val="00F82791"/>
    <w:rsid w:val="00F82E8F"/>
    <w:rsid w:val="00F8389D"/>
    <w:rsid w:val="00F847CB"/>
    <w:rsid w:val="00F852BD"/>
    <w:rsid w:val="00F85304"/>
    <w:rsid w:val="00F85D98"/>
    <w:rsid w:val="00F86DB7"/>
    <w:rsid w:val="00F87231"/>
    <w:rsid w:val="00F90032"/>
    <w:rsid w:val="00F921EE"/>
    <w:rsid w:val="00F9252F"/>
    <w:rsid w:val="00F926D7"/>
    <w:rsid w:val="00F93389"/>
    <w:rsid w:val="00F94A0F"/>
    <w:rsid w:val="00F95E08"/>
    <w:rsid w:val="00F96154"/>
    <w:rsid w:val="00F96165"/>
    <w:rsid w:val="00F97FC2"/>
    <w:rsid w:val="00FA0228"/>
    <w:rsid w:val="00FA0679"/>
    <w:rsid w:val="00FA19D1"/>
    <w:rsid w:val="00FA24F1"/>
    <w:rsid w:val="00FA3FB3"/>
    <w:rsid w:val="00FA589C"/>
    <w:rsid w:val="00FB112E"/>
    <w:rsid w:val="00FB1391"/>
    <w:rsid w:val="00FB14BA"/>
    <w:rsid w:val="00FB2419"/>
    <w:rsid w:val="00FB27BF"/>
    <w:rsid w:val="00FB39D9"/>
    <w:rsid w:val="00FB3CE8"/>
    <w:rsid w:val="00FB407D"/>
    <w:rsid w:val="00FB5A0F"/>
    <w:rsid w:val="00FB62D5"/>
    <w:rsid w:val="00FB79EC"/>
    <w:rsid w:val="00FC1153"/>
    <w:rsid w:val="00FC26F6"/>
    <w:rsid w:val="00FC4119"/>
    <w:rsid w:val="00FC4A8F"/>
    <w:rsid w:val="00FC797D"/>
    <w:rsid w:val="00FD2204"/>
    <w:rsid w:val="00FD2A2C"/>
    <w:rsid w:val="00FD34AB"/>
    <w:rsid w:val="00FD3531"/>
    <w:rsid w:val="00FD3B25"/>
    <w:rsid w:val="00FD3DAB"/>
    <w:rsid w:val="00FD40E3"/>
    <w:rsid w:val="00FD4453"/>
    <w:rsid w:val="00FD4626"/>
    <w:rsid w:val="00FD754B"/>
    <w:rsid w:val="00FD7714"/>
    <w:rsid w:val="00FE1CB8"/>
    <w:rsid w:val="00FE4096"/>
    <w:rsid w:val="00FE5D00"/>
    <w:rsid w:val="00FE5FD7"/>
    <w:rsid w:val="00FE60F5"/>
    <w:rsid w:val="00FE65DB"/>
    <w:rsid w:val="00FE6832"/>
    <w:rsid w:val="00FE6F51"/>
    <w:rsid w:val="00FF0471"/>
    <w:rsid w:val="00FF1422"/>
    <w:rsid w:val="00FF50CB"/>
    <w:rsid w:val="00FF573B"/>
    <w:rsid w:val="00FF6771"/>
    <w:rsid w:val="00FF7224"/>
    <w:rsid w:val="00FF79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14:docId w14:val="7AB05FB1"/>
  <w15:docId w15:val="{13F93401-49DF-44B1-BF81-0B2E8E20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867"/>
    <w:rPr>
      <w:sz w:val="24"/>
      <w:szCs w:val="24"/>
    </w:rPr>
  </w:style>
  <w:style w:type="paragraph" w:styleId="Heading1">
    <w:name w:val="heading 1"/>
    <w:basedOn w:val="Normal"/>
    <w:next w:val="Normal"/>
    <w:qFormat/>
    <w:rsid w:val="00D0766C"/>
    <w:pPr>
      <w:keepNext/>
      <w:outlineLvl w:val="0"/>
    </w:pPr>
    <w:rPr>
      <w:b/>
      <w:i/>
      <w:sz w:val="28"/>
      <w:szCs w:val="20"/>
    </w:rPr>
  </w:style>
  <w:style w:type="paragraph" w:styleId="Heading2">
    <w:name w:val="heading 2"/>
    <w:basedOn w:val="Normal"/>
    <w:next w:val="Normal"/>
    <w:qFormat/>
    <w:rsid w:val="00D0766C"/>
    <w:pPr>
      <w:keepNext/>
      <w:outlineLvl w:val="1"/>
    </w:pPr>
    <w:rPr>
      <w:b/>
      <w:i/>
      <w:szCs w:val="20"/>
    </w:rPr>
  </w:style>
  <w:style w:type="paragraph" w:styleId="Heading3">
    <w:name w:val="heading 3"/>
    <w:basedOn w:val="Normal"/>
    <w:next w:val="Normal"/>
    <w:qFormat/>
    <w:rsid w:val="00D0766C"/>
    <w:pPr>
      <w:keepNext/>
      <w:spacing w:before="240" w:after="60"/>
      <w:outlineLvl w:val="2"/>
    </w:pPr>
    <w:rPr>
      <w:rFonts w:cs="Arial"/>
      <w:b/>
      <w:bCs/>
      <w:i/>
      <w:szCs w:val="26"/>
    </w:rPr>
  </w:style>
  <w:style w:type="paragraph" w:styleId="Heading4">
    <w:name w:val="heading 4"/>
    <w:basedOn w:val="Normal"/>
    <w:next w:val="Normal"/>
    <w:qFormat/>
    <w:rsid w:val="00D0766C"/>
    <w:pPr>
      <w:keepNext/>
      <w:spacing w:before="120" w:after="60"/>
      <w:outlineLvl w:val="3"/>
    </w:pPr>
    <w:rPr>
      <w:bCs/>
      <w:i/>
      <w:sz w:val="20"/>
      <w:szCs w:val="28"/>
    </w:rPr>
  </w:style>
  <w:style w:type="paragraph" w:styleId="Heading5">
    <w:name w:val="heading 5"/>
    <w:basedOn w:val="Normal"/>
    <w:next w:val="Normal"/>
    <w:autoRedefine/>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sid w:val="001C67A6"/>
    <w:rPr>
      <w:rFonts w:eastAsia="HelveticaL-Book"/>
      <w:b/>
      <w:i w:val="0"/>
      <w:iCs/>
      <w:sz w:val="24"/>
    </w:rPr>
  </w:style>
  <w:style w:type="paragraph" w:customStyle="1" w:styleId="Style6">
    <w:name w:val="Style6"/>
    <w:basedOn w:val="Heading4"/>
    <w:autoRedefine/>
    <w:rsid w:val="00014889"/>
    <w:rPr>
      <w:b/>
    </w:rPr>
  </w:style>
  <w:style w:type="paragraph" w:customStyle="1" w:styleId="Style7">
    <w:name w:val="Style7"/>
    <w:basedOn w:val="Heading4"/>
    <w:autoRedefine/>
    <w:rsid w:val="00014889"/>
    <w:rPr>
      <w:b/>
    </w:rPr>
  </w:style>
  <w:style w:type="paragraph" w:customStyle="1" w:styleId="Style8">
    <w:name w:val="Style8"/>
    <w:basedOn w:val="Heading3"/>
    <w:autoRedefine/>
    <w:rsid w:val="00014889"/>
    <w:rPr>
      <w:i w:val="0"/>
      <w:sz w:val="28"/>
    </w:rPr>
  </w:style>
  <w:style w:type="paragraph" w:customStyle="1" w:styleId="Virsraksts1">
    <w:name w:val="Virsraksts 1"/>
    <w:rsid w:val="00DC1D36"/>
    <w:rPr>
      <w:b/>
      <w:i/>
      <w:sz w:val="24"/>
      <w:szCs w:val="28"/>
    </w:rPr>
  </w:style>
  <w:style w:type="paragraph" w:customStyle="1" w:styleId="Virsraksts2">
    <w:name w:val="Virsraksts 2"/>
    <w:rsid w:val="00DC1D36"/>
    <w:rPr>
      <w:b/>
      <w:i/>
      <w:sz w:val="22"/>
      <w:szCs w:val="28"/>
    </w:rPr>
  </w:style>
  <w:style w:type="paragraph" w:customStyle="1" w:styleId="Virsraksts3">
    <w:name w:val="Virsraksts 3"/>
    <w:basedOn w:val="Heading4"/>
    <w:rsid w:val="00DC1D36"/>
    <w:rPr>
      <w:b/>
    </w:rPr>
  </w:style>
  <w:style w:type="paragraph" w:customStyle="1" w:styleId="Style1">
    <w:name w:val="Style1"/>
    <w:basedOn w:val="Heading2"/>
    <w:rsid w:val="005805BC"/>
    <w:pPr>
      <w:jc w:val="both"/>
    </w:pPr>
    <w:rPr>
      <w:bCs/>
      <w:i w:val="0"/>
      <w:iCs/>
    </w:rPr>
  </w:style>
  <w:style w:type="paragraph" w:customStyle="1" w:styleId="VirsrakstsU">
    <w:name w:val="Virsraksts U"/>
    <w:basedOn w:val="Heading2"/>
    <w:rsid w:val="005805BC"/>
    <w:rPr>
      <w:bCs/>
      <w:i w:val="0"/>
      <w:iCs/>
    </w:rPr>
  </w:style>
  <w:style w:type="table" w:styleId="TableGrid">
    <w:name w:val="Table Grid"/>
    <w:basedOn w:val="TableNormal"/>
    <w:rsid w:val="00B7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76D85"/>
    <w:pPr>
      <w:spacing w:before="75" w:after="75"/>
    </w:pPr>
  </w:style>
  <w:style w:type="paragraph" w:styleId="Header">
    <w:name w:val="header"/>
    <w:basedOn w:val="Normal"/>
    <w:link w:val="HeaderChar"/>
    <w:rsid w:val="00194614"/>
    <w:pPr>
      <w:tabs>
        <w:tab w:val="center" w:pos="4153"/>
        <w:tab w:val="right" w:pos="8306"/>
      </w:tabs>
    </w:pPr>
  </w:style>
  <w:style w:type="character" w:styleId="PageNumber">
    <w:name w:val="page number"/>
    <w:basedOn w:val="DefaultParagraphFont"/>
    <w:rsid w:val="00194614"/>
  </w:style>
  <w:style w:type="paragraph" w:styleId="Footer">
    <w:name w:val="footer"/>
    <w:basedOn w:val="Normal"/>
    <w:link w:val="FooterChar"/>
    <w:rsid w:val="00194614"/>
    <w:pPr>
      <w:tabs>
        <w:tab w:val="center" w:pos="4153"/>
        <w:tab w:val="right" w:pos="8306"/>
      </w:tabs>
    </w:pPr>
  </w:style>
  <w:style w:type="character" w:customStyle="1" w:styleId="FooterChar">
    <w:name w:val="Footer Char"/>
    <w:link w:val="Footer"/>
    <w:semiHidden/>
    <w:locked/>
    <w:rsid w:val="00194614"/>
    <w:rPr>
      <w:sz w:val="24"/>
      <w:szCs w:val="24"/>
      <w:lang w:val="lv-LV" w:eastAsia="lv-LV" w:bidi="ar-SA"/>
    </w:rPr>
  </w:style>
  <w:style w:type="paragraph" w:customStyle="1" w:styleId="naisnod">
    <w:name w:val="naisnod"/>
    <w:basedOn w:val="Normal"/>
    <w:rsid w:val="00043389"/>
    <w:pPr>
      <w:spacing w:before="150" w:after="150"/>
      <w:jc w:val="center"/>
    </w:pPr>
    <w:rPr>
      <w:b/>
      <w:bCs/>
    </w:rPr>
  </w:style>
  <w:style w:type="paragraph" w:customStyle="1" w:styleId="naisf">
    <w:name w:val="naisf"/>
    <w:basedOn w:val="Normal"/>
    <w:rsid w:val="003B629D"/>
    <w:pPr>
      <w:spacing w:before="75" w:after="75"/>
      <w:ind w:firstLine="375"/>
      <w:jc w:val="both"/>
    </w:pPr>
  </w:style>
  <w:style w:type="paragraph" w:styleId="Subtitle">
    <w:name w:val="Subtitle"/>
    <w:basedOn w:val="Normal"/>
    <w:qFormat/>
    <w:rsid w:val="003B629D"/>
    <w:pPr>
      <w:jc w:val="center"/>
    </w:pPr>
    <w:rPr>
      <w:b/>
      <w:szCs w:val="20"/>
    </w:rPr>
  </w:style>
  <w:style w:type="character" w:customStyle="1" w:styleId="HeaderChar">
    <w:name w:val="Header Char"/>
    <w:link w:val="Header"/>
    <w:semiHidden/>
    <w:locked/>
    <w:rsid w:val="00273F99"/>
    <w:rPr>
      <w:sz w:val="24"/>
      <w:szCs w:val="24"/>
      <w:lang w:val="lv-LV" w:eastAsia="lv-LV" w:bidi="ar-SA"/>
    </w:rPr>
  </w:style>
  <w:style w:type="paragraph" w:styleId="BalloonText">
    <w:name w:val="Balloon Text"/>
    <w:basedOn w:val="Normal"/>
    <w:semiHidden/>
    <w:rsid w:val="00252213"/>
    <w:rPr>
      <w:rFonts w:ascii="Tahoma" w:hAnsi="Tahoma" w:cs="Tahoma"/>
      <w:sz w:val="16"/>
      <w:szCs w:val="16"/>
    </w:rPr>
  </w:style>
  <w:style w:type="paragraph" w:styleId="CommentText">
    <w:name w:val="annotation text"/>
    <w:basedOn w:val="Normal"/>
    <w:link w:val="CommentTextChar"/>
    <w:uiPriority w:val="99"/>
    <w:semiHidden/>
    <w:rsid w:val="00DB4594"/>
    <w:rPr>
      <w:sz w:val="20"/>
      <w:szCs w:val="20"/>
    </w:rPr>
  </w:style>
  <w:style w:type="character" w:customStyle="1" w:styleId="CommentTextChar">
    <w:name w:val="Comment Text Char"/>
    <w:link w:val="CommentText"/>
    <w:uiPriority w:val="99"/>
    <w:semiHidden/>
    <w:rsid w:val="00DB4594"/>
    <w:rPr>
      <w:lang w:val="lv-LV" w:eastAsia="lv-LV" w:bidi="ar-SA"/>
    </w:rPr>
  </w:style>
  <w:style w:type="paragraph" w:customStyle="1" w:styleId="CharChar7">
    <w:name w:val="Char Char7"/>
    <w:basedOn w:val="Normal"/>
    <w:rsid w:val="003819E0"/>
    <w:pPr>
      <w:spacing w:after="160" w:line="240" w:lineRule="exact"/>
    </w:pPr>
    <w:rPr>
      <w:rFonts w:ascii="Tahoma" w:hAnsi="Tahoma" w:cs="Tahoma"/>
      <w:sz w:val="20"/>
      <w:szCs w:val="20"/>
      <w:lang w:val="en-US" w:eastAsia="en-US"/>
    </w:rPr>
  </w:style>
  <w:style w:type="character" w:styleId="Hyperlink">
    <w:name w:val="Hyperlink"/>
    <w:uiPriority w:val="99"/>
    <w:unhideWhenUsed/>
    <w:rsid w:val="00A14F15"/>
    <w:rPr>
      <w:color w:val="0000FF"/>
      <w:u w:val="single"/>
    </w:rPr>
  </w:style>
  <w:style w:type="paragraph" w:styleId="NormalWeb">
    <w:name w:val="Normal (Web)"/>
    <w:basedOn w:val="Normal"/>
    <w:uiPriority w:val="99"/>
    <w:rsid w:val="00F2273E"/>
    <w:pPr>
      <w:suppressAutoHyphens/>
      <w:spacing w:before="280" w:after="280"/>
    </w:pPr>
    <w:rPr>
      <w:lang w:eastAsia="ar-SA"/>
    </w:rPr>
  </w:style>
  <w:style w:type="character" w:styleId="CommentReference">
    <w:name w:val="annotation reference"/>
    <w:uiPriority w:val="99"/>
    <w:rsid w:val="0098113F"/>
    <w:rPr>
      <w:sz w:val="16"/>
      <w:szCs w:val="16"/>
    </w:rPr>
  </w:style>
  <w:style w:type="paragraph" w:styleId="CommentSubject">
    <w:name w:val="annotation subject"/>
    <w:basedOn w:val="CommentText"/>
    <w:next w:val="CommentText"/>
    <w:link w:val="CommentSubjectChar"/>
    <w:rsid w:val="0098113F"/>
    <w:rPr>
      <w:b/>
      <w:bCs/>
    </w:rPr>
  </w:style>
  <w:style w:type="character" w:customStyle="1" w:styleId="CommentSubjectChar">
    <w:name w:val="Comment Subject Char"/>
    <w:link w:val="CommentSubject"/>
    <w:rsid w:val="0098113F"/>
    <w:rPr>
      <w:b/>
      <w:bCs/>
      <w:lang w:val="lv-LV" w:eastAsia="lv-LV" w:bidi="ar-SA"/>
    </w:rPr>
  </w:style>
  <w:style w:type="character" w:styleId="Strong">
    <w:name w:val="Strong"/>
    <w:uiPriority w:val="99"/>
    <w:qFormat/>
    <w:rsid w:val="00827930"/>
    <w:rPr>
      <w:rFonts w:cs="Times New Roman"/>
      <w:b/>
    </w:rPr>
  </w:style>
  <w:style w:type="paragraph" w:styleId="ListParagraph">
    <w:name w:val="List Paragraph"/>
    <w:basedOn w:val="Normal"/>
    <w:uiPriority w:val="34"/>
    <w:qFormat/>
    <w:rsid w:val="007827C4"/>
    <w:pPr>
      <w:spacing w:after="200" w:line="276" w:lineRule="auto"/>
      <w:ind w:left="720"/>
      <w:contextualSpacing/>
    </w:pPr>
    <w:rPr>
      <w:rFonts w:ascii="Calibri" w:eastAsia="Calibri" w:hAnsi="Calibri"/>
      <w:sz w:val="22"/>
      <w:szCs w:val="22"/>
      <w:lang w:eastAsia="en-US"/>
    </w:rPr>
  </w:style>
  <w:style w:type="paragraph" w:customStyle="1" w:styleId="tv213">
    <w:name w:val="tv213"/>
    <w:basedOn w:val="Normal"/>
    <w:rsid w:val="007F25C7"/>
    <w:pPr>
      <w:spacing w:before="100" w:beforeAutospacing="1" w:after="100" w:afterAutospacing="1"/>
    </w:pPr>
  </w:style>
  <w:style w:type="character" w:styleId="IntenseEmphasis">
    <w:name w:val="Intense Emphasis"/>
    <w:qFormat/>
    <w:rsid w:val="009159E6"/>
    <w:rPr>
      <w:b/>
      <w:bCs/>
      <w:i/>
      <w:iCs/>
      <w:color w:val="4F81BD"/>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762A81"/>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sid w:val="00762A81"/>
    <w:rPr>
      <w:lang w:eastAsia="en-US"/>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E,E FNZ"/>
    <w:uiPriority w:val="99"/>
    <w:rsid w:val="00762A81"/>
    <w:rPr>
      <w:rFonts w:ascii="Times New Roman" w:hAnsi="Times New Roman"/>
      <w:vertAlign w:val="superscript"/>
    </w:rPr>
  </w:style>
  <w:style w:type="paragraph" w:styleId="PlainText">
    <w:name w:val="Plain Text"/>
    <w:basedOn w:val="Normal"/>
    <w:link w:val="PlainTextChar"/>
    <w:uiPriority w:val="99"/>
    <w:unhideWhenUsed/>
    <w:rsid w:val="004551D6"/>
    <w:rPr>
      <w:rFonts w:ascii="Consolas" w:hAnsi="Consolas"/>
      <w:sz w:val="21"/>
      <w:szCs w:val="21"/>
    </w:rPr>
  </w:style>
  <w:style w:type="character" w:customStyle="1" w:styleId="PlainTextChar">
    <w:name w:val="Plain Text Char"/>
    <w:link w:val="PlainText"/>
    <w:uiPriority w:val="99"/>
    <w:rsid w:val="004551D6"/>
    <w:rPr>
      <w:rFonts w:ascii="Consolas" w:hAnsi="Consolas"/>
      <w:sz w:val="21"/>
      <w:szCs w:val="21"/>
    </w:rPr>
  </w:style>
  <w:style w:type="character" w:styleId="Emphasis">
    <w:name w:val="Emphasis"/>
    <w:basedOn w:val="DefaultParagraphFont"/>
    <w:qFormat/>
    <w:rsid w:val="008000B6"/>
    <w:rPr>
      <w:i/>
      <w:iCs/>
    </w:rPr>
  </w:style>
  <w:style w:type="paragraph" w:styleId="Revision">
    <w:name w:val="Revision"/>
    <w:hidden/>
    <w:uiPriority w:val="99"/>
    <w:semiHidden/>
    <w:rsid w:val="00D42481"/>
    <w:rPr>
      <w:sz w:val="24"/>
      <w:szCs w:val="24"/>
    </w:rPr>
  </w:style>
  <w:style w:type="paragraph" w:styleId="EndnoteText">
    <w:name w:val="endnote text"/>
    <w:basedOn w:val="Normal"/>
    <w:link w:val="EndnoteTextChar"/>
    <w:semiHidden/>
    <w:unhideWhenUsed/>
    <w:rsid w:val="00E61EFE"/>
    <w:rPr>
      <w:sz w:val="20"/>
      <w:szCs w:val="20"/>
    </w:rPr>
  </w:style>
  <w:style w:type="character" w:customStyle="1" w:styleId="EndnoteTextChar">
    <w:name w:val="Endnote Text Char"/>
    <w:basedOn w:val="DefaultParagraphFont"/>
    <w:link w:val="EndnoteText"/>
    <w:semiHidden/>
    <w:rsid w:val="00E61EFE"/>
  </w:style>
  <w:style w:type="character" w:styleId="EndnoteReference">
    <w:name w:val="endnote reference"/>
    <w:basedOn w:val="DefaultParagraphFont"/>
    <w:semiHidden/>
    <w:unhideWhenUsed/>
    <w:rsid w:val="00E61E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21363">
      <w:bodyDiv w:val="1"/>
      <w:marLeft w:val="0"/>
      <w:marRight w:val="0"/>
      <w:marTop w:val="0"/>
      <w:marBottom w:val="0"/>
      <w:divBdr>
        <w:top w:val="none" w:sz="0" w:space="0" w:color="auto"/>
        <w:left w:val="none" w:sz="0" w:space="0" w:color="auto"/>
        <w:bottom w:val="none" w:sz="0" w:space="0" w:color="auto"/>
        <w:right w:val="none" w:sz="0" w:space="0" w:color="auto"/>
      </w:divBdr>
    </w:div>
    <w:div w:id="198662835">
      <w:bodyDiv w:val="1"/>
      <w:marLeft w:val="0"/>
      <w:marRight w:val="0"/>
      <w:marTop w:val="0"/>
      <w:marBottom w:val="0"/>
      <w:divBdr>
        <w:top w:val="none" w:sz="0" w:space="0" w:color="auto"/>
        <w:left w:val="none" w:sz="0" w:space="0" w:color="auto"/>
        <w:bottom w:val="none" w:sz="0" w:space="0" w:color="auto"/>
        <w:right w:val="none" w:sz="0" w:space="0" w:color="auto"/>
      </w:divBdr>
    </w:div>
    <w:div w:id="415323209">
      <w:bodyDiv w:val="1"/>
      <w:marLeft w:val="0"/>
      <w:marRight w:val="0"/>
      <w:marTop w:val="0"/>
      <w:marBottom w:val="0"/>
      <w:divBdr>
        <w:top w:val="none" w:sz="0" w:space="0" w:color="auto"/>
        <w:left w:val="none" w:sz="0" w:space="0" w:color="auto"/>
        <w:bottom w:val="none" w:sz="0" w:space="0" w:color="auto"/>
        <w:right w:val="none" w:sz="0" w:space="0" w:color="auto"/>
      </w:divBdr>
    </w:div>
    <w:div w:id="561525063">
      <w:bodyDiv w:val="1"/>
      <w:marLeft w:val="0"/>
      <w:marRight w:val="0"/>
      <w:marTop w:val="0"/>
      <w:marBottom w:val="0"/>
      <w:divBdr>
        <w:top w:val="none" w:sz="0" w:space="0" w:color="auto"/>
        <w:left w:val="none" w:sz="0" w:space="0" w:color="auto"/>
        <w:bottom w:val="none" w:sz="0" w:space="0" w:color="auto"/>
        <w:right w:val="none" w:sz="0" w:space="0" w:color="auto"/>
      </w:divBdr>
      <w:divsChild>
        <w:div w:id="102657926">
          <w:marLeft w:val="547"/>
          <w:marRight w:val="0"/>
          <w:marTop w:val="96"/>
          <w:marBottom w:val="0"/>
          <w:divBdr>
            <w:top w:val="none" w:sz="0" w:space="0" w:color="auto"/>
            <w:left w:val="none" w:sz="0" w:space="0" w:color="auto"/>
            <w:bottom w:val="none" w:sz="0" w:space="0" w:color="auto"/>
            <w:right w:val="none" w:sz="0" w:space="0" w:color="auto"/>
          </w:divBdr>
        </w:div>
        <w:div w:id="333186894">
          <w:marLeft w:val="1123"/>
          <w:marRight w:val="0"/>
          <w:marTop w:val="96"/>
          <w:marBottom w:val="0"/>
          <w:divBdr>
            <w:top w:val="none" w:sz="0" w:space="0" w:color="auto"/>
            <w:left w:val="none" w:sz="0" w:space="0" w:color="auto"/>
            <w:bottom w:val="none" w:sz="0" w:space="0" w:color="auto"/>
            <w:right w:val="none" w:sz="0" w:space="0" w:color="auto"/>
          </w:divBdr>
        </w:div>
        <w:div w:id="749692483">
          <w:marLeft w:val="547"/>
          <w:marRight w:val="0"/>
          <w:marTop w:val="96"/>
          <w:marBottom w:val="0"/>
          <w:divBdr>
            <w:top w:val="none" w:sz="0" w:space="0" w:color="auto"/>
            <w:left w:val="none" w:sz="0" w:space="0" w:color="auto"/>
            <w:bottom w:val="none" w:sz="0" w:space="0" w:color="auto"/>
            <w:right w:val="none" w:sz="0" w:space="0" w:color="auto"/>
          </w:divBdr>
        </w:div>
        <w:div w:id="1218974282">
          <w:marLeft w:val="1123"/>
          <w:marRight w:val="0"/>
          <w:marTop w:val="96"/>
          <w:marBottom w:val="0"/>
          <w:divBdr>
            <w:top w:val="none" w:sz="0" w:space="0" w:color="auto"/>
            <w:left w:val="none" w:sz="0" w:space="0" w:color="auto"/>
            <w:bottom w:val="none" w:sz="0" w:space="0" w:color="auto"/>
            <w:right w:val="none" w:sz="0" w:space="0" w:color="auto"/>
          </w:divBdr>
        </w:div>
        <w:div w:id="1726834429">
          <w:marLeft w:val="547"/>
          <w:marRight w:val="0"/>
          <w:marTop w:val="96"/>
          <w:marBottom w:val="0"/>
          <w:divBdr>
            <w:top w:val="none" w:sz="0" w:space="0" w:color="auto"/>
            <w:left w:val="none" w:sz="0" w:space="0" w:color="auto"/>
            <w:bottom w:val="none" w:sz="0" w:space="0" w:color="auto"/>
            <w:right w:val="none" w:sz="0" w:space="0" w:color="auto"/>
          </w:divBdr>
        </w:div>
      </w:divsChild>
    </w:div>
    <w:div w:id="612515773">
      <w:bodyDiv w:val="1"/>
      <w:marLeft w:val="0"/>
      <w:marRight w:val="0"/>
      <w:marTop w:val="0"/>
      <w:marBottom w:val="0"/>
      <w:divBdr>
        <w:top w:val="none" w:sz="0" w:space="0" w:color="auto"/>
        <w:left w:val="none" w:sz="0" w:space="0" w:color="auto"/>
        <w:bottom w:val="none" w:sz="0" w:space="0" w:color="auto"/>
        <w:right w:val="none" w:sz="0" w:space="0" w:color="auto"/>
      </w:divBdr>
    </w:div>
    <w:div w:id="854928349">
      <w:bodyDiv w:val="1"/>
      <w:marLeft w:val="0"/>
      <w:marRight w:val="0"/>
      <w:marTop w:val="0"/>
      <w:marBottom w:val="0"/>
      <w:divBdr>
        <w:top w:val="none" w:sz="0" w:space="0" w:color="auto"/>
        <w:left w:val="none" w:sz="0" w:space="0" w:color="auto"/>
        <w:bottom w:val="none" w:sz="0" w:space="0" w:color="auto"/>
        <w:right w:val="none" w:sz="0" w:space="0" w:color="auto"/>
      </w:divBdr>
    </w:div>
    <w:div w:id="882134404">
      <w:bodyDiv w:val="1"/>
      <w:marLeft w:val="0"/>
      <w:marRight w:val="0"/>
      <w:marTop w:val="0"/>
      <w:marBottom w:val="0"/>
      <w:divBdr>
        <w:top w:val="none" w:sz="0" w:space="0" w:color="auto"/>
        <w:left w:val="none" w:sz="0" w:space="0" w:color="auto"/>
        <w:bottom w:val="none" w:sz="0" w:space="0" w:color="auto"/>
        <w:right w:val="none" w:sz="0" w:space="0" w:color="auto"/>
      </w:divBdr>
    </w:div>
    <w:div w:id="1017268073">
      <w:bodyDiv w:val="1"/>
      <w:marLeft w:val="0"/>
      <w:marRight w:val="0"/>
      <w:marTop w:val="0"/>
      <w:marBottom w:val="0"/>
      <w:divBdr>
        <w:top w:val="none" w:sz="0" w:space="0" w:color="auto"/>
        <w:left w:val="none" w:sz="0" w:space="0" w:color="auto"/>
        <w:bottom w:val="none" w:sz="0" w:space="0" w:color="auto"/>
        <w:right w:val="none" w:sz="0" w:space="0" w:color="auto"/>
      </w:divBdr>
    </w:div>
    <w:div w:id="1073746443">
      <w:bodyDiv w:val="1"/>
      <w:marLeft w:val="0"/>
      <w:marRight w:val="0"/>
      <w:marTop w:val="0"/>
      <w:marBottom w:val="0"/>
      <w:divBdr>
        <w:top w:val="none" w:sz="0" w:space="0" w:color="auto"/>
        <w:left w:val="none" w:sz="0" w:space="0" w:color="auto"/>
        <w:bottom w:val="none" w:sz="0" w:space="0" w:color="auto"/>
        <w:right w:val="none" w:sz="0" w:space="0" w:color="auto"/>
      </w:divBdr>
    </w:div>
    <w:div w:id="1129275530">
      <w:bodyDiv w:val="1"/>
      <w:marLeft w:val="0"/>
      <w:marRight w:val="0"/>
      <w:marTop w:val="0"/>
      <w:marBottom w:val="0"/>
      <w:divBdr>
        <w:top w:val="none" w:sz="0" w:space="0" w:color="auto"/>
        <w:left w:val="none" w:sz="0" w:space="0" w:color="auto"/>
        <w:bottom w:val="none" w:sz="0" w:space="0" w:color="auto"/>
        <w:right w:val="none" w:sz="0" w:space="0" w:color="auto"/>
      </w:divBdr>
    </w:div>
    <w:div w:id="1251428871">
      <w:bodyDiv w:val="1"/>
      <w:marLeft w:val="0"/>
      <w:marRight w:val="0"/>
      <w:marTop w:val="0"/>
      <w:marBottom w:val="0"/>
      <w:divBdr>
        <w:top w:val="none" w:sz="0" w:space="0" w:color="auto"/>
        <w:left w:val="none" w:sz="0" w:space="0" w:color="auto"/>
        <w:bottom w:val="none" w:sz="0" w:space="0" w:color="auto"/>
        <w:right w:val="none" w:sz="0" w:space="0" w:color="auto"/>
      </w:divBdr>
      <w:divsChild>
        <w:div w:id="2122218296">
          <w:marLeft w:val="0"/>
          <w:marRight w:val="0"/>
          <w:marTop w:val="0"/>
          <w:marBottom w:val="0"/>
          <w:divBdr>
            <w:top w:val="none" w:sz="0" w:space="0" w:color="auto"/>
            <w:left w:val="none" w:sz="0" w:space="0" w:color="auto"/>
            <w:bottom w:val="none" w:sz="0" w:space="0" w:color="auto"/>
            <w:right w:val="none" w:sz="0" w:space="0" w:color="auto"/>
          </w:divBdr>
          <w:divsChild>
            <w:div w:id="551981">
              <w:marLeft w:val="0"/>
              <w:marRight w:val="0"/>
              <w:marTop w:val="0"/>
              <w:marBottom w:val="0"/>
              <w:divBdr>
                <w:top w:val="none" w:sz="0" w:space="0" w:color="auto"/>
                <w:left w:val="none" w:sz="0" w:space="0" w:color="auto"/>
                <w:bottom w:val="none" w:sz="0" w:space="0" w:color="auto"/>
                <w:right w:val="none" w:sz="0" w:space="0" w:color="auto"/>
              </w:divBdr>
            </w:div>
            <w:div w:id="28648373">
              <w:marLeft w:val="0"/>
              <w:marRight w:val="0"/>
              <w:marTop w:val="0"/>
              <w:marBottom w:val="0"/>
              <w:divBdr>
                <w:top w:val="none" w:sz="0" w:space="0" w:color="auto"/>
                <w:left w:val="none" w:sz="0" w:space="0" w:color="auto"/>
                <w:bottom w:val="none" w:sz="0" w:space="0" w:color="auto"/>
                <w:right w:val="none" w:sz="0" w:space="0" w:color="auto"/>
              </w:divBdr>
            </w:div>
            <w:div w:id="103111601">
              <w:marLeft w:val="0"/>
              <w:marRight w:val="0"/>
              <w:marTop w:val="0"/>
              <w:marBottom w:val="0"/>
              <w:divBdr>
                <w:top w:val="none" w:sz="0" w:space="0" w:color="auto"/>
                <w:left w:val="none" w:sz="0" w:space="0" w:color="auto"/>
                <w:bottom w:val="none" w:sz="0" w:space="0" w:color="auto"/>
                <w:right w:val="none" w:sz="0" w:space="0" w:color="auto"/>
              </w:divBdr>
            </w:div>
            <w:div w:id="194121985">
              <w:marLeft w:val="0"/>
              <w:marRight w:val="0"/>
              <w:marTop w:val="0"/>
              <w:marBottom w:val="0"/>
              <w:divBdr>
                <w:top w:val="none" w:sz="0" w:space="0" w:color="auto"/>
                <w:left w:val="none" w:sz="0" w:space="0" w:color="auto"/>
                <w:bottom w:val="none" w:sz="0" w:space="0" w:color="auto"/>
                <w:right w:val="none" w:sz="0" w:space="0" w:color="auto"/>
              </w:divBdr>
            </w:div>
            <w:div w:id="307366942">
              <w:marLeft w:val="0"/>
              <w:marRight w:val="0"/>
              <w:marTop w:val="0"/>
              <w:marBottom w:val="0"/>
              <w:divBdr>
                <w:top w:val="none" w:sz="0" w:space="0" w:color="auto"/>
                <w:left w:val="none" w:sz="0" w:space="0" w:color="auto"/>
                <w:bottom w:val="none" w:sz="0" w:space="0" w:color="auto"/>
                <w:right w:val="none" w:sz="0" w:space="0" w:color="auto"/>
              </w:divBdr>
            </w:div>
            <w:div w:id="312492845">
              <w:marLeft w:val="0"/>
              <w:marRight w:val="0"/>
              <w:marTop w:val="0"/>
              <w:marBottom w:val="0"/>
              <w:divBdr>
                <w:top w:val="none" w:sz="0" w:space="0" w:color="auto"/>
                <w:left w:val="none" w:sz="0" w:space="0" w:color="auto"/>
                <w:bottom w:val="none" w:sz="0" w:space="0" w:color="auto"/>
                <w:right w:val="none" w:sz="0" w:space="0" w:color="auto"/>
              </w:divBdr>
            </w:div>
            <w:div w:id="312948987">
              <w:marLeft w:val="0"/>
              <w:marRight w:val="0"/>
              <w:marTop w:val="0"/>
              <w:marBottom w:val="0"/>
              <w:divBdr>
                <w:top w:val="none" w:sz="0" w:space="0" w:color="auto"/>
                <w:left w:val="none" w:sz="0" w:space="0" w:color="auto"/>
                <w:bottom w:val="none" w:sz="0" w:space="0" w:color="auto"/>
                <w:right w:val="none" w:sz="0" w:space="0" w:color="auto"/>
              </w:divBdr>
            </w:div>
            <w:div w:id="325742387">
              <w:marLeft w:val="0"/>
              <w:marRight w:val="0"/>
              <w:marTop w:val="0"/>
              <w:marBottom w:val="0"/>
              <w:divBdr>
                <w:top w:val="none" w:sz="0" w:space="0" w:color="auto"/>
                <w:left w:val="none" w:sz="0" w:space="0" w:color="auto"/>
                <w:bottom w:val="none" w:sz="0" w:space="0" w:color="auto"/>
                <w:right w:val="none" w:sz="0" w:space="0" w:color="auto"/>
              </w:divBdr>
            </w:div>
            <w:div w:id="814685042">
              <w:marLeft w:val="0"/>
              <w:marRight w:val="0"/>
              <w:marTop w:val="0"/>
              <w:marBottom w:val="0"/>
              <w:divBdr>
                <w:top w:val="none" w:sz="0" w:space="0" w:color="auto"/>
                <w:left w:val="none" w:sz="0" w:space="0" w:color="auto"/>
                <w:bottom w:val="none" w:sz="0" w:space="0" w:color="auto"/>
                <w:right w:val="none" w:sz="0" w:space="0" w:color="auto"/>
              </w:divBdr>
            </w:div>
            <w:div w:id="1052657638">
              <w:marLeft w:val="0"/>
              <w:marRight w:val="0"/>
              <w:marTop w:val="0"/>
              <w:marBottom w:val="0"/>
              <w:divBdr>
                <w:top w:val="none" w:sz="0" w:space="0" w:color="auto"/>
                <w:left w:val="none" w:sz="0" w:space="0" w:color="auto"/>
                <w:bottom w:val="none" w:sz="0" w:space="0" w:color="auto"/>
                <w:right w:val="none" w:sz="0" w:space="0" w:color="auto"/>
              </w:divBdr>
            </w:div>
            <w:div w:id="1155342187">
              <w:marLeft w:val="0"/>
              <w:marRight w:val="0"/>
              <w:marTop w:val="0"/>
              <w:marBottom w:val="0"/>
              <w:divBdr>
                <w:top w:val="none" w:sz="0" w:space="0" w:color="auto"/>
                <w:left w:val="none" w:sz="0" w:space="0" w:color="auto"/>
                <w:bottom w:val="none" w:sz="0" w:space="0" w:color="auto"/>
                <w:right w:val="none" w:sz="0" w:space="0" w:color="auto"/>
              </w:divBdr>
            </w:div>
            <w:div w:id="1228149871">
              <w:marLeft w:val="0"/>
              <w:marRight w:val="0"/>
              <w:marTop w:val="0"/>
              <w:marBottom w:val="0"/>
              <w:divBdr>
                <w:top w:val="none" w:sz="0" w:space="0" w:color="auto"/>
                <w:left w:val="none" w:sz="0" w:space="0" w:color="auto"/>
                <w:bottom w:val="none" w:sz="0" w:space="0" w:color="auto"/>
                <w:right w:val="none" w:sz="0" w:space="0" w:color="auto"/>
              </w:divBdr>
            </w:div>
            <w:div w:id="1314993199">
              <w:marLeft w:val="0"/>
              <w:marRight w:val="0"/>
              <w:marTop w:val="0"/>
              <w:marBottom w:val="0"/>
              <w:divBdr>
                <w:top w:val="none" w:sz="0" w:space="0" w:color="auto"/>
                <w:left w:val="none" w:sz="0" w:space="0" w:color="auto"/>
                <w:bottom w:val="none" w:sz="0" w:space="0" w:color="auto"/>
                <w:right w:val="none" w:sz="0" w:space="0" w:color="auto"/>
              </w:divBdr>
            </w:div>
            <w:div w:id="1372996544">
              <w:marLeft w:val="0"/>
              <w:marRight w:val="0"/>
              <w:marTop w:val="0"/>
              <w:marBottom w:val="0"/>
              <w:divBdr>
                <w:top w:val="none" w:sz="0" w:space="0" w:color="auto"/>
                <w:left w:val="none" w:sz="0" w:space="0" w:color="auto"/>
                <w:bottom w:val="none" w:sz="0" w:space="0" w:color="auto"/>
                <w:right w:val="none" w:sz="0" w:space="0" w:color="auto"/>
              </w:divBdr>
            </w:div>
            <w:div w:id="1589076903">
              <w:marLeft w:val="0"/>
              <w:marRight w:val="0"/>
              <w:marTop w:val="0"/>
              <w:marBottom w:val="0"/>
              <w:divBdr>
                <w:top w:val="none" w:sz="0" w:space="0" w:color="auto"/>
                <w:left w:val="none" w:sz="0" w:space="0" w:color="auto"/>
                <w:bottom w:val="none" w:sz="0" w:space="0" w:color="auto"/>
                <w:right w:val="none" w:sz="0" w:space="0" w:color="auto"/>
              </w:divBdr>
            </w:div>
            <w:div w:id="1616670982">
              <w:marLeft w:val="0"/>
              <w:marRight w:val="0"/>
              <w:marTop w:val="0"/>
              <w:marBottom w:val="0"/>
              <w:divBdr>
                <w:top w:val="none" w:sz="0" w:space="0" w:color="auto"/>
                <w:left w:val="none" w:sz="0" w:space="0" w:color="auto"/>
                <w:bottom w:val="none" w:sz="0" w:space="0" w:color="auto"/>
                <w:right w:val="none" w:sz="0" w:space="0" w:color="auto"/>
              </w:divBdr>
            </w:div>
            <w:div w:id="1667631006">
              <w:marLeft w:val="0"/>
              <w:marRight w:val="0"/>
              <w:marTop w:val="0"/>
              <w:marBottom w:val="0"/>
              <w:divBdr>
                <w:top w:val="none" w:sz="0" w:space="0" w:color="auto"/>
                <w:left w:val="none" w:sz="0" w:space="0" w:color="auto"/>
                <w:bottom w:val="none" w:sz="0" w:space="0" w:color="auto"/>
                <w:right w:val="none" w:sz="0" w:space="0" w:color="auto"/>
              </w:divBdr>
            </w:div>
            <w:div w:id="1712611724">
              <w:marLeft w:val="0"/>
              <w:marRight w:val="0"/>
              <w:marTop w:val="0"/>
              <w:marBottom w:val="0"/>
              <w:divBdr>
                <w:top w:val="none" w:sz="0" w:space="0" w:color="auto"/>
                <w:left w:val="none" w:sz="0" w:space="0" w:color="auto"/>
                <w:bottom w:val="none" w:sz="0" w:space="0" w:color="auto"/>
                <w:right w:val="none" w:sz="0" w:space="0" w:color="auto"/>
              </w:divBdr>
            </w:div>
            <w:div w:id="1777211112">
              <w:marLeft w:val="0"/>
              <w:marRight w:val="0"/>
              <w:marTop w:val="0"/>
              <w:marBottom w:val="0"/>
              <w:divBdr>
                <w:top w:val="none" w:sz="0" w:space="0" w:color="auto"/>
                <w:left w:val="none" w:sz="0" w:space="0" w:color="auto"/>
                <w:bottom w:val="none" w:sz="0" w:space="0" w:color="auto"/>
                <w:right w:val="none" w:sz="0" w:space="0" w:color="auto"/>
              </w:divBdr>
            </w:div>
            <w:div w:id="1977491918">
              <w:marLeft w:val="0"/>
              <w:marRight w:val="0"/>
              <w:marTop w:val="0"/>
              <w:marBottom w:val="0"/>
              <w:divBdr>
                <w:top w:val="none" w:sz="0" w:space="0" w:color="auto"/>
                <w:left w:val="none" w:sz="0" w:space="0" w:color="auto"/>
                <w:bottom w:val="none" w:sz="0" w:space="0" w:color="auto"/>
                <w:right w:val="none" w:sz="0" w:space="0" w:color="auto"/>
              </w:divBdr>
            </w:div>
            <w:div w:id="2074423865">
              <w:marLeft w:val="0"/>
              <w:marRight w:val="0"/>
              <w:marTop w:val="0"/>
              <w:marBottom w:val="0"/>
              <w:divBdr>
                <w:top w:val="none" w:sz="0" w:space="0" w:color="auto"/>
                <w:left w:val="none" w:sz="0" w:space="0" w:color="auto"/>
                <w:bottom w:val="none" w:sz="0" w:space="0" w:color="auto"/>
                <w:right w:val="none" w:sz="0" w:space="0" w:color="auto"/>
              </w:divBdr>
            </w:div>
            <w:div w:id="21319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9958">
      <w:bodyDiv w:val="1"/>
      <w:marLeft w:val="0"/>
      <w:marRight w:val="0"/>
      <w:marTop w:val="0"/>
      <w:marBottom w:val="0"/>
      <w:divBdr>
        <w:top w:val="none" w:sz="0" w:space="0" w:color="auto"/>
        <w:left w:val="none" w:sz="0" w:space="0" w:color="auto"/>
        <w:bottom w:val="none" w:sz="0" w:space="0" w:color="auto"/>
        <w:right w:val="none" w:sz="0" w:space="0" w:color="auto"/>
      </w:divBdr>
    </w:div>
    <w:div w:id="1585609306">
      <w:bodyDiv w:val="1"/>
      <w:marLeft w:val="0"/>
      <w:marRight w:val="0"/>
      <w:marTop w:val="0"/>
      <w:marBottom w:val="0"/>
      <w:divBdr>
        <w:top w:val="none" w:sz="0" w:space="0" w:color="auto"/>
        <w:left w:val="none" w:sz="0" w:space="0" w:color="auto"/>
        <w:bottom w:val="none" w:sz="0" w:space="0" w:color="auto"/>
        <w:right w:val="none" w:sz="0" w:space="0" w:color="auto"/>
      </w:divBdr>
      <w:divsChild>
        <w:div w:id="1678651572">
          <w:marLeft w:val="0"/>
          <w:marRight w:val="0"/>
          <w:marTop w:val="0"/>
          <w:marBottom w:val="0"/>
          <w:divBdr>
            <w:top w:val="none" w:sz="0" w:space="0" w:color="auto"/>
            <w:left w:val="none" w:sz="0" w:space="0" w:color="auto"/>
            <w:bottom w:val="none" w:sz="0" w:space="0" w:color="auto"/>
            <w:right w:val="none" w:sz="0" w:space="0" w:color="auto"/>
          </w:divBdr>
        </w:div>
        <w:div w:id="1938438134">
          <w:marLeft w:val="0"/>
          <w:marRight w:val="0"/>
          <w:marTop w:val="0"/>
          <w:marBottom w:val="0"/>
          <w:divBdr>
            <w:top w:val="none" w:sz="0" w:space="0" w:color="auto"/>
            <w:left w:val="none" w:sz="0" w:space="0" w:color="auto"/>
            <w:bottom w:val="none" w:sz="0" w:space="0" w:color="auto"/>
            <w:right w:val="none" w:sz="0" w:space="0" w:color="auto"/>
          </w:divBdr>
        </w:div>
      </w:divsChild>
    </w:div>
    <w:div w:id="1617909649">
      <w:bodyDiv w:val="1"/>
      <w:marLeft w:val="0"/>
      <w:marRight w:val="0"/>
      <w:marTop w:val="0"/>
      <w:marBottom w:val="0"/>
      <w:divBdr>
        <w:top w:val="none" w:sz="0" w:space="0" w:color="auto"/>
        <w:left w:val="none" w:sz="0" w:space="0" w:color="auto"/>
        <w:bottom w:val="none" w:sz="0" w:space="0" w:color="auto"/>
        <w:right w:val="none" w:sz="0" w:space="0" w:color="auto"/>
      </w:divBdr>
      <w:divsChild>
        <w:div w:id="24411061">
          <w:marLeft w:val="0"/>
          <w:marRight w:val="0"/>
          <w:marTop w:val="0"/>
          <w:marBottom w:val="0"/>
          <w:divBdr>
            <w:top w:val="none" w:sz="0" w:space="0" w:color="auto"/>
            <w:left w:val="none" w:sz="0" w:space="0" w:color="auto"/>
            <w:bottom w:val="none" w:sz="0" w:space="0" w:color="auto"/>
            <w:right w:val="none" w:sz="0" w:space="0" w:color="auto"/>
          </w:divBdr>
        </w:div>
        <w:div w:id="137113946">
          <w:marLeft w:val="0"/>
          <w:marRight w:val="0"/>
          <w:marTop w:val="0"/>
          <w:marBottom w:val="0"/>
          <w:divBdr>
            <w:top w:val="none" w:sz="0" w:space="0" w:color="auto"/>
            <w:left w:val="none" w:sz="0" w:space="0" w:color="auto"/>
            <w:bottom w:val="none" w:sz="0" w:space="0" w:color="auto"/>
            <w:right w:val="none" w:sz="0" w:space="0" w:color="auto"/>
          </w:divBdr>
        </w:div>
        <w:div w:id="256788311">
          <w:marLeft w:val="0"/>
          <w:marRight w:val="0"/>
          <w:marTop w:val="0"/>
          <w:marBottom w:val="0"/>
          <w:divBdr>
            <w:top w:val="none" w:sz="0" w:space="0" w:color="auto"/>
            <w:left w:val="none" w:sz="0" w:space="0" w:color="auto"/>
            <w:bottom w:val="none" w:sz="0" w:space="0" w:color="auto"/>
            <w:right w:val="none" w:sz="0" w:space="0" w:color="auto"/>
          </w:divBdr>
        </w:div>
        <w:div w:id="373190777">
          <w:marLeft w:val="0"/>
          <w:marRight w:val="0"/>
          <w:marTop w:val="0"/>
          <w:marBottom w:val="0"/>
          <w:divBdr>
            <w:top w:val="none" w:sz="0" w:space="0" w:color="auto"/>
            <w:left w:val="none" w:sz="0" w:space="0" w:color="auto"/>
            <w:bottom w:val="none" w:sz="0" w:space="0" w:color="auto"/>
            <w:right w:val="none" w:sz="0" w:space="0" w:color="auto"/>
          </w:divBdr>
        </w:div>
        <w:div w:id="809636778">
          <w:marLeft w:val="0"/>
          <w:marRight w:val="0"/>
          <w:marTop w:val="0"/>
          <w:marBottom w:val="0"/>
          <w:divBdr>
            <w:top w:val="none" w:sz="0" w:space="0" w:color="auto"/>
            <w:left w:val="none" w:sz="0" w:space="0" w:color="auto"/>
            <w:bottom w:val="none" w:sz="0" w:space="0" w:color="auto"/>
            <w:right w:val="none" w:sz="0" w:space="0" w:color="auto"/>
          </w:divBdr>
        </w:div>
        <w:div w:id="890650518">
          <w:marLeft w:val="0"/>
          <w:marRight w:val="0"/>
          <w:marTop w:val="0"/>
          <w:marBottom w:val="0"/>
          <w:divBdr>
            <w:top w:val="none" w:sz="0" w:space="0" w:color="auto"/>
            <w:left w:val="none" w:sz="0" w:space="0" w:color="auto"/>
            <w:bottom w:val="none" w:sz="0" w:space="0" w:color="auto"/>
            <w:right w:val="none" w:sz="0" w:space="0" w:color="auto"/>
          </w:divBdr>
        </w:div>
        <w:div w:id="1010109650">
          <w:marLeft w:val="0"/>
          <w:marRight w:val="0"/>
          <w:marTop w:val="0"/>
          <w:marBottom w:val="0"/>
          <w:divBdr>
            <w:top w:val="none" w:sz="0" w:space="0" w:color="auto"/>
            <w:left w:val="none" w:sz="0" w:space="0" w:color="auto"/>
            <w:bottom w:val="none" w:sz="0" w:space="0" w:color="auto"/>
            <w:right w:val="none" w:sz="0" w:space="0" w:color="auto"/>
          </w:divBdr>
        </w:div>
        <w:div w:id="1080832687">
          <w:marLeft w:val="0"/>
          <w:marRight w:val="0"/>
          <w:marTop w:val="0"/>
          <w:marBottom w:val="0"/>
          <w:divBdr>
            <w:top w:val="none" w:sz="0" w:space="0" w:color="auto"/>
            <w:left w:val="none" w:sz="0" w:space="0" w:color="auto"/>
            <w:bottom w:val="none" w:sz="0" w:space="0" w:color="auto"/>
            <w:right w:val="none" w:sz="0" w:space="0" w:color="auto"/>
          </w:divBdr>
        </w:div>
        <w:div w:id="1097942272">
          <w:marLeft w:val="0"/>
          <w:marRight w:val="0"/>
          <w:marTop w:val="0"/>
          <w:marBottom w:val="0"/>
          <w:divBdr>
            <w:top w:val="none" w:sz="0" w:space="0" w:color="auto"/>
            <w:left w:val="none" w:sz="0" w:space="0" w:color="auto"/>
            <w:bottom w:val="none" w:sz="0" w:space="0" w:color="auto"/>
            <w:right w:val="none" w:sz="0" w:space="0" w:color="auto"/>
          </w:divBdr>
        </w:div>
        <w:div w:id="1178665422">
          <w:marLeft w:val="0"/>
          <w:marRight w:val="0"/>
          <w:marTop w:val="0"/>
          <w:marBottom w:val="0"/>
          <w:divBdr>
            <w:top w:val="none" w:sz="0" w:space="0" w:color="auto"/>
            <w:left w:val="none" w:sz="0" w:space="0" w:color="auto"/>
            <w:bottom w:val="none" w:sz="0" w:space="0" w:color="auto"/>
            <w:right w:val="none" w:sz="0" w:space="0" w:color="auto"/>
          </w:divBdr>
        </w:div>
        <w:div w:id="1370180858">
          <w:marLeft w:val="0"/>
          <w:marRight w:val="0"/>
          <w:marTop w:val="0"/>
          <w:marBottom w:val="0"/>
          <w:divBdr>
            <w:top w:val="none" w:sz="0" w:space="0" w:color="auto"/>
            <w:left w:val="none" w:sz="0" w:space="0" w:color="auto"/>
            <w:bottom w:val="none" w:sz="0" w:space="0" w:color="auto"/>
            <w:right w:val="none" w:sz="0" w:space="0" w:color="auto"/>
          </w:divBdr>
        </w:div>
        <w:div w:id="1456095318">
          <w:marLeft w:val="0"/>
          <w:marRight w:val="0"/>
          <w:marTop w:val="0"/>
          <w:marBottom w:val="0"/>
          <w:divBdr>
            <w:top w:val="none" w:sz="0" w:space="0" w:color="auto"/>
            <w:left w:val="none" w:sz="0" w:space="0" w:color="auto"/>
            <w:bottom w:val="none" w:sz="0" w:space="0" w:color="auto"/>
            <w:right w:val="none" w:sz="0" w:space="0" w:color="auto"/>
          </w:divBdr>
        </w:div>
        <w:div w:id="1591698957">
          <w:marLeft w:val="0"/>
          <w:marRight w:val="0"/>
          <w:marTop w:val="0"/>
          <w:marBottom w:val="0"/>
          <w:divBdr>
            <w:top w:val="none" w:sz="0" w:space="0" w:color="auto"/>
            <w:left w:val="none" w:sz="0" w:space="0" w:color="auto"/>
            <w:bottom w:val="none" w:sz="0" w:space="0" w:color="auto"/>
            <w:right w:val="none" w:sz="0" w:space="0" w:color="auto"/>
          </w:divBdr>
        </w:div>
        <w:div w:id="1668820925">
          <w:marLeft w:val="0"/>
          <w:marRight w:val="0"/>
          <w:marTop w:val="0"/>
          <w:marBottom w:val="0"/>
          <w:divBdr>
            <w:top w:val="none" w:sz="0" w:space="0" w:color="auto"/>
            <w:left w:val="none" w:sz="0" w:space="0" w:color="auto"/>
            <w:bottom w:val="none" w:sz="0" w:space="0" w:color="auto"/>
            <w:right w:val="none" w:sz="0" w:space="0" w:color="auto"/>
          </w:divBdr>
        </w:div>
        <w:div w:id="1825969193">
          <w:marLeft w:val="0"/>
          <w:marRight w:val="0"/>
          <w:marTop w:val="0"/>
          <w:marBottom w:val="0"/>
          <w:divBdr>
            <w:top w:val="none" w:sz="0" w:space="0" w:color="auto"/>
            <w:left w:val="none" w:sz="0" w:space="0" w:color="auto"/>
            <w:bottom w:val="none" w:sz="0" w:space="0" w:color="auto"/>
            <w:right w:val="none" w:sz="0" w:space="0" w:color="auto"/>
          </w:divBdr>
        </w:div>
        <w:div w:id="1855798201">
          <w:marLeft w:val="0"/>
          <w:marRight w:val="0"/>
          <w:marTop w:val="0"/>
          <w:marBottom w:val="0"/>
          <w:divBdr>
            <w:top w:val="none" w:sz="0" w:space="0" w:color="auto"/>
            <w:left w:val="none" w:sz="0" w:space="0" w:color="auto"/>
            <w:bottom w:val="none" w:sz="0" w:space="0" w:color="auto"/>
            <w:right w:val="none" w:sz="0" w:space="0" w:color="auto"/>
          </w:divBdr>
        </w:div>
        <w:div w:id="1861774512">
          <w:marLeft w:val="0"/>
          <w:marRight w:val="0"/>
          <w:marTop w:val="0"/>
          <w:marBottom w:val="0"/>
          <w:divBdr>
            <w:top w:val="none" w:sz="0" w:space="0" w:color="auto"/>
            <w:left w:val="none" w:sz="0" w:space="0" w:color="auto"/>
            <w:bottom w:val="none" w:sz="0" w:space="0" w:color="auto"/>
            <w:right w:val="none" w:sz="0" w:space="0" w:color="auto"/>
          </w:divBdr>
        </w:div>
        <w:div w:id="1898930606">
          <w:marLeft w:val="0"/>
          <w:marRight w:val="0"/>
          <w:marTop w:val="0"/>
          <w:marBottom w:val="0"/>
          <w:divBdr>
            <w:top w:val="none" w:sz="0" w:space="0" w:color="auto"/>
            <w:left w:val="none" w:sz="0" w:space="0" w:color="auto"/>
            <w:bottom w:val="none" w:sz="0" w:space="0" w:color="auto"/>
            <w:right w:val="none" w:sz="0" w:space="0" w:color="auto"/>
          </w:divBdr>
        </w:div>
        <w:div w:id="1925531143">
          <w:marLeft w:val="0"/>
          <w:marRight w:val="0"/>
          <w:marTop w:val="0"/>
          <w:marBottom w:val="0"/>
          <w:divBdr>
            <w:top w:val="none" w:sz="0" w:space="0" w:color="auto"/>
            <w:left w:val="none" w:sz="0" w:space="0" w:color="auto"/>
            <w:bottom w:val="none" w:sz="0" w:space="0" w:color="auto"/>
            <w:right w:val="none" w:sz="0" w:space="0" w:color="auto"/>
          </w:divBdr>
        </w:div>
        <w:div w:id="2104254152">
          <w:marLeft w:val="0"/>
          <w:marRight w:val="0"/>
          <w:marTop w:val="0"/>
          <w:marBottom w:val="0"/>
          <w:divBdr>
            <w:top w:val="none" w:sz="0" w:space="0" w:color="auto"/>
            <w:left w:val="none" w:sz="0" w:space="0" w:color="auto"/>
            <w:bottom w:val="none" w:sz="0" w:space="0" w:color="auto"/>
            <w:right w:val="none" w:sz="0" w:space="0" w:color="auto"/>
          </w:divBdr>
        </w:div>
        <w:div w:id="2104296885">
          <w:marLeft w:val="0"/>
          <w:marRight w:val="0"/>
          <w:marTop w:val="0"/>
          <w:marBottom w:val="0"/>
          <w:divBdr>
            <w:top w:val="none" w:sz="0" w:space="0" w:color="auto"/>
            <w:left w:val="none" w:sz="0" w:space="0" w:color="auto"/>
            <w:bottom w:val="none" w:sz="0" w:space="0" w:color="auto"/>
            <w:right w:val="none" w:sz="0" w:space="0" w:color="auto"/>
          </w:divBdr>
        </w:div>
        <w:div w:id="2111312793">
          <w:marLeft w:val="0"/>
          <w:marRight w:val="0"/>
          <w:marTop w:val="0"/>
          <w:marBottom w:val="0"/>
          <w:divBdr>
            <w:top w:val="none" w:sz="0" w:space="0" w:color="auto"/>
            <w:left w:val="none" w:sz="0" w:space="0" w:color="auto"/>
            <w:bottom w:val="none" w:sz="0" w:space="0" w:color="auto"/>
            <w:right w:val="none" w:sz="0" w:space="0" w:color="auto"/>
          </w:divBdr>
        </w:div>
        <w:div w:id="2118786565">
          <w:marLeft w:val="0"/>
          <w:marRight w:val="0"/>
          <w:marTop w:val="0"/>
          <w:marBottom w:val="0"/>
          <w:divBdr>
            <w:top w:val="none" w:sz="0" w:space="0" w:color="auto"/>
            <w:left w:val="none" w:sz="0" w:space="0" w:color="auto"/>
            <w:bottom w:val="none" w:sz="0" w:space="0" w:color="auto"/>
            <w:right w:val="none" w:sz="0" w:space="0" w:color="auto"/>
          </w:divBdr>
        </w:div>
      </w:divsChild>
    </w:div>
    <w:div w:id="1715616144">
      <w:bodyDiv w:val="1"/>
      <w:marLeft w:val="0"/>
      <w:marRight w:val="0"/>
      <w:marTop w:val="0"/>
      <w:marBottom w:val="0"/>
      <w:divBdr>
        <w:top w:val="none" w:sz="0" w:space="0" w:color="auto"/>
        <w:left w:val="none" w:sz="0" w:space="0" w:color="auto"/>
        <w:bottom w:val="none" w:sz="0" w:space="0" w:color="auto"/>
        <w:right w:val="none" w:sz="0" w:space="0" w:color="auto"/>
      </w:divBdr>
    </w:div>
    <w:div w:id="1731034061">
      <w:bodyDiv w:val="1"/>
      <w:marLeft w:val="0"/>
      <w:marRight w:val="0"/>
      <w:marTop w:val="0"/>
      <w:marBottom w:val="0"/>
      <w:divBdr>
        <w:top w:val="none" w:sz="0" w:space="0" w:color="auto"/>
        <w:left w:val="none" w:sz="0" w:space="0" w:color="auto"/>
        <w:bottom w:val="none" w:sz="0" w:space="0" w:color="auto"/>
        <w:right w:val="none" w:sz="0" w:space="0" w:color="auto"/>
      </w:divBdr>
    </w:div>
    <w:div w:id="1732344882">
      <w:bodyDiv w:val="1"/>
      <w:marLeft w:val="0"/>
      <w:marRight w:val="0"/>
      <w:marTop w:val="0"/>
      <w:marBottom w:val="0"/>
      <w:divBdr>
        <w:top w:val="none" w:sz="0" w:space="0" w:color="auto"/>
        <w:left w:val="none" w:sz="0" w:space="0" w:color="auto"/>
        <w:bottom w:val="none" w:sz="0" w:space="0" w:color="auto"/>
        <w:right w:val="none" w:sz="0" w:space="0" w:color="auto"/>
      </w:divBdr>
    </w:div>
    <w:div w:id="1790973180">
      <w:bodyDiv w:val="1"/>
      <w:marLeft w:val="0"/>
      <w:marRight w:val="0"/>
      <w:marTop w:val="0"/>
      <w:marBottom w:val="0"/>
      <w:divBdr>
        <w:top w:val="none" w:sz="0" w:space="0" w:color="auto"/>
        <w:left w:val="none" w:sz="0" w:space="0" w:color="auto"/>
        <w:bottom w:val="none" w:sz="0" w:space="0" w:color="auto"/>
        <w:right w:val="none" w:sz="0" w:space="0" w:color="auto"/>
      </w:divBdr>
    </w:div>
    <w:div w:id="213713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mailto:Zane.Kaljo@lm.gov.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mailto:Ilze.latviete@lm.gov.lv"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mailto:Lauma.Grafa@lm.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m.gov.lv/text/2715"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laumag\Desktop\Grafik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24875423894864"/>
          <c:y val="4.1594005204160373E-2"/>
          <c:w val="0.83895236218603897"/>
          <c:h val="0.81266469726416857"/>
        </c:manualLayout>
      </c:layout>
      <c:barChart>
        <c:barDir val="col"/>
        <c:grouping val="clustered"/>
        <c:varyColors val="0"/>
        <c:ser>
          <c:idx val="0"/>
          <c:order val="0"/>
          <c:spPr>
            <a:solidFill>
              <a:schemeClr val="accent2"/>
            </a:solidFill>
            <a:ln>
              <a:solidFill>
                <a:schemeClr val="accent2">
                  <a:lumMod val="75000"/>
                </a:schemeClr>
              </a:solidFill>
            </a:ln>
            <a:effectLst>
              <a:innerShdw blurRad="114300">
                <a:prstClr val="black"/>
              </a:innerShdw>
            </a:effectLst>
            <a:scene3d>
              <a:camera prst="orthographicFront"/>
              <a:lightRig rig="threePt" dir="t"/>
            </a:scene3d>
            <a:sp3d prstMaterial="metal">
              <a:bevelT w="165100" prst="coolSlant"/>
              <a:bevelB w="12700"/>
            </a:sp3d>
          </c:spPr>
          <c:invertIfNegative val="0"/>
          <c:dLbls>
            <c:dLbl>
              <c:idx val="0"/>
              <c:layout/>
              <c:tx>
                <c:rich>
                  <a:bodyPr/>
                  <a:lstStyle/>
                  <a:p>
                    <a:r>
                      <a:rPr lang="en-US"/>
                      <a:t>25.60</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24.00</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19.20</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a:t>16.40</a:t>
                    </a:r>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tx>
                <c:rich>
                  <a:bodyPr/>
                  <a:lstStyle/>
                  <a:p>
                    <a:r>
                      <a:rPr lang="en-US"/>
                      <a:t>12.80</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[Grafiki_2016.xlsx]Sheet1!$D$34:$H$34</c:f>
              <c:numCache>
                <c:formatCode>General</c:formatCode>
                <c:ptCount val="5"/>
                <c:pt idx="0">
                  <c:v>2012</c:v>
                </c:pt>
                <c:pt idx="1">
                  <c:v>2013</c:v>
                </c:pt>
                <c:pt idx="2">
                  <c:v>2014</c:v>
                </c:pt>
                <c:pt idx="3">
                  <c:v>2015</c:v>
                </c:pt>
                <c:pt idx="4">
                  <c:v>2016</c:v>
                </c:pt>
              </c:numCache>
            </c:numRef>
          </c:cat>
          <c:val>
            <c:numRef>
              <c:f>[Grafiki_2016.xlsx]Sheet1!$D$35:$H$35</c:f>
              <c:numCache>
                <c:formatCode>0.00%</c:formatCode>
                <c:ptCount val="5"/>
                <c:pt idx="0">
                  <c:v>0.25600000000000001</c:v>
                </c:pt>
                <c:pt idx="1">
                  <c:v>0.24</c:v>
                </c:pt>
                <c:pt idx="2">
                  <c:v>0.192</c:v>
                </c:pt>
                <c:pt idx="3">
                  <c:v>0.16400000000000001</c:v>
                </c:pt>
                <c:pt idx="4">
                  <c:v>0.128</c:v>
                </c:pt>
              </c:numCache>
            </c:numRef>
          </c:val>
        </c:ser>
        <c:dLbls>
          <c:showLegendKey val="0"/>
          <c:showVal val="0"/>
          <c:showCatName val="0"/>
          <c:showSerName val="0"/>
          <c:showPercent val="0"/>
          <c:showBubbleSize val="0"/>
        </c:dLbls>
        <c:gapWidth val="120"/>
        <c:overlap val="-27"/>
        <c:axId val="160313528"/>
        <c:axId val="162665768"/>
      </c:barChart>
      <c:catAx>
        <c:axId val="160313528"/>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Gads</a:t>
                </a:r>
              </a:p>
            </c:rich>
          </c:tx>
          <c:layout>
            <c:manualLayout>
              <c:xMode val="edge"/>
              <c:yMode val="edge"/>
              <c:x val="0.44847453251296454"/>
              <c:y val="0.92256899233551393"/>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62665768"/>
        <c:crossesAt val="0"/>
        <c:auto val="1"/>
        <c:lblAlgn val="ctr"/>
        <c:lblOffset val="100"/>
        <c:noMultiLvlLbl val="0"/>
      </c:catAx>
      <c:valAx>
        <c:axId val="1626657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Procenti</a:t>
                </a:r>
              </a:p>
            </c:rich>
          </c:tx>
          <c:layout>
            <c:manualLayout>
              <c:xMode val="edge"/>
              <c:yMode val="edge"/>
              <c:x val="1.4072118313643141E-2"/>
              <c:y val="0.42044370915884383"/>
            </c:manualLayout>
          </c:layout>
          <c:overlay val="0"/>
          <c:spPr>
            <a:noFill/>
            <a:ln>
              <a:noFill/>
            </a:ln>
            <a:effectLst/>
          </c:spPr>
        </c:title>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603135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82824075063733"/>
          <c:y val="3.7414965986394558E-2"/>
          <c:w val="0.85408855860061605"/>
          <c:h val="0.83721677647436932"/>
        </c:manualLayout>
      </c:layout>
      <c:barChart>
        <c:barDir val="col"/>
        <c:grouping val="clustered"/>
        <c:varyColors val="0"/>
        <c:ser>
          <c:idx val="0"/>
          <c:order val="0"/>
          <c:spPr>
            <a:solidFill>
              <a:schemeClr val="accent2"/>
            </a:solidFill>
            <a:ln>
              <a:noFill/>
            </a:ln>
            <a:effectLst>
              <a:innerShdw blurRad="114300">
                <a:prstClr val="black"/>
              </a:innerShdw>
            </a:effectLst>
            <a:scene3d>
              <a:camera prst="orthographicFront"/>
              <a:lightRig rig="threePt" dir="t"/>
            </a:scene3d>
            <a:sp3d prstMaterial="metal">
              <a:bevelT w="165100" prst="coolSlant"/>
            </a:sp3d>
          </c:spPr>
          <c:invertIfNegative val="0"/>
          <c:dLbls>
            <c:dLbl>
              <c:idx val="0"/>
              <c:layout/>
              <c:tx>
                <c:rich>
                  <a:bodyPr/>
                  <a:lstStyle/>
                  <a:p>
                    <a:r>
                      <a:rPr lang="en-US"/>
                      <a:t>49.20</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49.60</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43.10</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a:t>38.40</a:t>
                    </a:r>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tx>
                <c:rich>
                  <a:bodyPr/>
                  <a:lstStyle/>
                  <a:p>
                    <a:r>
                      <a:rPr lang="en-US"/>
                      <a:t>37.30</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[Grafiki_2016.xlsx]Sheet1!$D$5:$H$5</c:f>
              <c:numCache>
                <c:formatCode>General</c:formatCode>
                <c:ptCount val="5"/>
                <c:pt idx="0">
                  <c:v>2012</c:v>
                </c:pt>
                <c:pt idx="1">
                  <c:v>2013</c:v>
                </c:pt>
                <c:pt idx="2">
                  <c:v>2014</c:v>
                </c:pt>
                <c:pt idx="3">
                  <c:v>2015</c:v>
                </c:pt>
                <c:pt idx="4">
                  <c:v>2016</c:v>
                </c:pt>
              </c:numCache>
            </c:numRef>
          </c:cat>
          <c:val>
            <c:numRef>
              <c:f>[Grafiki_2016.xlsx]Sheet1!$D$6:$H$6</c:f>
              <c:numCache>
                <c:formatCode>0.00%</c:formatCode>
                <c:ptCount val="5"/>
                <c:pt idx="0">
                  <c:v>0.49199999999999999</c:v>
                </c:pt>
                <c:pt idx="1">
                  <c:v>0.496</c:v>
                </c:pt>
                <c:pt idx="2">
                  <c:v>0.43099999999999999</c:v>
                </c:pt>
                <c:pt idx="3">
                  <c:v>0.38400000000000001</c:v>
                </c:pt>
                <c:pt idx="4">
                  <c:v>0.373</c:v>
                </c:pt>
              </c:numCache>
            </c:numRef>
          </c:val>
        </c:ser>
        <c:dLbls>
          <c:showLegendKey val="0"/>
          <c:showVal val="1"/>
          <c:showCatName val="0"/>
          <c:showSerName val="0"/>
          <c:showPercent val="0"/>
          <c:showBubbleSize val="0"/>
        </c:dLbls>
        <c:gapWidth val="129"/>
        <c:overlap val="-27"/>
        <c:axId val="162357216"/>
        <c:axId val="162480616"/>
      </c:barChart>
      <c:catAx>
        <c:axId val="162357216"/>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Gads</a:t>
                </a:r>
              </a:p>
            </c:rich>
          </c:tx>
          <c:layout>
            <c:manualLayout>
              <c:xMode val="edge"/>
              <c:yMode val="edge"/>
              <c:x val="0.44053087166360611"/>
              <c:y val="0.92637741710857568"/>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62480616"/>
        <c:crosses val="autoZero"/>
        <c:auto val="1"/>
        <c:lblAlgn val="ctr"/>
        <c:lblOffset val="100"/>
        <c:noMultiLvlLbl val="0"/>
      </c:catAx>
      <c:valAx>
        <c:axId val="162480616"/>
        <c:scaling>
          <c:orientation val="minMax"/>
          <c:max val="0.60000000000000009"/>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Procenti</a:t>
                </a:r>
              </a:p>
            </c:rich>
          </c:tx>
          <c:layout>
            <c:manualLayout>
              <c:xMode val="edge"/>
              <c:yMode val="edge"/>
              <c:x val="1.8130285797608632E-3"/>
              <c:y val="0.36916689825536514"/>
            </c:manualLayout>
          </c:layout>
          <c:overlay val="0"/>
          <c:spPr>
            <a:noFill/>
            <a:ln>
              <a:noFill/>
            </a:ln>
            <a:effectLst/>
          </c:spPr>
        </c:title>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62357216"/>
        <c:crosses val="autoZero"/>
        <c:crossBetween val="between"/>
        <c:majorUnit val="0.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595617939061966"/>
          <c:y val="2.5416739574219888E-2"/>
          <c:w val="0.80858753568603514"/>
          <c:h val="0.75010011370728491"/>
        </c:manualLayout>
      </c:layout>
      <c:barChart>
        <c:barDir val="col"/>
        <c:grouping val="stacked"/>
        <c:varyColors val="0"/>
        <c:ser>
          <c:idx val="0"/>
          <c:order val="0"/>
          <c:tx>
            <c:strRef>
              <c:f>'[Trucigie_ 2014_2015_2016_2017.xlsx]Pusg'!$B$15:$B$16</c:f>
              <c:strCache>
                <c:ptCount val="2"/>
                <c:pt idx="0">
                  <c:v>Trūcīgas personas</c:v>
                </c:pt>
                <c:pt idx="1">
                  <c:v>(pieaugušie)</c:v>
                </c:pt>
              </c:strCache>
            </c:strRef>
          </c:tx>
          <c:spPr>
            <a:solidFill>
              <a:srgbClr val="ED7D31">
                <a:lumMod val="75000"/>
              </a:srgbClr>
            </a:solidFill>
            <a:ln>
              <a:noFill/>
            </a:ln>
            <a:effectLst>
              <a:innerShdw blurRad="114300">
                <a:prstClr val="black"/>
              </a:innerShdw>
            </a:effectLst>
            <a:scene3d>
              <a:camera prst="orthographicFront"/>
              <a:lightRig rig="threePt" dir="t"/>
            </a:scene3d>
            <a:sp3d prstMaterial="metal">
              <a:bevelT w="165100" prst="coolSlant"/>
            </a:sp3d>
          </c:spPr>
          <c:invertIfNegative val="0"/>
          <c:dLbls>
            <c:dLbl>
              <c:idx val="0"/>
              <c:layout/>
              <c:tx>
                <c:rich>
                  <a:bodyPr/>
                  <a:lstStyle/>
                  <a:p>
                    <a:fld id="{494972A2-3B85-4F29-B9EA-39FE7441701C}" type="VALUE">
                      <a:rPr lang="en-US"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pPr/>
                      <a:t>[VALUE]</a:t>
                    </a:fld>
                    <a:endParaRPr lang="lv-LV"/>
                  </a:p>
                </c:rich>
              </c:tx>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numFmt formatCode="#,##0" sourceLinked="0"/>
            <c:spPr>
              <a:solidFill>
                <a:sysClr val="window" lastClr="FFFFFF"/>
              </a:solidFill>
              <a:ln w="19050" cap="flat" cmpd="sng" algn="ctr">
                <a:solidFill>
                  <a:srgbClr val="ED7D31">
                    <a:lumMod val="75000"/>
                  </a:srgbClr>
                </a:solidFill>
                <a:prstDash val="solid"/>
                <a:miter lim="800000"/>
              </a:ln>
              <a:effectLst/>
            </c:spPr>
            <c:txPr>
              <a:bodyPr rot="0" spcFirstLastPara="1" vertOverflow="ellipsis" vert="horz" wrap="none" anchor="ctr" anchorCtr="1"/>
              <a:lstStyle/>
              <a:p>
                <a:pPr>
                  <a:defRPr sz="11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numRef>
              <c:f>'[Trucigie_ 2014_2015_2016_2017.xlsx]Pusg'!$A$17:$A$20</c:f>
              <c:numCache>
                <c:formatCode>General</c:formatCode>
                <c:ptCount val="4"/>
                <c:pt idx="0">
                  <c:v>2013</c:v>
                </c:pt>
                <c:pt idx="1">
                  <c:v>2014</c:v>
                </c:pt>
                <c:pt idx="2">
                  <c:v>2015</c:v>
                </c:pt>
                <c:pt idx="3">
                  <c:v>2016</c:v>
                </c:pt>
              </c:numCache>
            </c:numRef>
          </c:cat>
          <c:val>
            <c:numRef>
              <c:f>'[Trucigie_ 2014_2015_2016_2017.xlsx]Pusg'!$B$17:$B$20</c:f>
              <c:numCache>
                <c:formatCode>General</c:formatCode>
                <c:ptCount val="4"/>
                <c:pt idx="0">
                  <c:v>88063</c:v>
                </c:pt>
                <c:pt idx="1">
                  <c:v>68491</c:v>
                </c:pt>
                <c:pt idx="2">
                  <c:v>55654</c:v>
                </c:pt>
                <c:pt idx="3">
                  <c:v>47965</c:v>
                </c:pt>
              </c:numCache>
            </c:numRef>
          </c:val>
        </c:ser>
        <c:ser>
          <c:idx val="1"/>
          <c:order val="1"/>
          <c:tx>
            <c:strRef>
              <c:f>'[Trucigie_ 2014_2015_2016_2017.xlsx]Pusg'!$C$15:$C$16</c:f>
              <c:strCache>
                <c:ptCount val="2"/>
                <c:pt idx="0">
                  <c:v>Trūcīgas personas</c:v>
                </c:pt>
                <c:pt idx="1">
                  <c:v>(bērni)</c:v>
                </c:pt>
              </c:strCache>
            </c:strRef>
          </c:tx>
          <c:spPr>
            <a:solidFill>
              <a:srgbClr val="FFC000">
                <a:lumMod val="60000"/>
                <a:lumOff val="40000"/>
              </a:srgbClr>
            </a:solidFill>
            <a:ln>
              <a:noFill/>
            </a:ln>
            <a:effectLst>
              <a:innerShdw blurRad="114300">
                <a:prstClr val="black"/>
              </a:innerShdw>
            </a:effectLst>
            <a:scene3d>
              <a:camera prst="orthographicFront"/>
              <a:lightRig rig="threePt" dir="t"/>
            </a:scene3d>
            <a:sp3d prstMaterial="metal">
              <a:bevelT w="165100" prst="coolSlant"/>
            </a:sp3d>
          </c:spPr>
          <c:invertIfNegative val="0"/>
          <c:dLbls>
            <c:dLbl>
              <c:idx val="0"/>
              <c:layout>
                <c:manualLayout>
                  <c:x val="1.3888888888888888E-2"/>
                  <c:y val="-0.19897372763258012"/>
                </c:manualLayout>
              </c:layout>
              <c:tx>
                <c:rich>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0D76486E-FCC6-46DB-A098-ED43E43BCA5D}" type="VALUE">
                      <a:rPr lang="en-US">
                        <a:solidFill>
                          <a:sysClr val="windowText" lastClr="000000"/>
                        </a:solidFill>
                        <a:latin typeface="Times New Roman" panose="02020603050405020304" pitchFamily="18" charset="0"/>
                        <a:ea typeface="+mn-ea"/>
                        <a:cs typeface="Times New Roman" panose="02020603050405020304" pitchFamily="18" charset="0"/>
                      </a:rPr>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t>[VALUE]</a:t>
                    </a:fld>
                    <a:endParaRPr lang="lv-LV"/>
                  </a:p>
                </c:rich>
              </c:tx>
              <c:numFmt formatCode="#,##0" sourceLinked="0"/>
              <c:spPr>
                <a:solidFill>
                  <a:sysClr val="window" lastClr="FFFFFF"/>
                </a:solidFill>
                <a:ln w="19050" cap="flat" cmpd="sng" algn="ctr">
                  <a:solidFill>
                    <a:srgbClr val="FFC000">
                      <a:lumMod val="60000"/>
                      <a:lumOff val="40000"/>
                    </a:srgbClr>
                  </a:solidFill>
                  <a:prstDash val="solid"/>
                  <a:miter lim="800000"/>
                </a:ln>
                <a:effectLst/>
              </c:spPr>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manualLayout>
                  <c:x val="1.4117016622922135E-2"/>
                  <c:y val="-0.17012764283943335"/>
                </c:manualLayout>
              </c:layout>
              <c:numFmt formatCode="#,##0" sourceLinked="0"/>
              <c:spPr>
                <a:solidFill>
                  <a:sysClr val="window" lastClr="FFFFFF"/>
                </a:solidFill>
                <a:ln w="19050" cap="flat" cmpd="sng" algn="ctr">
                  <a:solidFill>
                    <a:srgbClr val="FFC000">
                      <a:lumMod val="60000"/>
                      <a:lumOff val="40000"/>
                    </a:srgbClr>
                  </a:solidFill>
                  <a:prstDash val="solid"/>
                  <a:miter lim="800000"/>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1567147856517935E-2"/>
                  <c:y val="-0.15524002496430622"/>
                </c:manualLayout>
              </c:layout>
              <c:numFmt formatCode="#,##0" sourceLinked="0"/>
              <c:spPr>
                <a:solidFill>
                  <a:sysClr val="window" lastClr="FFFFFF"/>
                </a:solidFill>
                <a:ln w="19050" cap="flat" cmpd="sng" algn="ctr">
                  <a:solidFill>
                    <a:srgbClr val="FFC000">
                      <a:lumMod val="60000"/>
                      <a:lumOff val="40000"/>
                    </a:srgbClr>
                  </a:solidFill>
                  <a:prstDash val="solid"/>
                  <a:miter lim="800000"/>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5497195308516064E-3"/>
                  <c:y val="-0.13461538461538461"/>
                </c:manualLayout>
              </c:layout>
              <c:numFmt formatCode="#,##0" sourceLinked="0"/>
              <c:spPr>
                <a:solidFill>
                  <a:sysClr val="window" lastClr="FFFFFF"/>
                </a:solidFill>
                <a:ln w="12700" cap="flat" cmpd="sng" algn="ctr">
                  <a:solidFill>
                    <a:srgbClr val="FFC000">
                      <a:lumMod val="60000"/>
                      <a:lumOff val="40000"/>
                    </a:srgbClr>
                  </a:solidFill>
                  <a:prstDash val="solid"/>
                  <a:miter lim="800000"/>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extLst>
                <c:ext xmlns:c15="http://schemas.microsoft.com/office/drawing/2012/chart" uri="{CE6537A1-D6FC-4f65-9D91-7224C49458BB}">
                  <c15:layout/>
                </c:ext>
              </c:extLst>
            </c:dLbl>
            <c:numFmt formatCode="#,##0" sourceLinked="0"/>
            <c:spPr>
              <a:noFill/>
              <a:ln>
                <a:solidFill>
                  <a:srgbClr val="FFC000">
                    <a:lumMod val="60000"/>
                    <a:lumOff val="40000"/>
                  </a:srgbClr>
                </a:solidFill>
              </a:ln>
              <a:effectLst/>
            </c:spPr>
            <c:txPr>
              <a:bodyPr rot="0" spcFirstLastPara="1" vertOverflow="ellipsis" vert="horz" wrap="square" anchor="ctr" anchorCtr="1"/>
              <a:lstStyle/>
              <a:p>
                <a:pPr>
                  <a:defRPr sz="1100" b="0" i="0" u="none" strike="noStrike" kern="1200" baseline="0">
                    <a:ln>
                      <a:noFill/>
                    </a:ln>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'[Trucigie_ 2014_2015_2016_2017.xlsx]Pusg'!$A$17:$A$20</c:f>
              <c:numCache>
                <c:formatCode>General</c:formatCode>
                <c:ptCount val="4"/>
                <c:pt idx="0">
                  <c:v>2013</c:v>
                </c:pt>
                <c:pt idx="1">
                  <c:v>2014</c:v>
                </c:pt>
                <c:pt idx="2">
                  <c:v>2015</c:v>
                </c:pt>
                <c:pt idx="3">
                  <c:v>2016</c:v>
                </c:pt>
              </c:numCache>
            </c:numRef>
          </c:cat>
          <c:val>
            <c:numRef>
              <c:f>'[Trucigie_ 2014_2015_2016_2017.xlsx]Pusg'!$C$17:$C$20</c:f>
              <c:numCache>
                <c:formatCode>General</c:formatCode>
                <c:ptCount val="4"/>
                <c:pt idx="0">
                  <c:v>46334</c:v>
                </c:pt>
                <c:pt idx="1">
                  <c:v>36078</c:v>
                </c:pt>
                <c:pt idx="2">
                  <c:v>26707</c:v>
                </c:pt>
                <c:pt idx="3">
                  <c:v>20851</c:v>
                </c:pt>
              </c:numCache>
            </c:numRef>
          </c:val>
        </c:ser>
        <c:dLbls>
          <c:dLblPos val="ctr"/>
          <c:showLegendKey val="0"/>
          <c:showVal val="1"/>
          <c:showCatName val="0"/>
          <c:showSerName val="0"/>
          <c:showPercent val="0"/>
          <c:showBubbleSize val="0"/>
        </c:dLbls>
        <c:gapWidth val="150"/>
        <c:overlap val="100"/>
        <c:axId val="162467640"/>
        <c:axId val="163470416"/>
      </c:barChart>
      <c:catAx>
        <c:axId val="162467640"/>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a:t>Gads</a:t>
                </a:r>
              </a:p>
            </c:rich>
          </c:tx>
          <c:layout>
            <c:manualLayout>
              <c:xMode val="edge"/>
              <c:yMode val="edge"/>
              <c:x val="0.50552077865266842"/>
              <c:y val="0.83393606743782434"/>
            </c:manualLayout>
          </c:layout>
          <c:overlay val="0"/>
          <c:spPr>
            <a:noFill/>
            <a:ln>
              <a:noFill/>
            </a:ln>
            <a:effectLst/>
          </c:sp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63470416"/>
        <c:crosses val="autoZero"/>
        <c:auto val="1"/>
        <c:lblAlgn val="ctr"/>
        <c:lblOffset val="100"/>
        <c:noMultiLvlLbl val="0"/>
      </c:catAx>
      <c:valAx>
        <c:axId val="163470416"/>
        <c:scaling>
          <c:orientation val="minMax"/>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a:t>Skaits</a:t>
                </a:r>
              </a:p>
            </c:rich>
          </c:tx>
          <c:layout>
            <c:manualLayout>
              <c:xMode val="edge"/>
              <c:yMode val="edge"/>
              <c:x val="7.2319682630186252E-3"/>
              <c:y val="0.39142489400363423"/>
            </c:manualLayout>
          </c:layout>
          <c:overlay val="0"/>
          <c:spPr>
            <a:noFill/>
            <a:ln>
              <a:noFill/>
            </a:ln>
            <a:effectLst/>
          </c:spPr>
        </c:title>
        <c:numFmt formatCode="#,##0" sourceLinked="0"/>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624676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98516520380751"/>
          <c:y val="2.7269185820023373E-2"/>
          <c:w val="0.88732442917303023"/>
          <c:h val="0.77766503378741081"/>
        </c:manualLayout>
      </c:layout>
      <c:barChart>
        <c:barDir val="col"/>
        <c:grouping val="stacked"/>
        <c:varyColors val="0"/>
        <c:ser>
          <c:idx val="0"/>
          <c:order val="0"/>
          <c:tx>
            <c:strRef>
              <c:f>Sheet1!$C$6</c:f>
              <c:strCache>
                <c:ptCount val="1"/>
                <c:pt idx="0">
                  <c:v>Trūcīgas personas (pieaugušie)</c:v>
                </c:pt>
              </c:strCache>
            </c:strRef>
          </c:tx>
          <c:spPr>
            <a:solidFill>
              <a:schemeClr val="accent2">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solidFill>
                <a:schemeClr val="lt1"/>
              </a:solidFill>
              <a:ln w="19050" cap="flat" cmpd="sng" algn="ctr">
                <a:solidFill>
                  <a:schemeClr val="accent2">
                    <a:lumMod val="75000"/>
                  </a:schemeClr>
                </a:solidFill>
                <a:prstDash val="solid"/>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Sheet1!$D$5:$K$5</c:f>
              <c:strCache>
                <c:ptCount val="8"/>
                <c:pt idx="0">
                  <c:v>2014. I</c:v>
                </c:pt>
                <c:pt idx="1">
                  <c:v>2014. VI</c:v>
                </c:pt>
                <c:pt idx="2">
                  <c:v>2015. I</c:v>
                </c:pt>
                <c:pt idx="3">
                  <c:v>2015. VI</c:v>
                </c:pt>
                <c:pt idx="4">
                  <c:v>2016. I</c:v>
                </c:pt>
                <c:pt idx="5">
                  <c:v>2016. VI</c:v>
                </c:pt>
                <c:pt idx="6">
                  <c:v>2017. I</c:v>
                </c:pt>
                <c:pt idx="7">
                  <c:v>2017. VI</c:v>
                </c:pt>
              </c:strCache>
            </c:strRef>
          </c:cat>
          <c:val>
            <c:numRef>
              <c:f>Sheet1!$D$6:$K$6</c:f>
              <c:numCache>
                <c:formatCode>General</c:formatCode>
                <c:ptCount val="8"/>
                <c:pt idx="0">
                  <c:v>54262</c:v>
                </c:pt>
                <c:pt idx="1">
                  <c:v>47137</c:v>
                </c:pt>
                <c:pt idx="2">
                  <c:v>43869</c:v>
                </c:pt>
                <c:pt idx="3">
                  <c:v>38892</c:v>
                </c:pt>
                <c:pt idx="4">
                  <c:v>36106</c:v>
                </c:pt>
                <c:pt idx="5">
                  <c:v>33448</c:v>
                </c:pt>
                <c:pt idx="6">
                  <c:v>32648</c:v>
                </c:pt>
                <c:pt idx="7">
                  <c:v>31303</c:v>
                </c:pt>
              </c:numCache>
            </c:numRef>
          </c:val>
        </c:ser>
        <c:ser>
          <c:idx val="1"/>
          <c:order val="1"/>
          <c:tx>
            <c:strRef>
              <c:f>Sheet1!$C$7</c:f>
              <c:strCache>
                <c:ptCount val="1"/>
                <c:pt idx="0">
                  <c:v>Trūcīgas personas (bērni)</c:v>
                </c:pt>
              </c:strCache>
            </c:strRef>
          </c:tx>
          <c:spPr>
            <a:solidFill>
              <a:schemeClr val="accent4"/>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solidFill>
                <a:schemeClr val="lt1"/>
              </a:solidFill>
              <a:ln w="19050" cap="flat" cmpd="sng" algn="ctr">
                <a:solidFill>
                  <a:schemeClr val="accent4">
                    <a:lumMod val="60000"/>
                    <a:lumOff val="40000"/>
                  </a:schemeClr>
                </a:solidFill>
                <a:prstDash val="solid"/>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Sheet1!$D$5:$K$5</c:f>
              <c:strCache>
                <c:ptCount val="8"/>
                <c:pt idx="0">
                  <c:v>2014. I</c:v>
                </c:pt>
                <c:pt idx="1">
                  <c:v>2014. VI</c:v>
                </c:pt>
                <c:pt idx="2">
                  <c:v>2015. I</c:v>
                </c:pt>
                <c:pt idx="3">
                  <c:v>2015. VI</c:v>
                </c:pt>
                <c:pt idx="4">
                  <c:v>2016. I</c:v>
                </c:pt>
                <c:pt idx="5">
                  <c:v>2016. VI</c:v>
                </c:pt>
                <c:pt idx="6">
                  <c:v>2017. I</c:v>
                </c:pt>
                <c:pt idx="7">
                  <c:v>2017. VI</c:v>
                </c:pt>
              </c:strCache>
            </c:strRef>
          </c:cat>
          <c:val>
            <c:numRef>
              <c:f>Sheet1!$D$7:$K$7</c:f>
              <c:numCache>
                <c:formatCode>General</c:formatCode>
                <c:ptCount val="8"/>
                <c:pt idx="0">
                  <c:v>29011</c:v>
                </c:pt>
                <c:pt idx="1">
                  <c:v>22796</c:v>
                </c:pt>
                <c:pt idx="2">
                  <c:v>21592</c:v>
                </c:pt>
                <c:pt idx="3">
                  <c:v>16705</c:v>
                </c:pt>
                <c:pt idx="4">
                  <c:v>15147</c:v>
                </c:pt>
                <c:pt idx="5">
                  <c:v>12953</c:v>
                </c:pt>
                <c:pt idx="6">
                  <c:v>12356</c:v>
                </c:pt>
                <c:pt idx="7">
                  <c:v>11896</c:v>
                </c:pt>
              </c:numCache>
            </c:numRef>
          </c:val>
        </c:ser>
        <c:dLbls>
          <c:showLegendKey val="0"/>
          <c:showVal val="1"/>
          <c:showCatName val="0"/>
          <c:showSerName val="0"/>
          <c:showPercent val="0"/>
          <c:showBubbleSize val="0"/>
        </c:dLbls>
        <c:gapWidth val="75"/>
        <c:overlap val="100"/>
        <c:serLines>
          <c:spPr>
            <a:ln w="9525" cap="flat" cmpd="sng" algn="ctr">
              <a:solidFill>
                <a:schemeClr val="tx1">
                  <a:lumMod val="35000"/>
                  <a:lumOff val="65000"/>
                </a:schemeClr>
              </a:solidFill>
              <a:round/>
            </a:ln>
            <a:effectLst/>
          </c:spPr>
        </c:serLines>
        <c:axId val="162600408"/>
        <c:axId val="162522264"/>
      </c:barChart>
      <c:catAx>
        <c:axId val="1626004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62522264"/>
        <c:crosses val="autoZero"/>
        <c:auto val="1"/>
        <c:lblAlgn val="ctr"/>
        <c:lblOffset val="100"/>
        <c:noMultiLvlLbl val="0"/>
      </c:catAx>
      <c:valAx>
        <c:axId val="1625222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26004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640F7-C0E7-4E2A-A07E-4992EC4F3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15</Pages>
  <Words>20166</Words>
  <Characters>11495</Characters>
  <Application>Microsoft Office Word</Application>
  <DocSecurity>0</DocSecurity>
  <Lines>95</Lines>
  <Paragraphs>63</Paragraphs>
  <ScaleCrop>false</ScaleCrop>
  <HeadingPairs>
    <vt:vector size="2" baseType="variant">
      <vt:variant>
        <vt:lpstr>Title</vt:lpstr>
      </vt:variant>
      <vt:variant>
        <vt:i4>1</vt:i4>
      </vt:variant>
    </vt:vector>
  </HeadingPairs>
  <TitlesOfParts>
    <vt:vector size="1" baseType="lpstr">
      <vt:lpstr>Grozījumi Ministru kabineta 2011. gada 25. janvāra noteikumos Nr. 75 „Noteikumi par aktīvo nodarbinātības pasākumu un preventīvo bezdarba samazināšanas pasākumu organizēšanas un finansēšanas kārtību un pasākumu īstenotāju izvēles principiem”</vt:lpstr>
    </vt:vector>
  </TitlesOfParts>
  <Company>LM</Company>
  <LinksUpToDate>false</LinksUpToDate>
  <CharactersWithSpaces>31598</CharactersWithSpaces>
  <SharedDoc>false</SharedDoc>
  <HLinks>
    <vt:vector size="12" baseType="variant">
      <vt:variant>
        <vt:i4>8060940</vt:i4>
      </vt:variant>
      <vt:variant>
        <vt:i4>0</vt:i4>
      </vt:variant>
      <vt:variant>
        <vt:i4>0</vt:i4>
      </vt:variant>
      <vt:variant>
        <vt:i4>5</vt:i4>
      </vt:variant>
      <vt:variant>
        <vt:lpwstr>mailto:Liga.Emule-Konone@lm.gov.lv</vt:lpwstr>
      </vt:variant>
      <vt:variant>
        <vt:lpwstr/>
      </vt:variant>
      <vt:variant>
        <vt:i4>7995514</vt:i4>
      </vt:variant>
      <vt:variant>
        <vt:i4>0</vt:i4>
      </vt:variant>
      <vt:variant>
        <vt:i4>0</vt:i4>
      </vt:variant>
      <vt:variant>
        <vt:i4>5</vt:i4>
      </vt:variant>
      <vt:variant>
        <vt:lpwstr>http://www.lm.gov.lv/text/2562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25. janvāra noteikumos Nr. 75 „Noteikumi par aktīvo nodarbinātības pasākumu un preventīvo bezdarba samazināšanas pasākumu organizēšanas un finansēšanas kārtību un pasākumu īstenotāju izvēles principiem”</dc:title>
  <dc:subject>Ministru kabineta noteikumu projekta anotācija</dc:subject>
  <dc:creator>Lauma Grafa</dc:creator>
  <cp:keywords>Anotācija</cp:keywords>
  <cp:lastModifiedBy>Ilze Latviete</cp:lastModifiedBy>
  <cp:revision>10</cp:revision>
  <cp:lastPrinted>2018-01-25T10:18:00Z</cp:lastPrinted>
  <dcterms:created xsi:type="dcterms:W3CDTF">2018-02-07T07:24:00Z</dcterms:created>
  <dcterms:modified xsi:type="dcterms:W3CDTF">2018-02-07T11:25:00Z</dcterms:modified>
</cp:coreProperties>
</file>