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59B7" w14:textId="77777777" w:rsidR="005F6E36" w:rsidRPr="00293E58" w:rsidRDefault="005F6E36" w:rsidP="00B26187">
      <w:pPr>
        <w:ind w:left="720"/>
        <w:jc w:val="center"/>
        <w:rPr>
          <w:b/>
          <w:color w:val="000000"/>
          <w:sz w:val="28"/>
          <w:szCs w:val="28"/>
        </w:rPr>
      </w:pPr>
      <w:r w:rsidRPr="00293E58">
        <w:rPr>
          <w:b/>
          <w:color w:val="000000"/>
          <w:sz w:val="28"/>
          <w:szCs w:val="28"/>
        </w:rPr>
        <w:t xml:space="preserve">Ministru kabineta noteikumu projekta </w:t>
      </w:r>
    </w:p>
    <w:p w14:paraId="4505A9C8" w14:textId="77777777" w:rsidR="005F6E36" w:rsidRPr="00293E58" w:rsidRDefault="005F6E36" w:rsidP="005F6E36">
      <w:pPr>
        <w:jc w:val="center"/>
        <w:rPr>
          <w:b/>
          <w:color w:val="000000"/>
          <w:sz w:val="28"/>
          <w:szCs w:val="28"/>
        </w:rPr>
      </w:pPr>
      <w:r w:rsidRPr="00293E58">
        <w:rPr>
          <w:b/>
          <w:color w:val="000000"/>
          <w:sz w:val="28"/>
          <w:szCs w:val="28"/>
        </w:rPr>
        <w:t>„Grozījumi M</w:t>
      </w:r>
      <w:r w:rsidR="00E1162E" w:rsidRPr="00293E58">
        <w:rPr>
          <w:b/>
          <w:color w:val="000000"/>
          <w:sz w:val="28"/>
          <w:szCs w:val="28"/>
        </w:rPr>
        <w:t xml:space="preserve">inistru kabineta </w:t>
      </w:r>
      <w:proofErr w:type="gramStart"/>
      <w:r w:rsidR="00E1162E" w:rsidRPr="00293E58">
        <w:rPr>
          <w:b/>
          <w:color w:val="000000"/>
          <w:sz w:val="28"/>
          <w:szCs w:val="28"/>
        </w:rPr>
        <w:t>2011.gada</w:t>
      </w:r>
      <w:proofErr w:type="gramEnd"/>
      <w:r w:rsidR="00E1162E" w:rsidRPr="00293E58">
        <w:rPr>
          <w:b/>
          <w:color w:val="000000"/>
          <w:sz w:val="28"/>
          <w:szCs w:val="28"/>
        </w:rPr>
        <w:t xml:space="preserve"> 25.</w:t>
      </w:r>
      <w:r w:rsidRPr="00293E58">
        <w:rPr>
          <w:b/>
          <w:color w:val="000000"/>
          <w:sz w:val="28"/>
          <w:szCs w:val="28"/>
        </w:rPr>
        <w:t xml:space="preserve">janvāra noteikumos </w:t>
      </w:r>
    </w:p>
    <w:p w14:paraId="054F3181" w14:textId="77777777" w:rsidR="005F6E36" w:rsidRPr="00293E58" w:rsidRDefault="00E1162E" w:rsidP="005F6E36">
      <w:pPr>
        <w:jc w:val="center"/>
        <w:rPr>
          <w:b/>
          <w:color w:val="000000"/>
          <w:sz w:val="28"/>
          <w:szCs w:val="28"/>
        </w:rPr>
      </w:pPr>
      <w:r w:rsidRPr="00293E58">
        <w:rPr>
          <w:b/>
          <w:color w:val="000000"/>
          <w:sz w:val="28"/>
          <w:szCs w:val="28"/>
        </w:rPr>
        <w:t>Nr.</w:t>
      </w:r>
      <w:r w:rsidR="005F6E36" w:rsidRPr="00293E58">
        <w:rPr>
          <w:b/>
          <w:color w:val="000000"/>
          <w:sz w:val="28"/>
          <w:szCs w:val="28"/>
        </w:rPr>
        <w:t>75 „Noteikumi par aktīvo nodarbinātības pasākumu un preventīvo bezdarba samazināšanas pasākumu organizēšanas un finansēšanas kārtību un pasākumu īstenotāju izvēles principiem””</w:t>
      </w:r>
    </w:p>
    <w:p w14:paraId="4A2ADF28" w14:textId="77777777" w:rsidR="00B445F0" w:rsidRPr="00293E58" w:rsidRDefault="00B76D85" w:rsidP="005F6E36">
      <w:pPr>
        <w:jc w:val="center"/>
        <w:rPr>
          <w:b/>
          <w:sz w:val="28"/>
          <w:szCs w:val="28"/>
        </w:rPr>
      </w:pPr>
      <w:r w:rsidRPr="00293E58">
        <w:rPr>
          <w:b/>
          <w:sz w:val="28"/>
          <w:szCs w:val="28"/>
        </w:rPr>
        <w:t xml:space="preserve">sākotnējās ietekmes novērtējuma </w:t>
      </w:r>
      <w:smartTag w:uri="schemas-tilde-lv/tildestengine" w:element="veidnes">
        <w:smartTagPr>
          <w:attr w:name="text" w:val="ziņojums"/>
          <w:attr w:name="id" w:val="-1"/>
          <w:attr w:name="baseform" w:val="ziņojum|s"/>
        </w:smartTagPr>
        <w:r w:rsidRPr="00293E58">
          <w:rPr>
            <w:b/>
            <w:sz w:val="28"/>
            <w:szCs w:val="28"/>
          </w:rPr>
          <w:t>ziņojums</w:t>
        </w:r>
      </w:smartTag>
      <w:r w:rsidRPr="00293E58">
        <w:rPr>
          <w:b/>
          <w:sz w:val="28"/>
          <w:szCs w:val="28"/>
        </w:rPr>
        <w:t xml:space="preserve"> (anotācija)</w:t>
      </w:r>
    </w:p>
    <w:p w14:paraId="69BFCB55" w14:textId="7E801A39" w:rsidR="00B76D85" w:rsidRDefault="00B76D85" w:rsidP="00B76D85">
      <w:pPr>
        <w:jc w:val="center"/>
        <w:rPr>
          <w:b/>
          <w:sz w:val="28"/>
          <w:szCs w:val="28"/>
        </w:rPr>
      </w:pPr>
    </w:p>
    <w:tbl>
      <w:tblPr>
        <w:tblStyle w:val="TableGrid"/>
        <w:tblW w:w="9209" w:type="dxa"/>
        <w:tblLook w:val="04A0" w:firstRow="1" w:lastRow="0" w:firstColumn="1" w:lastColumn="0" w:noHBand="0" w:noVBand="1"/>
      </w:tblPr>
      <w:tblGrid>
        <w:gridCol w:w="2830"/>
        <w:gridCol w:w="6379"/>
      </w:tblGrid>
      <w:tr w:rsidR="00B70216" w14:paraId="430C5DD7" w14:textId="77777777" w:rsidTr="00B70216">
        <w:tc>
          <w:tcPr>
            <w:tcW w:w="9209" w:type="dxa"/>
            <w:gridSpan w:val="2"/>
          </w:tcPr>
          <w:p w14:paraId="72EE825F" w14:textId="555BA445" w:rsidR="00B70216" w:rsidRPr="00B70216" w:rsidRDefault="00B70216" w:rsidP="00B76D85">
            <w:pPr>
              <w:jc w:val="center"/>
              <w:rPr>
                <w:b/>
              </w:rPr>
            </w:pPr>
            <w:r w:rsidRPr="00B70216">
              <w:rPr>
                <w:b/>
              </w:rPr>
              <w:t>Tiesību akta projekta anotācijas kopsavilkums</w:t>
            </w:r>
          </w:p>
        </w:tc>
      </w:tr>
      <w:tr w:rsidR="00B70216" w14:paraId="764DEBBE" w14:textId="77777777" w:rsidTr="00B70216">
        <w:tc>
          <w:tcPr>
            <w:tcW w:w="2830" w:type="dxa"/>
          </w:tcPr>
          <w:p w14:paraId="4C78C72A" w14:textId="25CD222D" w:rsidR="00B70216" w:rsidRPr="00B70216" w:rsidRDefault="00B70216" w:rsidP="00B70216">
            <w:r w:rsidRPr="00B70216">
              <w:t xml:space="preserve">Mērķis, risinājums un projekta spēkā stāšanās laiks </w:t>
            </w:r>
          </w:p>
        </w:tc>
        <w:tc>
          <w:tcPr>
            <w:tcW w:w="6379" w:type="dxa"/>
          </w:tcPr>
          <w:p w14:paraId="507D69BA" w14:textId="13B2F01F" w:rsidR="00B70216" w:rsidRPr="00DB4CA7" w:rsidRDefault="00DB4CA7" w:rsidP="00DB4CA7">
            <w:pPr>
              <w:jc w:val="both"/>
            </w:pPr>
            <w:r>
              <w:t xml:space="preserve">Lai veicinātu bezdarbnieku apmācību kvalitāti un īstenošanas nosacījumu ievērošanu, </w:t>
            </w:r>
            <w:r w:rsidRPr="00DB4CA7">
              <w:t xml:space="preserve">Ministru kabineta noteikumu projekts „Grozījumi Ministru kabineta </w:t>
            </w:r>
            <w:proofErr w:type="gramStart"/>
            <w:r w:rsidRPr="00DB4CA7">
              <w:t>2011.gada</w:t>
            </w:r>
            <w:proofErr w:type="gramEnd"/>
            <w:r w:rsidRPr="00DB4CA7">
              <w:t xml:space="preserve"> 25.janvāra noteikumos Nr.75 „Noteikumi par aktīvo nodarbinātības pasākumu un preventīvo bezdarba samazināšanas pasākumu organizēšanas un finansēšanas kārtību un pasākumu īstenotāju izvēles principiem”” (turpmāk - Noteikumu projekts)</w:t>
            </w:r>
            <w:r w:rsidR="005D74DF" w:rsidRPr="00DB4CA7">
              <w:t xml:space="preserve"> paredz pastiprinātu profesionālās apmācības, pārkvalifikācijas, kvalifikācijas paaugstināšanas un neformālās izglītības ieguves pasākumu īstenotāju atbildību par pasākumu īstenošanas nosacījumu neievērošanu</w:t>
            </w:r>
            <w:r>
              <w:t>, kā arī nosaka papildus kritērijus izglītības iestādēm, kuras vēlas īstenot profesionālās tālākizglītības un profesionālās pilnveides programmas bezdarbnieku apmācību ietvaros</w:t>
            </w:r>
            <w:r w:rsidR="005D74DF" w:rsidRPr="00DB4CA7">
              <w:t>. Tāpat pēc Labklājības ministrijas iniciatīvas,  Noteikumu projektā ietvertas tiesību normas, kas pilnveido aktīvās darba tirgus politikas pasākumu īstenošanas nosacījumus, lai nodrošinātu bezdarbniekiem efektīvāku atbalstu darba meklēšanā un nodrošinātu mērķētākus atbalsta pasākumus</w:t>
            </w:r>
            <w:r>
              <w:t>, t.sk. paredzot atbalstu reģionālajai mobilitātei, uzsākot darbu Rīgā</w:t>
            </w:r>
            <w:r w:rsidR="005D74DF" w:rsidRPr="00DB4CA7">
              <w:t>.</w:t>
            </w:r>
          </w:p>
        </w:tc>
      </w:tr>
    </w:tbl>
    <w:p w14:paraId="3D89F7D1" w14:textId="77777777" w:rsidR="00B70216" w:rsidRPr="00293E58" w:rsidRDefault="00B70216" w:rsidP="00B70216">
      <w:pPr>
        <w:rPr>
          <w:b/>
          <w:sz w:val="28"/>
          <w:szCs w:val="28"/>
        </w:rPr>
      </w:pPr>
    </w:p>
    <w:tbl>
      <w:tblPr>
        <w:tblpPr w:leftFromText="180" w:rightFromText="180" w:vertAnchor="text" w:tblpY="1"/>
        <w:tblOverlap w:val="neve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419"/>
        <w:gridCol w:w="6410"/>
      </w:tblGrid>
      <w:tr w:rsidR="00194614" w:rsidRPr="00293E58" w14:paraId="5A7168DC" w14:textId="77777777" w:rsidTr="00404CA9">
        <w:tc>
          <w:tcPr>
            <w:tcW w:w="5000" w:type="pct"/>
            <w:gridSpan w:val="3"/>
            <w:shd w:val="clear" w:color="auto" w:fill="auto"/>
          </w:tcPr>
          <w:p w14:paraId="7DE878DB" w14:textId="77777777" w:rsidR="00194614" w:rsidRPr="00293E58" w:rsidRDefault="00C01716" w:rsidP="00554092">
            <w:pPr>
              <w:jc w:val="center"/>
              <w:rPr>
                <w:b/>
              </w:rPr>
            </w:pPr>
            <w:r w:rsidRPr="00293E58">
              <w:rPr>
                <w:b/>
              </w:rPr>
              <w:t>I</w:t>
            </w:r>
            <w:r w:rsidR="00DC37D9" w:rsidRPr="00293E58">
              <w:rPr>
                <w:b/>
              </w:rPr>
              <w:t>.</w:t>
            </w:r>
            <w:r w:rsidRPr="00293E58">
              <w:rPr>
                <w:b/>
              </w:rPr>
              <w:t xml:space="preserve"> Tiesību </w:t>
            </w:r>
            <w:smartTag w:uri="schemas-tilde-lv/tildestengine" w:element="veidnes">
              <w:smartTagPr>
                <w:attr w:name="text" w:val="akta"/>
                <w:attr w:name="id" w:val="-1"/>
                <w:attr w:name="baseform" w:val="akt|s"/>
              </w:smartTagPr>
              <w:r w:rsidRPr="00293E58">
                <w:rPr>
                  <w:b/>
                </w:rPr>
                <w:t>akta</w:t>
              </w:r>
            </w:smartTag>
            <w:r w:rsidRPr="00293E58">
              <w:rPr>
                <w:b/>
              </w:rPr>
              <w:t xml:space="preserve"> projekta izstrādes nepieciešamība</w:t>
            </w:r>
          </w:p>
        </w:tc>
      </w:tr>
      <w:tr w:rsidR="00B76D85" w:rsidRPr="00293E58" w14:paraId="2E1B53AC" w14:textId="77777777" w:rsidTr="00404CA9">
        <w:tc>
          <w:tcPr>
            <w:tcW w:w="207" w:type="pct"/>
            <w:shd w:val="clear" w:color="auto" w:fill="auto"/>
          </w:tcPr>
          <w:p w14:paraId="4BD0B123" w14:textId="77777777" w:rsidR="00B76D85" w:rsidRPr="00293E58" w:rsidRDefault="00B76D85" w:rsidP="00554092">
            <w:pPr>
              <w:rPr>
                <w:sz w:val="22"/>
                <w:szCs w:val="22"/>
              </w:rPr>
            </w:pPr>
            <w:r w:rsidRPr="00293E58">
              <w:rPr>
                <w:sz w:val="22"/>
                <w:szCs w:val="22"/>
              </w:rPr>
              <w:t>1.</w:t>
            </w:r>
          </w:p>
        </w:tc>
        <w:tc>
          <w:tcPr>
            <w:tcW w:w="1313" w:type="pct"/>
            <w:shd w:val="clear" w:color="auto" w:fill="auto"/>
          </w:tcPr>
          <w:p w14:paraId="2028772A" w14:textId="77777777" w:rsidR="00B76D85" w:rsidRPr="00293E58" w:rsidRDefault="00B76D85" w:rsidP="00554092">
            <w:r w:rsidRPr="00293E58">
              <w:t>Pamatojums</w:t>
            </w:r>
          </w:p>
        </w:tc>
        <w:tc>
          <w:tcPr>
            <w:tcW w:w="3480" w:type="pct"/>
            <w:shd w:val="clear" w:color="auto" w:fill="auto"/>
          </w:tcPr>
          <w:p w14:paraId="4B704BDE" w14:textId="17CBFBE2" w:rsidR="00B650FE" w:rsidRPr="00293E58" w:rsidRDefault="003819E0" w:rsidP="00554092">
            <w:pPr>
              <w:contextualSpacing/>
              <w:jc w:val="both"/>
            </w:pPr>
            <w:r w:rsidRPr="00293E58">
              <w:t xml:space="preserve">Noteikumu projekts </w:t>
            </w:r>
            <w:r w:rsidR="00980919" w:rsidRPr="00293E58">
              <w:t>izstrādāts</w:t>
            </w:r>
            <w:r w:rsidR="00876FF0">
              <w:t xml:space="preserve">, lai </w:t>
            </w:r>
            <w:r w:rsidR="00876FF0" w:rsidRPr="00895480">
              <w:rPr>
                <w:rFonts w:eastAsia="Calibri"/>
              </w:rPr>
              <w:t xml:space="preserve">izpildītu Ministru kabineta </w:t>
            </w:r>
            <w:proofErr w:type="gramStart"/>
            <w:r w:rsidR="00876FF0" w:rsidRPr="00895480">
              <w:rPr>
                <w:rFonts w:eastAsia="Calibri"/>
              </w:rPr>
              <w:t>201</w:t>
            </w:r>
            <w:r w:rsidR="00876FF0">
              <w:rPr>
                <w:rFonts w:eastAsia="Calibri"/>
              </w:rPr>
              <w:t>7</w:t>
            </w:r>
            <w:r w:rsidR="00876FF0" w:rsidRPr="00895480">
              <w:rPr>
                <w:rFonts w:eastAsia="Calibri"/>
              </w:rPr>
              <w:t>.gada</w:t>
            </w:r>
            <w:proofErr w:type="gramEnd"/>
            <w:r w:rsidR="00876FF0" w:rsidRPr="00895480">
              <w:rPr>
                <w:rFonts w:eastAsia="Calibri"/>
              </w:rPr>
              <w:t xml:space="preserve"> </w:t>
            </w:r>
            <w:r w:rsidR="00876FF0">
              <w:rPr>
                <w:rFonts w:eastAsia="Calibri"/>
              </w:rPr>
              <w:t>21</w:t>
            </w:r>
            <w:r w:rsidR="00876FF0" w:rsidRPr="00895480">
              <w:rPr>
                <w:rFonts w:eastAsia="Calibri"/>
              </w:rPr>
              <w:t>.</w:t>
            </w:r>
            <w:r w:rsidR="00876FF0">
              <w:rPr>
                <w:rFonts w:eastAsia="Calibri"/>
              </w:rPr>
              <w:t>novembr</w:t>
            </w:r>
            <w:r w:rsidR="00876FF0" w:rsidRPr="00895480">
              <w:rPr>
                <w:rFonts w:eastAsia="Calibri"/>
              </w:rPr>
              <w:t>a sēdē (prot. Nr.</w:t>
            </w:r>
            <w:r w:rsidR="00876FF0">
              <w:rPr>
                <w:rFonts w:eastAsia="Calibri"/>
              </w:rPr>
              <w:t>58</w:t>
            </w:r>
            <w:r w:rsidR="00876FF0" w:rsidRPr="00895480">
              <w:rPr>
                <w:rFonts w:eastAsia="Calibri"/>
              </w:rPr>
              <w:t xml:space="preserve">, </w:t>
            </w:r>
            <w:r w:rsidR="00876FF0">
              <w:rPr>
                <w:rFonts w:eastAsia="Calibri"/>
              </w:rPr>
              <w:t>33</w:t>
            </w:r>
            <w:r w:rsidR="00876FF0" w:rsidRPr="00895480">
              <w:rPr>
                <w:rFonts w:eastAsia="Calibri"/>
              </w:rPr>
              <w:t xml:space="preserve">.§, </w:t>
            </w:r>
            <w:r w:rsidR="00876FF0">
              <w:rPr>
                <w:rFonts w:eastAsia="Calibri"/>
              </w:rPr>
              <w:t>2.</w:t>
            </w:r>
            <w:r w:rsidR="00876FF0" w:rsidRPr="00895480">
              <w:rPr>
                <w:rFonts w:eastAsia="Calibri"/>
              </w:rPr>
              <w:t>punkts) dot</w:t>
            </w:r>
            <w:r w:rsidR="00876FF0">
              <w:rPr>
                <w:rFonts w:eastAsia="Calibri"/>
              </w:rPr>
              <w:t>o</w:t>
            </w:r>
            <w:r w:rsidR="00876FF0" w:rsidRPr="00895480">
              <w:rPr>
                <w:rFonts w:eastAsia="Calibri"/>
              </w:rPr>
              <w:t xml:space="preserve"> uzdevum</w:t>
            </w:r>
            <w:r w:rsidR="00876FF0">
              <w:rPr>
                <w:rFonts w:eastAsia="Calibri"/>
              </w:rPr>
              <w:t>u</w:t>
            </w:r>
            <w:r w:rsidR="00876FF0" w:rsidRPr="00895480">
              <w:rPr>
                <w:rFonts w:eastAsia="Calibri"/>
              </w:rPr>
              <w:t xml:space="preserve">: </w:t>
            </w:r>
            <w:r w:rsidR="00876FF0" w:rsidRPr="00876FF0">
              <w:t xml:space="preserve"> </w:t>
            </w:r>
            <w:r w:rsidR="00876FF0" w:rsidRPr="00876FF0">
              <w:rPr>
                <w:rFonts w:eastAsia="Calibri"/>
              </w:rPr>
              <w:t xml:space="preserve">līdz 2017.gada 30.decembrim iesniegt Ministru kabinetā </w:t>
            </w:r>
            <w:r w:rsidR="00876FF0">
              <w:rPr>
                <w:rFonts w:eastAsia="Calibri"/>
              </w:rPr>
              <w:t>Noteikumu projektu</w:t>
            </w:r>
            <w:r w:rsidR="00876FF0" w:rsidRPr="00876FF0">
              <w:rPr>
                <w:rFonts w:eastAsia="Calibri"/>
              </w:rPr>
              <w:t>, paredzot pastiprinātu profesionālās apmācības, pārkvalifikācijas, kvalifikācijas paaugstināšanas un neformālās izglītības ieguves pasākumu īstenotāju atbildību par pasākumu īstenošanas nosacījumu neievērošanu</w:t>
            </w:r>
            <w:r w:rsidR="009104F3" w:rsidRPr="00293E58">
              <w:t>.</w:t>
            </w:r>
            <w:r w:rsidR="00876FF0">
              <w:t xml:space="preserve"> </w:t>
            </w:r>
          </w:p>
        </w:tc>
      </w:tr>
      <w:tr w:rsidR="00557FCA" w:rsidRPr="00557FCA" w14:paraId="4F81F4DD" w14:textId="77777777" w:rsidTr="00404CA9">
        <w:tc>
          <w:tcPr>
            <w:tcW w:w="207" w:type="pct"/>
            <w:shd w:val="clear" w:color="auto" w:fill="auto"/>
          </w:tcPr>
          <w:p w14:paraId="6965C705" w14:textId="77777777" w:rsidR="00B76D85" w:rsidRPr="00293E58" w:rsidRDefault="00B76D85" w:rsidP="00554092">
            <w:pPr>
              <w:rPr>
                <w:sz w:val="22"/>
                <w:szCs w:val="22"/>
              </w:rPr>
            </w:pPr>
            <w:r w:rsidRPr="00293E58">
              <w:rPr>
                <w:sz w:val="22"/>
                <w:szCs w:val="22"/>
              </w:rPr>
              <w:t xml:space="preserve">2. </w:t>
            </w:r>
          </w:p>
        </w:tc>
        <w:tc>
          <w:tcPr>
            <w:tcW w:w="1313" w:type="pct"/>
            <w:shd w:val="clear" w:color="auto" w:fill="auto"/>
          </w:tcPr>
          <w:p w14:paraId="00910D58" w14:textId="77777777" w:rsidR="00B76D85" w:rsidRPr="00293E58" w:rsidRDefault="004373E9" w:rsidP="00554092">
            <w:pPr>
              <w:rPr>
                <w:sz w:val="22"/>
                <w:szCs w:val="22"/>
              </w:rPr>
            </w:pPr>
            <w:r w:rsidRPr="00293E58">
              <w:t>Pašreizējā situācija un problēmas, kuru risināšanai tiesību akta projekts izstrādāts, tiesiskā regulējuma mērķis un būtība</w:t>
            </w:r>
          </w:p>
        </w:tc>
        <w:tc>
          <w:tcPr>
            <w:tcW w:w="3480" w:type="pct"/>
            <w:shd w:val="clear" w:color="auto" w:fill="auto"/>
          </w:tcPr>
          <w:p w14:paraId="57B9AC7A" w14:textId="1B7BDFA1" w:rsidR="00A44C72" w:rsidRPr="00557FCA" w:rsidRDefault="001A6ED5" w:rsidP="001A6ED5">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1. Nodarbinātības valsts aģentūra (turpmāk - NVA) apmācību kuponus bezdarbniekiem izsniedz rindas kārtībā. Praksē veidojas situācijas, kad atsevišķās apmācību programmās ir sarežģīti vai pat neiespējami nokomplektēt grupas, jo konkrētajā periodā ir izsniegts ļoti neliels kuponu skaits tiem bezdarbniekiem, kuri izteikuši vēlmi apgūt mazāk pieprasītas vai specifi</w:t>
            </w:r>
            <w:r w:rsidR="005B6712" w:rsidRPr="00557FCA">
              <w:rPr>
                <w:rFonts w:ascii="Times New Roman" w:hAnsi="Times New Roman"/>
                <w:sz w:val="24"/>
                <w:szCs w:val="24"/>
              </w:rPr>
              <w:t>s</w:t>
            </w:r>
            <w:r w:rsidRPr="00557FCA">
              <w:rPr>
                <w:rFonts w:ascii="Times New Roman" w:hAnsi="Times New Roman"/>
                <w:sz w:val="24"/>
                <w:szCs w:val="24"/>
              </w:rPr>
              <w:t xml:space="preserve">kas izglītības programmas. Nepieciešams nodrošināt, ka </w:t>
            </w:r>
            <w:proofErr w:type="gramStart"/>
            <w:r w:rsidRPr="00557FCA">
              <w:rPr>
                <w:rFonts w:ascii="Times New Roman" w:hAnsi="Times New Roman"/>
                <w:sz w:val="24"/>
                <w:szCs w:val="24"/>
              </w:rPr>
              <w:t>vienlaicīgi tiek</w:t>
            </w:r>
            <w:proofErr w:type="gramEnd"/>
            <w:r w:rsidRPr="00557FCA">
              <w:rPr>
                <w:rFonts w:ascii="Times New Roman" w:hAnsi="Times New Roman"/>
                <w:sz w:val="24"/>
                <w:szCs w:val="24"/>
              </w:rPr>
              <w:t xml:space="preserve"> izsniegts lielāks kuponu skaits tiem bezdarbniekiem, kuri izteikuši vienādas apmācību vēlmes, tādējādi grupu komplektācija šajās izglītības programmās kļūtu vienkāršāka. Noteikumu projekts paredz, ka apmācību kuponu izsniegšanas </w:t>
            </w:r>
            <w:r w:rsidRPr="00557FCA">
              <w:rPr>
                <w:rFonts w:ascii="Times New Roman" w:hAnsi="Times New Roman"/>
                <w:sz w:val="24"/>
                <w:szCs w:val="24"/>
              </w:rPr>
              <w:lastRenderedPageBreak/>
              <w:t>kārtību un secību aģentūra nosaka atbilstoši bezdarbnieku izteiktajām vēlmēm apgūt konkrētas izglītības programmas, konkrētā laika periodā (Noteikumu projekta 1.punkts).</w:t>
            </w:r>
          </w:p>
          <w:p w14:paraId="72AD4B18" w14:textId="77777777" w:rsidR="00C0757E" w:rsidRPr="00557FCA" w:rsidRDefault="00C0757E" w:rsidP="00554092">
            <w:pPr>
              <w:pStyle w:val="ListParagraph"/>
              <w:shd w:val="clear" w:color="auto" w:fill="FFFFFF"/>
              <w:spacing w:after="0" w:line="240" w:lineRule="auto"/>
              <w:ind w:left="0"/>
              <w:jc w:val="both"/>
              <w:rPr>
                <w:rFonts w:ascii="Times New Roman" w:hAnsi="Times New Roman"/>
                <w:sz w:val="28"/>
                <w:szCs w:val="28"/>
              </w:rPr>
            </w:pPr>
          </w:p>
          <w:p w14:paraId="1CFC7477" w14:textId="139668E4" w:rsidR="00A11271" w:rsidRPr="00557FCA" w:rsidRDefault="00C0757E" w:rsidP="0055409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2.</w:t>
            </w:r>
            <w:r w:rsidR="001A6ED5" w:rsidRPr="00557FCA">
              <w:rPr>
                <w:rFonts w:ascii="Times New Roman" w:hAnsi="Times New Roman"/>
                <w:sz w:val="24"/>
                <w:szCs w:val="24"/>
              </w:rPr>
              <w:t xml:space="preserve"> </w:t>
            </w:r>
            <w:r w:rsidRPr="00557FCA">
              <w:rPr>
                <w:rFonts w:ascii="Times New Roman" w:eastAsiaTheme="minorHAnsi" w:hAnsi="Times New Roman"/>
                <w:sz w:val="24"/>
                <w:szCs w:val="24"/>
              </w:rPr>
              <w:t xml:space="preserve"> </w:t>
            </w:r>
            <w:r w:rsidRPr="00557FCA">
              <w:rPr>
                <w:rFonts w:ascii="Times New Roman" w:hAnsi="Times New Roman"/>
                <w:sz w:val="24"/>
                <w:szCs w:val="24"/>
              </w:rPr>
              <w:t>Atbilstoši 2016. gada 20. decembra ministru kabineta noteikumu Nr.</w:t>
            </w:r>
            <w:r w:rsidRPr="00557FCA">
              <w:rPr>
                <w:rFonts w:ascii="Times New Roman" w:hAnsi="Times New Roman"/>
                <w:bCs/>
                <w:sz w:val="24"/>
                <w:szCs w:val="24"/>
              </w:rPr>
              <w:t xml:space="preserve">831 </w:t>
            </w:r>
            <w:bookmarkStart w:id="0" w:name="_Hlk503873645"/>
            <w:r w:rsidRPr="00557FCA">
              <w:rPr>
                <w:rFonts w:ascii="Times New Roman" w:hAnsi="Times New Roman"/>
                <w:bCs/>
                <w:sz w:val="24"/>
                <w:szCs w:val="24"/>
              </w:rPr>
              <w:t>„</w:t>
            </w:r>
            <w:bookmarkEnd w:id="0"/>
            <w:r w:rsidRPr="00557FCA">
              <w:rPr>
                <w:rFonts w:ascii="Times New Roman" w:hAnsi="Times New Roman"/>
                <w:bCs/>
                <w:sz w:val="24"/>
                <w:szCs w:val="24"/>
              </w:rPr>
              <w:t xml:space="preserve">Kārtība, kādā akreditē izglītības iestādes, eksaminācijas centrus un citas </w:t>
            </w:r>
            <w:hyperlink r:id="rId8" w:tgtFrame="_blank" w:history="1">
              <w:r w:rsidRPr="00557FCA">
                <w:rPr>
                  <w:rStyle w:val="Hyperlink"/>
                  <w:rFonts w:ascii="Times New Roman" w:hAnsi="Times New Roman"/>
                  <w:bCs/>
                  <w:color w:val="auto"/>
                  <w:sz w:val="24"/>
                  <w:szCs w:val="24"/>
                  <w:u w:val="none"/>
                </w:rPr>
                <w:t>Izglītības likumā</w:t>
              </w:r>
            </w:hyperlink>
            <w:r w:rsidRPr="00557FCA">
              <w:rPr>
                <w:rFonts w:ascii="Times New Roman" w:hAnsi="Times New Roman"/>
                <w:bCs/>
                <w:sz w:val="24"/>
                <w:szCs w:val="24"/>
              </w:rPr>
              <w:t xml:space="preserve"> noteiktās institūcijas, vispārējās un profesionālās izglītības programmas un novērtē valsts augstskolu vidējās izglītības iestāžu, valsts un pašvaldību izglītības iestāžu vadītāju profesionālo darbību” 35.punktam, </w:t>
            </w:r>
            <w:r w:rsidRPr="00557FCA">
              <w:rPr>
                <w:rFonts w:ascii="Times New Roman" w:hAnsi="Times New Roman"/>
                <w:sz w:val="24"/>
                <w:szCs w:val="24"/>
              </w:rPr>
              <w:t>izglītības programmas (izņemot profesionālās tālākizglītības programmu) akreditē</w:t>
            </w:r>
            <w:r w:rsidRPr="00557FCA">
              <w:rPr>
                <w:rFonts w:ascii="Times New Roman" w:hAnsi="Times New Roman"/>
                <w:bCs/>
                <w:sz w:val="24"/>
                <w:szCs w:val="24"/>
              </w:rPr>
              <w:t xml:space="preserve"> </w:t>
            </w:r>
            <w:r w:rsidRPr="00557FCA">
              <w:rPr>
                <w:rFonts w:ascii="Times New Roman" w:hAnsi="Times New Roman"/>
                <w:sz w:val="24"/>
                <w:szCs w:val="24"/>
              </w:rPr>
              <w:t xml:space="preserve">uz sešiem gadiem, ja atsevišķi tās kvalitātes kritēriji (mācīšanas kvalitāte un izglītības iestādes iekārtas un materiāltehniskie resursi) ir novērtēti ar kvalitātes vērtējuma līmeni </w:t>
            </w:r>
            <w:r w:rsidRPr="00557FCA">
              <w:rPr>
                <w:rFonts w:ascii="Times New Roman" w:hAnsi="Times New Roman"/>
                <w:bCs/>
                <w:sz w:val="24"/>
                <w:szCs w:val="24"/>
              </w:rPr>
              <w:t>„</w:t>
            </w:r>
            <w:r w:rsidRPr="00557FCA">
              <w:rPr>
                <w:rFonts w:ascii="Times New Roman" w:hAnsi="Times New Roman"/>
                <w:sz w:val="24"/>
                <w:szCs w:val="24"/>
              </w:rPr>
              <w:t xml:space="preserve">labi” vai augstāku, savukārt pārējie kvalitātes kritēriji novērtēti ar </w:t>
            </w:r>
            <w:r w:rsidRPr="00557FCA">
              <w:rPr>
                <w:rFonts w:ascii="Times New Roman" w:hAnsi="Times New Roman"/>
                <w:bCs/>
                <w:sz w:val="24"/>
                <w:szCs w:val="24"/>
              </w:rPr>
              <w:t>„</w:t>
            </w:r>
            <w:r w:rsidRPr="00557FCA">
              <w:rPr>
                <w:rFonts w:ascii="Times New Roman" w:hAnsi="Times New Roman"/>
                <w:sz w:val="24"/>
                <w:szCs w:val="24"/>
              </w:rPr>
              <w:t>pietiekami” vai augstāku. Lai nodrošinātu, ka bezdarbnieku apmācību ietvaros tiktu nodrošināts kvalitatīvs mācību saturs, vide un atbalsts, kā arī atbilstoši organizēts izglītības iestādes darbs, Noteikumu projekts paredz, ka izglītības iestādēm, kas īsteno profesionālās tālākizglītības un profesionālās pilnveides programmas, tās īstenotās programmas, kuru apguve tiek piedāvāta bezdarbniekiem, ir akreditētas uz 6 gadiem</w:t>
            </w:r>
            <w:r w:rsidR="00115A7D" w:rsidRPr="00557FCA">
              <w:rPr>
                <w:rFonts w:ascii="Times New Roman" w:hAnsi="Times New Roman"/>
                <w:sz w:val="24"/>
                <w:szCs w:val="24"/>
              </w:rPr>
              <w:t xml:space="preserve"> (Noteikumu projekta 3.punkts)</w:t>
            </w:r>
            <w:r w:rsidRPr="00557FCA">
              <w:rPr>
                <w:rFonts w:ascii="Times New Roman" w:hAnsi="Times New Roman"/>
                <w:sz w:val="24"/>
                <w:szCs w:val="24"/>
              </w:rPr>
              <w:t>.</w:t>
            </w:r>
          </w:p>
          <w:p w14:paraId="0C42AFAC" w14:textId="1EC910A0" w:rsidR="00115A7D" w:rsidRPr="00557FCA" w:rsidRDefault="00115A7D" w:rsidP="0055409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Mācību procesa kvalitātes un apmācību rezultātu uzlabošanā noteicoša loma ir pedagogu darbam un profesionālajai sagatavotībai. Šobrīd MK noteikumi Nr.75 neizvirza specifiskas prasības profesionālo izglītības iestāžu mācībspēku izglītībai un kvalifikācijai. Lai uzlabotu bezdarbnieku apmācību procesa kvalitāti un rezultātus, Noteikumu projekts paredz papildu prasības to izglītības iestāžu personālām, kas bezdarbniekiem piedāvā profesionālās pilnveides un profesionālās tālākizglītības programmu apguvi. Izglītības iestādei nepieciešams apliecināt, ka tā spēj nodrošināt kvalificētu personālu apmācību procesa norisei, īstenojot atbilstošās profesionālās izglītības programmas (Noteikumu projekta 4.punkts).</w:t>
            </w:r>
          </w:p>
          <w:p w14:paraId="228F847F" w14:textId="28DA7BCE" w:rsidR="00115A7D" w:rsidRPr="00557FCA" w:rsidRDefault="0070087E" w:rsidP="0055409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Bezdarbnieku un darba meklētāju atbalsta likuma 2.</w:t>
            </w:r>
            <w:r w:rsidRPr="00557FCA">
              <w:rPr>
                <w:rFonts w:ascii="Times New Roman" w:hAnsi="Times New Roman"/>
                <w:sz w:val="24"/>
                <w:szCs w:val="24"/>
                <w:vertAlign w:val="superscript"/>
              </w:rPr>
              <w:t>1</w:t>
            </w:r>
            <w:r w:rsidRPr="00557FCA">
              <w:rPr>
                <w:rFonts w:ascii="Times New Roman" w:hAnsi="Times New Roman"/>
                <w:sz w:val="24"/>
                <w:szCs w:val="24"/>
              </w:rPr>
              <w:t xml:space="preserve"> pants paredz atšķirīgas attieksmes aizliegumu, īstenojot aktīvos nodarbinātības pasākumus t.sk. bezdarbnieku apmācību. Praksē iespējami gadījumi, kad bezdarbnieki ar invaliditāti vēlas apgūt konkrētas profesionālās izglītības programmas, taču to apguve konkrētās izglītības iestād</w:t>
            </w:r>
            <w:r w:rsidR="00F62622" w:rsidRPr="00557FCA">
              <w:rPr>
                <w:rFonts w:ascii="Times New Roman" w:hAnsi="Times New Roman"/>
                <w:sz w:val="24"/>
                <w:szCs w:val="24"/>
              </w:rPr>
              <w:t>ē</w:t>
            </w:r>
            <w:r w:rsidRPr="00557FCA">
              <w:rPr>
                <w:rFonts w:ascii="Times New Roman" w:hAnsi="Times New Roman"/>
                <w:sz w:val="24"/>
                <w:szCs w:val="24"/>
              </w:rPr>
              <w:t xml:space="preserve">s nav pieejama, jo personu ar invaliditāti piekļuve šīm apmācībām ir ierobežota. MK noteikumu Nr.75 43.2.apakšpunkts nosaka, ka apmācību vieta bezdarbniekam ar invaliditāti var tikt pielāgota atbilstoši ergoterapeita atzinumam un pielāgojumu izmaksas sedz NVA (ne vairāk kā 711 </w:t>
            </w:r>
            <w:proofErr w:type="spellStart"/>
            <w:r w:rsidRPr="00557FCA">
              <w:rPr>
                <w:rFonts w:ascii="Times New Roman" w:hAnsi="Times New Roman"/>
                <w:i/>
                <w:sz w:val="24"/>
                <w:szCs w:val="24"/>
              </w:rPr>
              <w:t>euro</w:t>
            </w:r>
            <w:proofErr w:type="spellEnd"/>
            <w:r w:rsidRPr="00557FCA">
              <w:rPr>
                <w:rFonts w:ascii="Times New Roman" w:hAnsi="Times New Roman"/>
                <w:sz w:val="24"/>
                <w:szCs w:val="24"/>
              </w:rPr>
              <w:t xml:space="preserve"> vienai mācību vai prakses vieta, tai skaitā iekārtu un aprīkojuma iegādei, kā arī tehnisko palīglīdzekļu izgatavošanai un iegādei). Ņemot vērā, ka bezdarbnieku apmācību ietvaros tiek segtas izmaksas apmācību vietas </w:t>
            </w:r>
            <w:r w:rsidRPr="00557FCA">
              <w:rPr>
                <w:rFonts w:ascii="Times New Roman" w:hAnsi="Times New Roman"/>
                <w:sz w:val="24"/>
                <w:szCs w:val="24"/>
              </w:rPr>
              <w:lastRenderedPageBreak/>
              <w:t>pielāgošanai, izglītības iestādēm iespēju robežās būtu jānodrošina iespēja bezdarbniekiem ar invaliditāti apgūt piedāvātā profesionālās izglītības programmas, īstenojot nepieciešamos pasākumus, lai veicinātu bezdarbnieku ar invaliditāti piekļuvi apmācībām (Noteikumu projekta 5.punkts).</w:t>
            </w:r>
          </w:p>
          <w:p w14:paraId="0E493152" w14:textId="578F52FB" w:rsidR="0070087E" w:rsidRPr="00557FCA" w:rsidRDefault="0070087E" w:rsidP="0070087E">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Atbilstoši MK noteikumu Nr.75 15.3.apakšpunktam, bezdarbnieku apmācību pasākumu īstenošanai NVA izvēlas izglītības iestādes, kurām ir pasākuma īstenošanai atbilstoša materiāltehniskā bāze, kas izveidota jau pirms pasākuma īstenošanas uzsākšanas, ja šāda materiāltehniskā bāze ir nepieciešama apmācību īstenošanai. Praksē iespējami gadījumi, kad izglītības iestāde norāda vairākas pasākumu īstenošanas vietas, kas bezdarbniekiem var radīt maldīgu iespaidu par iespējām apgūt konkrētas apmācību programmas, konkrētajās īstenošanas vietās un par īstenošanas vietu aprīkojumu konkrēto apmācību īstenošanai. Noteikumu projekts paredz, ka materiāltehniskajai bāzei jābūt pieejamai pasākuma īstenošanas vietās jeb norādītajās adresēs (Noteikumu projekta 6.punkts).</w:t>
            </w:r>
          </w:p>
          <w:p w14:paraId="167145F3" w14:textId="77777777" w:rsidR="005E0722" w:rsidRPr="00557FCA" w:rsidRDefault="005E0722" w:rsidP="00E650F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Atbilstoši Negodīgas komercprakses aizlieguma likumam, komercprakse ir negodīga, ja iestājies vismaz viens no šādiem nosacījumiem:</w:t>
            </w:r>
          </w:p>
          <w:p w14:paraId="12952F35" w14:textId="77777777" w:rsidR="005E0722" w:rsidRPr="00557FCA" w:rsidRDefault="005E0722" w:rsidP="00E650F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1) tā neatbilst profesionālajai rūpībai un būtiski negatīvi ietekmē</w:t>
            </w:r>
            <w:proofErr w:type="gramStart"/>
            <w:r w:rsidRPr="00557FCA">
              <w:rPr>
                <w:rFonts w:ascii="Times New Roman" w:hAnsi="Times New Roman"/>
                <w:sz w:val="24"/>
                <w:szCs w:val="24"/>
              </w:rPr>
              <w:t xml:space="preserve"> vai var būtiski negatīvi ietekmēt tāda vidusmēra patērētāja vai tādas patērētāju grupas vidusmēra pārstāvja ekonomisko rīcību attiecībā uz preci vai pakalpojumu</w:t>
            </w:r>
            <w:proofErr w:type="gramEnd"/>
            <w:r w:rsidRPr="00557FCA">
              <w:rPr>
                <w:rFonts w:ascii="Times New Roman" w:hAnsi="Times New Roman"/>
                <w:sz w:val="24"/>
                <w:szCs w:val="24"/>
              </w:rPr>
              <w:t>, kam šī komercprakse adresēta vai ko tā skar;</w:t>
            </w:r>
          </w:p>
          <w:p w14:paraId="0040B303" w14:textId="77777777" w:rsidR="005E0722" w:rsidRPr="00557FCA" w:rsidRDefault="005E0722" w:rsidP="00E650F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2) tā ir maldinoša;</w:t>
            </w:r>
          </w:p>
          <w:p w14:paraId="4D203AC1" w14:textId="77777777" w:rsidR="005E0722" w:rsidRPr="00557FCA" w:rsidRDefault="005E0722" w:rsidP="00E650F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 xml:space="preserve">3) tā ir agresīva. </w:t>
            </w:r>
            <w:bookmarkStart w:id="1" w:name="_GoBack"/>
            <w:bookmarkEnd w:id="1"/>
          </w:p>
          <w:p w14:paraId="306F44C5" w14:textId="11827E14" w:rsidR="005E0722" w:rsidRPr="00557FCA" w:rsidRDefault="005E0722" w:rsidP="005E072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Negodīgas komercprakses pazīmes konstatē Patērētāju tiesību aizsardzības centrs, kas ir tiesīgs atzīt komersanta īstenoto komercpraksi par negodīgu un pieņemt lēmumus par sankciju piemērošanu. Lai nodrošinātu, ka izglītības iestādes ar aizliegtiem līdzekļiem neietekmētu bezdarbnieku izvēli par labu kādai izglītības iestādei vai tās piedāvātajai mācību programmai, Noteikumu projekts paredz, ka, izvērtējot pasākumu īstenošanas kvalitāti, NVA ir tiesīga svītrot izglītības iestādi no izglītības piedāvājumu saraksta gadījumā, ja izglītības iestāde, piedāvājot apmācību pakalpojumus bezdarbniekiem, īsteno negodīgu komercpraksi (Noteikumu projekta 7.punkts).</w:t>
            </w:r>
          </w:p>
          <w:p w14:paraId="7EA8D2F4" w14:textId="77777777" w:rsidR="00C0757E" w:rsidRPr="00557FCA" w:rsidRDefault="00C0757E" w:rsidP="00554092">
            <w:pPr>
              <w:pStyle w:val="ListParagraph"/>
              <w:shd w:val="clear" w:color="auto" w:fill="FFFFFF"/>
              <w:spacing w:after="0" w:line="240" w:lineRule="auto"/>
              <w:ind w:left="0"/>
              <w:jc w:val="both"/>
              <w:rPr>
                <w:rFonts w:ascii="Times New Roman" w:hAnsi="Times New Roman"/>
                <w:sz w:val="24"/>
                <w:szCs w:val="24"/>
              </w:rPr>
            </w:pPr>
          </w:p>
          <w:p w14:paraId="1C0CA823" w14:textId="51D9E508" w:rsidR="001B1568" w:rsidRPr="00557FCA" w:rsidRDefault="005E0722" w:rsidP="00A44C72">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3</w:t>
            </w:r>
            <w:r w:rsidR="00A44C72" w:rsidRPr="00557FCA">
              <w:rPr>
                <w:rFonts w:ascii="Times New Roman" w:hAnsi="Times New Roman"/>
                <w:sz w:val="24"/>
                <w:szCs w:val="24"/>
              </w:rPr>
              <w:t xml:space="preserve">. </w:t>
            </w:r>
            <w:r w:rsidR="001B1568" w:rsidRPr="00557FCA">
              <w:rPr>
                <w:rFonts w:ascii="Times New Roman" w:hAnsi="Times New Roman"/>
                <w:sz w:val="24"/>
                <w:szCs w:val="24"/>
              </w:rPr>
              <w:t>Latvijā ir radīta modulār</w:t>
            </w:r>
            <w:r w:rsidR="006E74C2" w:rsidRPr="00557FCA">
              <w:rPr>
                <w:rFonts w:ascii="Times New Roman" w:hAnsi="Times New Roman"/>
                <w:sz w:val="24"/>
                <w:szCs w:val="24"/>
              </w:rPr>
              <w:t>ā (</w:t>
            </w:r>
            <w:r w:rsidR="001B1568" w:rsidRPr="00557FCA">
              <w:rPr>
                <w:rFonts w:ascii="Times New Roman" w:hAnsi="Times New Roman"/>
                <w:sz w:val="24"/>
                <w:szCs w:val="24"/>
              </w:rPr>
              <w:t>moduļu</w:t>
            </w:r>
            <w:r w:rsidR="006E74C2" w:rsidRPr="00557FCA">
              <w:rPr>
                <w:rFonts w:ascii="Times New Roman" w:hAnsi="Times New Roman"/>
                <w:sz w:val="24"/>
                <w:szCs w:val="24"/>
              </w:rPr>
              <w:t>)</w:t>
            </w:r>
            <w:r w:rsidR="001B1568" w:rsidRPr="00557FCA">
              <w:rPr>
                <w:rFonts w:ascii="Times New Roman" w:hAnsi="Times New Roman"/>
                <w:sz w:val="24"/>
                <w:szCs w:val="24"/>
              </w:rPr>
              <w:t xml:space="preserve"> pieeja, lai vēl vairāk sekmētu pieaugušo tālākizglītības apguves efektivitāti. Paredzams, ka šāda pieeja nodrošinās, ka izglītības procesā nedublēsies nozarei kopīgās profesionālās kompetences un mūžizglītības kompetences, profesionālajā sākotnējā izglītībā būs iespējams sagatavot izglītojamos pamatprofesijās atbilstoši darba tirgus vajadzībām, savukārt tālākizglītībā apgūt specializācijas un saistītās profesijas. Tāpat modulārā pieeja profesionālajā izglītībā ļauj ātrāk un elastīgāk reaģēt uz uzņēmumos gaidāmo vajadzību pieaugumu pēc jaunām prasmēm </w:t>
            </w:r>
            <w:r w:rsidR="001B1568" w:rsidRPr="00557FCA">
              <w:rPr>
                <w:rFonts w:ascii="Times New Roman" w:hAnsi="Times New Roman"/>
                <w:sz w:val="24"/>
                <w:szCs w:val="24"/>
              </w:rPr>
              <w:lastRenderedPageBreak/>
              <w:t>un</w:t>
            </w:r>
            <w:r w:rsidR="007C400F" w:rsidRPr="00557FCA">
              <w:rPr>
                <w:rFonts w:ascii="Times New Roman" w:hAnsi="Times New Roman"/>
                <w:sz w:val="24"/>
                <w:szCs w:val="24"/>
              </w:rPr>
              <w:t xml:space="preserve"> iemaņām</w:t>
            </w:r>
            <w:r w:rsidR="00FE4808" w:rsidRPr="00557FCA">
              <w:rPr>
                <w:rFonts w:ascii="Times New Roman" w:hAnsi="Times New Roman"/>
                <w:sz w:val="24"/>
                <w:szCs w:val="24"/>
              </w:rPr>
              <w:t>, kuras iespējams apgūt specifisku modulāro apmācību programmu ietvaros</w:t>
            </w:r>
            <w:r w:rsidR="007C400F" w:rsidRPr="00557FCA">
              <w:rPr>
                <w:rFonts w:ascii="Times New Roman" w:hAnsi="Times New Roman"/>
                <w:sz w:val="24"/>
                <w:szCs w:val="24"/>
              </w:rPr>
              <w:t>. Tāpēc svarīga ir arī a</w:t>
            </w:r>
            <w:r w:rsidR="001B1568" w:rsidRPr="00557FCA">
              <w:rPr>
                <w:rFonts w:ascii="Times New Roman" w:hAnsi="Times New Roman"/>
                <w:sz w:val="24"/>
                <w:szCs w:val="24"/>
              </w:rPr>
              <w:t>pmācību kuponu sistēmas spēja elastīgi pielāgoties un izmantot modulāro</w:t>
            </w:r>
            <w:r w:rsidR="00BD651C" w:rsidRPr="00557FCA">
              <w:rPr>
                <w:rFonts w:ascii="Times New Roman" w:hAnsi="Times New Roman"/>
                <w:sz w:val="24"/>
                <w:szCs w:val="24"/>
              </w:rPr>
              <w:t xml:space="preserve"> profesionālās izglītības</w:t>
            </w:r>
            <w:r w:rsidR="001B1568" w:rsidRPr="00557FCA">
              <w:rPr>
                <w:rFonts w:ascii="Times New Roman" w:hAnsi="Times New Roman"/>
                <w:sz w:val="24"/>
                <w:szCs w:val="24"/>
              </w:rPr>
              <w:t xml:space="preserve"> programmu iespējas, </w:t>
            </w:r>
            <w:r w:rsidR="006E74C2" w:rsidRPr="00557FCA">
              <w:rPr>
                <w:rFonts w:ascii="Times New Roman" w:hAnsi="Times New Roman"/>
                <w:sz w:val="24"/>
                <w:szCs w:val="24"/>
              </w:rPr>
              <w:t xml:space="preserve">ļaujot </w:t>
            </w:r>
            <w:r w:rsidR="001B1568" w:rsidRPr="00557FCA">
              <w:rPr>
                <w:rFonts w:ascii="Times New Roman" w:hAnsi="Times New Roman"/>
                <w:sz w:val="24"/>
                <w:szCs w:val="24"/>
              </w:rPr>
              <w:t>NVA klientiem apgūt arī īsāka un koncentrētāka satura tālākiz</w:t>
            </w:r>
            <w:r w:rsidR="00E04D99" w:rsidRPr="00557FCA">
              <w:rPr>
                <w:rFonts w:ascii="Times New Roman" w:hAnsi="Times New Roman"/>
                <w:sz w:val="24"/>
                <w:szCs w:val="24"/>
              </w:rPr>
              <w:t>g</w:t>
            </w:r>
            <w:r w:rsidR="001B1568" w:rsidRPr="00557FCA">
              <w:rPr>
                <w:rFonts w:ascii="Times New Roman" w:hAnsi="Times New Roman"/>
                <w:sz w:val="24"/>
                <w:szCs w:val="24"/>
              </w:rPr>
              <w:t>lītības programmas, ko piedāvā valsts un privātās izglītības iestādes</w:t>
            </w:r>
            <w:r w:rsidR="00D10212" w:rsidRPr="00557FCA">
              <w:rPr>
                <w:rFonts w:ascii="Times New Roman" w:hAnsi="Times New Roman"/>
                <w:sz w:val="24"/>
                <w:szCs w:val="24"/>
              </w:rPr>
              <w:t>.</w:t>
            </w:r>
          </w:p>
          <w:p w14:paraId="2C9B1551" w14:textId="77777777" w:rsidR="00D10212" w:rsidRPr="00557FCA" w:rsidRDefault="00D10212" w:rsidP="00554092">
            <w:pPr>
              <w:autoSpaceDE w:val="0"/>
              <w:autoSpaceDN w:val="0"/>
              <w:adjustRightInd w:val="0"/>
              <w:contextualSpacing/>
              <w:jc w:val="both"/>
            </w:pPr>
            <w:r w:rsidRPr="00557FCA">
              <w:t xml:space="preserve">Valsts izglītības satura centrs, ieviešot modulāro profesionālās izglītības programmas, ir uzsācis darbu, lai pārstrukturizētu profesionālās izglītības saturu, ieviešot uz kompetencēm un sasniedzamajiem rezultātiem balstītas izglītības programmas un veicinot profesionālās izglītības elastīgu sasaisti ar aktuālajām darba tirgus prasībām konkrētajā tautsaimniecības nozarē un profesijā. </w:t>
            </w:r>
          </w:p>
          <w:p w14:paraId="548D8CA8" w14:textId="77777777" w:rsidR="00D10212" w:rsidRPr="00557FCA" w:rsidRDefault="00D10212" w:rsidP="00554092">
            <w:pPr>
              <w:autoSpaceDE w:val="0"/>
              <w:autoSpaceDN w:val="0"/>
              <w:adjustRightInd w:val="0"/>
              <w:contextualSpacing/>
              <w:jc w:val="both"/>
            </w:pPr>
            <w:r w:rsidRPr="00557FCA">
              <w:t xml:space="preserve">Eiropas Sociālā fonda projekta 8.5.2. specifiskā atbalsta mērķa „Nodrošināt profesionālās izglītības atbilstību Eiropas kvalifikācijas </w:t>
            </w:r>
            <w:proofErr w:type="spellStart"/>
            <w:r w:rsidRPr="00557FCA">
              <w:t>ietvarstruktūrai</w:t>
            </w:r>
            <w:proofErr w:type="spellEnd"/>
            <w:r w:rsidRPr="00557FCA">
              <w:t xml:space="preserve">” ietvaros ir izstrādātas 56 modulārās profesionālās izglītības programmas, tai skaitā 22 sākotnējās profesionālās izglītības programmas un 34 profesionālās tālākizglītības programmas, kuras jau tagad var īstenot izglītības iestādes. Paredzams, ka atlikušajām profesionālajām kvalifikācijām moduļu pieeju būs iespējams īstenot pakāpeniski līdz </w:t>
            </w:r>
            <w:proofErr w:type="gramStart"/>
            <w:r w:rsidRPr="00557FCA">
              <w:t>2021.gadam</w:t>
            </w:r>
            <w:proofErr w:type="gramEnd"/>
            <w:r w:rsidRPr="00557FCA">
              <w:t>, atbilstoši sasniegtajiem projekta rezultātiem.</w:t>
            </w:r>
          </w:p>
          <w:p w14:paraId="5559E6C4" w14:textId="5B2B69F4" w:rsidR="00D10212" w:rsidRPr="00557FCA" w:rsidRDefault="00D10212" w:rsidP="00554092">
            <w:pPr>
              <w:autoSpaceDE w:val="0"/>
              <w:autoSpaceDN w:val="0"/>
              <w:adjustRightInd w:val="0"/>
              <w:contextualSpacing/>
              <w:jc w:val="both"/>
            </w:pPr>
            <w:r w:rsidRPr="00557FCA">
              <w:t>Lai nodrošinātu iespēju īstenot modulārās apmācības arī bezdarbnieku apmācību ietvaros, Noteikumu projekts paredz, ka</w:t>
            </w:r>
            <w:r w:rsidR="00BD651C" w:rsidRPr="00557FCA">
              <w:t xml:space="preserve"> modulārās</w:t>
            </w:r>
            <w:r w:rsidRPr="00557FCA">
              <w:t xml:space="preserve"> profesionālās tālākizglītības un profesionālās pilnveides izglītības programmas</w:t>
            </w:r>
            <w:r w:rsidR="00EE2024" w:rsidRPr="00557FCA">
              <w:t xml:space="preserve"> var tikt īstenotas arī</w:t>
            </w:r>
            <w:r w:rsidRPr="00557FCA">
              <w:t xml:space="preserve"> bezdarbnieku apmācību ietvaros. Modulārā profesionālā izglītība ietver vienu vai vairāku profesionālās tālākizglītības vai profesionālās pilnveides programmu moduļu apguvi atbilstoši profesionālās kvalifikācijas pamatprasībās noteiktajām profesionālajām kompetencēm, prasmēm un zināšanām. Modulāro profesionālo izglītības programmu īstenošanas izmaksas sedz proporcionāli modulī paredzētajam mācību stundu skaitam un stundas likmei atbilstoši konkrētās apmācību programmas maksimālajām izmaksām </w:t>
            </w:r>
            <w:proofErr w:type="gramStart"/>
            <w:r w:rsidRPr="00557FCA">
              <w:t>(</w:t>
            </w:r>
            <w:proofErr w:type="gramEnd"/>
            <w:r w:rsidRPr="00557FCA">
              <w:t>kupona vērtībai, kas reizināta ar Ministru kabineta 2007. gada 2. oktobra noteikumu Nr. 655 „</w:t>
            </w:r>
            <w:hyperlink r:id="rId9" w:tgtFrame="_blank" w:history="1">
              <w:r w:rsidRPr="00557FCA">
                <w:rPr>
                  <w:rStyle w:val="Hyperlink"/>
                  <w:color w:val="auto"/>
                  <w:u w:val="none"/>
                </w:rPr>
                <w:t>Noteikumi par profesionālās izglītības programmu īstenošanas izmaksu minimumu uz vienu izglītojamo</w:t>
              </w:r>
            </w:hyperlink>
            <w:r w:rsidRPr="00557FCA">
              <w:t xml:space="preserve">” </w:t>
            </w:r>
            <w:hyperlink r:id="rId10" w:anchor="piel3" w:tgtFrame="_blank" w:history="1">
              <w:r w:rsidRPr="00557FCA">
                <w:rPr>
                  <w:rStyle w:val="Hyperlink"/>
                  <w:color w:val="auto"/>
                  <w:u w:val="none"/>
                </w:rPr>
                <w:t>3. pielikumā</w:t>
              </w:r>
            </w:hyperlink>
            <w:r w:rsidRPr="00557FCA">
              <w:t xml:space="preserve"> minēto koeficientu).</w:t>
            </w:r>
          </w:p>
          <w:p w14:paraId="74F6CFF5" w14:textId="016E0BBE" w:rsidR="006C459D" w:rsidRPr="00557FCA" w:rsidRDefault="006C459D" w:rsidP="00554092">
            <w:pPr>
              <w:autoSpaceDE w:val="0"/>
              <w:autoSpaceDN w:val="0"/>
              <w:adjustRightInd w:val="0"/>
              <w:contextualSpacing/>
              <w:jc w:val="both"/>
            </w:pPr>
            <w:r w:rsidRPr="00557FCA">
              <w:t>Tāpat iespējami gadījumi, kad praktisko apmācību ietvaros pasākumā „Apmācība pie darba devēja”, profesionālo pienākumu veikšanai nepieciešama papildu teorētiskā apmācībā. Noteikumu projekts paredz, ka bezdarbnieku praktisko apmācību laikā var iesaistīt modulāro profesionāl</w:t>
            </w:r>
            <w:r w:rsidR="00D756B0" w:rsidRPr="00557FCA">
              <w:t>ās</w:t>
            </w:r>
            <w:r w:rsidRPr="00557FCA">
              <w:t xml:space="preserve"> izglītības programmu apguvē, atbilstoši praktisko apmācību ietvaros apgūstamajām profesionālajām kompetencēm. Modulāro profesionālo izglītības programmu apguves laiks ieskaitāms praktiskās apmācības īstenošanas termiņā</w:t>
            </w:r>
            <w:r w:rsidR="00CA4F44" w:rsidRPr="00557FCA">
              <w:t xml:space="preserve"> (Noteikumu projekta </w:t>
            </w:r>
            <w:r w:rsidR="009D3606" w:rsidRPr="00557FCA">
              <w:t>10</w:t>
            </w:r>
            <w:r w:rsidR="00AF4A3D" w:rsidRPr="00557FCA">
              <w:t>.</w:t>
            </w:r>
            <w:r w:rsidR="008F7F16" w:rsidRPr="00557FCA">
              <w:t>,</w:t>
            </w:r>
            <w:r w:rsidR="00AD2160" w:rsidRPr="00557FCA">
              <w:t xml:space="preserve"> </w:t>
            </w:r>
            <w:r w:rsidR="009D3606" w:rsidRPr="00557FCA">
              <w:t>12</w:t>
            </w:r>
            <w:r w:rsidR="00AD2160" w:rsidRPr="00557FCA">
              <w:t>.</w:t>
            </w:r>
            <w:r w:rsidR="00AF4A3D" w:rsidRPr="00557FCA">
              <w:t xml:space="preserve"> un 2</w:t>
            </w:r>
            <w:r w:rsidR="009D3606" w:rsidRPr="00557FCA">
              <w:t>6</w:t>
            </w:r>
            <w:r w:rsidR="00AF4A3D" w:rsidRPr="00557FCA">
              <w:t>.punkts)</w:t>
            </w:r>
            <w:r w:rsidR="009104F3" w:rsidRPr="00557FCA">
              <w:t>.</w:t>
            </w:r>
          </w:p>
          <w:p w14:paraId="3B94D347" w14:textId="77777777" w:rsidR="0059133A" w:rsidRPr="00557FCA" w:rsidRDefault="0059133A" w:rsidP="00554092">
            <w:pPr>
              <w:autoSpaceDE w:val="0"/>
              <w:autoSpaceDN w:val="0"/>
              <w:adjustRightInd w:val="0"/>
              <w:contextualSpacing/>
              <w:jc w:val="both"/>
            </w:pPr>
          </w:p>
          <w:p w14:paraId="577A2C93" w14:textId="75D226DF" w:rsidR="00450243" w:rsidRPr="00557FCA" w:rsidRDefault="005E0722" w:rsidP="00A44C72">
            <w:pPr>
              <w:pStyle w:val="ListParagraph"/>
              <w:autoSpaceDE w:val="0"/>
              <w:autoSpaceDN w:val="0"/>
              <w:adjustRightInd w:val="0"/>
              <w:spacing w:after="0" w:line="240" w:lineRule="auto"/>
              <w:ind w:left="0"/>
              <w:jc w:val="both"/>
              <w:rPr>
                <w:rFonts w:ascii="Times New Roman" w:hAnsi="Times New Roman"/>
                <w:sz w:val="24"/>
                <w:szCs w:val="24"/>
              </w:rPr>
            </w:pPr>
            <w:r w:rsidRPr="00557FCA">
              <w:rPr>
                <w:rFonts w:ascii="Times New Roman" w:hAnsi="Times New Roman"/>
                <w:sz w:val="24"/>
                <w:szCs w:val="24"/>
              </w:rPr>
              <w:lastRenderedPageBreak/>
              <w:t>4</w:t>
            </w:r>
            <w:r w:rsidR="00A44C72" w:rsidRPr="00557FCA">
              <w:rPr>
                <w:rFonts w:ascii="Times New Roman" w:hAnsi="Times New Roman"/>
                <w:sz w:val="24"/>
                <w:szCs w:val="24"/>
              </w:rPr>
              <w:t>.</w:t>
            </w:r>
            <w:r w:rsidR="0059133A" w:rsidRPr="00557FCA">
              <w:t xml:space="preserve"> </w:t>
            </w:r>
            <w:r w:rsidR="0059133A" w:rsidRPr="00557FCA">
              <w:rPr>
                <w:rFonts w:ascii="Times New Roman" w:hAnsi="Times New Roman"/>
                <w:sz w:val="24"/>
                <w:szCs w:val="24"/>
              </w:rPr>
              <w:t xml:space="preserve">Gadījumos, kad pasākumu īstenotāju izvēlei nav piemērojamas normatīvajos aktos par publiskajiem iepirkumiem noteiktās prasības vai normatīvie akti par publiskajiem iepirkumiem neparedz iepirkuma procedūru piemērošanu, </w:t>
            </w:r>
            <w:r w:rsidR="00450243" w:rsidRPr="00557FCA">
              <w:rPr>
                <w:rFonts w:ascii="Times New Roman" w:hAnsi="Times New Roman"/>
                <w:sz w:val="24"/>
                <w:szCs w:val="24"/>
              </w:rPr>
              <w:t>NVA</w:t>
            </w:r>
            <w:r w:rsidR="0059133A" w:rsidRPr="00557FCA">
              <w:rPr>
                <w:rFonts w:ascii="Times New Roman" w:hAnsi="Times New Roman"/>
                <w:sz w:val="24"/>
                <w:szCs w:val="24"/>
              </w:rPr>
              <w:t xml:space="preserve"> (ar atsevišķiem izņēmumiem) izveido pasākumu īstenotāju izvēles komisiju</w:t>
            </w:r>
            <w:r w:rsidR="00450243" w:rsidRPr="00557FCA">
              <w:rPr>
                <w:rFonts w:ascii="Times New Roman" w:hAnsi="Times New Roman"/>
                <w:sz w:val="24"/>
                <w:szCs w:val="24"/>
              </w:rPr>
              <w:t>.</w:t>
            </w:r>
            <w:r w:rsidR="0059133A" w:rsidRPr="00557FCA">
              <w:rPr>
                <w:rFonts w:ascii="Times New Roman" w:hAnsi="Times New Roman"/>
                <w:sz w:val="24"/>
                <w:szCs w:val="24"/>
              </w:rPr>
              <w:t xml:space="preserve"> </w:t>
            </w:r>
            <w:r w:rsidR="00450243" w:rsidRPr="00557FCA">
              <w:rPr>
                <w:rFonts w:ascii="Times New Roman" w:hAnsi="Times New Roman"/>
                <w:sz w:val="24"/>
                <w:szCs w:val="24"/>
              </w:rPr>
              <w:t>K</w:t>
            </w:r>
            <w:r w:rsidR="0059133A" w:rsidRPr="00557FCA">
              <w:rPr>
                <w:rFonts w:ascii="Times New Roman" w:hAnsi="Times New Roman"/>
                <w:sz w:val="24"/>
                <w:szCs w:val="24"/>
              </w:rPr>
              <w:t xml:space="preserve">omisijas sastāvā atbilstoši pasākuma veidam iekļauj </w:t>
            </w:r>
            <w:r w:rsidR="00450243" w:rsidRPr="00557FCA">
              <w:rPr>
                <w:rFonts w:ascii="Times New Roman" w:hAnsi="Times New Roman"/>
                <w:sz w:val="24"/>
                <w:szCs w:val="24"/>
              </w:rPr>
              <w:t>NVA</w:t>
            </w:r>
            <w:r w:rsidR="0059133A" w:rsidRPr="00557FCA">
              <w:rPr>
                <w:rFonts w:ascii="Times New Roman" w:hAnsi="Times New Roman"/>
                <w:sz w:val="24"/>
                <w:szCs w:val="24"/>
              </w:rPr>
              <w:t xml:space="preserve"> un citu valsts vai pašvaldību iestāžu, kā arī Latvijas Darba devēju konfederācijas, Latvijas Brīvo arodbiedrību savienības vai citu biedrību un nodibinājumu pārstāvjus. </w:t>
            </w:r>
          </w:p>
          <w:p w14:paraId="050CDED2" w14:textId="7E3EEEF6" w:rsidR="0059133A" w:rsidRPr="00557FCA" w:rsidRDefault="00450243" w:rsidP="00450243">
            <w:pPr>
              <w:pStyle w:val="ListParagraph"/>
              <w:autoSpaceDE w:val="0"/>
              <w:autoSpaceDN w:val="0"/>
              <w:adjustRightInd w:val="0"/>
              <w:spacing w:after="0" w:line="240" w:lineRule="auto"/>
              <w:ind w:left="0" w:hanging="2"/>
              <w:jc w:val="both"/>
              <w:rPr>
                <w:rFonts w:ascii="Times New Roman" w:hAnsi="Times New Roman"/>
                <w:sz w:val="24"/>
                <w:szCs w:val="24"/>
              </w:rPr>
            </w:pPr>
            <w:r w:rsidRPr="00557FCA">
              <w:rPr>
                <w:rFonts w:ascii="Times New Roman" w:hAnsi="Times New Roman"/>
                <w:sz w:val="24"/>
                <w:szCs w:val="24"/>
              </w:rPr>
              <w:t xml:space="preserve">Noteikumu projekts paredz, ka visos gadījumos, kad pasākumu īstenotāji, tiek izvēlēti nepiemērojot iepirkuma procedūru, pasākumu īstenotāju izvēles komisijā iekļauj tikai NVA pārstāvjus. </w:t>
            </w:r>
            <w:r w:rsidR="00002F83" w:rsidRPr="00557FCA">
              <w:rPr>
                <w:rFonts w:ascii="Times New Roman" w:hAnsi="Times New Roman"/>
                <w:sz w:val="24"/>
                <w:szCs w:val="24"/>
              </w:rPr>
              <w:t>Grozījumi nepieciešami, lai atvieglotu lēmumu pieņemšanu par konkrētu pretendentu izvēli. Komisijas sasaukšana, darbība</w:t>
            </w:r>
            <w:r w:rsidR="00AD744A" w:rsidRPr="00557FCA">
              <w:rPr>
                <w:rFonts w:ascii="Times New Roman" w:hAnsi="Times New Roman"/>
                <w:sz w:val="24"/>
                <w:szCs w:val="24"/>
              </w:rPr>
              <w:t>, kvoruma nodrošināšana</w:t>
            </w:r>
            <w:r w:rsidR="00002F83" w:rsidRPr="00557FCA">
              <w:rPr>
                <w:rFonts w:ascii="Times New Roman" w:hAnsi="Times New Roman"/>
                <w:sz w:val="24"/>
                <w:szCs w:val="24"/>
              </w:rPr>
              <w:t xml:space="preserve"> un lēmumu pieņemša</w:t>
            </w:r>
            <w:r w:rsidR="009F2A3C" w:rsidRPr="00557FCA">
              <w:rPr>
                <w:rFonts w:ascii="Times New Roman" w:hAnsi="Times New Roman"/>
                <w:sz w:val="24"/>
                <w:szCs w:val="24"/>
              </w:rPr>
              <w:t>nas</w:t>
            </w:r>
            <w:r w:rsidR="00002F83" w:rsidRPr="00557FCA">
              <w:rPr>
                <w:rFonts w:ascii="Times New Roman" w:hAnsi="Times New Roman"/>
                <w:sz w:val="24"/>
                <w:szCs w:val="24"/>
              </w:rPr>
              <w:t xml:space="preserve"> process ir laikietilpīgs un kavē atbalsta nodrošināšanu bezdarbniekiem </w:t>
            </w:r>
            <w:r w:rsidR="009F2A3C" w:rsidRPr="00557FCA">
              <w:rPr>
                <w:rFonts w:ascii="Times New Roman" w:hAnsi="Times New Roman"/>
                <w:sz w:val="24"/>
                <w:szCs w:val="24"/>
              </w:rPr>
              <w:t>ātrākajā iespējamajā termiņā</w:t>
            </w:r>
            <w:r w:rsidR="00002F83" w:rsidRPr="00557FCA">
              <w:rPr>
                <w:rFonts w:ascii="Times New Roman" w:hAnsi="Times New Roman"/>
                <w:sz w:val="24"/>
                <w:szCs w:val="24"/>
              </w:rPr>
              <w:t xml:space="preserve">. NVA ir pietiekama kapacitāte un </w:t>
            </w:r>
            <w:r w:rsidR="009F2A3C" w:rsidRPr="00557FCA">
              <w:rPr>
                <w:rFonts w:ascii="Times New Roman" w:hAnsi="Times New Roman"/>
                <w:sz w:val="24"/>
                <w:szCs w:val="24"/>
              </w:rPr>
              <w:t xml:space="preserve">zināšanas par kritērijiem, kurus būtu nepieciešams vērtēt, izvēloties pakalpojuma sniedzējus, nepiemērojot iepirkuma procedūru (Noteikumu projekta </w:t>
            </w:r>
            <w:r w:rsidR="009D3606" w:rsidRPr="00557FCA">
              <w:rPr>
                <w:rFonts w:ascii="Times New Roman" w:hAnsi="Times New Roman"/>
                <w:sz w:val="24"/>
                <w:szCs w:val="24"/>
              </w:rPr>
              <w:t>2</w:t>
            </w:r>
            <w:r w:rsidR="009F2A3C" w:rsidRPr="00557FCA">
              <w:rPr>
                <w:rFonts w:ascii="Times New Roman" w:hAnsi="Times New Roman"/>
                <w:sz w:val="24"/>
                <w:szCs w:val="24"/>
              </w:rPr>
              <w:t xml:space="preserve">.punkts). </w:t>
            </w:r>
            <w:r w:rsidR="00002F83" w:rsidRPr="00557FCA">
              <w:rPr>
                <w:rFonts w:ascii="Times New Roman" w:hAnsi="Times New Roman"/>
                <w:sz w:val="24"/>
                <w:szCs w:val="24"/>
              </w:rPr>
              <w:t xml:space="preserve"> </w:t>
            </w:r>
          </w:p>
          <w:p w14:paraId="72322D39" w14:textId="49F8FF22" w:rsidR="008434DD" w:rsidRPr="00557FCA" w:rsidRDefault="008434DD" w:rsidP="00450243">
            <w:pPr>
              <w:pStyle w:val="ListParagraph"/>
              <w:autoSpaceDE w:val="0"/>
              <w:autoSpaceDN w:val="0"/>
              <w:adjustRightInd w:val="0"/>
              <w:spacing w:after="0" w:line="240" w:lineRule="auto"/>
              <w:ind w:left="0" w:hanging="2"/>
              <w:jc w:val="both"/>
              <w:rPr>
                <w:rFonts w:ascii="Times New Roman" w:hAnsi="Times New Roman"/>
                <w:sz w:val="24"/>
                <w:szCs w:val="24"/>
              </w:rPr>
            </w:pPr>
          </w:p>
          <w:p w14:paraId="7060A42C" w14:textId="2288CF9F" w:rsidR="008434DD" w:rsidRPr="00557FCA" w:rsidRDefault="005E0722" w:rsidP="00450243">
            <w:pPr>
              <w:pStyle w:val="ListParagraph"/>
              <w:autoSpaceDE w:val="0"/>
              <w:autoSpaceDN w:val="0"/>
              <w:adjustRightInd w:val="0"/>
              <w:spacing w:after="0" w:line="240" w:lineRule="auto"/>
              <w:ind w:left="0" w:hanging="2"/>
              <w:jc w:val="both"/>
              <w:rPr>
                <w:rFonts w:ascii="Times New Roman" w:hAnsi="Times New Roman"/>
                <w:sz w:val="24"/>
                <w:szCs w:val="24"/>
              </w:rPr>
            </w:pPr>
            <w:r w:rsidRPr="00557FCA">
              <w:rPr>
                <w:rFonts w:ascii="Times New Roman" w:hAnsi="Times New Roman"/>
                <w:sz w:val="24"/>
                <w:szCs w:val="24"/>
              </w:rPr>
              <w:t>5</w:t>
            </w:r>
            <w:r w:rsidR="008434DD" w:rsidRPr="00557FCA">
              <w:rPr>
                <w:rFonts w:ascii="Times New Roman" w:hAnsi="Times New Roman"/>
                <w:sz w:val="24"/>
                <w:szCs w:val="24"/>
              </w:rPr>
              <w:t xml:space="preserve">. Bezdarba riskam pakļauto personu apmācību kopš </w:t>
            </w:r>
            <w:proofErr w:type="gramStart"/>
            <w:r w:rsidR="008434DD" w:rsidRPr="00557FCA">
              <w:rPr>
                <w:rFonts w:ascii="Times New Roman" w:hAnsi="Times New Roman"/>
                <w:sz w:val="24"/>
                <w:szCs w:val="24"/>
              </w:rPr>
              <w:t>2016.gada</w:t>
            </w:r>
            <w:proofErr w:type="gramEnd"/>
            <w:r w:rsidR="008434DD" w:rsidRPr="00557FCA">
              <w:rPr>
                <w:rFonts w:ascii="Times New Roman" w:hAnsi="Times New Roman"/>
                <w:sz w:val="24"/>
                <w:szCs w:val="24"/>
              </w:rPr>
              <w:t xml:space="preserve"> īsteno Darbības programmas </w:t>
            </w:r>
            <w:r w:rsidR="008434DD" w:rsidRPr="00557FCA">
              <w:rPr>
                <w:rFonts w:ascii="Times New Roman" w:hAnsi="Times New Roman"/>
                <w:bCs/>
                <w:sz w:val="24"/>
                <w:szCs w:val="24"/>
              </w:rPr>
              <w:t>„</w:t>
            </w:r>
            <w:r w:rsidR="008434DD" w:rsidRPr="00557FCA">
              <w:rPr>
                <w:rFonts w:ascii="Times New Roman" w:hAnsi="Times New Roman"/>
                <w:sz w:val="24"/>
                <w:szCs w:val="24"/>
              </w:rPr>
              <w:t xml:space="preserve">Izaugsme un nodarbinātība” 8.4.1. specifiskā atbalsta mērķa </w:t>
            </w:r>
            <w:r w:rsidR="008434DD" w:rsidRPr="00557FCA">
              <w:rPr>
                <w:rFonts w:ascii="Times New Roman" w:hAnsi="Times New Roman"/>
                <w:bCs/>
                <w:sz w:val="24"/>
                <w:szCs w:val="24"/>
              </w:rPr>
              <w:t>„</w:t>
            </w:r>
            <w:r w:rsidR="008434DD" w:rsidRPr="00557FCA">
              <w:rPr>
                <w:rFonts w:ascii="Times New Roman" w:hAnsi="Times New Roman"/>
                <w:sz w:val="24"/>
                <w:szCs w:val="24"/>
              </w:rPr>
              <w:t xml:space="preserve">Pilnveidot nodarbināto personu profesionālo kompetenci” ietvaros. Apmācību īstenotājus un izglītības programmas nosaka atbilstoši </w:t>
            </w:r>
            <w:proofErr w:type="gramStart"/>
            <w:r w:rsidR="008434DD" w:rsidRPr="00557FCA">
              <w:rPr>
                <w:rFonts w:ascii="Times New Roman" w:hAnsi="Times New Roman"/>
                <w:sz w:val="24"/>
                <w:szCs w:val="24"/>
              </w:rPr>
              <w:t>2016.gada</w:t>
            </w:r>
            <w:proofErr w:type="gramEnd"/>
            <w:r w:rsidR="008434DD" w:rsidRPr="00557FCA">
              <w:rPr>
                <w:rFonts w:ascii="Times New Roman" w:hAnsi="Times New Roman"/>
                <w:sz w:val="24"/>
                <w:szCs w:val="24"/>
              </w:rPr>
              <w:t xml:space="preserve"> 15.jūlija Ministru kabineta noteikumiem Nr.474 </w:t>
            </w:r>
            <w:r w:rsidR="008434DD" w:rsidRPr="00557FCA">
              <w:rPr>
                <w:rFonts w:ascii="Times New Roman" w:hAnsi="Times New Roman"/>
                <w:bCs/>
                <w:sz w:val="24"/>
                <w:szCs w:val="24"/>
              </w:rPr>
              <w:t>„</w:t>
            </w:r>
            <w:r w:rsidR="008434DD" w:rsidRPr="00557FCA">
              <w:rPr>
                <w:rFonts w:ascii="Times New Roman" w:hAnsi="Times New Roman"/>
                <w:sz w:val="24"/>
                <w:szCs w:val="24"/>
              </w:rPr>
              <w:t xml:space="preserve">Darbības programmas </w:t>
            </w:r>
            <w:r w:rsidR="008434DD" w:rsidRPr="00557FCA">
              <w:rPr>
                <w:rFonts w:ascii="Times New Roman" w:hAnsi="Times New Roman"/>
                <w:bCs/>
                <w:sz w:val="24"/>
                <w:szCs w:val="24"/>
              </w:rPr>
              <w:t>„</w:t>
            </w:r>
            <w:r w:rsidR="008434DD" w:rsidRPr="00557FCA">
              <w:rPr>
                <w:rFonts w:ascii="Times New Roman" w:hAnsi="Times New Roman"/>
                <w:sz w:val="24"/>
                <w:szCs w:val="24"/>
              </w:rPr>
              <w:t xml:space="preserve">Izaugsme un nodarbinātība” 8.4.1. specifiskā atbalsta mērķa </w:t>
            </w:r>
            <w:r w:rsidR="008434DD" w:rsidRPr="00557FCA">
              <w:rPr>
                <w:rFonts w:ascii="Times New Roman" w:hAnsi="Times New Roman"/>
                <w:bCs/>
                <w:sz w:val="24"/>
                <w:szCs w:val="24"/>
              </w:rPr>
              <w:t>„</w:t>
            </w:r>
            <w:r w:rsidR="008434DD" w:rsidRPr="00557FCA">
              <w:rPr>
                <w:rFonts w:ascii="Times New Roman" w:hAnsi="Times New Roman"/>
                <w:sz w:val="24"/>
                <w:szCs w:val="24"/>
              </w:rPr>
              <w:t>Pilnveidot nodarbināto personu profesionālo kompetenci” īstenošanas noteikumi”. Noteikumu projekts paredz, ka apmācību komisija nosaka tikai tās apmācību jomas un izglītības programmas, kurās nepieciešams veikt bezdarbnieku un darba meklētāju apmācību</w:t>
            </w:r>
            <w:r w:rsidR="00435BEE" w:rsidRPr="00557FCA">
              <w:rPr>
                <w:rFonts w:ascii="Times New Roman" w:hAnsi="Times New Roman"/>
                <w:sz w:val="24"/>
                <w:szCs w:val="24"/>
              </w:rPr>
              <w:t xml:space="preserve">. </w:t>
            </w:r>
            <w:r w:rsidR="00435BEE" w:rsidRPr="00557FCA">
              <w:t xml:space="preserve"> </w:t>
            </w:r>
            <w:r w:rsidR="00435BEE" w:rsidRPr="00557FCA">
              <w:rPr>
                <w:rFonts w:ascii="Times New Roman" w:hAnsi="Times New Roman"/>
                <w:sz w:val="24"/>
                <w:szCs w:val="24"/>
              </w:rPr>
              <w:t>Šobrīd un arī atbilstoši Noteikumu projektam bezdarbnieki, t.sk. bezdarbnieki ar invaliditāti, paši izvēlas sev piemērotāko pakalpojuma sniedzēju un apgūstamo izglītības programmu. Laikā, kad bezdarbnieks iesaistās apmācībā, to neiesaista citos aktīvajos nodarbinātības pasākumos, t.sk. nodarbinātības pasākumos, kas paredzēti personām ar invaliditāti. Bezdarbnieka individuālajā darba meklēšanas plānā iekļauj veicamos pasākumus, kā arī nepieciešamos atbalsta pasākumus un tie savā starpā nepārklājas, ņemot vērā laika resursus, kas nepieciešami izglītības programmu apguvei. Iesaiste vairākos pasākumos iespējama tikai MK noteikumu Nr.75 6.punkā noteiktajā kārtībā.</w:t>
            </w:r>
            <w:r w:rsidR="008434DD" w:rsidRPr="00557FCA">
              <w:rPr>
                <w:rFonts w:ascii="Times New Roman" w:hAnsi="Times New Roman"/>
                <w:sz w:val="24"/>
                <w:szCs w:val="24"/>
              </w:rPr>
              <w:t xml:space="preserve"> (Noteikumu projekta </w:t>
            </w:r>
            <w:r w:rsidR="00E54067" w:rsidRPr="00557FCA">
              <w:rPr>
                <w:rFonts w:ascii="Times New Roman" w:hAnsi="Times New Roman"/>
                <w:sz w:val="24"/>
                <w:szCs w:val="24"/>
              </w:rPr>
              <w:t>11</w:t>
            </w:r>
            <w:r w:rsidR="008434DD" w:rsidRPr="00557FCA">
              <w:rPr>
                <w:rFonts w:ascii="Times New Roman" w:hAnsi="Times New Roman"/>
                <w:sz w:val="24"/>
                <w:szCs w:val="24"/>
              </w:rPr>
              <w:t>.punkts).</w:t>
            </w:r>
          </w:p>
          <w:p w14:paraId="59CCC27A" w14:textId="77777777" w:rsidR="00CC1FB0" w:rsidRPr="00557FCA" w:rsidRDefault="00CC1FB0" w:rsidP="00450243">
            <w:pPr>
              <w:pStyle w:val="ListParagraph"/>
              <w:autoSpaceDE w:val="0"/>
              <w:autoSpaceDN w:val="0"/>
              <w:adjustRightInd w:val="0"/>
              <w:spacing w:after="0" w:line="240" w:lineRule="auto"/>
              <w:ind w:left="0" w:hanging="2"/>
              <w:jc w:val="both"/>
              <w:rPr>
                <w:rFonts w:ascii="Times New Roman" w:hAnsi="Times New Roman"/>
                <w:sz w:val="24"/>
                <w:szCs w:val="24"/>
              </w:rPr>
            </w:pPr>
          </w:p>
          <w:p w14:paraId="1F4DB842" w14:textId="4401C196" w:rsidR="00383DBB" w:rsidRPr="00557FCA" w:rsidRDefault="005E0722" w:rsidP="00450243">
            <w:pPr>
              <w:pStyle w:val="ListParagraph"/>
              <w:autoSpaceDE w:val="0"/>
              <w:autoSpaceDN w:val="0"/>
              <w:adjustRightInd w:val="0"/>
              <w:spacing w:after="0" w:line="240" w:lineRule="auto"/>
              <w:ind w:left="0" w:hanging="2"/>
              <w:jc w:val="both"/>
              <w:rPr>
                <w:rFonts w:ascii="Times New Roman" w:hAnsi="Times New Roman"/>
                <w:sz w:val="24"/>
                <w:szCs w:val="24"/>
              </w:rPr>
            </w:pPr>
            <w:r w:rsidRPr="00557FCA">
              <w:rPr>
                <w:rFonts w:ascii="Times New Roman" w:hAnsi="Times New Roman"/>
                <w:sz w:val="24"/>
                <w:szCs w:val="24"/>
              </w:rPr>
              <w:t>6</w:t>
            </w:r>
            <w:r w:rsidR="00A44C72" w:rsidRPr="00557FCA">
              <w:rPr>
                <w:rFonts w:ascii="Times New Roman" w:hAnsi="Times New Roman"/>
                <w:sz w:val="24"/>
                <w:szCs w:val="24"/>
              </w:rPr>
              <w:t xml:space="preserve">. </w:t>
            </w:r>
            <w:r w:rsidR="00CC1FB0" w:rsidRPr="00557FCA">
              <w:rPr>
                <w:rFonts w:ascii="Times New Roman" w:hAnsi="Times New Roman"/>
                <w:sz w:val="24"/>
                <w:szCs w:val="24"/>
              </w:rPr>
              <w:t>Atbilstoši</w:t>
            </w:r>
            <w:r w:rsidR="00977E05" w:rsidRPr="00557FCA">
              <w:rPr>
                <w:rFonts w:ascii="Times New Roman" w:hAnsi="Times New Roman"/>
                <w:sz w:val="24"/>
                <w:szCs w:val="24"/>
              </w:rPr>
              <w:t xml:space="preserve"> 21.11.2017.</w:t>
            </w:r>
            <w:r w:rsidR="00CC1FB0" w:rsidRPr="00557FCA">
              <w:rPr>
                <w:rFonts w:ascii="Times New Roman" w:hAnsi="Times New Roman"/>
                <w:sz w:val="24"/>
                <w:szCs w:val="24"/>
              </w:rPr>
              <w:t xml:space="preserve"> MK</w:t>
            </w:r>
            <w:r w:rsidR="00977E05" w:rsidRPr="00557FCA">
              <w:rPr>
                <w:rFonts w:ascii="Times New Roman" w:hAnsi="Times New Roman"/>
                <w:sz w:val="24"/>
                <w:szCs w:val="24"/>
              </w:rPr>
              <w:t xml:space="preserve"> sēdē skatītajam</w:t>
            </w:r>
            <w:r w:rsidR="00977E05" w:rsidRPr="00557FCA">
              <w:rPr>
                <w:b/>
                <w:bCs/>
                <w:sz w:val="28"/>
                <w:szCs w:val="28"/>
              </w:rPr>
              <w:t xml:space="preserve"> </w:t>
            </w:r>
            <w:r w:rsidR="00977E05" w:rsidRPr="00557FCA">
              <w:rPr>
                <w:rFonts w:ascii="Times New Roman" w:hAnsi="Times New Roman"/>
                <w:bCs/>
                <w:sz w:val="24"/>
                <w:szCs w:val="24"/>
              </w:rPr>
              <w:t xml:space="preserve">Informatīvajam ziņojumam </w:t>
            </w:r>
            <w:r w:rsidR="00977E05" w:rsidRPr="00557FCA">
              <w:rPr>
                <w:rFonts w:ascii="Times New Roman" w:hAnsi="Times New Roman"/>
                <w:sz w:val="24"/>
                <w:szCs w:val="24"/>
              </w:rPr>
              <w:t>„</w:t>
            </w:r>
            <w:r w:rsidR="00977E05" w:rsidRPr="00557FCA">
              <w:rPr>
                <w:rFonts w:ascii="Times New Roman" w:hAnsi="Times New Roman"/>
                <w:bCs/>
                <w:sz w:val="24"/>
                <w:szCs w:val="24"/>
              </w:rPr>
              <w:t xml:space="preserve">Par situācijas novērtējumu, veiktajiem un plānotajiem pasākumiem konstatēto trūkumu novēršanai </w:t>
            </w:r>
            <w:r w:rsidR="00977E05" w:rsidRPr="00557FCA">
              <w:rPr>
                <w:rFonts w:ascii="Times New Roman" w:hAnsi="Times New Roman"/>
                <w:bCs/>
                <w:sz w:val="24"/>
                <w:szCs w:val="24"/>
              </w:rPr>
              <w:lastRenderedPageBreak/>
              <w:t>Nodarbinātības valsts aģentūras īstenoto Eiropas Sociālā fonda projektu uzraudzības procesā</w:t>
            </w:r>
            <w:r w:rsidR="00977E05" w:rsidRPr="00557FCA">
              <w:rPr>
                <w:rFonts w:ascii="Times New Roman" w:hAnsi="Times New Roman"/>
                <w:sz w:val="24"/>
                <w:szCs w:val="24"/>
              </w:rPr>
              <w:t>”</w:t>
            </w:r>
            <w:r w:rsidR="00383DBB" w:rsidRPr="00557FCA">
              <w:rPr>
                <w:rFonts w:ascii="Times New Roman" w:hAnsi="Times New Roman"/>
                <w:sz w:val="24"/>
                <w:szCs w:val="24"/>
              </w:rPr>
              <w:t>, lai veicinātu bezdarbnieku apmācību īstenošanu atbilstoši noslēgtajiem līgumiem un atbilstoši to īstenošanas nosacījumiem, nepieciešams veikt grozījumus normatīvajā regulējumā, paredzot lielāku atbildību pakalpojumu sniedzējiem par pakalpojumu īstenošanas nosacījumu neievērošanu.</w:t>
            </w:r>
            <w:r w:rsidR="000D4179" w:rsidRPr="00557FCA">
              <w:rPr>
                <w:rFonts w:ascii="Times New Roman" w:hAnsi="Times New Roman"/>
                <w:sz w:val="24"/>
                <w:szCs w:val="24"/>
              </w:rPr>
              <w:t xml:space="preserve"> Informatīvajam ziņojumam pievienotais protokollēmums paredz veikt grozījumus MK noteikumos Nr.75, paredzot pastiprinātu profesionālās apmācības, pārkvalifikācijas, kvalifikācijas paaugstināšanas un neformālās izglītības ieguves pasākumu īstenotāju atbildību par pasākumu īstenošanas nosacījumu neievērošanu.</w:t>
            </w:r>
            <w:r w:rsidR="007B6178" w:rsidRPr="00557FCA">
              <w:rPr>
                <w:rFonts w:ascii="Times New Roman" w:hAnsi="Times New Roman"/>
                <w:sz w:val="24"/>
                <w:szCs w:val="24"/>
              </w:rPr>
              <w:t xml:space="preserve"> Izpildot MK doto uzdevumu, Noteikumu projekts paredz noteikt papildus sankcijas izglītības iestādēm par būtiskiem apmācību īstenošanas nosacījumu pārkāpumiem. Būtisku pasākumu īstenošanas nosacījumu pārkāpumu gadījumā, izglītības iestādei ir pienākums atlīdzināt aģentūrai apmācību izdevumus, kas izlietoti to bezdarbnieku apmācībai, par kuriem konstatēts īstenošanas nosacījumu pārkāpums (piemēram, sniegtas nepatiesas ziņas par nodarbību apmeklējumiem u.tml.) (Noteikumu projekta </w:t>
            </w:r>
            <w:r w:rsidR="00EC029B" w:rsidRPr="00557FCA">
              <w:rPr>
                <w:rFonts w:ascii="Times New Roman" w:hAnsi="Times New Roman"/>
                <w:sz w:val="24"/>
                <w:szCs w:val="24"/>
              </w:rPr>
              <w:t>8</w:t>
            </w:r>
            <w:r w:rsidR="007B6178" w:rsidRPr="00557FCA">
              <w:rPr>
                <w:rFonts w:ascii="Times New Roman" w:hAnsi="Times New Roman"/>
                <w:sz w:val="24"/>
                <w:szCs w:val="24"/>
              </w:rPr>
              <w:t xml:space="preserve">.punkts). </w:t>
            </w:r>
          </w:p>
          <w:p w14:paraId="03A29213" w14:textId="77777777" w:rsidR="005A5E1E" w:rsidRPr="00557FCA" w:rsidRDefault="005A5E1E" w:rsidP="00450243">
            <w:pPr>
              <w:pStyle w:val="ListParagraph"/>
              <w:autoSpaceDE w:val="0"/>
              <w:autoSpaceDN w:val="0"/>
              <w:adjustRightInd w:val="0"/>
              <w:spacing w:after="0" w:line="240" w:lineRule="auto"/>
              <w:ind w:left="0" w:hanging="2"/>
              <w:jc w:val="both"/>
              <w:rPr>
                <w:rFonts w:ascii="Times New Roman" w:hAnsi="Times New Roman"/>
                <w:sz w:val="24"/>
                <w:szCs w:val="24"/>
              </w:rPr>
            </w:pPr>
          </w:p>
          <w:p w14:paraId="0ECA8B11" w14:textId="5AB7664E" w:rsidR="001632DF" w:rsidRPr="00557FCA" w:rsidRDefault="005E0722" w:rsidP="00CC1FB0">
            <w:pPr>
              <w:autoSpaceDE w:val="0"/>
              <w:autoSpaceDN w:val="0"/>
              <w:adjustRightInd w:val="0"/>
              <w:jc w:val="both"/>
            </w:pPr>
            <w:r w:rsidRPr="00557FCA">
              <w:t>7</w:t>
            </w:r>
            <w:r w:rsidR="00CC1FB0" w:rsidRPr="00557FCA">
              <w:t xml:space="preserve">. </w:t>
            </w:r>
            <w:r w:rsidR="001632DF" w:rsidRPr="00557FCA">
              <w:t xml:space="preserve">Atbilstoši MK noteikumu Nr.75 21.3.apakšpunktam, bezdarbniekam un darba meklētājam pēc neformālās izglītības programmu apguves izsniedz iegūtās zināšanas apliecinošu dokumentu. </w:t>
            </w:r>
            <w:r w:rsidR="00937D0E" w:rsidRPr="00557FCA">
              <w:t xml:space="preserve">Neformālās izglītības programmu ietvaros tiek īstenotas arī valsts valodas apmācības. Atbilstoši </w:t>
            </w:r>
            <w:proofErr w:type="gramStart"/>
            <w:r w:rsidR="00937D0E" w:rsidRPr="00557FCA">
              <w:t>2009.gada</w:t>
            </w:r>
            <w:proofErr w:type="gramEnd"/>
            <w:r w:rsidR="00937D0E" w:rsidRPr="00557FCA">
              <w:t xml:space="preserve"> 7.jūlija MK noteikum</w:t>
            </w:r>
            <w:r w:rsidR="003F7DDC" w:rsidRPr="00557FCA">
              <w:t>u</w:t>
            </w:r>
            <w:r w:rsidR="00937D0E" w:rsidRPr="00557FCA">
              <w:t xml:space="preserve"> Nr.773  </w:t>
            </w:r>
            <w:r w:rsidR="003F7DDC" w:rsidRPr="00557FCA">
              <w:t>„</w:t>
            </w:r>
            <w:r w:rsidR="00937D0E" w:rsidRPr="00557FCA">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3F7DDC" w:rsidRPr="00557FCA">
              <w:t xml:space="preserve">” 19.punktam, valsts valodas prasmi apliecina </w:t>
            </w:r>
            <w:r w:rsidR="00B260A2" w:rsidRPr="00557FCA">
              <w:t xml:space="preserve">valsts valodas prasmes apliecība. Noteikumu projekts paredz, ka pēc valsts valodas programmas apguves, bezdarbniekam vai darba meklētājam </w:t>
            </w:r>
            <w:r w:rsidR="001632DF" w:rsidRPr="00557FCA">
              <w:t>izsniedz valsts valodas prasmes apliecību</w:t>
            </w:r>
            <w:r w:rsidR="00B260A2" w:rsidRPr="00557FCA">
              <w:t xml:space="preserve"> (Noteikumu projekta </w:t>
            </w:r>
            <w:r w:rsidR="00EC029B" w:rsidRPr="00557FCA">
              <w:t>9</w:t>
            </w:r>
            <w:r w:rsidR="00B260A2" w:rsidRPr="00557FCA">
              <w:t xml:space="preserve">.punkts). </w:t>
            </w:r>
          </w:p>
          <w:p w14:paraId="0B45CC71" w14:textId="77777777" w:rsidR="00712BCC" w:rsidRPr="00557FCA" w:rsidRDefault="00712BCC" w:rsidP="00CC1FB0">
            <w:pPr>
              <w:autoSpaceDE w:val="0"/>
              <w:autoSpaceDN w:val="0"/>
              <w:adjustRightInd w:val="0"/>
              <w:jc w:val="both"/>
            </w:pPr>
          </w:p>
          <w:p w14:paraId="0FC0C68C" w14:textId="46D776E6" w:rsidR="00712BCC" w:rsidRPr="00557FCA" w:rsidRDefault="005E0722" w:rsidP="00CC1FB0">
            <w:pPr>
              <w:autoSpaceDE w:val="0"/>
              <w:autoSpaceDN w:val="0"/>
              <w:adjustRightInd w:val="0"/>
              <w:jc w:val="both"/>
            </w:pPr>
            <w:r w:rsidRPr="00557FCA">
              <w:t>8</w:t>
            </w:r>
            <w:r w:rsidR="00712BCC" w:rsidRPr="00557FCA">
              <w:t xml:space="preserve">. </w:t>
            </w:r>
            <w:r w:rsidR="00B12C99" w:rsidRPr="00557FCA">
              <w:t>Bezdarbniekus un darba meklētājus neformālās izglītības programmās valsts valodas apguvei iesaista secīgi pa prasmju līmeņiem. Valsts valodas apguve šādā formā nodrošina iespēja apgūt au</w:t>
            </w:r>
            <w:r w:rsidR="00552584" w:rsidRPr="00557FCA">
              <w:t>g</w:t>
            </w:r>
            <w:r w:rsidR="00B12C99" w:rsidRPr="00557FCA">
              <w:t>stāka līmeņa valsts valodas programmas, sekmīgi nenokārtojot iepriekšējā līmeņa programmu un neiegūstot valsts valodas prasmes apliecību. Lai nodrošinātu, ka valsts valodas prasmes ti</w:t>
            </w:r>
            <w:r w:rsidR="00E95B19" w:rsidRPr="00557FCA">
              <w:t xml:space="preserve">ek </w:t>
            </w:r>
            <w:r w:rsidR="00B12C99" w:rsidRPr="00557FCA">
              <w:t>sekmīgi apgūtas visos līme</w:t>
            </w:r>
            <w:r w:rsidR="00BA758F" w:rsidRPr="00557FCA">
              <w:t>ņos, Noteikumu projekts paredz, ka bezdarbnieku un darba meklētāju reizi gadā var atkārtoti iesaistīt neformālās izglītības programmā valsts valodas apguvei vienā līmenī, ja bezdarbnieks nenokārto konkrētā līmeņa valsts valodas prasmes pārbaudes eksāmenu.</w:t>
            </w:r>
            <w:r w:rsidR="00E95B19" w:rsidRPr="00557FCA">
              <w:t xml:space="preserve"> Bezdarbnieks vai darba meklētājs, kurš nebūs nokārtojis valsts valodas pārbaudes </w:t>
            </w:r>
            <w:r w:rsidR="00E95B19" w:rsidRPr="00557FCA">
              <w:lastRenderedPageBreak/>
              <w:t>eksāmenu</w:t>
            </w:r>
            <w:r w:rsidR="00B719CF" w:rsidRPr="00557FCA">
              <w:t>,</w:t>
            </w:r>
            <w:r w:rsidR="00E95B19" w:rsidRPr="00557FCA">
              <w:t xml:space="preserve"> varēs atkārtoti apgūt konkrētā līmeņa programmu un atkārtoti kārtot eksāmenu vienu reizi gadā</w:t>
            </w:r>
            <w:r w:rsidR="001D3BBD" w:rsidRPr="00557FCA">
              <w:t xml:space="preserve"> (Noteikumu projekta </w:t>
            </w:r>
            <w:r w:rsidR="00EC029B" w:rsidRPr="00557FCA">
              <w:t>13</w:t>
            </w:r>
            <w:r w:rsidR="001D3BBD" w:rsidRPr="00557FCA">
              <w:t>.punkts)</w:t>
            </w:r>
            <w:r w:rsidR="00E95B19" w:rsidRPr="00557FCA">
              <w:t xml:space="preserve">. </w:t>
            </w:r>
            <w:r w:rsidR="00B12C99" w:rsidRPr="00557FCA">
              <w:t xml:space="preserve"> </w:t>
            </w:r>
          </w:p>
          <w:p w14:paraId="718DA4E0" w14:textId="77777777" w:rsidR="00981409" w:rsidRPr="00557FCA" w:rsidRDefault="00981409" w:rsidP="00554092">
            <w:pPr>
              <w:pStyle w:val="ListParagraph"/>
              <w:shd w:val="clear" w:color="auto" w:fill="FFFFFF"/>
              <w:spacing w:after="0" w:line="240" w:lineRule="auto"/>
              <w:ind w:left="0"/>
              <w:jc w:val="both"/>
              <w:rPr>
                <w:rFonts w:ascii="Times New Roman" w:hAnsi="Times New Roman"/>
                <w:sz w:val="24"/>
                <w:szCs w:val="24"/>
              </w:rPr>
            </w:pPr>
          </w:p>
          <w:p w14:paraId="61FB122B" w14:textId="7694FFB2" w:rsidR="004130F4" w:rsidRPr="00557FCA" w:rsidRDefault="005E0722" w:rsidP="000B63CF">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9</w:t>
            </w:r>
            <w:r w:rsidR="000B63CF" w:rsidRPr="00557FCA">
              <w:rPr>
                <w:rFonts w:ascii="Times New Roman" w:hAnsi="Times New Roman"/>
                <w:sz w:val="24"/>
                <w:szCs w:val="24"/>
              </w:rPr>
              <w:t xml:space="preserve">. </w:t>
            </w:r>
            <w:r w:rsidR="00271C31" w:rsidRPr="00557FCA">
              <w:rPr>
                <w:rFonts w:ascii="Times New Roman" w:hAnsi="Times New Roman"/>
                <w:sz w:val="24"/>
                <w:szCs w:val="24"/>
              </w:rPr>
              <w:t>Aktīvo nodarbinātības pasākumu „</w:t>
            </w:r>
            <w:r w:rsidR="000941CB" w:rsidRPr="00557FCA">
              <w:rPr>
                <w:rFonts w:ascii="Times New Roman" w:hAnsi="Times New Roman"/>
                <w:sz w:val="24"/>
                <w:szCs w:val="24"/>
              </w:rPr>
              <w:t>Bezdarbnieku apmācība pēc darba devēja pieprasījuma</w:t>
            </w:r>
            <w:r w:rsidR="00271C31" w:rsidRPr="00557FCA">
              <w:rPr>
                <w:rFonts w:ascii="Times New Roman" w:hAnsi="Times New Roman"/>
                <w:sz w:val="24"/>
                <w:szCs w:val="24"/>
              </w:rPr>
              <w:t>” un „Apmācība pie darba devēja” ietvaros darba devējam ir pienākums nodarbināt bezdarbnieku konkrētu laiku pēc dalības pasākumā. Praksē veidojas gadījumi, kad bezdarbniekam vai darba devējam ir grūtības pārtraukt darba tiesiskās attiecības arī gadījumos, kad to turpināšana nav iespējama dažādu objektīvu apstākļu dēļ, kā rezultātā darba devējam no tā neatkarīgu iemeslu dēļ ir pienākums apmaksāt izdevumus, kas saistīti ar pasākuma īstenošanu. Minētā iemesla dēļ, Noteikumu projekts paredz, ka d</w:t>
            </w:r>
            <w:r w:rsidR="00981409" w:rsidRPr="00557FCA">
              <w:rPr>
                <w:rFonts w:ascii="Times New Roman" w:hAnsi="Times New Roman"/>
                <w:sz w:val="24"/>
                <w:szCs w:val="24"/>
              </w:rPr>
              <w:t>arba devējam</w:t>
            </w:r>
            <w:r w:rsidR="00353ED1" w:rsidRPr="00557FCA">
              <w:rPr>
                <w:rFonts w:ascii="Times New Roman" w:hAnsi="Times New Roman"/>
                <w:sz w:val="24"/>
                <w:szCs w:val="24"/>
              </w:rPr>
              <w:t xml:space="preserve"> un bezdarbniekam</w:t>
            </w:r>
            <w:r w:rsidR="00981409" w:rsidRPr="00557FCA">
              <w:rPr>
                <w:rFonts w:ascii="Times New Roman" w:hAnsi="Times New Roman"/>
                <w:sz w:val="24"/>
                <w:szCs w:val="24"/>
              </w:rPr>
              <w:t xml:space="preserve"> ir tiesības vienpusēji pārtraukt darba tiesiskās attiecības pirms </w:t>
            </w:r>
            <w:r w:rsidR="00271C31" w:rsidRPr="00557FCA">
              <w:rPr>
                <w:rFonts w:ascii="Times New Roman" w:hAnsi="Times New Roman"/>
                <w:sz w:val="24"/>
                <w:szCs w:val="24"/>
              </w:rPr>
              <w:t>pasākuma ietvaros paredzētā nodarbinātības</w:t>
            </w:r>
            <w:r w:rsidR="00981409" w:rsidRPr="00557FCA">
              <w:rPr>
                <w:rFonts w:ascii="Times New Roman" w:hAnsi="Times New Roman"/>
                <w:sz w:val="24"/>
                <w:szCs w:val="24"/>
              </w:rPr>
              <w:t xml:space="preserve"> termiņa beigām, atbilstoši Darba likuma</w:t>
            </w:r>
            <w:r w:rsidR="00353ED1" w:rsidRPr="00557FCA">
              <w:rPr>
                <w:rFonts w:ascii="Times New Roman" w:hAnsi="Times New Roman"/>
                <w:sz w:val="24"/>
                <w:szCs w:val="24"/>
              </w:rPr>
              <w:t xml:space="preserve"> 100. un</w:t>
            </w:r>
            <w:r w:rsidR="00981409" w:rsidRPr="00557FCA">
              <w:rPr>
                <w:rFonts w:ascii="Times New Roman" w:hAnsi="Times New Roman"/>
                <w:sz w:val="24"/>
                <w:szCs w:val="24"/>
              </w:rPr>
              <w:t xml:space="preserve"> </w:t>
            </w:r>
            <w:proofErr w:type="gramStart"/>
            <w:r w:rsidR="00981409" w:rsidRPr="00557FCA">
              <w:rPr>
                <w:rFonts w:ascii="Times New Roman" w:hAnsi="Times New Roman"/>
                <w:sz w:val="24"/>
                <w:szCs w:val="24"/>
              </w:rPr>
              <w:t>101.pantam</w:t>
            </w:r>
            <w:proofErr w:type="gramEnd"/>
            <w:r w:rsidR="009104F3" w:rsidRPr="00557FCA">
              <w:rPr>
                <w:rFonts w:ascii="Times New Roman" w:hAnsi="Times New Roman"/>
                <w:sz w:val="24"/>
                <w:szCs w:val="24"/>
              </w:rPr>
              <w:t>.</w:t>
            </w:r>
            <w:r w:rsidR="00353ED1" w:rsidRPr="00557FCA">
              <w:rPr>
                <w:rFonts w:ascii="Times New Roman" w:hAnsi="Times New Roman"/>
                <w:sz w:val="24"/>
                <w:szCs w:val="24"/>
              </w:rPr>
              <w:t xml:space="preserve"> Iestājoties kādam no darba devēja vai darba ņēmēja uzteikuma pamatiem, darba devējs vai darba ņēmējs par to informē NVA, lai sākotnēji rastu risinājumu turpmākai darba attiecību turpināšanai. </w:t>
            </w:r>
            <w:proofErr w:type="gramStart"/>
            <w:r w:rsidR="00353ED1" w:rsidRPr="00557FCA">
              <w:rPr>
                <w:rFonts w:ascii="Times New Roman" w:hAnsi="Times New Roman"/>
                <w:sz w:val="24"/>
                <w:szCs w:val="24"/>
              </w:rPr>
              <w:t>Ja turpmāka sadarbība nav iespējama, NVA</w:t>
            </w:r>
            <w:proofErr w:type="gramEnd"/>
            <w:r w:rsidR="00353ED1" w:rsidRPr="00557FCA">
              <w:rPr>
                <w:rFonts w:ascii="Times New Roman" w:hAnsi="Times New Roman"/>
                <w:sz w:val="24"/>
                <w:szCs w:val="24"/>
              </w:rPr>
              <w:t xml:space="preserve"> saskaņo darba ņēmēja vai darba devēja uzteikumu</w:t>
            </w:r>
            <w:r w:rsidR="00777418" w:rsidRPr="00557FCA">
              <w:rPr>
                <w:rFonts w:ascii="Times New Roman" w:hAnsi="Times New Roman"/>
                <w:sz w:val="24"/>
                <w:szCs w:val="24"/>
              </w:rPr>
              <w:t xml:space="preserve"> (Noteikumu projekta </w:t>
            </w:r>
            <w:r w:rsidR="00EC029B" w:rsidRPr="00557FCA">
              <w:rPr>
                <w:rFonts w:ascii="Times New Roman" w:hAnsi="Times New Roman"/>
                <w:sz w:val="24"/>
                <w:szCs w:val="24"/>
              </w:rPr>
              <w:t>14</w:t>
            </w:r>
            <w:r w:rsidR="00353ED1" w:rsidRPr="00557FCA">
              <w:rPr>
                <w:rFonts w:ascii="Times New Roman" w:hAnsi="Times New Roman"/>
                <w:sz w:val="24"/>
                <w:szCs w:val="24"/>
              </w:rPr>
              <w:t>.</w:t>
            </w:r>
            <w:r w:rsidR="00777418" w:rsidRPr="00557FCA">
              <w:rPr>
                <w:rFonts w:ascii="Times New Roman" w:hAnsi="Times New Roman"/>
                <w:sz w:val="24"/>
                <w:szCs w:val="24"/>
              </w:rPr>
              <w:t xml:space="preserve"> un 2</w:t>
            </w:r>
            <w:r w:rsidR="00EC029B" w:rsidRPr="00557FCA">
              <w:rPr>
                <w:rFonts w:ascii="Times New Roman" w:hAnsi="Times New Roman"/>
                <w:sz w:val="24"/>
                <w:szCs w:val="24"/>
              </w:rPr>
              <w:t>5</w:t>
            </w:r>
            <w:r w:rsidR="00777418" w:rsidRPr="00557FCA">
              <w:rPr>
                <w:rFonts w:ascii="Times New Roman" w:hAnsi="Times New Roman"/>
                <w:sz w:val="24"/>
                <w:szCs w:val="24"/>
              </w:rPr>
              <w:t xml:space="preserve">.punkts). </w:t>
            </w:r>
            <w:r w:rsidR="00353ED1" w:rsidRPr="00557FCA">
              <w:rPr>
                <w:rFonts w:ascii="Times New Roman" w:hAnsi="Times New Roman"/>
                <w:sz w:val="24"/>
                <w:szCs w:val="24"/>
              </w:rPr>
              <w:t xml:space="preserve"> </w:t>
            </w:r>
          </w:p>
          <w:p w14:paraId="77F4F1EE" w14:textId="77777777" w:rsidR="000B63CF" w:rsidRPr="00557FCA" w:rsidRDefault="000B63CF" w:rsidP="000B63CF">
            <w:pPr>
              <w:pStyle w:val="ListParagraph"/>
              <w:shd w:val="clear" w:color="auto" w:fill="FFFFFF"/>
              <w:spacing w:after="0" w:line="240" w:lineRule="auto"/>
              <w:ind w:left="0"/>
              <w:jc w:val="both"/>
              <w:rPr>
                <w:rFonts w:ascii="Times New Roman" w:hAnsi="Times New Roman"/>
                <w:sz w:val="24"/>
                <w:szCs w:val="24"/>
              </w:rPr>
            </w:pPr>
          </w:p>
          <w:p w14:paraId="0AF23066" w14:textId="13123074" w:rsidR="000B63CF" w:rsidRPr="00557FCA" w:rsidRDefault="005E0722" w:rsidP="000B63CF">
            <w:pPr>
              <w:pStyle w:val="ListParagraph"/>
              <w:shd w:val="clear" w:color="auto" w:fill="FFFFFF"/>
              <w:spacing w:after="0" w:line="240" w:lineRule="auto"/>
              <w:ind w:left="0"/>
              <w:jc w:val="both"/>
              <w:rPr>
                <w:rFonts w:ascii="Times New Roman" w:hAnsi="Times New Roman"/>
                <w:sz w:val="24"/>
                <w:szCs w:val="24"/>
              </w:rPr>
            </w:pPr>
            <w:r w:rsidRPr="00557FCA">
              <w:rPr>
                <w:rFonts w:ascii="Times New Roman" w:hAnsi="Times New Roman"/>
                <w:sz w:val="24"/>
                <w:szCs w:val="24"/>
              </w:rPr>
              <w:t>10</w:t>
            </w:r>
            <w:r w:rsidR="000B63CF" w:rsidRPr="00557FCA">
              <w:rPr>
                <w:rFonts w:ascii="Times New Roman" w:hAnsi="Times New Roman"/>
                <w:sz w:val="24"/>
                <w:szCs w:val="24"/>
              </w:rPr>
              <w:t xml:space="preserve">. </w:t>
            </w:r>
            <w:r w:rsidR="00C149E8" w:rsidRPr="00557FCA">
              <w:rPr>
                <w:rFonts w:ascii="Times New Roman" w:hAnsi="Times New Roman"/>
                <w:sz w:val="24"/>
                <w:szCs w:val="24"/>
              </w:rPr>
              <w:t>Lai veicinātu kvalitatīvu izglītības programmu apguvi apmācību ietvaros un pilnvērtīgi sagatavotu bezdarbniekus darbam apgūtajā profesijā, Noteikumu projekts paredz, ka</w:t>
            </w:r>
            <w:r w:rsidR="009C7A0E" w:rsidRPr="00557FCA">
              <w:rPr>
                <w:rFonts w:ascii="Times New Roman" w:hAnsi="Times New Roman"/>
                <w:sz w:val="24"/>
                <w:szCs w:val="24"/>
              </w:rPr>
              <w:t>,</w:t>
            </w:r>
            <w:r w:rsidR="00C149E8" w:rsidRPr="00557FCA">
              <w:rPr>
                <w:rFonts w:ascii="Times New Roman" w:hAnsi="Times New Roman"/>
                <w:sz w:val="24"/>
                <w:szCs w:val="24"/>
              </w:rPr>
              <w:t xml:space="preserve"> bezdarbniekam pirms profesionālo izglītības programmu kvalifikācijas eksāmenu vai noslēguma pārbaudījumu kārtošanas nepieciešams apmeklēt vismaz 80% no visa izglītības programmā paredzētā nodarbību stundu skaita</w:t>
            </w:r>
            <w:r w:rsidR="004C6EB4" w:rsidRPr="00557FCA">
              <w:rPr>
                <w:rFonts w:ascii="Times New Roman" w:hAnsi="Times New Roman"/>
                <w:sz w:val="24"/>
                <w:szCs w:val="24"/>
              </w:rPr>
              <w:t xml:space="preserve"> </w:t>
            </w:r>
            <w:proofErr w:type="gramStart"/>
            <w:r w:rsidR="004C6EB4" w:rsidRPr="00557FCA">
              <w:rPr>
                <w:rFonts w:ascii="Times New Roman" w:hAnsi="Times New Roman"/>
                <w:sz w:val="24"/>
                <w:szCs w:val="24"/>
              </w:rPr>
              <w:t>(</w:t>
            </w:r>
            <w:proofErr w:type="gramEnd"/>
            <w:r w:rsidR="004C6EB4" w:rsidRPr="00557FCA">
              <w:rPr>
                <w:rFonts w:ascii="Times New Roman" w:hAnsi="Times New Roman"/>
                <w:sz w:val="24"/>
                <w:szCs w:val="24"/>
              </w:rPr>
              <w:t>Noteikumu projekta 1</w:t>
            </w:r>
            <w:r w:rsidR="00EC029B" w:rsidRPr="00557FCA">
              <w:rPr>
                <w:rFonts w:ascii="Times New Roman" w:hAnsi="Times New Roman"/>
                <w:sz w:val="24"/>
                <w:szCs w:val="24"/>
              </w:rPr>
              <w:t>5</w:t>
            </w:r>
            <w:r w:rsidR="004C6EB4" w:rsidRPr="00557FCA">
              <w:rPr>
                <w:rFonts w:ascii="Times New Roman" w:hAnsi="Times New Roman"/>
                <w:sz w:val="24"/>
                <w:szCs w:val="24"/>
              </w:rPr>
              <w:t>.punkts)</w:t>
            </w:r>
            <w:r w:rsidR="00C149E8" w:rsidRPr="00557FCA">
              <w:rPr>
                <w:rFonts w:ascii="Times New Roman" w:hAnsi="Times New Roman"/>
                <w:sz w:val="24"/>
                <w:szCs w:val="24"/>
              </w:rPr>
              <w:t>.</w:t>
            </w:r>
            <w:r w:rsidR="00C149E8" w:rsidRPr="00557FCA">
              <w:rPr>
                <w:rFonts w:ascii="Times New Roman" w:hAnsi="Times New Roman"/>
                <w:sz w:val="28"/>
                <w:szCs w:val="28"/>
              </w:rPr>
              <w:t xml:space="preserve"> </w:t>
            </w:r>
            <w:r w:rsidR="00C149E8" w:rsidRPr="00557FCA">
              <w:rPr>
                <w:rFonts w:ascii="Times New Roman" w:hAnsi="Times New Roman"/>
                <w:sz w:val="24"/>
                <w:szCs w:val="24"/>
              </w:rPr>
              <w:t xml:space="preserve"> </w:t>
            </w:r>
          </w:p>
          <w:p w14:paraId="08377321" w14:textId="77777777" w:rsidR="00552D17" w:rsidRPr="00557FCA" w:rsidRDefault="00552D17" w:rsidP="00552D17">
            <w:pPr>
              <w:pStyle w:val="ListParagraph"/>
              <w:rPr>
                <w:rFonts w:ascii="Times New Roman" w:hAnsi="Times New Roman"/>
                <w:sz w:val="24"/>
                <w:szCs w:val="24"/>
              </w:rPr>
            </w:pPr>
          </w:p>
          <w:p w14:paraId="524863B2" w14:textId="29F34365" w:rsidR="00552D17" w:rsidRPr="00557FCA" w:rsidRDefault="008434DD" w:rsidP="00265673">
            <w:pPr>
              <w:pStyle w:val="ListParagraph"/>
              <w:shd w:val="clear" w:color="auto" w:fill="FFFFFF"/>
              <w:spacing w:after="0" w:line="240" w:lineRule="auto"/>
              <w:ind w:left="0"/>
              <w:jc w:val="both"/>
              <w:rPr>
                <w:rFonts w:ascii="Times New Roman" w:eastAsia="Times New Roman" w:hAnsi="Times New Roman"/>
                <w:sz w:val="28"/>
                <w:szCs w:val="28"/>
                <w:lang w:eastAsia="lv-LV"/>
              </w:rPr>
            </w:pPr>
            <w:r w:rsidRPr="00557FCA">
              <w:rPr>
                <w:rFonts w:ascii="Times New Roman" w:hAnsi="Times New Roman"/>
                <w:sz w:val="24"/>
                <w:szCs w:val="24"/>
              </w:rPr>
              <w:t>1</w:t>
            </w:r>
            <w:r w:rsidR="005E0722" w:rsidRPr="00557FCA">
              <w:rPr>
                <w:rFonts w:ascii="Times New Roman" w:hAnsi="Times New Roman"/>
                <w:sz w:val="24"/>
                <w:szCs w:val="24"/>
              </w:rPr>
              <w:t>1</w:t>
            </w:r>
            <w:r w:rsidR="000B63CF" w:rsidRPr="00557FCA">
              <w:rPr>
                <w:rFonts w:ascii="Times New Roman" w:hAnsi="Times New Roman"/>
                <w:sz w:val="24"/>
                <w:szCs w:val="24"/>
              </w:rPr>
              <w:t xml:space="preserve">. </w:t>
            </w:r>
            <w:r w:rsidR="00A0323E" w:rsidRPr="00557FCA">
              <w:rPr>
                <w:rFonts w:ascii="Times New Roman" w:hAnsi="Times New Roman"/>
                <w:sz w:val="24"/>
                <w:szCs w:val="24"/>
              </w:rPr>
              <w:t>Atbilstoši MK noteikumu Nr.75 70.punktam, darba devējam, kas noslēdzis līgumu par pasākuma īstenošanu, jāpiedalās attiecīgā pasākuma līdzfinansēšanā (arī veicot valsts sociālās apdrošināšanas obligātās iemaksas par pasākumos iesaistītajiem bezdarbniekiem). Noteikumu projekts paredz, ka</w:t>
            </w:r>
            <w:r w:rsidR="00265673" w:rsidRPr="00557FCA">
              <w:rPr>
                <w:rFonts w:ascii="Times New Roman" w:eastAsia="Times New Roman" w:hAnsi="Times New Roman"/>
                <w:sz w:val="28"/>
                <w:szCs w:val="28"/>
                <w:lang w:eastAsia="lv-LV"/>
              </w:rPr>
              <w:t xml:space="preserve"> </w:t>
            </w:r>
            <w:r w:rsidR="00265673" w:rsidRPr="00557FCA">
              <w:rPr>
                <w:rFonts w:ascii="Times New Roman" w:eastAsia="Times New Roman" w:hAnsi="Times New Roman"/>
                <w:sz w:val="24"/>
                <w:szCs w:val="24"/>
                <w:lang w:eastAsia="lv-LV"/>
              </w:rPr>
              <w:t>darba devēja līdzfinansētā daļa sedzama no līdzekļiem, kas brīvi no komercdarbības atbalsta</w:t>
            </w:r>
            <w:r w:rsidR="00265673" w:rsidRPr="00557FCA">
              <w:rPr>
                <w:rFonts w:ascii="Times New Roman" w:eastAsia="Times New Roman" w:hAnsi="Times New Roman"/>
                <w:sz w:val="28"/>
                <w:szCs w:val="28"/>
                <w:lang w:eastAsia="lv-LV"/>
              </w:rPr>
              <w:t xml:space="preserve">. </w:t>
            </w:r>
            <w:r w:rsidR="00A0323E" w:rsidRPr="00557FCA">
              <w:rPr>
                <w:rFonts w:ascii="Times New Roman" w:eastAsia="Times New Roman" w:hAnsi="Times New Roman"/>
                <w:sz w:val="24"/>
                <w:szCs w:val="24"/>
                <w:lang w:eastAsia="lv-LV"/>
              </w:rPr>
              <w:t>Šī nosacījuma mērķis ir nodrošināt, ka darba devēji līdzfinansē pasākuma īstenošanu (piemēram, daļa no darba algas bezdarbniekam un darba vadītājam) no uzņēmuma līdzekļiem, nevis no finansējuma, kas saņemt citu atbalsta instrumentu ietvaros, piemērām, no  Lauku atbalsta dienesta programmām saņemtā finansējuma u.tml.</w:t>
            </w:r>
            <w:r w:rsidR="004E444C" w:rsidRPr="00557FCA">
              <w:rPr>
                <w:rFonts w:ascii="Times New Roman" w:eastAsia="Times New Roman" w:hAnsi="Times New Roman"/>
                <w:sz w:val="24"/>
                <w:szCs w:val="24"/>
                <w:lang w:eastAsia="lv-LV"/>
              </w:rPr>
              <w:t xml:space="preserve"> (Noteikumu projekta </w:t>
            </w:r>
            <w:r w:rsidR="004C6EB4" w:rsidRPr="00557FCA">
              <w:rPr>
                <w:rFonts w:ascii="Times New Roman" w:eastAsia="Times New Roman" w:hAnsi="Times New Roman"/>
                <w:sz w:val="24"/>
                <w:szCs w:val="24"/>
                <w:lang w:eastAsia="lv-LV"/>
              </w:rPr>
              <w:t>1</w:t>
            </w:r>
            <w:r w:rsidR="00EC029B" w:rsidRPr="00557FCA">
              <w:rPr>
                <w:rFonts w:ascii="Times New Roman" w:eastAsia="Times New Roman" w:hAnsi="Times New Roman"/>
                <w:sz w:val="24"/>
                <w:szCs w:val="24"/>
                <w:lang w:eastAsia="lv-LV"/>
              </w:rPr>
              <w:t>6</w:t>
            </w:r>
            <w:r w:rsidR="001A7FCA" w:rsidRPr="00557FCA">
              <w:rPr>
                <w:rFonts w:ascii="Times New Roman" w:eastAsia="Times New Roman" w:hAnsi="Times New Roman"/>
                <w:sz w:val="24"/>
                <w:szCs w:val="24"/>
                <w:lang w:eastAsia="lv-LV"/>
              </w:rPr>
              <w:t xml:space="preserve">.punkts.). </w:t>
            </w:r>
          </w:p>
          <w:p w14:paraId="7E88AA32" w14:textId="77777777" w:rsidR="0021638B" w:rsidRPr="00557FCA" w:rsidRDefault="0021638B" w:rsidP="0021638B">
            <w:pPr>
              <w:pStyle w:val="ListParagraph"/>
              <w:shd w:val="clear" w:color="auto" w:fill="FFFFFF"/>
              <w:spacing w:after="0" w:line="240" w:lineRule="auto"/>
              <w:ind w:left="0"/>
              <w:jc w:val="both"/>
              <w:rPr>
                <w:rFonts w:ascii="Times New Roman" w:hAnsi="Times New Roman"/>
                <w:sz w:val="24"/>
                <w:szCs w:val="24"/>
              </w:rPr>
            </w:pPr>
          </w:p>
          <w:p w14:paraId="5BF64EAD" w14:textId="37D708CD" w:rsidR="0021638B" w:rsidRPr="00557FCA" w:rsidRDefault="000B63CF" w:rsidP="000B63CF">
            <w:pPr>
              <w:pStyle w:val="tv213"/>
              <w:spacing w:before="0" w:beforeAutospacing="0" w:after="0" w:afterAutospacing="0"/>
              <w:jc w:val="both"/>
              <w:rPr>
                <w:bCs/>
                <w:iCs/>
              </w:rPr>
            </w:pPr>
            <w:r w:rsidRPr="00557FCA">
              <w:rPr>
                <w:bCs/>
                <w:iCs/>
              </w:rPr>
              <w:t>1</w:t>
            </w:r>
            <w:r w:rsidR="005E0722" w:rsidRPr="00557FCA">
              <w:rPr>
                <w:bCs/>
                <w:iCs/>
              </w:rPr>
              <w:t>2</w:t>
            </w:r>
            <w:r w:rsidRPr="00557FCA">
              <w:rPr>
                <w:bCs/>
                <w:iCs/>
              </w:rPr>
              <w:t xml:space="preserve">. </w:t>
            </w:r>
            <w:r w:rsidR="0021638B" w:rsidRPr="00557FCA">
              <w:rPr>
                <w:bCs/>
                <w:iCs/>
              </w:rPr>
              <w:t xml:space="preserve">Atbilstoši Bezdarbnieku un darba meklētāju atbalsta likuma </w:t>
            </w:r>
            <w:proofErr w:type="gramStart"/>
            <w:r w:rsidR="0021638B" w:rsidRPr="00557FCA">
              <w:rPr>
                <w:bCs/>
                <w:iCs/>
              </w:rPr>
              <w:t>12.panta</w:t>
            </w:r>
            <w:proofErr w:type="gramEnd"/>
            <w:r w:rsidR="0021638B" w:rsidRPr="00557FCA">
              <w:rPr>
                <w:bCs/>
                <w:iCs/>
              </w:rPr>
              <w:t xml:space="preserve"> pirmās daļas 1.punktam, viens no bezdarbnieka statusa zaudēšanas pamatiem ir </w:t>
            </w:r>
            <w:r w:rsidR="0021638B" w:rsidRPr="00557FCA">
              <w:t xml:space="preserve">darba ņēmēja vai pašnodarbinātā statusa </w:t>
            </w:r>
            <w:r w:rsidR="0021638B" w:rsidRPr="00557FCA">
              <w:lastRenderedPageBreak/>
              <w:t xml:space="preserve">iegūšana saskaņā ar likumu </w:t>
            </w:r>
            <w:r w:rsidR="0021638B" w:rsidRPr="00557FCA">
              <w:rPr>
                <w:bCs/>
                <w:iCs/>
              </w:rPr>
              <w:t>„</w:t>
            </w:r>
            <w:hyperlink r:id="rId11" w:tgtFrame="_blank" w:history="1">
              <w:r w:rsidR="0021638B" w:rsidRPr="00557FCA">
                <w:rPr>
                  <w:rStyle w:val="Hyperlink"/>
                  <w:color w:val="auto"/>
                  <w:u w:val="none"/>
                </w:rPr>
                <w:t>Par valsts sociālo apdrošināšanu</w:t>
              </w:r>
            </w:hyperlink>
            <w:r w:rsidR="0021638B" w:rsidRPr="00557FCA">
              <w:t xml:space="preserve">”, izņemot šā statusa iegūšanu uz laiku līdz diviem mēnešiem, ja par to paziņots </w:t>
            </w:r>
            <w:r w:rsidR="002D4741" w:rsidRPr="00557FCA">
              <w:t>NVA</w:t>
            </w:r>
            <w:r w:rsidR="0021638B" w:rsidRPr="00557FCA">
              <w:t xml:space="preserve">, kā arī izņemot iesaistīšanos aktīvajos nodarbinātības pasākumos. </w:t>
            </w:r>
            <w:r w:rsidR="0021638B" w:rsidRPr="00557FCA">
              <w:rPr>
                <w:bCs/>
                <w:iCs/>
              </w:rPr>
              <w:t>Atbilstoši šai normai, bezdarbnieks var tikt nodarbināts termiņā līdz diviem mēnešiem un saglabāt bezdarbnieka statusu. Šādai īstermiņa nodarbinātībai ir pagaidu vai sezonāls raksturs un šāda nepastāvīga nodarbinātība nerisina ilgstošā bezdarba problēmu. Lai „Pasākumos noteiktām personu grupām” un „Ilgstošo bezdarbnieku aktivizācijas pasākumos” varētu iesaistīt ilgstošos bezdarbniekus, kuri īslaicīgi strādājuši, bet šajā periodā saglabājuši bezdarbnieka statusu, Noteikumu projekts paredz, ka minētajos pasākumos iesaista ilgstošos bezdarbniekus – personas, kas ir bijušas bez darba vismaz 12 mēnešus (šajā periodā nav bijušas uzskatāmas par darba ņēmējiem vai pašnodarbinātajiem atbilstoši likumam „Par valsts sociālo apdrošināšanu” ilgāk par diviem mēnešiem bez pārtraukuma</w:t>
            </w:r>
            <w:r w:rsidR="00C70991" w:rsidRPr="00557FCA">
              <w:rPr>
                <w:bCs/>
                <w:iCs/>
              </w:rPr>
              <w:t>)</w:t>
            </w:r>
            <w:r w:rsidR="0021638B" w:rsidRPr="00557FCA">
              <w:rPr>
                <w:bCs/>
                <w:iCs/>
              </w:rPr>
              <w:t>.</w:t>
            </w:r>
          </w:p>
          <w:p w14:paraId="4D617762" w14:textId="43C2967B" w:rsidR="00884919" w:rsidRPr="00557FCA" w:rsidRDefault="00884919" w:rsidP="000B63CF">
            <w:pPr>
              <w:pStyle w:val="tv213"/>
              <w:spacing w:before="0" w:beforeAutospacing="0" w:after="0" w:afterAutospacing="0"/>
              <w:jc w:val="both"/>
              <w:rPr>
                <w:bCs/>
                <w:iCs/>
              </w:rPr>
            </w:pPr>
            <w:r w:rsidRPr="00557FCA">
              <w:rPr>
                <w:bCs/>
                <w:iCs/>
              </w:rPr>
              <w:t xml:space="preserve">Pasākumus noteiktām personu grupām īstenot </w:t>
            </w:r>
            <w:r w:rsidRPr="00557FCA">
              <w:t xml:space="preserve">Darbības programmas </w:t>
            </w:r>
            <w:r w:rsidRPr="00557FCA">
              <w:rPr>
                <w:bCs/>
                <w:iCs/>
              </w:rPr>
              <w:t>„</w:t>
            </w:r>
            <w:r w:rsidRPr="00557FCA">
              <w:t xml:space="preserve">Izaugsme un nodarbinātība” 9.1.1. specifiskā atbalsta mērķa </w:t>
            </w:r>
            <w:r w:rsidRPr="00557FCA">
              <w:rPr>
                <w:bCs/>
                <w:iCs/>
              </w:rPr>
              <w:t>„</w:t>
            </w:r>
            <w:r w:rsidRPr="00557FCA">
              <w:t xml:space="preserve">Palielināt nelabvēlīgākā situācijā esošu bezdarbnieku iekļaušanos darba tirgū” 9.1.1.1. pasākuma </w:t>
            </w:r>
            <w:r w:rsidRPr="00557FCA">
              <w:rPr>
                <w:bCs/>
                <w:iCs/>
              </w:rPr>
              <w:t>„</w:t>
            </w:r>
            <w:r w:rsidRPr="00557FCA">
              <w:t xml:space="preserve">Subsidētās darbavietas nelabvēlīgākā situācijā esošiem bezdarbniekiem” </w:t>
            </w:r>
            <w:r w:rsidR="0095148C" w:rsidRPr="00557FCA">
              <w:t>(turpmāk – SAM 9.1.1.</w:t>
            </w:r>
            <w:r w:rsidR="00C70991" w:rsidRPr="00557FCA">
              <w:t>1.</w:t>
            </w:r>
            <w:r w:rsidR="0095148C" w:rsidRPr="00557FCA">
              <w:t xml:space="preserve">) </w:t>
            </w:r>
            <w:r w:rsidRPr="00557FCA">
              <w:t xml:space="preserve">ietvaros (ESF finansējums), savukārt atbalsta pasākumus ilgstošajiem bezdarbniekiem īsteno Darbības programmas </w:t>
            </w:r>
            <w:r w:rsidRPr="00557FCA">
              <w:rPr>
                <w:bCs/>
                <w:iCs/>
              </w:rPr>
              <w:t>„</w:t>
            </w:r>
            <w:r w:rsidRPr="00557FCA">
              <w:t xml:space="preserve">Izaugsme un nodarbinātība” 9.1.1. specifiskā atbalsta mērķa </w:t>
            </w:r>
            <w:r w:rsidRPr="00557FCA">
              <w:rPr>
                <w:bCs/>
                <w:iCs/>
              </w:rPr>
              <w:t>„</w:t>
            </w:r>
            <w:r w:rsidRPr="00557FCA">
              <w:t xml:space="preserve">Palielināt nelabvēlīgākā situācijā esošu bezdarbnieku iekļaušanos darba tirgū” 9.1.1.2. pasākuma </w:t>
            </w:r>
            <w:r w:rsidRPr="00557FCA">
              <w:rPr>
                <w:bCs/>
                <w:iCs/>
              </w:rPr>
              <w:t>„</w:t>
            </w:r>
            <w:r w:rsidRPr="00557FCA">
              <w:t xml:space="preserve">Ilgstošo bezdarbnieku aktivizācijas pasākumi” </w:t>
            </w:r>
            <w:r w:rsidR="00EC1E12" w:rsidRPr="00557FCA">
              <w:t xml:space="preserve">(turpmāk – SAM 9.1.1.2.) </w:t>
            </w:r>
            <w:r w:rsidRPr="00557FCA">
              <w:t>ietvaros (ESF finansējums) (Noteikumu projekta 1</w:t>
            </w:r>
            <w:r w:rsidR="00EC029B" w:rsidRPr="00557FCA">
              <w:t>9</w:t>
            </w:r>
            <w:r w:rsidRPr="00557FCA">
              <w:t>.</w:t>
            </w:r>
            <w:r w:rsidR="006E0505" w:rsidRPr="00557FCA">
              <w:t xml:space="preserve">, </w:t>
            </w:r>
            <w:r w:rsidR="00EC029B" w:rsidRPr="00557FCA">
              <w:t>21</w:t>
            </w:r>
            <w:r w:rsidR="007007D0" w:rsidRPr="00557FCA">
              <w:t>.</w:t>
            </w:r>
            <w:r w:rsidRPr="00557FCA">
              <w:t xml:space="preserve"> un 3</w:t>
            </w:r>
            <w:r w:rsidR="00EC029B" w:rsidRPr="00557FCA">
              <w:t>5</w:t>
            </w:r>
            <w:r w:rsidRPr="00557FCA">
              <w:t xml:space="preserve">.punkts). </w:t>
            </w:r>
          </w:p>
          <w:p w14:paraId="13352F46" w14:textId="77777777" w:rsidR="008C605D" w:rsidRPr="00557FCA" w:rsidRDefault="008C605D" w:rsidP="000B63CF">
            <w:pPr>
              <w:pStyle w:val="tv213"/>
              <w:spacing w:before="0" w:beforeAutospacing="0" w:after="0" w:afterAutospacing="0"/>
              <w:jc w:val="both"/>
              <w:rPr>
                <w:bCs/>
                <w:iCs/>
              </w:rPr>
            </w:pPr>
          </w:p>
          <w:p w14:paraId="7A633D89" w14:textId="2DF2D75E" w:rsidR="008C605D" w:rsidRPr="00557FCA" w:rsidRDefault="008C605D" w:rsidP="000B63CF">
            <w:pPr>
              <w:pStyle w:val="tv213"/>
              <w:spacing w:before="0" w:beforeAutospacing="0" w:after="0" w:afterAutospacing="0"/>
              <w:jc w:val="both"/>
              <w:rPr>
                <w:bCs/>
                <w:iCs/>
              </w:rPr>
            </w:pPr>
            <w:r w:rsidRPr="00557FCA">
              <w:rPr>
                <w:bCs/>
                <w:iCs/>
              </w:rPr>
              <w:t>1</w:t>
            </w:r>
            <w:r w:rsidR="005E0722" w:rsidRPr="00557FCA">
              <w:rPr>
                <w:bCs/>
                <w:iCs/>
              </w:rPr>
              <w:t>3</w:t>
            </w:r>
            <w:r w:rsidRPr="00557FCA">
              <w:rPr>
                <w:bCs/>
                <w:iCs/>
              </w:rPr>
              <w:t xml:space="preserve">. </w:t>
            </w:r>
            <w:r w:rsidRPr="00557FCA">
              <w:t xml:space="preserve">Ja </w:t>
            </w:r>
            <w:r w:rsidR="000D6E94" w:rsidRPr="00557FCA">
              <w:t>P</w:t>
            </w:r>
            <w:r w:rsidRPr="00557FCA">
              <w:t xml:space="preserve">asākumus noteiktām personu grupām īsteno Jauniešu garantijas programmas ietvaros, tajos iesaista jauniešus bezdarbniekus vecumā no 18 līdz 29 gadiem (ieskaitot), kuri nav iesaistīti apmācībā pie darba devēja un aktīvajos nodarbinātības pasākumos, kas paredz darba līguma slēgšanu, un atbilst kādam no MK noteikumos Nr.75 noteiktajiem kritērijiem. Atbilstoši Bezdarbnieku un darba meklētāju atbalsta likuma 10.panta pirmās daļas 5.apakšpunktam, bezdarbnieka statusu var iegūt persona, kura sasniegusi 15 gadu vecumu. </w:t>
            </w:r>
            <w:r w:rsidR="003C189B" w:rsidRPr="00557FCA">
              <w:t>Lai gan jauniešu prioritāte līdz 18 gadu vecuma sasniegšanai ir izglītības programmu apguve, praksē konstatēts, ka jauniešiem ar smagu invaliditāti izglītības programmu apguve ir ierobežota un tie efektīvāk apgūst darba prasmes, veicot konkrētā darba pienākumus. Noteikumu projekts paredz, ka jaunieši bezdarbnieki ar invaliditāti var iesaistīties subsidētajā nodarbinātībā</w:t>
            </w:r>
            <w:r w:rsidR="00AA669B" w:rsidRPr="00557FCA">
              <w:t xml:space="preserve"> Jauniešu garantijas ietvaros</w:t>
            </w:r>
            <w:r w:rsidR="003C189B" w:rsidRPr="00557FCA">
              <w:t xml:space="preserve"> no 15 gadu vecuma</w:t>
            </w:r>
            <w:r w:rsidR="00AA669B" w:rsidRPr="00557FCA">
              <w:t xml:space="preserve">. Jauniešu garantijas pasākumus īsteno Darbības programmas </w:t>
            </w:r>
            <w:r w:rsidR="00AA669B" w:rsidRPr="00557FCA">
              <w:rPr>
                <w:bCs/>
                <w:iCs/>
              </w:rPr>
              <w:t>„</w:t>
            </w:r>
            <w:r w:rsidR="00AA669B" w:rsidRPr="00557FCA">
              <w:t xml:space="preserve">Izaugsme un nodarbinātība” 7.2.1.specifiskā atbalsta mērķa </w:t>
            </w:r>
            <w:r w:rsidR="00AA669B" w:rsidRPr="00557FCA">
              <w:rPr>
                <w:bCs/>
                <w:iCs/>
              </w:rPr>
              <w:t>„</w:t>
            </w:r>
            <w:r w:rsidR="00AA669B" w:rsidRPr="00557FCA">
              <w:t xml:space="preserve">Palielināt nodarbinātībā, izglītībā vai apmācībās neiesaistītu </w:t>
            </w:r>
            <w:r w:rsidR="00AA669B" w:rsidRPr="00557FCA">
              <w:lastRenderedPageBreak/>
              <w:t xml:space="preserve">jauniešu nodarbinātību un izglītības ieguvi Jauniešu garantijas ietvaros” pasākumu </w:t>
            </w:r>
            <w:r w:rsidR="00AA669B" w:rsidRPr="00557FCA">
              <w:rPr>
                <w:bCs/>
                <w:iCs/>
              </w:rPr>
              <w:t>„</w:t>
            </w:r>
            <w:r w:rsidR="00AA669B" w:rsidRPr="00557FCA">
              <w:t xml:space="preserve">Aktīvās darba tirgus politikas pasākumu īstenošana jauniešu bezdarbnieku nodarbinātības veicināšanai” un </w:t>
            </w:r>
            <w:r w:rsidR="00AA669B" w:rsidRPr="00557FCA">
              <w:rPr>
                <w:bCs/>
                <w:iCs/>
              </w:rPr>
              <w:t>„</w:t>
            </w:r>
            <w:r w:rsidR="00AA669B" w:rsidRPr="00557FCA">
              <w:t>Sākotnējās profesionālās izglītības programmu īstenošana Jauniešu garantijas ietvaros”</w:t>
            </w:r>
            <w:r w:rsidR="0075200F" w:rsidRPr="00557FCA">
              <w:t xml:space="preserve"> (turpmāk - SAM 7.2.1.)</w:t>
            </w:r>
            <w:r w:rsidR="00AA669B" w:rsidRPr="00557FCA">
              <w:t xml:space="preserve"> (Noteikumu projekta </w:t>
            </w:r>
            <w:r w:rsidR="00EC029B" w:rsidRPr="00557FCA">
              <w:t>20</w:t>
            </w:r>
            <w:r w:rsidR="00AA669B" w:rsidRPr="00557FCA">
              <w:t>.punkts)</w:t>
            </w:r>
            <w:r w:rsidR="003C189B" w:rsidRPr="00557FCA">
              <w:t xml:space="preserve">.  </w:t>
            </w:r>
          </w:p>
          <w:p w14:paraId="4C3C97F2" w14:textId="77777777" w:rsidR="00C6121C" w:rsidRPr="00557FCA" w:rsidRDefault="00C6121C" w:rsidP="00554092">
            <w:pPr>
              <w:pStyle w:val="ListParagraph"/>
              <w:spacing w:after="0"/>
              <w:rPr>
                <w:rFonts w:ascii="Times New Roman" w:hAnsi="Times New Roman"/>
                <w:sz w:val="24"/>
                <w:szCs w:val="24"/>
              </w:rPr>
            </w:pPr>
          </w:p>
          <w:p w14:paraId="4B9DFD66" w14:textId="206AAAB2" w:rsidR="00560F87" w:rsidRPr="00557FCA" w:rsidRDefault="00C6121C" w:rsidP="005E0722">
            <w:pPr>
              <w:pStyle w:val="ListParagraph"/>
              <w:numPr>
                <w:ilvl w:val="0"/>
                <w:numId w:val="11"/>
              </w:numPr>
              <w:shd w:val="clear" w:color="auto" w:fill="FFFFFF"/>
              <w:spacing w:line="240" w:lineRule="auto"/>
              <w:ind w:left="0" w:firstLine="0"/>
              <w:jc w:val="both"/>
              <w:rPr>
                <w:rFonts w:ascii="Times New Roman" w:hAnsi="Times New Roman"/>
                <w:sz w:val="24"/>
                <w:szCs w:val="24"/>
              </w:rPr>
            </w:pPr>
            <w:r w:rsidRPr="00557FCA">
              <w:rPr>
                <w:rFonts w:ascii="Times New Roman" w:hAnsi="Times New Roman"/>
                <w:sz w:val="24"/>
                <w:szCs w:val="24"/>
              </w:rPr>
              <w:t>Atbilstoši MK noteikumu Nr.</w:t>
            </w:r>
            <w:proofErr w:type="gramStart"/>
            <w:r w:rsidRPr="00557FCA">
              <w:rPr>
                <w:rFonts w:ascii="Times New Roman" w:hAnsi="Times New Roman"/>
                <w:sz w:val="24"/>
                <w:szCs w:val="24"/>
              </w:rPr>
              <w:t xml:space="preserve">75 </w:t>
            </w:r>
            <w:r w:rsidR="00D12FCC" w:rsidRPr="00557FCA">
              <w:rPr>
                <w:rFonts w:ascii="Times New Roman" w:hAnsi="Times New Roman"/>
                <w:sz w:val="24"/>
                <w:szCs w:val="24"/>
              </w:rPr>
              <w:t>74.</w:t>
            </w:r>
            <w:r w:rsidR="00D12FCC" w:rsidRPr="00557FCA">
              <w:rPr>
                <w:rFonts w:ascii="Times New Roman" w:hAnsi="Times New Roman"/>
                <w:sz w:val="24"/>
                <w:szCs w:val="24"/>
                <w:vertAlign w:val="superscript"/>
              </w:rPr>
              <w:t>6</w:t>
            </w:r>
            <w:r w:rsidR="00B3355A" w:rsidRPr="00557FCA">
              <w:rPr>
                <w:rFonts w:ascii="Times New Roman" w:hAnsi="Times New Roman"/>
                <w:sz w:val="24"/>
                <w:szCs w:val="24"/>
                <w:vertAlign w:val="superscript"/>
              </w:rPr>
              <w:t xml:space="preserve"> </w:t>
            </w:r>
            <w:r w:rsidR="00D12FCC" w:rsidRPr="00557FCA">
              <w:rPr>
                <w:rFonts w:ascii="Times New Roman" w:hAnsi="Times New Roman"/>
                <w:sz w:val="24"/>
                <w:szCs w:val="24"/>
              </w:rPr>
              <w:t>punktam</w:t>
            </w:r>
            <w:proofErr w:type="gramEnd"/>
            <w:r w:rsidR="00D12FCC" w:rsidRPr="00557FCA">
              <w:rPr>
                <w:rFonts w:ascii="Times New Roman" w:hAnsi="Times New Roman"/>
                <w:sz w:val="24"/>
                <w:szCs w:val="24"/>
              </w:rPr>
              <w:t>, a</w:t>
            </w:r>
            <w:r w:rsidRPr="00557FCA">
              <w:rPr>
                <w:rFonts w:ascii="Times New Roman" w:hAnsi="Times New Roman"/>
                <w:sz w:val="24"/>
                <w:szCs w:val="24"/>
              </w:rPr>
              <w:t>tbalsta personas</w:t>
            </w:r>
            <w:r w:rsidR="00D12FCC" w:rsidRPr="00557FCA">
              <w:rPr>
                <w:rFonts w:ascii="Times New Roman" w:hAnsi="Times New Roman"/>
                <w:sz w:val="24"/>
                <w:szCs w:val="24"/>
              </w:rPr>
              <w:t xml:space="preserve"> personām ar garīga rakstura traucējumiem</w:t>
            </w:r>
            <w:r w:rsidRPr="00557FCA">
              <w:rPr>
                <w:rFonts w:ascii="Times New Roman" w:hAnsi="Times New Roman"/>
                <w:sz w:val="24"/>
                <w:szCs w:val="24"/>
              </w:rPr>
              <w:t xml:space="preserve"> izmaksas ir ne vairāk kā 4,50 </w:t>
            </w:r>
            <w:proofErr w:type="spellStart"/>
            <w:r w:rsidRPr="00557FCA">
              <w:rPr>
                <w:rFonts w:ascii="Times New Roman" w:hAnsi="Times New Roman"/>
                <w:i/>
                <w:iCs/>
                <w:sz w:val="24"/>
                <w:szCs w:val="24"/>
              </w:rPr>
              <w:t>euro</w:t>
            </w:r>
            <w:proofErr w:type="spellEnd"/>
            <w:r w:rsidRPr="00557FCA">
              <w:rPr>
                <w:rFonts w:ascii="Times New Roman" w:hAnsi="Times New Roman"/>
                <w:i/>
                <w:iCs/>
                <w:sz w:val="24"/>
                <w:szCs w:val="24"/>
              </w:rPr>
              <w:t xml:space="preserve"> </w:t>
            </w:r>
            <w:r w:rsidRPr="00557FCA">
              <w:rPr>
                <w:rFonts w:ascii="Times New Roman" w:hAnsi="Times New Roman"/>
                <w:sz w:val="24"/>
                <w:szCs w:val="24"/>
              </w:rPr>
              <w:t>par vienu pakalpojuma sniegšanas stundu, nepārsniedzot 40 darba stundas nedēļā, proporcionāli stundu skaitam, ko nostrādājis bezdarbnieks ar invaliditāti.</w:t>
            </w:r>
            <w:r w:rsidR="00D12FCC" w:rsidRPr="00557FCA">
              <w:rPr>
                <w:rFonts w:ascii="Times New Roman" w:hAnsi="Times New Roman"/>
                <w:sz w:val="24"/>
                <w:szCs w:val="24"/>
              </w:rPr>
              <w:t xml:space="preserve"> Lai nodrošinātu atbilstošu atlīdzību atbalsta personai un veicinātu šī pakalpojuma pieejamību, atbalsta personas izmaksas nepieciešams pielīdzināt vidējai stundas tarifa likmei sociālajam darbiniekam darbam ar personām ar funkcionāliem traucējumiem - 6 </w:t>
            </w:r>
            <w:proofErr w:type="spellStart"/>
            <w:r w:rsidR="00D12FCC" w:rsidRPr="00557FCA">
              <w:rPr>
                <w:rFonts w:ascii="Times New Roman" w:hAnsi="Times New Roman"/>
                <w:i/>
                <w:sz w:val="24"/>
                <w:szCs w:val="24"/>
              </w:rPr>
              <w:t>euro</w:t>
            </w:r>
            <w:proofErr w:type="spellEnd"/>
            <w:r w:rsidR="00D12FCC" w:rsidRPr="00557FCA">
              <w:rPr>
                <w:rFonts w:ascii="Times New Roman" w:hAnsi="Times New Roman"/>
                <w:sz w:val="24"/>
                <w:szCs w:val="24"/>
              </w:rPr>
              <w:t xml:space="preserve"> stundā, kas kopā ar sakaru un transporta izmaksām veido 7 </w:t>
            </w:r>
            <w:proofErr w:type="spellStart"/>
            <w:r w:rsidR="00D12FCC" w:rsidRPr="00557FCA">
              <w:rPr>
                <w:rFonts w:ascii="Times New Roman" w:hAnsi="Times New Roman"/>
                <w:i/>
                <w:sz w:val="24"/>
                <w:szCs w:val="24"/>
              </w:rPr>
              <w:t>euro</w:t>
            </w:r>
            <w:proofErr w:type="spellEnd"/>
            <w:r w:rsidR="00D12FCC" w:rsidRPr="00557FCA">
              <w:rPr>
                <w:rFonts w:ascii="Times New Roman" w:hAnsi="Times New Roman"/>
                <w:sz w:val="24"/>
                <w:szCs w:val="24"/>
              </w:rPr>
              <w:t xml:space="preserve"> stundā</w:t>
            </w:r>
            <w:r w:rsidR="009104F3" w:rsidRPr="00557FCA">
              <w:rPr>
                <w:rFonts w:ascii="Times New Roman" w:hAnsi="Times New Roman"/>
                <w:sz w:val="24"/>
                <w:szCs w:val="24"/>
              </w:rPr>
              <w:t>.</w:t>
            </w:r>
            <w:r w:rsidR="001F18FF" w:rsidRPr="00557FCA">
              <w:rPr>
                <w:rFonts w:ascii="Times New Roman" w:hAnsi="Times New Roman"/>
                <w:sz w:val="24"/>
                <w:szCs w:val="24"/>
              </w:rPr>
              <w:t xml:space="preserve"> </w:t>
            </w:r>
            <w:r w:rsidR="001F18FF" w:rsidRPr="00557FCA">
              <w:rPr>
                <w:rFonts w:ascii="Times New Roman" w:hAnsi="Times New Roman"/>
                <w:bCs/>
                <w:iCs/>
                <w:sz w:val="24"/>
                <w:szCs w:val="24"/>
              </w:rPr>
              <w:t xml:space="preserve">Plānots, ka pakalpojumu ik gadu varētu pieprasīt 7 bezdarbnieki. Maksimālās pakalpojuma izmaksas nepārsniedz 938 </w:t>
            </w:r>
            <w:proofErr w:type="spellStart"/>
            <w:r w:rsidR="001F18FF" w:rsidRPr="00557FCA">
              <w:rPr>
                <w:rFonts w:ascii="Times New Roman" w:hAnsi="Times New Roman"/>
                <w:bCs/>
                <w:i/>
                <w:iCs/>
                <w:sz w:val="24"/>
                <w:szCs w:val="24"/>
              </w:rPr>
              <w:t>euro</w:t>
            </w:r>
            <w:proofErr w:type="spellEnd"/>
            <w:r w:rsidR="001F18FF" w:rsidRPr="00557FCA">
              <w:rPr>
                <w:rFonts w:ascii="Times New Roman" w:hAnsi="Times New Roman"/>
                <w:bCs/>
                <w:i/>
                <w:iCs/>
                <w:sz w:val="24"/>
                <w:szCs w:val="24"/>
              </w:rPr>
              <w:t xml:space="preserve">. </w:t>
            </w:r>
            <w:r w:rsidR="001F18FF" w:rsidRPr="00557FCA">
              <w:rPr>
                <w:rFonts w:ascii="Times New Roman" w:hAnsi="Times New Roman"/>
                <w:bCs/>
                <w:iCs/>
                <w:sz w:val="24"/>
                <w:szCs w:val="24"/>
              </w:rPr>
              <w:t xml:space="preserve">Līdz ar to kopējās pakalpojuma izmaksas ik gadu nepārsniegs 6566 </w:t>
            </w:r>
            <w:proofErr w:type="spellStart"/>
            <w:r w:rsidR="001F18FF" w:rsidRPr="00557FCA">
              <w:rPr>
                <w:rFonts w:ascii="Times New Roman" w:hAnsi="Times New Roman"/>
                <w:bCs/>
                <w:i/>
                <w:iCs/>
                <w:sz w:val="24"/>
                <w:szCs w:val="24"/>
              </w:rPr>
              <w:t>euro</w:t>
            </w:r>
            <w:proofErr w:type="spellEnd"/>
            <w:r w:rsidR="001F18FF" w:rsidRPr="00557FCA">
              <w:rPr>
                <w:rFonts w:ascii="Times New Roman" w:hAnsi="Times New Roman"/>
                <w:bCs/>
                <w:i/>
                <w:iCs/>
                <w:sz w:val="24"/>
                <w:szCs w:val="24"/>
              </w:rPr>
              <w:t xml:space="preserve">. </w:t>
            </w:r>
            <w:r w:rsidR="001F18FF" w:rsidRPr="00557FCA">
              <w:rPr>
                <w:rFonts w:ascii="Times New Roman" w:hAnsi="Times New Roman"/>
                <w:bCs/>
                <w:iCs/>
                <w:sz w:val="24"/>
                <w:szCs w:val="24"/>
              </w:rPr>
              <w:t>Ietekme uz kopējo pasākumu finansējumu ir neliela, un pakalpojums tiks nodrošināts esošā piešķirtā finansējuma ietvaros.</w:t>
            </w:r>
            <w:r w:rsidR="00956916" w:rsidRPr="00557FCA">
              <w:rPr>
                <w:rFonts w:ascii="Times New Roman" w:hAnsi="Times New Roman"/>
                <w:bCs/>
                <w:iCs/>
                <w:sz w:val="24"/>
                <w:szCs w:val="24"/>
              </w:rPr>
              <w:t xml:space="preserve"> </w:t>
            </w:r>
            <w:r w:rsidR="0095148C" w:rsidRPr="00557FCA">
              <w:rPr>
                <w:rFonts w:ascii="Times New Roman" w:hAnsi="Times New Roman"/>
                <w:bCs/>
                <w:iCs/>
                <w:sz w:val="24"/>
                <w:szCs w:val="24"/>
              </w:rPr>
              <w:t>Atbalsta personas pakalpojumu finansē no ESF SAM 9.1.1.1. un SAM 7.1.</w:t>
            </w:r>
            <w:proofErr w:type="gramStart"/>
            <w:r w:rsidR="0095148C" w:rsidRPr="00557FCA">
              <w:rPr>
                <w:rFonts w:ascii="Times New Roman" w:hAnsi="Times New Roman"/>
                <w:bCs/>
                <w:iCs/>
                <w:sz w:val="24"/>
                <w:szCs w:val="24"/>
              </w:rPr>
              <w:t>1. ietvaros (Noteikumu projekta 1</w:t>
            </w:r>
            <w:r w:rsidR="00EC029B" w:rsidRPr="00557FCA">
              <w:rPr>
                <w:rFonts w:ascii="Times New Roman" w:hAnsi="Times New Roman"/>
                <w:bCs/>
                <w:iCs/>
                <w:sz w:val="24"/>
                <w:szCs w:val="24"/>
              </w:rPr>
              <w:t>7</w:t>
            </w:r>
            <w:r w:rsidR="0095148C" w:rsidRPr="00557FCA">
              <w:rPr>
                <w:rFonts w:ascii="Times New Roman" w:hAnsi="Times New Roman"/>
                <w:bCs/>
                <w:iCs/>
                <w:sz w:val="24"/>
                <w:szCs w:val="24"/>
              </w:rPr>
              <w:t>.punkts)</w:t>
            </w:r>
            <w:proofErr w:type="gramEnd"/>
            <w:r w:rsidR="0095148C" w:rsidRPr="00557FCA">
              <w:rPr>
                <w:rFonts w:ascii="Times New Roman" w:hAnsi="Times New Roman"/>
                <w:bCs/>
                <w:iCs/>
                <w:sz w:val="24"/>
                <w:szCs w:val="24"/>
              </w:rPr>
              <w:t xml:space="preserve">. </w:t>
            </w:r>
          </w:p>
          <w:p w14:paraId="070F0DC5" w14:textId="77777777" w:rsidR="001F18FF" w:rsidRPr="00557FCA" w:rsidRDefault="001F18FF" w:rsidP="001F18FF">
            <w:pPr>
              <w:pStyle w:val="ListParagraph"/>
              <w:shd w:val="clear" w:color="auto" w:fill="FFFFFF"/>
              <w:spacing w:after="0" w:line="240" w:lineRule="auto"/>
              <w:ind w:left="0"/>
              <w:jc w:val="both"/>
              <w:rPr>
                <w:rFonts w:ascii="Times New Roman" w:hAnsi="Times New Roman"/>
                <w:sz w:val="24"/>
                <w:szCs w:val="24"/>
              </w:rPr>
            </w:pPr>
          </w:p>
          <w:p w14:paraId="678FFEA1" w14:textId="166CA9BE" w:rsidR="0082197B" w:rsidRPr="00557FCA" w:rsidRDefault="000B63CF" w:rsidP="000B63CF">
            <w:pPr>
              <w:pStyle w:val="ListParagraph"/>
              <w:spacing w:after="0" w:line="240" w:lineRule="auto"/>
              <w:ind w:left="0"/>
              <w:jc w:val="both"/>
              <w:rPr>
                <w:rFonts w:ascii="Times New Roman" w:hAnsi="Times New Roman"/>
                <w:sz w:val="24"/>
                <w:szCs w:val="24"/>
              </w:rPr>
            </w:pPr>
            <w:r w:rsidRPr="00557FCA">
              <w:rPr>
                <w:rFonts w:ascii="Times New Roman" w:hAnsi="Times New Roman"/>
                <w:sz w:val="24"/>
                <w:szCs w:val="24"/>
              </w:rPr>
              <w:t>1</w:t>
            </w:r>
            <w:r w:rsidR="005E0722" w:rsidRPr="00557FCA">
              <w:rPr>
                <w:rFonts w:ascii="Times New Roman" w:hAnsi="Times New Roman"/>
                <w:sz w:val="24"/>
                <w:szCs w:val="24"/>
              </w:rPr>
              <w:t>5</w:t>
            </w:r>
            <w:r w:rsidRPr="00557FCA">
              <w:rPr>
                <w:rFonts w:ascii="Times New Roman" w:hAnsi="Times New Roman"/>
                <w:sz w:val="24"/>
                <w:szCs w:val="24"/>
              </w:rPr>
              <w:t xml:space="preserve">. </w:t>
            </w:r>
            <w:r w:rsidR="00265E47" w:rsidRPr="00557FCA">
              <w:rPr>
                <w:rFonts w:ascii="Times New Roman" w:hAnsi="Times New Roman"/>
                <w:sz w:val="24"/>
                <w:szCs w:val="24"/>
              </w:rPr>
              <w:t xml:space="preserve">Pasākuma „Latviešu valodas mentora pakalpojums nodarbinātajiem bēgļiem un personām ar alternatīvo statusu” mērķis ir </w:t>
            </w:r>
            <w:r w:rsidR="0014432B" w:rsidRPr="00557FCA">
              <w:rPr>
                <w:rFonts w:ascii="Times New Roman" w:hAnsi="Times New Roman"/>
                <w:sz w:val="24"/>
                <w:szCs w:val="24"/>
              </w:rPr>
              <w:t>darbam nepieciešamo latviešu valodas zināšanu pilnveidošana, apgūstot darba profesionālo leksiku un iegūstot spēju patstāvīgi iekļauties darba vidē.</w:t>
            </w:r>
            <w:r w:rsidR="00265E47" w:rsidRPr="00557FCA">
              <w:rPr>
                <w:rFonts w:ascii="Times New Roman" w:hAnsi="Times New Roman"/>
                <w:sz w:val="24"/>
                <w:szCs w:val="24"/>
              </w:rPr>
              <w:t xml:space="preserve"> Pasākuma mērķa grupa</w:t>
            </w:r>
            <w:r w:rsidR="00265E47" w:rsidRPr="00557FCA">
              <w:rPr>
                <w:rFonts w:ascii="Times New Roman" w:hAnsi="Times New Roman"/>
                <w:b/>
                <w:sz w:val="24"/>
                <w:szCs w:val="24"/>
              </w:rPr>
              <w:t xml:space="preserve"> </w:t>
            </w:r>
            <w:r w:rsidR="00265E47" w:rsidRPr="00557FCA">
              <w:rPr>
                <w:rFonts w:ascii="Times New Roman" w:hAnsi="Times New Roman"/>
                <w:sz w:val="24"/>
                <w:szCs w:val="24"/>
              </w:rPr>
              <w:t>ir</w:t>
            </w:r>
            <w:r w:rsidR="00265E47" w:rsidRPr="00557FCA">
              <w:rPr>
                <w:rFonts w:ascii="Times New Roman" w:hAnsi="Times New Roman"/>
                <w:b/>
                <w:sz w:val="24"/>
                <w:szCs w:val="24"/>
              </w:rPr>
              <w:t xml:space="preserve"> </w:t>
            </w:r>
            <w:r w:rsidR="00265E47" w:rsidRPr="00557FCA">
              <w:rPr>
                <w:rFonts w:ascii="Times New Roman" w:hAnsi="Times New Roman"/>
                <w:sz w:val="24"/>
                <w:szCs w:val="24"/>
              </w:rPr>
              <w:t xml:space="preserve">NVA reģistrētie bezdarbnieki, kas ir bēgļi vai personas ar alternatīvo statusu un iesaistās subsidētajā nodarbinātībā, apmācībā pie darba devēja, vai algotajos pagaidu sabiedriskajos darbos, un bēgļi vai alternatīvo statusu ieguvušas personas, kuras līdz darba tiesisko attiecību nodibināšanai, bijušas reģistrētas NVA bezdarbnieka vai darba meklētāja statusā. </w:t>
            </w:r>
            <w:r w:rsidR="005E4C7B" w:rsidRPr="00557FCA">
              <w:rPr>
                <w:rFonts w:ascii="Times New Roman" w:hAnsi="Times New Roman"/>
                <w:sz w:val="24"/>
                <w:szCs w:val="24"/>
              </w:rPr>
              <w:t xml:space="preserve">Pasākumā paredzētas </w:t>
            </w:r>
            <w:r w:rsidR="0082197B" w:rsidRPr="00557FCA">
              <w:rPr>
                <w:rFonts w:ascii="Times New Roman" w:hAnsi="Times New Roman"/>
                <w:sz w:val="24"/>
                <w:szCs w:val="24"/>
              </w:rPr>
              <w:t>latviešu valodas nodarbības, kas vērstas uz latviešu valodas praktisku izmantošanu darba vietā, darbam un saziņai ar kolēģiem nepieciešamās leksikas apgūšanu un pielietošanu, lasīt un rakstīt prasmju pilnveidošanu darbam nepieciešamajā apjomā.</w:t>
            </w:r>
            <w:r w:rsidR="005E4C7B" w:rsidRPr="00557FCA">
              <w:rPr>
                <w:rFonts w:ascii="Times New Roman" w:hAnsi="Times New Roman"/>
                <w:sz w:val="24"/>
                <w:szCs w:val="24"/>
              </w:rPr>
              <w:t xml:space="preserve"> Tādējādi tiek </w:t>
            </w:r>
            <w:r w:rsidR="0082197B" w:rsidRPr="00557FCA">
              <w:rPr>
                <w:rFonts w:ascii="Times New Roman" w:hAnsi="Times New Roman"/>
                <w:sz w:val="24"/>
                <w:szCs w:val="24"/>
              </w:rPr>
              <w:t>attīstīt</w:t>
            </w:r>
            <w:r w:rsidR="005E4C7B" w:rsidRPr="00557FCA">
              <w:rPr>
                <w:rFonts w:ascii="Times New Roman" w:hAnsi="Times New Roman"/>
                <w:sz w:val="24"/>
                <w:szCs w:val="24"/>
              </w:rPr>
              <w:t>as</w:t>
            </w:r>
            <w:r w:rsidR="0082197B" w:rsidRPr="00557FCA">
              <w:rPr>
                <w:rFonts w:ascii="Times New Roman" w:hAnsi="Times New Roman"/>
                <w:sz w:val="24"/>
                <w:szCs w:val="24"/>
              </w:rPr>
              <w:t xml:space="preserve"> darbam nepieciešamās latviešu valodas prasmes saziņai darba vietā, kā arī iespēju robežās attīstīt</w:t>
            </w:r>
            <w:r w:rsidR="005E4C7B" w:rsidRPr="00557FCA">
              <w:rPr>
                <w:rFonts w:ascii="Times New Roman" w:hAnsi="Times New Roman"/>
                <w:sz w:val="24"/>
                <w:szCs w:val="24"/>
              </w:rPr>
              <w:t>as</w:t>
            </w:r>
            <w:r w:rsidR="0082197B" w:rsidRPr="00557FCA">
              <w:rPr>
                <w:rFonts w:ascii="Times New Roman" w:hAnsi="Times New Roman"/>
                <w:sz w:val="24"/>
                <w:szCs w:val="24"/>
              </w:rPr>
              <w:t xml:space="preserve"> </w:t>
            </w:r>
            <w:r w:rsidR="005E4C7B" w:rsidRPr="00557FCA">
              <w:rPr>
                <w:rFonts w:ascii="Times New Roman" w:hAnsi="Times New Roman"/>
                <w:sz w:val="24"/>
                <w:szCs w:val="24"/>
              </w:rPr>
              <w:t>personas</w:t>
            </w:r>
            <w:r w:rsidR="0082197B" w:rsidRPr="00557FCA">
              <w:rPr>
                <w:rFonts w:ascii="Times New Roman" w:hAnsi="Times New Roman"/>
                <w:sz w:val="24"/>
                <w:szCs w:val="24"/>
              </w:rPr>
              <w:t xml:space="preserve"> vispārējās latviešu valodas zināšanas, </w:t>
            </w:r>
            <w:r w:rsidR="005E4C7B" w:rsidRPr="00557FCA">
              <w:rPr>
                <w:rFonts w:ascii="Times New Roman" w:hAnsi="Times New Roman"/>
                <w:sz w:val="24"/>
                <w:szCs w:val="24"/>
              </w:rPr>
              <w:t>kas veicina</w:t>
            </w:r>
            <w:r w:rsidR="0082197B" w:rsidRPr="00557FCA">
              <w:rPr>
                <w:rFonts w:ascii="Times New Roman" w:hAnsi="Times New Roman"/>
                <w:sz w:val="24"/>
                <w:szCs w:val="24"/>
              </w:rPr>
              <w:t xml:space="preserve"> patstāvīgu iekļaušanos Latvijas darba tirgū. </w:t>
            </w:r>
          </w:p>
          <w:p w14:paraId="1A284BF2" w14:textId="77777777" w:rsidR="005E4C7B" w:rsidRPr="00557FCA" w:rsidRDefault="005E4C7B" w:rsidP="00554092">
            <w:pPr>
              <w:contextualSpacing/>
              <w:jc w:val="both"/>
            </w:pPr>
            <w:r w:rsidRPr="00557FCA">
              <w:t>Valodas mentora galvenie uzdevumi:</w:t>
            </w:r>
          </w:p>
          <w:p w14:paraId="16F63425" w14:textId="77777777" w:rsidR="005E4C7B" w:rsidRPr="00557FCA" w:rsidRDefault="005E4C7B" w:rsidP="00DA76A8">
            <w:pPr>
              <w:pStyle w:val="ListParagraph"/>
              <w:numPr>
                <w:ilvl w:val="0"/>
                <w:numId w:val="2"/>
              </w:numPr>
              <w:spacing w:after="0" w:line="240" w:lineRule="auto"/>
              <w:ind w:left="475" w:hanging="283"/>
              <w:jc w:val="both"/>
              <w:rPr>
                <w:rFonts w:ascii="Times New Roman" w:hAnsi="Times New Roman"/>
                <w:sz w:val="24"/>
                <w:szCs w:val="24"/>
              </w:rPr>
            </w:pPr>
            <w:r w:rsidRPr="00557FCA">
              <w:rPr>
                <w:rFonts w:ascii="Times New Roman" w:hAnsi="Times New Roman"/>
                <w:sz w:val="24"/>
                <w:szCs w:val="24"/>
              </w:rPr>
              <w:t>attīstīt valodas iemaņas profesionālajā sfērā (prasmes lietot latviešu valodu, izmantojot noteiktās nozares leksiku, lasīt un rakstīt darbam nepieciešamos dokumentus u.tml.)</w:t>
            </w:r>
            <w:r w:rsidR="007D40DE" w:rsidRPr="00557FCA">
              <w:rPr>
                <w:rFonts w:ascii="Times New Roman" w:hAnsi="Times New Roman"/>
                <w:sz w:val="24"/>
                <w:szCs w:val="24"/>
              </w:rPr>
              <w:t xml:space="preserve"> pirmos </w:t>
            </w:r>
            <w:r w:rsidR="007D40DE" w:rsidRPr="00557FCA">
              <w:rPr>
                <w:rFonts w:ascii="Times New Roman" w:hAnsi="Times New Roman"/>
                <w:sz w:val="24"/>
                <w:szCs w:val="24"/>
              </w:rPr>
              <w:lastRenderedPageBreak/>
              <w:t xml:space="preserve">4 mēnešus pēc darba uzsākšanas vai iesaistīšanās </w:t>
            </w:r>
            <w:r w:rsidR="00A9438B" w:rsidRPr="00557FCA">
              <w:rPr>
                <w:rFonts w:ascii="Times New Roman" w:hAnsi="Times New Roman"/>
                <w:sz w:val="24"/>
                <w:szCs w:val="24"/>
              </w:rPr>
              <w:t xml:space="preserve">nodarbinātības </w:t>
            </w:r>
            <w:r w:rsidR="007D40DE" w:rsidRPr="00557FCA">
              <w:rPr>
                <w:rFonts w:ascii="Times New Roman" w:hAnsi="Times New Roman"/>
                <w:sz w:val="24"/>
                <w:szCs w:val="24"/>
              </w:rPr>
              <w:t>pasākumā</w:t>
            </w:r>
            <w:r w:rsidRPr="00557FCA">
              <w:rPr>
                <w:rFonts w:ascii="Times New Roman" w:hAnsi="Times New Roman"/>
                <w:sz w:val="24"/>
                <w:szCs w:val="24"/>
              </w:rPr>
              <w:t xml:space="preserve">; </w:t>
            </w:r>
          </w:p>
          <w:p w14:paraId="7E3B2FE0" w14:textId="77777777" w:rsidR="005E4C7B" w:rsidRPr="00557FCA" w:rsidRDefault="005E4C7B" w:rsidP="00DA76A8">
            <w:pPr>
              <w:pStyle w:val="ListParagraph"/>
              <w:numPr>
                <w:ilvl w:val="0"/>
                <w:numId w:val="2"/>
              </w:numPr>
              <w:spacing w:after="0" w:line="240" w:lineRule="auto"/>
              <w:ind w:left="475" w:hanging="283"/>
              <w:jc w:val="both"/>
              <w:rPr>
                <w:rFonts w:ascii="Times New Roman" w:hAnsi="Times New Roman"/>
                <w:sz w:val="24"/>
                <w:szCs w:val="24"/>
              </w:rPr>
            </w:pPr>
            <w:r w:rsidRPr="00557FCA">
              <w:rPr>
                <w:rFonts w:ascii="Times New Roman" w:hAnsi="Times New Roman"/>
                <w:sz w:val="24"/>
                <w:szCs w:val="24"/>
              </w:rPr>
              <w:t>attīstīt valodas iemaņas sociālajā jomā (komunikācijas, konfliktu risināšanas, mācīšanās prasmes, adaptēšanos jaunos apstākļos u.c.);</w:t>
            </w:r>
          </w:p>
          <w:p w14:paraId="3FA8ACAB" w14:textId="77777777" w:rsidR="005E4C7B" w:rsidRPr="00557FCA" w:rsidRDefault="005E4C7B" w:rsidP="00DA76A8">
            <w:pPr>
              <w:pStyle w:val="ListParagraph"/>
              <w:numPr>
                <w:ilvl w:val="0"/>
                <w:numId w:val="2"/>
              </w:numPr>
              <w:spacing w:after="0" w:line="240" w:lineRule="auto"/>
              <w:ind w:left="475" w:hanging="283"/>
              <w:jc w:val="both"/>
              <w:rPr>
                <w:rFonts w:ascii="Times New Roman" w:hAnsi="Times New Roman"/>
                <w:sz w:val="24"/>
                <w:szCs w:val="24"/>
              </w:rPr>
            </w:pPr>
            <w:r w:rsidRPr="00557FCA">
              <w:rPr>
                <w:rFonts w:ascii="Times New Roman" w:hAnsi="Times New Roman"/>
                <w:sz w:val="24"/>
                <w:szCs w:val="24"/>
              </w:rPr>
              <w:t xml:space="preserve">palīdzēt veidot izpratni par Latvijas darba tirgu, darba tradīcijām, attiecībām darba vietā, saziņu ar kolēģiem un klientiem; </w:t>
            </w:r>
          </w:p>
          <w:p w14:paraId="44F5058C" w14:textId="77777777" w:rsidR="005E4C7B" w:rsidRPr="00557FCA" w:rsidRDefault="005E4C7B" w:rsidP="00DA76A8">
            <w:pPr>
              <w:pStyle w:val="ListParagraph"/>
              <w:numPr>
                <w:ilvl w:val="0"/>
                <w:numId w:val="2"/>
              </w:numPr>
              <w:spacing w:after="0" w:line="240" w:lineRule="auto"/>
              <w:ind w:left="475" w:hanging="283"/>
              <w:jc w:val="both"/>
              <w:rPr>
                <w:rFonts w:ascii="Times New Roman" w:hAnsi="Times New Roman"/>
                <w:sz w:val="24"/>
                <w:szCs w:val="24"/>
              </w:rPr>
            </w:pPr>
            <w:r w:rsidRPr="00557FCA">
              <w:rPr>
                <w:rFonts w:ascii="Times New Roman" w:hAnsi="Times New Roman"/>
                <w:sz w:val="24"/>
                <w:szCs w:val="24"/>
              </w:rPr>
              <w:t>veicināt klienta spēju patstāvīgi sazin</w:t>
            </w:r>
            <w:r w:rsidR="00776A75" w:rsidRPr="00557FCA">
              <w:rPr>
                <w:rFonts w:ascii="Times New Roman" w:hAnsi="Times New Roman"/>
                <w:sz w:val="24"/>
                <w:szCs w:val="24"/>
              </w:rPr>
              <w:t>āties un orientēties darba vidē.</w:t>
            </w:r>
            <w:r w:rsidRPr="00557FCA">
              <w:rPr>
                <w:rFonts w:ascii="Times New Roman" w:hAnsi="Times New Roman"/>
                <w:sz w:val="24"/>
                <w:szCs w:val="24"/>
              </w:rPr>
              <w:t xml:space="preserve"> </w:t>
            </w:r>
          </w:p>
          <w:p w14:paraId="06E29525" w14:textId="77777777" w:rsidR="00156D89" w:rsidRPr="00557FCA" w:rsidRDefault="005E4C7B" w:rsidP="00A91713">
            <w:pPr>
              <w:jc w:val="both"/>
              <w:rPr>
                <w:iCs/>
              </w:rPr>
            </w:pPr>
            <w:r w:rsidRPr="00557FCA">
              <w:t xml:space="preserve">Pakalpojuma sniedzējus – valodas mentorus NVA izvēlēsies iepirkuma procedūras ceļā.  </w:t>
            </w:r>
            <w:r w:rsidR="00881EA8" w:rsidRPr="00557FCA">
              <w:t>Plānots, ka valodas mentora darba atlīdzības izmaksas uz vienu izglītojamo personu</w:t>
            </w:r>
            <w:r w:rsidR="00881EA8" w:rsidRPr="00557FCA">
              <w:rPr>
                <w:b/>
              </w:rPr>
              <w:t xml:space="preserve"> </w:t>
            </w:r>
            <w:r w:rsidR="00881EA8" w:rsidRPr="00557FCA">
              <w:t xml:space="preserve">ir 22 </w:t>
            </w:r>
            <w:proofErr w:type="spellStart"/>
            <w:r w:rsidR="00881EA8" w:rsidRPr="00557FCA">
              <w:rPr>
                <w:i/>
              </w:rPr>
              <w:t>euro</w:t>
            </w:r>
            <w:proofErr w:type="spellEnd"/>
            <w:r w:rsidR="00881EA8" w:rsidRPr="00557FCA">
              <w:t xml:space="preserve"> stundā un par vienu izglītojamo 4 mēnešu periodā veido </w:t>
            </w:r>
            <w:r w:rsidR="004667BB" w:rsidRPr="00557FCA">
              <w:t>1760</w:t>
            </w:r>
            <w:r w:rsidR="00881EA8" w:rsidRPr="00557FCA">
              <w:t xml:space="preserve"> </w:t>
            </w:r>
            <w:proofErr w:type="spellStart"/>
            <w:r w:rsidR="00881EA8" w:rsidRPr="00557FCA">
              <w:rPr>
                <w:i/>
              </w:rPr>
              <w:t>euro</w:t>
            </w:r>
            <w:proofErr w:type="spellEnd"/>
            <w:r w:rsidR="00881EA8" w:rsidRPr="00557FCA">
              <w:t xml:space="preserve">. </w:t>
            </w:r>
            <w:r w:rsidR="00BD2A56" w:rsidRPr="00557FCA">
              <w:t>Pasā</w:t>
            </w:r>
            <w:r w:rsidR="004667BB" w:rsidRPr="00557FCA">
              <w:t>kumā ik gadu plānots iesaistīt 7</w:t>
            </w:r>
            <w:r w:rsidR="00BD2A56" w:rsidRPr="00557FCA">
              <w:t xml:space="preserve"> personas.</w:t>
            </w:r>
            <w:r w:rsidR="004C4895" w:rsidRPr="00557FCA">
              <w:t xml:space="preserve"> </w:t>
            </w:r>
            <w:r w:rsidR="00156D89" w:rsidRPr="00557FCA">
              <w:rPr>
                <w:iCs/>
              </w:rPr>
              <w:t xml:space="preserve"> </w:t>
            </w:r>
          </w:p>
          <w:p w14:paraId="3D805248" w14:textId="4CF087B3" w:rsidR="00A91713" w:rsidRPr="00557FCA" w:rsidRDefault="00184E9C" w:rsidP="00A91713">
            <w:pPr>
              <w:jc w:val="both"/>
              <w:rPr>
                <w:iCs/>
              </w:rPr>
            </w:pPr>
            <w:r w:rsidRPr="00557FCA">
              <w:rPr>
                <w:iCs/>
              </w:rPr>
              <w:t xml:space="preserve">Valodas mentora pakalpojums tiks finansēts no esošā piešķīruma valsts pamatbudžeta ietvaros (valsts pamatbudžeta </w:t>
            </w:r>
            <w:r w:rsidR="007C7348" w:rsidRPr="00557FCA">
              <w:rPr>
                <w:iCs/>
              </w:rPr>
              <w:t>apakš</w:t>
            </w:r>
            <w:r w:rsidRPr="00557FCA">
              <w:rPr>
                <w:iCs/>
              </w:rPr>
              <w:t>programma 07.01.00 „Nodarbinātības valsts aģentūras darbības nodrošināšana”</w:t>
            </w:r>
            <w:r w:rsidR="00F334AD" w:rsidRPr="00557FCA">
              <w:rPr>
                <w:iCs/>
              </w:rPr>
              <w:t xml:space="preserve"> pasākuma „Personu, kurām nepieciešama starptautiskā aizsardzība, pārvietošanai un uzņemšanai Latvijā” ietvaros</w:t>
            </w:r>
            <w:r w:rsidRPr="00557FCA">
              <w:rPr>
                <w:iCs/>
              </w:rPr>
              <w:t xml:space="preserve">). </w:t>
            </w:r>
            <w:r w:rsidR="00156D89" w:rsidRPr="00557FCA">
              <w:rPr>
                <w:iCs/>
              </w:rPr>
              <w:t>Valodas mentors, atšķirībā no citām atbalsta personām bēgļiem un personām ar alternatīvo statusu, veicina tieši darbam nepieciešamo un ar darbu saistīto valsts valodas iemaņu apguvi, tādējādi veicinot darbam nepieciešamo valodas prasmju attīstību un veiksmīgāku integrāciju gan konkrētajā darba vietā, gan darba tirgū. Vajadzības katrā gadījumā būs individuāl</w:t>
            </w:r>
            <w:r w:rsidR="00295D79" w:rsidRPr="00557FCA">
              <w:rPr>
                <w:iCs/>
              </w:rPr>
              <w:t>a</w:t>
            </w:r>
            <w:r w:rsidR="00156D89" w:rsidRPr="00557FCA">
              <w:rPr>
                <w:iCs/>
              </w:rPr>
              <w:t>s, tādēļ valodas mentoram ir nepieciešama atbilstoša izglītība pedagoģijā vai filoloģijā.</w:t>
            </w:r>
            <w:r w:rsidR="00317DBD" w:rsidRPr="00557FCA">
              <w:rPr>
                <w:iCs/>
              </w:rPr>
              <w:t xml:space="preserve"> </w:t>
            </w:r>
            <w:r w:rsidR="00892E55" w:rsidRPr="00557FCA">
              <w:rPr>
                <w:iCs/>
              </w:rPr>
              <w:t>Pēc valodas mentora atbalsta saņemšanas tiks veikts pakalpojuma izvērtējums. Tā ietvaros tiks vērtēta darba devēju apmierinātība ar pakalpojumu un tā rezultātiem, turpmākās nodarbinātības iespējas un klientu apmierinātība. Tiks sniegts arī valodas mentora vērtējums par klienta darba valodas prasmju pilnveidi un turpmākajiem veicamajiem pasākumiem</w:t>
            </w:r>
            <w:r w:rsidR="00AF3ED4" w:rsidRPr="00557FCA">
              <w:rPr>
                <w:iCs/>
              </w:rPr>
              <w:t xml:space="preserve"> (Noteikumu projekta 1</w:t>
            </w:r>
            <w:r w:rsidR="00EC029B" w:rsidRPr="00557FCA">
              <w:rPr>
                <w:iCs/>
              </w:rPr>
              <w:t>8</w:t>
            </w:r>
            <w:r w:rsidR="00AF3ED4" w:rsidRPr="00557FCA">
              <w:rPr>
                <w:iCs/>
              </w:rPr>
              <w:t>.punkts)</w:t>
            </w:r>
            <w:r w:rsidR="00892E55" w:rsidRPr="00557FCA">
              <w:rPr>
                <w:iCs/>
              </w:rPr>
              <w:t xml:space="preserve">. </w:t>
            </w:r>
          </w:p>
          <w:p w14:paraId="7EE16394" w14:textId="77777777" w:rsidR="005E4C7B" w:rsidRPr="00557FCA" w:rsidRDefault="005E4C7B" w:rsidP="00554092">
            <w:pPr>
              <w:pStyle w:val="ListParagraph"/>
              <w:spacing w:after="0"/>
              <w:ind w:left="0"/>
            </w:pPr>
          </w:p>
          <w:p w14:paraId="27B61349" w14:textId="30258BA7" w:rsidR="00C839CF" w:rsidRPr="00557FCA" w:rsidRDefault="000B63CF" w:rsidP="000B63CF">
            <w:pPr>
              <w:pStyle w:val="ListParagraph"/>
              <w:spacing w:after="0" w:line="240" w:lineRule="auto"/>
              <w:ind w:left="0"/>
              <w:jc w:val="both"/>
              <w:rPr>
                <w:rFonts w:ascii="Times New Roman" w:hAnsi="Times New Roman"/>
                <w:sz w:val="24"/>
                <w:szCs w:val="24"/>
              </w:rPr>
            </w:pPr>
            <w:r w:rsidRPr="00557FCA">
              <w:rPr>
                <w:rFonts w:ascii="Times New Roman" w:hAnsi="Times New Roman"/>
                <w:sz w:val="24"/>
                <w:szCs w:val="24"/>
              </w:rPr>
              <w:t>1</w:t>
            </w:r>
            <w:r w:rsidR="005E0722" w:rsidRPr="00557FCA">
              <w:rPr>
                <w:rFonts w:ascii="Times New Roman" w:hAnsi="Times New Roman"/>
                <w:sz w:val="24"/>
                <w:szCs w:val="24"/>
              </w:rPr>
              <w:t>6</w:t>
            </w:r>
            <w:r w:rsidRPr="00557FCA">
              <w:rPr>
                <w:rFonts w:ascii="Times New Roman" w:hAnsi="Times New Roman"/>
                <w:sz w:val="24"/>
                <w:szCs w:val="24"/>
              </w:rPr>
              <w:t xml:space="preserve">. </w:t>
            </w:r>
            <w:r w:rsidR="0081249A" w:rsidRPr="00557FCA">
              <w:rPr>
                <w:rFonts w:ascii="Times New Roman" w:hAnsi="Times New Roman"/>
                <w:sz w:val="24"/>
                <w:szCs w:val="24"/>
              </w:rPr>
              <w:t>Pasākum</w:t>
            </w:r>
            <w:r w:rsidR="00EF41D8" w:rsidRPr="00557FCA">
              <w:rPr>
                <w:rFonts w:ascii="Times New Roman" w:hAnsi="Times New Roman"/>
                <w:sz w:val="24"/>
                <w:szCs w:val="24"/>
              </w:rPr>
              <w:t>os</w:t>
            </w:r>
            <w:r w:rsidR="0081249A" w:rsidRPr="00557FCA">
              <w:rPr>
                <w:rFonts w:ascii="Times New Roman" w:hAnsi="Times New Roman"/>
                <w:sz w:val="24"/>
                <w:szCs w:val="24"/>
              </w:rPr>
              <w:t xml:space="preserve"> </w:t>
            </w:r>
            <w:r w:rsidR="00CF52A3" w:rsidRPr="00557FCA">
              <w:rPr>
                <w:rFonts w:ascii="Times New Roman" w:hAnsi="Times New Roman"/>
                <w:sz w:val="24"/>
                <w:szCs w:val="24"/>
              </w:rPr>
              <w:t>„A</w:t>
            </w:r>
            <w:r w:rsidR="0081249A" w:rsidRPr="00557FCA">
              <w:rPr>
                <w:rFonts w:ascii="Times New Roman" w:hAnsi="Times New Roman"/>
                <w:sz w:val="24"/>
                <w:szCs w:val="24"/>
              </w:rPr>
              <w:t>pmācība pie darba devēja</w:t>
            </w:r>
            <w:r w:rsidR="00CF52A3" w:rsidRPr="00557FCA">
              <w:rPr>
                <w:rFonts w:ascii="Times New Roman" w:hAnsi="Times New Roman"/>
                <w:sz w:val="24"/>
                <w:szCs w:val="24"/>
              </w:rPr>
              <w:t>”</w:t>
            </w:r>
            <w:r w:rsidR="00EF41D8" w:rsidRPr="00557FCA">
              <w:rPr>
                <w:rFonts w:ascii="Times New Roman" w:hAnsi="Times New Roman"/>
                <w:sz w:val="24"/>
                <w:szCs w:val="24"/>
              </w:rPr>
              <w:t xml:space="preserve"> un </w:t>
            </w:r>
            <w:r w:rsidR="00CF52A3" w:rsidRPr="00557FCA">
              <w:rPr>
                <w:rFonts w:ascii="Times New Roman" w:hAnsi="Times New Roman"/>
                <w:sz w:val="24"/>
                <w:szCs w:val="24"/>
              </w:rPr>
              <w:t>„Pirmā darba pieredze jaunietim”</w:t>
            </w:r>
            <w:r w:rsidR="00EF41D8" w:rsidRPr="00557FCA">
              <w:rPr>
                <w:rFonts w:ascii="Times New Roman" w:hAnsi="Times New Roman"/>
                <w:sz w:val="24"/>
                <w:szCs w:val="24"/>
              </w:rPr>
              <w:t xml:space="preserve">, </w:t>
            </w:r>
            <w:r w:rsidR="00847DE5" w:rsidRPr="00557FCA">
              <w:rPr>
                <w:rFonts w:ascii="Times New Roman" w:hAnsi="Times New Roman"/>
                <w:sz w:val="24"/>
                <w:szCs w:val="24"/>
              </w:rPr>
              <w:t xml:space="preserve">ja nepieciešams, </w:t>
            </w:r>
            <w:r w:rsidR="00EF41D8" w:rsidRPr="00557FCA">
              <w:rPr>
                <w:rFonts w:ascii="Times New Roman" w:hAnsi="Times New Roman"/>
                <w:sz w:val="24"/>
                <w:szCs w:val="24"/>
              </w:rPr>
              <w:t xml:space="preserve">bezdarbniekam </w:t>
            </w:r>
            <w:r w:rsidR="00847DE5" w:rsidRPr="00557FCA">
              <w:rPr>
                <w:rFonts w:ascii="Times New Roman" w:hAnsi="Times New Roman"/>
                <w:sz w:val="24"/>
                <w:szCs w:val="24"/>
              </w:rPr>
              <w:t>uzsākot darbu,</w:t>
            </w:r>
            <w:r w:rsidR="00EF41D8" w:rsidRPr="00557FCA">
              <w:rPr>
                <w:rFonts w:ascii="Times New Roman" w:hAnsi="Times New Roman"/>
                <w:sz w:val="24"/>
                <w:szCs w:val="24"/>
              </w:rPr>
              <w:t xml:space="preserve"> darba devējam tiek nodrošināta dotācija</w:t>
            </w:r>
            <w:r w:rsidR="00847DE5" w:rsidRPr="00557FCA">
              <w:rPr>
                <w:rFonts w:ascii="Times New Roman" w:hAnsi="Times New Roman"/>
                <w:sz w:val="24"/>
                <w:szCs w:val="24"/>
              </w:rPr>
              <w:t xml:space="preserve"> līdz 50 </w:t>
            </w:r>
            <w:proofErr w:type="spellStart"/>
            <w:r w:rsidR="00847DE5" w:rsidRPr="00557FCA">
              <w:rPr>
                <w:rFonts w:ascii="Times New Roman" w:hAnsi="Times New Roman"/>
                <w:i/>
                <w:iCs/>
                <w:sz w:val="24"/>
                <w:szCs w:val="24"/>
              </w:rPr>
              <w:t>euro</w:t>
            </w:r>
            <w:proofErr w:type="spellEnd"/>
            <w:r w:rsidR="00847DE5" w:rsidRPr="00557FCA">
              <w:rPr>
                <w:rFonts w:ascii="Times New Roman" w:hAnsi="Times New Roman"/>
                <w:sz w:val="24"/>
                <w:szCs w:val="24"/>
              </w:rPr>
              <w:t xml:space="preserve"> individuālajiem aizsardzības līdzekļiem.</w:t>
            </w:r>
            <w:r w:rsidR="00EF41D8" w:rsidRPr="00557FCA">
              <w:rPr>
                <w:rFonts w:ascii="Times New Roman" w:hAnsi="Times New Roman"/>
                <w:sz w:val="24"/>
                <w:szCs w:val="24"/>
              </w:rPr>
              <w:t xml:space="preserve"> Tomēr praksē iespējami gadījumi, kad dotācijas apmērs ir nepietiekams, lai nodrošinātu pasākumā iesaistītos bezdarbniekus ar drošu un piemērotu darba apģērbu un darba devējam rodas papildus izmaksas, lai nodrošinātu individuālo aizsardzības līdzekļu atbilstību darba drošības prasībām. </w:t>
            </w:r>
            <w:r w:rsidR="00E7276F" w:rsidRPr="00557FCA">
              <w:rPr>
                <w:rFonts w:ascii="Times New Roman" w:hAnsi="Times New Roman"/>
                <w:sz w:val="24"/>
                <w:szCs w:val="24"/>
              </w:rPr>
              <w:t xml:space="preserve">Iepazīstoties ar </w:t>
            </w:r>
            <w:r w:rsidR="00231F03" w:rsidRPr="00557FCA">
              <w:rPr>
                <w:rFonts w:ascii="Times New Roman" w:hAnsi="Times New Roman"/>
                <w:sz w:val="24"/>
                <w:szCs w:val="24"/>
              </w:rPr>
              <w:t xml:space="preserve">darba inventāra tirgotāju piedāvājumu, secināts, ka, lai nodrošinātu darba ņēmēju ar piemērotu apģērbu un drošības aprīkojumu, piemēram, celtniecības darbos, nepieciešami vismaz 100 </w:t>
            </w:r>
            <w:proofErr w:type="spellStart"/>
            <w:r w:rsidR="00231F03" w:rsidRPr="00557FCA">
              <w:rPr>
                <w:rFonts w:ascii="Times New Roman" w:hAnsi="Times New Roman"/>
                <w:i/>
                <w:sz w:val="24"/>
                <w:szCs w:val="24"/>
              </w:rPr>
              <w:t>euro</w:t>
            </w:r>
            <w:proofErr w:type="spellEnd"/>
            <w:r w:rsidR="00231F03" w:rsidRPr="00557FCA">
              <w:rPr>
                <w:rFonts w:ascii="Times New Roman" w:hAnsi="Times New Roman"/>
                <w:sz w:val="24"/>
                <w:szCs w:val="24"/>
              </w:rPr>
              <w:t xml:space="preserve">. Ņemot vērā iepriekš minēto, Noteikumu projekts paredz darba devējiem </w:t>
            </w:r>
            <w:r w:rsidR="00231F03" w:rsidRPr="00557FCA">
              <w:rPr>
                <w:rFonts w:ascii="Times New Roman" w:hAnsi="Times New Roman"/>
                <w:sz w:val="24"/>
                <w:szCs w:val="24"/>
              </w:rPr>
              <w:lastRenderedPageBreak/>
              <w:t xml:space="preserve">iespēju saņemt dotāciju 100 </w:t>
            </w:r>
            <w:proofErr w:type="spellStart"/>
            <w:r w:rsidR="00231F03" w:rsidRPr="00557FCA">
              <w:rPr>
                <w:rFonts w:ascii="Times New Roman" w:hAnsi="Times New Roman"/>
                <w:i/>
                <w:sz w:val="24"/>
                <w:szCs w:val="24"/>
              </w:rPr>
              <w:t>euro</w:t>
            </w:r>
            <w:proofErr w:type="spellEnd"/>
            <w:r w:rsidR="00231F03" w:rsidRPr="00557FCA">
              <w:rPr>
                <w:rFonts w:ascii="Times New Roman" w:hAnsi="Times New Roman"/>
                <w:sz w:val="24"/>
                <w:szCs w:val="24"/>
              </w:rPr>
              <w:t xml:space="preserve"> apmērā </w:t>
            </w:r>
            <w:r w:rsidR="00847DE5" w:rsidRPr="00557FCA">
              <w:rPr>
                <w:rFonts w:ascii="Times New Roman" w:hAnsi="Times New Roman"/>
                <w:sz w:val="24"/>
                <w:szCs w:val="24"/>
              </w:rPr>
              <w:t>individuāl</w:t>
            </w:r>
            <w:r w:rsidR="00231F03" w:rsidRPr="00557FCA">
              <w:rPr>
                <w:rFonts w:ascii="Times New Roman" w:hAnsi="Times New Roman"/>
                <w:sz w:val="24"/>
                <w:szCs w:val="24"/>
              </w:rPr>
              <w:t xml:space="preserve">o aizsardzības līdzekļu iegādei. </w:t>
            </w:r>
          </w:p>
          <w:p w14:paraId="0F0EAE5D" w14:textId="275EA76C" w:rsidR="006F5808" w:rsidRPr="00557FCA" w:rsidRDefault="006F5808" w:rsidP="006F5808">
            <w:pPr>
              <w:pStyle w:val="ListParagraph"/>
              <w:spacing w:after="0" w:line="240" w:lineRule="auto"/>
              <w:ind w:left="0"/>
              <w:jc w:val="both"/>
              <w:rPr>
                <w:rFonts w:ascii="Times New Roman" w:hAnsi="Times New Roman"/>
                <w:sz w:val="24"/>
                <w:szCs w:val="24"/>
              </w:rPr>
            </w:pPr>
            <w:r w:rsidRPr="00557FCA">
              <w:rPr>
                <w:rFonts w:ascii="Times New Roman" w:hAnsi="Times New Roman"/>
                <w:sz w:val="24"/>
                <w:szCs w:val="24"/>
              </w:rPr>
              <w:t xml:space="preserve">Laika periodā no </w:t>
            </w:r>
            <w:proofErr w:type="gramStart"/>
            <w:r w:rsidRPr="00557FCA">
              <w:rPr>
                <w:rFonts w:ascii="Times New Roman" w:hAnsi="Times New Roman"/>
                <w:sz w:val="24"/>
                <w:szCs w:val="24"/>
              </w:rPr>
              <w:t>2014.gada</w:t>
            </w:r>
            <w:proofErr w:type="gramEnd"/>
            <w:r w:rsidRPr="00557FCA">
              <w:rPr>
                <w:rFonts w:ascii="Times New Roman" w:hAnsi="Times New Roman"/>
                <w:sz w:val="24"/>
                <w:szCs w:val="24"/>
              </w:rPr>
              <w:t xml:space="preserve"> līdz 2017.gada 31.oktobrim individuālo darba aizsardzības līdzekļu nodrošināšanai „Pirmā darba pieredze jaunietim” tikai izlietoti </w:t>
            </w:r>
            <w:r w:rsidR="002430DA" w:rsidRPr="00557FCA">
              <w:rPr>
                <w:rFonts w:ascii="Times New Roman" w:hAnsi="Times New Roman"/>
                <w:sz w:val="24"/>
                <w:szCs w:val="24"/>
              </w:rPr>
              <w:t xml:space="preserve">1738,42 </w:t>
            </w:r>
            <w:proofErr w:type="spellStart"/>
            <w:r w:rsidR="002430DA" w:rsidRPr="00557FCA">
              <w:rPr>
                <w:rFonts w:ascii="Times New Roman" w:hAnsi="Times New Roman"/>
                <w:i/>
                <w:sz w:val="24"/>
                <w:szCs w:val="24"/>
              </w:rPr>
              <w:t>euro</w:t>
            </w:r>
            <w:proofErr w:type="spellEnd"/>
            <w:r w:rsidR="002430DA" w:rsidRPr="00557FCA">
              <w:rPr>
                <w:rFonts w:ascii="Times New Roman" w:hAnsi="Times New Roman"/>
                <w:sz w:val="24"/>
                <w:szCs w:val="24"/>
              </w:rPr>
              <w:t xml:space="preserve"> (37 pasākuma dalībniekiem, vidējās izmaksas uz vienu dalībnieku – 46,98 </w:t>
            </w:r>
            <w:proofErr w:type="spellStart"/>
            <w:r w:rsidR="002430DA" w:rsidRPr="00557FCA">
              <w:rPr>
                <w:rFonts w:ascii="Times New Roman" w:hAnsi="Times New Roman"/>
                <w:i/>
                <w:sz w:val="24"/>
                <w:szCs w:val="24"/>
              </w:rPr>
              <w:t>euro</w:t>
            </w:r>
            <w:proofErr w:type="spellEnd"/>
            <w:r w:rsidR="002430DA" w:rsidRPr="00557FCA">
              <w:rPr>
                <w:rFonts w:ascii="Times New Roman" w:hAnsi="Times New Roman"/>
                <w:sz w:val="24"/>
                <w:szCs w:val="24"/>
              </w:rPr>
              <w:t>)</w:t>
            </w:r>
            <w:r w:rsidR="00255210" w:rsidRPr="00557FCA">
              <w:rPr>
                <w:rFonts w:ascii="Times New Roman" w:hAnsi="Times New Roman"/>
                <w:sz w:val="24"/>
                <w:szCs w:val="24"/>
              </w:rPr>
              <w:t xml:space="preserve"> Pasākumā „Pirmā darba pieredze jaunietim” līdz projekta beigām plānots iesaistīt 41 bezdarbnieku, no kuriem 5 iesaistītajiem varētu tikt segtas izmaksas individuālajiem darba aizsardzības līd</w:t>
            </w:r>
            <w:r w:rsidR="00425C4B" w:rsidRPr="00557FCA">
              <w:rPr>
                <w:rFonts w:ascii="Times New Roman" w:hAnsi="Times New Roman"/>
                <w:sz w:val="24"/>
                <w:szCs w:val="24"/>
              </w:rPr>
              <w:t>z</w:t>
            </w:r>
            <w:r w:rsidR="00255210" w:rsidRPr="00557FCA">
              <w:rPr>
                <w:rFonts w:ascii="Times New Roman" w:hAnsi="Times New Roman"/>
                <w:sz w:val="24"/>
                <w:szCs w:val="24"/>
              </w:rPr>
              <w:t>ekļiem</w:t>
            </w:r>
            <w:r w:rsidR="00425C4B" w:rsidRPr="00557FCA">
              <w:rPr>
                <w:rFonts w:ascii="Times New Roman" w:hAnsi="Times New Roman"/>
                <w:sz w:val="24"/>
                <w:szCs w:val="24"/>
              </w:rPr>
              <w:t xml:space="preserve"> (kopējais izmaksu pieaugums - 5 * 53,02</w:t>
            </w:r>
            <w:r w:rsidR="00DA2792" w:rsidRPr="00557FCA">
              <w:rPr>
                <w:rFonts w:ascii="Times New Roman" w:hAnsi="Times New Roman"/>
                <w:sz w:val="24"/>
                <w:szCs w:val="24"/>
              </w:rPr>
              <w:t xml:space="preserve"> </w:t>
            </w:r>
            <w:proofErr w:type="spellStart"/>
            <w:r w:rsidR="00DA2792" w:rsidRPr="00557FCA">
              <w:rPr>
                <w:rFonts w:ascii="Times New Roman" w:hAnsi="Times New Roman"/>
                <w:i/>
                <w:sz w:val="24"/>
                <w:szCs w:val="24"/>
              </w:rPr>
              <w:t>euro</w:t>
            </w:r>
            <w:proofErr w:type="spellEnd"/>
            <w:r w:rsidR="00425C4B" w:rsidRPr="00557FCA">
              <w:rPr>
                <w:rFonts w:ascii="Times New Roman" w:hAnsi="Times New Roman"/>
                <w:sz w:val="24"/>
                <w:szCs w:val="24"/>
              </w:rPr>
              <w:t xml:space="preserve"> = 265,1 </w:t>
            </w:r>
            <w:proofErr w:type="spellStart"/>
            <w:r w:rsidR="00425C4B" w:rsidRPr="00557FCA">
              <w:rPr>
                <w:rFonts w:ascii="Times New Roman" w:hAnsi="Times New Roman"/>
                <w:i/>
                <w:sz w:val="24"/>
                <w:szCs w:val="24"/>
              </w:rPr>
              <w:t>euro</w:t>
            </w:r>
            <w:proofErr w:type="spellEnd"/>
            <w:r w:rsidR="00F370E2" w:rsidRPr="00557FCA">
              <w:rPr>
                <w:rFonts w:ascii="Times New Roman" w:hAnsi="Times New Roman"/>
                <w:i/>
                <w:sz w:val="24"/>
                <w:szCs w:val="24"/>
              </w:rPr>
              <w:t xml:space="preserve"> </w:t>
            </w:r>
            <w:r w:rsidR="00F370E2" w:rsidRPr="00557FCA">
              <w:rPr>
                <w:rFonts w:ascii="Times New Roman" w:hAnsi="Times New Roman"/>
                <w:iCs/>
                <w:sz w:val="24"/>
                <w:szCs w:val="24"/>
              </w:rPr>
              <w:t xml:space="preserve"> Izmaksu pieaugums par </w:t>
            </w:r>
            <w:r w:rsidR="00D14AE6" w:rsidRPr="00557FCA">
              <w:rPr>
                <w:rFonts w:ascii="Times New Roman" w:hAnsi="Times New Roman"/>
                <w:iCs/>
                <w:sz w:val="24"/>
                <w:szCs w:val="24"/>
              </w:rPr>
              <w:t>individuālajiem aizsardzības līdzekļiem</w:t>
            </w:r>
            <w:r w:rsidR="00F370E2" w:rsidRPr="00557FCA">
              <w:rPr>
                <w:rFonts w:ascii="Times New Roman" w:hAnsi="Times New Roman"/>
                <w:iCs/>
                <w:sz w:val="24"/>
                <w:szCs w:val="24"/>
              </w:rPr>
              <w:t xml:space="preserve"> </w:t>
            </w:r>
            <w:r w:rsidR="00F370E2" w:rsidRPr="00557FCA">
              <w:rPr>
                <w:rFonts w:ascii="Times New Roman" w:hAnsi="Times New Roman"/>
                <w:sz w:val="24"/>
                <w:szCs w:val="24"/>
              </w:rPr>
              <w:t>neietekmē projektu uzraudzības rādītāju vērtību sasniegšanu.</w:t>
            </w:r>
            <w:r w:rsidR="00AF3ED4" w:rsidRPr="00557FCA">
              <w:rPr>
                <w:rFonts w:ascii="Times New Roman" w:hAnsi="Times New Roman"/>
                <w:sz w:val="24"/>
                <w:szCs w:val="24"/>
              </w:rPr>
              <w:t xml:space="preserve"> Pasākumu īsteno</w:t>
            </w:r>
            <w:r w:rsidR="007056B0" w:rsidRPr="00557FCA">
              <w:rPr>
                <w:rFonts w:ascii="Times New Roman" w:hAnsi="Times New Roman"/>
                <w:sz w:val="24"/>
                <w:szCs w:val="24"/>
              </w:rPr>
              <w:t xml:space="preserve"> SAM 7.2.1. ietvaros (ESF finansējums). </w:t>
            </w:r>
            <w:r w:rsidR="00AF3ED4" w:rsidRPr="00557FCA">
              <w:rPr>
                <w:rFonts w:ascii="Times New Roman" w:hAnsi="Times New Roman"/>
                <w:sz w:val="24"/>
                <w:szCs w:val="24"/>
              </w:rPr>
              <w:t xml:space="preserve"> </w:t>
            </w:r>
          </w:p>
          <w:p w14:paraId="4143ED44" w14:textId="2D73D9C9" w:rsidR="003235C0" w:rsidRPr="00557FCA" w:rsidRDefault="003235C0" w:rsidP="00D14AE6">
            <w:pPr>
              <w:jc w:val="both"/>
              <w:rPr>
                <w:b/>
                <w:bCs/>
              </w:rPr>
            </w:pPr>
            <w:r w:rsidRPr="00557FCA">
              <w:t xml:space="preserve">Savukārt pasākumā „Apmācība pie darba devēja” individuālo aizsardzības līdzekļu izmaksas tiek segtas 15 % visiem iesaistītajiem.  Līdz projekta beigām plānots iesaistīt 826 bezdarbniekus (826 </w:t>
            </w:r>
            <w:r w:rsidR="00CB714F" w:rsidRPr="00557FCA">
              <w:t>*</w:t>
            </w:r>
            <w:r w:rsidRPr="00557FCA">
              <w:t xml:space="preserve"> 50 </w:t>
            </w:r>
            <w:proofErr w:type="spellStart"/>
            <w:r w:rsidR="00CB714F" w:rsidRPr="00557FCA">
              <w:rPr>
                <w:i/>
              </w:rPr>
              <w:t>euro</w:t>
            </w:r>
            <w:proofErr w:type="spellEnd"/>
            <w:r w:rsidRPr="00557FCA">
              <w:t xml:space="preserve"> = </w:t>
            </w:r>
            <w:r w:rsidRPr="00557FCA">
              <w:rPr>
                <w:b/>
                <w:bCs/>
              </w:rPr>
              <w:t> </w:t>
            </w:r>
            <w:r w:rsidRPr="00557FCA">
              <w:rPr>
                <w:bCs/>
              </w:rPr>
              <w:t xml:space="preserve">6195 </w:t>
            </w:r>
            <w:proofErr w:type="spellStart"/>
            <w:r w:rsidR="00CB714F" w:rsidRPr="00557FCA">
              <w:rPr>
                <w:bCs/>
                <w:i/>
              </w:rPr>
              <w:t>euro</w:t>
            </w:r>
            <w:proofErr w:type="spellEnd"/>
            <w:r w:rsidRPr="00557FCA">
              <w:rPr>
                <w:bCs/>
              </w:rPr>
              <w:t xml:space="preserve">). </w:t>
            </w:r>
            <w:r w:rsidRPr="00557FCA">
              <w:rPr>
                <w:b/>
                <w:bCs/>
              </w:rPr>
              <w:t xml:space="preserve"> </w:t>
            </w:r>
            <w:r w:rsidR="00D14AE6" w:rsidRPr="00557FCA">
              <w:rPr>
                <w:bCs/>
                <w:iCs/>
              </w:rPr>
              <w:t xml:space="preserve">Izmaksu pieaugums par individuālajiem aizsardzības līdzekļiem </w:t>
            </w:r>
            <w:r w:rsidR="00D14AE6" w:rsidRPr="00557FCA">
              <w:rPr>
                <w:bCs/>
              </w:rPr>
              <w:t>neietekmē projektu uzraudzības rādītāju vērtību sasniegšanu.</w:t>
            </w:r>
            <w:r w:rsidR="003C5304" w:rsidRPr="00557FCA">
              <w:rPr>
                <w:bCs/>
              </w:rPr>
              <w:t xml:space="preserve"> Pasākumu īsteno SAM 7.1.1. ietvaros</w:t>
            </w:r>
            <w:r w:rsidR="00A47E7D" w:rsidRPr="00557FCA">
              <w:rPr>
                <w:bCs/>
              </w:rPr>
              <w:t xml:space="preserve"> (ESF finansējums)</w:t>
            </w:r>
          </w:p>
          <w:p w14:paraId="65F22E7B" w14:textId="3E4594B3" w:rsidR="003235C0" w:rsidRPr="00557FCA" w:rsidRDefault="00BB2A0F" w:rsidP="003235C0">
            <w:pPr>
              <w:jc w:val="both"/>
            </w:pPr>
            <w:r w:rsidRPr="00557FCA">
              <w:t xml:space="preserve">Pasākumu „Nodarbinātības pasākumi vasaras brīvlaikā personām, </w:t>
            </w:r>
            <w:proofErr w:type="gramStart"/>
            <w:r w:rsidRPr="00557FCA">
              <w:t>kuras iegūst izglītību vispārējās, speciālās</w:t>
            </w:r>
            <w:proofErr w:type="gramEnd"/>
            <w:r w:rsidRPr="00557FCA">
              <w:t xml:space="preserve"> vai profesionālās izglītības iestādēs”, „Apmācība pie darba devēja” un „Algoti pagaidu sabiedriskie darbi” ietvaros tiek segtas izmaksas par </w:t>
            </w:r>
            <w:r w:rsidR="007554F0" w:rsidRPr="00557FCA">
              <w:t>veselības pārbaužu veikšanu, kuras paredzētas normatīvajos aktos par kārtību, kādā veic</w:t>
            </w:r>
            <w:r w:rsidRPr="00557FCA">
              <w:t xml:space="preserve">ama obligātā veselības pārbaude. Šīs izmaksas nepārsniedz </w:t>
            </w:r>
            <w:r w:rsidR="007554F0" w:rsidRPr="00557FCA">
              <w:t xml:space="preserve"> 28,46 </w:t>
            </w:r>
            <w:proofErr w:type="spellStart"/>
            <w:r w:rsidR="007554F0" w:rsidRPr="00557FCA">
              <w:rPr>
                <w:i/>
                <w:iCs/>
              </w:rPr>
              <w:t>euro</w:t>
            </w:r>
            <w:proofErr w:type="spellEnd"/>
            <w:r w:rsidRPr="00557FCA">
              <w:rPr>
                <w:iCs/>
              </w:rPr>
              <w:t xml:space="preserve">. </w:t>
            </w:r>
            <w:r w:rsidR="007554F0" w:rsidRPr="00557FCA">
              <w:t xml:space="preserve"> </w:t>
            </w:r>
            <w:r w:rsidR="00833EC8" w:rsidRPr="00557FCA">
              <w:t xml:space="preserve">Pārskatot izmaksu apmēru, secināts, ka vairums ārstniecības iestādes, piemēram, SIA „Veselības centrs 4” un  „Veselības centrs „Možums-1”” šo pakalpojumu </w:t>
            </w:r>
            <w:r w:rsidR="00DD6C1F" w:rsidRPr="00557FCA">
              <w:t>nodrošina</w:t>
            </w:r>
            <w:r w:rsidR="00833EC8" w:rsidRPr="00557FCA">
              <w:t xml:space="preserve"> </w:t>
            </w:r>
            <w:r w:rsidR="00DD6C1F" w:rsidRPr="00557FCA">
              <w:t xml:space="preserve">par 30 – 40 </w:t>
            </w:r>
            <w:proofErr w:type="spellStart"/>
            <w:r w:rsidR="00DD6C1F" w:rsidRPr="00557FCA">
              <w:rPr>
                <w:i/>
              </w:rPr>
              <w:t>euro</w:t>
            </w:r>
            <w:proofErr w:type="spellEnd"/>
            <w:r w:rsidR="006A671A" w:rsidRPr="00557FCA">
              <w:t>.</w:t>
            </w:r>
            <w:r w:rsidR="00DD6C1F" w:rsidRPr="00557FCA">
              <w:rPr>
                <w:i/>
              </w:rPr>
              <w:t xml:space="preserve"> </w:t>
            </w:r>
            <w:r w:rsidR="006A671A" w:rsidRPr="00557FCA">
              <w:t xml:space="preserve">Ņemot vērā iepriekš minēto, Noteikumu projekts paredz, ka </w:t>
            </w:r>
            <w:r w:rsidR="003E39DC" w:rsidRPr="00557FCA">
              <w:t>atsevišķu</w:t>
            </w:r>
            <w:r w:rsidR="006A671A" w:rsidRPr="00557FCA">
              <w:t xml:space="preserve"> aktīvo nodarbinātības pasākumu ietvaros tiek segtas izmaksas par </w:t>
            </w:r>
            <w:r w:rsidR="007554F0" w:rsidRPr="00557FCA">
              <w:t>veselības pārbaužu veikšanu, kuras paredzētas normatīvajos aktos par kārtību, kādā veic</w:t>
            </w:r>
            <w:r w:rsidR="006A671A" w:rsidRPr="00557FCA">
              <w:t xml:space="preserve">ama obligātā veselības pārbaude un šīs izmaksas nepārsniedz </w:t>
            </w:r>
            <w:r w:rsidR="007554F0" w:rsidRPr="00557FCA">
              <w:t xml:space="preserve"> </w:t>
            </w:r>
            <w:r w:rsidR="006A671A" w:rsidRPr="00557FCA">
              <w:t>30</w:t>
            </w:r>
            <w:r w:rsidR="007554F0" w:rsidRPr="00557FCA">
              <w:t xml:space="preserve"> </w:t>
            </w:r>
            <w:proofErr w:type="spellStart"/>
            <w:r w:rsidR="007554F0" w:rsidRPr="00557FCA">
              <w:rPr>
                <w:i/>
                <w:iCs/>
              </w:rPr>
              <w:t>euro</w:t>
            </w:r>
            <w:proofErr w:type="spellEnd"/>
            <w:r w:rsidR="009104F3" w:rsidRPr="00557FCA">
              <w:rPr>
                <w:i/>
                <w:iCs/>
              </w:rPr>
              <w:t>.</w:t>
            </w:r>
            <w:r w:rsidR="003235C0" w:rsidRPr="00557FCA">
              <w:rPr>
                <w:iCs/>
              </w:rPr>
              <w:t xml:space="preserve"> Izmaksu pieaugums par obligātajām veselības pārbaudēm ir ļoti neliels (vērtības noapaļotas līdz veseliem skaitļiem) un </w:t>
            </w:r>
            <w:r w:rsidR="003235C0" w:rsidRPr="00557FCA">
              <w:t xml:space="preserve"> neietekmē projektu uzraudzības rādītāju vērtību sasniegšanu.</w:t>
            </w:r>
            <w:r w:rsidR="00983A2E" w:rsidRPr="00557FCA">
              <w:t xml:space="preserve"> Pasākum</w:t>
            </w:r>
            <w:r w:rsidR="00311662" w:rsidRPr="00557FCA">
              <w:t>i</w:t>
            </w:r>
            <w:r w:rsidR="00983A2E" w:rsidRPr="00557FCA">
              <w:t xml:space="preserve"> „Nodarbinātības pasākumi vasaras brīvlaikā personām, kuras iegūst izglītību vispārējās, speciālās vai profesionālās izglītības iestādēs” un „Algoti pagaidu sabiedriskie darbi”</w:t>
            </w:r>
            <w:r w:rsidR="00311662" w:rsidRPr="00557FCA">
              <w:t xml:space="preserve"> tiek finansēti no valsts speciālā budžeta (Noteikumu projekta 2</w:t>
            </w:r>
            <w:r w:rsidR="00EC029B" w:rsidRPr="00557FCA">
              <w:t>8</w:t>
            </w:r>
            <w:r w:rsidR="00311662" w:rsidRPr="00557FCA">
              <w:t>., 2</w:t>
            </w:r>
            <w:r w:rsidR="00EC029B" w:rsidRPr="00557FCA">
              <w:t>9</w:t>
            </w:r>
            <w:r w:rsidR="00311662" w:rsidRPr="00557FCA">
              <w:t xml:space="preserve">., </w:t>
            </w:r>
            <w:r w:rsidR="00EC029B" w:rsidRPr="00557FCA">
              <w:t>31</w:t>
            </w:r>
            <w:r w:rsidR="00311662" w:rsidRPr="00557FCA">
              <w:t xml:space="preserve">. un </w:t>
            </w:r>
            <w:r w:rsidR="00EC029B" w:rsidRPr="00557FCA">
              <w:t>34</w:t>
            </w:r>
            <w:r w:rsidR="00311662" w:rsidRPr="00557FCA">
              <w:t xml:space="preserve">.punkts).  </w:t>
            </w:r>
          </w:p>
          <w:p w14:paraId="16EE0A4A" w14:textId="77777777" w:rsidR="00122CAE" w:rsidRPr="00557FCA" w:rsidRDefault="00122CAE" w:rsidP="00554092">
            <w:pPr>
              <w:pStyle w:val="ListParagraph"/>
              <w:spacing w:after="0" w:line="240" w:lineRule="auto"/>
              <w:ind w:left="0"/>
              <w:jc w:val="both"/>
              <w:rPr>
                <w:rFonts w:ascii="Times New Roman" w:hAnsi="Times New Roman"/>
                <w:sz w:val="24"/>
                <w:szCs w:val="24"/>
              </w:rPr>
            </w:pPr>
          </w:p>
          <w:p w14:paraId="450D780C" w14:textId="2090E1A1" w:rsidR="008C2A9F" w:rsidRPr="00557FCA" w:rsidRDefault="000B63CF" w:rsidP="000B63CF">
            <w:pPr>
              <w:pStyle w:val="ListParagraph"/>
              <w:spacing w:after="0" w:line="240" w:lineRule="auto"/>
              <w:ind w:left="0"/>
              <w:jc w:val="both"/>
              <w:rPr>
                <w:rFonts w:ascii="Times New Roman" w:hAnsi="Times New Roman"/>
                <w:sz w:val="24"/>
                <w:szCs w:val="24"/>
              </w:rPr>
            </w:pPr>
            <w:r w:rsidRPr="00557FCA">
              <w:rPr>
                <w:rFonts w:ascii="Times New Roman" w:hAnsi="Times New Roman"/>
                <w:sz w:val="24"/>
                <w:szCs w:val="24"/>
              </w:rPr>
              <w:t>1</w:t>
            </w:r>
            <w:r w:rsidR="005E0722" w:rsidRPr="00557FCA">
              <w:rPr>
                <w:rFonts w:ascii="Times New Roman" w:hAnsi="Times New Roman"/>
                <w:sz w:val="24"/>
                <w:szCs w:val="24"/>
              </w:rPr>
              <w:t>7</w:t>
            </w:r>
            <w:r w:rsidRPr="00557FCA">
              <w:rPr>
                <w:rFonts w:ascii="Times New Roman" w:hAnsi="Times New Roman"/>
                <w:sz w:val="24"/>
                <w:szCs w:val="24"/>
              </w:rPr>
              <w:t xml:space="preserve">. </w:t>
            </w:r>
            <w:r w:rsidR="00122CAE" w:rsidRPr="00557FCA">
              <w:rPr>
                <w:rFonts w:ascii="Times New Roman" w:hAnsi="Times New Roman"/>
                <w:sz w:val="24"/>
                <w:szCs w:val="24"/>
              </w:rPr>
              <w:t>Atbilstoši MK noteikumu Nr.</w:t>
            </w:r>
            <w:proofErr w:type="gramStart"/>
            <w:r w:rsidR="00122CAE" w:rsidRPr="00557FCA">
              <w:rPr>
                <w:rFonts w:ascii="Times New Roman" w:hAnsi="Times New Roman"/>
                <w:sz w:val="24"/>
                <w:szCs w:val="24"/>
              </w:rPr>
              <w:t>75 109.</w:t>
            </w:r>
            <w:r w:rsidR="00122CAE" w:rsidRPr="00557FCA">
              <w:rPr>
                <w:rFonts w:ascii="Times New Roman" w:hAnsi="Times New Roman"/>
                <w:sz w:val="24"/>
                <w:szCs w:val="24"/>
                <w:vertAlign w:val="superscript"/>
              </w:rPr>
              <w:t>13</w:t>
            </w:r>
            <w:r w:rsidR="00122CAE" w:rsidRPr="00557FCA">
              <w:rPr>
                <w:rFonts w:ascii="Times New Roman" w:hAnsi="Times New Roman"/>
                <w:sz w:val="24"/>
                <w:szCs w:val="24"/>
              </w:rPr>
              <w:t xml:space="preserve"> 1.apakšpunktam</w:t>
            </w:r>
            <w:proofErr w:type="gramEnd"/>
            <w:r w:rsidR="00122CAE" w:rsidRPr="00557FCA">
              <w:rPr>
                <w:rFonts w:ascii="Times New Roman" w:hAnsi="Times New Roman"/>
                <w:sz w:val="24"/>
                <w:szCs w:val="24"/>
              </w:rPr>
              <w:t xml:space="preserve">, aktīvā nodarbinātības pasākuma „Apmācība pie darba devēja” ietvaros darba devējam tiek nodrošināta dotācija praktiskajā apmācībā iesaistīto bezdarbnieku ikmēneša darba algai, un tās apmērs tiek pakāpeniski samazināts ik pēc 2 mēnešiem. Lai </w:t>
            </w:r>
            <w:r w:rsidR="00122CAE" w:rsidRPr="00557FCA">
              <w:rPr>
                <w:rFonts w:ascii="Times New Roman" w:hAnsi="Times New Roman"/>
                <w:sz w:val="24"/>
                <w:szCs w:val="24"/>
              </w:rPr>
              <w:lastRenderedPageBreak/>
              <w:t xml:space="preserve">vienkāršotu pasākuma īstenošanas nosacījumus un atlīdzības aprēķinu kārtību, Noteikumu projekts paredz dotāciju darba devējam praktiskajā apmācībā iesaistīto bezdarbnieku ikmēneša darba algai aprēķināt par pirmajiem trim un pēdējiem </w:t>
            </w:r>
            <w:r w:rsidR="002E49A4" w:rsidRPr="00557FCA">
              <w:rPr>
                <w:rFonts w:ascii="Times New Roman" w:hAnsi="Times New Roman"/>
                <w:sz w:val="24"/>
                <w:szCs w:val="24"/>
              </w:rPr>
              <w:t xml:space="preserve">trim </w:t>
            </w:r>
            <w:r w:rsidR="00122CAE" w:rsidRPr="00557FCA">
              <w:rPr>
                <w:rFonts w:ascii="Times New Roman" w:hAnsi="Times New Roman"/>
                <w:sz w:val="24"/>
                <w:szCs w:val="24"/>
              </w:rPr>
              <w:t xml:space="preserve">apmācību mēnešiem. Par pirmajiem </w:t>
            </w:r>
            <w:r w:rsidR="002E49A4" w:rsidRPr="00557FCA">
              <w:rPr>
                <w:rFonts w:ascii="Times New Roman" w:hAnsi="Times New Roman"/>
                <w:sz w:val="24"/>
                <w:szCs w:val="24"/>
              </w:rPr>
              <w:t>trim</w:t>
            </w:r>
            <w:r w:rsidR="00122CAE" w:rsidRPr="00557FCA">
              <w:rPr>
                <w:rFonts w:ascii="Times New Roman" w:hAnsi="Times New Roman"/>
                <w:sz w:val="24"/>
                <w:szCs w:val="24"/>
              </w:rPr>
              <w:t xml:space="preserve"> apmācību mēnešiem dotācija ir 200 </w:t>
            </w:r>
            <w:proofErr w:type="spellStart"/>
            <w:r w:rsidR="00122CAE" w:rsidRPr="00557FCA">
              <w:rPr>
                <w:rFonts w:ascii="Times New Roman" w:hAnsi="Times New Roman"/>
                <w:i/>
                <w:sz w:val="24"/>
                <w:szCs w:val="24"/>
              </w:rPr>
              <w:t>euro</w:t>
            </w:r>
            <w:proofErr w:type="spellEnd"/>
            <w:r w:rsidR="00122CAE" w:rsidRPr="00557FCA">
              <w:rPr>
                <w:rFonts w:ascii="Times New Roman" w:hAnsi="Times New Roman"/>
                <w:sz w:val="24"/>
                <w:szCs w:val="24"/>
              </w:rPr>
              <w:t xml:space="preserve">, savukārt par pēdējiem – 150 </w:t>
            </w:r>
            <w:proofErr w:type="spellStart"/>
            <w:r w:rsidR="00122CAE" w:rsidRPr="00557FCA">
              <w:rPr>
                <w:rFonts w:ascii="Times New Roman" w:hAnsi="Times New Roman"/>
                <w:i/>
                <w:sz w:val="24"/>
                <w:szCs w:val="24"/>
              </w:rPr>
              <w:t>euro</w:t>
            </w:r>
            <w:proofErr w:type="spellEnd"/>
            <w:r w:rsidR="008501D7" w:rsidRPr="00557FCA">
              <w:rPr>
                <w:rFonts w:ascii="Times New Roman" w:hAnsi="Times New Roman"/>
                <w:sz w:val="24"/>
                <w:szCs w:val="24"/>
              </w:rPr>
              <w:t xml:space="preserve">. </w:t>
            </w:r>
            <w:proofErr w:type="gramStart"/>
            <w:r w:rsidR="00F448A7" w:rsidRPr="00557FCA">
              <w:rPr>
                <w:rFonts w:ascii="Times New Roman" w:hAnsi="Times New Roman"/>
                <w:sz w:val="24"/>
                <w:szCs w:val="24"/>
              </w:rPr>
              <w:t>Palielinot kopējo dotācijas</w:t>
            </w:r>
            <w:proofErr w:type="gramEnd"/>
            <w:r w:rsidR="00F448A7" w:rsidRPr="00557FCA">
              <w:rPr>
                <w:rFonts w:ascii="Times New Roman" w:hAnsi="Times New Roman"/>
                <w:sz w:val="24"/>
                <w:szCs w:val="24"/>
              </w:rPr>
              <w:t xml:space="preserve"> apmēru</w:t>
            </w:r>
            <w:r w:rsidR="007656D5" w:rsidRPr="00557FCA">
              <w:rPr>
                <w:rFonts w:ascii="Times New Roman" w:hAnsi="Times New Roman"/>
                <w:sz w:val="24"/>
                <w:szCs w:val="24"/>
              </w:rPr>
              <w:t xml:space="preserve">, plānots veicināt aktīvāku darba vietu izveidi pasākuma ietvaros un aktīvāku </w:t>
            </w:r>
            <w:r w:rsidR="009104F3" w:rsidRPr="00557FCA">
              <w:rPr>
                <w:rFonts w:ascii="Times New Roman" w:hAnsi="Times New Roman"/>
                <w:sz w:val="24"/>
                <w:szCs w:val="24"/>
              </w:rPr>
              <w:t>bezdarbnieku iesaisti pasākumā.</w:t>
            </w:r>
            <w:r w:rsidR="005A5D66" w:rsidRPr="00557FCA">
              <w:rPr>
                <w:rFonts w:ascii="Times New Roman" w:hAnsi="Times New Roman"/>
                <w:sz w:val="24"/>
                <w:szCs w:val="24"/>
              </w:rPr>
              <w:t xml:space="preserve"> „Apmācība pie darba devēja” līdz projekta beigām plānots iesaistīt 826 bezdarbniekus. Izmaksu sadārdzinājums uz vienu iesaistāmo bezdarbnieku ir 140 </w:t>
            </w:r>
            <w:proofErr w:type="spellStart"/>
            <w:r w:rsidR="005A5D66" w:rsidRPr="00557FCA">
              <w:rPr>
                <w:rFonts w:ascii="Times New Roman" w:hAnsi="Times New Roman"/>
                <w:i/>
                <w:sz w:val="24"/>
                <w:szCs w:val="24"/>
              </w:rPr>
              <w:t>euro</w:t>
            </w:r>
            <w:proofErr w:type="spellEnd"/>
            <w:r w:rsidR="005A5D66" w:rsidRPr="00557FCA">
              <w:rPr>
                <w:rFonts w:ascii="Times New Roman" w:hAnsi="Times New Roman"/>
                <w:sz w:val="24"/>
                <w:szCs w:val="24"/>
              </w:rPr>
              <w:t xml:space="preserve"> (</w:t>
            </w:r>
            <w:r w:rsidR="008C2A9F" w:rsidRPr="00557FCA">
              <w:rPr>
                <w:rFonts w:ascii="Times New Roman" w:hAnsi="Times New Roman"/>
                <w:sz w:val="24"/>
                <w:szCs w:val="24"/>
              </w:rPr>
              <w:t xml:space="preserve">826 </w:t>
            </w:r>
            <w:r w:rsidR="005A5D66" w:rsidRPr="00557FCA">
              <w:rPr>
                <w:rFonts w:ascii="Times New Roman" w:hAnsi="Times New Roman"/>
                <w:sz w:val="24"/>
                <w:szCs w:val="24"/>
              </w:rPr>
              <w:t>*</w:t>
            </w:r>
            <w:r w:rsidR="008C2A9F" w:rsidRPr="00557FCA">
              <w:rPr>
                <w:rFonts w:ascii="Times New Roman" w:hAnsi="Times New Roman"/>
                <w:sz w:val="24"/>
                <w:szCs w:val="24"/>
              </w:rPr>
              <w:t xml:space="preserve"> 140 </w:t>
            </w:r>
            <w:r w:rsidR="008C2A9F" w:rsidRPr="00557FCA">
              <w:rPr>
                <w:rFonts w:ascii="Times New Roman" w:hAnsi="Times New Roman"/>
                <w:bCs/>
                <w:sz w:val="24"/>
                <w:szCs w:val="24"/>
              </w:rPr>
              <w:t>EUR</w:t>
            </w:r>
            <w:r w:rsidR="008C2A9F" w:rsidRPr="00557FCA">
              <w:rPr>
                <w:rFonts w:ascii="Times New Roman" w:hAnsi="Times New Roman"/>
                <w:b/>
                <w:bCs/>
                <w:sz w:val="24"/>
                <w:szCs w:val="24"/>
              </w:rPr>
              <w:t xml:space="preserve"> </w:t>
            </w:r>
            <w:r w:rsidR="008C2A9F" w:rsidRPr="00557FCA">
              <w:rPr>
                <w:rFonts w:ascii="Times New Roman" w:hAnsi="Times New Roman"/>
                <w:sz w:val="24"/>
                <w:szCs w:val="24"/>
              </w:rPr>
              <w:t xml:space="preserve">= </w:t>
            </w:r>
            <w:r w:rsidR="008C2A9F" w:rsidRPr="00557FCA">
              <w:rPr>
                <w:rFonts w:ascii="Times New Roman" w:hAnsi="Times New Roman"/>
                <w:bCs/>
                <w:sz w:val="24"/>
                <w:szCs w:val="24"/>
              </w:rPr>
              <w:t>115 640 EUR</w:t>
            </w:r>
            <w:r w:rsidR="008C2A9F" w:rsidRPr="00557FCA">
              <w:rPr>
                <w:rFonts w:ascii="Times New Roman" w:hAnsi="Times New Roman"/>
                <w:sz w:val="24"/>
                <w:szCs w:val="24"/>
              </w:rPr>
              <w:t xml:space="preserve"> (dotācijas bezdarbnieku algai palielinājums)</w:t>
            </w:r>
            <w:r w:rsidR="005A5D66" w:rsidRPr="00557FCA">
              <w:rPr>
                <w:rFonts w:ascii="Times New Roman" w:hAnsi="Times New Roman"/>
                <w:sz w:val="24"/>
                <w:szCs w:val="24"/>
              </w:rPr>
              <w:t>)</w:t>
            </w:r>
            <w:r w:rsidR="008C2A9F" w:rsidRPr="00557FCA">
              <w:rPr>
                <w:rFonts w:ascii="Times New Roman" w:hAnsi="Times New Roman"/>
                <w:sz w:val="24"/>
                <w:szCs w:val="24"/>
              </w:rPr>
              <w:t>.</w:t>
            </w:r>
          </w:p>
          <w:p w14:paraId="30C342EC" w14:textId="2836E344" w:rsidR="008C2A9F" w:rsidRPr="00557FCA" w:rsidRDefault="00147E70" w:rsidP="008C2A9F">
            <w:pPr>
              <w:pStyle w:val="ListParagraph"/>
              <w:spacing w:after="0" w:line="240" w:lineRule="auto"/>
              <w:ind w:left="0"/>
              <w:jc w:val="both"/>
              <w:rPr>
                <w:rFonts w:ascii="Times New Roman" w:hAnsi="Times New Roman"/>
                <w:sz w:val="24"/>
                <w:szCs w:val="24"/>
              </w:rPr>
            </w:pPr>
            <w:r w:rsidRPr="00557FCA">
              <w:rPr>
                <w:rFonts w:ascii="Times New Roman" w:hAnsi="Times New Roman"/>
                <w:iCs/>
                <w:sz w:val="24"/>
                <w:szCs w:val="24"/>
              </w:rPr>
              <w:t xml:space="preserve">Izmaksu pieaugums pasākumā iesaistīto ikmēneša darba algai </w:t>
            </w:r>
            <w:r w:rsidRPr="00557FCA">
              <w:rPr>
                <w:rFonts w:ascii="Times New Roman" w:hAnsi="Times New Roman"/>
                <w:sz w:val="24"/>
                <w:szCs w:val="24"/>
              </w:rPr>
              <w:t>neietekmē projektu uzraudzības rādītāju vērtību sasniegšanu.</w:t>
            </w:r>
            <w:r w:rsidR="00311662" w:rsidRPr="00557FCA">
              <w:rPr>
                <w:rFonts w:ascii="Times New Roman" w:hAnsi="Times New Roman"/>
                <w:sz w:val="24"/>
                <w:szCs w:val="24"/>
              </w:rPr>
              <w:t xml:space="preserve"> Pasākumu īsteno SAM 7.1.1. ietvaros (ESF finansējums). (Noteikumu projekta 2</w:t>
            </w:r>
            <w:r w:rsidR="00EC029B" w:rsidRPr="00557FCA">
              <w:rPr>
                <w:rFonts w:ascii="Times New Roman" w:hAnsi="Times New Roman"/>
                <w:sz w:val="24"/>
                <w:szCs w:val="24"/>
              </w:rPr>
              <w:t>7</w:t>
            </w:r>
            <w:r w:rsidR="00311662" w:rsidRPr="00557FCA">
              <w:rPr>
                <w:rFonts w:ascii="Times New Roman" w:hAnsi="Times New Roman"/>
                <w:sz w:val="24"/>
                <w:szCs w:val="24"/>
              </w:rPr>
              <w:t xml:space="preserve">.punkts). </w:t>
            </w:r>
          </w:p>
          <w:p w14:paraId="4DEB140D" w14:textId="77777777" w:rsidR="00C97E31" w:rsidRPr="00557FCA" w:rsidRDefault="00C97E31" w:rsidP="00554092">
            <w:pPr>
              <w:jc w:val="both"/>
            </w:pPr>
          </w:p>
          <w:p w14:paraId="4E6D1907" w14:textId="1574DECA" w:rsidR="0025003F" w:rsidRPr="00557FCA" w:rsidRDefault="000B63CF" w:rsidP="000B63CF">
            <w:pPr>
              <w:pStyle w:val="ListParagraph"/>
              <w:spacing w:after="0" w:line="240" w:lineRule="auto"/>
              <w:ind w:left="0"/>
              <w:jc w:val="both"/>
              <w:rPr>
                <w:rFonts w:ascii="Times New Roman" w:hAnsi="Times New Roman"/>
                <w:sz w:val="24"/>
                <w:szCs w:val="24"/>
              </w:rPr>
            </w:pPr>
            <w:r w:rsidRPr="00557FCA">
              <w:rPr>
                <w:rFonts w:ascii="Times New Roman" w:hAnsi="Times New Roman"/>
                <w:sz w:val="24"/>
                <w:szCs w:val="24"/>
              </w:rPr>
              <w:t>1</w:t>
            </w:r>
            <w:r w:rsidR="005E0722" w:rsidRPr="00557FCA">
              <w:rPr>
                <w:rFonts w:ascii="Times New Roman" w:hAnsi="Times New Roman"/>
                <w:sz w:val="24"/>
                <w:szCs w:val="24"/>
              </w:rPr>
              <w:t>8</w:t>
            </w:r>
            <w:r w:rsidRPr="00557FCA">
              <w:rPr>
                <w:rFonts w:ascii="Times New Roman" w:hAnsi="Times New Roman"/>
                <w:sz w:val="24"/>
                <w:szCs w:val="24"/>
              </w:rPr>
              <w:t xml:space="preserve">. </w:t>
            </w:r>
            <w:r w:rsidR="0025003F" w:rsidRPr="00557FCA">
              <w:rPr>
                <w:rFonts w:ascii="Times New Roman" w:hAnsi="Times New Roman"/>
                <w:sz w:val="24"/>
                <w:szCs w:val="24"/>
              </w:rPr>
              <w:t>Atbilstoši MK noteikumu Nr.75. 133.punktam, lai īstenotu pasākumu „Pirmā darba pieredze jaunietim”, NVA, ņemot vērā tās izstrādāto darba devēju un bezdarbnieku atlases kārtību, izvēlas darba devējus – komersantus (izņemot ārstniecības iestādes). Šāds ierobežojums paredzēts ar mērķi, lai novērstu gadījumus, kad no valsts vai ES finansējuma tiktu finansētas citas valsts un pašvaldību institūcijas, to likumā noteikto funkciju izpildei un nodrošinātu, ka finanšu atbalsts nodarbinātības veicināšanai tiktu novirzīts komersantiem, biedrībām un nodibinājumiem.  Lai nodrošinātu, ka privātās ārstniecības iestādes, kas sniedz veselības aprūpes pakalpojumus</w:t>
            </w:r>
            <w:r w:rsidR="00620F44" w:rsidRPr="00557FCA">
              <w:rPr>
                <w:rFonts w:ascii="Times New Roman" w:hAnsi="Times New Roman"/>
                <w:sz w:val="24"/>
                <w:szCs w:val="24"/>
              </w:rPr>
              <w:t xml:space="preserve"> varētu veidot subsidētās darba</w:t>
            </w:r>
            <w:r w:rsidR="0025003F" w:rsidRPr="00557FCA">
              <w:rPr>
                <w:rFonts w:ascii="Times New Roman" w:hAnsi="Times New Roman"/>
                <w:sz w:val="24"/>
                <w:szCs w:val="24"/>
              </w:rPr>
              <w:t>vietas pasākuma „Pirmā darba pieredze jaunietim” ietvaros, Noteikumu projekts paredz, ka subsidētās darba vietas var veidot arī ārstniecības iestādes, kurās valsts vai pašvaldības daļa pamatkapitālā atsevišķi vai kopumā nepārsniedz 50 % (privātās ārstniecības iestādes)</w:t>
            </w:r>
            <w:r w:rsidR="006C45DE" w:rsidRPr="00557FCA">
              <w:rPr>
                <w:rFonts w:ascii="Times New Roman" w:hAnsi="Times New Roman"/>
                <w:sz w:val="24"/>
                <w:szCs w:val="24"/>
              </w:rPr>
              <w:t>.</w:t>
            </w:r>
            <w:r w:rsidR="006D6BD0" w:rsidRPr="00557FCA">
              <w:rPr>
                <w:rFonts w:ascii="Times New Roman" w:hAnsi="Times New Roman"/>
                <w:sz w:val="24"/>
                <w:szCs w:val="24"/>
              </w:rPr>
              <w:t xml:space="preserve"> Pasākumā iesaistītie jaunieši bezdarbnieki ārstniecības iestādēs var tikt nodarbināti </w:t>
            </w:r>
            <w:r w:rsidR="00496E47" w:rsidRPr="00557FCA">
              <w:rPr>
                <w:rFonts w:ascii="Times New Roman" w:hAnsi="Times New Roman"/>
                <w:sz w:val="24"/>
                <w:szCs w:val="24"/>
              </w:rPr>
              <w:t>administratīvo funkciju nodrošināšanai</w:t>
            </w:r>
            <w:r w:rsidR="006D6BD0" w:rsidRPr="00557FCA">
              <w:rPr>
                <w:rFonts w:ascii="Times New Roman" w:hAnsi="Times New Roman"/>
                <w:sz w:val="24"/>
                <w:szCs w:val="24"/>
              </w:rPr>
              <w:t xml:space="preserve"> (uzņemšanā, lietvedībā, sanitārajā darbā), taču nevar tikt nodarbināti kā ārstniecības person</w:t>
            </w:r>
            <w:r w:rsidR="00496E47" w:rsidRPr="00557FCA">
              <w:rPr>
                <w:rFonts w:ascii="Times New Roman" w:hAnsi="Times New Roman"/>
                <w:sz w:val="24"/>
                <w:szCs w:val="24"/>
              </w:rPr>
              <w:t>a</w:t>
            </w:r>
            <w:r w:rsidR="006D6BD0" w:rsidRPr="00557FCA">
              <w:rPr>
                <w:rFonts w:ascii="Times New Roman" w:hAnsi="Times New Roman"/>
                <w:sz w:val="24"/>
                <w:szCs w:val="24"/>
              </w:rPr>
              <w:t>s,</w:t>
            </w:r>
            <w:r w:rsidR="00496E47" w:rsidRPr="00557FCA">
              <w:rPr>
                <w:rFonts w:ascii="Times New Roman" w:hAnsi="Times New Roman"/>
                <w:sz w:val="24"/>
                <w:szCs w:val="24"/>
              </w:rPr>
              <w:t xml:space="preserve"> jo tam nepieciešama īpaša kvalifikācija un profesionālā pieredze</w:t>
            </w:r>
            <w:r w:rsidR="005E12AE" w:rsidRPr="00557FCA">
              <w:rPr>
                <w:rFonts w:ascii="Times New Roman" w:hAnsi="Times New Roman"/>
                <w:sz w:val="24"/>
                <w:szCs w:val="24"/>
              </w:rPr>
              <w:t>,</w:t>
            </w:r>
            <w:r w:rsidR="00496E47" w:rsidRPr="00557FCA">
              <w:rPr>
                <w:rFonts w:ascii="Times New Roman" w:hAnsi="Times New Roman"/>
                <w:sz w:val="24"/>
                <w:szCs w:val="24"/>
              </w:rPr>
              <w:t xml:space="preserve"> un ārstniecības personu darbība un reģistrācija tiek reglamentēta veselības nozares normatīvajos aktos.  </w:t>
            </w:r>
            <w:r w:rsidR="0056309F" w:rsidRPr="00557FCA">
              <w:rPr>
                <w:rFonts w:ascii="Times New Roman" w:hAnsi="Times New Roman"/>
                <w:sz w:val="24"/>
                <w:szCs w:val="24"/>
              </w:rPr>
              <w:t>Privātā ārstniecības iestāde kā organizatoriski saimnieciska vienība pilda noteiktas funkcijas, no kurām daļa var tikt finansēta vai līdzfinansēta no valsts budžeta (darbs</w:t>
            </w:r>
            <w:r w:rsidR="008A636D" w:rsidRPr="00557FCA">
              <w:rPr>
                <w:rFonts w:ascii="Times New Roman" w:hAnsi="Times New Roman"/>
                <w:sz w:val="24"/>
                <w:szCs w:val="24"/>
              </w:rPr>
              <w:t>,</w:t>
            </w:r>
            <w:r w:rsidR="0056309F" w:rsidRPr="00557FCA">
              <w:rPr>
                <w:rFonts w:ascii="Times New Roman" w:hAnsi="Times New Roman"/>
                <w:sz w:val="24"/>
                <w:szCs w:val="24"/>
              </w:rPr>
              <w:t xml:space="preserve"> ko veic ārstniecības personāls). Valsts vai pašvaldības līdzdalība ārstniecības iestādes pamatkapitālā neietekmē funkciju sadalījumu, ņemot vērā, ka atalgojumu tās darbiniekiem izmaksā no ārstniecības iestādes budžeta</w:t>
            </w:r>
            <w:r w:rsidR="00346150" w:rsidRPr="00557FCA">
              <w:rPr>
                <w:rFonts w:ascii="Times New Roman" w:hAnsi="Times New Roman"/>
                <w:sz w:val="24"/>
                <w:szCs w:val="24"/>
              </w:rPr>
              <w:t xml:space="preserve"> (Noteikuma projekta </w:t>
            </w:r>
            <w:r w:rsidR="00EC029B" w:rsidRPr="00557FCA">
              <w:rPr>
                <w:rFonts w:ascii="Times New Roman" w:hAnsi="Times New Roman"/>
                <w:sz w:val="24"/>
                <w:szCs w:val="24"/>
              </w:rPr>
              <w:t>22</w:t>
            </w:r>
            <w:r w:rsidR="00346150" w:rsidRPr="00557FCA">
              <w:rPr>
                <w:rFonts w:ascii="Times New Roman" w:hAnsi="Times New Roman"/>
                <w:sz w:val="24"/>
                <w:szCs w:val="24"/>
              </w:rPr>
              <w:t>.</w:t>
            </w:r>
            <w:r w:rsidR="00E4403E" w:rsidRPr="00557FCA">
              <w:rPr>
                <w:rFonts w:ascii="Times New Roman" w:hAnsi="Times New Roman"/>
                <w:sz w:val="24"/>
                <w:szCs w:val="24"/>
              </w:rPr>
              <w:t xml:space="preserve">, </w:t>
            </w:r>
            <w:r w:rsidR="00EC029B" w:rsidRPr="00557FCA">
              <w:rPr>
                <w:rFonts w:ascii="Times New Roman" w:hAnsi="Times New Roman"/>
                <w:sz w:val="24"/>
                <w:szCs w:val="24"/>
              </w:rPr>
              <w:t>24</w:t>
            </w:r>
            <w:r w:rsidR="007007D0" w:rsidRPr="00557FCA">
              <w:rPr>
                <w:rFonts w:ascii="Times New Roman" w:hAnsi="Times New Roman"/>
                <w:sz w:val="24"/>
                <w:szCs w:val="24"/>
              </w:rPr>
              <w:t xml:space="preserve">. un </w:t>
            </w:r>
            <w:r w:rsidR="00EC029B" w:rsidRPr="00557FCA">
              <w:rPr>
                <w:rFonts w:ascii="Times New Roman" w:hAnsi="Times New Roman"/>
                <w:sz w:val="24"/>
                <w:szCs w:val="24"/>
              </w:rPr>
              <w:t>30</w:t>
            </w:r>
            <w:r w:rsidR="007007D0" w:rsidRPr="00557FCA">
              <w:rPr>
                <w:rFonts w:ascii="Times New Roman" w:hAnsi="Times New Roman"/>
                <w:sz w:val="24"/>
                <w:szCs w:val="24"/>
              </w:rPr>
              <w:t>.</w:t>
            </w:r>
            <w:r w:rsidR="00346150" w:rsidRPr="00557FCA">
              <w:rPr>
                <w:rFonts w:ascii="Times New Roman" w:hAnsi="Times New Roman"/>
                <w:sz w:val="24"/>
                <w:szCs w:val="24"/>
              </w:rPr>
              <w:t>punkts)</w:t>
            </w:r>
            <w:r w:rsidR="00322ECD" w:rsidRPr="00557FCA">
              <w:rPr>
                <w:rFonts w:ascii="Times New Roman" w:hAnsi="Times New Roman"/>
                <w:sz w:val="24"/>
                <w:szCs w:val="24"/>
              </w:rPr>
              <w:t>.</w:t>
            </w:r>
            <w:r w:rsidR="00322ECD" w:rsidRPr="00557FCA">
              <w:t xml:space="preserve"> </w:t>
            </w:r>
          </w:p>
          <w:p w14:paraId="4A66075F" w14:textId="77777777" w:rsidR="005B650B" w:rsidRPr="00557FCA" w:rsidRDefault="005B650B" w:rsidP="00554092">
            <w:pPr>
              <w:pStyle w:val="ListParagraph"/>
              <w:spacing w:after="0"/>
              <w:rPr>
                <w:rFonts w:ascii="Times New Roman" w:hAnsi="Times New Roman"/>
                <w:sz w:val="24"/>
                <w:szCs w:val="24"/>
              </w:rPr>
            </w:pPr>
          </w:p>
          <w:p w14:paraId="47359B95" w14:textId="0EC36577" w:rsidR="0025521E" w:rsidRPr="00557FCA" w:rsidRDefault="000B63CF" w:rsidP="00491CF8">
            <w:pPr>
              <w:pStyle w:val="ListParagraph"/>
              <w:spacing w:after="0" w:line="240" w:lineRule="auto"/>
              <w:ind w:left="37"/>
              <w:jc w:val="both"/>
              <w:rPr>
                <w:rFonts w:ascii="Times New Roman" w:hAnsi="Times New Roman"/>
                <w:sz w:val="24"/>
                <w:szCs w:val="24"/>
              </w:rPr>
            </w:pPr>
            <w:r w:rsidRPr="00557FCA">
              <w:rPr>
                <w:rFonts w:ascii="Times New Roman" w:hAnsi="Times New Roman"/>
                <w:sz w:val="24"/>
                <w:szCs w:val="24"/>
              </w:rPr>
              <w:t>1</w:t>
            </w:r>
            <w:r w:rsidR="005E0722" w:rsidRPr="00557FCA">
              <w:rPr>
                <w:rFonts w:ascii="Times New Roman" w:hAnsi="Times New Roman"/>
                <w:sz w:val="24"/>
                <w:szCs w:val="24"/>
              </w:rPr>
              <w:t>9</w:t>
            </w:r>
            <w:r w:rsidRPr="00557FCA">
              <w:rPr>
                <w:rFonts w:ascii="Times New Roman" w:hAnsi="Times New Roman"/>
                <w:sz w:val="24"/>
                <w:szCs w:val="24"/>
              </w:rPr>
              <w:t xml:space="preserve">. </w:t>
            </w:r>
            <w:r w:rsidR="00A62CB1" w:rsidRPr="00557FCA">
              <w:rPr>
                <w:rFonts w:ascii="Times New Roman" w:hAnsi="Times New Roman"/>
                <w:sz w:val="24"/>
                <w:szCs w:val="24"/>
              </w:rPr>
              <w:t xml:space="preserve">Stipendijas mērķis </w:t>
            </w:r>
            <w:r w:rsidR="00B7666B" w:rsidRPr="00557FCA">
              <w:rPr>
                <w:rFonts w:ascii="Times New Roman" w:hAnsi="Times New Roman"/>
                <w:sz w:val="24"/>
                <w:szCs w:val="24"/>
              </w:rPr>
              <w:t>pasākuma „Darbam nepieciešamo iemaņu attīstība nevalstiskajā sektorā” un</w:t>
            </w:r>
            <w:r w:rsidR="00D95445" w:rsidRPr="00557FCA">
              <w:rPr>
                <w:rFonts w:ascii="Times New Roman" w:hAnsi="Times New Roman"/>
                <w:sz w:val="24"/>
                <w:szCs w:val="24"/>
              </w:rPr>
              <w:t xml:space="preserve"> pasākuma</w:t>
            </w:r>
            <w:r w:rsidR="00B7666B" w:rsidRPr="00557FCA">
              <w:rPr>
                <w:rFonts w:ascii="Times New Roman" w:hAnsi="Times New Roman"/>
                <w:sz w:val="24"/>
                <w:szCs w:val="24"/>
              </w:rPr>
              <w:t xml:space="preserve"> „Darbnīcas jauniešiem” </w:t>
            </w:r>
            <w:r w:rsidR="00D95445" w:rsidRPr="00557FCA">
              <w:rPr>
                <w:rFonts w:ascii="Times New Roman" w:hAnsi="Times New Roman"/>
                <w:sz w:val="24"/>
                <w:szCs w:val="24"/>
              </w:rPr>
              <w:t xml:space="preserve">ietvaros </w:t>
            </w:r>
            <w:r w:rsidR="00A62CB1" w:rsidRPr="00557FCA">
              <w:rPr>
                <w:rFonts w:ascii="Times New Roman" w:hAnsi="Times New Roman"/>
                <w:sz w:val="24"/>
                <w:szCs w:val="24"/>
              </w:rPr>
              <w:t xml:space="preserve">ir nodrošināt bezdarbniekam finanšu </w:t>
            </w:r>
            <w:r w:rsidR="00A62CB1" w:rsidRPr="00557FCA">
              <w:rPr>
                <w:rFonts w:ascii="Times New Roman" w:hAnsi="Times New Roman"/>
                <w:sz w:val="24"/>
                <w:szCs w:val="24"/>
              </w:rPr>
              <w:lastRenderedPageBreak/>
              <w:t>līdzekļus nokļūšanai</w:t>
            </w:r>
            <w:r w:rsidR="00B7666B" w:rsidRPr="00557FCA">
              <w:rPr>
                <w:rFonts w:ascii="Times New Roman" w:hAnsi="Times New Roman"/>
                <w:sz w:val="24"/>
                <w:szCs w:val="24"/>
              </w:rPr>
              <w:t xml:space="preserve"> pasākuma īstenošanas vietā</w:t>
            </w:r>
            <w:r w:rsidR="00A62CB1" w:rsidRPr="00557FCA">
              <w:rPr>
                <w:rFonts w:ascii="Times New Roman" w:hAnsi="Times New Roman"/>
                <w:sz w:val="24"/>
                <w:szCs w:val="24"/>
              </w:rPr>
              <w:t xml:space="preserve"> un ēdināšanas izdevumu segšanai. Lai nodrošinātu stipendijas izmantošanu atbilstoši pared</w:t>
            </w:r>
            <w:r w:rsidR="00B7666B" w:rsidRPr="00557FCA">
              <w:rPr>
                <w:rFonts w:ascii="Times New Roman" w:hAnsi="Times New Roman"/>
                <w:sz w:val="24"/>
                <w:szCs w:val="24"/>
              </w:rPr>
              <w:t>zētajam mērķim</w:t>
            </w:r>
            <w:r w:rsidR="00A62CB1" w:rsidRPr="00557FCA">
              <w:rPr>
                <w:rFonts w:ascii="Times New Roman" w:hAnsi="Times New Roman"/>
                <w:sz w:val="24"/>
                <w:szCs w:val="24"/>
              </w:rPr>
              <w:t xml:space="preserve">, stipendija būtu maksājama tikai par dienām, kad </w:t>
            </w:r>
            <w:r w:rsidR="00B7666B" w:rsidRPr="00557FCA">
              <w:rPr>
                <w:rFonts w:ascii="Times New Roman" w:hAnsi="Times New Roman"/>
                <w:sz w:val="24"/>
                <w:szCs w:val="24"/>
              </w:rPr>
              <w:t>bezdarbnieks iesaistās pasākumā</w:t>
            </w:r>
            <w:r w:rsidR="00A62CB1" w:rsidRPr="00557FCA">
              <w:rPr>
                <w:rFonts w:ascii="Times New Roman" w:hAnsi="Times New Roman"/>
                <w:sz w:val="24"/>
                <w:szCs w:val="24"/>
              </w:rPr>
              <w:t xml:space="preserve">, nevis par visu </w:t>
            </w:r>
            <w:r w:rsidR="00B7666B" w:rsidRPr="00557FCA">
              <w:rPr>
                <w:rFonts w:ascii="Times New Roman" w:hAnsi="Times New Roman"/>
                <w:sz w:val="24"/>
                <w:szCs w:val="24"/>
              </w:rPr>
              <w:t>pasākuma īstenošanas periodu</w:t>
            </w:r>
            <w:r w:rsidR="00A62CB1" w:rsidRPr="00557FCA">
              <w:rPr>
                <w:rFonts w:ascii="Times New Roman" w:hAnsi="Times New Roman"/>
                <w:sz w:val="24"/>
                <w:szCs w:val="24"/>
              </w:rPr>
              <w:t xml:space="preserve">, ieskaitot brīvdienas un svētku dienas, kad </w:t>
            </w:r>
            <w:r w:rsidR="00B7666B" w:rsidRPr="00557FCA">
              <w:rPr>
                <w:rFonts w:ascii="Times New Roman" w:hAnsi="Times New Roman"/>
                <w:sz w:val="24"/>
                <w:szCs w:val="24"/>
              </w:rPr>
              <w:t>pasākumi netiek īstenoti</w:t>
            </w:r>
            <w:r w:rsidR="00A62CB1" w:rsidRPr="00557FCA">
              <w:rPr>
                <w:rFonts w:ascii="Times New Roman" w:hAnsi="Times New Roman"/>
                <w:sz w:val="24"/>
                <w:szCs w:val="24"/>
              </w:rPr>
              <w:t xml:space="preserve">. Noteikumu projekts paredz, ka stipendijas apmērs tiek aprēķināts, ņemot vērā </w:t>
            </w:r>
            <w:r w:rsidR="00B7666B" w:rsidRPr="00557FCA">
              <w:rPr>
                <w:rFonts w:ascii="Times New Roman" w:hAnsi="Times New Roman"/>
                <w:sz w:val="24"/>
                <w:szCs w:val="24"/>
              </w:rPr>
              <w:t xml:space="preserve">tās dienas, kurās bezdarbnieks piedalās pasākumā </w:t>
            </w:r>
            <w:r w:rsidR="00A62CB1" w:rsidRPr="00557FCA">
              <w:rPr>
                <w:rFonts w:ascii="Times New Roman" w:hAnsi="Times New Roman"/>
                <w:sz w:val="24"/>
                <w:szCs w:val="24"/>
              </w:rPr>
              <w:t xml:space="preserve">(5 </w:t>
            </w:r>
            <w:proofErr w:type="spellStart"/>
            <w:r w:rsidR="00A62CB1" w:rsidRPr="00557FCA">
              <w:rPr>
                <w:rFonts w:ascii="Times New Roman" w:hAnsi="Times New Roman"/>
                <w:i/>
                <w:sz w:val="24"/>
                <w:szCs w:val="24"/>
              </w:rPr>
              <w:t>euro</w:t>
            </w:r>
            <w:proofErr w:type="spellEnd"/>
            <w:r w:rsidR="00A62CB1" w:rsidRPr="00557FCA">
              <w:rPr>
                <w:rFonts w:ascii="Times New Roman" w:hAnsi="Times New Roman"/>
                <w:sz w:val="24"/>
                <w:szCs w:val="24"/>
              </w:rPr>
              <w:t xml:space="preserve"> par </w:t>
            </w:r>
            <w:r w:rsidR="00B7666B" w:rsidRPr="00557FCA">
              <w:rPr>
                <w:rFonts w:ascii="Times New Roman" w:hAnsi="Times New Roman"/>
                <w:sz w:val="24"/>
                <w:szCs w:val="24"/>
              </w:rPr>
              <w:t xml:space="preserve">dalības dienu), </w:t>
            </w:r>
            <w:r w:rsidR="00A62CB1" w:rsidRPr="00557FCA">
              <w:rPr>
                <w:rFonts w:ascii="Times New Roman" w:hAnsi="Times New Roman"/>
                <w:sz w:val="24"/>
                <w:szCs w:val="24"/>
              </w:rPr>
              <w:t xml:space="preserve">tādējādi nodrošinot stipendijas izmantošanu atbilstoši paredzētajam mērķim, kā arī veicinot bezdarbnieka motivāciju </w:t>
            </w:r>
            <w:r w:rsidR="00B7666B" w:rsidRPr="00557FCA">
              <w:rPr>
                <w:rFonts w:ascii="Times New Roman" w:hAnsi="Times New Roman"/>
                <w:sz w:val="24"/>
                <w:szCs w:val="24"/>
              </w:rPr>
              <w:t>piedalīties pasākumā</w:t>
            </w:r>
            <w:r w:rsidR="005B2921" w:rsidRPr="00557FCA">
              <w:rPr>
                <w:rFonts w:ascii="Times New Roman" w:hAnsi="Times New Roman"/>
                <w:sz w:val="24"/>
                <w:szCs w:val="24"/>
              </w:rPr>
              <w:t xml:space="preserve">. Paredzētās izmaiņas </w:t>
            </w:r>
            <w:r w:rsidR="00E31BEC" w:rsidRPr="00557FCA">
              <w:rPr>
                <w:rFonts w:ascii="Times New Roman" w:hAnsi="Times New Roman"/>
                <w:sz w:val="24"/>
                <w:szCs w:val="24"/>
              </w:rPr>
              <w:t xml:space="preserve">būtiski </w:t>
            </w:r>
            <w:r w:rsidR="005B2921" w:rsidRPr="00557FCA">
              <w:rPr>
                <w:rFonts w:ascii="Times New Roman" w:hAnsi="Times New Roman"/>
                <w:sz w:val="24"/>
                <w:szCs w:val="24"/>
              </w:rPr>
              <w:t>neietekmē kopējo pasākumiem paredzēto finansējumu</w:t>
            </w:r>
            <w:r w:rsidR="00E31BEC" w:rsidRPr="00557FCA">
              <w:rPr>
                <w:rFonts w:ascii="Times New Roman" w:hAnsi="Times New Roman"/>
                <w:sz w:val="24"/>
                <w:szCs w:val="24"/>
              </w:rPr>
              <w:t xml:space="preserve"> pa gadiem</w:t>
            </w:r>
            <w:r w:rsidR="009104F3" w:rsidRPr="00557FCA">
              <w:rPr>
                <w:rFonts w:ascii="Times New Roman" w:hAnsi="Times New Roman"/>
                <w:sz w:val="24"/>
                <w:szCs w:val="24"/>
              </w:rPr>
              <w:t>.</w:t>
            </w:r>
            <w:r w:rsidR="005C4052" w:rsidRPr="00557FCA">
              <w:rPr>
                <w:rFonts w:ascii="Times New Roman" w:hAnsi="Times New Roman"/>
                <w:sz w:val="24"/>
                <w:szCs w:val="24"/>
              </w:rPr>
              <w:t xml:space="preserve"> Pasākumā „Darbam nepieciešamo iemaņu attīstība nevalstiskajā sektorā” līdz projekta beigām plānots iesaistīt 765 jauniešus bezdarbniekus. </w:t>
            </w:r>
            <w:r w:rsidR="0025521E" w:rsidRPr="00557FCA">
              <w:rPr>
                <w:rFonts w:ascii="Times New Roman" w:hAnsi="Times New Roman"/>
                <w:sz w:val="24"/>
                <w:szCs w:val="24"/>
              </w:rPr>
              <w:t xml:space="preserve">Izmaksu pieaugums uz vienu iesaistāmo jaunieti ir vidēji 10 </w:t>
            </w:r>
            <w:proofErr w:type="spellStart"/>
            <w:r w:rsidR="0025521E" w:rsidRPr="00557FCA">
              <w:rPr>
                <w:rFonts w:ascii="Times New Roman" w:hAnsi="Times New Roman"/>
                <w:i/>
                <w:sz w:val="24"/>
                <w:szCs w:val="24"/>
              </w:rPr>
              <w:t>euro</w:t>
            </w:r>
            <w:proofErr w:type="spellEnd"/>
            <w:r w:rsidR="0025521E" w:rsidRPr="00557FCA">
              <w:rPr>
                <w:rFonts w:ascii="Times New Roman" w:hAnsi="Times New Roman"/>
                <w:sz w:val="24"/>
                <w:szCs w:val="24"/>
              </w:rPr>
              <w:t xml:space="preserve">. Kopējais izmaksu pieaugums – 765 * 10 = 7 650 </w:t>
            </w:r>
            <w:proofErr w:type="spellStart"/>
            <w:r w:rsidR="0025521E" w:rsidRPr="00557FCA">
              <w:rPr>
                <w:rFonts w:ascii="Times New Roman" w:hAnsi="Times New Roman"/>
                <w:i/>
                <w:sz w:val="24"/>
                <w:szCs w:val="24"/>
              </w:rPr>
              <w:t>euro</w:t>
            </w:r>
            <w:proofErr w:type="spellEnd"/>
            <w:r w:rsidR="0025521E" w:rsidRPr="00557FCA">
              <w:rPr>
                <w:rFonts w:ascii="Times New Roman" w:hAnsi="Times New Roman"/>
                <w:sz w:val="24"/>
                <w:szCs w:val="24"/>
              </w:rPr>
              <w:t xml:space="preserve">. </w:t>
            </w:r>
            <w:r w:rsidR="0025521E" w:rsidRPr="00557FCA">
              <w:rPr>
                <w:rFonts w:ascii="Times New Roman" w:hAnsi="Times New Roman"/>
                <w:iCs/>
                <w:sz w:val="24"/>
                <w:szCs w:val="24"/>
              </w:rPr>
              <w:t xml:space="preserve"> Izmaksu pieaugums pasākumā iesaistīto jauniešu bezdarbnieku stipendijai </w:t>
            </w:r>
            <w:r w:rsidR="0025521E" w:rsidRPr="00557FCA">
              <w:rPr>
                <w:rFonts w:ascii="Times New Roman" w:hAnsi="Times New Roman"/>
                <w:sz w:val="24"/>
                <w:szCs w:val="24"/>
              </w:rPr>
              <w:t>neietekmē projektu uzraudzības rādītāju vērtību sasniegšanu.</w:t>
            </w:r>
          </w:p>
          <w:p w14:paraId="6E9E7553" w14:textId="27FBBE0A" w:rsidR="00683774" w:rsidRPr="00557FCA" w:rsidRDefault="00683774" w:rsidP="00491CF8">
            <w:pPr>
              <w:jc w:val="both"/>
            </w:pPr>
            <w:r w:rsidRPr="00557FCA">
              <w:t>Pasākumā „Darbnīcas jauniešiem” līdz projekta beigām plānots iesaistīt 726 jauniešus bezdarbniekus. Izmaksu pieaugums uz vienu iesaistāmo</w:t>
            </w:r>
            <w:r w:rsidR="0015663E" w:rsidRPr="00557FCA">
              <w:t xml:space="preserve"> ir vidēji 20 </w:t>
            </w:r>
            <w:proofErr w:type="spellStart"/>
            <w:r w:rsidR="0015663E" w:rsidRPr="00557FCA">
              <w:rPr>
                <w:i/>
              </w:rPr>
              <w:t>euro</w:t>
            </w:r>
            <w:proofErr w:type="spellEnd"/>
            <w:r w:rsidR="0015663E" w:rsidRPr="00557FCA">
              <w:rPr>
                <w:i/>
              </w:rPr>
              <w:t xml:space="preserve">. </w:t>
            </w:r>
            <w:r w:rsidR="0015663E" w:rsidRPr="00557FCA">
              <w:t xml:space="preserve">Kopējais izmaksu pieaugums pasākumā iesaistīto jauniešu stipendijām – 726 * 20 = 14 520 </w:t>
            </w:r>
            <w:proofErr w:type="spellStart"/>
            <w:r w:rsidR="0015663E" w:rsidRPr="00557FCA">
              <w:rPr>
                <w:i/>
              </w:rPr>
              <w:t>euro</w:t>
            </w:r>
            <w:proofErr w:type="spellEnd"/>
            <w:r w:rsidR="0015663E" w:rsidRPr="00557FCA">
              <w:t xml:space="preserve">. </w:t>
            </w:r>
            <w:r w:rsidRPr="00557FCA">
              <w:t xml:space="preserve"> </w:t>
            </w:r>
            <w:r w:rsidR="0015663E" w:rsidRPr="00557FCA">
              <w:rPr>
                <w:iCs/>
              </w:rPr>
              <w:t xml:space="preserve">Izmaksu pieaugums pasākumā iesaistīto jauniešu bezdarbnieku stipendijai </w:t>
            </w:r>
            <w:r w:rsidR="0015663E" w:rsidRPr="00557FCA">
              <w:t>neietekmē projektu uzraudzības rādītāju vērtību sasniegšanu.</w:t>
            </w:r>
            <w:r w:rsidR="00491CF8" w:rsidRPr="00557FCA">
              <w:t xml:space="preserve"> Pasākumus īsteno SAM 7.2.1. ietvaros (ESF finansējums) (Noteikumu projekta</w:t>
            </w:r>
            <w:r w:rsidR="00E0182D" w:rsidRPr="00557FCA">
              <w:t xml:space="preserve"> </w:t>
            </w:r>
            <w:r w:rsidR="00EC029B" w:rsidRPr="00557FCA">
              <w:t>32</w:t>
            </w:r>
            <w:r w:rsidR="00E0182D" w:rsidRPr="00557FCA">
              <w:t>.</w:t>
            </w:r>
            <w:r w:rsidR="00A102B1" w:rsidRPr="00557FCA">
              <w:t xml:space="preserve">, </w:t>
            </w:r>
            <w:r w:rsidR="00EC029B" w:rsidRPr="00557FCA">
              <w:t>33</w:t>
            </w:r>
            <w:r w:rsidR="00E0182D" w:rsidRPr="00557FCA">
              <w:t>.</w:t>
            </w:r>
            <w:r w:rsidR="00A102B1" w:rsidRPr="00557FCA">
              <w:t xml:space="preserve"> un 4</w:t>
            </w:r>
            <w:r w:rsidR="00EC029B" w:rsidRPr="00557FCA">
              <w:t>9</w:t>
            </w:r>
            <w:r w:rsidR="00A102B1" w:rsidRPr="00557FCA">
              <w:t>.</w:t>
            </w:r>
            <w:r w:rsidR="00E0182D" w:rsidRPr="00557FCA">
              <w:t>punkts)</w:t>
            </w:r>
            <w:r w:rsidR="00491CF8" w:rsidRPr="00557FCA">
              <w:t xml:space="preserve">. </w:t>
            </w:r>
          </w:p>
          <w:p w14:paraId="766E3807" w14:textId="6053E565" w:rsidR="0068544F" w:rsidRPr="00557FCA" w:rsidRDefault="0068544F" w:rsidP="00A66CC3">
            <w:pPr>
              <w:pStyle w:val="ListParagraph"/>
              <w:spacing w:after="0" w:line="240" w:lineRule="auto"/>
              <w:ind w:left="37"/>
              <w:jc w:val="both"/>
              <w:rPr>
                <w:rFonts w:ascii="Times New Roman" w:hAnsi="Times New Roman"/>
                <w:sz w:val="24"/>
                <w:szCs w:val="24"/>
              </w:rPr>
            </w:pPr>
          </w:p>
          <w:p w14:paraId="0D94334E" w14:textId="68AD0ABB" w:rsidR="0068544F" w:rsidRPr="00557FCA" w:rsidRDefault="005E0722" w:rsidP="00A66CC3">
            <w:pPr>
              <w:pStyle w:val="ListParagraph"/>
              <w:spacing w:after="0" w:line="240" w:lineRule="auto"/>
              <w:ind w:left="37"/>
              <w:jc w:val="both"/>
              <w:rPr>
                <w:rFonts w:ascii="Times New Roman" w:hAnsi="Times New Roman"/>
                <w:sz w:val="24"/>
                <w:szCs w:val="24"/>
              </w:rPr>
            </w:pPr>
            <w:r w:rsidRPr="00557FCA">
              <w:rPr>
                <w:rFonts w:ascii="Times New Roman" w:hAnsi="Times New Roman"/>
                <w:sz w:val="24"/>
                <w:szCs w:val="24"/>
              </w:rPr>
              <w:t>20</w:t>
            </w:r>
            <w:r w:rsidR="0068544F" w:rsidRPr="00557FCA">
              <w:rPr>
                <w:rFonts w:ascii="Times New Roman" w:hAnsi="Times New Roman"/>
                <w:sz w:val="24"/>
                <w:szCs w:val="24"/>
              </w:rPr>
              <w:t xml:space="preserve">. </w:t>
            </w:r>
            <w:r w:rsidR="0068544F" w:rsidRPr="00557FCA">
              <w:rPr>
                <w:rFonts w:ascii="Times New Roman" w:eastAsia="Times New Roman" w:hAnsi="Times New Roman"/>
                <w:sz w:val="24"/>
                <w:szCs w:val="24"/>
                <w:lang w:eastAsia="lv-LV"/>
              </w:rPr>
              <w:t xml:space="preserve"> Bezdarbniekiem Ilgstošo bezdarbnieku aktivizācijas pasākumu ietvaros pēc motivācijas programmas pabeigšanas tiek nodrošināts sociālais mentors </w:t>
            </w:r>
            <w:r w:rsidR="0068544F" w:rsidRPr="00557FCA">
              <w:rPr>
                <w:rFonts w:ascii="Times New Roman" w:hAnsi="Times New Roman"/>
                <w:sz w:val="24"/>
                <w:szCs w:val="24"/>
              </w:rPr>
              <w:t>(darbā iekārtošanās asistent</w:t>
            </w:r>
            <w:r w:rsidR="00A915D9" w:rsidRPr="00557FCA">
              <w:rPr>
                <w:rFonts w:ascii="Times New Roman" w:hAnsi="Times New Roman"/>
                <w:sz w:val="24"/>
                <w:szCs w:val="24"/>
              </w:rPr>
              <w:t>s</w:t>
            </w:r>
            <w:r w:rsidR="0068544F" w:rsidRPr="00557FCA">
              <w:rPr>
                <w:rFonts w:ascii="Times New Roman" w:hAnsi="Times New Roman"/>
                <w:sz w:val="24"/>
                <w:szCs w:val="24"/>
              </w:rPr>
              <w:t>), kurš palīdz bezdarbniekam pēc motivācijas programmas pabeigšanas iekārtoties pastāvīgā darbā un sniedz psiholoģisko atbalstu. Atbilstoši MK noteikumu Nr.</w:t>
            </w:r>
            <w:proofErr w:type="gramStart"/>
            <w:r w:rsidR="0068544F" w:rsidRPr="00557FCA">
              <w:rPr>
                <w:rFonts w:ascii="Times New Roman" w:hAnsi="Times New Roman"/>
                <w:sz w:val="24"/>
                <w:szCs w:val="24"/>
              </w:rPr>
              <w:t>75</w:t>
            </w:r>
            <w:r w:rsidR="0068544F" w:rsidRPr="00557FCA">
              <w:t xml:space="preserve"> </w:t>
            </w:r>
            <w:r w:rsidR="0068544F" w:rsidRPr="00557FCA">
              <w:rPr>
                <w:rFonts w:ascii="Times New Roman" w:hAnsi="Times New Roman"/>
                <w:sz w:val="24"/>
                <w:szCs w:val="24"/>
              </w:rPr>
              <w:t>163.</w:t>
            </w:r>
            <w:r w:rsidR="0068544F" w:rsidRPr="00557FCA">
              <w:rPr>
                <w:rFonts w:ascii="Times New Roman" w:hAnsi="Times New Roman"/>
                <w:sz w:val="24"/>
                <w:szCs w:val="24"/>
                <w:vertAlign w:val="superscript"/>
              </w:rPr>
              <w:t>5 </w:t>
            </w:r>
            <w:r w:rsidR="0068544F" w:rsidRPr="00557FCA">
              <w:rPr>
                <w:rFonts w:ascii="Times New Roman" w:hAnsi="Times New Roman"/>
                <w:sz w:val="24"/>
                <w:szCs w:val="24"/>
              </w:rPr>
              <w:t>5.apakšpunktam</w:t>
            </w:r>
            <w:proofErr w:type="gramEnd"/>
            <w:r w:rsidR="0068544F" w:rsidRPr="00557FCA">
              <w:rPr>
                <w:rFonts w:ascii="Times New Roman" w:hAnsi="Times New Roman"/>
                <w:sz w:val="24"/>
                <w:szCs w:val="24"/>
              </w:rPr>
              <w:t xml:space="preserve">, viens sociālais mentors vienlaikus pakalpojumu nodrošina ne vairāk kā sešiem bezdarbniekiem. Uzsākot motivācijas programmu īstenošanu, pakalpojuma sniedzēji saskārās ar problēmu nodrošināt mentoru visiem pasākumā iesaistītajiem bezdarbniekiem. Pasākuma īstenošanas gaitā tika konstatēts, ka viens mentors var sniegt atbalstu vairāk nekā 6 bezdarbniekiem vienlaicīgi. Ņemot vērā iepriekš minēto, Noteikumu projekts paredz, ka viens mentors pakalpojumu var nodrošināt ne vairāk kā 12 bezdarbniekiem, salāgojot to ar nosacījumu par </w:t>
            </w:r>
            <w:r w:rsidR="009525F3" w:rsidRPr="00557FCA">
              <w:rPr>
                <w:rFonts w:ascii="Times New Roman" w:hAnsi="Times New Roman"/>
                <w:sz w:val="24"/>
                <w:szCs w:val="24"/>
              </w:rPr>
              <w:t xml:space="preserve">pakalpojuma saņēmēju skaitu motivācijas programmās bezdarbniekiem ar invaliditāti </w:t>
            </w:r>
            <w:proofErr w:type="gramStart"/>
            <w:r w:rsidR="009525F3" w:rsidRPr="00557FCA">
              <w:rPr>
                <w:rFonts w:ascii="Times New Roman" w:hAnsi="Times New Roman"/>
                <w:sz w:val="24"/>
                <w:szCs w:val="24"/>
              </w:rPr>
              <w:t>(</w:t>
            </w:r>
            <w:proofErr w:type="gramEnd"/>
            <w:r w:rsidR="009525F3" w:rsidRPr="00557FCA">
              <w:rPr>
                <w:rFonts w:ascii="Times New Roman" w:hAnsi="Times New Roman"/>
                <w:sz w:val="24"/>
                <w:szCs w:val="24"/>
              </w:rPr>
              <w:t xml:space="preserve">MK noteikumu </w:t>
            </w:r>
            <w:r w:rsidR="000136E5" w:rsidRPr="00557FCA">
              <w:rPr>
                <w:rFonts w:ascii="Times New Roman" w:hAnsi="Times New Roman"/>
                <w:sz w:val="24"/>
                <w:szCs w:val="24"/>
              </w:rPr>
              <w:t>163.</w:t>
            </w:r>
            <w:r w:rsidR="000136E5" w:rsidRPr="00557FCA">
              <w:rPr>
                <w:rFonts w:ascii="Times New Roman" w:hAnsi="Times New Roman"/>
                <w:sz w:val="24"/>
                <w:szCs w:val="24"/>
                <w:vertAlign w:val="superscript"/>
              </w:rPr>
              <w:t>13 </w:t>
            </w:r>
            <w:r w:rsidR="000136E5" w:rsidRPr="00557FCA">
              <w:rPr>
                <w:rFonts w:ascii="Times New Roman" w:hAnsi="Times New Roman"/>
                <w:sz w:val="24"/>
                <w:szCs w:val="24"/>
              </w:rPr>
              <w:t>4.apakšpunkts)</w:t>
            </w:r>
            <w:r w:rsidR="000E68C6" w:rsidRPr="00557FCA">
              <w:rPr>
                <w:rFonts w:ascii="Times New Roman" w:hAnsi="Times New Roman"/>
                <w:sz w:val="24"/>
                <w:szCs w:val="24"/>
              </w:rPr>
              <w:t>. Pasākums tiek īstenots SAM 9.1.1.2. ietvaros (ES</w:t>
            </w:r>
            <w:r w:rsidR="00DC698A" w:rsidRPr="00557FCA">
              <w:rPr>
                <w:rFonts w:ascii="Times New Roman" w:hAnsi="Times New Roman"/>
                <w:sz w:val="24"/>
                <w:szCs w:val="24"/>
              </w:rPr>
              <w:t>F</w:t>
            </w:r>
            <w:r w:rsidR="000E68C6" w:rsidRPr="00557FCA">
              <w:rPr>
                <w:rFonts w:ascii="Times New Roman" w:hAnsi="Times New Roman"/>
                <w:sz w:val="24"/>
                <w:szCs w:val="24"/>
              </w:rPr>
              <w:t xml:space="preserve"> finansējums) (Noteikumu projekta </w:t>
            </w:r>
            <w:r w:rsidR="000E4121" w:rsidRPr="00557FCA">
              <w:rPr>
                <w:rFonts w:ascii="Times New Roman" w:hAnsi="Times New Roman"/>
                <w:sz w:val="24"/>
                <w:szCs w:val="24"/>
              </w:rPr>
              <w:t>3</w:t>
            </w:r>
            <w:r w:rsidR="00A062EC" w:rsidRPr="00557FCA">
              <w:rPr>
                <w:rFonts w:ascii="Times New Roman" w:hAnsi="Times New Roman"/>
                <w:sz w:val="24"/>
                <w:szCs w:val="24"/>
              </w:rPr>
              <w:t>7</w:t>
            </w:r>
            <w:r w:rsidR="000136E5" w:rsidRPr="00557FCA">
              <w:rPr>
                <w:rFonts w:ascii="Times New Roman" w:hAnsi="Times New Roman"/>
                <w:sz w:val="24"/>
                <w:szCs w:val="24"/>
              </w:rPr>
              <w:t>.</w:t>
            </w:r>
            <w:r w:rsidR="000E4121" w:rsidRPr="00557FCA">
              <w:rPr>
                <w:rFonts w:ascii="Times New Roman" w:hAnsi="Times New Roman"/>
                <w:sz w:val="24"/>
                <w:szCs w:val="24"/>
              </w:rPr>
              <w:t xml:space="preserve">punkts). </w:t>
            </w:r>
            <w:r w:rsidR="000136E5" w:rsidRPr="00557FCA">
              <w:rPr>
                <w:rFonts w:ascii="Times New Roman" w:hAnsi="Times New Roman"/>
                <w:sz w:val="24"/>
                <w:szCs w:val="24"/>
              </w:rPr>
              <w:t xml:space="preserve"> </w:t>
            </w:r>
          </w:p>
          <w:p w14:paraId="5007D4F5" w14:textId="77777777" w:rsidR="00E20590" w:rsidRPr="00557FCA" w:rsidRDefault="00E20590" w:rsidP="0015663E"/>
          <w:p w14:paraId="578192BE" w14:textId="3B5410E4" w:rsidR="00265E47" w:rsidRPr="00557FCA" w:rsidRDefault="008434DD" w:rsidP="000B63CF">
            <w:pPr>
              <w:pStyle w:val="ListParagraph"/>
              <w:spacing w:after="0" w:line="240" w:lineRule="auto"/>
              <w:ind w:left="0"/>
              <w:jc w:val="both"/>
              <w:rPr>
                <w:rFonts w:ascii="Times New Roman" w:hAnsi="Times New Roman"/>
                <w:b/>
                <w:sz w:val="24"/>
                <w:szCs w:val="24"/>
              </w:rPr>
            </w:pPr>
            <w:r w:rsidRPr="00557FCA">
              <w:rPr>
                <w:rFonts w:ascii="Times New Roman" w:hAnsi="Times New Roman"/>
                <w:sz w:val="24"/>
                <w:szCs w:val="24"/>
              </w:rPr>
              <w:t>2</w:t>
            </w:r>
            <w:r w:rsidR="005E0722" w:rsidRPr="00557FCA">
              <w:rPr>
                <w:rFonts w:ascii="Times New Roman" w:hAnsi="Times New Roman"/>
                <w:sz w:val="24"/>
                <w:szCs w:val="24"/>
              </w:rPr>
              <w:t>1</w:t>
            </w:r>
            <w:r w:rsidR="000B63CF" w:rsidRPr="00557FCA">
              <w:rPr>
                <w:rFonts w:ascii="Times New Roman" w:hAnsi="Times New Roman"/>
                <w:sz w:val="24"/>
                <w:szCs w:val="24"/>
              </w:rPr>
              <w:t xml:space="preserve">. </w:t>
            </w:r>
            <w:r w:rsidR="00097CED" w:rsidRPr="00557FCA">
              <w:rPr>
                <w:rFonts w:ascii="Times New Roman" w:hAnsi="Times New Roman"/>
                <w:sz w:val="24"/>
                <w:szCs w:val="24"/>
              </w:rPr>
              <w:t xml:space="preserve">Patlaban </w:t>
            </w:r>
            <w:r w:rsidR="00CF07F2" w:rsidRPr="00557FCA">
              <w:rPr>
                <w:rFonts w:ascii="Times New Roman" w:hAnsi="Times New Roman"/>
                <w:sz w:val="24"/>
                <w:szCs w:val="24"/>
              </w:rPr>
              <w:t xml:space="preserve">pasākuma „Komersantu nodarbināto personu reģionālās mobilitātes veicināšana” ietvaros paredzētais </w:t>
            </w:r>
            <w:r w:rsidR="00CF07F2" w:rsidRPr="00557FCA">
              <w:rPr>
                <w:rFonts w:ascii="Times New Roman" w:hAnsi="Times New Roman"/>
                <w:sz w:val="24"/>
                <w:szCs w:val="24"/>
              </w:rPr>
              <w:lastRenderedPageBreak/>
              <w:t>finansiālais atbalsts tiek sniegts visās Latvijas Republikas administratīvajās teritorijās, izņemot Rīgu. Izņēmums attiecībā uz Rīgu netiek piemērots, ja darba devējs piedāvā vienlaikus uzsākt darba tiesiskās attiecības ar vismaz 10 NVA reģistrētiem bezdarbniekiem. Lai nodrošinātu mērķētāku un operatīvāku palīdzību tiem, kuriem neizdodas atrast darbu ārpus Rīgas, nepieciešams paredzēt elastīgākus pasākuma iesaistes nosacījumus, lai nodrošinātu iespēju pieņemt darbu citos reģionos, t.sk. Rīgā, un pretendēt uz iesaisti pasākumā. Šī mērķa sasniegšanai nepieciešams paredzēt izņēmuma gadījumu, kad persona var pretendēt uz finanšu atbalstu arī tad, ja darba vieta atrodas Rīgā, taču personas deklarētā dzīvesvieta nav Rīgā. Noteikumu projekts paredz, ka atbalstu reģionālajai mobilitātei var saņemt</w:t>
            </w:r>
            <w:r w:rsidR="00097CED" w:rsidRPr="00557FCA">
              <w:rPr>
                <w:rFonts w:ascii="Times New Roman" w:hAnsi="Times New Roman"/>
                <w:sz w:val="24"/>
                <w:szCs w:val="24"/>
              </w:rPr>
              <w:t>,</w:t>
            </w:r>
            <w:r w:rsidR="00CF07F2" w:rsidRPr="00557FCA">
              <w:rPr>
                <w:rFonts w:ascii="Times New Roman" w:hAnsi="Times New Roman"/>
                <w:sz w:val="24"/>
                <w:szCs w:val="24"/>
              </w:rPr>
              <w:t xml:space="preserve"> arī uzsākot darba attiecības Rīgā, vienlaikus novēršot to, ka atbalsts reģionālajai mobilitātei tiek nodrošināts transporta vai īres izmaksu segšanai vienas pilsētas (Rīgas) robežās</w:t>
            </w:r>
            <w:r w:rsidR="009104F3" w:rsidRPr="00557FCA">
              <w:rPr>
                <w:rFonts w:ascii="Times New Roman" w:hAnsi="Times New Roman"/>
                <w:sz w:val="24"/>
                <w:szCs w:val="24"/>
              </w:rPr>
              <w:t>.</w:t>
            </w:r>
            <w:r w:rsidR="003130C7" w:rsidRPr="00557FCA">
              <w:rPr>
                <w:rFonts w:ascii="Times New Roman" w:hAnsi="Times New Roman"/>
                <w:sz w:val="24"/>
                <w:szCs w:val="24"/>
              </w:rPr>
              <w:t xml:space="preserve"> Papildus Noteikumu projekts paredz, ka, lai pretendētu uz atbalstu reģionālajai mobilitātei, darba vai apmācību vietai jāatrodas vismaz 15 km attālumā no personas deklarētās dzīvesvietas (iepriekšējo 20 km vietā). </w:t>
            </w:r>
          </w:p>
          <w:p w14:paraId="20E777C4" w14:textId="77777777" w:rsidR="00D668F3" w:rsidRPr="00557FCA" w:rsidRDefault="00D668F3" w:rsidP="00D668F3">
            <w:pPr>
              <w:jc w:val="both"/>
            </w:pPr>
            <w:r w:rsidRPr="00557FCA">
              <w:t xml:space="preserve">Pasākums „Komersantu nodarbināto personu reģionālās mobilitātes veicināšana” tika uzsākts </w:t>
            </w:r>
            <w:proofErr w:type="gramStart"/>
            <w:r w:rsidRPr="00557FCA">
              <w:t>2013.gada</w:t>
            </w:r>
            <w:proofErr w:type="gramEnd"/>
            <w:r w:rsidRPr="00557FCA">
              <w:t xml:space="preserve"> martā ar mērķi sniegt atbalstu bezdarbniekiem no reģioniem, kuros darbu atrast neizdodas, un virzīt tos uz brīvajām darba vietām tuvākajos reģionos un pilsētās. </w:t>
            </w:r>
          </w:p>
          <w:p w14:paraId="6AEA4D87" w14:textId="77777777" w:rsidR="00D668F3" w:rsidRPr="00557FCA" w:rsidRDefault="00D668F3" w:rsidP="00D668F3">
            <w:pPr>
              <w:jc w:val="both"/>
            </w:pPr>
            <w:proofErr w:type="gramStart"/>
            <w:r w:rsidRPr="00557FCA">
              <w:t>2013.gadā</w:t>
            </w:r>
            <w:proofErr w:type="gramEnd"/>
            <w:r w:rsidRPr="00557FCA">
              <w:t xml:space="preserve"> pasākumā tikai iesaistīti 182 bezdarbnieki par kopējo finansējumu 35 493 LVL no plānotajiem 350 bezdarbniekiem par kopējo finansējumu 98 000 LVL. Ņemot vērā zemos iesaistes rādītājus, 2013.gada augustā tika veiktas izmaiņas pasākuma īstenošanas nosacījumos, paredzot, ka atbalstu reģionālajai mobilitātei var saņemt bezdarbnieki, kuri 2 mēnešus bijuši bez darba (iepriekšējo 6 mēnešu vietā).</w:t>
            </w:r>
          </w:p>
          <w:p w14:paraId="39AD1E24" w14:textId="3B844997" w:rsidR="00D668F3" w:rsidRPr="00557FCA" w:rsidRDefault="00D668F3" w:rsidP="00D668F3">
            <w:pPr>
              <w:jc w:val="both"/>
            </w:pPr>
            <w:proofErr w:type="gramStart"/>
            <w:r w:rsidRPr="00557FCA">
              <w:t>2014.gadā</w:t>
            </w:r>
            <w:proofErr w:type="gramEnd"/>
            <w:r w:rsidRPr="00557FCA">
              <w:t xml:space="preserve"> pasākumā tika iesaistīti 205 bezdarbnieki par kopējo finansējumu 72 187 </w:t>
            </w:r>
            <w:proofErr w:type="spellStart"/>
            <w:r w:rsidRPr="00557FCA">
              <w:rPr>
                <w:i/>
              </w:rPr>
              <w:t>euro</w:t>
            </w:r>
            <w:proofErr w:type="spellEnd"/>
            <w:r w:rsidRPr="00557FCA">
              <w:t xml:space="preserve"> no plānotajiem 300 bezdarbniekiem par kopējo finansējumu 119 519 </w:t>
            </w:r>
            <w:proofErr w:type="spellStart"/>
            <w:r w:rsidRPr="00557FCA">
              <w:rPr>
                <w:i/>
              </w:rPr>
              <w:t>euro</w:t>
            </w:r>
            <w:proofErr w:type="spellEnd"/>
            <w:r w:rsidR="009B103F" w:rsidRPr="00557FCA">
              <w:t>,</w:t>
            </w:r>
            <w:r w:rsidRPr="00557FCA">
              <w:t xml:space="preserve"> savukārt 2016.gadā pasākumā iesaistījās vien 161 bezdarbnieks un 2017.gada 9 mēnešos – 209 bezdarbnieki, kas ir krietni mazāk par plānoto.</w:t>
            </w:r>
          </w:p>
          <w:p w14:paraId="416A2CB6" w14:textId="5F87F75F" w:rsidR="00D668F3" w:rsidRPr="00557FCA" w:rsidRDefault="00D668F3" w:rsidP="00D668F3">
            <w:pPr>
              <w:jc w:val="both"/>
            </w:pPr>
            <w:r w:rsidRPr="00557FCA">
              <w:t>Secināms, ka kopš pasākuma īstenošanas netiek sasniegti plānotie pasākuma iesaistes rādītāji</w:t>
            </w:r>
            <w:r w:rsidR="0064697B" w:rsidRPr="00557FCA">
              <w:t>,</w:t>
            </w:r>
            <w:r w:rsidRPr="00557FCA">
              <w:t xml:space="preserve"> un apgūts pasākumam paredzētais finansējums, tādēļ pasākumu nepieciešams paplašināt, atvieglojot pasākuma iesaistes nosacījumus, kuri sākotnēji paredzēti visai strikti, lai pieprasījums pēc pasākuma nepārsniegtu plānoto.</w:t>
            </w:r>
          </w:p>
          <w:p w14:paraId="21420F98" w14:textId="4E3ABDEC" w:rsidR="00C84B16" w:rsidRPr="00557FCA" w:rsidRDefault="00D668F3" w:rsidP="00D668F3">
            <w:pPr>
              <w:jc w:val="both"/>
            </w:pPr>
            <w:r w:rsidRPr="00557FCA">
              <w:t xml:space="preserve">Atbilstoši NVA rīcība esošajiem datiem par reģistrēto brīvo darba vietu skaitu, vidēji 68% no piedāvātajām vakancēm (brīvajām darba vietām) atrodas Rīgā un Rīgas reģionā, savukārt vasaras mēnešos šis īpatsvars ir 50%, ņemot vērā vakanču pieaugumu sezonāla rakstura darbos. Ņemot vērā sakarību starp vakanču īpatsvaru un zemo bezdarba līmeni Rīgas reģionā </w:t>
            </w:r>
            <w:proofErr w:type="gramStart"/>
            <w:r w:rsidRPr="00557FCA">
              <w:t>(</w:t>
            </w:r>
            <w:proofErr w:type="gramEnd"/>
            <w:r w:rsidRPr="00557FCA">
              <w:t xml:space="preserve">2017.gada oktobra beigās – 4,2%), brīvo darba vietu </w:t>
            </w:r>
            <w:r w:rsidRPr="00557FCA">
              <w:lastRenderedPageBreak/>
              <w:t>aizpildīšanai darba devējiem rodas nepieciešamība piesaistīt darbaspēku no citiem Latvijas reģioniem. Darba vietu trūkuma dēļ reģionā, kurā ekonomiskā aktivitāte ir zemāka, jo trūkst brīvo darba vietu, cilvēki ir spiesti ilgstoši atrasties bezdarba situācijā (sevišķi Latgales reģionā, kur ilgstošo bezdarbnieku īpatsvars kopējā bezdarbnieku skaitā pārsniedz 50%). Tādējādi bezdarbnieki ir spiesti iztikas līdzekļu nodrošināšanai ilgstoši izmant</w:t>
            </w:r>
            <w:r w:rsidR="003F54E6" w:rsidRPr="00557FCA">
              <w:t>o</w:t>
            </w:r>
            <w:r w:rsidR="00C159D4" w:rsidRPr="00557FCA">
              <w:t>t</w:t>
            </w:r>
            <w:r w:rsidR="003F54E6" w:rsidRPr="00557FCA">
              <w:t xml:space="preserve"> </w:t>
            </w:r>
            <w:r w:rsidRPr="00557FCA">
              <w:t>sociālo palīdzību vai, ja tuvākā darba vieta atrodas pārāk tālu un nokļūšana finanšu un laika resursu ziņā nav izdevīga, pārcelties uz reģioniem, kurās ir darba iespējas. Nereti darba atrašanas nolūkā bezdarbnieks pieņem lēmumu emigrēt no Latvijas. Paredzot iespēju saņemt finanšu atbalstu reģionālajai mobilitātei, uzsākot darbu Rīgā, tiek veicināta pasākuma mērķa sasniegšana - sniegt atbalstu bezdarbniekiem no reģioniem, kuros darbu atrast neizdodas, un virzīt tos uz brīvajām darba vietām tuvākajos reģionos un pilsētās, kurās ir liels brīvo vakanču skaits, t.sk. Rīgā.</w:t>
            </w:r>
          </w:p>
          <w:p w14:paraId="10E904BC" w14:textId="1B0AD1EB" w:rsidR="00FA1DFA" w:rsidRPr="00557FCA" w:rsidRDefault="0071323C" w:rsidP="00D668F3">
            <w:pPr>
              <w:jc w:val="both"/>
            </w:pPr>
            <w:r w:rsidRPr="00557FCA">
              <w:t xml:space="preserve">Ekonomiskās sadarbības un attīstības organizācijas (OECD) </w:t>
            </w:r>
            <w:proofErr w:type="gramStart"/>
            <w:r w:rsidRPr="00557FCA">
              <w:t>2017.gada</w:t>
            </w:r>
            <w:proofErr w:type="gramEnd"/>
            <w:r w:rsidRPr="00557FCA">
              <w:t xml:space="preserve"> septembrī prezentētajā Ekonomikas pārskatā par Latviju sniegtas vairākas būtiskas rekomendācijas iedzīvotāju iekšējās mobilitātes veicināšanai, t.sk. paplašinot reģionālās mobilitātes atbalsta programmu, kas sniedz īslaicīgu atbalstu pārcelšanās un transporta izmaksu segšanai.</w:t>
            </w:r>
            <w:r w:rsidR="008B0E4C" w:rsidRPr="00557FCA">
              <w:t xml:space="preserve"> </w:t>
            </w:r>
          </w:p>
          <w:p w14:paraId="0923DD65" w14:textId="4FD9469B" w:rsidR="00206933" w:rsidRPr="00557FCA" w:rsidRDefault="00D900E6" w:rsidP="00D668F3">
            <w:pPr>
              <w:jc w:val="both"/>
            </w:pPr>
            <w:r w:rsidRPr="00557FCA">
              <w:t>Vērtējot līdzšinējo bezdarbnieku aktivitāti pasākumā „Pasākumi noteiktām personu grupām” (subsidētā nodarbinātība), secināms, ka atbalst</w:t>
            </w:r>
            <w:r w:rsidR="00CD2EFD" w:rsidRPr="00557FCA">
              <w:t>s</w:t>
            </w:r>
            <w:r w:rsidRPr="00557FCA">
              <w:t xml:space="preserve"> reģionālajai mobilitātei nokļūšanai darba vietā </w:t>
            </w:r>
            <w:r w:rsidR="004F1D85" w:rsidRPr="00557FCA">
              <w:t xml:space="preserve">laika periodā no </w:t>
            </w:r>
            <w:proofErr w:type="gramStart"/>
            <w:r w:rsidR="004F1D85" w:rsidRPr="00557FCA">
              <w:t>2014.gada</w:t>
            </w:r>
            <w:proofErr w:type="gramEnd"/>
            <w:r w:rsidR="004F1D85" w:rsidRPr="00557FCA">
              <w:t xml:space="preserve"> līdz 2017.gada 31.oktobrim</w:t>
            </w:r>
            <w:r w:rsidR="00CD2EFD" w:rsidRPr="00557FCA">
              <w:t xml:space="preserve"> visaktīvāk izmantots Rēzeknes pilsētā un novadā, Daugavpilī, Madonā un Jēkabpilī (nokļūšanai darba vietās Latgales reģionā). </w:t>
            </w:r>
            <w:r w:rsidR="00B951A1" w:rsidRPr="00557FCA">
              <w:t xml:space="preserve">Mazāk mobilitātes atbalsts tiek pieprasīts </w:t>
            </w:r>
            <w:r w:rsidR="009D3FF7" w:rsidRPr="00557FCA">
              <w:t>Kurzemes un Zemgales reģionā, savukārt Vidzemē un Pierīgā ļoti neliels skaits bezdarbnieku saņēmuši atbalstu reģionālajai mobilitātei nokļūšanai darba vietā pasākuma „Pasākumi noteiktām personu grupām” ietvaros. Tas ļauj secināt, ka atbalsts reģionālajai mobilitātei aktīvāk tiek un  tiks izmantots nokļūšanai darba vietās Latgales reģionā, kur reģionālajai mobilitātei ir liela nozīme bezdarba situācijas risināšanā, ņemot vērā nelielo brīvo darba vietu skaitu. Secināms, ka būtiski nesamazināsies pieprasījums pēc atbalsta reģionālajai mobilitātei citos reģionos arī nosakot, ka atbalsts reģionālajai mobilitātei būs pieejams uzsākot darbu Rīgā.</w:t>
            </w:r>
          </w:p>
          <w:p w14:paraId="7B239C99" w14:textId="2ED0EE56" w:rsidR="004F1D85" w:rsidRPr="00557FCA" w:rsidRDefault="009D3FF7" w:rsidP="00D668F3">
            <w:pPr>
              <w:jc w:val="both"/>
            </w:pPr>
            <w:r w:rsidRPr="00557FCA">
              <w:t xml:space="preserve">Tabulā ietverta informācija par reģionālās mobilitātes atbalsta saņēmēju skaitu dažādos reģionos pēc darba vietu adresēm (no </w:t>
            </w:r>
            <w:proofErr w:type="gramStart"/>
            <w:r w:rsidRPr="00557FCA">
              <w:t>2014.gada</w:t>
            </w:r>
            <w:proofErr w:type="gramEnd"/>
            <w:r w:rsidRPr="00557FCA">
              <w:t xml:space="preserve"> līdz 2017.gada 31.oktobrim): </w:t>
            </w:r>
          </w:p>
          <w:p w14:paraId="20541856" w14:textId="77777777" w:rsidR="00850FF9" w:rsidRPr="00557FCA" w:rsidRDefault="00850FF9" w:rsidP="00D668F3">
            <w:pPr>
              <w:jc w:val="both"/>
            </w:pPr>
          </w:p>
          <w:tbl>
            <w:tblPr>
              <w:tblW w:w="6223" w:type="dxa"/>
              <w:tblLayout w:type="fixed"/>
              <w:tblLook w:val="04A0" w:firstRow="1" w:lastRow="0" w:firstColumn="1" w:lastColumn="0" w:noHBand="0" w:noVBand="1"/>
            </w:tblPr>
            <w:tblGrid>
              <w:gridCol w:w="4967"/>
              <w:gridCol w:w="1256"/>
            </w:tblGrid>
            <w:tr w:rsidR="00557FCA" w:rsidRPr="00557FCA" w14:paraId="1BE04697" w14:textId="77777777" w:rsidTr="00B348F7">
              <w:trPr>
                <w:trHeight w:val="254"/>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6DCF" w14:textId="77777777" w:rsidR="004F1D85" w:rsidRPr="00557FCA" w:rsidRDefault="004F1D85" w:rsidP="00C517AF">
                  <w:pPr>
                    <w:framePr w:hSpace="180" w:wrap="around" w:vAnchor="text" w:hAnchor="text" w:y="1"/>
                    <w:suppressOverlap/>
                    <w:rPr>
                      <w:sz w:val="22"/>
                      <w:szCs w:val="22"/>
                    </w:rPr>
                  </w:pPr>
                  <w:r w:rsidRPr="00557FCA">
                    <w:rPr>
                      <w:sz w:val="22"/>
                      <w:szCs w:val="22"/>
                    </w:rPr>
                    <w:t>Darba vietas adrese</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B62799D" w14:textId="77777777" w:rsidR="004F1D85" w:rsidRPr="00557FCA" w:rsidRDefault="004F1D85" w:rsidP="00C517AF">
                  <w:pPr>
                    <w:framePr w:hSpace="180" w:wrap="around" w:vAnchor="text" w:hAnchor="text" w:y="1"/>
                    <w:suppressOverlap/>
                    <w:rPr>
                      <w:sz w:val="22"/>
                      <w:szCs w:val="22"/>
                    </w:rPr>
                  </w:pPr>
                  <w:r w:rsidRPr="00557FCA">
                    <w:rPr>
                      <w:sz w:val="22"/>
                      <w:szCs w:val="22"/>
                    </w:rPr>
                    <w:t>Bezdarbnieku skaits</w:t>
                  </w:r>
                </w:p>
              </w:tc>
            </w:tr>
            <w:tr w:rsidR="00557FCA" w:rsidRPr="00557FCA" w14:paraId="4B75FF9C"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600DE6F" w14:textId="77777777" w:rsidR="004F1D85" w:rsidRPr="00557FCA" w:rsidRDefault="004F1D85" w:rsidP="00C517AF">
                  <w:pPr>
                    <w:framePr w:hSpace="180" w:wrap="around" w:vAnchor="text" w:hAnchor="text" w:y="1"/>
                    <w:suppressOverlap/>
                    <w:rPr>
                      <w:sz w:val="22"/>
                      <w:szCs w:val="22"/>
                    </w:rPr>
                  </w:pPr>
                  <w:r w:rsidRPr="00557FCA">
                    <w:rPr>
                      <w:sz w:val="22"/>
                      <w:szCs w:val="22"/>
                    </w:rPr>
                    <w:t>Rēzekne</w:t>
                  </w:r>
                </w:p>
              </w:tc>
              <w:tc>
                <w:tcPr>
                  <w:tcW w:w="1256" w:type="dxa"/>
                  <w:tcBorders>
                    <w:top w:val="nil"/>
                    <w:left w:val="nil"/>
                    <w:bottom w:val="single" w:sz="4" w:space="0" w:color="auto"/>
                    <w:right w:val="single" w:sz="4" w:space="0" w:color="auto"/>
                  </w:tcBorders>
                  <w:shd w:val="clear" w:color="auto" w:fill="auto"/>
                  <w:noWrap/>
                  <w:vAlign w:val="bottom"/>
                  <w:hideMark/>
                </w:tcPr>
                <w:p w14:paraId="6A61F80D"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29</w:t>
                  </w:r>
                </w:p>
              </w:tc>
            </w:tr>
            <w:tr w:rsidR="00557FCA" w:rsidRPr="00557FCA" w14:paraId="33584B9D"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8DBEB4D" w14:textId="77777777" w:rsidR="004F1D85" w:rsidRPr="00557FCA" w:rsidRDefault="004F1D85" w:rsidP="00C517AF">
                  <w:pPr>
                    <w:framePr w:hSpace="180" w:wrap="around" w:vAnchor="text" w:hAnchor="text" w:y="1"/>
                    <w:suppressOverlap/>
                    <w:rPr>
                      <w:sz w:val="22"/>
                      <w:szCs w:val="22"/>
                    </w:rPr>
                  </w:pPr>
                  <w:r w:rsidRPr="00557FCA">
                    <w:rPr>
                      <w:sz w:val="22"/>
                      <w:szCs w:val="22"/>
                    </w:rPr>
                    <w:t>Daugavpils</w:t>
                  </w:r>
                </w:p>
              </w:tc>
              <w:tc>
                <w:tcPr>
                  <w:tcW w:w="1256" w:type="dxa"/>
                  <w:tcBorders>
                    <w:top w:val="nil"/>
                    <w:left w:val="nil"/>
                    <w:bottom w:val="single" w:sz="4" w:space="0" w:color="auto"/>
                    <w:right w:val="single" w:sz="4" w:space="0" w:color="auto"/>
                  </w:tcBorders>
                  <w:shd w:val="clear" w:color="auto" w:fill="auto"/>
                  <w:noWrap/>
                  <w:vAlign w:val="bottom"/>
                  <w:hideMark/>
                </w:tcPr>
                <w:p w14:paraId="77DEA476"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15</w:t>
                  </w:r>
                </w:p>
              </w:tc>
            </w:tr>
            <w:tr w:rsidR="00557FCA" w:rsidRPr="00557FCA" w14:paraId="5164BBF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D598C8B" w14:textId="77777777" w:rsidR="004F1D85" w:rsidRPr="00557FCA" w:rsidRDefault="004F1D85" w:rsidP="00C517AF">
                  <w:pPr>
                    <w:framePr w:hSpace="180" w:wrap="around" w:vAnchor="text" w:hAnchor="text" w:y="1"/>
                    <w:suppressOverlap/>
                    <w:rPr>
                      <w:sz w:val="22"/>
                      <w:szCs w:val="22"/>
                    </w:rPr>
                  </w:pPr>
                  <w:r w:rsidRPr="00557FCA">
                    <w:rPr>
                      <w:sz w:val="22"/>
                      <w:szCs w:val="22"/>
                    </w:rPr>
                    <w:t>Rēzeknes nov., Sakstagala pag.</w:t>
                  </w:r>
                </w:p>
              </w:tc>
              <w:tc>
                <w:tcPr>
                  <w:tcW w:w="1256" w:type="dxa"/>
                  <w:tcBorders>
                    <w:top w:val="nil"/>
                    <w:left w:val="nil"/>
                    <w:bottom w:val="single" w:sz="4" w:space="0" w:color="auto"/>
                    <w:right w:val="single" w:sz="4" w:space="0" w:color="auto"/>
                  </w:tcBorders>
                  <w:shd w:val="clear" w:color="auto" w:fill="auto"/>
                  <w:noWrap/>
                  <w:vAlign w:val="bottom"/>
                  <w:hideMark/>
                </w:tcPr>
                <w:p w14:paraId="4F71876A"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12</w:t>
                  </w:r>
                </w:p>
              </w:tc>
            </w:tr>
            <w:tr w:rsidR="00557FCA" w:rsidRPr="00557FCA" w14:paraId="2DEE098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08B86AA" w14:textId="77777777" w:rsidR="004F1D85" w:rsidRPr="00557FCA" w:rsidRDefault="004F1D85" w:rsidP="00C517AF">
                  <w:pPr>
                    <w:framePr w:hSpace="180" w:wrap="around" w:vAnchor="text" w:hAnchor="text" w:y="1"/>
                    <w:suppressOverlap/>
                    <w:rPr>
                      <w:sz w:val="22"/>
                      <w:szCs w:val="22"/>
                    </w:rPr>
                  </w:pPr>
                  <w:r w:rsidRPr="00557FCA">
                    <w:rPr>
                      <w:sz w:val="22"/>
                      <w:szCs w:val="22"/>
                    </w:rPr>
                    <w:t>Madonas nov., Madona</w:t>
                  </w:r>
                </w:p>
              </w:tc>
              <w:tc>
                <w:tcPr>
                  <w:tcW w:w="1256" w:type="dxa"/>
                  <w:tcBorders>
                    <w:top w:val="nil"/>
                    <w:left w:val="nil"/>
                    <w:bottom w:val="single" w:sz="4" w:space="0" w:color="auto"/>
                    <w:right w:val="single" w:sz="4" w:space="0" w:color="auto"/>
                  </w:tcBorders>
                  <w:shd w:val="clear" w:color="auto" w:fill="auto"/>
                  <w:noWrap/>
                  <w:vAlign w:val="bottom"/>
                  <w:hideMark/>
                </w:tcPr>
                <w:p w14:paraId="23B9E760"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9</w:t>
                  </w:r>
                </w:p>
              </w:tc>
            </w:tr>
            <w:tr w:rsidR="00557FCA" w:rsidRPr="00557FCA" w14:paraId="698DB87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FEFFD46" w14:textId="77777777" w:rsidR="004F1D85" w:rsidRPr="00557FCA" w:rsidRDefault="004F1D85" w:rsidP="00C517AF">
                  <w:pPr>
                    <w:framePr w:hSpace="180" w:wrap="around" w:vAnchor="text" w:hAnchor="text" w:y="1"/>
                    <w:suppressOverlap/>
                    <w:rPr>
                      <w:sz w:val="22"/>
                      <w:szCs w:val="22"/>
                    </w:rPr>
                  </w:pPr>
                  <w:r w:rsidRPr="00557FCA">
                    <w:rPr>
                      <w:sz w:val="22"/>
                      <w:szCs w:val="22"/>
                    </w:rPr>
                    <w:t>Jēkabpils</w:t>
                  </w:r>
                </w:p>
              </w:tc>
              <w:tc>
                <w:tcPr>
                  <w:tcW w:w="1256" w:type="dxa"/>
                  <w:tcBorders>
                    <w:top w:val="nil"/>
                    <w:left w:val="nil"/>
                    <w:bottom w:val="single" w:sz="4" w:space="0" w:color="auto"/>
                    <w:right w:val="single" w:sz="4" w:space="0" w:color="auto"/>
                  </w:tcBorders>
                  <w:shd w:val="clear" w:color="auto" w:fill="auto"/>
                  <w:noWrap/>
                  <w:vAlign w:val="bottom"/>
                  <w:hideMark/>
                </w:tcPr>
                <w:p w14:paraId="54D4249F"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8</w:t>
                  </w:r>
                </w:p>
              </w:tc>
            </w:tr>
            <w:tr w:rsidR="00557FCA" w:rsidRPr="00557FCA" w14:paraId="5CC21AF2"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CEA5264" w14:textId="77777777" w:rsidR="004F1D85" w:rsidRPr="00557FCA" w:rsidRDefault="004F1D85" w:rsidP="00C517AF">
                  <w:pPr>
                    <w:framePr w:hSpace="180" w:wrap="around" w:vAnchor="text" w:hAnchor="text" w:y="1"/>
                    <w:suppressOverlap/>
                    <w:rPr>
                      <w:sz w:val="22"/>
                      <w:szCs w:val="22"/>
                    </w:rPr>
                  </w:pPr>
                  <w:r w:rsidRPr="00557FCA">
                    <w:rPr>
                      <w:sz w:val="22"/>
                      <w:szCs w:val="22"/>
                    </w:rPr>
                    <w:lastRenderedPageBreak/>
                    <w:t>Kuldīgas nov., Kuldīga</w:t>
                  </w:r>
                </w:p>
              </w:tc>
              <w:tc>
                <w:tcPr>
                  <w:tcW w:w="1256" w:type="dxa"/>
                  <w:tcBorders>
                    <w:top w:val="nil"/>
                    <w:left w:val="nil"/>
                    <w:bottom w:val="single" w:sz="4" w:space="0" w:color="auto"/>
                    <w:right w:val="single" w:sz="4" w:space="0" w:color="auto"/>
                  </w:tcBorders>
                  <w:shd w:val="clear" w:color="auto" w:fill="auto"/>
                  <w:noWrap/>
                  <w:vAlign w:val="bottom"/>
                  <w:hideMark/>
                </w:tcPr>
                <w:p w14:paraId="4467CA21"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8</w:t>
                  </w:r>
                </w:p>
              </w:tc>
            </w:tr>
            <w:tr w:rsidR="00557FCA" w:rsidRPr="00557FCA" w14:paraId="5062CDA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D909048" w14:textId="77777777" w:rsidR="004F1D85" w:rsidRPr="00557FCA" w:rsidRDefault="004F1D85" w:rsidP="00C517AF">
                  <w:pPr>
                    <w:framePr w:hSpace="180" w:wrap="around" w:vAnchor="text" w:hAnchor="text" w:y="1"/>
                    <w:suppressOverlap/>
                    <w:rPr>
                      <w:sz w:val="22"/>
                      <w:szCs w:val="22"/>
                    </w:rPr>
                  </w:pPr>
                  <w:r w:rsidRPr="00557FCA">
                    <w:rPr>
                      <w:sz w:val="22"/>
                      <w:szCs w:val="22"/>
                    </w:rPr>
                    <w:t>Liepāja</w:t>
                  </w:r>
                </w:p>
              </w:tc>
              <w:tc>
                <w:tcPr>
                  <w:tcW w:w="1256" w:type="dxa"/>
                  <w:tcBorders>
                    <w:top w:val="nil"/>
                    <w:left w:val="nil"/>
                    <w:bottom w:val="single" w:sz="4" w:space="0" w:color="auto"/>
                    <w:right w:val="single" w:sz="4" w:space="0" w:color="auto"/>
                  </w:tcBorders>
                  <w:shd w:val="clear" w:color="auto" w:fill="auto"/>
                  <w:noWrap/>
                  <w:vAlign w:val="bottom"/>
                  <w:hideMark/>
                </w:tcPr>
                <w:p w14:paraId="4DFBCFE1"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8</w:t>
                  </w:r>
                </w:p>
              </w:tc>
            </w:tr>
            <w:tr w:rsidR="00557FCA" w:rsidRPr="00557FCA" w14:paraId="16BC9B2E"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97803C9" w14:textId="77777777" w:rsidR="004F1D85" w:rsidRPr="00557FCA" w:rsidRDefault="004F1D85" w:rsidP="00C517AF">
                  <w:pPr>
                    <w:framePr w:hSpace="180" w:wrap="around" w:vAnchor="text" w:hAnchor="text" w:y="1"/>
                    <w:suppressOverlap/>
                    <w:rPr>
                      <w:sz w:val="22"/>
                      <w:szCs w:val="22"/>
                    </w:rPr>
                  </w:pPr>
                  <w:r w:rsidRPr="00557FCA">
                    <w:rPr>
                      <w:sz w:val="22"/>
                      <w:szCs w:val="22"/>
                    </w:rPr>
                    <w:t>Ludzas nov., Ludza</w:t>
                  </w:r>
                </w:p>
              </w:tc>
              <w:tc>
                <w:tcPr>
                  <w:tcW w:w="1256" w:type="dxa"/>
                  <w:tcBorders>
                    <w:top w:val="nil"/>
                    <w:left w:val="nil"/>
                    <w:bottom w:val="single" w:sz="4" w:space="0" w:color="auto"/>
                    <w:right w:val="single" w:sz="4" w:space="0" w:color="auto"/>
                  </w:tcBorders>
                  <w:shd w:val="clear" w:color="auto" w:fill="auto"/>
                  <w:noWrap/>
                  <w:vAlign w:val="bottom"/>
                  <w:hideMark/>
                </w:tcPr>
                <w:p w14:paraId="0C3635DA"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7</w:t>
                  </w:r>
                </w:p>
              </w:tc>
            </w:tr>
            <w:tr w:rsidR="00557FCA" w:rsidRPr="00557FCA" w14:paraId="097BEDCC"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C99E2EA" w14:textId="77777777" w:rsidR="004F1D85" w:rsidRPr="00557FCA" w:rsidRDefault="004F1D85" w:rsidP="00C517AF">
                  <w:pPr>
                    <w:framePr w:hSpace="180" w:wrap="around" w:vAnchor="text" w:hAnchor="text" w:y="1"/>
                    <w:suppressOverlap/>
                    <w:rPr>
                      <w:sz w:val="22"/>
                      <w:szCs w:val="22"/>
                    </w:rPr>
                  </w:pPr>
                  <w:r w:rsidRPr="00557FCA">
                    <w:rPr>
                      <w:sz w:val="22"/>
                      <w:szCs w:val="22"/>
                    </w:rPr>
                    <w:t>Preiļu nov., Preiļi</w:t>
                  </w:r>
                </w:p>
              </w:tc>
              <w:tc>
                <w:tcPr>
                  <w:tcW w:w="1256" w:type="dxa"/>
                  <w:tcBorders>
                    <w:top w:val="nil"/>
                    <w:left w:val="nil"/>
                    <w:bottom w:val="single" w:sz="4" w:space="0" w:color="auto"/>
                    <w:right w:val="single" w:sz="4" w:space="0" w:color="auto"/>
                  </w:tcBorders>
                  <w:shd w:val="clear" w:color="auto" w:fill="auto"/>
                  <w:noWrap/>
                  <w:vAlign w:val="bottom"/>
                  <w:hideMark/>
                </w:tcPr>
                <w:p w14:paraId="16A3157C"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6</w:t>
                  </w:r>
                </w:p>
              </w:tc>
            </w:tr>
            <w:tr w:rsidR="00557FCA" w:rsidRPr="00557FCA" w14:paraId="517956ED"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25E63FA" w14:textId="77777777" w:rsidR="004F1D85" w:rsidRPr="00557FCA" w:rsidRDefault="004F1D85" w:rsidP="00C517AF">
                  <w:pPr>
                    <w:framePr w:hSpace="180" w:wrap="around" w:vAnchor="text" w:hAnchor="text" w:y="1"/>
                    <w:suppressOverlap/>
                    <w:rPr>
                      <w:sz w:val="22"/>
                      <w:szCs w:val="22"/>
                    </w:rPr>
                  </w:pPr>
                  <w:r w:rsidRPr="00557FCA">
                    <w:rPr>
                      <w:sz w:val="22"/>
                      <w:szCs w:val="22"/>
                    </w:rPr>
                    <w:t>Balvu nov., Balvi</w:t>
                  </w:r>
                </w:p>
              </w:tc>
              <w:tc>
                <w:tcPr>
                  <w:tcW w:w="1256" w:type="dxa"/>
                  <w:tcBorders>
                    <w:top w:val="nil"/>
                    <w:left w:val="nil"/>
                    <w:bottom w:val="single" w:sz="4" w:space="0" w:color="auto"/>
                    <w:right w:val="single" w:sz="4" w:space="0" w:color="auto"/>
                  </w:tcBorders>
                  <w:shd w:val="clear" w:color="auto" w:fill="auto"/>
                  <w:noWrap/>
                  <w:vAlign w:val="bottom"/>
                  <w:hideMark/>
                </w:tcPr>
                <w:p w14:paraId="2A2E68DB"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5</w:t>
                  </w:r>
                </w:p>
              </w:tc>
            </w:tr>
            <w:tr w:rsidR="00557FCA" w:rsidRPr="00557FCA" w14:paraId="4F7F1F8A"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370892DF" w14:textId="77777777" w:rsidR="004F1D85" w:rsidRPr="00557FCA" w:rsidRDefault="004F1D85" w:rsidP="00C517AF">
                  <w:pPr>
                    <w:framePr w:hSpace="180" w:wrap="around" w:vAnchor="text" w:hAnchor="text" w:y="1"/>
                    <w:suppressOverlap/>
                    <w:rPr>
                      <w:sz w:val="22"/>
                      <w:szCs w:val="22"/>
                    </w:rPr>
                  </w:pPr>
                  <w:r w:rsidRPr="00557FCA">
                    <w:rPr>
                      <w:sz w:val="22"/>
                      <w:szCs w:val="22"/>
                    </w:rPr>
                    <w:t>Madonas nov., Bērzaunes pag.</w:t>
                  </w:r>
                </w:p>
              </w:tc>
              <w:tc>
                <w:tcPr>
                  <w:tcW w:w="1256" w:type="dxa"/>
                  <w:tcBorders>
                    <w:top w:val="nil"/>
                    <w:left w:val="nil"/>
                    <w:bottom w:val="single" w:sz="4" w:space="0" w:color="auto"/>
                    <w:right w:val="single" w:sz="4" w:space="0" w:color="auto"/>
                  </w:tcBorders>
                  <w:shd w:val="clear" w:color="auto" w:fill="auto"/>
                  <w:noWrap/>
                  <w:vAlign w:val="bottom"/>
                  <w:hideMark/>
                </w:tcPr>
                <w:p w14:paraId="5EF74782"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5</w:t>
                  </w:r>
                </w:p>
              </w:tc>
            </w:tr>
            <w:tr w:rsidR="00557FCA" w:rsidRPr="00557FCA" w14:paraId="57A2F283"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AE9DEC0" w14:textId="77777777" w:rsidR="004F1D85" w:rsidRPr="00557FCA" w:rsidRDefault="004F1D85" w:rsidP="00C517AF">
                  <w:pPr>
                    <w:framePr w:hSpace="180" w:wrap="around" w:vAnchor="text" w:hAnchor="text" w:y="1"/>
                    <w:suppressOverlap/>
                    <w:rPr>
                      <w:sz w:val="22"/>
                      <w:szCs w:val="22"/>
                    </w:rPr>
                  </w:pPr>
                  <w:r w:rsidRPr="00557FCA">
                    <w:rPr>
                      <w:sz w:val="22"/>
                      <w:szCs w:val="22"/>
                    </w:rPr>
                    <w:t>Krāslavas nov., Krāslava</w:t>
                  </w:r>
                </w:p>
              </w:tc>
              <w:tc>
                <w:tcPr>
                  <w:tcW w:w="1256" w:type="dxa"/>
                  <w:tcBorders>
                    <w:top w:val="nil"/>
                    <w:left w:val="nil"/>
                    <w:bottom w:val="single" w:sz="4" w:space="0" w:color="auto"/>
                    <w:right w:val="single" w:sz="4" w:space="0" w:color="auto"/>
                  </w:tcBorders>
                  <w:shd w:val="clear" w:color="auto" w:fill="auto"/>
                  <w:noWrap/>
                  <w:vAlign w:val="bottom"/>
                  <w:hideMark/>
                </w:tcPr>
                <w:p w14:paraId="591361FC"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5</w:t>
                  </w:r>
                </w:p>
              </w:tc>
            </w:tr>
            <w:tr w:rsidR="00557FCA" w:rsidRPr="00557FCA" w14:paraId="108EB8D4"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13E6FFF" w14:textId="77777777" w:rsidR="004F1D85" w:rsidRPr="00557FCA" w:rsidRDefault="004F1D85" w:rsidP="00C517AF">
                  <w:pPr>
                    <w:framePr w:hSpace="180" w:wrap="around" w:vAnchor="text" w:hAnchor="text" w:y="1"/>
                    <w:suppressOverlap/>
                    <w:rPr>
                      <w:sz w:val="22"/>
                      <w:szCs w:val="22"/>
                    </w:rPr>
                  </w:pPr>
                  <w:r w:rsidRPr="00557FCA">
                    <w:rPr>
                      <w:sz w:val="22"/>
                      <w:szCs w:val="22"/>
                    </w:rPr>
                    <w:t>Alūksnes nov., Mārkalnes pag.</w:t>
                  </w:r>
                </w:p>
              </w:tc>
              <w:tc>
                <w:tcPr>
                  <w:tcW w:w="1256" w:type="dxa"/>
                  <w:tcBorders>
                    <w:top w:val="nil"/>
                    <w:left w:val="nil"/>
                    <w:bottom w:val="single" w:sz="4" w:space="0" w:color="auto"/>
                    <w:right w:val="single" w:sz="4" w:space="0" w:color="auto"/>
                  </w:tcBorders>
                  <w:shd w:val="clear" w:color="auto" w:fill="auto"/>
                  <w:noWrap/>
                  <w:vAlign w:val="bottom"/>
                  <w:hideMark/>
                </w:tcPr>
                <w:p w14:paraId="735B4C65"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4</w:t>
                  </w:r>
                </w:p>
              </w:tc>
            </w:tr>
            <w:tr w:rsidR="00557FCA" w:rsidRPr="00557FCA" w14:paraId="1240516F"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E55537D" w14:textId="77777777" w:rsidR="004F1D85" w:rsidRPr="00557FCA" w:rsidRDefault="004F1D85" w:rsidP="00C517AF">
                  <w:pPr>
                    <w:framePr w:hSpace="180" w:wrap="around" w:vAnchor="text" w:hAnchor="text" w:y="1"/>
                    <w:suppressOverlap/>
                    <w:rPr>
                      <w:sz w:val="22"/>
                      <w:szCs w:val="22"/>
                    </w:rPr>
                  </w:pPr>
                  <w:r w:rsidRPr="00557FCA">
                    <w:rPr>
                      <w:sz w:val="22"/>
                      <w:szCs w:val="22"/>
                    </w:rPr>
                    <w:t>Ogres nov., Ogre</w:t>
                  </w:r>
                </w:p>
              </w:tc>
              <w:tc>
                <w:tcPr>
                  <w:tcW w:w="1256" w:type="dxa"/>
                  <w:tcBorders>
                    <w:top w:val="nil"/>
                    <w:left w:val="nil"/>
                    <w:bottom w:val="single" w:sz="4" w:space="0" w:color="auto"/>
                    <w:right w:val="single" w:sz="4" w:space="0" w:color="auto"/>
                  </w:tcBorders>
                  <w:shd w:val="clear" w:color="auto" w:fill="auto"/>
                  <w:noWrap/>
                  <w:vAlign w:val="bottom"/>
                  <w:hideMark/>
                </w:tcPr>
                <w:p w14:paraId="3A70BE46"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4</w:t>
                  </w:r>
                </w:p>
              </w:tc>
            </w:tr>
            <w:tr w:rsidR="00557FCA" w:rsidRPr="00557FCA" w14:paraId="0D1275EA"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880C62C" w14:textId="77777777" w:rsidR="004F1D85" w:rsidRPr="00557FCA" w:rsidRDefault="004F1D85" w:rsidP="00C517AF">
                  <w:pPr>
                    <w:framePr w:hSpace="180" w:wrap="around" w:vAnchor="text" w:hAnchor="text" w:y="1"/>
                    <w:suppressOverlap/>
                    <w:rPr>
                      <w:sz w:val="22"/>
                      <w:szCs w:val="22"/>
                    </w:rPr>
                  </w:pPr>
                  <w:r w:rsidRPr="00557FCA">
                    <w:rPr>
                      <w:sz w:val="22"/>
                      <w:szCs w:val="22"/>
                    </w:rPr>
                    <w:t>Kuldīgas nov., Turlavas pag.</w:t>
                  </w:r>
                </w:p>
              </w:tc>
              <w:tc>
                <w:tcPr>
                  <w:tcW w:w="1256" w:type="dxa"/>
                  <w:tcBorders>
                    <w:top w:val="nil"/>
                    <w:left w:val="nil"/>
                    <w:bottom w:val="single" w:sz="4" w:space="0" w:color="auto"/>
                    <w:right w:val="single" w:sz="4" w:space="0" w:color="auto"/>
                  </w:tcBorders>
                  <w:shd w:val="clear" w:color="auto" w:fill="auto"/>
                  <w:noWrap/>
                  <w:vAlign w:val="bottom"/>
                  <w:hideMark/>
                </w:tcPr>
                <w:p w14:paraId="0F3F5E54"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4</w:t>
                  </w:r>
                </w:p>
              </w:tc>
            </w:tr>
            <w:tr w:rsidR="00557FCA" w:rsidRPr="00557FCA" w14:paraId="39EE9B9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8424ABB" w14:textId="77777777" w:rsidR="004F1D85" w:rsidRPr="00557FCA" w:rsidRDefault="004F1D85" w:rsidP="00C517AF">
                  <w:pPr>
                    <w:framePr w:hSpace="180" w:wrap="around" w:vAnchor="text" w:hAnchor="text" w:y="1"/>
                    <w:suppressOverlap/>
                    <w:rPr>
                      <w:sz w:val="22"/>
                      <w:szCs w:val="22"/>
                    </w:rPr>
                  </w:pPr>
                  <w:r w:rsidRPr="00557FCA">
                    <w:rPr>
                      <w:sz w:val="22"/>
                      <w:szCs w:val="22"/>
                    </w:rPr>
                    <w:t>Jelgava</w:t>
                  </w:r>
                </w:p>
              </w:tc>
              <w:tc>
                <w:tcPr>
                  <w:tcW w:w="1256" w:type="dxa"/>
                  <w:tcBorders>
                    <w:top w:val="nil"/>
                    <w:left w:val="nil"/>
                    <w:bottom w:val="single" w:sz="4" w:space="0" w:color="auto"/>
                    <w:right w:val="single" w:sz="4" w:space="0" w:color="auto"/>
                  </w:tcBorders>
                  <w:shd w:val="clear" w:color="auto" w:fill="auto"/>
                  <w:noWrap/>
                  <w:vAlign w:val="bottom"/>
                  <w:hideMark/>
                </w:tcPr>
                <w:p w14:paraId="4239AEAB"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3</w:t>
                  </w:r>
                </w:p>
              </w:tc>
            </w:tr>
            <w:tr w:rsidR="00557FCA" w:rsidRPr="00557FCA" w14:paraId="7FFBA440"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1D36538" w14:textId="77777777" w:rsidR="004F1D85" w:rsidRPr="00557FCA" w:rsidRDefault="004F1D85" w:rsidP="00C517AF">
                  <w:pPr>
                    <w:framePr w:hSpace="180" w:wrap="around" w:vAnchor="text" w:hAnchor="text" w:y="1"/>
                    <w:suppressOverlap/>
                    <w:rPr>
                      <w:sz w:val="22"/>
                      <w:szCs w:val="22"/>
                    </w:rPr>
                  </w:pPr>
                  <w:r w:rsidRPr="00557FCA">
                    <w:rPr>
                      <w:sz w:val="22"/>
                      <w:szCs w:val="22"/>
                    </w:rPr>
                    <w:t>Valmiera</w:t>
                  </w:r>
                </w:p>
              </w:tc>
              <w:tc>
                <w:tcPr>
                  <w:tcW w:w="1256" w:type="dxa"/>
                  <w:tcBorders>
                    <w:top w:val="nil"/>
                    <w:left w:val="nil"/>
                    <w:bottom w:val="single" w:sz="4" w:space="0" w:color="auto"/>
                    <w:right w:val="single" w:sz="4" w:space="0" w:color="auto"/>
                  </w:tcBorders>
                  <w:shd w:val="clear" w:color="auto" w:fill="auto"/>
                  <w:noWrap/>
                  <w:vAlign w:val="bottom"/>
                  <w:hideMark/>
                </w:tcPr>
                <w:p w14:paraId="75DED0C2"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3</w:t>
                  </w:r>
                </w:p>
              </w:tc>
            </w:tr>
            <w:tr w:rsidR="00557FCA" w:rsidRPr="00557FCA" w14:paraId="6FDECD33"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3D91C2A" w14:textId="77777777" w:rsidR="004F1D85" w:rsidRPr="00557FCA" w:rsidRDefault="004F1D85" w:rsidP="00C517AF">
                  <w:pPr>
                    <w:framePr w:hSpace="180" w:wrap="around" w:vAnchor="text" w:hAnchor="text" w:y="1"/>
                    <w:suppressOverlap/>
                    <w:rPr>
                      <w:sz w:val="22"/>
                      <w:szCs w:val="22"/>
                    </w:rPr>
                  </w:pPr>
                  <w:r w:rsidRPr="00557FCA">
                    <w:rPr>
                      <w:sz w:val="22"/>
                      <w:szCs w:val="22"/>
                    </w:rPr>
                    <w:t>Limbažu nov., Limbaži</w:t>
                  </w:r>
                </w:p>
              </w:tc>
              <w:tc>
                <w:tcPr>
                  <w:tcW w:w="1256" w:type="dxa"/>
                  <w:tcBorders>
                    <w:top w:val="nil"/>
                    <w:left w:val="nil"/>
                    <w:bottom w:val="single" w:sz="4" w:space="0" w:color="auto"/>
                    <w:right w:val="single" w:sz="4" w:space="0" w:color="auto"/>
                  </w:tcBorders>
                  <w:shd w:val="clear" w:color="auto" w:fill="auto"/>
                  <w:noWrap/>
                  <w:vAlign w:val="bottom"/>
                  <w:hideMark/>
                </w:tcPr>
                <w:p w14:paraId="6B1A6D44"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3</w:t>
                  </w:r>
                </w:p>
              </w:tc>
            </w:tr>
            <w:tr w:rsidR="00557FCA" w:rsidRPr="00557FCA" w14:paraId="5CE37FD0"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1731556" w14:textId="77777777" w:rsidR="004F1D85" w:rsidRPr="00557FCA" w:rsidRDefault="004F1D85" w:rsidP="00C517AF">
                  <w:pPr>
                    <w:framePr w:hSpace="180" w:wrap="around" w:vAnchor="text" w:hAnchor="text" w:y="1"/>
                    <w:suppressOverlap/>
                    <w:rPr>
                      <w:sz w:val="22"/>
                      <w:szCs w:val="22"/>
                    </w:rPr>
                  </w:pPr>
                  <w:r w:rsidRPr="00557FCA">
                    <w:rPr>
                      <w:sz w:val="22"/>
                      <w:szCs w:val="22"/>
                    </w:rPr>
                    <w:t>Kuldīgas nov., Padures pag.</w:t>
                  </w:r>
                </w:p>
              </w:tc>
              <w:tc>
                <w:tcPr>
                  <w:tcW w:w="1256" w:type="dxa"/>
                  <w:tcBorders>
                    <w:top w:val="nil"/>
                    <w:left w:val="nil"/>
                    <w:bottom w:val="single" w:sz="4" w:space="0" w:color="auto"/>
                    <w:right w:val="single" w:sz="4" w:space="0" w:color="auto"/>
                  </w:tcBorders>
                  <w:shd w:val="clear" w:color="auto" w:fill="auto"/>
                  <w:noWrap/>
                  <w:vAlign w:val="bottom"/>
                  <w:hideMark/>
                </w:tcPr>
                <w:p w14:paraId="47066F2A"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3</w:t>
                  </w:r>
                </w:p>
              </w:tc>
            </w:tr>
            <w:tr w:rsidR="00557FCA" w:rsidRPr="00557FCA" w14:paraId="58C160F9"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EAB3B70" w14:textId="77777777" w:rsidR="004F1D85" w:rsidRPr="00557FCA" w:rsidRDefault="004F1D85" w:rsidP="00C517AF">
                  <w:pPr>
                    <w:framePr w:hSpace="180" w:wrap="around" w:vAnchor="text" w:hAnchor="text" w:y="1"/>
                    <w:suppressOverlap/>
                    <w:rPr>
                      <w:sz w:val="22"/>
                      <w:szCs w:val="22"/>
                    </w:rPr>
                  </w:pPr>
                  <w:r w:rsidRPr="00557FCA">
                    <w:rPr>
                      <w:sz w:val="22"/>
                      <w:szCs w:val="22"/>
                    </w:rPr>
                    <w:t>Pļaviņu nov., Pļaviņas</w:t>
                  </w:r>
                </w:p>
              </w:tc>
              <w:tc>
                <w:tcPr>
                  <w:tcW w:w="1256" w:type="dxa"/>
                  <w:tcBorders>
                    <w:top w:val="nil"/>
                    <w:left w:val="nil"/>
                    <w:bottom w:val="single" w:sz="4" w:space="0" w:color="auto"/>
                    <w:right w:val="single" w:sz="4" w:space="0" w:color="auto"/>
                  </w:tcBorders>
                  <w:shd w:val="clear" w:color="auto" w:fill="auto"/>
                  <w:noWrap/>
                  <w:vAlign w:val="bottom"/>
                  <w:hideMark/>
                </w:tcPr>
                <w:p w14:paraId="2A13E83E"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3</w:t>
                  </w:r>
                </w:p>
              </w:tc>
            </w:tr>
            <w:tr w:rsidR="00557FCA" w:rsidRPr="00557FCA" w14:paraId="65F46298"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DB2111E" w14:textId="77777777" w:rsidR="004F1D85" w:rsidRPr="00557FCA" w:rsidRDefault="004F1D85" w:rsidP="00C517AF">
                  <w:pPr>
                    <w:framePr w:hSpace="180" w:wrap="around" w:vAnchor="text" w:hAnchor="text" w:y="1"/>
                    <w:suppressOverlap/>
                    <w:rPr>
                      <w:sz w:val="22"/>
                      <w:szCs w:val="22"/>
                    </w:rPr>
                  </w:pPr>
                  <w:r w:rsidRPr="00557FCA">
                    <w:rPr>
                      <w:sz w:val="22"/>
                      <w:szCs w:val="22"/>
                    </w:rPr>
                    <w:t>Talsu nov., Talsi</w:t>
                  </w:r>
                </w:p>
              </w:tc>
              <w:tc>
                <w:tcPr>
                  <w:tcW w:w="1256" w:type="dxa"/>
                  <w:tcBorders>
                    <w:top w:val="nil"/>
                    <w:left w:val="nil"/>
                    <w:bottom w:val="single" w:sz="4" w:space="0" w:color="auto"/>
                    <w:right w:val="single" w:sz="4" w:space="0" w:color="auto"/>
                  </w:tcBorders>
                  <w:shd w:val="clear" w:color="auto" w:fill="auto"/>
                  <w:noWrap/>
                  <w:vAlign w:val="bottom"/>
                  <w:hideMark/>
                </w:tcPr>
                <w:p w14:paraId="03476B84"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3</w:t>
                  </w:r>
                </w:p>
              </w:tc>
            </w:tr>
            <w:tr w:rsidR="00557FCA" w:rsidRPr="00557FCA" w14:paraId="56338E39"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6B775189" w14:textId="77777777" w:rsidR="004F1D85" w:rsidRPr="00557FCA" w:rsidRDefault="004F1D85" w:rsidP="00C517AF">
                  <w:pPr>
                    <w:framePr w:hSpace="180" w:wrap="around" w:vAnchor="text" w:hAnchor="text" w:y="1"/>
                    <w:suppressOverlap/>
                    <w:rPr>
                      <w:sz w:val="22"/>
                      <w:szCs w:val="22"/>
                    </w:rPr>
                  </w:pPr>
                  <w:r w:rsidRPr="00557FCA">
                    <w:rPr>
                      <w:sz w:val="22"/>
                      <w:szCs w:val="22"/>
                    </w:rPr>
                    <w:t>Pāvilostas nov., Vērgales pag.</w:t>
                  </w:r>
                </w:p>
              </w:tc>
              <w:tc>
                <w:tcPr>
                  <w:tcW w:w="1256" w:type="dxa"/>
                  <w:tcBorders>
                    <w:top w:val="nil"/>
                    <w:left w:val="nil"/>
                    <w:bottom w:val="single" w:sz="4" w:space="0" w:color="auto"/>
                    <w:right w:val="single" w:sz="4" w:space="0" w:color="auto"/>
                  </w:tcBorders>
                  <w:shd w:val="clear" w:color="auto" w:fill="auto"/>
                  <w:noWrap/>
                  <w:vAlign w:val="bottom"/>
                  <w:hideMark/>
                </w:tcPr>
                <w:p w14:paraId="5B7FF053"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3</w:t>
                  </w:r>
                </w:p>
              </w:tc>
            </w:tr>
            <w:tr w:rsidR="00557FCA" w:rsidRPr="00557FCA" w14:paraId="2B53A44F"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2E3F408" w14:textId="77777777" w:rsidR="004F1D85" w:rsidRPr="00557FCA" w:rsidRDefault="004F1D85" w:rsidP="00C517AF">
                  <w:pPr>
                    <w:framePr w:hSpace="180" w:wrap="around" w:vAnchor="text" w:hAnchor="text" w:y="1"/>
                    <w:suppressOverlap/>
                    <w:rPr>
                      <w:sz w:val="22"/>
                      <w:szCs w:val="22"/>
                    </w:rPr>
                  </w:pPr>
                  <w:r w:rsidRPr="00557FCA">
                    <w:rPr>
                      <w:sz w:val="22"/>
                      <w:szCs w:val="22"/>
                    </w:rPr>
                    <w:t>Cēsu nov., Cēsis</w:t>
                  </w:r>
                </w:p>
              </w:tc>
              <w:tc>
                <w:tcPr>
                  <w:tcW w:w="1256" w:type="dxa"/>
                  <w:tcBorders>
                    <w:top w:val="nil"/>
                    <w:left w:val="nil"/>
                    <w:bottom w:val="single" w:sz="4" w:space="0" w:color="auto"/>
                    <w:right w:val="single" w:sz="4" w:space="0" w:color="auto"/>
                  </w:tcBorders>
                  <w:shd w:val="clear" w:color="auto" w:fill="auto"/>
                  <w:noWrap/>
                  <w:vAlign w:val="bottom"/>
                  <w:hideMark/>
                </w:tcPr>
                <w:p w14:paraId="4E1589C8"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02D0FBC2"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2D33EB2" w14:textId="77777777" w:rsidR="004F1D85" w:rsidRPr="00557FCA" w:rsidRDefault="004F1D85" w:rsidP="00C517AF">
                  <w:pPr>
                    <w:framePr w:hSpace="180" w:wrap="around" w:vAnchor="text" w:hAnchor="text" w:y="1"/>
                    <w:suppressOverlap/>
                    <w:rPr>
                      <w:sz w:val="22"/>
                      <w:szCs w:val="22"/>
                    </w:rPr>
                  </w:pPr>
                  <w:r w:rsidRPr="00557FCA">
                    <w:rPr>
                      <w:sz w:val="22"/>
                      <w:szCs w:val="22"/>
                    </w:rPr>
                    <w:t>Jūrmala</w:t>
                  </w:r>
                </w:p>
              </w:tc>
              <w:tc>
                <w:tcPr>
                  <w:tcW w:w="1256" w:type="dxa"/>
                  <w:tcBorders>
                    <w:top w:val="nil"/>
                    <w:left w:val="nil"/>
                    <w:bottom w:val="single" w:sz="4" w:space="0" w:color="auto"/>
                    <w:right w:val="single" w:sz="4" w:space="0" w:color="auto"/>
                  </w:tcBorders>
                  <w:shd w:val="clear" w:color="auto" w:fill="auto"/>
                  <w:noWrap/>
                  <w:vAlign w:val="bottom"/>
                  <w:hideMark/>
                </w:tcPr>
                <w:p w14:paraId="3D18FDE4"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71EB750F"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656F27B" w14:textId="77777777" w:rsidR="004F1D85" w:rsidRPr="00557FCA" w:rsidRDefault="004F1D85" w:rsidP="00C517AF">
                  <w:pPr>
                    <w:framePr w:hSpace="180" w:wrap="around" w:vAnchor="text" w:hAnchor="text" w:y="1"/>
                    <w:suppressOverlap/>
                    <w:rPr>
                      <w:sz w:val="22"/>
                      <w:szCs w:val="22"/>
                    </w:rPr>
                  </w:pPr>
                  <w:r w:rsidRPr="00557FCA">
                    <w:rPr>
                      <w:sz w:val="22"/>
                      <w:szCs w:val="22"/>
                    </w:rPr>
                    <w:t>Skrundas nov., Skrundas pag.</w:t>
                  </w:r>
                </w:p>
              </w:tc>
              <w:tc>
                <w:tcPr>
                  <w:tcW w:w="1256" w:type="dxa"/>
                  <w:tcBorders>
                    <w:top w:val="nil"/>
                    <w:left w:val="nil"/>
                    <w:bottom w:val="single" w:sz="4" w:space="0" w:color="auto"/>
                    <w:right w:val="single" w:sz="4" w:space="0" w:color="auto"/>
                  </w:tcBorders>
                  <w:shd w:val="clear" w:color="auto" w:fill="auto"/>
                  <w:noWrap/>
                  <w:vAlign w:val="bottom"/>
                  <w:hideMark/>
                </w:tcPr>
                <w:p w14:paraId="70A12A94"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3736C312"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0F6C60B" w14:textId="77777777" w:rsidR="004F1D85" w:rsidRPr="00557FCA" w:rsidRDefault="004F1D85" w:rsidP="00C517AF">
                  <w:pPr>
                    <w:framePr w:hSpace="180" w:wrap="around" w:vAnchor="text" w:hAnchor="text" w:y="1"/>
                    <w:suppressOverlap/>
                    <w:rPr>
                      <w:sz w:val="22"/>
                      <w:szCs w:val="22"/>
                    </w:rPr>
                  </w:pPr>
                  <w:r w:rsidRPr="00557FCA">
                    <w:rPr>
                      <w:sz w:val="22"/>
                      <w:szCs w:val="22"/>
                    </w:rPr>
                    <w:t>Ventspils</w:t>
                  </w:r>
                </w:p>
              </w:tc>
              <w:tc>
                <w:tcPr>
                  <w:tcW w:w="1256" w:type="dxa"/>
                  <w:tcBorders>
                    <w:top w:val="nil"/>
                    <w:left w:val="nil"/>
                    <w:bottom w:val="single" w:sz="4" w:space="0" w:color="auto"/>
                    <w:right w:val="single" w:sz="4" w:space="0" w:color="auto"/>
                  </w:tcBorders>
                  <w:shd w:val="clear" w:color="auto" w:fill="auto"/>
                  <w:noWrap/>
                  <w:vAlign w:val="bottom"/>
                  <w:hideMark/>
                </w:tcPr>
                <w:p w14:paraId="46188F1A"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6678EC72"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AE64F39" w14:textId="77777777" w:rsidR="004F1D85" w:rsidRPr="00557FCA" w:rsidRDefault="004F1D85" w:rsidP="00C517AF">
                  <w:pPr>
                    <w:framePr w:hSpace="180" w:wrap="around" w:vAnchor="text" w:hAnchor="text" w:y="1"/>
                    <w:suppressOverlap/>
                    <w:rPr>
                      <w:sz w:val="22"/>
                      <w:szCs w:val="22"/>
                    </w:rPr>
                  </w:pPr>
                  <w:r w:rsidRPr="00557FCA">
                    <w:rPr>
                      <w:sz w:val="22"/>
                      <w:szCs w:val="22"/>
                    </w:rPr>
                    <w:t>Kocēnu nov., Dikļu pag.</w:t>
                  </w:r>
                </w:p>
              </w:tc>
              <w:tc>
                <w:tcPr>
                  <w:tcW w:w="1256" w:type="dxa"/>
                  <w:tcBorders>
                    <w:top w:val="nil"/>
                    <w:left w:val="nil"/>
                    <w:bottom w:val="single" w:sz="4" w:space="0" w:color="auto"/>
                    <w:right w:val="single" w:sz="4" w:space="0" w:color="auto"/>
                  </w:tcBorders>
                  <w:shd w:val="clear" w:color="auto" w:fill="auto"/>
                  <w:noWrap/>
                  <w:vAlign w:val="bottom"/>
                  <w:hideMark/>
                </w:tcPr>
                <w:p w14:paraId="007A14B4"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00D2B031"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813ADF4" w14:textId="77777777" w:rsidR="004F1D85" w:rsidRPr="00557FCA" w:rsidRDefault="004F1D85" w:rsidP="00C517AF">
                  <w:pPr>
                    <w:framePr w:hSpace="180" w:wrap="around" w:vAnchor="text" w:hAnchor="text" w:y="1"/>
                    <w:suppressOverlap/>
                    <w:rPr>
                      <w:sz w:val="22"/>
                      <w:szCs w:val="22"/>
                    </w:rPr>
                  </w:pPr>
                  <w:r w:rsidRPr="00557FCA">
                    <w:rPr>
                      <w:sz w:val="22"/>
                      <w:szCs w:val="22"/>
                    </w:rPr>
                    <w:t>Madonas nov., Kalsnavas pag.</w:t>
                  </w:r>
                </w:p>
              </w:tc>
              <w:tc>
                <w:tcPr>
                  <w:tcW w:w="1256" w:type="dxa"/>
                  <w:tcBorders>
                    <w:top w:val="nil"/>
                    <w:left w:val="nil"/>
                    <w:bottom w:val="single" w:sz="4" w:space="0" w:color="auto"/>
                    <w:right w:val="single" w:sz="4" w:space="0" w:color="auto"/>
                  </w:tcBorders>
                  <w:shd w:val="clear" w:color="auto" w:fill="auto"/>
                  <w:noWrap/>
                  <w:vAlign w:val="bottom"/>
                  <w:hideMark/>
                </w:tcPr>
                <w:p w14:paraId="36053518"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150567C6"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DBDEC71" w14:textId="77777777" w:rsidR="004F1D85" w:rsidRPr="00557FCA" w:rsidRDefault="004F1D85" w:rsidP="00C517AF">
                  <w:pPr>
                    <w:framePr w:hSpace="180" w:wrap="around" w:vAnchor="text" w:hAnchor="text" w:y="1"/>
                    <w:suppressOverlap/>
                    <w:rPr>
                      <w:sz w:val="22"/>
                      <w:szCs w:val="22"/>
                    </w:rPr>
                  </w:pPr>
                  <w:r w:rsidRPr="00557FCA">
                    <w:rPr>
                      <w:sz w:val="22"/>
                      <w:szCs w:val="22"/>
                    </w:rPr>
                    <w:t>Rēzeknes nov., Kaunatas pag.</w:t>
                  </w:r>
                </w:p>
              </w:tc>
              <w:tc>
                <w:tcPr>
                  <w:tcW w:w="1256" w:type="dxa"/>
                  <w:tcBorders>
                    <w:top w:val="nil"/>
                    <w:left w:val="nil"/>
                    <w:bottom w:val="single" w:sz="4" w:space="0" w:color="auto"/>
                    <w:right w:val="single" w:sz="4" w:space="0" w:color="auto"/>
                  </w:tcBorders>
                  <w:shd w:val="clear" w:color="auto" w:fill="auto"/>
                  <w:noWrap/>
                  <w:vAlign w:val="bottom"/>
                  <w:hideMark/>
                </w:tcPr>
                <w:p w14:paraId="6A247E12"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7E554654"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B6AD007" w14:textId="77777777" w:rsidR="004F1D85" w:rsidRPr="00557FCA" w:rsidRDefault="004F1D85" w:rsidP="00C517AF">
                  <w:pPr>
                    <w:framePr w:hSpace="180" w:wrap="around" w:vAnchor="text" w:hAnchor="text" w:y="1"/>
                    <w:suppressOverlap/>
                    <w:rPr>
                      <w:sz w:val="22"/>
                      <w:szCs w:val="22"/>
                    </w:rPr>
                  </w:pPr>
                  <w:r w:rsidRPr="00557FCA">
                    <w:rPr>
                      <w:sz w:val="22"/>
                      <w:szCs w:val="22"/>
                    </w:rPr>
                    <w:t>Kārsavas nov., Malnavas pag.</w:t>
                  </w:r>
                </w:p>
              </w:tc>
              <w:tc>
                <w:tcPr>
                  <w:tcW w:w="1256" w:type="dxa"/>
                  <w:tcBorders>
                    <w:top w:val="nil"/>
                    <w:left w:val="nil"/>
                    <w:bottom w:val="single" w:sz="4" w:space="0" w:color="auto"/>
                    <w:right w:val="single" w:sz="4" w:space="0" w:color="auto"/>
                  </w:tcBorders>
                  <w:shd w:val="clear" w:color="auto" w:fill="auto"/>
                  <w:noWrap/>
                  <w:vAlign w:val="bottom"/>
                  <w:hideMark/>
                </w:tcPr>
                <w:p w14:paraId="1BBB5FC2"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0C86312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877EED7" w14:textId="77777777" w:rsidR="004F1D85" w:rsidRPr="00557FCA" w:rsidRDefault="004F1D85" w:rsidP="00C517AF">
                  <w:pPr>
                    <w:framePr w:hSpace="180" w:wrap="around" w:vAnchor="text" w:hAnchor="text" w:y="1"/>
                    <w:suppressOverlap/>
                    <w:rPr>
                      <w:sz w:val="22"/>
                      <w:szCs w:val="22"/>
                    </w:rPr>
                  </w:pPr>
                  <w:r w:rsidRPr="00557FCA">
                    <w:rPr>
                      <w:sz w:val="22"/>
                      <w:szCs w:val="22"/>
                    </w:rPr>
                    <w:t>Saldus nov., Saldus</w:t>
                  </w:r>
                </w:p>
              </w:tc>
              <w:tc>
                <w:tcPr>
                  <w:tcW w:w="1256" w:type="dxa"/>
                  <w:tcBorders>
                    <w:top w:val="nil"/>
                    <w:left w:val="nil"/>
                    <w:bottom w:val="single" w:sz="4" w:space="0" w:color="auto"/>
                    <w:right w:val="single" w:sz="4" w:space="0" w:color="auto"/>
                  </w:tcBorders>
                  <w:shd w:val="clear" w:color="auto" w:fill="auto"/>
                  <w:noWrap/>
                  <w:vAlign w:val="bottom"/>
                  <w:hideMark/>
                </w:tcPr>
                <w:p w14:paraId="1C127E5B"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56FBFA09"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31801E1" w14:textId="77777777" w:rsidR="004F1D85" w:rsidRPr="00557FCA" w:rsidRDefault="004F1D85" w:rsidP="00C517AF">
                  <w:pPr>
                    <w:framePr w:hSpace="180" w:wrap="around" w:vAnchor="text" w:hAnchor="text" w:y="1"/>
                    <w:suppressOverlap/>
                    <w:rPr>
                      <w:sz w:val="22"/>
                      <w:szCs w:val="22"/>
                    </w:rPr>
                  </w:pPr>
                  <w:r w:rsidRPr="00557FCA">
                    <w:rPr>
                      <w:sz w:val="22"/>
                      <w:szCs w:val="22"/>
                    </w:rPr>
                    <w:t>Viļakas nov., Susāju pag.</w:t>
                  </w:r>
                </w:p>
              </w:tc>
              <w:tc>
                <w:tcPr>
                  <w:tcW w:w="1256" w:type="dxa"/>
                  <w:tcBorders>
                    <w:top w:val="nil"/>
                    <w:left w:val="nil"/>
                    <w:bottom w:val="single" w:sz="4" w:space="0" w:color="auto"/>
                    <w:right w:val="single" w:sz="4" w:space="0" w:color="auto"/>
                  </w:tcBorders>
                  <w:shd w:val="clear" w:color="auto" w:fill="auto"/>
                  <w:noWrap/>
                  <w:vAlign w:val="bottom"/>
                  <w:hideMark/>
                </w:tcPr>
                <w:p w14:paraId="1B0CD960"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12928C1A"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BB41406" w14:textId="77777777" w:rsidR="004F1D85" w:rsidRPr="00557FCA" w:rsidRDefault="004F1D85" w:rsidP="00C517AF">
                  <w:pPr>
                    <w:framePr w:hSpace="180" w:wrap="around" w:vAnchor="text" w:hAnchor="text" w:y="1"/>
                    <w:suppressOverlap/>
                    <w:rPr>
                      <w:sz w:val="22"/>
                      <w:szCs w:val="22"/>
                    </w:rPr>
                  </w:pPr>
                  <w:r w:rsidRPr="00557FCA">
                    <w:rPr>
                      <w:sz w:val="22"/>
                      <w:szCs w:val="22"/>
                    </w:rPr>
                    <w:t>Jelgavas nov., Valgundes pag.</w:t>
                  </w:r>
                </w:p>
              </w:tc>
              <w:tc>
                <w:tcPr>
                  <w:tcW w:w="1256" w:type="dxa"/>
                  <w:tcBorders>
                    <w:top w:val="nil"/>
                    <w:left w:val="nil"/>
                    <w:bottom w:val="single" w:sz="4" w:space="0" w:color="auto"/>
                    <w:right w:val="single" w:sz="4" w:space="0" w:color="auto"/>
                  </w:tcBorders>
                  <w:shd w:val="clear" w:color="auto" w:fill="auto"/>
                  <w:noWrap/>
                  <w:vAlign w:val="bottom"/>
                  <w:hideMark/>
                </w:tcPr>
                <w:p w14:paraId="6670DB1B"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134B4250"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B158D80" w14:textId="77777777" w:rsidR="004F1D85" w:rsidRPr="00557FCA" w:rsidRDefault="004F1D85" w:rsidP="00C517AF">
                  <w:pPr>
                    <w:framePr w:hSpace="180" w:wrap="around" w:vAnchor="text" w:hAnchor="text" w:y="1"/>
                    <w:suppressOverlap/>
                    <w:rPr>
                      <w:sz w:val="22"/>
                      <w:szCs w:val="22"/>
                    </w:rPr>
                  </w:pPr>
                  <w:r w:rsidRPr="00557FCA">
                    <w:rPr>
                      <w:sz w:val="22"/>
                      <w:szCs w:val="22"/>
                    </w:rPr>
                    <w:t>Valkas nov., Valkas pag.</w:t>
                  </w:r>
                </w:p>
              </w:tc>
              <w:tc>
                <w:tcPr>
                  <w:tcW w:w="1256" w:type="dxa"/>
                  <w:tcBorders>
                    <w:top w:val="nil"/>
                    <w:left w:val="nil"/>
                    <w:bottom w:val="single" w:sz="4" w:space="0" w:color="auto"/>
                    <w:right w:val="single" w:sz="4" w:space="0" w:color="auto"/>
                  </w:tcBorders>
                  <w:shd w:val="clear" w:color="auto" w:fill="auto"/>
                  <w:noWrap/>
                  <w:vAlign w:val="bottom"/>
                  <w:hideMark/>
                </w:tcPr>
                <w:p w14:paraId="24E228FD"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59843CCD"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93BA6B7" w14:textId="77777777" w:rsidR="004F1D85" w:rsidRPr="00557FCA" w:rsidRDefault="004F1D85" w:rsidP="00C517AF">
                  <w:pPr>
                    <w:framePr w:hSpace="180" w:wrap="around" w:vAnchor="text" w:hAnchor="text" w:y="1"/>
                    <w:suppressOverlap/>
                    <w:rPr>
                      <w:sz w:val="22"/>
                      <w:szCs w:val="22"/>
                    </w:rPr>
                  </w:pPr>
                  <w:r w:rsidRPr="00557FCA">
                    <w:rPr>
                      <w:sz w:val="22"/>
                      <w:szCs w:val="22"/>
                    </w:rPr>
                    <w:t>Kandavas nov., Vānes pag.</w:t>
                  </w:r>
                </w:p>
              </w:tc>
              <w:tc>
                <w:tcPr>
                  <w:tcW w:w="1256" w:type="dxa"/>
                  <w:tcBorders>
                    <w:top w:val="nil"/>
                    <w:left w:val="nil"/>
                    <w:bottom w:val="single" w:sz="4" w:space="0" w:color="auto"/>
                    <w:right w:val="single" w:sz="4" w:space="0" w:color="auto"/>
                  </w:tcBorders>
                  <w:shd w:val="clear" w:color="auto" w:fill="auto"/>
                  <w:noWrap/>
                  <w:vAlign w:val="bottom"/>
                  <w:hideMark/>
                </w:tcPr>
                <w:p w14:paraId="1077A867"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0242DA8A"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11D65F4" w14:textId="77777777" w:rsidR="004F1D85" w:rsidRPr="00557FCA" w:rsidRDefault="004F1D85" w:rsidP="00C517AF">
                  <w:pPr>
                    <w:framePr w:hSpace="180" w:wrap="around" w:vAnchor="text" w:hAnchor="text" w:y="1"/>
                    <w:suppressOverlap/>
                    <w:rPr>
                      <w:sz w:val="22"/>
                      <w:szCs w:val="22"/>
                    </w:rPr>
                  </w:pPr>
                  <w:r w:rsidRPr="00557FCA">
                    <w:rPr>
                      <w:sz w:val="22"/>
                      <w:szCs w:val="22"/>
                    </w:rPr>
                    <w:t>Rēzeknes nov., Vērēmu pag.</w:t>
                  </w:r>
                </w:p>
              </w:tc>
              <w:tc>
                <w:tcPr>
                  <w:tcW w:w="1256" w:type="dxa"/>
                  <w:tcBorders>
                    <w:top w:val="nil"/>
                    <w:left w:val="nil"/>
                    <w:bottom w:val="single" w:sz="4" w:space="0" w:color="auto"/>
                    <w:right w:val="single" w:sz="4" w:space="0" w:color="auto"/>
                  </w:tcBorders>
                  <w:shd w:val="clear" w:color="auto" w:fill="auto"/>
                  <w:noWrap/>
                  <w:vAlign w:val="bottom"/>
                  <w:hideMark/>
                </w:tcPr>
                <w:p w14:paraId="1FDD278C"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79EDC486"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9C687D8" w14:textId="77777777" w:rsidR="004F1D85" w:rsidRPr="00557FCA" w:rsidRDefault="004F1D85" w:rsidP="00C517AF">
                  <w:pPr>
                    <w:framePr w:hSpace="180" w:wrap="around" w:vAnchor="text" w:hAnchor="text" w:y="1"/>
                    <w:suppressOverlap/>
                    <w:rPr>
                      <w:sz w:val="22"/>
                      <w:szCs w:val="22"/>
                    </w:rPr>
                  </w:pPr>
                  <w:r w:rsidRPr="00557FCA">
                    <w:rPr>
                      <w:sz w:val="22"/>
                      <w:szCs w:val="22"/>
                    </w:rPr>
                    <w:t xml:space="preserve">Alūksnes nov., </w:t>
                  </w:r>
                  <w:proofErr w:type="spellStart"/>
                  <w:r w:rsidRPr="00557FCA">
                    <w:rPr>
                      <w:sz w:val="22"/>
                      <w:szCs w:val="22"/>
                    </w:rPr>
                    <w:t>Ziemera</w:t>
                  </w:r>
                  <w:proofErr w:type="spellEnd"/>
                  <w:r w:rsidRPr="00557FCA">
                    <w:rPr>
                      <w:sz w:val="22"/>
                      <w:szCs w:val="22"/>
                    </w:rPr>
                    <w:t xml:space="preserve"> pag.</w:t>
                  </w:r>
                </w:p>
              </w:tc>
              <w:tc>
                <w:tcPr>
                  <w:tcW w:w="1256" w:type="dxa"/>
                  <w:tcBorders>
                    <w:top w:val="nil"/>
                    <w:left w:val="nil"/>
                    <w:bottom w:val="single" w:sz="4" w:space="0" w:color="auto"/>
                    <w:right w:val="single" w:sz="4" w:space="0" w:color="auto"/>
                  </w:tcBorders>
                  <w:shd w:val="clear" w:color="auto" w:fill="auto"/>
                  <w:noWrap/>
                  <w:vAlign w:val="bottom"/>
                  <w:hideMark/>
                </w:tcPr>
                <w:p w14:paraId="30564DA7"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w:t>
                  </w:r>
                </w:p>
              </w:tc>
            </w:tr>
            <w:tr w:rsidR="00557FCA" w:rsidRPr="00557FCA" w14:paraId="4C74121B"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3199461C" w14:textId="1C957D6C" w:rsidR="004F1D85" w:rsidRPr="00557FCA" w:rsidRDefault="004F1D85" w:rsidP="00C517AF">
                  <w:pPr>
                    <w:framePr w:hSpace="180" w:wrap="around" w:vAnchor="text" w:hAnchor="text" w:y="1"/>
                    <w:suppressOverlap/>
                    <w:rPr>
                      <w:sz w:val="22"/>
                      <w:szCs w:val="22"/>
                    </w:rPr>
                  </w:pPr>
                  <w:r w:rsidRPr="00557FCA">
                    <w:rPr>
                      <w:sz w:val="22"/>
                      <w:szCs w:val="22"/>
                    </w:rPr>
                    <w:t>Cits (katrā reģionā 1 bezdarbnieks)</w:t>
                  </w:r>
                </w:p>
              </w:tc>
              <w:tc>
                <w:tcPr>
                  <w:tcW w:w="1256" w:type="dxa"/>
                  <w:tcBorders>
                    <w:top w:val="nil"/>
                    <w:left w:val="nil"/>
                    <w:bottom w:val="single" w:sz="4" w:space="0" w:color="auto"/>
                    <w:right w:val="single" w:sz="4" w:space="0" w:color="auto"/>
                  </w:tcBorders>
                  <w:shd w:val="clear" w:color="auto" w:fill="auto"/>
                  <w:noWrap/>
                  <w:vAlign w:val="bottom"/>
                  <w:hideMark/>
                </w:tcPr>
                <w:p w14:paraId="60237CB5" w14:textId="47A9536D" w:rsidR="004F1D85" w:rsidRPr="00557FCA" w:rsidRDefault="004F1D85" w:rsidP="00C517AF">
                  <w:pPr>
                    <w:framePr w:hSpace="180" w:wrap="around" w:vAnchor="text" w:hAnchor="text" w:y="1"/>
                    <w:suppressOverlap/>
                    <w:jc w:val="right"/>
                    <w:rPr>
                      <w:sz w:val="22"/>
                      <w:szCs w:val="22"/>
                    </w:rPr>
                  </w:pPr>
                  <w:r w:rsidRPr="00557FCA">
                    <w:rPr>
                      <w:sz w:val="22"/>
                      <w:szCs w:val="22"/>
                    </w:rPr>
                    <w:t>40</w:t>
                  </w:r>
                </w:p>
              </w:tc>
            </w:tr>
            <w:tr w:rsidR="00557FCA" w:rsidRPr="00557FCA" w14:paraId="7E0F2A2F"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314BAE38" w14:textId="77777777" w:rsidR="004F1D85" w:rsidRPr="00557FCA" w:rsidRDefault="004F1D85" w:rsidP="00C517AF">
                  <w:pPr>
                    <w:framePr w:hSpace="180" w:wrap="around" w:vAnchor="text" w:hAnchor="text" w:y="1"/>
                    <w:suppressOverlap/>
                    <w:rPr>
                      <w:sz w:val="22"/>
                      <w:szCs w:val="22"/>
                    </w:rPr>
                  </w:pPr>
                  <w:r w:rsidRPr="00557FCA">
                    <w:rPr>
                      <w:sz w:val="22"/>
                      <w:szCs w:val="22"/>
                    </w:rPr>
                    <w:t>Kopā</w:t>
                  </w:r>
                </w:p>
              </w:tc>
              <w:tc>
                <w:tcPr>
                  <w:tcW w:w="1256" w:type="dxa"/>
                  <w:tcBorders>
                    <w:top w:val="nil"/>
                    <w:left w:val="nil"/>
                    <w:bottom w:val="single" w:sz="4" w:space="0" w:color="auto"/>
                    <w:right w:val="single" w:sz="4" w:space="0" w:color="auto"/>
                  </w:tcBorders>
                  <w:shd w:val="clear" w:color="auto" w:fill="auto"/>
                  <w:noWrap/>
                  <w:vAlign w:val="bottom"/>
                  <w:hideMark/>
                </w:tcPr>
                <w:p w14:paraId="3F676EB7" w14:textId="77777777" w:rsidR="004F1D85" w:rsidRPr="00557FCA" w:rsidRDefault="004F1D85" w:rsidP="00C517AF">
                  <w:pPr>
                    <w:framePr w:hSpace="180" w:wrap="around" w:vAnchor="text" w:hAnchor="text" w:y="1"/>
                    <w:suppressOverlap/>
                    <w:jc w:val="right"/>
                    <w:rPr>
                      <w:sz w:val="22"/>
                      <w:szCs w:val="22"/>
                    </w:rPr>
                  </w:pPr>
                  <w:r w:rsidRPr="00557FCA">
                    <w:rPr>
                      <w:sz w:val="22"/>
                      <w:szCs w:val="22"/>
                    </w:rPr>
                    <w:t>220</w:t>
                  </w:r>
                </w:p>
              </w:tc>
            </w:tr>
          </w:tbl>
          <w:p w14:paraId="2421C9E0" w14:textId="77777777" w:rsidR="004F1D85" w:rsidRPr="00557FCA" w:rsidRDefault="004F1D85" w:rsidP="00D668F3">
            <w:pPr>
              <w:jc w:val="both"/>
            </w:pPr>
          </w:p>
          <w:p w14:paraId="27BA91D1" w14:textId="2F980F54" w:rsidR="00FA1DFA" w:rsidRPr="00557FCA" w:rsidRDefault="00994FA8" w:rsidP="00D668F3">
            <w:pPr>
              <w:jc w:val="both"/>
            </w:pPr>
            <w:r w:rsidRPr="00557FCA">
              <w:t xml:space="preserve">Reģionālās mobilitātes atbalsta pasākumā komersantu nodarbinātajām personām vidēji ik gadu iesaistās 170 personas. Vidējās izmaksas vienai personai </w:t>
            </w:r>
            <w:r w:rsidR="00397A17" w:rsidRPr="00557FCA">
              <w:t>–</w:t>
            </w:r>
            <w:r w:rsidRPr="00557FCA">
              <w:t xml:space="preserve"> </w:t>
            </w:r>
            <w:r w:rsidR="00397A17" w:rsidRPr="00557FCA">
              <w:t xml:space="preserve">251,56 </w:t>
            </w:r>
            <w:proofErr w:type="spellStart"/>
            <w:r w:rsidRPr="00557FCA">
              <w:rPr>
                <w:i/>
              </w:rPr>
              <w:t>euro</w:t>
            </w:r>
            <w:proofErr w:type="spellEnd"/>
            <w:r w:rsidR="00705D83" w:rsidRPr="00557FCA">
              <w:rPr>
                <w:i/>
              </w:rPr>
              <w:t>.</w:t>
            </w:r>
            <w:r w:rsidRPr="00557FCA">
              <w:t xml:space="preserve"> Plānots, </w:t>
            </w:r>
            <w:proofErr w:type="gramStart"/>
            <w:r w:rsidRPr="00557FCA">
              <w:t>ka</w:t>
            </w:r>
            <w:proofErr w:type="gramEnd"/>
            <w:r w:rsidRPr="00557FCA">
              <w:t xml:space="preserve"> paplašinot reģionālās mobilitātes pasākumu, dalībnieku skaits pasākumā varētu pieaugt par 15 %. Izmaksu pieaugums no </w:t>
            </w:r>
            <w:proofErr w:type="gramStart"/>
            <w:r w:rsidRPr="00557FCA">
              <w:t>2018.gada</w:t>
            </w:r>
            <w:proofErr w:type="gramEnd"/>
            <w:r w:rsidRPr="00557FCA">
              <w:t xml:space="preserve"> </w:t>
            </w:r>
            <w:r w:rsidR="008D4F97" w:rsidRPr="00557FCA">
              <w:t>=</w:t>
            </w:r>
            <w:r w:rsidR="00397A17" w:rsidRPr="00557FCA">
              <w:t xml:space="preserve"> 170 * 0,15 * 251,56 =</w:t>
            </w:r>
            <w:r w:rsidR="00EB7DF2" w:rsidRPr="00557FCA">
              <w:t xml:space="preserve"> 6 414,78 </w:t>
            </w:r>
            <w:proofErr w:type="spellStart"/>
            <w:r w:rsidR="00EB7DF2" w:rsidRPr="00557FCA">
              <w:rPr>
                <w:i/>
              </w:rPr>
              <w:t>euro</w:t>
            </w:r>
            <w:proofErr w:type="spellEnd"/>
            <w:r w:rsidR="00EB7DF2" w:rsidRPr="00557FCA">
              <w:rPr>
                <w:i/>
              </w:rPr>
              <w:t>.</w:t>
            </w:r>
          </w:p>
          <w:p w14:paraId="743B45A0" w14:textId="777C12A6" w:rsidR="00397A17" w:rsidRPr="00557FCA" w:rsidRDefault="00397A17" w:rsidP="00D668F3">
            <w:pPr>
              <w:jc w:val="both"/>
            </w:pPr>
            <w:r w:rsidRPr="00557FCA">
              <w:t xml:space="preserve">Pasākuma </w:t>
            </w:r>
            <w:r w:rsidRPr="00557FCA">
              <w:rPr>
                <w:bCs/>
                <w:iCs/>
              </w:rPr>
              <w:t>„</w:t>
            </w:r>
            <w:r w:rsidRPr="00557FCA">
              <w:t xml:space="preserve">Atbalsts bezdarbnieku izglītībai” (SAM 7.1.1.) ietvaros atbalstu reģionālajai mobilitātei </w:t>
            </w:r>
            <w:proofErr w:type="gramStart"/>
            <w:r w:rsidRPr="00557FCA">
              <w:t>2016.gadā</w:t>
            </w:r>
            <w:proofErr w:type="gramEnd"/>
            <w:r w:rsidRPr="00557FCA">
              <w:t xml:space="preserve"> saņēma 2419 bezdarbnieks. Vidējās izmaksas vienam bezdarbniekam – 121,47 </w:t>
            </w:r>
            <w:proofErr w:type="spellStart"/>
            <w:r w:rsidRPr="00557FCA">
              <w:rPr>
                <w:i/>
              </w:rPr>
              <w:t>euro</w:t>
            </w:r>
            <w:proofErr w:type="spellEnd"/>
            <w:r w:rsidRPr="00557FCA">
              <w:t xml:space="preserve">. Plānots, ka, paplašinot reģionālās mobilitātes pasākumu, dalībnieku skaits pasākumā varētu pieaugt par 15 %. Izmaksu pieaugums no </w:t>
            </w:r>
            <w:proofErr w:type="gramStart"/>
            <w:r w:rsidRPr="00557FCA">
              <w:t>2018.gada</w:t>
            </w:r>
            <w:proofErr w:type="gramEnd"/>
            <w:r w:rsidRPr="00557FCA">
              <w:t xml:space="preserve"> = 2419 * 0,15 * 121,47 = 44 075,39 </w:t>
            </w:r>
            <w:proofErr w:type="spellStart"/>
            <w:r w:rsidRPr="00557FCA">
              <w:rPr>
                <w:i/>
              </w:rPr>
              <w:t>euro</w:t>
            </w:r>
            <w:proofErr w:type="spellEnd"/>
            <w:r w:rsidR="00657647" w:rsidRPr="00557FCA">
              <w:rPr>
                <w:i/>
              </w:rPr>
              <w:t>.</w:t>
            </w:r>
            <w:r w:rsidR="00DD2E58" w:rsidRPr="00557FCA">
              <w:t xml:space="preserve"> </w:t>
            </w:r>
          </w:p>
          <w:p w14:paraId="6DE4597F" w14:textId="3151E961" w:rsidR="00DD2E58" w:rsidRPr="00557FCA" w:rsidRDefault="00DD2E58" w:rsidP="00D668F3">
            <w:pPr>
              <w:jc w:val="both"/>
            </w:pPr>
            <w:r w:rsidRPr="00557FCA">
              <w:t xml:space="preserve">Projektā </w:t>
            </w:r>
            <w:r w:rsidRPr="00557FCA">
              <w:rPr>
                <w:bCs/>
                <w:iCs/>
              </w:rPr>
              <w:t>„</w:t>
            </w:r>
            <w:r w:rsidRPr="00557FCA">
              <w:t xml:space="preserve">Atbalsts bezdarbnieku izglītībai” faktiskais konta atlikums </w:t>
            </w:r>
            <w:proofErr w:type="gramStart"/>
            <w:r w:rsidRPr="00557FCA">
              <w:t>2017.gada</w:t>
            </w:r>
            <w:proofErr w:type="gramEnd"/>
            <w:r w:rsidRPr="00557FCA">
              <w:t xml:space="preserve"> 1.janvārī bija 77 458 </w:t>
            </w:r>
            <w:proofErr w:type="spellStart"/>
            <w:r w:rsidRPr="00557FCA">
              <w:rPr>
                <w:i/>
              </w:rPr>
              <w:t>euro</w:t>
            </w:r>
            <w:proofErr w:type="spellEnd"/>
            <w:r w:rsidRPr="00557FCA">
              <w:t xml:space="preserve"> (0</w:t>
            </w:r>
            <w:r w:rsidR="00EF2D82" w:rsidRPr="00557FCA">
              <w:t xml:space="preserve">,5% no kopējā finansējuma).  Viens no atlikuma rašanās iemesliem – mazāks finanšu atlīdzības pieprasījumu skaits atbalsta pasākumā </w:t>
            </w:r>
            <w:r w:rsidR="00EF2D82" w:rsidRPr="00557FCA">
              <w:lastRenderedPageBreak/>
              <w:t xml:space="preserve">„Atbalsts reģionālajai mobilitātei aktīvo nodarbinātības pasākumu ietvaros”. </w:t>
            </w:r>
            <w:proofErr w:type="gramStart"/>
            <w:r w:rsidR="00EF2D82" w:rsidRPr="00557FCA">
              <w:t>Ņemot vērā radušos finanšu ietaupījumus</w:t>
            </w:r>
            <w:proofErr w:type="gramEnd"/>
            <w:r w:rsidR="00EF2D82" w:rsidRPr="00557FCA">
              <w:t xml:space="preserve"> </w:t>
            </w:r>
            <w:r w:rsidR="00EF2D82" w:rsidRPr="00557FCA">
              <w:rPr>
                <w:bCs/>
                <w:iCs/>
              </w:rPr>
              <w:t>„</w:t>
            </w:r>
            <w:r w:rsidR="00EF2D82" w:rsidRPr="00557FCA">
              <w:t>Atbalsts bezdarbnieku izglītībai” projekta ietvaros, izmaiņas reģionālās mobilitātes atbalsta piešķiršanas nosacījumos neietekmē darbības programmā noteiktos sasniedzamos rādītājus.</w:t>
            </w:r>
          </w:p>
          <w:p w14:paraId="5FB6C348" w14:textId="504A60F4" w:rsidR="00CC5A87" w:rsidRPr="00557FCA" w:rsidRDefault="00486604" w:rsidP="00D668F3">
            <w:pPr>
              <w:jc w:val="both"/>
            </w:pPr>
            <w:r w:rsidRPr="00557FCA">
              <w:t xml:space="preserve">Jauniešu garantijas pasākuma (SAM 7.2.1.) ietvaros atbalstu reģionālajai mobilitātei </w:t>
            </w:r>
            <w:proofErr w:type="gramStart"/>
            <w:r w:rsidRPr="00557FCA">
              <w:t>2016.gadā</w:t>
            </w:r>
            <w:proofErr w:type="gramEnd"/>
            <w:r w:rsidRPr="00557FCA">
              <w:t xml:space="preserve"> saņēma 962 jaunieši bezdarbnieki. Vidējās izmaksas vienam bezdarbniekam – 122,33 </w:t>
            </w:r>
            <w:proofErr w:type="spellStart"/>
            <w:r w:rsidRPr="00557FCA">
              <w:rPr>
                <w:i/>
              </w:rPr>
              <w:t>euro</w:t>
            </w:r>
            <w:proofErr w:type="spellEnd"/>
            <w:r w:rsidRPr="00557FCA">
              <w:rPr>
                <w:i/>
              </w:rPr>
              <w:t>.</w:t>
            </w:r>
            <w:r w:rsidR="004C5DDF" w:rsidRPr="00557FCA">
              <w:rPr>
                <w:i/>
              </w:rPr>
              <w:t xml:space="preserve"> </w:t>
            </w:r>
            <w:r w:rsidR="004C5DDF" w:rsidRPr="00557FCA">
              <w:t xml:space="preserve">Plānots, ka, paplašinot reģionālās mobilitātes pasākumu, dalībnieku skaits pasākumā varētu pieaugt par 15 %. Izmaksu pieaugums no </w:t>
            </w:r>
            <w:proofErr w:type="gramStart"/>
            <w:r w:rsidR="004C5DDF" w:rsidRPr="00557FCA">
              <w:t>2018.gada</w:t>
            </w:r>
            <w:proofErr w:type="gramEnd"/>
            <w:r w:rsidR="004C5DDF" w:rsidRPr="00557FCA">
              <w:t xml:space="preserve"> = </w:t>
            </w:r>
            <w:r w:rsidR="00E74226" w:rsidRPr="00557FCA">
              <w:t xml:space="preserve">962 * 0,15 * 122,33 = 17 652,22 </w:t>
            </w:r>
            <w:proofErr w:type="spellStart"/>
            <w:r w:rsidR="00E74226" w:rsidRPr="00557FCA">
              <w:rPr>
                <w:i/>
              </w:rPr>
              <w:t>euro</w:t>
            </w:r>
            <w:proofErr w:type="spellEnd"/>
            <w:r w:rsidR="00E74226" w:rsidRPr="00557FCA">
              <w:t>.</w:t>
            </w:r>
          </w:p>
          <w:p w14:paraId="5076581E" w14:textId="3B5BFFC6" w:rsidR="00CD1CB3" w:rsidRPr="00557FCA" w:rsidRDefault="00DD2E58" w:rsidP="00D668F3">
            <w:pPr>
              <w:jc w:val="both"/>
            </w:pPr>
            <w:r w:rsidRPr="00557FCA">
              <w:t xml:space="preserve">JG projektā faktiskais konta atlikums </w:t>
            </w:r>
            <w:proofErr w:type="gramStart"/>
            <w:r w:rsidRPr="00557FCA">
              <w:t>2017.gada</w:t>
            </w:r>
            <w:proofErr w:type="gramEnd"/>
            <w:r w:rsidRPr="00557FCA">
              <w:t xml:space="preserve"> 1.janvārī bija 26 956 </w:t>
            </w:r>
            <w:proofErr w:type="spellStart"/>
            <w:r w:rsidRPr="00557FCA">
              <w:rPr>
                <w:i/>
              </w:rPr>
              <w:t>euro</w:t>
            </w:r>
            <w:proofErr w:type="spellEnd"/>
            <w:r w:rsidRPr="00557FCA">
              <w:rPr>
                <w:i/>
              </w:rPr>
              <w:t xml:space="preserve"> </w:t>
            </w:r>
            <w:r w:rsidRPr="00557FCA">
              <w:t xml:space="preserve">(0,3 % no kopējā finansējuma). Viens no atlikuma rašanās iemesliem – plānotajā apjomā netika iesniegti avansa un finanšu atlīdzības pieprasījumi atbalsta pasākumā </w:t>
            </w:r>
            <w:r w:rsidRPr="00557FCA">
              <w:rPr>
                <w:bCs/>
                <w:iCs/>
              </w:rPr>
              <w:t xml:space="preserve">„Atbalsts jauniešu reģionālajai mobilitātei”. Ņemot vērā radušos finanšu ietaupījumus JG projekta ietvaros, izmaiņas reģionālās mobilitātes atbalsta piešķiršanas nosacījumos neietekmē darbības programmā noteiktos sasniedzamos rādītājus. </w:t>
            </w:r>
          </w:p>
          <w:p w14:paraId="6FEE2E84" w14:textId="4CBC002E" w:rsidR="00450A25" w:rsidRPr="00557FCA" w:rsidRDefault="00CC5A87" w:rsidP="00D668F3">
            <w:pPr>
              <w:jc w:val="both"/>
            </w:pPr>
            <w:r w:rsidRPr="00557FCA">
              <w:t xml:space="preserve">Pasākuma </w:t>
            </w:r>
            <w:r w:rsidR="00450A25" w:rsidRPr="00557FCA">
              <w:rPr>
                <w:bCs/>
                <w:iCs/>
              </w:rPr>
              <w:t>„</w:t>
            </w:r>
            <w:r w:rsidR="00450A25" w:rsidRPr="00557FCA">
              <w:t xml:space="preserve">Subsidētās darbavietas nelabvēlīgākā situācijā esošiem bezdarbniekiem” (SAM 9.1.1.1.) ietvaros atbalstu reģionālajai mobilitātei </w:t>
            </w:r>
            <w:proofErr w:type="gramStart"/>
            <w:r w:rsidR="00450A25" w:rsidRPr="00557FCA">
              <w:t>2016.gadā</w:t>
            </w:r>
            <w:proofErr w:type="gramEnd"/>
            <w:r w:rsidR="00450A25" w:rsidRPr="00557FCA">
              <w:t xml:space="preserve"> saņēma 37 bezdarbnieki. </w:t>
            </w:r>
            <w:r w:rsidR="00705D83" w:rsidRPr="00557FCA">
              <w:t xml:space="preserve"> Vidējās izmaksas vienai personai – 251,56 </w:t>
            </w:r>
            <w:proofErr w:type="spellStart"/>
            <w:r w:rsidR="00705D83" w:rsidRPr="00557FCA">
              <w:rPr>
                <w:i/>
              </w:rPr>
              <w:t>euro</w:t>
            </w:r>
            <w:proofErr w:type="spellEnd"/>
            <w:r w:rsidR="00705D83" w:rsidRPr="00557FCA">
              <w:rPr>
                <w:i/>
              </w:rPr>
              <w:t>.</w:t>
            </w:r>
            <w:r w:rsidR="00705D83" w:rsidRPr="00557FCA">
              <w:t xml:space="preserve"> </w:t>
            </w:r>
            <w:r w:rsidR="00450A25" w:rsidRPr="00557FCA">
              <w:t xml:space="preserve">Plānots, ka, paplašinot reģionālās mobilitātes pasākumu, dalībnieku skaits pasākumā varētu pieaugt par 15 %. Izmaksu pieaugums no </w:t>
            </w:r>
            <w:proofErr w:type="gramStart"/>
            <w:r w:rsidR="00450A25" w:rsidRPr="00557FCA">
              <w:t>2018.gada</w:t>
            </w:r>
            <w:proofErr w:type="gramEnd"/>
            <w:r w:rsidR="00450A25" w:rsidRPr="00557FCA">
              <w:t xml:space="preserve"> = 37 *</w:t>
            </w:r>
            <w:r w:rsidR="00705D83" w:rsidRPr="00557FCA">
              <w:t xml:space="preserve"> 0,15 * 251,56 = 1 509,36 </w:t>
            </w:r>
            <w:proofErr w:type="spellStart"/>
            <w:r w:rsidR="00705D83" w:rsidRPr="00557FCA">
              <w:rPr>
                <w:i/>
              </w:rPr>
              <w:t>euro</w:t>
            </w:r>
            <w:proofErr w:type="spellEnd"/>
            <w:r w:rsidR="00705D83" w:rsidRPr="00557FCA">
              <w:t>.</w:t>
            </w:r>
          </w:p>
          <w:p w14:paraId="635FBFBF" w14:textId="7FFEA618" w:rsidR="00EF2D82" w:rsidRPr="00557FCA" w:rsidRDefault="00EF2D82" w:rsidP="00D668F3">
            <w:pPr>
              <w:jc w:val="both"/>
            </w:pPr>
            <w:r w:rsidRPr="00557FCA">
              <w:t xml:space="preserve">Projektā „Subsidētās darbavietas bezdarbniekiem” faktiskais konta atlikums </w:t>
            </w:r>
            <w:proofErr w:type="gramStart"/>
            <w:r w:rsidRPr="00557FCA">
              <w:t>2017.gada</w:t>
            </w:r>
            <w:proofErr w:type="gramEnd"/>
            <w:r w:rsidRPr="00557FCA">
              <w:t xml:space="preserve"> 1.janvārī bija </w:t>
            </w:r>
            <w:r w:rsidR="00A87193" w:rsidRPr="00557FCA">
              <w:t>1</w:t>
            </w:r>
            <w:r w:rsidRPr="00557FCA">
              <w:t>7</w:t>
            </w:r>
            <w:r w:rsidR="00A87193" w:rsidRPr="00557FCA">
              <w:t xml:space="preserve"> </w:t>
            </w:r>
            <w:r w:rsidRPr="00557FCA">
              <w:t>7</w:t>
            </w:r>
            <w:r w:rsidR="00A87193" w:rsidRPr="00557FCA">
              <w:t>71</w:t>
            </w:r>
            <w:r w:rsidRPr="00557FCA">
              <w:t xml:space="preserve"> </w:t>
            </w:r>
            <w:proofErr w:type="spellStart"/>
            <w:r w:rsidRPr="00557FCA">
              <w:rPr>
                <w:i/>
              </w:rPr>
              <w:t>euro</w:t>
            </w:r>
            <w:proofErr w:type="spellEnd"/>
            <w:r w:rsidRPr="00557FCA">
              <w:t xml:space="preserve"> (0,5% no kopējā finansējuma).  Viens no atlikuma rašanās iemesliem – mazāks finanšu atlīdzības pieprasījumu skaits atbalsta pasākumā „Atbalsts reģionālajai mobilitātei aktīvo nodarbinātības pasākumu ietvaros”. Ņemot vērā radušos finanšu ietaupījumus </w:t>
            </w:r>
            <w:r w:rsidR="003C0F08" w:rsidRPr="00557FCA">
              <w:t xml:space="preserve">projektā „Subsidētās darbavietas bezdarbniekiem” </w:t>
            </w:r>
            <w:r w:rsidRPr="00557FCA">
              <w:t>ietvaros, izmaiņas reģionālās mobilitātes atbalsta piešķiršanas nosacījumos neietekmē darbības programmā noteiktos sasniedzamos rādītājus.</w:t>
            </w:r>
          </w:p>
          <w:p w14:paraId="7E5D0D03" w14:textId="2184CE99" w:rsidR="0071323C" w:rsidRPr="00557FCA" w:rsidRDefault="008B0E4C" w:rsidP="00D668F3">
            <w:pPr>
              <w:jc w:val="both"/>
            </w:pPr>
            <w:r w:rsidRPr="00557FCA">
              <w:t>Atbalsts reģionālajai mobilitātei aktīvo nodarbinātības pasākumu ietvaros tiek nodrošināts SAM 7.1.1., SAM 7.2.1. un SAM 9.1.</w:t>
            </w:r>
            <w:proofErr w:type="gramStart"/>
            <w:r w:rsidRPr="00557FCA">
              <w:t>1.1.ietvaros (ESF finansējums)</w:t>
            </w:r>
            <w:proofErr w:type="gramEnd"/>
            <w:r w:rsidR="00781EC7" w:rsidRPr="00557FCA">
              <w:t>, savukārt komersantu nodarbināto personu reģionālās mobilitātes veicināšanas pasākums tiek īstenots speciālā budžeta ietvaros</w:t>
            </w:r>
            <w:r w:rsidR="00344357" w:rsidRPr="00557FCA">
              <w:t>. Izmaiņas negatīvi neietekmē pasākumu rezultatīvo rādītāju sasniegšanu</w:t>
            </w:r>
            <w:r w:rsidR="00FA1DFA" w:rsidRPr="00557FCA">
              <w:t xml:space="preserve"> (Noteikumu projekta </w:t>
            </w:r>
            <w:r w:rsidR="007007D0" w:rsidRPr="00557FCA">
              <w:t>3</w:t>
            </w:r>
            <w:r w:rsidR="00A062EC" w:rsidRPr="00557FCA">
              <w:t>8</w:t>
            </w:r>
            <w:r w:rsidR="007007D0" w:rsidRPr="00557FCA">
              <w:t xml:space="preserve">., </w:t>
            </w:r>
            <w:r w:rsidR="00FA1DFA" w:rsidRPr="00557FCA">
              <w:t>3</w:t>
            </w:r>
            <w:r w:rsidR="00A062EC" w:rsidRPr="00557FCA">
              <w:t>9</w:t>
            </w:r>
            <w:r w:rsidR="00FA1DFA" w:rsidRPr="00557FCA">
              <w:t xml:space="preserve">., </w:t>
            </w:r>
            <w:r w:rsidR="00A062EC" w:rsidRPr="00557FCA">
              <w:t>41</w:t>
            </w:r>
            <w:r w:rsidR="00FA1DFA" w:rsidRPr="00557FCA">
              <w:t xml:space="preserve">., </w:t>
            </w:r>
            <w:r w:rsidR="00A062EC" w:rsidRPr="00557FCA">
              <w:t>42</w:t>
            </w:r>
            <w:r w:rsidR="00FA1DFA" w:rsidRPr="00557FCA">
              <w:t xml:space="preserve">. un </w:t>
            </w:r>
            <w:r w:rsidR="00A062EC" w:rsidRPr="00557FCA">
              <w:t>43</w:t>
            </w:r>
            <w:r w:rsidR="00FA1DFA" w:rsidRPr="00557FCA">
              <w:t xml:space="preserve">.punkts).  </w:t>
            </w:r>
          </w:p>
          <w:p w14:paraId="52C92147" w14:textId="77777777" w:rsidR="0071323C" w:rsidRPr="00557FCA" w:rsidRDefault="0071323C" w:rsidP="00D668F3">
            <w:pPr>
              <w:jc w:val="both"/>
            </w:pPr>
          </w:p>
          <w:p w14:paraId="090E7DEF" w14:textId="6F67FF0F" w:rsidR="00560F87" w:rsidRPr="00557FCA" w:rsidRDefault="00D955B3" w:rsidP="000B63CF">
            <w:pPr>
              <w:pStyle w:val="ListParagraph"/>
              <w:autoSpaceDE w:val="0"/>
              <w:autoSpaceDN w:val="0"/>
              <w:adjustRightInd w:val="0"/>
              <w:spacing w:after="0" w:line="240" w:lineRule="auto"/>
              <w:ind w:left="0"/>
              <w:jc w:val="both"/>
              <w:rPr>
                <w:rFonts w:ascii="Times New Roman" w:hAnsi="Times New Roman"/>
                <w:i/>
                <w:iCs/>
                <w:sz w:val="24"/>
                <w:szCs w:val="24"/>
              </w:rPr>
            </w:pPr>
            <w:r w:rsidRPr="00557FCA">
              <w:rPr>
                <w:rFonts w:ascii="Times New Roman" w:hAnsi="Times New Roman"/>
                <w:sz w:val="24"/>
                <w:szCs w:val="24"/>
              </w:rPr>
              <w:t>2</w:t>
            </w:r>
            <w:r w:rsidR="009D4FEC">
              <w:rPr>
                <w:rFonts w:ascii="Times New Roman" w:hAnsi="Times New Roman"/>
                <w:sz w:val="24"/>
                <w:szCs w:val="24"/>
              </w:rPr>
              <w:t>2</w:t>
            </w:r>
            <w:r w:rsidR="000B63CF" w:rsidRPr="00557FCA">
              <w:rPr>
                <w:rFonts w:ascii="Times New Roman" w:hAnsi="Times New Roman"/>
                <w:sz w:val="24"/>
                <w:szCs w:val="24"/>
              </w:rPr>
              <w:t xml:space="preserve">. </w:t>
            </w:r>
            <w:r w:rsidR="00F07DB8" w:rsidRPr="00557FCA">
              <w:rPr>
                <w:rFonts w:ascii="Times New Roman" w:hAnsi="Times New Roman"/>
                <w:sz w:val="24"/>
                <w:szCs w:val="24"/>
              </w:rPr>
              <w:t xml:space="preserve">Reģionālās </w:t>
            </w:r>
            <w:r w:rsidR="00677642" w:rsidRPr="00557FCA">
              <w:rPr>
                <w:rFonts w:ascii="Times New Roman" w:hAnsi="Times New Roman"/>
                <w:sz w:val="24"/>
                <w:szCs w:val="24"/>
              </w:rPr>
              <w:t xml:space="preserve">mobilitātes atbalsta pasākumos iesaista nodarbināto un bezdarbnieku, kas iesaistās apmācību pasākumos vai pasākumos, kas paredz darba līgumu slēgšanu un, </w:t>
            </w:r>
            <w:r w:rsidR="00677642" w:rsidRPr="00557FCA">
              <w:rPr>
                <w:rFonts w:ascii="Times New Roman" w:hAnsi="Times New Roman"/>
                <w:bCs/>
                <w:sz w:val="24"/>
                <w:szCs w:val="24"/>
              </w:rPr>
              <w:t>norādītajā dzīvesvietā ir deklarēts vismaz sešus mēnešus</w:t>
            </w:r>
            <w:r w:rsidR="00F07DB8" w:rsidRPr="00557FCA">
              <w:rPr>
                <w:rFonts w:ascii="Times New Roman" w:hAnsi="Times New Roman"/>
                <w:bCs/>
                <w:sz w:val="24"/>
                <w:szCs w:val="24"/>
              </w:rPr>
              <w:t>,</w:t>
            </w:r>
            <w:r w:rsidR="00677642" w:rsidRPr="00557FCA">
              <w:rPr>
                <w:rFonts w:ascii="Times New Roman" w:hAnsi="Times New Roman"/>
                <w:bCs/>
                <w:sz w:val="24"/>
                <w:szCs w:val="24"/>
              </w:rPr>
              <w:t xml:space="preserve"> vai šajā laikā ir mainījis deklarēto dzīvesvietu un gan jaunā, gan iepriekšējā </w:t>
            </w:r>
            <w:r w:rsidR="00677642" w:rsidRPr="00557FCA">
              <w:rPr>
                <w:rFonts w:ascii="Times New Roman" w:hAnsi="Times New Roman"/>
                <w:bCs/>
                <w:sz w:val="24"/>
                <w:szCs w:val="24"/>
              </w:rPr>
              <w:lastRenderedPageBreak/>
              <w:t>dzīvesvieta atrodas vienas pašvaldības administratīvajā teritorijā</w:t>
            </w:r>
            <w:r w:rsidR="00677642" w:rsidRPr="00557FCA">
              <w:rPr>
                <w:rFonts w:ascii="Times New Roman" w:hAnsi="Times New Roman"/>
                <w:iCs/>
                <w:sz w:val="24"/>
                <w:szCs w:val="24"/>
              </w:rPr>
              <w:t>.</w:t>
            </w:r>
            <w:r w:rsidR="00F07DB8" w:rsidRPr="00557FCA">
              <w:rPr>
                <w:rFonts w:ascii="Times New Roman" w:hAnsi="Times New Roman"/>
                <w:iCs/>
                <w:sz w:val="24"/>
                <w:szCs w:val="24"/>
              </w:rPr>
              <w:t xml:space="preserve"> Praksē iespējami gadījumi, kad </w:t>
            </w:r>
            <w:r w:rsidR="00F47982" w:rsidRPr="00557FCA">
              <w:rPr>
                <w:rFonts w:ascii="Times New Roman" w:hAnsi="Times New Roman"/>
                <w:iCs/>
                <w:sz w:val="24"/>
                <w:szCs w:val="24"/>
              </w:rPr>
              <w:t>minētais ierobežojums kavē iesaistīties atbalsta pasākumos reģionālajai mobilitātei tās personas, kuras ieceļojušas no ārvalstīm (sevišķi bēgļi un personas ar alternatīvo statusu)</w:t>
            </w:r>
            <w:r w:rsidR="005464B6" w:rsidRPr="00557FCA">
              <w:rPr>
                <w:rFonts w:ascii="Times New Roman" w:hAnsi="Times New Roman"/>
                <w:iCs/>
                <w:sz w:val="24"/>
                <w:szCs w:val="24"/>
              </w:rPr>
              <w:t xml:space="preserve"> un </w:t>
            </w:r>
            <w:r w:rsidR="00B830AC" w:rsidRPr="00557FCA">
              <w:rPr>
                <w:rFonts w:ascii="Times New Roman" w:hAnsi="Times New Roman"/>
                <w:iCs/>
                <w:sz w:val="24"/>
                <w:szCs w:val="24"/>
              </w:rPr>
              <w:t xml:space="preserve">deklarējuši dzīvesvietu kā pirmo deklarēto dzīvesvietu Latvijas teritorijā. Noteikumu projektā paredzēts, ka </w:t>
            </w:r>
            <w:r w:rsidR="00677642" w:rsidRPr="00557FCA">
              <w:rPr>
                <w:rFonts w:ascii="Times New Roman" w:hAnsi="Times New Roman"/>
                <w:sz w:val="24"/>
                <w:szCs w:val="24"/>
              </w:rPr>
              <w:t xml:space="preserve">mobilitātes atbalsta pasākumos iesaista nodarbināto vai bezdarbnieku, kurš </w:t>
            </w:r>
            <w:r w:rsidR="00677642" w:rsidRPr="00557FCA">
              <w:rPr>
                <w:rFonts w:ascii="Times New Roman" w:hAnsi="Times New Roman"/>
                <w:bCs/>
                <w:sz w:val="24"/>
                <w:szCs w:val="24"/>
              </w:rPr>
              <w:t>norādītajā dzīvesvietā ir deklarēts vismaz sešus mēnešus vai šajā laikā ir mainījis deklarēto dzīvesvietu un gan jaunā, gan iepriekšējā dzīvesvieta atrodas vienas pašvaldības administratīvajā teritorijā, izņemot gadījumus, kad konkrētā dzīvesvieta ir personas pirmā deklarētā dzīvesvieta Latvijā.</w:t>
            </w:r>
            <w:r w:rsidR="00B830AC" w:rsidRPr="00557FCA">
              <w:rPr>
                <w:rFonts w:ascii="Times New Roman" w:hAnsi="Times New Roman"/>
                <w:bCs/>
                <w:sz w:val="24"/>
                <w:szCs w:val="24"/>
              </w:rPr>
              <w:t xml:space="preserve"> </w:t>
            </w:r>
            <w:r w:rsidR="00B830AC" w:rsidRPr="00557FCA">
              <w:rPr>
                <w:rFonts w:ascii="Times New Roman" w:hAnsi="Times New Roman"/>
                <w:sz w:val="24"/>
                <w:szCs w:val="24"/>
              </w:rPr>
              <w:t>Tādējādi p</w:t>
            </w:r>
            <w:r w:rsidR="00677642" w:rsidRPr="00557FCA">
              <w:rPr>
                <w:rFonts w:ascii="Times New Roman" w:hAnsi="Times New Roman"/>
                <w:sz w:val="24"/>
                <w:szCs w:val="24"/>
              </w:rPr>
              <w:t>ersona</w:t>
            </w:r>
            <w:r w:rsidR="00B830AC" w:rsidRPr="00557FCA">
              <w:rPr>
                <w:rFonts w:ascii="Times New Roman" w:hAnsi="Times New Roman"/>
                <w:sz w:val="24"/>
                <w:szCs w:val="24"/>
              </w:rPr>
              <w:t>s</w:t>
            </w:r>
            <w:r w:rsidR="00677642" w:rsidRPr="00557FCA">
              <w:rPr>
                <w:rFonts w:ascii="Times New Roman" w:hAnsi="Times New Roman"/>
                <w:sz w:val="24"/>
                <w:szCs w:val="24"/>
              </w:rPr>
              <w:t xml:space="preserve"> var saņemt atbalstu reģionālajai mobilitātei uzreiz pēc</w:t>
            </w:r>
            <w:r w:rsidR="00B830AC" w:rsidRPr="00557FCA">
              <w:rPr>
                <w:rFonts w:ascii="Times New Roman" w:hAnsi="Times New Roman"/>
                <w:sz w:val="24"/>
                <w:szCs w:val="24"/>
              </w:rPr>
              <w:t xml:space="preserve"> pirmās</w:t>
            </w:r>
            <w:r w:rsidR="00677642" w:rsidRPr="00557FCA">
              <w:rPr>
                <w:rFonts w:ascii="Times New Roman" w:hAnsi="Times New Roman"/>
                <w:sz w:val="24"/>
                <w:szCs w:val="24"/>
              </w:rPr>
              <w:t xml:space="preserve"> dzīvesvietas deklarēšanas</w:t>
            </w:r>
            <w:r w:rsidR="00132261" w:rsidRPr="00557FCA">
              <w:rPr>
                <w:rFonts w:ascii="Times New Roman" w:hAnsi="Times New Roman"/>
                <w:sz w:val="24"/>
                <w:szCs w:val="24"/>
              </w:rPr>
              <w:t xml:space="preserve"> (Noteikumu projekta </w:t>
            </w:r>
            <w:r w:rsidR="00A062EC" w:rsidRPr="00557FCA">
              <w:rPr>
                <w:rFonts w:ascii="Times New Roman" w:hAnsi="Times New Roman"/>
                <w:sz w:val="24"/>
                <w:szCs w:val="24"/>
              </w:rPr>
              <w:t>40</w:t>
            </w:r>
            <w:r w:rsidR="00132261" w:rsidRPr="00557FCA">
              <w:rPr>
                <w:rFonts w:ascii="Times New Roman" w:hAnsi="Times New Roman"/>
                <w:sz w:val="24"/>
                <w:szCs w:val="24"/>
              </w:rPr>
              <w:t>.punkts)</w:t>
            </w:r>
            <w:r w:rsidR="009104F3" w:rsidRPr="00557FCA">
              <w:rPr>
                <w:rFonts w:ascii="Times New Roman" w:hAnsi="Times New Roman"/>
                <w:sz w:val="24"/>
                <w:szCs w:val="24"/>
              </w:rPr>
              <w:t>.</w:t>
            </w:r>
          </w:p>
          <w:p w14:paraId="0C01E4D6" w14:textId="77777777" w:rsidR="0071323C" w:rsidRPr="00557FCA" w:rsidRDefault="0071323C" w:rsidP="0071323C">
            <w:pPr>
              <w:jc w:val="both"/>
              <w:rPr>
                <w:rFonts w:ascii="Helv" w:hAnsi="Helv" w:cs="Helv"/>
                <w:b/>
                <w:bCs/>
                <w:sz w:val="22"/>
                <w:szCs w:val="22"/>
              </w:rPr>
            </w:pPr>
          </w:p>
          <w:p w14:paraId="3FB4A342" w14:textId="38E2F3AB" w:rsidR="008528EE" w:rsidRPr="00557FCA" w:rsidRDefault="00D955B3" w:rsidP="000B63CF">
            <w:pPr>
              <w:pStyle w:val="ListParagraph"/>
              <w:spacing w:after="0" w:line="240" w:lineRule="auto"/>
              <w:ind w:left="0"/>
              <w:jc w:val="both"/>
              <w:rPr>
                <w:rFonts w:ascii="Times New Roman" w:hAnsi="Times New Roman"/>
                <w:sz w:val="24"/>
                <w:szCs w:val="24"/>
              </w:rPr>
            </w:pPr>
            <w:r w:rsidRPr="00557FCA">
              <w:rPr>
                <w:rFonts w:ascii="Times New Roman" w:hAnsi="Times New Roman"/>
                <w:iCs/>
                <w:sz w:val="24"/>
                <w:szCs w:val="24"/>
              </w:rPr>
              <w:t>2</w:t>
            </w:r>
            <w:r w:rsidR="009D4FEC">
              <w:rPr>
                <w:rFonts w:ascii="Times New Roman" w:hAnsi="Times New Roman"/>
                <w:iCs/>
                <w:sz w:val="24"/>
                <w:szCs w:val="24"/>
              </w:rPr>
              <w:t>3</w:t>
            </w:r>
            <w:r w:rsidR="000B63CF" w:rsidRPr="00557FCA">
              <w:rPr>
                <w:rFonts w:ascii="Times New Roman" w:hAnsi="Times New Roman"/>
                <w:iCs/>
                <w:sz w:val="24"/>
                <w:szCs w:val="24"/>
              </w:rPr>
              <w:t xml:space="preserve">. </w:t>
            </w:r>
            <w:r w:rsidR="00B830AC" w:rsidRPr="00557FCA">
              <w:rPr>
                <w:rFonts w:ascii="Times New Roman" w:hAnsi="Times New Roman"/>
                <w:iCs/>
                <w:sz w:val="24"/>
                <w:szCs w:val="24"/>
              </w:rPr>
              <w:t>Atbilstoši pasākuma „Atbalsts reģionālajai mobilitātei aktīvo nodarbinātības pasākumu ietvaros”</w:t>
            </w:r>
            <w:r w:rsidR="008750DA" w:rsidRPr="00557FCA">
              <w:rPr>
                <w:rFonts w:ascii="Times New Roman" w:hAnsi="Times New Roman"/>
                <w:iCs/>
                <w:sz w:val="24"/>
                <w:szCs w:val="24"/>
              </w:rPr>
              <w:t xml:space="preserve"> īstenošanas nosacījumiem, bezdarbnieks </w:t>
            </w:r>
            <w:r w:rsidR="008750DA" w:rsidRPr="00557FCA">
              <w:rPr>
                <w:rFonts w:ascii="Times New Roman" w:hAnsi="Times New Roman"/>
                <w:sz w:val="24"/>
                <w:szCs w:val="24"/>
              </w:rPr>
              <w:t>p</w:t>
            </w:r>
            <w:r w:rsidR="00590AAB" w:rsidRPr="00557FCA">
              <w:rPr>
                <w:rFonts w:ascii="Times New Roman" w:hAnsi="Times New Roman"/>
                <w:sz w:val="24"/>
                <w:szCs w:val="24"/>
              </w:rPr>
              <w:t>ēc katra darba tiesisko attiecību vai apmācību mēneša beigām iesniedz NVA izdevumus apliecinošus dokumentus par iepriekšējo darba tiesisko attiecību vai apmācību mēnesi - sabiedriskā transporta braukšanas biļetes vai degvielas patēriņa izdevumus apliecinošus dokumentus. Ikmēneša kompensāciju par iepriekšējo apmācību vai darba tiesisko attiecību mēnesi NVA izmaksā pēc transporta izdevumu apliecinošo dokumentu saņemšanas un rūpīgas attiecināmības pārbaudes, kas prasa ievērojamus laika resursus. Lai atvieglotu transporta izdevumu kompensācijas saņemšanu, Noteikumu projektā paredzēts, ka izmaksu apliecinošus dokumentus nodarbinātais vai bezdarbnieks iesniedz tikai pēc pirmā darba attiecību vai apmācību mēneša. Pēc faktiski izlietotajiem līdzekļiem transporta vai īres izmaksu segšanai, tiek noteikts nākamajos darba attiecību vai apmācību mēnešos izmaksājamais finanšu atbalsta apmērs. Bezdarbniekam ir pienākums saglabāt izmaksu apliecinošus dokumentus visa pasākuma laikā, un NVA saglabā tiesības pieprasīt bezdarbniekam iesniegt izdevumus apliecinošos dokumentus un veikt pārmaksātā finanšu atbalsta piedziņu</w:t>
            </w:r>
            <w:r w:rsidR="009104F3" w:rsidRPr="00557FCA">
              <w:rPr>
                <w:rFonts w:ascii="Times New Roman" w:hAnsi="Times New Roman"/>
                <w:sz w:val="24"/>
                <w:szCs w:val="24"/>
              </w:rPr>
              <w:t>.</w:t>
            </w:r>
            <w:r w:rsidR="00413056" w:rsidRPr="00557FCA">
              <w:rPr>
                <w:rFonts w:ascii="Times New Roman" w:hAnsi="Times New Roman"/>
                <w:sz w:val="24"/>
                <w:szCs w:val="24"/>
              </w:rPr>
              <w:t xml:space="preserve"> Plānots, ka izmaksu apliecinošie dokument</w:t>
            </w:r>
            <w:r w:rsidR="00EA7BF9" w:rsidRPr="00557FCA">
              <w:rPr>
                <w:rFonts w:ascii="Times New Roman" w:hAnsi="Times New Roman"/>
                <w:sz w:val="24"/>
                <w:szCs w:val="24"/>
              </w:rPr>
              <w:t>us NVA</w:t>
            </w:r>
            <w:r w:rsidR="00413056" w:rsidRPr="00557FCA">
              <w:rPr>
                <w:rFonts w:ascii="Times New Roman" w:hAnsi="Times New Roman"/>
                <w:sz w:val="24"/>
                <w:szCs w:val="24"/>
              </w:rPr>
              <w:t xml:space="preserve"> varēs </w:t>
            </w:r>
            <w:r w:rsidR="00EA7BF9" w:rsidRPr="00557FCA">
              <w:rPr>
                <w:rFonts w:ascii="Times New Roman" w:hAnsi="Times New Roman"/>
                <w:sz w:val="24"/>
                <w:szCs w:val="24"/>
              </w:rPr>
              <w:t xml:space="preserve">pieprasīt jebkuram bezdarbniekam, laikā, </w:t>
            </w:r>
            <w:proofErr w:type="gramStart"/>
            <w:r w:rsidR="00EA7BF9" w:rsidRPr="00557FCA">
              <w:rPr>
                <w:rFonts w:ascii="Times New Roman" w:hAnsi="Times New Roman"/>
                <w:sz w:val="24"/>
                <w:szCs w:val="24"/>
              </w:rPr>
              <w:t>kad tas saņem</w:t>
            </w:r>
            <w:proofErr w:type="gramEnd"/>
            <w:r w:rsidR="00EA7BF9" w:rsidRPr="00557FCA">
              <w:rPr>
                <w:rFonts w:ascii="Times New Roman" w:hAnsi="Times New Roman"/>
                <w:sz w:val="24"/>
                <w:szCs w:val="24"/>
              </w:rPr>
              <w:t xml:space="preserve"> atbalstu reģionālajai mobilitātei. Izmaksu apliecinošie dokumenti tiks pieprasīti izlase veidā vai pēc nepieciešamības gadījumos, kad NVA radīsies aizdomas par līdzekļu izlietojumu neatbilstoši mērķim. </w:t>
            </w:r>
          </w:p>
          <w:p w14:paraId="24B58A8F" w14:textId="71932A86" w:rsidR="0064697B" w:rsidRPr="00557FCA" w:rsidRDefault="0064697B" w:rsidP="000B63CF">
            <w:pPr>
              <w:pStyle w:val="ListParagraph"/>
              <w:spacing w:after="0" w:line="240" w:lineRule="auto"/>
              <w:ind w:left="0"/>
              <w:jc w:val="both"/>
              <w:rPr>
                <w:rFonts w:ascii="Times New Roman" w:hAnsi="Times New Roman"/>
                <w:iCs/>
                <w:sz w:val="24"/>
                <w:szCs w:val="24"/>
              </w:rPr>
            </w:pPr>
            <w:r w:rsidRPr="00557FCA">
              <w:rPr>
                <w:rFonts w:ascii="Times New Roman" w:hAnsi="Times New Roman"/>
                <w:iCs/>
                <w:sz w:val="24"/>
                <w:szCs w:val="24"/>
              </w:rPr>
              <w:t>Veicot izmaksu pa mēnešiem izvērtējumu, konstatēts, ka vidējās izmaksas mobilitātes atbalstam ir gandrīz nemainīgas.</w:t>
            </w:r>
          </w:p>
          <w:p w14:paraId="35D35B01" w14:textId="29E7C7B4" w:rsidR="0064697B" w:rsidRPr="00557FCA" w:rsidRDefault="0064697B" w:rsidP="000B63CF">
            <w:pPr>
              <w:pStyle w:val="ListParagraph"/>
              <w:spacing w:after="0" w:line="240" w:lineRule="auto"/>
              <w:ind w:left="0"/>
              <w:jc w:val="both"/>
              <w:rPr>
                <w:rFonts w:ascii="Times New Roman" w:hAnsi="Times New Roman"/>
                <w:iCs/>
                <w:sz w:val="24"/>
                <w:szCs w:val="24"/>
              </w:rPr>
            </w:pPr>
          </w:p>
          <w:tbl>
            <w:tblPr>
              <w:tblW w:w="6046" w:type="dxa"/>
              <w:tblLayout w:type="fixed"/>
              <w:tblCellMar>
                <w:left w:w="0" w:type="dxa"/>
                <w:right w:w="0" w:type="dxa"/>
              </w:tblCellMar>
              <w:tblLook w:val="04A0" w:firstRow="1" w:lastRow="0" w:firstColumn="1" w:lastColumn="0" w:noHBand="0" w:noVBand="1"/>
            </w:tblPr>
            <w:tblGrid>
              <w:gridCol w:w="66"/>
              <w:gridCol w:w="1093"/>
              <w:gridCol w:w="1090"/>
              <w:gridCol w:w="1901"/>
              <w:gridCol w:w="1856"/>
              <w:gridCol w:w="40"/>
            </w:tblGrid>
            <w:tr w:rsidR="00557FCA" w:rsidRPr="00557FCA" w14:paraId="1A2DD7BC" w14:textId="77777777" w:rsidTr="00404CA9">
              <w:trPr>
                <w:trHeight w:val="877"/>
              </w:trPr>
              <w:tc>
                <w:tcPr>
                  <w:tcW w:w="6006" w:type="dxa"/>
                  <w:gridSpan w:val="5"/>
                  <w:tcMar>
                    <w:top w:w="0" w:type="dxa"/>
                    <w:left w:w="108" w:type="dxa"/>
                    <w:bottom w:w="0" w:type="dxa"/>
                    <w:right w:w="108" w:type="dxa"/>
                  </w:tcMar>
                  <w:vAlign w:val="bottom"/>
                  <w:hideMark/>
                </w:tcPr>
                <w:p w14:paraId="7576615C" w14:textId="1DBD0ABE" w:rsidR="0064697B" w:rsidRPr="00557FCA" w:rsidRDefault="0064697B" w:rsidP="00C517AF">
                  <w:pPr>
                    <w:framePr w:hSpace="180" w:wrap="around" w:vAnchor="text" w:hAnchor="text" w:y="1"/>
                    <w:spacing w:line="252" w:lineRule="auto"/>
                    <w:suppressOverlap/>
                    <w:jc w:val="center"/>
                    <w:rPr>
                      <w:sz w:val="22"/>
                      <w:szCs w:val="22"/>
                      <w:lang w:eastAsia="en-US"/>
                    </w:rPr>
                  </w:pPr>
                  <w:r w:rsidRPr="00557FCA">
                    <w:rPr>
                      <w:b/>
                      <w:bCs/>
                      <w:sz w:val="22"/>
                      <w:szCs w:val="22"/>
                      <w:lang w:eastAsia="en-US"/>
                    </w:rPr>
                    <w:t xml:space="preserve">Pasākuma </w:t>
                  </w:r>
                  <w:r w:rsidRPr="00557FCA">
                    <w:rPr>
                      <w:b/>
                      <w:bCs/>
                      <w:iCs/>
                      <w:sz w:val="22"/>
                      <w:szCs w:val="22"/>
                      <w:lang w:eastAsia="en-US"/>
                    </w:rPr>
                    <w:t>„</w:t>
                  </w:r>
                  <w:r w:rsidRPr="00557FCA">
                    <w:rPr>
                      <w:b/>
                      <w:bCs/>
                      <w:sz w:val="22"/>
                      <w:szCs w:val="22"/>
                      <w:lang w:eastAsia="en-US"/>
                    </w:rPr>
                    <w:t>Atbalsts jauniešu reģionālajai mobilitātei” vidējās izmaksas par periodu </w:t>
                  </w:r>
                </w:p>
                <w:p w14:paraId="5981EBA6" w14:textId="50E2A091" w:rsidR="0064697B" w:rsidRPr="00557FCA" w:rsidRDefault="0064697B" w:rsidP="00C517AF">
                  <w:pPr>
                    <w:framePr w:hSpace="180" w:wrap="around" w:vAnchor="text" w:hAnchor="text" w:y="1"/>
                    <w:spacing w:line="252" w:lineRule="auto"/>
                    <w:suppressOverlap/>
                    <w:jc w:val="center"/>
                    <w:rPr>
                      <w:sz w:val="22"/>
                      <w:szCs w:val="22"/>
                      <w:lang w:eastAsia="en-US"/>
                    </w:rPr>
                  </w:pPr>
                  <w:proofErr w:type="gramStart"/>
                  <w:r w:rsidRPr="00557FCA">
                    <w:rPr>
                      <w:b/>
                      <w:bCs/>
                      <w:sz w:val="22"/>
                      <w:szCs w:val="22"/>
                      <w:lang w:eastAsia="en-US"/>
                    </w:rPr>
                    <w:t>2017.gada</w:t>
                  </w:r>
                  <w:proofErr w:type="gramEnd"/>
                  <w:r w:rsidRPr="00557FCA">
                    <w:rPr>
                      <w:b/>
                      <w:bCs/>
                      <w:sz w:val="22"/>
                      <w:szCs w:val="22"/>
                      <w:lang w:eastAsia="en-US"/>
                    </w:rPr>
                    <w:t xml:space="preserve"> janvāris - jūnijs</w:t>
                  </w:r>
                </w:p>
              </w:tc>
              <w:tc>
                <w:tcPr>
                  <w:tcW w:w="40" w:type="dxa"/>
                  <w:tcBorders>
                    <w:top w:val="nil"/>
                    <w:left w:val="nil"/>
                    <w:bottom w:val="single" w:sz="8" w:space="0" w:color="auto"/>
                    <w:right w:val="nil"/>
                  </w:tcBorders>
                  <w:vAlign w:val="center"/>
                  <w:hideMark/>
                </w:tcPr>
                <w:p w14:paraId="683A286D" w14:textId="77777777" w:rsidR="0064697B" w:rsidRPr="00557FCA" w:rsidRDefault="0064697B" w:rsidP="00C517AF">
                  <w:pPr>
                    <w:framePr w:hSpace="180" w:wrap="around" w:vAnchor="text" w:hAnchor="text" w:y="1"/>
                    <w:suppressOverlap/>
                    <w:rPr>
                      <w:sz w:val="22"/>
                      <w:szCs w:val="22"/>
                      <w:lang w:eastAsia="en-US"/>
                    </w:rPr>
                  </w:pPr>
                  <w:r w:rsidRPr="00557FCA">
                    <w:rPr>
                      <w:sz w:val="22"/>
                      <w:szCs w:val="22"/>
                      <w:lang w:eastAsia="en-US"/>
                    </w:rPr>
                    <w:t> </w:t>
                  </w:r>
                </w:p>
              </w:tc>
            </w:tr>
            <w:tr w:rsidR="00557FCA" w:rsidRPr="00557FCA" w14:paraId="247474C2" w14:textId="77777777" w:rsidTr="00404CA9">
              <w:trPr>
                <w:trHeight w:val="365"/>
              </w:trPr>
              <w:tc>
                <w:tcPr>
                  <w:tcW w:w="66" w:type="dxa"/>
                  <w:vAlign w:val="center"/>
                  <w:hideMark/>
                </w:tcPr>
                <w:p w14:paraId="6BB9FD9E" w14:textId="77777777" w:rsidR="0064697B" w:rsidRPr="00557FCA" w:rsidRDefault="0064697B" w:rsidP="00C517AF">
                  <w:pPr>
                    <w:framePr w:hSpace="180" w:wrap="around" w:vAnchor="text" w:hAnchor="text" w:y="1"/>
                    <w:suppressOverlap/>
                    <w:rPr>
                      <w:sz w:val="22"/>
                      <w:szCs w:val="22"/>
                      <w:lang w:eastAsia="en-US"/>
                    </w:rPr>
                  </w:pPr>
                  <w:r w:rsidRPr="00557FCA">
                    <w:rPr>
                      <w:sz w:val="22"/>
                      <w:szCs w:val="22"/>
                      <w:lang w:eastAsia="en-US"/>
                    </w:rPr>
                    <w:lastRenderedPageBreak/>
                    <w:t> </w:t>
                  </w:r>
                </w:p>
              </w:tc>
              <w:tc>
                <w:tcPr>
                  <w:tcW w:w="1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438AB0"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Mēnesis</w:t>
                  </w:r>
                </w:p>
              </w:tc>
              <w:tc>
                <w:tcPr>
                  <w:tcW w:w="1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2C582F" w14:textId="657584A1"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Summa</w:t>
                  </w:r>
                  <w:r w:rsidR="00187BC9" w:rsidRPr="00557FCA">
                    <w:rPr>
                      <w:sz w:val="22"/>
                      <w:szCs w:val="22"/>
                      <w:lang w:eastAsia="en-US"/>
                    </w:rPr>
                    <w:t xml:space="preserve"> (</w:t>
                  </w:r>
                  <w:proofErr w:type="spellStart"/>
                  <w:r w:rsidR="00187BC9" w:rsidRPr="00557FCA">
                    <w:rPr>
                      <w:i/>
                      <w:sz w:val="22"/>
                      <w:szCs w:val="22"/>
                      <w:lang w:eastAsia="en-US"/>
                    </w:rPr>
                    <w:t>euro</w:t>
                  </w:r>
                  <w:proofErr w:type="spellEnd"/>
                  <w:r w:rsidR="00187BC9" w:rsidRPr="00557FCA">
                    <w:rPr>
                      <w:sz w:val="22"/>
                      <w:szCs w:val="22"/>
                      <w:lang w:eastAsia="en-US"/>
                    </w:rPr>
                    <w:t>)</w:t>
                  </w:r>
                </w:p>
              </w:tc>
              <w:tc>
                <w:tcPr>
                  <w:tcW w:w="19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3FB92C"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Dalībnieku skaits</w:t>
                  </w:r>
                </w:p>
              </w:tc>
              <w:tc>
                <w:tcPr>
                  <w:tcW w:w="189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AFAC5F"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Vidējās izmaksas (</w:t>
                  </w:r>
                  <w:proofErr w:type="spellStart"/>
                  <w:r w:rsidRPr="00557FCA">
                    <w:rPr>
                      <w:i/>
                      <w:iCs/>
                      <w:sz w:val="22"/>
                      <w:szCs w:val="22"/>
                      <w:lang w:eastAsia="en-US"/>
                    </w:rPr>
                    <w:t>euro</w:t>
                  </w:r>
                  <w:proofErr w:type="spellEnd"/>
                  <w:r w:rsidRPr="00557FCA">
                    <w:rPr>
                      <w:sz w:val="22"/>
                      <w:szCs w:val="22"/>
                      <w:lang w:eastAsia="en-US"/>
                    </w:rPr>
                    <w:t>)</w:t>
                  </w:r>
                </w:p>
              </w:tc>
            </w:tr>
            <w:tr w:rsidR="00557FCA" w:rsidRPr="00557FCA" w14:paraId="49DBF619" w14:textId="77777777" w:rsidTr="00404CA9">
              <w:trPr>
                <w:trHeight w:val="365"/>
              </w:trPr>
              <w:tc>
                <w:tcPr>
                  <w:tcW w:w="66" w:type="dxa"/>
                  <w:vAlign w:val="center"/>
                  <w:hideMark/>
                </w:tcPr>
                <w:p w14:paraId="22AFEB74" w14:textId="77777777" w:rsidR="0064697B" w:rsidRPr="00557FCA" w:rsidRDefault="0064697B" w:rsidP="00C517AF">
                  <w:pPr>
                    <w:framePr w:hSpace="180" w:wrap="around" w:vAnchor="text" w:hAnchor="text" w:y="1"/>
                    <w:suppressOverlap/>
                    <w:rPr>
                      <w:sz w:val="22"/>
                      <w:szCs w:val="22"/>
                      <w:lang w:eastAsia="en-US"/>
                    </w:rPr>
                  </w:pPr>
                  <w:r w:rsidRPr="00557FCA">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E884BA"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Janvāris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38A743"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16522,53</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5B16B"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254</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44E48"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65,05</w:t>
                  </w:r>
                </w:p>
              </w:tc>
            </w:tr>
            <w:tr w:rsidR="00557FCA" w:rsidRPr="00557FCA" w14:paraId="32B479FD" w14:textId="77777777" w:rsidTr="00404CA9">
              <w:trPr>
                <w:trHeight w:val="365"/>
              </w:trPr>
              <w:tc>
                <w:tcPr>
                  <w:tcW w:w="66" w:type="dxa"/>
                  <w:vAlign w:val="center"/>
                  <w:hideMark/>
                </w:tcPr>
                <w:p w14:paraId="167D0409" w14:textId="77777777" w:rsidR="0064697B" w:rsidRPr="00557FCA" w:rsidRDefault="0064697B" w:rsidP="00C517AF">
                  <w:pPr>
                    <w:framePr w:hSpace="180" w:wrap="around" w:vAnchor="text" w:hAnchor="text" w:y="1"/>
                    <w:suppressOverlap/>
                    <w:rPr>
                      <w:sz w:val="22"/>
                      <w:szCs w:val="22"/>
                      <w:lang w:eastAsia="en-US"/>
                    </w:rPr>
                  </w:pPr>
                  <w:r w:rsidRPr="00557FCA">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1096C6"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Februāris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50B09"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8233,66</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541B2"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126</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261305"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65,35</w:t>
                  </w:r>
                </w:p>
              </w:tc>
            </w:tr>
            <w:tr w:rsidR="00557FCA" w:rsidRPr="00557FCA" w14:paraId="350D4AE8" w14:textId="77777777" w:rsidTr="00404CA9">
              <w:trPr>
                <w:trHeight w:val="365"/>
              </w:trPr>
              <w:tc>
                <w:tcPr>
                  <w:tcW w:w="66" w:type="dxa"/>
                  <w:vAlign w:val="center"/>
                  <w:hideMark/>
                </w:tcPr>
                <w:p w14:paraId="50B8AA36" w14:textId="77777777" w:rsidR="0064697B" w:rsidRPr="00557FCA" w:rsidRDefault="0064697B" w:rsidP="00C517AF">
                  <w:pPr>
                    <w:framePr w:hSpace="180" w:wrap="around" w:vAnchor="text" w:hAnchor="text" w:y="1"/>
                    <w:suppressOverlap/>
                    <w:rPr>
                      <w:sz w:val="22"/>
                      <w:szCs w:val="22"/>
                      <w:lang w:eastAsia="en-US"/>
                    </w:rPr>
                  </w:pPr>
                  <w:r w:rsidRPr="00557FCA">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66C883"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Marts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271CD6"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8080,05</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A1005"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128</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52DDD"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63,13</w:t>
                  </w:r>
                </w:p>
              </w:tc>
            </w:tr>
            <w:tr w:rsidR="00557FCA" w:rsidRPr="00557FCA" w14:paraId="2F10841C" w14:textId="77777777" w:rsidTr="00404CA9">
              <w:trPr>
                <w:trHeight w:val="365"/>
              </w:trPr>
              <w:tc>
                <w:tcPr>
                  <w:tcW w:w="66" w:type="dxa"/>
                  <w:vAlign w:val="center"/>
                  <w:hideMark/>
                </w:tcPr>
                <w:p w14:paraId="59FF807E" w14:textId="77777777" w:rsidR="0064697B" w:rsidRPr="00557FCA" w:rsidRDefault="0064697B" w:rsidP="00C517AF">
                  <w:pPr>
                    <w:framePr w:hSpace="180" w:wrap="around" w:vAnchor="text" w:hAnchor="text" w:y="1"/>
                    <w:suppressOverlap/>
                    <w:rPr>
                      <w:sz w:val="22"/>
                      <w:szCs w:val="22"/>
                      <w:lang w:eastAsia="en-US"/>
                    </w:rPr>
                  </w:pPr>
                  <w:r w:rsidRPr="00557FCA">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F1564A"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Aprīlis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819AA"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15898,52</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D8538"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234</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FC95EE"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67,94</w:t>
                  </w:r>
                </w:p>
              </w:tc>
            </w:tr>
            <w:tr w:rsidR="00557FCA" w:rsidRPr="00557FCA" w14:paraId="7DBF5E7D" w14:textId="77777777" w:rsidTr="00404CA9">
              <w:trPr>
                <w:trHeight w:val="365"/>
              </w:trPr>
              <w:tc>
                <w:tcPr>
                  <w:tcW w:w="66" w:type="dxa"/>
                  <w:vAlign w:val="center"/>
                  <w:hideMark/>
                </w:tcPr>
                <w:p w14:paraId="27A8E5F1" w14:textId="77777777" w:rsidR="0064697B" w:rsidRPr="00557FCA" w:rsidRDefault="0064697B" w:rsidP="00C517AF">
                  <w:pPr>
                    <w:framePr w:hSpace="180" w:wrap="around" w:vAnchor="text" w:hAnchor="text" w:y="1"/>
                    <w:suppressOverlap/>
                    <w:rPr>
                      <w:sz w:val="22"/>
                      <w:szCs w:val="22"/>
                      <w:lang w:eastAsia="en-US"/>
                    </w:rPr>
                  </w:pPr>
                  <w:r w:rsidRPr="00557FCA">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8A08C6"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Maijs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F4C93"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11691,26</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A98988"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172</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DF010"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67,97</w:t>
                  </w:r>
                </w:p>
              </w:tc>
            </w:tr>
            <w:tr w:rsidR="00557FCA" w:rsidRPr="00557FCA" w14:paraId="0110938F" w14:textId="77777777" w:rsidTr="00404CA9">
              <w:trPr>
                <w:trHeight w:val="365"/>
              </w:trPr>
              <w:tc>
                <w:tcPr>
                  <w:tcW w:w="66" w:type="dxa"/>
                  <w:vAlign w:val="center"/>
                  <w:hideMark/>
                </w:tcPr>
                <w:p w14:paraId="3198E8F5" w14:textId="77777777" w:rsidR="0064697B" w:rsidRPr="00557FCA" w:rsidRDefault="0064697B" w:rsidP="00C517AF">
                  <w:pPr>
                    <w:framePr w:hSpace="180" w:wrap="around" w:vAnchor="text" w:hAnchor="text" w:y="1"/>
                    <w:suppressOverlap/>
                    <w:rPr>
                      <w:sz w:val="22"/>
                      <w:szCs w:val="22"/>
                      <w:lang w:eastAsia="en-US"/>
                    </w:rPr>
                  </w:pPr>
                  <w:r w:rsidRPr="00557FCA">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2DC91B" w14:textId="77777777" w:rsidR="0064697B" w:rsidRPr="00557FCA" w:rsidRDefault="0064697B" w:rsidP="00C517AF">
                  <w:pPr>
                    <w:framePr w:hSpace="180" w:wrap="around" w:vAnchor="text" w:hAnchor="text" w:y="1"/>
                    <w:spacing w:line="252" w:lineRule="auto"/>
                    <w:suppressOverlap/>
                    <w:rPr>
                      <w:sz w:val="22"/>
                      <w:szCs w:val="22"/>
                      <w:lang w:eastAsia="en-US"/>
                    </w:rPr>
                  </w:pPr>
                  <w:r w:rsidRPr="00557FCA">
                    <w:rPr>
                      <w:sz w:val="22"/>
                      <w:szCs w:val="22"/>
                      <w:lang w:eastAsia="en-US"/>
                    </w:rPr>
                    <w:t>Jūnijs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89034D"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12989,62</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50696E"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183</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96D3C" w14:textId="77777777" w:rsidR="0064697B" w:rsidRPr="00557FCA" w:rsidRDefault="0064697B" w:rsidP="00C517AF">
                  <w:pPr>
                    <w:framePr w:hSpace="180" w:wrap="around" w:vAnchor="text" w:hAnchor="text" w:y="1"/>
                    <w:spacing w:line="252" w:lineRule="auto"/>
                    <w:suppressOverlap/>
                    <w:jc w:val="right"/>
                    <w:rPr>
                      <w:sz w:val="22"/>
                      <w:szCs w:val="22"/>
                      <w:lang w:eastAsia="en-US"/>
                    </w:rPr>
                  </w:pPr>
                  <w:r w:rsidRPr="00557FCA">
                    <w:rPr>
                      <w:sz w:val="22"/>
                      <w:szCs w:val="22"/>
                      <w:lang w:eastAsia="en-US"/>
                    </w:rPr>
                    <w:t>70,98</w:t>
                  </w:r>
                </w:p>
              </w:tc>
            </w:tr>
            <w:tr w:rsidR="00557FCA" w:rsidRPr="00557FCA" w14:paraId="1576E44A" w14:textId="77777777" w:rsidTr="00404CA9">
              <w:trPr>
                <w:trHeight w:val="175"/>
              </w:trPr>
              <w:tc>
                <w:tcPr>
                  <w:tcW w:w="66" w:type="dxa"/>
                  <w:vAlign w:val="center"/>
                  <w:hideMark/>
                </w:tcPr>
                <w:p w14:paraId="73F9729E" w14:textId="77777777" w:rsidR="0064697B" w:rsidRPr="00557FCA" w:rsidRDefault="0064697B" w:rsidP="00C517AF">
                  <w:pPr>
                    <w:framePr w:hSpace="180" w:wrap="around" w:vAnchor="text" w:hAnchor="text" w:y="1"/>
                    <w:suppressOverlap/>
                    <w:rPr>
                      <w:rFonts w:ascii="Calibri" w:hAnsi="Calibri"/>
                      <w:sz w:val="22"/>
                      <w:szCs w:val="22"/>
                      <w:lang w:eastAsia="en-US"/>
                    </w:rPr>
                  </w:pPr>
                </w:p>
              </w:tc>
              <w:tc>
                <w:tcPr>
                  <w:tcW w:w="1093" w:type="dxa"/>
                  <w:vAlign w:val="center"/>
                  <w:hideMark/>
                </w:tcPr>
                <w:p w14:paraId="43AF14E8" w14:textId="77777777" w:rsidR="0064697B" w:rsidRPr="00557FCA" w:rsidRDefault="0064697B" w:rsidP="00C517AF">
                  <w:pPr>
                    <w:framePr w:hSpace="180" w:wrap="around" w:vAnchor="text" w:hAnchor="text" w:y="1"/>
                    <w:suppressOverlap/>
                    <w:rPr>
                      <w:sz w:val="20"/>
                      <w:szCs w:val="20"/>
                    </w:rPr>
                  </w:pPr>
                </w:p>
              </w:tc>
              <w:tc>
                <w:tcPr>
                  <w:tcW w:w="1090" w:type="dxa"/>
                  <w:vAlign w:val="center"/>
                  <w:hideMark/>
                </w:tcPr>
                <w:p w14:paraId="2EC1D0E3" w14:textId="77777777" w:rsidR="0064697B" w:rsidRPr="00557FCA" w:rsidRDefault="0064697B" w:rsidP="00C517AF">
                  <w:pPr>
                    <w:framePr w:hSpace="180" w:wrap="around" w:vAnchor="text" w:hAnchor="text" w:y="1"/>
                    <w:suppressOverlap/>
                    <w:rPr>
                      <w:sz w:val="20"/>
                      <w:szCs w:val="20"/>
                    </w:rPr>
                  </w:pPr>
                </w:p>
              </w:tc>
              <w:tc>
                <w:tcPr>
                  <w:tcW w:w="1901" w:type="dxa"/>
                  <w:vAlign w:val="center"/>
                  <w:hideMark/>
                </w:tcPr>
                <w:p w14:paraId="5C776EAD" w14:textId="77777777" w:rsidR="0064697B" w:rsidRPr="00557FCA" w:rsidRDefault="0064697B" w:rsidP="00C517AF">
                  <w:pPr>
                    <w:framePr w:hSpace="180" w:wrap="around" w:vAnchor="text" w:hAnchor="text" w:y="1"/>
                    <w:suppressOverlap/>
                    <w:rPr>
                      <w:sz w:val="20"/>
                      <w:szCs w:val="20"/>
                    </w:rPr>
                  </w:pPr>
                </w:p>
              </w:tc>
              <w:tc>
                <w:tcPr>
                  <w:tcW w:w="1855" w:type="dxa"/>
                  <w:vAlign w:val="center"/>
                  <w:hideMark/>
                </w:tcPr>
                <w:p w14:paraId="6CDDD75C" w14:textId="77777777" w:rsidR="0064697B" w:rsidRPr="00557FCA" w:rsidRDefault="0064697B" w:rsidP="00C517AF">
                  <w:pPr>
                    <w:framePr w:hSpace="180" w:wrap="around" w:vAnchor="text" w:hAnchor="text" w:y="1"/>
                    <w:suppressOverlap/>
                    <w:rPr>
                      <w:sz w:val="20"/>
                      <w:szCs w:val="20"/>
                    </w:rPr>
                  </w:pPr>
                </w:p>
              </w:tc>
              <w:tc>
                <w:tcPr>
                  <w:tcW w:w="40" w:type="dxa"/>
                  <w:vAlign w:val="center"/>
                  <w:hideMark/>
                </w:tcPr>
                <w:p w14:paraId="159BCF92" w14:textId="77777777" w:rsidR="0064697B" w:rsidRPr="00557FCA" w:rsidRDefault="0064697B" w:rsidP="00C517AF">
                  <w:pPr>
                    <w:framePr w:hSpace="180" w:wrap="around" w:vAnchor="text" w:hAnchor="text" w:y="1"/>
                    <w:suppressOverlap/>
                    <w:rPr>
                      <w:sz w:val="20"/>
                      <w:szCs w:val="20"/>
                    </w:rPr>
                  </w:pPr>
                </w:p>
              </w:tc>
            </w:tr>
          </w:tbl>
          <w:p w14:paraId="51629F31" w14:textId="2735DCDD" w:rsidR="00DE3325" w:rsidRPr="00557FCA" w:rsidRDefault="0064697B" w:rsidP="00FC5BA0">
            <w:pPr>
              <w:pStyle w:val="ListParagraph"/>
              <w:spacing w:after="0" w:line="240" w:lineRule="auto"/>
              <w:ind w:left="0" w:right="145"/>
              <w:jc w:val="both"/>
              <w:rPr>
                <w:rFonts w:ascii="Times New Roman" w:hAnsi="Times New Roman"/>
                <w:iCs/>
                <w:sz w:val="24"/>
                <w:szCs w:val="24"/>
              </w:rPr>
            </w:pPr>
            <w:r w:rsidRPr="00557FCA">
              <w:rPr>
                <w:rFonts w:ascii="Times New Roman" w:hAnsi="Times New Roman"/>
                <w:iCs/>
                <w:sz w:val="24"/>
                <w:szCs w:val="24"/>
              </w:rPr>
              <w:t>Atbilstoši tabulā ietvertajai informācijai, izmaksu svārstības</w:t>
            </w:r>
            <w:r w:rsidRPr="00557FCA">
              <w:rPr>
                <w:rFonts w:ascii="Times New Roman" w:hAnsi="Times New Roman"/>
                <w:sz w:val="24"/>
                <w:szCs w:val="24"/>
              </w:rPr>
              <w:t xml:space="preserve"> 6 mēnešu periodā ir vien 7,85 </w:t>
            </w:r>
            <w:proofErr w:type="spellStart"/>
            <w:r w:rsidRPr="00557FCA">
              <w:rPr>
                <w:rFonts w:ascii="Times New Roman" w:hAnsi="Times New Roman"/>
                <w:i/>
                <w:iCs/>
                <w:sz w:val="24"/>
                <w:szCs w:val="24"/>
              </w:rPr>
              <w:t>euro</w:t>
            </w:r>
            <w:proofErr w:type="spellEnd"/>
            <w:r w:rsidRPr="00557FCA">
              <w:rPr>
                <w:rFonts w:ascii="Times New Roman" w:hAnsi="Times New Roman"/>
                <w:sz w:val="24"/>
                <w:szCs w:val="24"/>
              </w:rPr>
              <w:t>, kas norāda uz to, ka izmaksas transporta un īres izdevumu segšanai ik mēnesi katram iesaistītajam ir gandrīz nemainīgas atbilstoši izmaksu apliecinošajiem dokumentiem</w:t>
            </w:r>
            <w:r w:rsidR="00010036" w:rsidRPr="00557FCA">
              <w:rPr>
                <w:rFonts w:ascii="Times New Roman" w:hAnsi="Times New Roman"/>
                <w:sz w:val="24"/>
                <w:szCs w:val="24"/>
              </w:rPr>
              <w:t xml:space="preserve"> (Noteikumu projekta </w:t>
            </w:r>
            <w:r w:rsidR="00A062EC" w:rsidRPr="00557FCA">
              <w:rPr>
                <w:rFonts w:ascii="Times New Roman" w:hAnsi="Times New Roman"/>
                <w:sz w:val="24"/>
                <w:szCs w:val="24"/>
              </w:rPr>
              <w:t>44</w:t>
            </w:r>
            <w:r w:rsidR="00010036" w:rsidRPr="00557FCA">
              <w:rPr>
                <w:rFonts w:ascii="Times New Roman" w:hAnsi="Times New Roman"/>
                <w:sz w:val="24"/>
                <w:szCs w:val="24"/>
              </w:rPr>
              <w:t>. un 4</w:t>
            </w:r>
            <w:r w:rsidR="00A062EC" w:rsidRPr="00557FCA">
              <w:rPr>
                <w:rFonts w:ascii="Times New Roman" w:hAnsi="Times New Roman"/>
                <w:sz w:val="24"/>
                <w:szCs w:val="24"/>
              </w:rPr>
              <w:t>5</w:t>
            </w:r>
            <w:r w:rsidR="00010036" w:rsidRPr="00557FCA">
              <w:rPr>
                <w:rFonts w:ascii="Times New Roman" w:hAnsi="Times New Roman"/>
                <w:sz w:val="24"/>
                <w:szCs w:val="24"/>
              </w:rPr>
              <w:t>.punkts)</w:t>
            </w:r>
            <w:r w:rsidRPr="00557FCA">
              <w:rPr>
                <w:rFonts w:ascii="Times New Roman" w:hAnsi="Times New Roman"/>
                <w:sz w:val="24"/>
                <w:szCs w:val="24"/>
              </w:rPr>
              <w:t xml:space="preserve">. </w:t>
            </w:r>
          </w:p>
        </w:tc>
      </w:tr>
      <w:tr w:rsidR="00B76D85" w:rsidRPr="00293E58" w14:paraId="2D3D8AB2" w14:textId="77777777" w:rsidTr="00404CA9">
        <w:tc>
          <w:tcPr>
            <w:tcW w:w="207" w:type="pct"/>
            <w:shd w:val="clear" w:color="auto" w:fill="auto"/>
          </w:tcPr>
          <w:p w14:paraId="479BA8DD" w14:textId="77777777" w:rsidR="00B76D85" w:rsidRPr="00293E58" w:rsidRDefault="004373E9" w:rsidP="00554092">
            <w:pPr>
              <w:rPr>
                <w:sz w:val="22"/>
                <w:szCs w:val="22"/>
              </w:rPr>
            </w:pPr>
            <w:r w:rsidRPr="00293E58">
              <w:rPr>
                <w:sz w:val="22"/>
                <w:szCs w:val="22"/>
              </w:rPr>
              <w:lastRenderedPageBreak/>
              <w:t>3</w:t>
            </w:r>
            <w:r w:rsidR="00B76D85" w:rsidRPr="00293E58">
              <w:rPr>
                <w:sz w:val="22"/>
                <w:szCs w:val="22"/>
              </w:rPr>
              <w:t>.</w:t>
            </w:r>
          </w:p>
        </w:tc>
        <w:tc>
          <w:tcPr>
            <w:tcW w:w="1313" w:type="pct"/>
            <w:shd w:val="clear" w:color="auto" w:fill="auto"/>
          </w:tcPr>
          <w:p w14:paraId="39A9F350" w14:textId="77777777" w:rsidR="00B76D85" w:rsidRPr="00293E58" w:rsidRDefault="00B76D85" w:rsidP="00554092">
            <w:r w:rsidRPr="00293E58">
              <w:t>Projekta izstrādē iesaistītās institūcijas</w:t>
            </w:r>
          </w:p>
        </w:tc>
        <w:tc>
          <w:tcPr>
            <w:tcW w:w="3480" w:type="pct"/>
            <w:shd w:val="clear" w:color="auto" w:fill="auto"/>
          </w:tcPr>
          <w:p w14:paraId="47E81369" w14:textId="77777777" w:rsidR="00B76D85" w:rsidRPr="00293E58" w:rsidRDefault="00487AB1" w:rsidP="00554092">
            <w:pPr>
              <w:jc w:val="both"/>
              <w:rPr>
                <w:color w:val="000000"/>
              </w:rPr>
            </w:pPr>
            <w:r w:rsidRPr="00293E58">
              <w:rPr>
                <w:iCs/>
                <w:color w:val="000000"/>
              </w:rPr>
              <w:t>Nav.</w:t>
            </w:r>
          </w:p>
        </w:tc>
      </w:tr>
      <w:tr w:rsidR="00B76D85" w:rsidRPr="00293E58" w14:paraId="474AB0F5" w14:textId="77777777" w:rsidTr="00404CA9">
        <w:tc>
          <w:tcPr>
            <w:tcW w:w="207" w:type="pct"/>
            <w:shd w:val="clear" w:color="auto" w:fill="auto"/>
          </w:tcPr>
          <w:p w14:paraId="2CFEA98E" w14:textId="77777777" w:rsidR="00B76D85" w:rsidRPr="00293E58" w:rsidRDefault="004373E9" w:rsidP="00554092">
            <w:pPr>
              <w:rPr>
                <w:sz w:val="22"/>
                <w:szCs w:val="22"/>
              </w:rPr>
            </w:pPr>
            <w:r w:rsidRPr="00293E58">
              <w:rPr>
                <w:sz w:val="22"/>
                <w:szCs w:val="22"/>
              </w:rPr>
              <w:t>4</w:t>
            </w:r>
            <w:r w:rsidR="00B76D85" w:rsidRPr="00293E58">
              <w:rPr>
                <w:sz w:val="22"/>
                <w:szCs w:val="22"/>
              </w:rPr>
              <w:t xml:space="preserve">. </w:t>
            </w:r>
          </w:p>
        </w:tc>
        <w:tc>
          <w:tcPr>
            <w:tcW w:w="1313" w:type="pct"/>
            <w:shd w:val="clear" w:color="auto" w:fill="auto"/>
          </w:tcPr>
          <w:p w14:paraId="40BB6CBA" w14:textId="77777777" w:rsidR="00B76D85" w:rsidRPr="00293E58" w:rsidRDefault="00B76D85" w:rsidP="00554092">
            <w:r w:rsidRPr="00293E58">
              <w:t>Cita informācija</w:t>
            </w:r>
          </w:p>
        </w:tc>
        <w:tc>
          <w:tcPr>
            <w:tcW w:w="3480" w:type="pct"/>
            <w:shd w:val="clear" w:color="auto" w:fill="auto"/>
          </w:tcPr>
          <w:p w14:paraId="12937ABE" w14:textId="49A2168C" w:rsidR="00CB7C65" w:rsidRDefault="00CB7C65" w:rsidP="00251D02">
            <w:pPr>
              <w:jc w:val="both"/>
              <w:rPr>
                <w:color w:val="000000"/>
              </w:rPr>
            </w:pPr>
            <w:r>
              <w:rPr>
                <w:color w:val="000000"/>
              </w:rPr>
              <w:t xml:space="preserve">Minimālās </w:t>
            </w:r>
            <w:r w:rsidR="00A40314">
              <w:rPr>
                <w:color w:val="000000"/>
              </w:rPr>
              <w:t>mēnešalga</w:t>
            </w:r>
            <w:r>
              <w:rPr>
                <w:color w:val="000000"/>
              </w:rPr>
              <w:t>s pieauguma</w:t>
            </w:r>
            <w:r w:rsidR="00A40314">
              <w:rPr>
                <w:color w:val="000000"/>
              </w:rPr>
              <w:t xml:space="preserve"> (no 380 </w:t>
            </w:r>
            <w:proofErr w:type="spellStart"/>
            <w:r w:rsidR="00A40314" w:rsidRPr="00A40314">
              <w:rPr>
                <w:i/>
                <w:color w:val="000000"/>
              </w:rPr>
              <w:t>euro</w:t>
            </w:r>
            <w:proofErr w:type="spellEnd"/>
            <w:r w:rsidR="00A40314">
              <w:rPr>
                <w:color w:val="000000"/>
              </w:rPr>
              <w:t xml:space="preserve"> uz 430 </w:t>
            </w:r>
            <w:proofErr w:type="spellStart"/>
            <w:r w:rsidR="00A40314" w:rsidRPr="00A40314">
              <w:rPr>
                <w:i/>
                <w:color w:val="000000"/>
              </w:rPr>
              <w:t>euro</w:t>
            </w:r>
            <w:proofErr w:type="spellEnd"/>
            <w:r w:rsidR="00A40314">
              <w:rPr>
                <w:color w:val="000000"/>
              </w:rPr>
              <w:t>)</w:t>
            </w:r>
            <w:r w:rsidRPr="00A40314">
              <w:rPr>
                <w:i/>
                <w:color w:val="000000"/>
              </w:rPr>
              <w:t xml:space="preserve"> </w:t>
            </w:r>
            <w:r>
              <w:rPr>
                <w:color w:val="000000"/>
              </w:rPr>
              <w:t xml:space="preserve">ietekme uz projektiem no </w:t>
            </w:r>
            <w:proofErr w:type="gramStart"/>
            <w:r>
              <w:rPr>
                <w:color w:val="000000"/>
              </w:rPr>
              <w:t>2018.gada</w:t>
            </w:r>
            <w:proofErr w:type="gramEnd"/>
            <w:r>
              <w:rPr>
                <w:color w:val="000000"/>
              </w:rPr>
              <w:t>. 1.janvāra</w:t>
            </w:r>
            <w:r w:rsidR="00A40314">
              <w:rPr>
                <w:color w:val="000000"/>
              </w:rPr>
              <w:t>:</w:t>
            </w:r>
          </w:p>
          <w:p w14:paraId="4E60E69A" w14:textId="22F15BDF" w:rsidR="00A40314" w:rsidRDefault="00A40314" w:rsidP="00251D02">
            <w:pPr>
              <w:jc w:val="both"/>
              <w:rPr>
                <w:color w:val="000000"/>
              </w:rPr>
            </w:pPr>
          </w:p>
          <w:p w14:paraId="7B9BB14D" w14:textId="049F73BF" w:rsidR="00251D02" w:rsidRPr="00A40314" w:rsidRDefault="00A40314" w:rsidP="00DA76A8">
            <w:pPr>
              <w:pStyle w:val="ListParagraph"/>
              <w:numPr>
                <w:ilvl w:val="0"/>
                <w:numId w:val="4"/>
              </w:numPr>
              <w:spacing w:after="0" w:line="240" w:lineRule="auto"/>
              <w:ind w:left="0" w:firstLine="0"/>
              <w:jc w:val="both"/>
              <w:rPr>
                <w:rFonts w:ascii="Times New Roman" w:hAnsi="Times New Roman"/>
                <w:i/>
                <w:color w:val="000000"/>
                <w:sz w:val="24"/>
                <w:szCs w:val="24"/>
              </w:rPr>
            </w:pPr>
            <w:r w:rsidRPr="00A40314">
              <w:rPr>
                <w:rFonts w:ascii="Times New Roman" w:hAnsi="Times New Roman"/>
                <w:color w:val="000000"/>
                <w:sz w:val="24"/>
                <w:szCs w:val="24"/>
              </w:rPr>
              <w:t xml:space="preserve">Darbības programmas </w:t>
            </w:r>
            <w:r w:rsidRPr="00A40314">
              <w:rPr>
                <w:rFonts w:ascii="Times New Roman" w:hAnsi="Times New Roman"/>
                <w:bCs/>
                <w:iCs/>
                <w:color w:val="000000"/>
                <w:sz w:val="24"/>
                <w:szCs w:val="24"/>
              </w:rPr>
              <w:t>„</w:t>
            </w:r>
            <w:r w:rsidRPr="00A40314">
              <w:rPr>
                <w:rFonts w:ascii="Times New Roman" w:hAnsi="Times New Roman"/>
                <w:color w:val="000000"/>
                <w:sz w:val="24"/>
                <w:szCs w:val="24"/>
              </w:rPr>
              <w:t xml:space="preserve">Izaugsme un nodarbinātība” 9.1.1. specifiskā atbalsta mērķa </w:t>
            </w:r>
            <w:r w:rsidRPr="00A40314">
              <w:rPr>
                <w:rFonts w:ascii="Times New Roman" w:hAnsi="Times New Roman"/>
                <w:bCs/>
                <w:iCs/>
                <w:color w:val="000000"/>
                <w:sz w:val="24"/>
                <w:szCs w:val="24"/>
              </w:rPr>
              <w:t>„</w:t>
            </w:r>
            <w:r w:rsidRPr="00A40314">
              <w:rPr>
                <w:rFonts w:ascii="Times New Roman" w:hAnsi="Times New Roman"/>
                <w:color w:val="000000"/>
                <w:sz w:val="24"/>
                <w:szCs w:val="24"/>
              </w:rPr>
              <w:t xml:space="preserve">Palielināt nelabvēlīgākā situācijā esošu bezdarbnieku iekļaušanos darba tirgū” 9.1.1.1. pasākuma </w:t>
            </w:r>
            <w:r w:rsidRPr="00A40314">
              <w:rPr>
                <w:rFonts w:ascii="Times New Roman" w:hAnsi="Times New Roman"/>
                <w:bCs/>
                <w:iCs/>
                <w:color w:val="000000"/>
                <w:sz w:val="24"/>
                <w:szCs w:val="24"/>
              </w:rPr>
              <w:t>„</w:t>
            </w:r>
            <w:r w:rsidRPr="00A40314">
              <w:rPr>
                <w:rFonts w:ascii="Times New Roman" w:hAnsi="Times New Roman"/>
                <w:color w:val="000000"/>
                <w:sz w:val="24"/>
                <w:szCs w:val="24"/>
              </w:rPr>
              <w:t xml:space="preserve">Subsidētās darbavietas nelabvēlīgākā situācijā esošiem bezdarbniekiem” ietvaros provizoriskais iztrūkums ir 997 000 </w:t>
            </w:r>
            <w:proofErr w:type="spellStart"/>
            <w:r w:rsidRPr="00A40314">
              <w:rPr>
                <w:rFonts w:ascii="Times New Roman" w:hAnsi="Times New Roman"/>
                <w:i/>
                <w:color w:val="000000"/>
                <w:sz w:val="24"/>
                <w:szCs w:val="24"/>
              </w:rPr>
              <w:t>euro</w:t>
            </w:r>
            <w:proofErr w:type="spellEnd"/>
            <w:r>
              <w:rPr>
                <w:rFonts w:ascii="Times New Roman" w:hAnsi="Times New Roman"/>
                <w:i/>
                <w:color w:val="000000"/>
                <w:sz w:val="24"/>
                <w:szCs w:val="24"/>
              </w:rPr>
              <w:t xml:space="preserve"> </w:t>
            </w:r>
            <w:r>
              <w:rPr>
                <w:rFonts w:ascii="Times New Roman" w:hAnsi="Times New Roman"/>
                <w:color w:val="000000"/>
                <w:sz w:val="24"/>
                <w:szCs w:val="24"/>
              </w:rPr>
              <w:t>(iespējamā rādītajā neizpilde – 188 bezdarbnieki)</w:t>
            </w:r>
            <w:r w:rsidRPr="00A40314">
              <w:rPr>
                <w:rFonts w:ascii="Times New Roman" w:hAnsi="Times New Roman"/>
                <w:i/>
                <w:color w:val="000000"/>
                <w:sz w:val="24"/>
                <w:szCs w:val="24"/>
              </w:rPr>
              <w:t>.</w:t>
            </w:r>
          </w:p>
          <w:p w14:paraId="1EEDD18F" w14:textId="77777777" w:rsidR="00251D02" w:rsidRPr="00251D02" w:rsidRDefault="00251D02" w:rsidP="00A40314">
            <w:pPr>
              <w:ind w:left="-52"/>
              <w:jc w:val="both"/>
              <w:rPr>
                <w:color w:val="000000"/>
              </w:rPr>
            </w:pPr>
            <w:r w:rsidRPr="00251D02">
              <w:rPr>
                <w:color w:val="000000"/>
              </w:rPr>
              <w:t>Aprēķins veikts pamatojoties uz:</w:t>
            </w:r>
          </w:p>
          <w:p w14:paraId="5360B268" w14:textId="44D71115" w:rsidR="00251D02" w:rsidRPr="00251D02" w:rsidRDefault="00251D02" w:rsidP="00A40314">
            <w:pPr>
              <w:ind w:left="-52"/>
              <w:jc w:val="both"/>
              <w:rPr>
                <w:color w:val="000000"/>
              </w:rPr>
            </w:pPr>
            <w:r w:rsidRPr="00251D02">
              <w:rPr>
                <w:color w:val="000000"/>
              </w:rPr>
              <w:t xml:space="preserve"> </w:t>
            </w:r>
            <w:r w:rsidR="00A40314">
              <w:rPr>
                <w:color w:val="000000"/>
              </w:rPr>
              <w:t xml:space="preserve">- </w:t>
            </w:r>
            <w:r w:rsidRPr="00251D02">
              <w:rPr>
                <w:color w:val="000000"/>
              </w:rPr>
              <w:t>šī brīža vidējām izmaksām projektā;</w:t>
            </w:r>
          </w:p>
          <w:p w14:paraId="3FA91846" w14:textId="13CAC5F4" w:rsidR="00251D02" w:rsidRPr="00251D02" w:rsidRDefault="00A40314" w:rsidP="00A40314">
            <w:pPr>
              <w:ind w:left="-52"/>
              <w:jc w:val="both"/>
              <w:rPr>
                <w:color w:val="000000"/>
              </w:rPr>
            </w:pPr>
            <w:r>
              <w:rPr>
                <w:color w:val="000000"/>
              </w:rPr>
              <w:t xml:space="preserve">- </w:t>
            </w:r>
            <w:r w:rsidR="00251D02" w:rsidRPr="00251D02">
              <w:rPr>
                <w:color w:val="000000"/>
              </w:rPr>
              <w:t>šī brīža pasākumu nosacījumiem (t.sk., iesaistes termiņiem);</w:t>
            </w:r>
          </w:p>
          <w:p w14:paraId="5514FCC3" w14:textId="20C59342" w:rsidR="00251D02" w:rsidRPr="00251D02" w:rsidRDefault="00A40314" w:rsidP="00A40314">
            <w:pPr>
              <w:ind w:left="-52"/>
              <w:jc w:val="both"/>
              <w:rPr>
                <w:color w:val="000000"/>
              </w:rPr>
            </w:pPr>
            <w:r>
              <w:rPr>
                <w:color w:val="000000"/>
              </w:rPr>
              <w:t xml:space="preserve">- </w:t>
            </w:r>
            <w:r w:rsidR="00251D02" w:rsidRPr="00251D02">
              <w:rPr>
                <w:color w:val="000000"/>
              </w:rPr>
              <w:t>piemērots finanšu atbirums 17,41% apmērā, atbilstoši projektā līdz 15.05.2017. atlikumam līgumos, kuros saistības ir izpildītas;</w:t>
            </w:r>
          </w:p>
          <w:p w14:paraId="21319BAF" w14:textId="34366366" w:rsidR="00251D02" w:rsidRPr="00251D02" w:rsidRDefault="00A40314" w:rsidP="00A40314">
            <w:pPr>
              <w:ind w:left="-52"/>
              <w:jc w:val="both"/>
              <w:rPr>
                <w:color w:val="000000"/>
              </w:rPr>
            </w:pPr>
            <w:r>
              <w:rPr>
                <w:color w:val="000000"/>
              </w:rPr>
              <w:t xml:space="preserve">- </w:t>
            </w:r>
            <w:r w:rsidR="00251D02" w:rsidRPr="00251D02">
              <w:rPr>
                <w:color w:val="000000"/>
              </w:rPr>
              <w:t>pieņēmumu, ka izdevumi attiecīgajās izdevumu pozīcijās palielināsies par 16% saistībā ar min</w:t>
            </w:r>
            <w:r>
              <w:rPr>
                <w:color w:val="000000"/>
              </w:rPr>
              <w:t xml:space="preserve">imālās </w:t>
            </w:r>
            <w:r w:rsidR="00251D02" w:rsidRPr="00251D02">
              <w:rPr>
                <w:color w:val="000000"/>
              </w:rPr>
              <w:t xml:space="preserve">algas palielinājumu par 50 </w:t>
            </w:r>
            <w:proofErr w:type="spellStart"/>
            <w:r w:rsidRPr="00A40314">
              <w:rPr>
                <w:i/>
                <w:color w:val="000000"/>
              </w:rPr>
              <w:t>euro</w:t>
            </w:r>
            <w:proofErr w:type="spellEnd"/>
            <w:r w:rsidR="00251D02" w:rsidRPr="00A40314">
              <w:rPr>
                <w:i/>
                <w:color w:val="000000"/>
              </w:rPr>
              <w:t xml:space="preserve"> </w:t>
            </w:r>
            <w:r w:rsidR="00251D02" w:rsidRPr="00251D02">
              <w:rPr>
                <w:color w:val="000000"/>
              </w:rPr>
              <w:t xml:space="preserve">(projektā </w:t>
            </w:r>
            <w:proofErr w:type="gramStart"/>
            <w:r w:rsidR="00251D02" w:rsidRPr="00251D02">
              <w:rPr>
                <w:color w:val="000000"/>
              </w:rPr>
              <w:t>2017.gadā</w:t>
            </w:r>
            <w:proofErr w:type="gramEnd"/>
            <w:r w:rsidR="00251D02" w:rsidRPr="00251D02">
              <w:rPr>
                <w:color w:val="000000"/>
              </w:rPr>
              <w:t>,  kad min</w:t>
            </w:r>
            <w:r>
              <w:rPr>
                <w:color w:val="000000"/>
              </w:rPr>
              <w:t>imālā</w:t>
            </w:r>
            <w:r w:rsidR="00251D02" w:rsidRPr="00251D02">
              <w:rPr>
                <w:color w:val="000000"/>
              </w:rPr>
              <w:t xml:space="preserve"> alga palielinājās par 10 </w:t>
            </w:r>
            <w:proofErr w:type="spellStart"/>
            <w:r w:rsidRPr="00A40314">
              <w:rPr>
                <w:i/>
                <w:color w:val="000000"/>
              </w:rPr>
              <w:t>euro</w:t>
            </w:r>
            <w:proofErr w:type="spellEnd"/>
            <w:r w:rsidR="00251D02" w:rsidRPr="00251D02">
              <w:rPr>
                <w:color w:val="000000"/>
              </w:rPr>
              <w:t xml:space="preserve"> pret 2016.gada min</w:t>
            </w:r>
            <w:r>
              <w:rPr>
                <w:color w:val="000000"/>
              </w:rPr>
              <w:t xml:space="preserve">imālo algo </w:t>
            </w:r>
            <w:r w:rsidR="00251D02" w:rsidRPr="00251D02">
              <w:rPr>
                <w:color w:val="000000"/>
              </w:rPr>
              <w:t>algu, plānotie izdevumi palielinājās par 3,2%, līdz ar to veikts pieņēmums, ka izdevumi palielināsies par 5 reizēm vairāk, tātad 16%);</w:t>
            </w:r>
          </w:p>
          <w:p w14:paraId="072E500F" w14:textId="2EB13E71" w:rsidR="00251D02" w:rsidRPr="00251D02" w:rsidRDefault="00A40314" w:rsidP="00A40314">
            <w:pPr>
              <w:ind w:left="-52"/>
              <w:jc w:val="both"/>
              <w:rPr>
                <w:color w:val="000000"/>
              </w:rPr>
            </w:pPr>
            <w:r>
              <w:rPr>
                <w:color w:val="000000"/>
              </w:rPr>
              <w:t xml:space="preserve">- </w:t>
            </w:r>
            <w:r w:rsidR="00251D02" w:rsidRPr="00251D02">
              <w:rPr>
                <w:color w:val="000000"/>
              </w:rPr>
              <w:t xml:space="preserve">pieņēmumu, ka </w:t>
            </w:r>
            <w:r>
              <w:rPr>
                <w:color w:val="000000"/>
              </w:rPr>
              <w:t>bezdarbniekiem</w:t>
            </w:r>
            <w:r w:rsidR="00251D02" w:rsidRPr="00251D02">
              <w:rPr>
                <w:color w:val="000000"/>
              </w:rPr>
              <w:t xml:space="preserve"> ar invaliditāti būs nepieciešams 100% apmērā projektā norādītais surdotulka un atbalsta personu pakalpojumu skaits</w:t>
            </w:r>
            <w:r>
              <w:rPr>
                <w:color w:val="000000"/>
              </w:rPr>
              <w:t>.</w:t>
            </w:r>
          </w:p>
          <w:p w14:paraId="16C20DDE" w14:textId="77777777" w:rsidR="00251D02" w:rsidRPr="00251D02" w:rsidRDefault="00251D02" w:rsidP="00251D02">
            <w:pPr>
              <w:jc w:val="both"/>
              <w:rPr>
                <w:color w:val="000000"/>
              </w:rPr>
            </w:pPr>
            <w:r w:rsidRPr="00251D02">
              <w:rPr>
                <w:color w:val="000000"/>
              </w:rPr>
              <w:t xml:space="preserve"> </w:t>
            </w:r>
          </w:p>
          <w:p w14:paraId="17C0E110" w14:textId="6A2B9A8A" w:rsidR="00251D02" w:rsidRPr="00E03393" w:rsidRDefault="00537911" w:rsidP="00DA76A8">
            <w:pPr>
              <w:pStyle w:val="ListParagraph"/>
              <w:numPr>
                <w:ilvl w:val="0"/>
                <w:numId w:val="4"/>
              </w:numPr>
              <w:spacing w:after="0" w:line="240" w:lineRule="auto"/>
              <w:ind w:left="0" w:firstLine="0"/>
              <w:jc w:val="both"/>
              <w:rPr>
                <w:rFonts w:ascii="Times New Roman" w:hAnsi="Times New Roman"/>
                <w:color w:val="000000"/>
                <w:sz w:val="24"/>
                <w:szCs w:val="24"/>
              </w:rPr>
            </w:pPr>
            <w:r w:rsidRPr="00E03393">
              <w:rPr>
                <w:rFonts w:ascii="Times New Roman" w:hAnsi="Times New Roman"/>
                <w:sz w:val="24"/>
                <w:szCs w:val="24"/>
              </w:rPr>
              <w:t xml:space="preserve">Darbības programmas </w:t>
            </w:r>
            <w:r w:rsidRPr="00E03393">
              <w:rPr>
                <w:rFonts w:ascii="Times New Roman" w:hAnsi="Times New Roman"/>
                <w:bCs/>
                <w:iCs/>
                <w:sz w:val="24"/>
                <w:szCs w:val="24"/>
              </w:rPr>
              <w:t>„</w:t>
            </w:r>
            <w:r w:rsidRPr="00E03393">
              <w:rPr>
                <w:rFonts w:ascii="Times New Roman" w:hAnsi="Times New Roman"/>
                <w:sz w:val="24"/>
                <w:szCs w:val="24"/>
              </w:rPr>
              <w:t xml:space="preserve">Izaugsme un nodarbinātība” 7.1.1.specifiskā atbalsta mērķa </w:t>
            </w:r>
            <w:r w:rsidRPr="00E03393">
              <w:rPr>
                <w:rFonts w:ascii="Times New Roman" w:hAnsi="Times New Roman"/>
                <w:bCs/>
                <w:iCs/>
                <w:sz w:val="24"/>
                <w:szCs w:val="24"/>
              </w:rPr>
              <w:t>„</w:t>
            </w:r>
            <w:r w:rsidRPr="00E03393">
              <w:rPr>
                <w:rFonts w:ascii="Times New Roman" w:hAnsi="Times New Roman"/>
                <w:sz w:val="24"/>
                <w:szCs w:val="24"/>
              </w:rPr>
              <w:t xml:space="preserve">Paaugstināt bezdarbnieku kvalifikāciju un prasmes atbilstoši darba tirgus pieprasījumam” </w:t>
            </w:r>
            <w:r w:rsidR="00251D02" w:rsidRPr="00E03393">
              <w:rPr>
                <w:rFonts w:ascii="Times New Roman" w:hAnsi="Times New Roman"/>
                <w:color w:val="000000"/>
                <w:sz w:val="24"/>
                <w:szCs w:val="24"/>
              </w:rPr>
              <w:t xml:space="preserve">pasākumā </w:t>
            </w:r>
            <w:r w:rsidR="00E03393" w:rsidRPr="00E03393">
              <w:rPr>
                <w:rFonts w:ascii="Times New Roman" w:hAnsi="Times New Roman"/>
                <w:bCs/>
                <w:iCs/>
                <w:color w:val="000000"/>
                <w:sz w:val="24"/>
                <w:szCs w:val="24"/>
              </w:rPr>
              <w:t>„</w:t>
            </w:r>
            <w:r w:rsidR="00251D02" w:rsidRPr="00E03393">
              <w:rPr>
                <w:rFonts w:ascii="Times New Roman" w:hAnsi="Times New Roman"/>
                <w:color w:val="000000"/>
                <w:sz w:val="24"/>
                <w:szCs w:val="24"/>
              </w:rPr>
              <w:t>Apmācība pie darba devēja</w:t>
            </w:r>
            <w:r w:rsidR="00E03393" w:rsidRPr="00E03393">
              <w:rPr>
                <w:rFonts w:ascii="Times New Roman" w:hAnsi="Times New Roman"/>
                <w:color w:val="000000"/>
                <w:sz w:val="24"/>
                <w:szCs w:val="24"/>
              </w:rPr>
              <w:t>”</w:t>
            </w:r>
            <w:r w:rsidR="00251D02" w:rsidRPr="00E03393">
              <w:rPr>
                <w:rFonts w:ascii="Times New Roman" w:hAnsi="Times New Roman"/>
                <w:color w:val="000000"/>
                <w:sz w:val="24"/>
                <w:szCs w:val="24"/>
              </w:rPr>
              <w:t xml:space="preserve"> NVA </w:t>
            </w:r>
            <w:r w:rsidR="00E03393" w:rsidRPr="00E03393">
              <w:rPr>
                <w:rFonts w:ascii="Times New Roman" w:hAnsi="Times New Roman"/>
                <w:color w:val="000000"/>
                <w:sz w:val="24"/>
                <w:szCs w:val="24"/>
              </w:rPr>
              <w:t xml:space="preserve">dotācijas veidā </w:t>
            </w:r>
            <w:r w:rsidR="00251D02" w:rsidRPr="00E03393">
              <w:rPr>
                <w:rFonts w:ascii="Times New Roman" w:hAnsi="Times New Roman"/>
                <w:color w:val="000000"/>
                <w:sz w:val="24"/>
                <w:szCs w:val="24"/>
              </w:rPr>
              <w:t>sedz</w:t>
            </w:r>
            <w:r w:rsidR="00E03393" w:rsidRPr="00E03393">
              <w:rPr>
                <w:rFonts w:ascii="Times New Roman" w:hAnsi="Times New Roman"/>
                <w:color w:val="000000"/>
                <w:sz w:val="24"/>
                <w:szCs w:val="24"/>
              </w:rPr>
              <w:t xml:space="preserve"> daļu no darba vadītāja algas:</w:t>
            </w:r>
            <w:r w:rsidR="00251D02" w:rsidRPr="00E03393">
              <w:rPr>
                <w:rFonts w:ascii="Times New Roman" w:hAnsi="Times New Roman"/>
                <w:color w:val="000000"/>
                <w:sz w:val="24"/>
                <w:szCs w:val="24"/>
              </w:rPr>
              <w:t xml:space="preserve"> </w:t>
            </w:r>
          </w:p>
          <w:p w14:paraId="0CF40970" w14:textId="40412E4E" w:rsidR="00E03393" w:rsidRDefault="00251D02" w:rsidP="00172879">
            <w:pPr>
              <w:jc w:val="both"/>
              <w:rPr>
                <w:color w:val="000000"/>
              </w:rPr>
            </w:pPr>
            <w:r w:rsidRPr="00E03393">
              <w:rPr>
                <w:color w:val="000000"/>
              </w:rPr>
              <w:lastRenderedPageBreak/>
              <w:t xml:space="preserve">6 mēneši </w:t>
            </w:r>
            <w:r w:rsidR="00E03393" w:rsidRPr="00E03393">
              <w:rPr>
                <w:color w:val="000000"/>
              </w:rPr>
              <w:t>*</w:t>
            </w:r>
            <w:r w:rsidRPr="00E03393">
              <w:rPr>
                <w:color w:val="000000"/>
              </w:rPr>
              <w:t xml:space="preserve"> 25 </w:t>
            </w:r>
            <w:proofErr w:type="spellStart"/>
            <w:r w:rsidR="007438C2" w:rsidRPr="007438C2">
              <w:rPr>
                <w:i/>
                <w:color w:val="000000"/>
              </w:rPr>
              <w:t>euro</w:t>
            </w:r>
            <w:proofErr w:type="spellEnd"/>
            <w:r w:rsidRPr="00E03393">
              <w:rPr>
                <w:color w:val="000000"/>
              </w:rPr>
              <w:t xml:space="preserve"> (puse no palielinājuma - 50 </w:t>
            </w:r>
            <w:proofErr w:type="spellStart"/>
            <w:r w:rsidR="007438C2" w:rsidRPr="007438C2">
              <w:rPr>
                <w:i/>
                <w:color w:val="000000"/>
              </w:rPr>
              <w:t>euro</w:t>
            </w:r>
            <w:proofErr w:type="spellEnd"/>
            <w:r w:rsidRPr="00E03393">
              <w:rPr>
                <w:color w:val="000000"/>
              </w:rPr>
              <w:t xml:space="preserve">) </w:t>
            </w:r>
            <w:r w:rsidR="00E03393" w:rsidRPr="00E03393">
              <w:rPr>
                <w:color w:val="000000"/>
              </w:rPr>
              <w:t>*</w:t>
            </w:r>
            <w:r w:rsidRPr="00E03393">
              <w:rPr>
                <w:color w:val="000000"/>
              </w:rPr>
              <w:t xml:space="preserve"> 180 dalībnieki (vidējais dalībnieku skaits gadā) </w:t>
            </w:r>
            <w:r w:rsidR="00E03393" w:rsidRPr="00E03393">
              <w:rPr>
                <w:color w:val="000000"/>
              </w:rPr>
              <w:t>*</w:t>
            </w:r>
            <w:r w:rsidRPr="00E03393">
              <w:rPr>
                <w:color w:val="000000"/>
              </w:rPr>
              <w:t xml:space="preserve"> 4 gadi (īstenošanas 2018.-</w:t>
            </w:r>
            <w:proofErr w:type="gramStart"/>
            <w:r w:rsidRPr="00E03393">
              <w:rPr>
                <w:color w:val="000000"/>
              </w:rPr>
              <w:t>2021.g.</w:t>
            </w:r>
            <w:proofErr w:type="gramEnd"/>
            <w:r w:rsidRPr="00E03393">
              <w:rPr>
                <w:color w:val="000000"/>
              </w:rPr>
              <w:t xml:space="preserve">) = 108 000 </w:t>
            </w:r>
            <w:proofErr w:type="spellStart"/>
            <w:r w:rsidR="007438C2" w:rsidRPr="007438C2">
              <w:rPr>
                <w:i/>
                <w:color w:val="000000"/>
              </w:rPr>
              <w:t>euro</w:t>
            </w:r>
            <w:proofErr w:type="spellEnd"/>
            <w:r w:rsidR="00E03393">
              <w:rPr>
                <w:color w:val="000000"/>
              </w:rPr>
              <w:t xml:space="preserve">. </w:t>
            </w:r>
          </w:p>
          <w:p w14:paraId="76349DFA" w14:textId="582F9B8C" w:rsidR="00E03393" w:rsidRPr="00E03393" w:rsidRDefault="00E03393" w:rsidP="00251D02">
            <w:pPr>
              <w:jc w:val="both"/>
              <w:rPr>
                <w:color w:val="000000"/>
              </w:rPr>
            </w:pPr>
            <w:r>
              <w:rPr>
                <w:color w:val="000000"/>
              </w:rPr>
              <w:t xml:space="preserve">Ņemot vērā, ka finanšu ietekme pret visu projekta finansējumu ir neliela, izmaiņas neapdraud projekta rezultatīvo rādītāju sasniegšanu. </w:t>
            </w:r>
          </w:p>
          <w:p w14:paraId="1A1C77F2" w14:textId="77777777" w:rsidR="00251D02" w:rsidRPr="00251D02" w:rsidRDefault="00251D02" w:rsidP="00251D02">
            <w:pPr>
              <w:jc w:val="both"/>
              <w:rPr>
                <w:color w:val="000000"/>
              </w:rPr>
            </w:pPr>
          </w:p>
          <w:p w14:paraId="0CE6A1F6" w14:textId="0FADBE2E" w:rsidR="00251D02" w:rsidRPr="004B45B5" w:rsidRDefault="004B45B5" w:rsidP="00251D02">
            <w:pPr>
              <w:jc w:val="both"/>
              <w:rPr>
                <w:color w:val="000000"/>
              </w:rPr>
            </w:pPr>
            <w:r w:rsidRPr="004B45B5">
              <w:rPr>
                <w:rFonts w:eastAsia="Calibri"/>
                <w:color w:val="000000"/>
                <w:lang w:eastAsia="en-US"/>
              </w:rPr>
              <w:t xml:space="preserve">3. Darbības programmas </w:t>
            </w:r>
            <w:r w:rsidRPr="004B45B5">
              <w:rPr>
                <w:rFonts w:eastAsia="Calibri"/>
                <w:bCs/>
                <w:iCs/>
                <w:color w:val="000000"/>
                <w:lang w:eastAsia="en-US"/>
              </w:rPr>
              <w:t>„</w:t>
            </w:r>
            <w:r w:rsidRPr="004B45B5">
              <w:rPr>
                <w:rFonts w:eastAsia="Calibri"/>
                <w:color w:val="000000"/>
                <w:lang w:eastAsia="en-US"/>
              </w:rPr>
              <w:t xml:space="preserve">Izaugsme un nodarbinātība” 7.2.1.specifiskā atbalsta mērķa </w:t>
            </w:r>
            <w:r w:rsidRPr="004B45B5">
              <w:rPr>
                <w:rFonts w:eastAsia="Calibri"/>
                <w:bCs/>
                <w:iCs/>
                <w:color w:val="000000"/>
                <w:lang w:eastAsia="en-US"/>
              </w:rPr>
              <w:t>„</w:t>
            </w:r>
            <w:r w:rsidRPr="004B45B5">
              <w:rPr>
                <w:rFonts w:eastAsia="Calibri"/>
                <w:color w:val="000000"/>
                <w:lang w:eastAsia="en-US"/>
              </w:rPr>
              <w:t>Palielināt nodarbinātībā, izglītībā vai apmācībās neiesaistītu jauniešu nodarbinātību un izglītības ieguvi Jauniešu garantijas ietvaros</w:t>
            </w:r>
            <w:r w:rsidR="00033038">
              <w:rPr>
                <w:rFonts w:eastAsia="Calibri"/>
                <w:color w:val="000000"/>
                <w:lang w:eastAsia="en-US"/>
              </w:rPr>
              <w:t>”</w:t>
            </w:r>
            <w:r w:rsidRPr="004B45B5">
              <w:rPr>
                <w:rFonts w:eastAsia="Calibri"/>
                <w:color w:val="000000"/>
                <w:lang w:eastAsia="en-US"/>
              </w:rPr>
              <w:t xml:space="preserve"> pasākum</w:t>
            </w:r>
            <w:r w:rsidR="007438C2">
              <w:rPr>
                <w:rFonts w:eastAsia="Calibri"/>
                <w:color w:val="000000"/>
                <w:lang w:eastAsia="en-US"/>
              </w:rPr>
              <w:t>i</w:t>
            </w:r>
            <w:r w:rsidRPr="004B45B5">
              <w:rPr>
                <w:rFonts w:eastAsia="Calibri"/>
                <w:color w:val="000000"/>
                <w:lang w:eastAsia="en-US"/>
              </w:rPr>
              <w:t xml:space="preserve"> </w:t>
            </w:r>
            <w:r w:rsidRPr="004B45B5">
              <w:rPr>
                <w:rFonts w:eastAsia="Calibri"/>
                <w:bCs/>
                <w:iCs/>
                <w:color w:val="000000"/>
                <w:lang w:eastAsia="en-US"/>
              </w:rPr>
              <w:t>„</w:t>
            </w:r>
            <w:r w:rsidRPr="004B45B5">
              <w:rPr>
                <w:rFonts w:eastAsia="Calibri"/>
                <w:color w:val="000000"/>
                <w:lang w:eastAsia="en-US"/>
              </w:rPr>
              <w:t xml:space="preserve">Aktīvās darba tirgus politikas pasākumu īstenošana jauniešu bezdarbnieku nodarbinātības veicināšanai” un </w:t>
            </w:r>
            <w:r w:rsidRPr="004B45B5">
              <w:rPr>
                <w:rFonts w:eastAsia="Calibri"/>
                <w:bCs/>
                <w:iCs/>
                <w:color w:val="000000"/>
                <w:lang w:eastAsia="en-US"/>
              </w:rPr>
              <w:t>„</w:t>
            </w:r>
            <w:r w:rsidRPr="004B45B5">
              <w:rPr>
                <w:rFonts w:eastAsia="Calibri"/>
                <w:color w:val="000000"/>
                <w:lang w:eastAsia="en-US"/>
              </w:rPr>
              <w:t>Sākotnējās profesionālās izglītības programmu īstenošana Jauniešu garantijas ietvaros”</w:t>
            </w:r>
            <w:r>
              <w:rPr>
                <w:rFonts w:eastAsia="Calibri"/>
                <w:color w:val="000000"/>
                <w:lang w:eastAsia="en-US"/>
              </w:rPr>
              <w:t xml:space="preserve">: </w:t>
            </w:r>
          </w:p>
          <w:p w14:paraId="06E017D0" w14:textId="79B7CC38" w:rsidR="00251D02" w:rsidRPr="00251D02" w:rsidRDefault="00251D02" w:rsidP="00251D02">
            <w:pPr>
              <w:jc w:val="both"/>
              <w:rPr>
                <w:color w:val="000000"/>
              </w:rPr>
            </w:pPr>
            <w:r w:rsidRPr="00251D02">
              <w:rPr>
                <w:color w:val="000000"/>
              </w:rPr>
              <w:t xml:space="preserve">- </w:t>
            </w:r>
            <w:r w:rsidR="004B45B5" w:rsidRPr="004B45B5">
              <w:rPr>
                <w:bCs/>
                <w:iCs/>
                <w:color w:val="000000"/>
              </w:rPr>
              <w:t>„</w:t>
            </w:r>
            <w:r w:rsidRPr="00251D02">
              <w:rPr>
                <w:color w:val="000000"/>
              </w:rPr>
              <w:t>Apmācība pie darba devēja</w:t>
            </w:r>
            <w:r w:rsidR="004B45B5">
              <w:rPr>
                <w:color w:val="000000"/>
              </w:rPr>
              <w:t>”</w:t>
            </w:r>
            <w:r w:rsidRPr="00251D02">
              <w:rPr>
                <w:color w:val="000000"/>
              </w:rPr>
              <w:t xml:space="preserve">: 50 dalībnieki </w:t>
            </w:r>
            <w:r w:rsidR="007438C2">
              <w:rPr>
                <w:color w:val="000000"/>
              </w:rPr>
              <w:t>*</w:t>
            </w:r>
            <w:r w:rsidRPr="00251D02">
              <w:rPr>
                <w:color w:val="000000"/>
              </w:rPr>
              <w:t xml:space="preserve"> 25 </w:t>
            </w:r>
            <w:proofErr w:type="spellStart"/>
            <w:r w:rsidR="007438C2" w:rsidRPr="007438C2">
              <w:rPr>
                <w:i/>
                <w:color w:val="000000"/>
              </w:rPr>
              <w:t>euro</w:t>
            </w:r>
            <w:proofErr w:type="spellEnd"/>
            <w:r w:rsidRPr="00251D02">
              <w:rPr>
                <w:color w:val="000000"/>
              </w:rPr>
              <w:t xml:space="preserve"> </w:t>
            </w:r>
            <w:r w:rsidR="007438C2">
              <w:rPr>
                <w:color w:val="000000"/>
              </w:rPr>
              <w:t>*</w:t>
            </w:r>
            <w:r w:rsidRPr="00251D02">
              <w:rPr>
                <w:color w:val="000000"/>
              </w:rPr>
              <w:t xml:space="preserve"> 6 mēneši x 1 gads = 7 500 </w:t>
            </w:r>
            <w:proofErr w:type="spellStart"/>
            <w:r w:rsidR="007438C2" w:rsidRPr="007438C2">
              <w:rPr>
                <w:i/>
                <w:color w:val="000000"/>
              </w:rPr>
              <w:t>euro</w:t>
            </w:r>
            <w:proofErr w:type="spellEnd"/>
            <w:r w:rsidR="004B45B5" w:rsidRPr="007438C2">
              <w:rPr>
                <w:i/>
                <w:color w:val="000000"/>
              </w:rPr>
              <w:t xml:space="preserve"> </w:t>
            </w:r>
            <w:r w:rsidR="004B45B5">
              <w:rPr>
                <w:color w:val="000000"/>
              </w:rPr>
              <w:t xml:space="preserve">(pieaugums </w:t>
            </w:r>
            <w:r w:rsidR="007438C2">
              <w:rPr>
                <w:color w:val="000000"/>
              </w:rPr>
              <w:t>atlīdzībai darba vadītājam);</w:t>
            </w:r>
          </w:p>
          <w:p w14:paraId="5DFE37F0" w14:textId="01B90A12" w:rsidR="00251D02" w:rsidRPr="007438C2" w:rsidRDefault="00251D02" w:rsidP="00251D02">
            <w:pPr>
              <w:jc w:val="both"/>
              <w:rPr>
                <w:color w:val="000000"/>
              </w:rPr>
            </w:pPr>
            <w:r w:rsidRPr="00251D02">
              <w:rPr>
                <w:color w:val="000000"/>
              </w:rPr>
              <w:t xml:space="preserve">- </w:t>
            </w:r>
            <w:r w:rsidR="007438C2" w:rsidRPr="007438C2">
              <w:rPr>
                <w:bCs/>
                <w:iCs/>
                <w:color w:val="000000"/>
              </w:rPr>
              <w:t>„</w:t>
            </w:r>
            <w:r w:rsidRPr="00251D02">
              <w:rPr>
                <w:color w:val="000000"/>
              </w:rPr>
              <w:t>Pirmā darba pieredze</w:t>
            </w:r>
            <w:r w:rsidR="007438C2">
              <w:rPr>
                <w:color w:val="000000"/>
              </w:rPr>
              <w:t>”</w:t>
            </w:r>
            <w:r w:rsidRPr="00251D02">
              <w:rPr>
                <w:color w:val="000000"/>
              </w:rPr>
              <w:t xml:space="preserve"> (dotācija darba vadītājam): 12 mēneši </w:t>
            </w:r>
            <w:r w:rsidR="007438C2">
              <w:rPr>
                <w:color w:val="000000"/>
              </w:rPr>
              <w:t>*</w:t>
            </w:r>
            <w:r w:rsidRPr="00251D02">
              <w:rPr>
                <w:color w:val="000000"/>
              </w:rPr>
              <w:t xml:space="preserve"> 25 </w:t>
            </w:r>
            <w:proofErr w:type="spellStart"/>
            <w:r w:rsidR="007438C2" w:rsidRPr="007438C2">
              <w:rPr>
                <w:i/>
                <w:color w:val="000000"/>
              </w:rPr>
              <w:t>euro</w:t>
            </w:r>
            <w:proofErr w:type="spellEnd"/>
            <w:r w:rsidRPr="00251D02">
              <w:rPr>
                <w:color w:val="000000"/>
              </w:rPr>
              <w:t xml:space="preserve"> </w:t>
            </w:r>
            <w:r w:rsidR="007438C2">
              <w:rPr>
                <w:color w:val="000000"/>
              </w:rPr>
              <w:t>*</w:t>
            </w:r>
            <w:r w:rsidRPr="00251D02">
              <w:rPr>
                <w:color w:val="000000"/>
              </w:rPr>
              <w:t xml:space="preserve"> 117 dalībnieki = 35 100 </w:t>
            </w:r>
            <w:proofErr w:type="spellStart"/>
            <w:r w:rsidR="007438C2" w:rsidRPr="007438C2">
              <w:rPr>
                <w:i/>
                <w:color w:val="000000"/>
              </w:rPr>
              <w:t>euro</w:t>
            </w:r>
            <w:proofErr w:type="spellEnd"/>
            <w:r w:rsidR="007438C2">
              <w:rPr>
                <w:color w:val="000000"/>
              </w:rPr>
              <w:t>;</w:t>
            </w:r>
          </w:p>
          <w:p w14:paraId="7CB4E6EC" w14:textId="4D00061B" w:rsidR="00251D02" w:rsidRPr="00251D02" w:rsidRDefault="00251D02" w:rsidP="00251D02">
            <w:pPr>
              <w:jc w:val="both"/>
              <w:rPr>
                <w:color w:val="000000"/>
              </w:rPr>
            </w:pPr>
            <w:r w:rsidRPr="00251D02">
              <w:rPr>
                <w:color w:val="000000"/>
              </w:rPr>
              <w:t xml:space="preserve">- </w:t>
            </w:r>
            <w:r w:rsidR="007438C2" w:rsidRPr="007438C2">
              <w:rPr>
                <w:bCs/>
                <w:iCs/>
                <w:color w:val="000000"/>
              </w:rPr>
              <w:t>„</w:t>
            </w:r>
            <w:r w:rsidRPr="00251D02">
              <w:rPr>
                <w:color w:val="000000"/>
              </w:rPr>
              <w:t>Subsidētā nodarbinātība</w:t>
            </w:r>
            <w:r w:rsidR="007438C2">
              <w:rPr>
                <w:color w:val="000000"/>
              </w:rPr>
              <w:t>” (</w:t>
            </w:r>
            <w:r w:rsidRPr="00251D02">
              <w:rPr>
                <w:color w:val="000000"/>
              </w:rPr>
              <w:t>dotācija darba vadītājam</w:t>
            </w:r>
            <w:r w:rsidR="007438C2">
              <w:rPr>
                <w:color w:val="000000"/>
              </w:rPr>
              <w:t>)</w:t>
            </w:r>
            <w:r w:rsidRPr="00251D02">
              <w:rPr>
                <w:color w:val="000000"/>
              </w:rPr>
              <w:t xml:space="preserve">: (3 mēneši </w:t>
            </w:r>
            <w:r w:rsidR="007438C2">
              <w:rPr>
                <w:color w:val="000000"/>
              </w:rPr>
              <w:t>*</w:t>
            </w:r>
            <w:r w:rsidRPr="00251D02">
              <w:rPr>
                <w:color w:val="000000"/>
              </w:rPr>
              <w:t xml:space="preserve"> 187 dalībnieki bez invaliditātes </w:t>
            </w:r>
            <w:r w:rsidR="007438C2">
              <w:rPr>
                <w:color w:val="000000"/>
              </w:rPr>
              <w:t>*</w:t>
            </w:r>
            <w:r w:rsidRPr="00251D02">
              <w:rPr>
                <w:color w:val="000000"/>
              </w:rPr>
              <w:t xml:space="preserve"> 25 </w:t>
            </w:r>
            <w:proofErr w:type="spellStart"/>
            <w:r w:rsidR="007438C2" w:rsidRPr="007438C2">
              <w:rPr>
                <w:i/>
                <w:color w:val="000000"/>
              </w:rPr>
              <w:t>euro</w:t>
            </w:r>
            <w:proofErr w:type="spellEnd"/>
            <w:r w:rsidRPr="00251D02">
              <w:rPr>
                <w:color w:val="000000"/>
              </w:rPr>
              <w:t xml:space="preserve"> </w:t>
            </w:r>
            <w:r w:rsidR="007438C2">
              <w:rPr>
                <w:color w:val="000000"/>
              </w:rPr>
              <w:t>*</w:t>
            </w:r>
            <w:r w:rsidRPr="00251D02">
              <w:rPr>
                <w:color w:val="000000"/>
              </w:rPr>
              <w:t xml:space="preserve"> 1 gads) + (12 mēneši </w:t>
            </w:r>
            <w:r w:rsidR="007438C2">
              <w:rPr>
                <w:color w:val="000000"/>
              </w:rPr>
              <w:t>*</w:t>
            </w:r>
            <w:r w:rsidRPr="00251D02">
              <w:rPr>
                <w:color w:val="000000"/>
              </w:rPr>
              <w:t xml:space="preserve"> 188 dalībnieki ar invaliditāti </w:t>
            </w:r>
            <w:r w:rsidR="007438C2">
              <w:rPr>
                <w:color w:val="000000"/>
              </w:rPr>
              <w:t>*</w:t>
            </w:r>
            <w:r w:rsidRPr="00251D02">
              <w:rPr>
                <w:color w:val="000000"/>
              </w:rPr>
              <w:t xml:space="preserve"> 25 </w:t>
            </w:r>
            <w:proofErr w:type="spellStart"/>
            <w:r w:rsidR="007438C2" w:rsidRPr="007438C2">
              <w:rPr>
                <w:i/>
                <w:color w:val="000000"/>
              </w:rPr>
              <w:t>euro</w:t>
            </w:r>
            <w:proofErr w:type="spellEnd"/>
            <w:r w:rsidRPr="00251D02">
              <w:rPr>
                <w:color w:val="000000"/>
              </w:rPr>
              <w:t xml:space="preserve"> </w:t>
            </w:r>
            <w:r w:rsidR="007438C2">
              <w:rPr>
                <w:color w:val="000000"/>
              </w:rPr>
              <w:t>*</w:t>
            </w:r>
            <w:r w:rsidRPr="00251D02">
              <w:rPr>
                <w:color w:val="000000"/>
              </w:rPr>
              <w:t xml:space="preserve"> 1 gads) = 70 425 </w:t>
            </w:r>
            <w:proofErr w:type="spellStart"/>
            <w:r w:rsidR="007438C2" w:rsidRPr="007438C2">
              <w:rPr>
                <w:i/>
                <w:color w:val="000000"/>
              </w:rPr>
              <w:t>euro</w:t>
            </w:r>
            <w:proofErr w:type="spellEnd"/>
            <w:r w:rsidR="007438C2" w:rsidRPr="007438C2">
              <w:rPr>
                <w:color w:val="000000"/>
              </w:rPr>
              <w:t>;</w:t>
            </w:r>
          </w:p>
          <w:p w14:paraId="430BEBC9" w14:textId="58C0B0DD" w:rsidR="00251D02" w:rsidRDefault="00251D02" w:rsidP="00251D02">
            <w:pPr>
              <w:jc w:val="both"/>
              <w:rPr>
                <w:i/>
                <w:color w:val="000000"/>
              </w:rPr>
            </w:pPr>
            <w:r w:rsidRPr="00251D02">
              <w:rPr>
                <w:color w:val="000000"/>
              </w:rPr>
              <w:t xml:space="preserve">- </w:t>
            </w:r>
            <w:r w:rsidR="007438C2" w:rsidRPr="007438C2">
              <w:rPr>
                <w:bCs/>
                <w:iCs/>
                <w:color w:val="000000"/>
              </w:rPr>
              <w:t>„</w:t>
            </w:r>
            <w:r w:rsidRPr="00251D02">
              <w:rPr>
                <w:color w:val="000000"/>
              </w:rPr>
              <w:t>Subsidētā nodarbinātība</w:t>
            </w:r>
            <w:r w:rsidR="007438C2">
              <w:rPr>
                <w:color w:val="000000"/>
              </w:rPr>
              <w:t>”</w:t>
            </w:r>
            <w:r w:rsidRPr="00251D02">
              <w:rPr>
                <w:color w:val="000000"/>
              </w:rPr>
              <w:t xml:space="preserve"> </w:t>
            </w:r>
            <w:r w:rsidR="007438C2">
              <w:rPr>
                <w:color w:val="000000"/>
              </w:rPr>
              <w:t>(</w:t>
            </w:r>
            <w:r w:rsidRPr="00251D02">
              <w:rPr>
                <w:color w:val="000000"/>
              </w:rPr>
              <w:t>dotācija darba algai</w:t>
            </w:r>
            <w:r w:rsidR="007438C2">
              <w:rPr>
                <w:color w:val="000000"/>
              </w:rPr>
              <w:t>)</w:t>
            </w:r>
            <w:r w:rsidRPr="00251D02">
              <w:rPr>
                <w:color w:val="000000"/>
              </w:rPr>
              <w:t xml:space="preserve">: 12 mēneši </w:t>
            </w:r>
            <w:r w:rsidR="007438C2">
              <w:rPr>
                <w:color w:val="000000"/>
              </w:rPr>
              <w:t>*</w:t>
            </w:r>
            <w:r w:rsidRPr="00251D02">
              <w:rPr>
                <w:color w:val="000000"/>
              </w:rPr>
              <w:t xml:space="preserve"> 375 dalībnieki </w:t>
            </w:r>
            <w:r w:rsidR="007438C2">
              <w:rPr>
                <w:color w:val="000000"/>
              </w:rPr>
              <w:t>*</w:t>
            </w:r>
            <w:r w:rsidRPr="00251D02">
              <w:rPr>
                <w:color w:val="000000"/>
              </w:rPr>
              <w:t xml:space="preserve"> 50 </w:t>
            </w:r>
            <w:proofErr w:type="spellStart"/>
            <w:r w:rsidR="007438C2" w:rsidRPr="007438C2">
              <w:rPr>
                <w:i/>
                <w:color w:val="000000"/>
              </w:rPr>
              <w:t>euro</w:t>
            </w:r>
            <w:proofErr w:type="spellEnd"/>
            <w:r w:rsidRPr="00251D02">
              <w:rPr>
                <w:color w:val="000000"/>
              </w:rPr>
              <w:t xml:space="preserve"> = 225</w:t>
            </w:r>
            <w:r w:rsidR="007438C2">
              <w:rPr>
                <w:color w:val="000000"/>
              </w:rPr>
              <w:t> </w:t>
            </w:r>
            <w:r w:rsidRPr="00251D02">
              <w:rPr>
                <w:color w:val="000000"/>
              </w:rPr>
              <w:t>000</w:t>
            </w:r>
            <w:r w:rsidR="007438C2">
              <w:rPr>
                <w:color w:val="000000"/>
              </w:rPr>
              <w:t xml:space="preserve"> </w:t>
            </w:r>
            <w:proofErr w:type="spellStart"/>
            <w:r w:rsidR="007438C2" w:rsidRPr="007438C2">
              <w:rPr>
                <w:i/>
                <w:color w:val="000000"/>
              </w:rPr>
              <w:t>euro</w:t>
            </w:r>
            <w:proofErr w:type="spellEnd"/>
            <w:r w:rsidR="007438C2">
              <w:rPr>
                <w:i/>
                <w:color w:val="000000"/>
              </w:rPr>
              <w:t>.</w:t>
            </w:r>
          </w:p>
          <w:p w14:paraId="734DE353" w14:textId="5A5D846B" w:rsidR="007438C2" w:rsidRDefault="007438C2" w:rsidP="00251D02">
            <w:pPr>
              <w:jc w:val="both"/>
              <w:rPr>
                <w:color w:val="000000"/>
              </w:rPr>
            </w:pPr>
          </w:p>
          <w:p w14:paraId="143A20C7" w14:textId="31493561" w:rsidR="00251D02" w:rsidRPr="00251D02" w:rsidRDefault="007438C2" w:rsidP="00251D02">
            <w:pPr>
              <w:jc w:val="both"/>
              <w:rPr>
                <w:color w:val="000000"/>
              </w:rPr>
            </w:pPr>
            <w:r>
              <w:rPr>
                <w:color w:val="000000"/>
              </w:rPr>
              <w:t xml:space="preserve">Izmaksu pieaugums Jauniešu garantijas pasākumos kopā: </w:t>
            </w:r>
            <w:r w:rsidR="00251D02" w:rsidRPr="00251D02">
              <w:rPr>
                <w:color w:val="000000"/>
              </w:rPr>
              <w:t xml:space="preserve">338 025 </w:t>
            </w:r>
            <w:proofErr w:type="spellStart"/>
            <w:r w:rsidRPr="007438C2">
              <w:rPr>
                <w:i/>
                <w:color w:val="000000"/>
              </w:rPr>
              <w:t>euro</w:t>
            </w:r>
            <w:proofErr w:type="spellEnd"/>
            <w:r>
              <w:rPr>
                <w:color w:val="000000"/>
              </w:rPr>
              <w:t>.</w:t>
            </w:r>
          </w:p>
          <w:p w14:paraId="7146E1A0" w14:textId="7A178312" w:rsidR="00B76D85" w:rsidRPr="00293E58" w:rsidRDefault="00B03CFB" w:rsidP="00172879">
            <w:pPr>
              <w:jc w:val="both"/>
              <w:rPr>
                <w:color w:val="000000"/>
              </w:rPr>
            </w:pPr>
            <w:r>
              <w:rPr>
                <w:color w:val="000000"/>
              </w:rPr>
              <w:t>A</w:t>
            </w:r>
            <w:r w:rsidR="00251D02" w:rsidRPr="00251D02">
              <w:rPr>
                <w:color w:val="000000"/>
              </w:rPr>
              <w:t>prēķināta maksimālā iespējamā ietekme, ja dalībnieks piedalās pasākumā visu iesaistes laiku un nepamet dalību ātrāk.</w:t>
            </w:r>
            <w:r w:rsidR="00172879" w:rsidRPr="00172879">
              <w:rPr>
                <w:color w:val="000000"/>
              </w:rPr>
              <w:t xml:space="preserve"> Ņemot vērā, ka finanšu ietekme pret visu projekta finansējumu ir neliela, izmaiņas neapdraud projekta rezultatīvo rādītāju sasniegšanu. </w:t>
            </w:r>
          </w:p>
        </w:tc>
      </w:tr>
    </w:tbl>
    <w:p w14:paraId="17738E55" w14:textId="509E568D" w:rsidR="00B76D85" w:rsidRPr="00293E58" w:rsidRDefault="00B76D85" w:rsidP="00B76D85">
      <w:pPr>
        <w:jc w:val="cente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410"/>
        <w:gridCol w:w="6407"/>
      </w:tblGrid>
      <w:tr w:rsidR="00C01716" w:rsidRPr="00293E58" w14:paraId="2BC7E452" w14:textId="77777777" w:rsidTr="00564CD3">
        <w:tc>
          <w:tcPr>
            <w:tcW w:w="9214" w:type="dxa"/>
            <w:gridSpan w:val="3"/>
            <w:shd w:val="clear" w:color="auto" w:fill="auto"/>
          </w:tcPr>
          <w:p w14:paraId="472818DD" w14:textId="77777777" w:rsidR="00230730" w:rsidRPr="00293E58" w:rsidRDefault="00C01716" w:rsidP="006A7D0B">
            <w:pPr>
              <w:pStyle w:val="naisnod"/>
              <w:spacing w:before="0" w:after="0"/>
              <w:ind w:left="57" w:right="57"/>
              <w:rPr>
                <w:b w:val="0"/>
              </w:rPr>
            </w:pPr>
            <w:r w:rsidRPr="00293E58">
              <w:t>II</w:t>
            </w:r>
            <w:r w:rsidR="00DC37D9" w:rsidRPr="00293E58">
              <w:t>.</w:t>
            </w:r>
            <w:r w:rsidRPr="00293E58">
              <w:rPr>
                <w:b w:val="0"/>
              </w:rPr>
              <w:t xml:space="preserve"> </w:t>
            </w:r>
            <w:r w:rsidR="00230730" w:rsidRPr="00293E58">
              <w:t>Tiesību akta projekta ietekme uz sabiedrību, tautsaimniecības attīstību</w:t>
            </w:r>
          </w:p>
          <w:p w14:paraId="684EA2C9" w14:textId="77777777" w:rsidR="00C01716" w:rsidRPr="00293E58" w:rsidRDefault="00230730" w:rsidP="006A7D0B">
            <w:pPr>
              <w:jc w:val="center"/>
              <w:rPr>
                <w:b/>
              </w:rPr>
            </w:pPr>
            <w:r w:rsidRPr="00293E58">
              <w:rPr>
                <w:b/>
              </w:rPr>
              <w:t>un administratīvo slogu</w:t>
            </w:r>
          </w:p>
        </w:tc>
      </w:tr>
      <w:tr w:rsidR="00B76D85" w:rsidRPr="00293E58" w14:paraId="3631FD49" w14:textId="77777777" w:rsidTr="00564CD3">
        <w:tc>
          <w:tcPr>
            <w:tcW w:w="397" w:type="dxa"/>
            <w:shd w:val="clear" w:color="auto" w:fill="auto"/>
          </w:tcPr>
          <w:p w14:paraId="2E8ED576" w14:textId="77777777" w:rsidR="00B76D85" w:rsidRPr="00293E58" w:rsidRDefault="00B76D85" w:rsidP="00242D7D">
            <w:pPr>
              <w:rPr>
                <w:sz w:val="22"/>
                <w:szCs w:val="22"/>
              </w:rPr>
            </w:pPr>
            <w:r w:rsidRPr="00293E58">
              <w:rPr>
                <w:sz w:val="22"/>
                <w:szCs w:val="22"/>
              </w:rPr>
              <w:t>1</w:t>
            </w:r>
            <w:r w:rsidR="00972CA4" w:rsidRPr="00293E58">
              <w:rPr>
                <w:sz w:val="22"/>
                <w:szCs w:val="22"/>
              </w:rPr>
              <w:t>.</w:t>
            </w:r>
          </w:p>
        </w:tc>
        <w:tc>
          <w:tcPr>
            <w:tcW w:w="2410" w:type="dxa"/>
            <w:shd w:val="clear" w:color="auto" w:fill="auto"/>
          </w:tcPr>
          <w:p w14:paraId="389FE822" w14:textId="77777777" w:rsidR="00B76D85" w:rsidRPr="00293E58" w:rsidRDefault="00230730" w:rsidP="00242D7D">
            <w:pPr>
              <w:rPr>
                <w:sz w:val="22"/>
                <w:szCs w:val="22"/>
              </w:rPr>
            </w:pPr>
            <w:r w:rsidRPr="00293E58">
              <w:t>Sabiedrības mērķgrupas, kuras tiesiskais regulējums ietekmē vai varētu ietekmēt</w:t>
            </w:r>
          </w:p>
        </w:tc>
        <w:tc>
          <w:tcPr>
            <w:tcW w:w="6407" w:type="dxa"/>
            <w:shd w:val="clear" w:color="auto" w:fill="auto"/>
          </w:tcPr>
          <w:p w14:paraId="69993924" w14:textId="77777777" w:rsidR="00B76D85" w:rsidRPr="00293E58" w:rsidRDefault="00530882" w:rsidP="000C21CB">
            <w:pPr>
              <w:jc w:val="both"/>
              <w:rPr>
                <w:iCs/>
                <w:color w:val="000000"/>
              </w:rPr>
            </w:pPr>
            <w:r w:rsidRPr="00293E58">
              <w:rPr>
                <w:iCs/>
                <w:color w:val="000000"/>
              </w:rPr>
              <w:t xml:space="preserve">Noteikumu projekts attiecas uz </w:t>
            </w:r>
            <w:r w:rsidR="002A6C23" w:rsidRPr="00293E58">
              <w:rPr>
                <w:iCs/>
                <w:color w:val="000000"/>
              </w:rPr>
              <w:t>a</w:t>
            </w:r>
            <w:r w:rsidRPr="00293E58">
              <w:rPr>
                <w:iCs/>
                <w:color w:val="000000"/>
              </w:rPr>
              <w:t>ģentūrā reģistrētajiem bezdarbnieki</w:t>
            </w:r>
            <w:r w:rsidR="006A0595" w:rsidRPr="00293E58">
              <w:rPr>
                <w:iCs/>
                <w:color w:val="000000"/>
              </w:rPr>
              <w:t>em</w:t>
            </w:r>
            <w:r w:rsidR="009417C4" w:rsidRPr="00293E58">
              <w:rPr>
                <w:iCs/>
                <w:color w:val="000000"/>
              </w:rPr>
              <w:t xml:space="preserve"> un darba meklētājiem</w:t>
            </w:r>
            <w:r w:rsidR="00D161E1" w:rsidRPr="00293E58">
              <w:rPr>
                <w:iCs/>
                <w:color w:val="000000"/>
              </w:rPr>
              <w:t xml:space="preserve">, </w:t>
            </w:r>
            <w:r w:rsidR="002A6C23" w:rsidRPr="00293E58">
              <w:rPr>
                <w:iCs/>
                <w:color w:val="000000"/>
              </w:rPr>
              <w:t xml:space="preserve">aģentūru, </w:t>
            </w:r>
            <w:r w:rsidR="00D161E1" w:rsidRPr="00293E58">
              <w:rPr>
                <w:iCs/>
                <w:color w:val="000000"/>
              </w:rPr>
              <w:t xml:space="preserve">kā arī </w:t>
            </w:r>
            <w:r w:rsidR="00734A90" w:rsidRPr="00293E58">
              <w:rPr>
                <w:iCs/>
                <w:color w:val="000000"/>
              </w:rPr>
              <w:t>Latvijas Republikā reģistrētām un akreditētām izglītības iestādēm</w:t>
            </w:r>
            <w:r w:rsidR="00D161E1" w:rsidRPr="00293E58">
              <w:rPr>
                <w:iCs/>
                <w:color w:val="000000"/>
              </w:rPr>
              <w:t>.</w:t>
            </w:r>
            <w:r w:rsidR="009417C4" w:rsidRPr="00293E58">
              <w:rPr>
                <w:iCs/>
                <w:color w:val="000000"/>
              </w:rPr>
              <w:t xml:space="preserve"> </w:t>
            </w:r>
            <w:r w:rsidR="00D161E1" w:rsidRPr="00293E58">
              <w:rPr>
                <w:iCs/>
                <w:color w:val="000000"/>
              </w:rPr>
              <w:t>A</w:t>
            </w:r>
            <w:r w:rsidR="003E5101" w:rsidRPr="00293E58">
              <w:rPr>
                <w:iCs/>
                <w:color w:val="000000"/>
              </w:rPr>
              <w:t xml:space="preserve">tbilstoši </w:t>
            </w:r>
            <w:r w:rsidR="002A6C23" w:rsidRPr="00293E58">
              <w:rPr>
                <w:iCs/>
                <w:color w:val="000000"/>
              </w:rPr>
              <w:t>a</w:t>
            </w:r>
            <w:r w:rsidR="00F8389D" w:rsidRPr="00293E58">
              <w:rPr>
                <w:iCs/>
                <w:color w:val="000000"/>
              </w:rPr>
              <w:t xml:space="preserve">ģentūras statistiskajai informācijai </w:t>
            </w:r>
            <w:r w:rsidR="009C6D5E" w:rsidRPr="00293E58">
              <w:rPr>
                <w:iCs/>
                <w:color w:val="000000"/>
              </w:rPr>
              <w:t>2017</w:t>
            </w:r>
            <w:r w:rsidR="00F8389D" w:rsidRPr="00293E58">
              <w:rPr>
                <w:iCs/>
                <w:color w:val="000000"/>
              </w:rPr>
              <w:t xml:space="preserve">.gada </w:t>
            </w:r>
            <w:r w:rsidR="005E7CBD" w:rsidRPr="00293E58">
              <w:rPr>
                <w:iCs/>
                <w:color w:val="000000"/>
              </w:rPr>
              <w:t>jūnija beigās</w:t>
            </w:r>
            <w:r w:rsidR="006C5E5A" w:rsidRPr="00293E58">
              <w:rPr>
                <w:iCs/>
                <w:color w:val="000000"/>
              </w:rPr>
              <w:t xml:space="preserve"> </w:t>
            </w:r>
            <w:r w:rsidR="00F8389D" w:rsidRPr="00293E58">
              <w:rPr>
                <w:iCs/>
                <w:color w:val="000000"/>
              </w:rPr>
              <w:t xml:space="preserve">bezdarbnieka statusā atradās </w:t>
            </w:r>
            <w:r w:rsidR="005E7CBD" w:rsidRPr="00293E58">
              <w:rPr>
                <w:iCs/>
                <w:color w:val="000000"/>
              </w:rPr>
              <w:t>66</w:t>
            </w:r>
            <w:r w:rsidR="006F4B62" w:rsidRPr="00293E58">
              <w:rPr>
                <w:iCs/>
                <w:color w:val="000000"/>
              </w:rPr>
              <w:t> </w:t>
            </w:r>
            <w:r w:rsidR="005E7CBD" w:rsidRPr="00293E58">
              <w:rPr>
                <w:iCs/>
                <w:color w:val="000000"/>
              </w:rPr>
              <w:t>708</w:t>
            </w:r>
            <w:r w:rsidR="006F4B62" w:rsidRPr="00293E58">
              <w:rPr>
                <w:iCs/>
                <w:color w:val="000000"/>
              </w:rPr>
              <w:t xml:space="preserve"> </w:t>
            </w:r>
            <w:r w:rsidR="009C6D5E" w:rsidRPr="00293E58">
              <w:rPr>
                <w:iCs/>
                <w:color w:val="000000"/>
              </w:rPr>
              <w:t xml:space="preserve"> persona. No reģistrētajiem bezdarbniekiem </w:t>
            </w:r>
            <w:r w:rsidR="00A1029C" w:rsidRPr="00293E58">
              <w:rPr>
                <w:iCs/>
                <w:color w:val="000000"/>
              </w:rPr>
              <w:t>2</w:t>
            </w:r>
            <w:r w:rsidR="005E7CBD" w:rsidRPr="00293E58">
              <w:rPr>
                <w:iCs/>
                <w:color w:val="000000"/>
              </w:rPr>
              <w:t>0 381 bija ilgstošie bezdarbnieki, 12 </w:t>
            </w:r>
            <w:r w:rsidR="00A1029C" w:rsidRPr="00293E58">
              <w:rPr>
                <w:iCs/>
                <w:color w:val="000000"/>
              </w:rPr>
              <w:t>0</w:t>
            </w:r>
            <w:r w:rsidR="005E7CBD" w:rsidRPr="00293E58">
              <w:rPr>
                <w:iCs/>
                <w:color w:val="000000"/>
              </w:rPr>
              <w:t>35</w:t>
            </w:r>
            <w:r w:rsidR="00A1029C" w:rsidRPr="00293E58">
              <w:rPr>
                <w:iCs/>
                <w:color w:val="000000"/>
              </w:rPr>
              <w:t xml:space="preserve"> jaunieši bezdarbn</w:t>
            </w:r>
            <w:r w:rsidR="008159C4" w:rsidRPr="00293E58">
              <w:rPr>
                <w:iCs/>
                <w:color w:val="000000"/>
              </w:rPr>
              <w:t>ieki vecumā no 15 – 29 gadiem, 8 626</w:t>
            </w:r>
            <w:r w:rsidR="00353F2F" w:rsidRPr="00293E58">
              <w:rPr>
                <w:iCs/>
                <w:color w:val="000000"/>
              </w:rPr>
              <w:t xml:space="preserve"> bezdarbnieki ar invaliditāti, </w:t>
            </w:r>
            <w:r w:rsidR="008159C4" w:rsidRPr="00293E58">
              <w:rPr>
                <w:iCs/>
                <w:color w:val="000000"/>
              </w:rPr>
              <w:t>26 069</w:t>
            </w:r>
            <w:r w:rsidR="00A1029C" w:rsidRPr="00293E58">
              <w:rPr>
                <w:iCs/>
                <w:color w:val="000000"/>
              </w:rPr>
              <w:t xml:space="preserve"> bezdarbnieki vecumā virs 50 gadiem</w:t>
            </w:r>
            <w:r w:rsidR="00353F2F" w:rsidRPr="00293E58">
              <w:rPr>
                <w:iCs/>
                <w:color w:val="000000"/>
              </w:rPr>
              <w:t xml:space="preserve"> un 17 personas ar bēgļa vai alternatīvo statusu</w:t>
            </w:r>
            <w:r w:rsidR="00A1029C" w:rsidRPr="00293E58">
              <w:rPr>
                <w:iCs/>
                <w:color w:val="000000"/>
              </w:rPr>
              <w:t xml:space="preserve">. </w:t>
            </w:r>
          </w:p>
        </w:tc>
      </w:tr>
      <w:tr w:rsidR="00230730" w:rsidRPr="00293E58" w14:paraId="2FA927AE" w14:textId="77777777" w:rsidTr="00564CD3">
        <w:tc>
          <w:tcPr>
            <w:tcW w:w="397" w:type="dxa"/>
            <w:shd w:val="clear" w:color="auto" w:fill="auto"/>
          </w:tcPr>
          <w:p w14:paraId="36CE9FE1" w14:textId="77777777" w:rsidR="00230730" w:rsidRPr="00293E58" w:rsidRDefault="00230730" w:rsidP="00242D7D">
            <w:pPr>
              <w:rPr>
                <w:sz w:val="22"/>
                <w:szCs w:val="22"/>
              </w:rPr>
            </w:pPr>
            <w:r w:rsidRPr="00293E58">
              <w:rPr>
                <w:sz w:val="22"/>
                <w:szCs w:val="22"/>
              </w:rPr>
              <w:t xml:space="preserve">2. </w:t>
            </w:r>
          </w:p>
        </w:tc>
        <w:tc>
          <w:tcPr>
            <w:tcW w:w="2410" w:type="dxa"/>
            <w:shd w:val="clear" w:color="auto" w:fill="auto"/>
          </w:tcPr>
          <w:p w14:paraId="2FD843B8" w14:textId="77777777" w:rsidR="00230730" w:rsidRPr="00293E58" w:rsidRDefault="00230730" w:rsidP="00242D7D">
            <w:r w:rsidRPr="00293E58">
              <w:t>Tiesiskā regulējuma ietekme uz tautsaimniecību un administratīvo slogu</w:t>
            </w:r>
          </w:p>
        </w:tc>
        <w:tc>
          <w:tcPr>
            <w:tcW w:w="6407" w:type="dxa"/>
            <w:shd w:val="clear" w:color="auto" w:fill="auto"/>
          </w:tcPr>
          <w:p w14:paraId="16AAC08A" w14:textId="77777777" w:rsidR="00230730" w:rsidRPr="00293E58" w:rsidRDefault="005F23F9" w:rsidP="006A7D0B">
            <w:pPr>
              <w:jc w:val="both"/>
              <w:rPr>
                <w:color w:val="000000"/>
              </w:rPr>
            </w:pPr>
            <w:r w:rsidRPr="00293E58">
              <w:rPr>
                <w:iCs/>
                <w:color w:val="000000"/>
              </w:rPr>
              <w:t>Noteikumu projekts šo jomu neskar.</w:t>
            </w:r>
          </w:p>
        </w:tc>
      </w:tr>
      <w:tr w:rsidR="00165838" w:rsidRPr="00293E58" w14:paraId="69C57969" w14:textId="77777777" w:rsidTr="00564CD3">
        <w:tc>
          <w:tcPr>
            <w:tcW w:w="397" w:type="dxa"/>
            <w:shd w:val="clear" w:color="auto" w:fill="auto"/>
          </w:tcPr>
          <w:p w14:paraId="16D061E5" w14:textId="50193988" w:rsidR="00165838" w:rsidRPr="00293E58" w:rsidRDefault="00165838" w:rsidP="00242D7D">
            <w:pPr>
              <w:rPr>
                <w:sz w:val="22"/>
                <w:szCs w:val="22"/>
              </w:rPr>
            </w:pPr>
            <w:r>
              <w:rPr>
                <w:sz w:val="22"/>
                <w:szCs w:val="22"/>
              </w:rPr>
              <w:lastRenderedPageBreak/>
              <w:t>3.</w:t>
            </w:r>
          </w:p>
        </w:tc>
        <w:tc>
          <w:tcPr>
            <w:tcW w:w="2410" w:type="dxa"/>
            <w:shd w:val="clear" w:color="auto" w:fill="auto"/>
          </w:tcPr>
          <w:p w14:paraId="53483A9F" w14:textId="76799760" w:rsidR="00165838" w:rsidRPr="00165838" w:rsidRDefault="00165838" w:rsidP="00242D7D">
            <w:r w:rsidRPr="00165838">
              <w:rPr>
                <w:iCs/>
              </w:rPr>
              <w:t>Administratīvo izmaksu monetārs novērtējums</w:t>
            </w:r>
          </w:p>
        </w:tc>
        <w:tc>
          <w:tcPr>
            <w:tcW w:w="6407" w:type="dxa"/>
            <w:shd w:val="clear" w:color="auto" w:fill="auto"/>
          </w:tcPr>
          <w:p w14:paraId="14FDDAF4" w14:textId="1234253B" w:rsidR="00165838" w:rsidRPr="00293E58" w:rsidRDefault="00165838" w:rsidP="006A7D0B">
            <w:pPr>
              <w:jc w:val="both"/>
              <w:rPr>
                <w:iCs/>
                <w:color w:val="000000"/>
              </w:rPr>
            </w:pPr>
            <w:r w:rsidRPr="00165838">
              <w:rPr>
                <w:iCs/>
                <w:color w:val="000000"/>
              </w:rPr>
              <w:t>Noteikumu projekts šo jomu neskar.</w:t>
            </w:r>
          </w:p>
        </w:tc>
      </w:tr>
      <w:tr w:rsidR="00230730" w:rsidRPr="00293E58" w14:paraId="5052A7F2" w14:textId="77777777" w:rsidTr="00564CD3">
        <w:tc>
          <w:tcPr>
            <w:tcW w:w="397" w:type="dxa"/>
            <w:shd w:val="clear" w:color="auto" w:fill="auto"/>
          </w:tcPr>
          <w:p w14:paraId="076404DF" w14:textId="5AFFF9F2" w:rsidR="00230730" w:rsidRPr="00A41627" w:rsidRDefault="00A41627" w:rsidP="00A41627">
            <w:r w:rsidRPr="00A41627">
              <w:rPr>
                <w:sz w:val="22"/>
                <w:szCs w:val="22"/>
              </w:rPr>
              <w:t>4.</w:t>
            </w:r>
            <w:r>
              <w:t xml:space="preserve"> </w:t>
            </w:r>
          </w:p>
        </w:tc>
        <w:tc>
          <w:tcPr>
            <w:tcW w:w="2410" w:type="dxa"/>
            <w:shd w:val="clear" w:color="auto" w:fill="auto"/>
          </w:tcPr>
          <w:p w14:paraId="231B9D81" w14:textId="12A8C137" w:rsidR="00230730" w:rsidRPr="00293E58" w:rsidRDefault="00230730" w:rsidP="00242D7D">
            <w:r w:rsidRPr="00293E58">
              <w:t>A</w:t>
            </w:r>
            <w:r w:rsidR="00165838">
              <w:t xml:space="preserve">tbilstības </w:t>
            </w:r>
            <w:r w:rsidRPr="00293E58">
              <w:t>izmaksu monetārs novērtējums</w:t>
            </w:r>
          </w:p>
        </w:tc>
        <w:tc>
          <w:tcPr>
            <w:tcW w:w="6407" w:type="dxa"/>
            <w:shd w:val="clear" w:color="auto" w:fill="auto"/>
          </w:tcPr>
          <w:p w14:paraId="75762411" w14:textId="77777777" w:rsidR="00230730" w:rsidRPr="00293E58" w:rsidRDefault="005F23F9" w:rsidP="006A7D0B">
            <w:pPr>
              <w:jc w:val="both"/>
              <w:rPr>
                <w:i/>
                <w:color w:val="000000"/>
              </w:rPr>
            </w:pPr>
            <w:r w:rsidRPr="00293E58">
              <w:rPr>
                <w:iCs/>
                <w:color w:val="000000"/>
              </w:rPr>
              <w:t>Noteikumu projekts šo jomu neskar.</w:t>
            </w:r>
          </w:p>
        </w:tc>
      </w:tr>
      <w:tr w:rsidR="00230730" w:rsidRPr="00293E58" w14:paraId="2D9F12B9" w14:textId="77777777" w:rsidTr="00564CD3">
        <w:tc>
          <w:tcPr>
            <w:tcW w:w="397" w:type="dxa"/>
            <w:shd w:val="clear" w:color="auto" w:fill="auto"/>
          </w:tcPr>
          <w:p w14:paraId="0E01CDDA" w14:textId="123C656F" w:rsidR="00230730" w:rsidRPr="00293E58" w:rsidRDefault="00165838" w:rsidP="00242D7D">
            <w:pPr>
              <w:rPr>
                <w:sz w:val="22"/>
                <w:szCs w:val="22"/>
              </w:rPr>
            </w:pPr>
            <w:r>
              <w:rPr>
                <w:sz w:val="22"/>
                <w:szCs w:val="22"/>
              </w:rPr>
              <w:t>5</w:t>
            </w:r>
            <w:r w:rsidR="00230730" w:rsidRPr="00293E58">
              <w:rPr>
                <w:sz w:val="22"/>
                <w:szCs w:val="22"/>
              </w:rPr>
              <w:t xml:space="preserve">. </w:t>
            </w:r>
          </w:p>
        </w:tc>
        <w:tc>
          <w:tcPr>
            <w:tcW w:w="2410" w:type="dxa"/>
            <w:shd w:val="clear" w:color="auto" w:fill="auto"/>
          </w:tcPr>
          <w:p w14:paraId="7642DCFD" w14:textId="77777777" w:rsidR="00230730" w:rsidRPr="00293E58" w:rsidRDefault="00230730" w:rsidP="00242D7D">
            <w:r w:rsidRPr="00293E58">
              <w:t>Cita informācija</w:t>
            </w:r>
          </w:p>
        </w:tc>
        <w:tc>
          <w:tcPr>
            <w:tcW w:w="6407" w:type="dxa"/>
            <w:shd w:val="clear" w:color="auto" w:fill="auto"/>
          </w:tcPr>
          <w:p w14:paraId="7E24C9F8" w14:textId="77777777" w:rsidR="00F62FFA" w:rsidRPr="00293E58" w:rsidRDefault="00F62FFA" w:rsidP="00F62FFA">
            <w:pPr>
              <w:jc w:val="both"/>
              <w:rPr>
                <w:iCs/>
                <w:color w:val="000000"/>
              </w:rPr>
            </w:pPr>
            <w:r w:rsidRPr="00293E58">
              <w:rPr>
                <w:iCs/>
                <w:color w:val="000000"/>
              </w:rPr>
              <w:t>Zemāk ir sniegts detalizētāks atsevišķu aktīvās darba tirgus politikas pasākumu izdevumu aprēķins par pasākumiem, kuru īstenošanas/finansēšanas kārībā plānotas izmaiņas atbilstoši Noteikumu projektam.</w:t>
            </w:r>
            <w:r w:rsidR="00371083" w:rsidRPr="00293E58">
              <w:rPr>
                <w:iCs/>
                <w:color w:val="000000"/>
              </w:rPr>
              <w:t xml:space="preserve"> Noteikumu projektā paredzēto pasākumu īstenošana tiks nodrošināta Labklājības ministrijai piešķirto valsts budžeta līdzekļu ietvaros.</w:t>
            </w:r>
          </w:p>
          <w:p w14:paraId="64653D3B" w14:textId="121408B1" w:rsidR="00F62FFA" w:rsidRDefault="00F62FFA" w:rsidP="00F62FFA">
            <w:pPr>
              <w:jc w:val="both"/>
              <w:rPr>
                <w:iCs/>
                <w:color w:val="000000"/>
              </w:rPr>
            </w:pPr>
          </w:p>
          <w:p w14:paraId="259E217B" w14:textId="77777777" w:rsidR="00B75E12" w:rsidRPr="00293E58" w:rsidRDefault="00B75E12" w:rsidP="00F62FFA">
            <w:pPr>
              <w:jc w:val="both"/>
              <w:rPr>
                <w:iCs/>
                <w:color w:val="000000"/>
              </w:rPr>
            </w:pPr>
          </w:p>
          <w:p w14:paraId="1AEAF04E" w14:textId="77777777" w:rsidR="00F62FFA" w:rsidRPr="00293E58" w:rsidRDefault="00F62FFA" w:rsidP="00DA76A8">
            <w:pPr>
              <w:numPr>
                <w:ilvl w:val="0"/>
                <w:numId w:val="3"/>
              </w:numPr>
              <w:ind w:left="0" w:firstLine="73"/>
              <w:jc w:val="both"/>
              <w:rPr>
                <w:b/>
                <w:i/>
                <w:iCs/>
                <w:color w:val="000000"/>
                <w:u w:val="single"/>
              </w:rPr>
            </w:pPr>
            <w:r w:rsidRPr="00293E58">
              <w:rPr>
                <w:b/>
                <w:i/>
                <w:iCs/>
                <w:color w:val="000000"/>
                <w:u w:val="single"/>
              </w:rPr>
              <w:t>Aktīvais nodarbinātības pasākums „Atbalsts bezdarbnieku izglītībai”</w:t>
            </w:r>
          </w:p>
          <w:p w14:paraId="42119B14" w14:textId="77777777" w:rsidR="00F62FFA" w:rsidRPr="00293E58" w:rsidRDefault="00F62FFA" w:rsidP="00F62FFA">
            <w:pPr>
              <w:jc w:val="both"/>
              <w:rPr>
                <w:b/>
                <w:bCs/>
                <w:iCs/>
                <w:color w:val="000000"/>
                <w:u w:val="single"/>
              </w:rPr>
            </w:pPr>
            <w:r w:rsidRPr="00293E58">
              <w:rPr>
                <w:b/>
                <w:bCs/>
                <w:iCs/>
                <w:color w:val="000000"/>
                <w:u w:val="single"/>
              </w:rPr>
              <w:t>Apmācība pie darba devēja:</w:t>
            </w:r>
          </w:p>
          <w:p w14:paraId="387737B1" w14:textId="2FAEB69E" w:rsidR="00F62FFA" w:rsidRPr="00293E58" w:rsidRDefault="00F62FFA" w:rsidP="00F62FFA">
            <w:pPr>
              <w:jc w:val="both"/>
              <w:rPr>
                <w:iCs/>
                <w:color w:val="000000"/>
              </w:rPr>
            </w:pPr>
            <w:r w:rsidRPr="00293E58">
              <w:rPr>
                <w:iCs/>
                <w:color w:val="000000"/>
              </w:rPr>
              <w:t xml:space="preserve">826 iesaistāmie X 140 </w:t>
            </w:r>
            <w:proofErr w:type="spellStart"/>
            <w:r w:rsidR="0093018B" w:rsidRPr="0093018B">
              <w:rPr>
                <w:bCs/>
                <w:i/>
                <w:iCs/>
                <w:color w:val="000000"/>
              </w:rPr>
              <w:t>euro</w:t>
            </w:r>
            <w:proofErr w:type="spellEnd"/>
            <w:r w:rsidRPr="0093018B">
              <w:rPr>
                <w:b/>
                <w:bCs/>
                <w:i/>
                <w:iCs/>
                <w:color w:val="000000"/>
              </w:rPr>
              <w:t xml:space="preserve"> </w:t>
            </w:r>
            <w:r w:rsidRPr="00293E58">
              <w:rPr>
                <w:iCs/>
                <w:color w:val="000000"/>
              </w:rPr>
              <w:t xml:space="preserve">(sadārdzinājums uz 1 iesaistāmo) = </w:t>
            </w:r>
            <w:r w:rsidRPr="00293E58">
              <w:rPr>
                <w:bCs/>
                <w:iCs/>
                <w:color w:val="000000"/>
              </w:rPr>
              <w:t xml:space="preserve">115 640 </w:t>
            </w:r>
            <w:proofErr w:type="spellStart"/>
            <w:r w:rsidR="0093018B" w:rsidRPr="0093018B">
              <w:rPr>
                <w:bCs/>
                <w:i/>
                <w:iCs/>
                <w:color w:val="000000"/>
              </w:rPr>
              <w:t>euro</w:t>
            </w:r>
            <w:proofErr w:type="spellEnd"/>
            <w:r w:rsidRPr="00293E58">
              <w:rPr>
                <w:iCs/>
                <w:color w:val="000000"/>
              </w:rPr>
              <w:t xml:space="preserve"> (dotācijas bezdarbnieku algai palielinājums).</w:t>
            </w:r>
          </w:p>
          <w:p w14:paraId="50A04A94" w14:textId="7BE796B3" w:rsidR="00F62FFA" w:rsidRPr="00293E58" w:rsidRDefault="00F62FFA" w:rsidP="00F62FFA">
            <w:pPr>
              <w:jc w:val="both"/>
              <w:rPr>
                <w:b/>
                <w:bCs/>
                <w:iCs/>
                <w:color w:val="000000"/>
              </w:rPr>
            </w:pPr>
            <w:r w:rsidRPr="00293E58">
              <w:rPr>
                <w:iCs/>
                <w:color w:val="000000"/>
              </w:rPr>
              <w:t xml:space="preserve">15 % no 826 iesaistāmajiem X 50 </w:t>
            </w:r>
            <w:proofErr w:type="spellStart"/>
            <w:r w:rsidR="0093018B" w:rsidRPr="0093018B">
              <w:rPr>
                <w:i/>
                <w:iCs/>
                <w:color w:val="000000"/>
              </w:rPr>
              <w:t>euro</w:t>
            </w:r>
            <w:proofErr w:type="spellEnd"/>
            <w:r w:rsidRPr="00293E58">
              <w:rPr>
                <w:iCs/>
                <w:color w:val="000000"/>
              </w:rPr>
              <w:t xml:space="preserve"> = </w:t>
            </w:r>
            <w:r w:rsidRPr="00293E58">
              <w:rPr>
                <w:b/>
                <w:bCs/>
                <w:iCs/>
                <w:color w:val="000000"/>
              </w:rPr>
              <w:t> </w:t>
            </w:r>
            <w:r w:rsidRPr="00293E58">
              <w:rPr>
                <w:bCs/>
                <w:iCs/>
                <w:color w:val="000000"/>
              </w:rPr>
              <w:t>6195 EUR</w:t>
            </w:r>
            <w:r w:rsidRPr="00293E58">
              <w:rPr>
                <w:b/>
                <w:bCs/>
                <w:iCs/>
                <w:color w:val="000000"/>
              </w:rPr>
              <w:t xml:space="preserve"> </w:t>
            </w:r>
            <w:r w:rsidRPr="00293E58">
              <w:rPr>
                <w:iCs/>
                <w:color w:val="000000"/>
              </w:rPr>
              <w:t>(individuālo aizsardzības līdzekļu kompensācijas palielinājums – izmanto ap 15 % no iesaistītajiem).</w:t>
            </w:r>
          </w:p>
          <w:p w14:paraId="305A0255" w14:textId="77777777" w:rsidR="00F62FFA" w:rsidRPr="00293E58" w:rsidRDefault="00F62FFA" w:rsidP="00F62FFA">
            <w:pPr>
              <w:jc w:val="both"/>
              <w:rPr>
                <w:iCs/>
                <w:color w:val="000000"/>
              </w:rPr>
            </w:pPr>
          </w:p>
          <w:p w14:paraId="0818464E" w14:textId="77777777" w:rsidR="00F62FFA" w:rsidRPr="00293E58" w:rsidRDefault="00F62FFA" w:rsidP="00DA76A8">
            <w:pPr>
              <w:numPr>
                <w:ilvl w:val="0"/>
                <w:numId w:val="3"/>
              </w:numPr>
              <w:ind w:left="0" w:firstLine="0"/>
              <w:jc w:val="both"/>
              <w:rPr>
                <w:b/>
                <w:i/>
                <w:iCs/>
                <w:color w:val="000000"/>
                <w:u w:val="single"/>
              </w:rPr>
            </w:pPr>
            <w:r w:rsidRPr="00293E58">
              <w:rPr>
                <w:b/>
                <w:i/>
                <w:iCs/>
                <w:color w:val="000000"/>
                <w:u w:val="single"/>
              </w:rPr>
              <w:t>„Latviešu valodas mentora pakalpojums nodarbinātajiem bēgļiem un personām ar alternatīvo statusu”</w:t>
            </w:r>
          </w:p>
          <w:p w14:paraId="264DE67E" w14:textId="77777777" w:rsidR="00F62FFA" w:rsidRPr="00293E58" w:rsidRDefault="00F62FFA" w:rsidP="00F62FFA">
            <w:pPr>
              <w:jc w:val="both"/>
              <w:rPr>
                <w:iCs/>
                <w:color w:val="000000"/>
              </w:rPr>
            </w:pPr>
            <w:r w:rsidRPr="00293E58">
              <w:rPr>
                <w:iCs/>
                <w:color w:val="000000"/>
              </w:rPr>
              <w:t>Plānotās valodas mentora pakalpojuma atlīdzības izmaksas:</w:t>
            </w:r>
          </w:p>
          <w:p w14:paraId="1590468B" w14:textId="77777777" w:rsidR="00F62FFA" w:rsidRPr="00293E58" w:rsidRDefault="00F62FFA" w:rsidP="00F62FFA">
            <w:pPr>
              <w:jc w:val="both"/>
              <w:rPr>
                <w:iCs/>
                <w:color w:val="000000"/>
              </w:rPr>
            </w:pPr>
          </w:p>
          <w:tbl>
            <w:tblPr>
              <w:tblW w:w="6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203"/>
              <w:gridCol w:w="1338"/>
              <w:gridCol w:w="1212"/>
              <w:gridCol w:w="1389"/>
            </w:tblGrid>
            <w:tr w:rsidR="00F62FFA" w:rsidRPr="00293E58" w14:paraId="26FDC210" w14:textId="77777777" w:rsidTr="00290F8E">
              <w:trPr>
                <w:trHeight w:val="640"/>
              </w:trPr>
              <w:tc>
                <w:tcPr>
                  <w:tcW w:w="1137" w:type="dxa"/>
                </w:tcPr>
                <w:p w14:paraId="5AEF0302" w14:textId="77777777" w:rsidR="00F62FFA" w:rsidRPr="00293E58" w:rsidRDefault="00F62FFA" w:rsidP="00F62FFA">
                  <w:pPr>
                    <w:jc w:val="both"/>
                    <w:rPr>
                      <w:iCs/>
                      <w:color w:val="000000"/>
                    </w:rPr>
                  </w:pPr>
                  <w:proofErr w:type="spellStart"/>
                  <w:r w:rsidRPr="00293E58">
                    <w:rPr>
                      <w:iCs/>
                      <w:color w:val="000000"/>
                    </w:rPr>
                    <w:t>Netto</w:t>
                  </w:r>
                  <w:proofErr w:type="spellEnd"/>
                  <w:r w:rsidRPr="00293E58">
                    <w:rPr>
                      <w:iCs/>
                      <w:color w:val="000000"/>
                    </w:rPr>
                    <w:t xml:space="preserve"> atlīdzība par vienu akadēmisko stundu * EUR</w:t>
                  </w:r>
                </w:p>
              </w:tc>
              <w:tc>
                <w:tcPr>
                  <w:tcW w:w="1203" w:type="dxa"/>
                  <w:shd w:val="clear" w:color="auto" w:fill="auto"/>
                  <w:noWrap/>
                  <w:vAlign w:val="bottom"/>
                  <w:hideMark/>
                </w:tcPr>
                <w:p w14:paraId="1E534CA1" w14:textId="77777777" w:rsidR="00F62FFA" w:rsidRPr="00293E58" w:rsidRDefault="00F62FFA" w:rsidP="00F62FFA">
                  <w:pPr>
                    <w:jc w:val="both"/>
                    <w:rPr>
                      <w:iCs/>
                      <w:color w:val="000000"/>
                    </w:rPr>
                  </w:pPr>
                  <w:r w:rsidRPr="00293E58">
                    <w:rPr>
                      <w:iCs/>
                      <w:color w:val="000000"/>
                    </w:rPr>
                    <w:t>Vienas akadēmiskās stundas izmaksas EUR (ieskaitot darba ņēmēja un darba devēja nodokļus un IIN) EUR</w:t>
                  </w:r>
                </w:p>
              </w:tc>
              <w:tc>
                <w:tcPr>
                  <w:tcW w:w="1338" w:type="dxa"/>
                  <w:shd w:val="clear" w:color="auto" w:fill="auto"/>
                  <w:noWrap/>
                  <w:vAlign w:val="bottom"/>
                  <w:hideMark/>
                </w:tcPr>
                <w:p w14:paraId="7CAF7B5A" w14:textId="77777777" w:rsidR="00F62FFA" w:rsidRPr="00293E58" w:rsidRDefault="00F62FFA" w:rsidP="00F62FFA">
                  <w:pPr>
                    <w:jc w:val="both"/>
                    <w:rPr>
                      <w:iCs/>
                      <w:color w:val="000000"/>
                    </w:rPr>
                  </w:pPr>
                  <w:r w:rsidRPr="00293E58">
                    <w:rPr>
                      <w:iCs/>
                      <w:color w:val="000000"/>
                    </w:rPr>
                    <w:t>Izmaksas nedēļā EUR (4 akadēmiskās stundas)</w:t>
                  </w:r>
                </w:p>
              </w:tc>
              <w:tc>
                <w:tcPr>
                  <w:tcW w:w="1212" w:type="dxa"/>
                  <w:shd w:val="clear" w:color="auto" w:fill="auto"/>
                  <w:noWrap/>
                  <w:vAlign w:val="bottom"/>
                  <w:hideMark/>
                </w:tcPr>
                <w:p w14:paraId="731C14BE" w14:textId="77777777" w:rsidR="00F62FFA" w:rsidRPr="00293E58" w:rsidRDefault="00F62FFA" w:rsidP="00F62FFA">
                  <w:pPr>
                    <w:jc w:val="both"/>
                    <w:rPr>
                      <w:iCs/>
                      <w:color w:val="000000"/>
                    </w:rPr>
                  </w:pPr>
                  <w:r w:rsidRPr="00293E58">
                    <w:rPr>
                      <w:iCs/>
                      <w:color w:val="000000"/>
                    </w:rPr>
                    <w:t>Izmaksas mēnesī EUR (20 akadēmiskās stundas)</w:t>
                  </w:r>
                </w:p>
              </w:tc>
              <w:tc>
                <w:tcPr>
                  <w:tcW w:w="1389" w:type="dxa"/>
                  <w:shd w:val="clear" w:color="auto" w:fill="auto"/>
                  <w:noWrap/>
                  <w:vAlign w:val="bottom"/>
                  <w:hideMark/>
                </w:tcPr>
                <w:p w14:paraId="1754B057" w14:textId="77777777" w:rsidR="00F62FFA" w:rsidRPr="00293E58" w:rsidRDefault="00F62FFA" w:rsidP="00F62FFA">
                  <w:pPr>
                    <w:jc w:val="both"/>
                    <w:rPr>
                      <w:iCs/>
                      <w:color w:val="000000"/>
                    </w:rPr>
                  </w:pPr>
                  <w:r w:rsidRPr="00293E58">
                    <w:rPr>
                      <w:iCs/>
                      <w:color w:val="000000"/>
                    </w:rPr>
                    <w:t>Izmaksas četros mēnešos EUR (80 akadēmiskās stundas)</w:t>
                  </w:r>
                </w:p>
              </w:tc>
            </w:tr>
            <w:tr w:rsidR="00F62FFA" w:rsidRPr="00293E58" w14:paraId="61217AD2" w14:textId="77777777" w:rsidTr="00290F8E">
              <w:trPr>
                <w:trHeight w:val="1878"/>
              </w:trPr>
              <w:tc>
                <w:tcPr>
                  <w:tcW w:w="1137" w:type="dxa"/>
                </w:tcPr>
                <w:p w14:paraId="700AAC16" w14:textId="77777777" w:rsidR="00F62FFA" w:rsidRPr="00293E58" w:rsidRDefault="00087CCA" w:rsidP="00F62FFA">
                  <w:pPr>
                    <w:jc w:val="both"/>
                    <w:rPr>
                      <w:iCs/>
                      <w:color w:val="000000"/>
                    </w:rPr>
                  </w:pPr>
                  <w:r w:rsidRPr="00293E58">
                    <w:rPr>
                      <w:iCs/>
                      <w:color w:val="000000"/>
                    </w:rPr>
                    <w:t>12.27</w:t>
                  </w:r>
                </w:p>
              </w:tc>
              <w:tc>
                <w:tcPr>
                  <w:tcW w:w="1203" w:type="dxa"/>
                  <w:shd w:val="clear" w:color="auto" w:fill="auto"/>
                  <w:noWrap/>
                  <w:vAlign w:val="bottom"/>
                  <w:hideMark/>
                </w:tcPr>
                <w:p w14:paraId="6478C4BF" w14:textId="77777777" w:rsidR="00F62FFA" w:rsidRPr="00293E58" w:rsidRDefault="007453D8" w:rsidP="00F62FFA">
                  <w:pPr>
                    <w:jc w:val="both"/>
                    <w:rPr>
                      <w:iCs/>
                      <w:color w:val="000000"/>
                    </w:rPr>
                  </w:pPr>
                  <w:r w:rsidRPr="00293E58">
                    <w:rPr>
                      <w:iCs/>
                      <w:color w:val="000000"/>
                    </w:rPr>
                    <w:t>22.00</w:t>
                  </w:r>
                  <w:r w:rsidR="00F62FFA" w:rsidRPr="00293E58">
                    <w:rPr>
                      <w:iCs/>
                      <w:color w:val="000000"/>
                    </w:rPr>
                    <w:t xml:space="preserve"> </w:t>
                  </w:r>
                </w:p>
              </w:tc>
              <w:tc>
                <w:tcPr>
                  <w:tcW w:w="1338" w:type="dxa"/>
                  <w:shd w:val="clear" w:color="auto" w:fill="auto"/>
                  <w:noWrap/>
                  <w:vAlign w:val="bottom"/>
                  <w:hideMark/>
                </w:tcPr>
                <w:p w14:paraId="0820BDDD" w14:textId="77777777" w:rsidR="00F62FFA" w:rsidRPr="00293E58" w:rsidRDefault="00F62FFA" w:rsidP="00F62FFA">
                  <w:pPr>
                    <w:jc w:val="both"/>
                    <w:rPr>
                      <w:iCs/>
                      <w:color w:val="000000"/>
                    </w:rPr>
                  </w:pPr>
                  <w:r w:rsidRPr="00293E58">
                    <w:rPr>
                      <w:iCs/>
                      <w:color w:val="000000"/>
                    </w:rPr>
                    <w:t xml:space="preserve"> </w:t>
                  </w:r>
                  <w:r w:rsidR="007453D8" w:rsidRPr="00293E58">
                    <w:rPr>
                      <w:iCs/>
                      <w:color w:val="000000"/>
                    </w:rPr>
                    <w:t>88.00</w:t>
                  </w:r>
                </w:p>
              </w:tc>
              <w:tc>
                <w:tcPr>
                  <w:tcW w:w="1212" w:type="dxa"/>
                  <w:shd w:val="clear" w:color="auto" w:fill="auto"/>
                  <w:noWrap/>
                  <w:vAlign w:val="bottom"/>
                  <w:hideMark/>
                </w:tcPr>
                <w:p w14:paraId="6B207F08" w14:textId="77777777" w:rsidR="00F62FFA" w:rsidRPr="00293E58" w:rsidRDefault="00F62FFA" w:rsidP="00F62FFA">
                  <w:pPr>
                    <w:jc w:val="both"/>
                    <w:rPr>
                      <w:iCs/>
                      <w:color w:val="000000"/>
                    </w:rPr>
                  </w:pPr>
                  <w:r w:rsidRPr="00293E58">
                    <w:rPr>
                      <w:iCs/>
                      <w:color w:val="000000"/>
                    </w:rPr>
                    <w:t xml:space="preserve"> </w:t>
                  </w:r>
                  <w:r w:rsidR="00434506" w:rsidRPr="00293E58">
                    <w:rPr>
                      <w:iCs/>
                      <w:color w:val="000000"/>
                    </w:rPr>
                    <w:t>440.00</w:t>
                  </w:r>
                </w:p>
              </w:tc>
              <w:tc>
                <w:tcPr>
                  <w:tcW w:w="1389" w:type="dxa"/>
                  <w:shd w:val="clear" w:color="auto" w:fill="auto"/>
                  <w:noWrap/>
                  <w:vAlign w:val="bottom"/>
                  <w:hideMark/>
                </w:tcPr>
                <w:p w14:paraId="58B63524" w14:textId="77777777" w:rsidR="00F62FFA" w:rsidRPr="00293E58" w:rsidRDefault="00F62FFA" w:rsidP="00F62FFA">
                  <w:pPr>
                    <w:jc w:val="both"/>
                    <w:rPr>
                      <w:iCs/>
                      <w:color w:val="000000"/>
                    </w:rPr>
                  </w:pPr>
                  <w:r w:rsidRPr="00293E58">
                    <w:rPr>
                      <w:iCs/>
                      <w:color w:val="000000"/>
                    </w:rPr>
                    <w:t xml:space="preserve"> 1 </w:t>
                  </w:r>
                  <w:r w:rsidR="00434506" w:rsidRPr="00293E58">
                    <w:rPr>
                      <w:iCs/>
                      <w:color w:val="000000"/>
                    </w:rPr>
                    <w:t>760</w:t>
                  </w:r>
                </w:p>
              </w:tc>
            </w:tr>
          </w:tbl>
          <w:p w14:paraId="5C71B4D6" w14:textId="77777777" w:rsidR="00F62FFA" w:rsidRPr="00293E58" w:rsidRDefault="00F62FFA" w:rsidP="00F62FFA">
            <w:pPr>
              <w:jc w:val="both"/>
              <w:rPr>
                <w:iCs/>
                <w:color w:val="000000"/>
              </w:rPr>
            </w:pPr>
          </w:p>
          <w:p w14:paraId="11335AD3" w14:textId="77777777" w:rsidR="00F62FFA" w:rsidRPr="00293E58" w:rsidRDefault="00F62FFA" w:rsidP="00F62FFA">
            <w:pPr>
              <w:jc w:val="both"/>
              <w:rPr>
                <w:iCs/>
                <w:color w:val="000000"/>
              </w:rPr>
            </w:pPr>
            <w:r w:rsidRPr="00293E58">
              <w:rPr>
                <w:iCs/>
                <w:color w:val="000000"/>
              </w:rPr>
              <w:t xml:space="preserve">*Vienas akadēmiskās stundas likmē ietilpts 45 minūšu ilga kontaktstunda un sagatavošanās darbi kontaktstundas vadīšanai: </w:t>
            </w:r>
            <w:r w:rsidRPr="00293E58">
              <w:rPr>
                <w:iCs/>
                <w:color w:val="000000"/>
              </w:rPr>
              <w:lastRenderedPageBreak/>
              <w:t>konsultācija ar darba devēju par darbam nepieciešamo leksiku un darba vidi, mācību materiālu sagatavošana (iegāde, izstrāde u.tml.).</w:t>
            </w:r>
          </w:p>
          <w:p w14:paraId="7A300566" w14:textId="4205B5B4" w:rsidR="00F62FFA" w:rsidRPr="00293E58" w:rsidRDefault="00F62FFA" w:rsidP="00F62FFA">
            <w:pPr>
              <w:jc w:val="both"/>
              <w:rPr>
                <w:iCs/>
                <w:color w:val="000000"/>
              </w:rPr>
            </w:pPr>
            <w:r w:rsidRPr="00293E58">
              <w:rPr>
                <w:iCs/>
                <w:color w:val="000000"/>
              </w:rPr>
              <w:t xml:space="preserve">Plānots, ka pakalpojumu ik gadu varētu saņemt 7 personas. </w:t>
            </w:r>
            <w:r w:rsidR="004503E3" w:rsidRPr="00293E58">
              <w:rPr>
                <w:iCs/>
                <w:color w:val="000000"/>
              </w:rPr>
              <w:t xml:space="preserve">Valodas mentora pakalpojums tiks finansēts no esošā piešķīruma valsts pamatbudžeta ietvaros (valsts pamatbudžeta </w:t>
            </w:r>
            <w:r w:rsidR="00672BF7">
              <w:rPr>
                <w:iCs/>
                <w:color w:val="000000"/>
              </w:rPr>
              <w:t>apakš</w:t>
            </w:r>
            <w:r w:rsidR="004503E3" w:rsidRPr="00293E58">
              <w:rPr>
                <w:iCs/>
                <w:color w:val="000000"/>
              </w:rPr>
              <w:t>programma 07.01.00 „Nodarbinātības valsts aģentūras darbības nodrošināšana”</w:t>
            </w:r>
            <w:r w:rsidR="00672BF7">
              <w:rPr>
                <w:iCs/>
                <w:color w:val="000000"/>
              </w:rPr>
              <w:t xml:space="preserve"> </w:t>
            </w:r>
            <w:r w:rsidR="00672BF7" w:rsidRPr="00BA5C8C">
              <w:rPr>
                <w:iCs/>
                <w:color w:val="000000"/>
              </w:rPr>
              <w:t xml:space="preserve">pasākuma </w:t>
            </w:r>
            <w:r w:rsidR="00672BF7" w:rsidRPr="00672BF7">
              <w:rPr>
                <w:iCs/>
                <w:color w:val="000000"/>
              </w:rPr>
              <w:t>„</w:t>
            </w:r>
            <w:r w:rsidR="00672BF7" w:rsidRPr="00BA5C8C">
              <w:rPr>
                <w:iCs/>
                <w:color w:val="000000"/>
              </w:rPr>
              <w:t>Personu, kurām nepieciešama starptautiskā aizsardzība, pārvietošanai un uzņemšanai Latvijā” ietvaros</w:t>
            </w:r>
            <w:r w:rsidR="004503E3" w:rsidRPr="00293E58">
              <w:rPr>
                <w:iCs/>
                <w:color w:val="000000"/>
              </w:rPr>
              <w:t>)</w:t>
            </w:r>
            <w:r w:rsidR="00B7131C" w:rsidRPr="00293E58">
              <w:rPr>
                <w:iCs/>
                <w:color w:val="000000"/>
              </w:rPr>
              <w:t xml:space="preserve">, ik gadu tam paredzot </w:t>
            </w:r>
            <w:r w:rsidR="00434506" w:rsidRPr="00293E58">
              <w:rPr>
                <w:iCs/>
                <w:color w:val="000000"/>
              </w:rPr>
              <w:t>12 320</w:t>
            </w:r>
            <w:r w:rsidR="00B7131C" w:rsidRPr="00293E58">
              <w:rPr>
                <w:iCs/>
                <w:color w:val="000000"/>
              </w:rPr>
              <w:t xml:space="preserve"> </w:t>
            </w:r>
            <w:proofErr w:type="spellStart"/>
            <w:r w:rsidR="00B7131C" w:rsidRPr="00293E58">
              <w:rPr>
                <w:i/>
                <w:iCs/>
                <w:color w:val="000000"/>
              </w:rPr>
              <w:t>euro</w:t>
            </w:r>
            <w:proofErr w:type="spellEnd"/>
            <w:r w:rsidRPr="00293E58">
              <w:rPr>
                <w:iCs/>
                <w:color w:val="000000"/>
              </w:rPr>
              <w:t xml:space="preserve"> (izņemot 2017.gadu):</w:t>
            </w:r>
          </w:p>
          <w:tbl>
            <w:tblPr>
              <w:tblStyle w:val="TableGrid"/>
              <w:tblW w:w="0" w:type="auto"/>
              <w:tblLayout w:type="fixed"/>
              <w:tblLook w:val="04A0" w:firstRow="1" w:lastRow="0" w:firstColumn="1" w:lastColumn="0" w:noHBand="0" w:noVBand="1"/>
            </w:tblPr>
            <w:tblGrid>
              <w:gridCol w:w="1277"/>
              <w:gridCol w:w="1652"/>
              <w:gridCol w:w="1756"/>
              <w:gridCol w:w="1571"/>
            </w:tblGrid>
            <w:tr w:rsidR="00F62FFA" w:rsidRPr="00293E58" w14:paraId="4F1771B6" w14:textId="77777777" w:rsidTr="00290F8E">
              <w:trPr>
                <w:trHeight w:val="754"/>
              </w:trPr>
              <w:tc>
                <w:tcPr>
                  <w:tcW w:w="1277" w:type="dxa"/>
                </w:tcPr>
                <w:p w14:paraId="1F4C1577" w14:textId="77777777" w:rsidR="00F62FFA" w:rsidRPr="00293E58" w:rsidRDefault="00F62FFA" w:rsidP="00F62FFA">
                  <w:pPr>
                    <w:jc w:val="both"/>
                    <w:rPr>
                      <w:iCs/>
                      <w:color w:val="000000"/>
                    </w:rPr>
                  </w:pPr>
                </w:p>
              </w:tc>
              <w:tc>
                <w:tcPr>
                  <w:tcW w:w="1652" w:type="dxa"/>
                  <w:vAlign w:val="bottom"/>
                </w:tcPr>
                <w:p w14:paraId="44E03000" w14:textId="77777777" w:rsidR="00F62FFA" w:rsidRPr="00293E58" w:rsidRDefault="00F62FFA" w:rsidP="00F62FFA">
                  <w:pPr>
                    <w:jc w:val="both"/>
                    <w:rPr>
                      <w:b/>
                      <w:iCs/>
                      <w:color w:val="000000"/>
                    </w:rPr>
                  </w:pPr>
                  <w:r w:rsidRPr="00293E58">
                    <w:rPr>
                      <w:b/>
                      <w:iCs/>
                      <w:color w:val="000000"/>
                    </w:rPr>
                    <w:t>Viens mācību mēnesis vienam izglītojamajam / EUR</w:t>
                  </w:r>
                </w:p>
              </w:tc>
              <w:tc>
                <w:tcPr>
                  <w:tcW w:w="1756" w:type="dxa"/>
                  <w:vAlign w:val="bottom"/>
                </w:tcPr>
                <w:p w14:paraId="679E4B8F" w14:textId="77777777" w:rsidR="00F62FFA" w:rsidRPr="00293E58" w:rsidRDefault="00F62FFA" w:rsidP="00F62FFA">
                  <w:pPr>
                    <w:jc w:val="both"/>
                    <w:rPr>
                      <w:b/>
                      <w:iCs/>
                      <w:color w:val="000000"/>
                    </w:rPr>
                  </w:pPr>
                  <w:r w:rsidRPr="00293E58">
                    <w:rPr>
                      <w:b/>
                      <w:iCs/>
                      <w:color w:val="000000"/>
                    </w:rPr>
                    <w:t>Četri mācību mēneši vienam izglītojamajam</w:t>
                  </w:r>
                </w:p>
                <w:p w14:paraId="3EC5ABCE" w14:textId="77777777" w:rsidR="00F62FFA" w:rsidRPr="00293E58" w:rsidRDefault="00F62FFA" w:rsidP="00F62FFA">
                  <w:pPr>
                    <w:jc w:val="both"/>
                    <w:rPr>
                      <w:b/>
                      <w:iCs/>
                      <w:color w:val="000000"/>
                    </w:rPr>
                  </w:pPr>
                  <w:r w:rsidRPr="00293E58">
                    <w:rPr>
                      <w:b/>
                      <w:iCs/>
                      <w:color w:val="000000"/>
                    </w:rPr>
                    <w:t>EUR</w:t>
                  </w:r>
                </w:p>
              </w:tc>
              <w:tc>
                <w:tcPr>
                  <w:tcW w:w="1571" w:type="dxa"/>
                </w:tcPr>
                <w:p w14:paraId="405CC52B" w14:textId="77777777" w:rsidR="00F62FFA" w:rsidRPr="00293E58" w:rsidRDefault="00F62FFA" w:rsidP="00F62FFA">
                  <w:pPr>
                    <w:jc w:val="both"/>
                    <w:rPr>
                      <w:b/>
                      <w:iCs/>
                      <w:color w:val="000000"/>
                    </w:rPr>
                  </w:pPr>
                  <w:r w:rsidRPr="00293E58">
                    <w:rPr>
                      <w:b/>
                      <w:iCs/>
                      <w:color w:val="000000"/>
                    </w:rPr>
                    <w:t>Četri mācību mēneši 7 izglītojamajiem</w:t>
                  </w:r>
                </w:p>
                <w:p w14:paraId="4204D977" w14:textId="77777777" w:rsidR="00F62FFA" w:rsidRPr="00293E58" w:rsidRDefault="00F62FFA" w:rsidP="00F62FFA">
                  <w:pPr>
                    <w:jc w:val="both"/>
                    <w:rPr>
                      <w:b/>
                      <w:iCs/>
                      <w:color w:val="000000"/>
                    </w:rPr>
                  </w:pPr>
                  <w:r w:rsidRPr="00293E58">
                    <w:rPr>
                      <w:b/>
                      <w:iCs/>
                      <w:color w:val="000000"/>
                    </w:rPr>
                    <w:t>EUR</w:t>
                  </w:r>
                </w:p>
              </w:tc>
            </w:tr>
            <w:tr w:rsidR="00F62FFA" w:rsidRPr="00293E58" w14:paraId="677C6997" w14:textId="77777777" w:rsidTr="00290F8E">
              <w:trPr>
                <w:trHeight w:val="820"/>
              </w:trPr>
              <w:tc>
                <w:tcPr>
                  <w:tcW w:w="1277" w:type="dxa"/>
                </w:tcPr>
                <w:p w14:paraId="517237E5" w14:textId="77777777" w:rsidR="00F62FFA" w:rsidRPr="00293E58" w:rsidRDefault="00F62FFA" w:rsidP="00F62FFA">
                  <w:pPr>
                    <w:jc w:val="both"/>
                    <w:rPr>
                      <w:iCs/>
                      <w:color w:val="000000"/>
                    </w:rPr>
                  </w:pPr>
                  <w:r w:rsidRPr="00293E58">
                    <w:rPr>
                      <w:iCs/>
                      <w:color w:val="000000"/>
                    </w:rPr>
                    <w:t>Valodas mentoru darba atlīdzība</w:t>
                  </w:r>
                </w:p>
              </w:tc>
              <w:tc>
                <w:tcPr>
                  <w:tcW w:w="1652" w:type="dxa"/>
                </w:tcPr>
                <w:p w14:paraId="25D731CC" w14:textId="77777777" w:rsidR="00F62FFA" w:rsidRPr="00293E58" w:rsidRDefault="00434506" w:rsidP="00F62FFA">
                  <w:pPr>
                    <w:jc w:val="both"/>
                    <w:rPr>
                      <w:iCs/>
                      <w:color w:val="000000"/>
                    </w:rPr>
                  </w:pPr>
                  <w:r w:rsidRPr="00293E58">
                    <w:rPr>
                      <w:iCs/>
                      <w:color w:val="000000"/>
                    </w:rPr>
                    <w:t>440.00</w:t>
                  </w:r>
                </w:p>
              </w:tc>
              <w:tc>
                <w:tcPr>
                  <w:tcW w:w="1756" w:type="dxa"/>
                </w:tcPr>
                <w:p w14:paraId="4B9E1E46" w14:textId="77777777" w:rsidR="00F62FFA" w:rsidRPr="00293E58" w:rsidRDefault="00F62FFA" w:rsidP="00F62FFA">
                  <w:pPr>
                    <w:jc w:val="both"/>
                    <w:rPr>
                      <w:iCs/>
                      <w:color w:val="000000"/>
                    </w:rPr>
                  </w:pPr>
                  <w:r w:rsidRPr="00293E58">
                    <w:rPr>
                      <w:iCs/>
                      <w:color w:val="000000"/>
                    </w:rPr>
                    <w:t xml:space="preserve"> 1 </w:t>
                  </w:r>
                  <w:r w:rsidR="00434506" w:rsidRPr="00293E58">
                    <w:rPr>
                      <w:iCs/>
                      <w:color w:val="000000"/>
                    </w:rPr>
                    <w:t>760</w:t>
                  </w:r>
                </w:p>
              </w:tc>
              <w:tc>
                <w:tcPr>
                  <w:tcW w:w="1571" w:type="dxa"/>
                </w:tcPr>
                <w:p w14:paraId="0BFC41FE" w14:textId="77777777" w:rsidR="00F62FFA" w:rsidRPr="00293E58" w:rsidRDefault="00434506" w:rsidP="00F62FFA">
                  <w:pPr>
                    <w:jc w:val="both"/>
                    <w:rPr>
                      <w:b/>
                      <w:iCs/>
                      <w:color w:val="000000"/>
                    </w:rPr>
                  </w:pPr>
                  <w:r w:rsidRPr="00293E58">
                    <w:rPr>
                      <w:b/>
                      <w:iCs/>
                      <w:color w:val="000000"/>
                    </w:rPr>
                    <w:t>12 320</w:t>
                  </w:r>
                </w:p>
              </w:tc>
            </w:tr>
          </w:tbl>
          <w:p w14:paraId="2AEBA82A" w14:textId="77777777" w:rsidR="00230730" w:rsidRPr="00293E58" w:rsidRDefault="00230730" w:rsidP="006A7D0B">
            <w:pPr>
              <w:jc w:val="both"/>
              <w:rPr>
                <w:iCs/>
                <w:color w:val="000000"/>
              </w:rPr>
            </w:pPr>
          </w:p>
        </w:tc>
      </w:tr>
    </w:tbl>
    <w:p w14:paraId="321A102E" w14:textId="4DAADEC9" w:rsidR="00A10543" w:rsidRDefault="00A10543" w:rsidP="00A96D6E"/>
    <w:tbl>
      <w:tblPr>
        <w:tblStyle w:val="TableGrid"/>
        <w:tblW w:w="0" w:type="auto"/>
        <w:tblLook w:val="04A0" w:firstRow="1" w:lastRow="0" w:firstColumn="1" w:lastColumn="0" w:noHBand="0" w:noVBand="1"/>
      </w:tblPr>
      <w:tblGrid>
        <w:gridCol w:w="9061"/>
      </w:tblGrid>
      <w:tr w:rsidR="00BE111C" w14:paraId="2254B1C3" w14:textId="77777777" w:rsidTr="00DB2DFB">
        <w:tc>
          <w:tcPr>
            <w:tcW w:w="9061" w:type="dxa"/>
          </w:tcPr>
          <w:p w14:paraId="3807E7CF" w14:textId="630C94D9" w:rsidR="00BE111C" w:rsidRPr="00BE111C" w:rsidRDefault="00BE111C" w:rsidP="00BE111C">
            <w:pPr>
              <w:jc w:val="center"/>
            </w:pPr>
            <w:r w:rsidRPr="00BE111C">
              <w:rPr>
                <w:b/>
                <w:bCs/>
                <w:iCs/>
              </w:rPr>
              <w:t>III. Tiesību akta projekta ietekme uz valsts budžetu un pašvaldību budžetiem</w:t>
            </w:r>
          </w:p>
        </w:tc>
      </w:tr>
      <w:tr w:rsidR="00BE111C" w14:paraId="41E88C27" w14:textId="77777777" w:rsidTr="00DB2DFB">
        <w:tc>
          <w:tcPr>
            <w:tcW w:w="9061" w:type="dxa"/>
          </w:tcPr>
          <w:p w14:paraId="26345D35" w14:textId="709F36F1" w:rsidR="00BE111C" w:rsidRDefault="00DB2DFB" w:rsidP="00DB2DFB">
            <w:pPr>
              <w:jc w:val="center"/>
            </w:pPr>
            <w:r>
              <w:t>Noteikumu projekts šo sadaļu neskar.</w:t>
            </w:r>
          </w:p>
        </w:tc>
      </w:tr>
    </w:tbl>
    <w:p w14:paraId="707BC0F6" w14:textId="77777777" w:rsidR="00BE111C" w:rsidRPr="00293E58" w:rsidRDefault="00BE111C" w:rsidP="00A96D6E"/>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3"/>
        <w:gridCol w:w="5820"/>
      </w:tblGrid>
      <w:tr w:rsidR="007F60EC" w:rsidRPr="00293E58" w14:paraId="54E50D38" w14:textId="77777777" w:rsidTr="00564CD3">
        <w:trPr>
          <w:trHeight w:val="461"/>
          <w:jc w:val="center"/>
        </w:trPr>
        <w:tc>
          <w:tcPr>
            <w:tcW w:w="9209" w:type="dxa"/>
            <w:gridSpan w:val="3"/>
            <w:vAlign w:val="center"/>
          </w:tcPr>
          <w:p w14:paraId="64315DB6" w14:textId="77777777" w:rsidR="007F60EC" w:rsidRPr="00293E58" w:rsidRDefault="007F60EC" w:rsidP="00BE7A17">
            <w:pPr>
              <w:jc w:val="center"/>
              <w:rPr>
                <w:rFonts w:eastAsia="Calibri"/>
                <w:b/>
                <w:lang w:eastAsia="en-US"/>
              </w:rPr>
            </w:pPr>
            <w:r w:rsidRPr="00293E58">
              <w:rPr>
                <w:rFonts w:eastAsia="Calibri"/>
                <w:lang w:eastAsia="en-US"/>
              </w:rPr>
              <w:br w:type="page"/>
            </w:r>
            <w:r w:rsidRPr="00293E58">
              <w:rPr>
                <w:rFonts w:eastAsia="Calibri"/>
                <w:b/>
                <w:lang w:eastAsia="en-US"/>
              </w:rPr>
              <w:t>IV. Tiesību akta projekta ietekme uz spēkā esošo tiesību normu sistēmu</w:t>
            </w:r>
          </w:p>
        </w:tc>
      </w:tr>
      <w:tr w:rsidR="007F60EC" w:rsidRPr="00293E58" w14:paraId="1C5EAACF" w14:textId="77777777" w:rsidTr="00564CD3">
        <w:trPr>
          <w:jc w:val="center"/>
        </w:trPr>
        <w:tc>
          <w:tcPr>
            <w:tcW w:w="396" w:type="dxa"/>
          </w:tcPr>
          <w:p w14:paraId="72391214" w14:textId="77777777" w:rsidR="007F60EC" w:rsidRPr="00293E58" w:rsidRDefault="007F60EC" w:rsidP="00F516AA">
            <w:pPr>
              <w:jc w:val="center"/>
              <w:rPr>
                <w:rFonts w:eastAsia="Calibri"/>
                <w:iCs/>
                <w:lang w:eastAsia="en-US"/>
              </w:rPr>
            </w:pPr>
            <w:r w:rsidRPr="00293E58">
              <w:rPr>
                <w:rFonts w:eastAsia="Calibri"/>
                <w:iCs/>
                <w:lang w:eastAsia="en-US"/>
              </w:rPr>
              <w:t>1.</w:t>
            </w:r>
          </w:p>
        </w:tc>
        <w:tc>
          <w:tcPr>
            <w:tcW w:w="2993" w:type="dxa"/>
          </w:tcPr>
          <w:p w14:paraId="12778952" w14:textId="77777777" w:rsidR="007F60EC" w:rsidRPr="00293E58" w:rsidRDefault="007F60EC" w:rsidP="00BE7A17">
            <w:pPr>
              <w:rPr>
                <w:rFonts w:eastAsia="Calibri"/>
                <w:iCs/>
                <w:lang w:eastAsia="en-US"/>
              </w:rPr>
            </w:pPr>
            <w:r w:rsidRPr="00293E58">
              <w:rPr>
                <w:rFonts w:eastAsia="Calibri"/>
                <w:lang w:eastAsia="en-US"/>
              </w:rPr>
              <w:t>Nepieciešamie saistītie tiesību aktu projekti</w:t>
            </w:r>
          </w:p>
        </w:tc>
        <w:tc>
          <w:tcPr>
            <w:tcW w:w="5820" w:type="dxa"/>
          </w:tcPr>
          <w:p w14:paraId="0EDBD29A" w14:textId="77777777" w:rsidR="007F60EC" w:rsidRPr="00293E58" w:rsidRDefault="007F60EC" w:rsidP="007F60EC">
            <w:pPr>
              <w:ind w:left="11"/>
              <w:jc w:val="both"/>
              <w:rPr>
                <w:rFonts w:eastAsia="Calibri"/>
                <w:iCs/>
                <w:lang w:eastAsia="en-US"/>
              </w:rPr>
            </w:pPr>
            <w:r w:rsidRPr="00293E58">
              <w:rPr>
                <w:rFonts w:eastAsia="Calibri"/>
                <w:iCs/>
                <w:lang w:eastAsia="en-US"/>
              </w:rPr>
              <w:t>Atbilstoši Noteikumu projektā paredzētajām izmaiņām Pasākumu noteiktām personu grupām</w:t>
            </w:r>
            <w:r w:rsidR="00B36C42" w:rsidRPr="00293E58">
              <w:rPr>
                <w:rFonts w:eastAsia="Calibri"/>
                <w:iCs/>
                <w:lang w:eastAsia="en-US"/>
              </w:rPr>
              <w:t xml:space="preserve">, bezdarbnieku apmācību un pasākuma </w:t>
            </w:r>
            <w:r w:rsidR="00B36C42" w:rsidRPr="00293E58">
              <w:rPr>
                <w:bCs/>
              </w:rPr>
              <w:t xml:space="preserve">„Pirmā darba pieredze jaunietim” </w:t>
            </w:r>
            <w:r w:rsidRPr="00293E58">
              <w:rPr>
                <w:rFonts w:eastAsia="Calibri"/>
                <w:iCs/>
                <w:lang w:eastAsia="en-US"/>
              </w:rPr>
              <w:t>īstenošanas nosacījumos, tiks rosināti grozījumi arī Labklājības ministrijas pārziņā esošajos:</w:t>
            </w:r>
          </w:p>
          <w:p w14:paraId="222B202F" w14:textId="77777777" w:rsidR="006567B3" w:rsidRPr="00293E58" w:rsidRDefault="006567B3" w:rsidP="00DA76A8">
            <w:pPr>
              <w:pStyle w:val="ListParagraph"/>
              <w:numPr>
                <w:ilvl w:val="0"/>
                <w:numId w:val="1"/>
              </w:numPr>
              <w:spacing w:after="0" w:line="240" w:lineRule="auto"/>
              <w:ind w:left="368" w:hanging="357"/>
              <w:jc w:val="both"/>
              <w:rPr>
                <w:rFonts w:ascii="Times New Roman" w:hAnsi="Times New Roman"/>
                <w:iCs/>
                <w:sz w:val="24"/>
                <w:szCs w:val="24"/>
              </w:rPr>
            </w:pPr>
            <w:r w:rsidRPr="00293E58">
              <w:rPr>
                <w:rFonts w:ascii="Times New Roman" w:hAnsi="Times New Roman"/>
                <w:iCs/>
                <w:sz w:val="24"/>
                <w:szCs w:val="24"/>
              </w:rPr>
              <w:t xml:space="preserve">2014.gada 23. decembra MK noteikumos Nr.836 Darbības programmas </w:t>
            </w:r>
            <w:r w:rsidRPr="00293E58">
              <w:rPr>
                <w:rFonts w:ascii="Times New Roman" w:hAnsi="Times New Roman"/>
                <w:bCs/>
                <w:iCs/>
                <w:sz w:val="24"/>
                <w:szCs w:val="24"/>
              </w:rPr>
              <w:t>„</w:t>
            </w:r>
            <w:r w:rsidRPr="00293E58">
              <w:rPr>
                <w:rFonts w:ascii="Times New Roman" w:hAnsi="Times New Roman"/>
                <w:iCs/>
                <w:sz w:val="24"/>
                <w:szCs w:val="24"/>
              </w:rPr>
              <w:t xml:space="preserve">Izaugsme un nodarbinātība” 7.1.1.specifiskā atbalsta mērķa </w:t>
            </w:r>
            <w:r w:rsidRPr="00293E58">
              <w:rPr>
                <w:rFonts w:ascii="Times New Roman" w:hAnsi="Times New Roman"/>
                <w:bCs/>
                <w:iCs/>
                <w:sz w:val="24"/>
                <w:szCs w:val="24"/>
              </w:rPr>
              <w:t>„</w:t>
            </w:r>
            <w:r w:rsidRPr="00293E58">
              <w:rPr>
                <w:rFonts w:ascii="Times New Roman" w:hAnsi="Times New Roman"/>
                <w:iCs/>
                <w:sz w:val="24"/>
                <w:szCs w:val="24"/>
              </w:rPr>
              <w:t>Paaugstināt bezdarbnieku kvalifikāciju un prasmes atbilstoši darba tirgus pieprasījumam” īstenošanas noteikumi”;</w:t>
            </w:r>
          </w:p>
          <w:p w14:paraId="6B7E746D" w14:textId="77777777" w:rsidR="007F60EC" w:rsidRPr="00293E58" w:rsidRDefault="006567B3" w:rsidP="00DA76A8">
            <w:pPr>
              <w:pStyle w:val="ListParagraph"/>
              <w:numPr>
                <w:ilvl w:val="0"/>
                <w:numId w:val="1"/>
              </w:numPr>
              <w:spacing w:after="0" w:line="240" w:lineRule="auto"/>
              <w:ind w:left="368" w:hanging="357"/>
              <w:jc w:val="both"/>
              <w:rPr>
                <w:rFonts w:ascii="Times New Roman" w:hAnsi="Times New Roman"/>
                <w:iCs/>
                <w:sz w:val="24"/>
                <w:szCs w:val="24"/>
              </w:rPr>
            </w:pPr>
            <w:r w:rsidRPr="00293E58">
              <w:rPr>
                <w:rFonts w:ascii="Times New Roman" w:hAnsi="Times New Roman"/>
                <w:iCs/>
                <w:sz w:val="24"/>
                <w:szCs w:val="24"/>
              </w:rPr>
              <w:t xml:space="preserve">2015.gada 28.aprīļa MK noteikumos Nr.207 </w:t>
            </w:r>
            <w:r w:rsidRPr="00293E58">
              <w:rPr>
                <w:rFonts w:ascii="Times New Roman" w:hAnsi="Times New Roman"/>
                <w:bCs/>
                <w:iCs/>
                <w:sz w:val="24"/>
                <w:szCs w:val="24"/>
              </w:rPr>
              <w:t>„</w:t>
            </w:r>
            <w:r w:rsidRPr="00293E58">
              <w:rPr>
                <w:rFonts w:ascii="Times New Roman" w:hAnsi="Times New Roman"/>
                <w:iCs/>
                <w:sz w:val="24"/>
                <w:szCs w:val="24"/>
              </w:rPr>
              <w:t xml:space="preserve">Darbības programmas </w:t>
            </w:r>
            <w:r w:rsidRPr="00293E58">
              <w:rPr>
                <w:rFonts w:ascii="Times New Roman" w:hAnsi="Times New Roman"/>
                <w:bCs/>
                <w:iCs/>
                <w:sz w:val="24"/>
                <w:szCs w:val="24"/>
              </w:rPr>
              <w:t>„</w:t>
            </w:r>
            <w:r w:rsidRPr="00293E58">
              <w:rPr>
                <w:rFonts w:ascii="Times New Roman" w:hAnsi="Times New Roman"/>
                <w:iCs/>
                <w:sz w:val="24"/>
                <w:szCs w:val="24"/>
              </w:rPr>
              <w:t xml:space="preserve">Izaugsme un nodarbinātība” 7.2.1.specifiskā atbalsta mērķa </w:t>
            </w:r>
            <w:r w:rsidRPr="00293E58">
              <w:rPr>
                <w:rFonts w:ascii="Times New Roman" w:hAnsi="Times New Roman"/>
                <w:bCs/>
                <w:iCs/>
                <w:sz w:val="24"/>
                <w:szCs w:val="24"/>
              </w:rPr>
              <w:t>„</w:t>
            </w:r>
            <w:r w:rsidRPr="00293E58">
              <w:rPr>
                <w:rFonts w:ascii="Times New Roman" w:hAnsi="Times New Roman"/>
                <w:iCs/>
                <w:sz w:val="24"/>
                <w:szCs w:val="24"/>
              </w:rPr>
              <w:t xml:space="preserve">Palielināt nodarbinātībā, izglītībā vai apmācībās neiesaistītu jauniešu nodarbinātību un izglītības ieguvi Jauniešu garantijas ietvaros” pasākumu </w:t>
            </w:r>
            <w:r w:rsidRPr="00293E58">
              <w:rPr>
                <w:rFonts w:ascii="Times New Roman" w:hAnsi="Times New Roman"/>
                <w:bCs/>
                <w:iCs/>
                <w:sz w:val="24"/>
                <w:szCs w:val="24"/>
              </w:rPr>
              <w:t>„</w:t>
            </w:r>
            <w:r w:rsidRPr="00293E58">
              <w:rPr>
                <w:rFonts w:ascii="Times New Roman" w:hAnsi="Times New Roman"/>
                <w:iCs/>
                <w:sz w:val="24"/>
                <w:szCs w:val="24"/>
              </w:rPr>
              <w:t xml:space="preserve">Aktīvās darba tirgus politikas pasākumu īstenošana jauniešu bezdarbnieku nodarbinātības veicināšanai” un </w:t>
            </w:r>
            <w:r w:rsidRPr="00293E58">
              <w:rPr>
                <w:rFonts w:ascii="Times New Roman" w:hAnsi="Times New Roman"/>
                <w:bCs/>
                <w:iCs/>
                <w:sz w:val="24"/>
                <w:szCs w:val="24"/>
              </w:rPr>
              <w:t>„</w:t>
            </w:r>
            <w:r w:rsidRPr="00293E58">
              <w:rPr>
                <w:rFonts w:ascii="Times New Roman" w:hAnsi="Times New Roman"/>
                <w:iCs/>
                <w:sz w:val="24"/>
                <w:szCs w:val="24"/>
              </w:rPr>
              <w:t>Sākotnējās profesionālās izglītības programmu īstenošana Jauniešu garantijas ietvaros” īstenošanas noteikumi”</w:t>
            </w:r>
            <w:r w:rsidR="007544BE" w:rsidRPr="00293E58">
              <w:rPr>
                <w:rFonts w:ascii="Times New Roman" w:hAnsi="Times New Roman"/>
                <w:iCs/>
                <w:sz w:val="24"/>
                <w:szCs w:val="24"/>
              </w:rPr>
              <w:t>;</w:t>
            </w:r>
          </w:p>
          <w:p w14:paraId="6D457321" w14:textId="77777777" w:rsidR="007544BE" w:rsidRPr="00293E58" w:rsidRDefault="00422DAF" w:rsidP="00DA76A8">
            <w:pPr>
              <w:pStyle w:val="ListParagraph"/>
              <w:numPr>
                <w:ilvl w:val="0"/>
                <w:numId w:val="1"/>
              </w:numPr>
              <w:spacing w:after="0" w:line="240" w:lineRule="auto"/>
              <w:ind w:left="368" w:hanging="357"/>
              <w:jc w:val="both"/>
              <w:rPr>
                <w:rFonts w:ascii="Times New Roman" w:hAnsi="Times New Roman"/>
                <w:iCs/>
                <w:sz w:val="24"/>
                <w:szCs w:val="24"/>
              </w:rPr>
            </w:pPr>
            <w:r w:rsidRPr="00293E58">
              <w:rPr>
                <w:rFonts w:ascii="Times New Roman" w:hAnsi="Times New Roman"/>
                <w:iCs/>
                <w:sz w:val="24"/>
                <w:szCs w:val="24"/>
              </w:rPr>
              <w:t>2014.gada 23.decembra</w:t>
            </w:r>
            <w:r w:rsidR="004A699A" w:rsidRPr="00293E58">
              <w:rPr>
                <w:rFonts w:ascii="Times New Roman" w:hAnsi="Times New Roman"/>
                <w:iCs/>
                <w:sz w:val="24"/>
                <w:szCs w:val="24"/>
              </w:rPr>
              <w:t xml:space="preserve"> MK</w:t>
            </w:r>
            <w:r w:rsidRPr="00293E58">
              <w:rPr>
                <w:rFonts w:ascii="Times New Roman" w:hAnsi="Times New Roman"/>
                <w:iCs/>
                <w:sz w:val="24"/>
                <w:szCs w:val="24"/>
              </w:rPr>
              <w:t xml:space="preserve"> noteikumos</w:t>
            </w:r>
            <w:r w:rsidR="007544BE" w:rsidRPr="00293E58">
              <w:rPr>
                <w:rFonts w:ascii="Times New Roman" w:hAnsi="Times New Roman"/>
                <w:iCs/>
                <w:sz w:val="24"/>
                <w:szCs w:val="24"/>
              </w:rPr>
              <w:t xml:space="preserve"> Nr.835 </w:t>
            </w:r>
            <w:r w:rsidRPr="00293E58">
              <w:rPr>
                <w:rFonts w:ascii="Times New Roman" w:hAnsi="Times New Roman"/>
                <w:bCs/>
                <w:iCs/>
                <w:sz w:val="24"/>
                <w:szCs w:val="24"/>
              </w:rPr>
              <w:t>„</w:t>
            </w:r>
            <w:r w:rsidR="007544BE" w:rsidRPr="00293E58">
              <w:rPr>
                <w:rFonts w:ascii="Times New Roman" w:hAnsi="Times New Roman"/>
                <w:iCs/>
                <w:sz w:val="24"/>
                <w:szCs w:val="24"/>
              </w:rPr>
              <w:t xml:space="preserve">Darbības programmas </w:t>
            </w:r>
            <w:r w:rsidRPr="00293E58">
              <w:rPr>
                <w:rFonts w:ascii="Times New Roman" w:hAnsi="Times New Roman"/>
                <w:bCs/>
                <w:iCs/>
                <w:sz w:val="24"/>
                <w:szCs w:val="24"/>
              </w:rPr>
              <w:t>„</w:t>
            </w:r>
            <w:r w:rsidR="007544BE" w:rsidRPr="00293E58">
              <w:rPr>
                <w:rFonts w:ascii="Times New Roman" w:hAnsi="Times New Roman"/>
                <w:iCs/>
                <w:sz w:val="24"/>
                <w:szCs w:val="24"/>
              </w:rPr>
              <w:t xml:space="preserve">Izaugsme un nodarbinātība” 9.1.1.specifiskā atbalsta mērķa </w:t>
            </w:r>
            <w:r w:rsidRPr="00293E58">
              <w:rPr>
                <w:rFonts w:ascii="Times New Roman" w:hAnsi="Times New Roman"/>
                <w:bCs/>
                <w:iCs/>
                <w:sz w:val="24"/>
                <w:szCs w:val="24"/>
              </w:rPr>
              <w:t>„</w:t>
            </w:r>
            <w:r w:rsidR="007544BE" w:rsidRPr="00293E58">
              <w:rPr>
                <w:rFonts w:ascii="Times New Roman" w:hAnsi="Times New Roman"/>
                <w:iCs/>
                <w:sz w:val="24"/>
                <w:szCs w:val="24"/>
              </w:rPr>
              <w:t xml:space="preserve">Palielināt nelabvēlīgākā situācijā esošu bezdarbnieku </w:t>
            </w:r>
            <w:r w:rsidR="007544BE" w:rsidRPr="00293E58">
              <w:rPr>
                <w:rFonts w:ascii="Times New Roman" w:hAnsi="Times New Roman"/>
                <w:iCs/>
                <w:sz w:val="24"/>
                <w:szCs w:val="24"/>
              </w:rPr>
              <w:lastRenderedPageBreak/>
              <w:t xml:space="preserve">iekļaušanos darba tirgū” 9.1.1.1.pasākuma </w:t>
            </w:r>
            <w:r w:rsidR="00853DD6" w:rsidRPr="00293E58">
              <w:rPr>
                <w:rFonts w:ascii="Times New Roman" w:hAnsi="Times New Roman"/>
                <w:bCs/>
                <w:iCs/>
                <w:sz w:val="24"/>
                <w:szCs w:val="24"/>
              </w:rPr>
              <w:t>„</w:t>
            </w:r>
            <w:r w:rsidR="007544BE" w:rsidRPr="00293E58">
              <w:rPr>
                <w:rFonts w:ascii="Times New Roman" w:hAnsi="Times New Roman"/>
                <w:iCs/>
                <w:sz w:val="24"/>
                <w:szCs w:val="24"/>
              </w:rPr>
              <w:t>Subsidētās darbavietas nelabvēlīgākā situācijā esošiem bezdarbniekiem” īstenošanas noteikumi</w:t>
            </w:r>
            <w:r w:rsidRPr="00293E58">
              <w:rPr>
                <w:rFonts w:ascii="Times New Roman" w:hAnsi="Times New Roman"/>
                <w:iCs/>
                <w:sz w:val="24"/>
                <w:szCs w:val="24"/>
              </w:rPr>
              <w:t>”.</w:t>
            </w:r>
          </w:p>
        </w:tc>
      </w:tr>
      <w:tr w:rsidR="007F60EC" w:rsidRPr="00293E58" w14:paraId="477CBFE0" w14:textId="77777777" w:rsidTr="00564CD3">
        <w:trPr>
          <w:jc w:val="center"/>
        </w:trPr>
        <w:tc>
          <w:tcPr>
            <w:tcW w:w="396" w:type="dxa"/>
          </w:tcPr>
          <w:p w14:paraId="76CB7760" w14:textId="77777777" w:rsidR="007F60EC" w:rsidRPr="00293E58" w:rsidRDefault="007F60EC" w:rsidP="00F516AA">
            <w:pPr>
              <w:jc w:val="center"/>
              <w:rPr>
                <w:rFonts w:eastAsia="Calibri"/>
                <w:iCs/>
                <w:lang w:eastAsia="en-US"/>
              </w:rPr>
            </w:pPr>
            <w:r w:rsidRPr="00293E58">
              <w:rPr>
                <w:rFonts w:eastAsia="Calibri"/>
                <w:iCs/>
                <w:lang w:eastAsia="en-US"/>
              </w:rPr>
              <w:lastRenderedPageBreak/>
              <w:t>2.</w:t>
            </w:r>
          </w:p>
        </w:tc>
        <w:tc>
          <w:tcPr>
            <w:tcW w:w="2993" w:type="dxa"/>
          </w:tcPr>
          <w:p w14:paraId="76AF9635" w14:textId="77777777" w:rsidR="007F60EC" w:rsidRPr="00293E58" w:rsidRDefault="007F60EC" w:rsidP="00BE7A17">
            <w:pPr>
              <w:rPr>
                <w:rFonts w:eastAsia="Calibri"/>
                <w:lang w:eastAsia="en-US"/>
              </w:rPr>
            </w:pPr>
            <w:r w:rsidRPr="00293E58">
              <w:rPr>
                <w:rFonts w:eastAsia="Calibri"/>
                <w:lang w:eastAsia="en-US"/>
              </w:rPr>
              <w:t>Atbildīgā institūcija</w:t>
            </w:r>
          </w:p>
        </w:tc>
        <w:tc>
          <w:tcPr>
            <w:tcW w:w="5820" w:type="dxa"/>
          </w:tcPr>
          <w:p w14:paraId="492264AB" w14:textId="77777777" w:rsidR="007F60EC" w:rsidRPr="00293E58" w:rsidRDefault="007F60EC" w:rsidP="00BE7A17">
            <w:pPr>
              <w:rPr>
                <w:rFonts w:eastAsia="Calibri"/>
                <w:lang w:eastAsia="en-US"/>
              </w:rPr>
            </w:pPr>
            <w:r w:rsidRPr="00293E58">
              <w:rPr>
                <w:rFonts w:eastAsia="Calibri"/>
                <w:lang w:eastAsia="en-US"/>
              </w:rPr>
              <w:t>Labklājības ministrija.</w:t>
            </w:r>
          </w:p>
        </w:tc>
      </w:tr>
      <w:tr w:rsidR="007F60EC" w:rsidRPr="00293E58" w14:paraId="1FB8452A" w14:textId="77777777" w:rsidTr="00564CD3">
        <w:trPr>
          <w:jc w:val="center"/>
        </w:trPr>
        <w:tc>
          <w:tcPr>
            <w:tcW w:w="396" w:type="dxa"/>
          </w:tcPr>
          <w:p w14:paraId="17D9C05B" w14:textId="77777777" w:rsidR="007F60EC" w:rsidRPr="00293E58" w:rsidRDefault="007F60EC" w:rsidP="00F516AA">
            <w:pPr>
              <w:jc w:val="center"/>
              <w:rPr>
                <w:rFonts w:eastAsia="Calibri"/>
                <w:iCs/>
                <w:lang w:eastAsia="en-US"/>
              </w:rPr>
            </w:pPr>
            <w:r w:rsidRPr="00293E58">
              <w:rPr>
                <w:rFonts w:eastAsia="Calibri"/>
                <w:iCs/>
                <w:lang w:eastAsia="en-US"/>
              </w:rPr>
              <w:t>3.</w:t>
            </w:r>
          </w:p>
        </w:tc>
        <w:tc>
          <w:tcPr>
            <w:tcW w:w="2993" w:type="dxa"/>
          </w:tcPr>
          <w:p w14:paraId="17B51D95" w14:textId="77777777" w:rsidR="007F60EC" w:rsidRPr="00293E58" w:rsidRDefault="007F60EC" w:rsidP="00BE7A17">
            <w:pPr>
              <w:rPr>
                <w:rFonts w:eastAsia="Calibri"/>
                <w:iCs/>
                <w:lang w:eastAsia="en-US"/>
              </w:rPr>
            </w:pPr>
            <w:r w:rsidRPr="00293E58">
              <w:rPr>
                <w:rFonts w:eastAsia="Calibri"/>
                <w:lang w:eastAsia="en-US"/>
              </w:rPr>
              <w:t>Cita informācija</w:t>
            </w:r>
          </w:p>
        </w:tc>
        <w:tc>
          <w:tcPr>
            <w:tcW w:w="5820" w:type="dxa"/>
          </w:tcPr>
          <w:p w14:paraId="1A3C8B4A" w14:textId="77777777" w:rsidR="007F60EC" w:rsidRPr="00293E58" w:rsidRDefault="007F60EC" w:rsidP="00BE7A17">
            <w:pPr>
              <w:jc w:val="both"/>
              <w:rPr>
                <w:rFonts w:eastAsia="Calibri"/>
                <w:iCs/>
                <w:lang w:eastAsia="en-US"/>
              </w:rPr>
            </w:pPr>
            <w:r w:rsidRPr="00293E58">
              <w:rPr>
                <w:rFonts w:eastAsia="Calibri"/>
                <w:iCs/>
                <w:lang w:eastAsia="en-US"/>
              </w:rPr>
              <w:t>Nav.</w:t>
            </w:r>
          </w:p>
        </w:tc>
      </w:tr>
    </w:tbl>
    <w:p w14:paraId="56C9A542" w14:textId="7FEEA4D1" w:rsidR="00564CD3" w:rsidRDefault="00564CD3" w:rsidP="00A96D6E"/>
    <w:p w14:paraId="0135EFF3" w14:textId="77777777" w:rsidR="00E07ED6" w:rsidRDefault="00E07ED6" w:rsidP="00A96D6E"/>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6"/>
        <w:gridCol w:w="3118"/>
        <w:gridCol w:w="5812"/>
      </w:tblGrid>
      <w:tr w:rsidR="00450134" w:rsidRPr="00450134" w14:paraId="38F4FCB2" w14:textId="77777777" w:rsidTr="00450134">
        <w:tc>
          <w:tcPr>
            <w:tcW w:w="9356" w:type="dxa"/>
            <w:gridSpan w:val="3"/>
            <w:tcBorders>
              <w:top w:val="outset" w:sz="6" w:space="0" w:color="auto"/>
              <w:left w:val="outset" w:sz="6" w:space="0" w:color="auto"/>
              <w:bottom w:val="outset" w:sz="6" w:space="0" w:color="auto"/>
              <w:right w:val="outset" w:sz="6" w:space="0" w:color="auto"/>
            </w:tcBorders>
            <w:vAlign w:val="center"/>
          </w:tcPr>
          <w:p w14:paraId="7492A5F1" w14:textId="77777777" w:rsidR="00450134" w:rsidRPr="00450134" w:rsidRDefault="00450134" w:rsidP="006E6F80">
            <w:pPr>
              <w:jc w:val="center"/>
              <w:rPr>
                <w:b/>
              </w:rPr>
            </w:pPr>
            <w:r w:rsidRPr="00450134">
              <w:rPr>
                <w:b/>
              </w:rPr>
              <w:t>V. Tiesību akta projekta atbilstība Latvijas Republikas starptautiskajām saistībām</w:t>
            </w:r>
          </w:p>
        </w:tc>
      </w:tr>
      <w:tr w:rsidR="00450134" w:rsidRPr="00450134" w14:paraId="7C3DEBD5" w14:textId="77777777" w:rsidTr="00450134">
        <w:tc>
          <w:tcPr>
            <w:tcW w:w="426" w:type="dxa"/>
            <w:tcBorders>
              <w:top w:val="outset" w:sz="6" w:space="0" w:color="auto"/>
              <w:left w:val="outset" w:sz="6" w:space="0" w:color="auto"/>
              <w:bottom w:val="outset" w:sz="6" w:space="0" w:color="auto"/>
              <w:right w:val="outset" w:sz="6" w:space="0" w:color="auto"/>
            </w:tcBorders>
          </w:tcPr>
          <w:p w14:paraId="298F131B" w14:textId="77777777" w:rsidR="00450134" w:rsidRPr="00450134" w:rsidRDefault="00450134" w:rsidP="00450134">
            <w:r w:rsidRPr="00450134">
              <w:t>1.</w:t>
            </w:r>
          </w:p>
        </w:tc>
        <w:tc>
          <w:tcPr>
            <w:tcW w:w="3118" w:type="dxa"/>
            <w:tcBorders>
              <w:top w:val="outset" w:sz="6" w:space="0" w:color="auto"/>
              <w:left w:val="outset" w:sz="6" w:space="0" w:color="auto"/>
              <w:bottom w:val="outset" w:sz="6" w:space="0" w:color="auto"/>
              <w:right w:val="outset" w:sz="6" w:space="0" w:color="auto"/>
            </w:tcBorders>
          </w:tcPr>
          <w:p w14:paraId="70DCAF7F" w14:textId="77777777" w:rsidR="00450134" w:rsidRPr="00450134" w:rsidRDefault="00450134" w:rsidP="00450134">
            <w:r w:rsidRPr="00450134">
              <w:t>Saistības pret Eiropas Savienību</w:t>
            </w:r>
          </w:p>
        </w:tc>
        <w:tc>
          <w:tcPr>
            <w:tcW w:w="5812" w:type="dxa"/>
            <w:tcBorders>
              <w:top w:val="outset" w:sz="6" w:space="0" w:color="auto"/>
              <w:left w:val="outset" w:sz="6" w:space="0" w:color="auto"/>
              <w:bottom w:val="outset" w:sz="6" w:space="0" w:color="auto"/>
              <w:right w:val="outset" w:sz="6" w:space="0" w:color="auto"/>
            </w:tcBorders>
          </w:tcPr>
          <w:p w14:paraId="5D45A048" w14:textId="153566C6" w:rsidR="006E6F80" w:rsidRPr="00450134" w:rsidRDefault="006E6F80" w:rsidP="006E6F80">
            <w:r>
              <w:t>Komisijas regula (ES) Nr.1407/2013</w:t>
            </w:r>
          </w:p>
          <w:p w14:paraId="5322E1D1" w14:textId="605AFDC3" w:rsidR="00450134" w:rsidRPr="00450134" w:rsidRDefault="00450134" w:rsidP="006E6F80">
            <w:pPr>
              <w:ind w:left="720"/>
              <w:jc w:val="both"/>
            </w:pPr>
          </w:p>
        </w:tc>
      </w:tr>
      <w:tr w:rsidR="00450134" w:rsidRPr="00450134" w14:paraId="5011FA9A" w14:textId="77777777" w:rsidTr="00450134">
        <w:tc>
          <w:tcPr>
            <w:tcW w:w="426" w:type="dxa"/>
            <w:tcBorders>
              <w:top w:val="outset" w:sz="6" w:space="0" w:color="auto"/>
              <w:left w:val="outset" w:sz="6" w:space="0" w:color="auto"/>
              <w:bottom w:val="outset" w:sz="6" w:space="0" w:color="auto"/>
              <w:right w:val="outset" w:sz="6" w:space="0" w:color="auto"/>
            </w:tcBorders>
          </w:tcPr>
          <w:p w14:paraId="6E8D5392" w14:textId="77777777" w:rsidR="00450134" w:rsidRPr="00450134" w:rsidRDefault="00450134" w:rsidP="00450134">
            <w:r w:rsidRPr="00450134">
              <w:t>2.</w:t>
            </w:r>
          </w:p>
        </w:tc>
        <w:tc>
          <w:tcPr>
            <w:tcW w:w="3118" w:type="dxa"/>
            <w:tcBorders>
              <w:top w:val="outset" w:sz="6" w:space="0" w:color="auto"/>
              <w:left w:val="outset" w:sz="6" w:space="0" w:color="auto"/>
              <w:bottom w:val="outset" w:sz="6" w:space="0" w:color="auto"/>
              <w:right w:val="outset" w:sz="6" w:space="0" w:color="auto"/>
            </w:tcBorders>
          </w:tcPr>
          <w:p w14:paraId="3ECBF85B" w14:textId="77777777" w:rsidR="00450134" w:rsidRPr="00450134" w:rsidRDefault="00450134" w:rsidP="00450134">
            <w:r w:rsidRPr="00450134">
              <w:t>Citas starptautiskās saistības</w:t>
            </w:r>
          </w:p>
        </w:tc>
        <w:tc>
          <w:tcPr>
            <w:tcW w:w="5812" w:type="dxa"/>
            <w:tcBorders>
              <w:top w:val="outset" w:sz="6" w:space="0" w:color="auto"/>
              <w:left w:val="outset" w:sz="6" w:space="0" w:color="auto"/>
              <w:bottom w:val="outset" w:sz="6" w:space="0" w:color="auto"/>
              <w:right w:val="outset" w:sz="6" w:space="0" w:color="auto"/>
            </w:tcBorders>
          </w:tcPr>
          <w:p w14:paraId="32039FB0" w14:textId="77777777" w:rsidR="00450134" w:rsidRPr="00450134" w:rsidRDefault="00450134" w:rsidP="00450134">
            <w:r w:rsidRPr="00450134">
              <w:t>Noteikumu projekts šo jomu neskar.</w:t>
            </w:r>
          </w:p>
        </w:tc>
      </w:tr>
      <w:tr w:rsidR="00450134" w:rsidRPr="00450134" w14:paraId="1FDF588A" w14:textId="77777777" w:rsidTr="00450134">
        <w:tc>
          <w:tcPr>
            <w:tcW w:w="426" w:type="dxa"/>
            <w:tcBorders>
              <w:top w:val="outset" w:sz="6" w:space="0" w:color="auto"/>
              <w:left w:val="outset" w:sz="6" w:space="0" w:color="auto"/>
              <w:bottom w:val="outset" w:sz="6" w:space="0" w:color="auto"/>
              <w:right w:val="outset" w:sz="6" w:space="0" w:color="auto"/>
            </w:tcBorders>
          </w:tcPr>
          <w:p w14:paraId="5CC7D3B7" w14:textId="77777777" w:rsidR="00450134" w:rsidRPr="00450134" w:rsidRDefault="00450134" w:rsidP="00450134">
            <w:r w:rsidRPr="00450134">
              <w:t>3.</w:t>
            </w:r>
          </w:p>
        </w:tc>
        <w:tc>
          <w:tcPr>
            <w:tcW w:w="3118" w:type="dxa"/>
            <w:tcBorders>
              <w:top w:val="outset" w:sz="6" w:space="0" w:color="auto"/>
              <w:left w:val="outset" w:sz="6" w:space="0" w:color="auto"/>
              <w:bottom w:val="outset" w:sz="6" w:space="0" w:color="auto"/>
              <w:right w:val="outset" w:sz="6" w:space="0" w:color="auto"/>
            </w:tcBorders>
          </w:tcPr>
          <w:p w14:paraId="7911F14A" w14:textId="77777777" w:rsidR="00450134" w:rsidRPr="00450134" w:rsidRDefault="00450134" w:rsidP="00450134">
            <w:r w:rsidRPr="00450134">
              <w:t>Cita informācija</w:t>
            </w:r>
          </w:p>
        </w:tc>
        <w:tc>
          <w:tcPr>
            <w:tcW w:w="5812" w:type="dxa"/>
            <w:tcBorders>
              <w:top w:val="outset" w:sz="6" w:space="0" w:color="auto"/>
              <w:left w:val="outset" w:sz="6" w:space="0" w:color="auto"/>
              <w:bottom w:val="outset" w:sz="6" w:space="0" w:color="auto"/>
              <w:right w:val="outset" w:sz="6" w:space="0" w:color="auto"/>
            </w:tcBorders>
          </w:tcPr>
          <w:p w14:paraId="40628D9B" w14:textId="77777777" w:rsidR="00450134" w:rsidRPr="00450134" w:rsidRDefault="00450134" w:rsidP="00450134">
            <w:r w:rsidRPr="00450134">
              <w:t>Nav.</w:t>
            </w:r>
          </w:p>
        </w:tc>
      </w:tr>
    </w:tbl>
    <w:p w14:paraId="3D710C2A" w14:textId="77777777" w:rsidR="00450134" w:rsidRPr="00450134" w:rsidRDefault="00450134" w:rsidP="00450134"/>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966"/>
        <w:gridCol w:w="1852"/>
        <w:gridCol w:w="2719"/>
        <w:gridCol w:w="2819"/>
      </w:tblGrid>
      <w:tr w:rsidR="00450134" w:rsidRPr="00450134" w14:paraId="28608870" w14:textId="77777777" w:rsidTr="00450134">
        <w:trPr>
          <w:cantSplit/>
          <w:trHeight w:val="523"/>
        </w:trPr>
        <w:tc>
          <w:tcPr>
            <w:tcW w:w="9356" w:type="dxa"/>
            <w:gridSpan w:val="4"/>
            <w:tcBorders>
              <w:top w:val="outset" w:sz="6" w:space="0" w:color="auto"/>
              <w:left w:val="outset" w:sz="6" w:space="0" w:color="auto"/>
              <w:bottom w:val="outset" w:sz="6" w:space="0" w:color="auto"/>
              <w:right w:val="outset" w:sz="6" w:space="0" w:color="auto"/>
            </w:tcBorders>
            <w:vAlign w:val="center"/>
          </w:tcPr>
          <w:p w14:paraId="34EC74CF" w14:textId="77777777" w:rsidR="00450134" w:rsidRPr="00450134" w:rsidRDefault="00450134" w:rsidP="008970F9">
            <w:pPr>
              <w:jc w:val="center"/>
              <w:rPr>
                <w:b/>
              </w:rPr>
            </w:pPr>
            <w:r w:rsidRPr="00450134">
              <w:rPr>
                <w:b/>
              </w:rPr>
              <w:t>1.tabula</w:t>
            </w:r>
          </w:p>
          <w:p w14:paraId="6E4A02F6" w14:textId="77777777" w:rsidR="00450134" w:rsidRPr="00450134" w:rsidRDefault="00450134" w:rsidP="008970F9">
            <w:pPr>
              <w:jc w:val="center"/>
            </w:pPr>
            <w:r w:rsidRPr="00450134">
              <w:rPr>
                <w:b/>
              </w:rPr>
              <w:t>Tiesību akta projekta atbilstība ES tiesību aktiem</w:t>
            </w:r>
          </w:p>
        </w:tc>
      </w:tr>
      <w:tr w:rsidR="00450134" w:rsidRPr="00450134" w14:paraId="2FDF6263" w14:textId="77777777" w:rsidTr="00450134">
        <w:trPr>
          <w:cantSplit/>
        </w:trPr>
        <w:tc>
          <w:tcPr>
            <w:tcW w:w="1966" w:type="dxa"/>
            <w:tcBorders>
              <w:top w:val="outset" w:sz="6" w:space="0" w:color="auto"/>
              <w:left w:val="outset" w:sz="6" w:space="0" w:color="auto"/>
              <w:bottom w:val="outset" w:sz="6" w:space="0" w:color="auto"/>
              <w:right w:val="outset" w:sz="6" w:space="0" w:color="auto"/>
            </w:tcBorders>
          </w:tcPr>
          <w:p w14:paraId="1A5EE7EA" w14:textId="77777777" w:rsidR="00450134" w:rsidRPr="00450134" w:rsidRDefault="00450134" w:rsidP="00450134">
            <w:r w:rsidRPr="00450134">
              <w:t>Attiecīgā ES tiesību akta datums, numurs un nosaukums</w:t>
            </w:r>
          </w:p>
        </w:tc>
        <w:tc>
          <w:tcPr>
            <w:tcW w:w="7390" w:type="dxa"/>
            <w:gridSpan w:val="3"/>
            <w:tcBorders>
              <w:top w:val="outset" w:sz="6" w:space="0" w:color="auto"/>
              <w:left w:val="outset" w:sz="6" w:space="0" w:color="auto"/>
              <w:bottom w:val="outset" w:sz="6" w:space="0" w:color="auto"/>
              <w:right w:val="outset" w:sz="6" w:space="0" w:color="auto"/>
            </w:tcBorders>
          </w:tcPr>
          <w:p w14:paraId="45F3AA77" w14:textId="5FAE499E" w:rsidR="00450134" w:rsidRPr="00450134" w:rsidRDefault="006E6F80" w:rsidP="006E6F80">
            <w:pPr>
              <w:jc w:val="both"/>
            </w:pPr>
            <w:r>
              <w:t xml:space="preserve">Komisijas regula (ES) Nr. 1407/2013 (2013. gada 18. decembris) par Līguma par Eiropas Savienības darbību 107. un 108. panta piemērošanu </w:t>
            </w:r>
            <w:proofErr w:type="spellStart"/>
            <w:r w:rsidRPr="006E6F80">
              <w:rPr>
                <w:i/>
              </w:rPr>
              <w:t>de</w:t>
            </w:r>
            <w:proofErr w:type="spellEnd"/>
            <w:r w:rsidRPr="006E6F80">
              <w:rPr>
                <w:i/>
              </w:rPr>
              <w:t xml:space="preserve"> </w:t>
            </w:r>
            <w:proofErr w:type="spellStart"/>
            <w:r w:rsidRPr="006E6F80">
              <w:rPr>
                <w:i/>
              </w:rPr>
              <w:t>minimis</w:t>
            </w:r>
            <w:proofErr w:type="spellEnd"/>
            <w:r w:rsidRPr="006E6F80">
              <w:rPr>
                <w:i/>
              </w:rPr>
              <w:t xml:space="preserve"> </w:t>
            </w:r>
            <w:r>
              <w:t>atbalstam.</w:t>
            </w:r>
          </w:p>
        </w:tc>
      </w:tr>
      <w:tr w:rsidR="00450134" w:rsidRPr="00450134" w14:paraId="4431A102" w14:textId="77777777" w:rsidTr="00450134">
        <w:trPr>
          <w:cantSplit/>
        </w:trPr>
        <w:tc>
          <w:tcPr>
            <w:tcW w:w="1966" w:type="dxa"/>
            <w:tcBorders>
              <w:top w:val="outset" w:sz="6" w:space="0" w:color="auto"/>
              <w:left w:val="outset" w:sz="6" w:space="0" w:color="auto"/>
              <w:bottom w:val="outset" w:sz="6" w:space="0" w:color="auto"/>
              <w:right w:val="outset" w:sz="6" w:space="0" w:color="auto"/>
            </w:tcBorders>
            <w:vAlign w:val="center"/>
          </w:tcPr>
          <w:p w14:paraId="27CE2A90" w14:textId="77777777" w:rsidR="00450134" w:rsidRPr="00450134" w:rsidRDefault="00450134" w:rsidP="00450134">
            <w:r w:rsidRPr="00450134">
              <w:t>A</w:t>
            </w:r>
          </w:p>
        </w:tc>
        <w:tc>
          <w:tcPr>
            <w:tcW w:w="1852" w:type="dxa"/>
            <w:tcBorders>
              <w:top w:val="outset" w:sz="6" w:space="0" w:color="auto"/>
              <w:left w:val="outset" w:sz="6" w:space="0" w:color="auto"/>
              <w:bottom w:val="outset" w:sz="6" w:space="0" w:color="auto"/>
              <w:right w:val="outset" w:sz="6" w:space="0" w:color="auto"/>
            </w:tcBorders>
            <w:vAlign w:val="center"/>
          </w:tcPr>
          <w:p w14:paraId="2B438B70" w14:textId="77777777" w:rsidR="00450134" w:rsidRPr="00450134" w:rsidRDefault="00450134" w:rsidP="00450134">
            <w:r w:rsidRPr="00450134">
              <w:t>B</w:t>
            </w:r>
          </w:p>
        </w:tc>
        <w:tc>
          <w:tcPr>
            <w:tcW w:w="2719" w:type="dxa"/>
            <w:tcBorders>
              <w:top w:val="outset" w:sz="6" w:space="0" w:color="auto"/>
              <w:left w:val="outset" w:sz="6" w:space="0" w:color="auto"/>
              <w:bottom w:val="outset" w:sz="6" w:space="0" w:color="auto"/>
              <w:right w:val="outset" w:sz="6" w:space="0" w:color="auto"/>
            </w:tcBorders>
            <w:vAlign w:val="center"/>
          </w:tcPr>
          <w:p w14:paraId="59491935" w14:textId="77777777" w:rsidR="00450134" w:rsidRPr="00450134" w:rsidRDefault="00450134" w:rsidP="00450134">
            <w:r w:rsidRPr="00450134">
              <w:t>C</w:t>
            </w:r>
          </w:p>
        </w:tc>
        <w:tc>
          <w:tcPr>
            <w:tcW w:w="2819" w:type="dxa"/>
            <w:tcBorders>
              <w:top w:val="outset" w:sz="6" w:space="0" w:color="auto"/>
              <w:left w:val="outset" w:sz="6" w:space="0" w:color="auto"/>
              <w:bottom w:val="outset" w:sz="6" w:space="0" w:color="auto"/>
              <w:right w:val="outset" w:sz="6" w:space="0" w:color="auto"/>
            </w:tcBorders>
            <w:vAlign w:val="center"/>
          </w:tcPr>
          <w:p w14:paraId="6458F811" w14:textId="77777777" w:rsidR="00450134" w:rsidRPr="00450134" w:rsidRDefault="00450134" w:rsidP="00450134">
            <w:r w:rsidRPr="00450134">
              <w:t>D</w:t>
            </w:r>
          </w:p>
        </w:tc>
      </w:tr>
      <w:tr w:rsidR="00450134" w:rsidRPr="00450134" w14:paraId="1B898EDA" w14:textId="77777777" w:rsidTr="00450134">
        <w:trPr>
          <w:cantSplit/>
          <w:trHeight w:val="4708"/>
        </w:trPr>
        <w:tc>
          <w:tcPr>
            <w:tcW w:w="1966" w:type="dxa"/>
            <w:tcBorders>
              <w:top w:val="outset" w:sz="6" w:space="0" w:color="auto"/>
              <w:left w:val="outset" w:sz="6" w:space="0" w:color="auto"/>
              <w:bottom w:val="outset" w:sz="6" w:space="0" w:color="auto"/>
              <w:right w:val="outset" w:sz="6" w:space="0" w:color="auto"/>
            </w:tcBorders>
          </w:tcPr>
          <w:p w14:paraId="3EFA94BB" w14:textId="77777777" w:rsidR="00450134" w:rsidRPr="00450134" w:rsidRDefault="00450134" w:rsidP="00450134">
            <w:r w:rsidRPr="00450134">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14:paraId="2E289CF5" w14:textId="77777777" w:rsidR="00450134" w:rsidRPr="00450134" w:rsidRDefault="00450134" w:rsidP="00450134">
            <w:r w:rsidRPr="00450134">
              <w:t>Projekta vienība, kas pārņem vai ievieš katru šīs tabulas A ailē minēto ES tiesību akta vienību,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14:paraId="671A205E" w14:textId="77777777" w:rsidR="00450134" w:rsidRPr="00450134" w:rsidRDefault="00450134" w:rsidP="00450134">
            <w:r w:rsidRPr="00450134">
              <w:t>Informācija par to, vai šīs tabulas A ailē minētās ES tiesību akta vienības tiek pārņemtas vai ieviestas pilnībā vai daļēji.</w:t>
            </w:r>
          </w:p>
          <w:p w14:paraId="7058AD48" w14:textId="77777777" w:rsidR="00450134" w:rsidRPr="00450134" w:rsidRDefault="00450134" w:rsidP="00450134">
            <w:r w:rsidRPr="00450134">
              <w:t>Ja attiecīgā ES tiesību akta vienība tiek pārņemta vai ieviesta daļēji, sniedz attiecīgu skaidrojumu, kā arī precīzi norāda, kad un kādā veidā ES tiesību akta vienība tiks pārņemta vai ieviesta pilnībā.</w:t>
            </w:r>
          </w:p>
          <w:p w14:paraId="14FC9C05" w14:textId="77777777" w:rsidR="00450134" w:rsidRPr="00450134" w:rsidRDefault="00450134" w:rsidP="00450134">
            <w:r w:rsidRPr="00450134">
              <w:t>Norāda institūciju, kas ir atbildīga par šo saistību izpildi pilnībā</w:t>
            </w:r>
          </w:p>
        </w:tc>
        <w:tc>
          <w:tcPr>
            <w:tcW w:w="2819" w:type="dxa"/>
            <w:tcBorders>
              <w:top w:val="outset" w:sz="6" w:space="0" w:color="auto"/>
              <w:left w:val="outset" w:sz="6" w:space="0" w:color="auto"/>
              <w:bottom w:val="outset" w:sz="6" w:space="0" w:color="auto"/>
              <w:right w:val="outset" w:sz="6" w:space="0" w:color="auto"/>
            </w:tcBorders>
          </w:tcPr>
          <w:p w14:paraId="39FA1ED8" w14:textId="77777777" w:rsidR="00450134" w:rsidRPr="00450134" w:rsidRDefault="00450134" w:rsidP="00450134">
            <w:r w:rsidRPr="00450134">
              <w:t>Informācija par to, vai šīs tabulas B ailē minētās projekta vienības paredz stingrākas prasības nekā šīs tabulas A ailē minētās ES tiesību akta vienības.</w:t>
            </w:r>
          </w:p>
          <w:p w14:paraId="4B7E12B2" w14:textId="77777777" w:rsidR="00450134" w:rsidRPr="00450134" w:rsidRDefault="00450134" w:rsidP="00450134">
            <w:r w:rsidRPr="00450134">
              <w:t>Ja projekts satur stingrākas prasības nekā attiecīgais ES tiesību akts, norāda pamatojumu un samērīgumu.</w:t>
            </w:r>
          </w:p>
          <w:p w14:paraId="3EA0026B" w14:textId="77777777" w:rsidR="00450134" w:rsidRPr="00450134" w:rsidRDefault="00450134" w:rsidP="00450134">
            <w:r w:rsidRPr="00450134">
              <w:t>Norāda iespējamās alternatīvas (t.sk. alternatīvas, kas neparedz tiesiskā regulējuma izstrādi) – kādos gadījumos būtu iespējams izvairīties no stingrāku prasību noteikšanas, nekā paredzēts attiecīgajos ES tiesību aktos</w:t>
            </w:r>
          </w:p>
        </w:tc>
      </w:tr>
      <w:tr w:rsidR="00450134" w:rsidRPr="00450134" w14:paraId="45F3D249" w14:textId="77777777" w:rsidTr="00450134">
        <w:trPr>
          <w:cantSplit/>
          <w:trHeight w:val="1342"/>
        </w:trPr>
        <w:tc>
          <w:tcPr>
            <w:tcW w:w="1966" w:type="dxa"/>
            <w:tcBorders>
              <w:top w:val="outset" w:sz="6" w:space="0" w:color="auto"/>
              <w:left w:val="outset" w:sz="6" w:space="0" w:color="auto"/>
              <w:bottom w:val="outset" w:sz="6" w:space="0" w:color="auto"/>
              <w:right w:val="outset" w:sz="6" w:space="0" w:color="auto"/>
            </w:tcBorders>
          </w:tcPr>
          <w:p w14:paraId="46E45B5E" w14:textId="68895C9C" w:rsidR="003D0E4B" w:rsidRPr="003D0E4B" w:rsidRDefault="003D0E4B" w:rsidP="003D0E4B">
            <w:r w:rsidRPr="003D0E4B">
              <w:t>Komisijas regulas (ES) Nr.1407/2013</w:t>
            </w:r>
          </w:p>
          <w:p w14:paraId="78B2CD9F" w14:textId="41A881A5" w:rsidR="003D0E4B" w:rsidRPr="003D0E4B" w:rsidRDefault="003D0E4B" w:rsidP="003D0E4B">
            <w:r w:rsidRPr="003D0E4B">
              <w:t>4. panta 3.punkta (a) apakšpunkts</w:t>
            </w:r>
          </w:p>
          <w:p w14:paraId="31059D98" w14:textId="77777777" w:rsidR="003D0E4B" w:rsidRPr="003D0E4B" w:rsidRDefault="003D0E4B" w:rsidP="003D0E4B">
            <w:pPr>
              <w:rPr>
                <w:color w:val="FF0000"/>
              </w:rPr>
            </w:pPr>
          </w:p>
          <w:p w14:paraId="567A7000" w14:textId="7E34B3D8" w:rsidR="00450134" w:rsidRPr="00450134" w:rsidRDefault="00450134" w:rsidP="00450134"/>
        </w:tc>
        <w:tc>
          <w:tcPr>
            <w:tcW w:w="1852" w:type="dxa"/>
            <w:tcBorders>
              <w:top w:val="outset" w:sz="6" w:space="0" w:color="auto"/>
              <w:left w:val="outset" w:sz="6" w:space="0" w:color="auto"/>
              <w:bottom w:val="outset" w:sz="6" w:space="0" w:color="auto"/>
              <w:right w:val="outset" w:sz="6" w:space="0" w:color="auto"/>
            </w:tcBorders>
          </w:tcPr>
          <w:p w14:paraId="322785A5" w14:textId="1899E5FA" w:rsidR="00450134" w:rsidRPr="00450134" w:rsidRDefault="00450134" w:rsidP="00450134">
            <w:r w:rsidRPr="00450134">
              <w:t xml:space="preserve">Noteikumu projekta </w:t>
            </w:r>
            <w:r w:rsidR="003D0E4B">
              <w:t>43.punkts</w:t>
            </w:r>
          </w:p>
        </w:tc>
        <w:tc>
          <w:tcPr>
            <w:tcW w:w="2719" w:type="dxa"/>
            <w:tcBorders>
              <w:top w:val="outset" w:sz="6" w:space="0" w:color="auto"/>
              <w:left w:val="outset" w:sz="6" w:space="0" w:color="auto"/>
              <w:right w:val="outset" w:sz="6" w:space="0" w:color="auto"/>
            </w:tcBorders>
          </w:tcPr>
          <w:p w14:paraId="313ED605" w14:textId="77777777" w:rsidR="00450134" w:rsidRPr="00450134" w:rsidRDefault="00450134" w:rsidP="00450134">
            <w:r w:rsidRPr="00450134">
              <w:t>Šīs tabulas A ailē minētās ES tiesību akta vienības tiek ieviestas pilnībā.</w:t>
            </w:r>
          </w:p>
          <w:p w14:paraId="52A557CE" w14:textId="77777777" w:rsidR="00450134" w:rsidRPr="00450134" w:rsidRDefault="00450134" w:rsidP="00450134"/>
        </w:tc>
        <w:tc>
          <w:tcPr>
            <w:tcW w:w="2819" w:type="dxa"/>
            <w:tcBorders>
              <w:top w:val="outset" w:sz="6" w:space="0" w:color="auto"/>
              <w:left w:val="outset" w:sz="6" w:space="0" w:color="auto"/>
              <w:right w:val="outset" w:sz="6" w:space="0" w:color="auto"/>
            </w:tcBorders>
          </w:tcPr>
          <w:p w14:paraId="2C265972" w14:textId="77777777" w:rsidR="00450134" w:rsidRPr="00450134" w:rsidRDefault="00450134" w:rsidP="00450134">
            <w:r w:rsidRPr="00450134">
              <w:t xml:space="preserve">B ailē minētās projekta vienība neparedz stingrākas prasības nekā šīs tabulas A ailē minētās ES tiesību akta vienības. </w:t>
            </w:r>
          </w:p>
          <w:p w14:paraId="56423B8F" w14:textId="77777777" w:rsidR="00450134" w:rsidRPr="00450134" w:rsidRDefault="00450134" w:rsidP="00450134"/>
        </w:tc>
      </w:tr>
      <w:tr w:rsidR="005C4B1C" w:rsidRPr="00450134" w14:paraId="5B2A995F" w14:textId="77777777" w:rsidTr="00450134">
        <w:trPr>
          <w:cantSplit/>
          <w:trHeight w:val="1342"/>
        </w:trPr>
        <w:tc>
          <w:tcPr>
            <w:tcW w:w="1966" w:type="dxa"/>
            <w:tcBorders>
              <w:top w:val="outset" w:sz="6" w:space="0" w:color="auto"/>
              <w:left w:val="outset" w:sz="6" w:space="0" w:color="auto"/>
              <w:bottom w:val="outset" w:sz="6" w:space="0" w:color="auto"/>
              <w:right w:val="outset" w:sz="6" w:space="0" w:color="auto"/>
            </w:tcBorders>
          </w:tcPr>
          <w:p w14:paraId="41489E01" w14:textId="77777777" w:rsidR="005C4B1C" w:rsidRPr="005C4B1C" w:rsidRDefault="005C4B1C" w:rsidP="005C4B1C">
            <w:r w:rsidRPr="005C4B1C">
              <w:lastRenderedPageBreak/>
              <w:t>Komisijas regulas (ES) Nr.1407/2013</w:t>
            </w:r>
          </w:p>
          <w:p w14:paraId="19E2703F" w14:textId="5CE274CA" w:rsidR="005C4B1C" w:rsidRPr="005C4B1C" w:rsidRDefault="005C4B1C" w:rsidP="005C4B1C">
            <w:r>
              <w:t>6</w:t>
            </w:r>
            <w:r w:rsidRPr="005C4B1C">
              <w:t>. pant</w:t>
            </w:r>
            <w:r>
              <w:t>a 4.punkts</w:t>
            </w:r>
          </w:p>
          <w:p w14:paraId="636112A4" w14:textId="77777777" w:rsidR="005C4B1C" w:rsidRPr="003D0E4B" w:rsidRDefault="005C4B1C" w:rsidP="003D0E4B"/>
        </w:tc>
        <w:tc>
          <w:tcPr>
            <w:tcW w:w="1852" w:type="dxa"/>
            <w:tcBorders>
              <w:top w:val="outset" w:sz="6" w:space="0" w:color="auto"/>
              <w:left w:val="outset" w:sz="6" w:space="0" w:color="auto"/>
              <w:bottom w:val="outset" w:sz="6" w:space="0" w:color="auto"/>
              <w:right w:val="outset" w:sz="6" w:space="0" w:color="auto"/>
            </w:tcBorders>
          </w:tcPr>
          <w:p w14:paraId="1E150F52" w14:textId="6523F726" w:rsidR="005C4B1C" w:rsidRPr="00E524F9" w:rsidRDefault="00C44C18" w:rsidP="00450134">
            <w:r w:rsidRPr="00C44C18">
              <w:t>Noteikumu projekta 4</w:t>
            </w:r>
            <w:r w:rsidR="009407ED">
              <w:t>4</w:t>
            </w:r>
            <w:r w:rsidRPr="00C44C18">
              <w:t>.punkts</w:t>
            </w:r>
            <w:r w:rsidR="00E524F9">
              <w:t xml:space="preserve"> (</w:t>
            </w:r>
            <w:proofErr w:type="gramStart"/>
            <w:r w:rsidR="00E524F9">
              <w:t>192.</w:t>
            </w:r>
            <w:r w:rsidR="00E524F9" w:rsidRPr="00E524F9">
              <w:rPr>
                <w:vertAlign w:val="superscript"/>
              </w:rPr>
              <w:t>1</w:t>
            </w:r>
            <w:r w:rsidR="008B58B4">
              <w:rPr>
                <w:vertAlign w:val="superscript"/>
              </w:rPr>
              <w:t>2</w:t>
            </w:r>
            <w:r w:rsidR="00E524F9">
              <w:rPr>
                <w:vertAlign w:val="superscript"/>
              </w:rPr>
              <w:t xml:space="preserve"> </w:t>
            </w:r>
            <w:r w:rsidR="00E524F9">
              <w:t>punkts</w:t>
            </w:r>
            <w:proofErr w:type="gramEnd"/>
            <w:r w:rsidR="00E524F9">
              <w:t>)</w:t>
            </w:r>
          </w:p>
        </w:tc>
        <w:tc>
          <w:tcPr>
            <w:tcW w:w="2719" w:type="dxa"/>
            <w:tcBorders>
              <w:top w:val="outset" w:sz="6" w:space="0" w:color="auto"/>
              <w:left w:val="outset" w:sz="6" w:space="0" w:color="auto"/>
              <w:right w:val="outset" w:sz="6" w:space="0" w:color="auto"/>
            </w:tcBorders>
          </w:tcPr>
          <w:p w14:paraId="64BFEC12" w14:textId="77777777" w:rsidR="007F4972" w:rsidRPr="007F4972" w:rsidRDefault="007F4972" w:rsidP="007F4972">
            <w:r w:rsidRPr="007F4972">
              <w:t>Šīs tabulas A ailē minētās ES tiesību akta vienības tiek ieviestas pilnībā.</w:t>
            </w:r>
          </w:p>
          <w:p w14:paraId="28F98C4A" w14:textId="77777777" w:rsidR="005C4B1C" w:rsidRPr="00450134" w:rsidRDefault="005C4B1C" w:rsidP="00450134"/>
        </w:tc>
        <w:tc>
          <w:tcPr>
            <w:tcW w:w="2819" w:type="dxa"/>
            <w:tcBorders>
              <w:top w:val="outset" w:sz="6" w:space="0" w:color="auto"/>
              <w:left w:val="outset" w:sz="6" w:space="0" w:color="auto"/>
              <w:right w:val="outset" w:sz="6" w:space="0" w:color="auto"/>
            </w:tcBorders>
          </w:tcPr>
          <w:p w14:paraId="4EC152B3" w14:textId="77777777" w:rsidR="007F4972" w:rsidRPr="007F4972" w:rsidRDefault="007F4972" w:rsidP="007F4972">
            <w:r w:rsidRPr="007F4972">
              <w:t xml:space="preserve">B ailē minētās projekta vienība neparedz stingrākas prasības nekā šīs tabulas A ailē minētās ES tiesību akta vienības. </w:t>
            </w:r>
          </w:p>
          <w:p w14:paraId="0887C203" w14:textId="77777777" w:rsidR="005C4B1C" w:rsidRPr="00450134" w:rsidRDefault="005C4B1C" w:rsidP="00450134"/>
        </w:tc>
      </w:tr>
      <w:tr w:rsidR="003D0E4B" w:rsidRPr="00450134" w14:paraId="057E9253" w14:textId="77777777" w:rsidTr="00450134">
        <w:trPr>
          <w:cantSplit/>
          <w:trHeight w:val="1342"/>
        </w:trPr>
        <w:tc>
          <w:tcPr>
            <w:tcW w:w="1966" w:type="dxa"/>
            <w:tcBorders>
              <w:top w:val="outset" w:sz="6" w:space="0" w:color="auto"/>
              <w:left w:val="outset" w:sz="6" w:space="0" w:color="auto"/>
              <w:bottom w:val="outset" w:sz="6" w:space="0" w:color="auto"/>
              <w:right w:val="outset" w:sz="6" w:space="0" w:color="auto"/>
            </w:tcBorders>
          </w:tcPr>
          <w:p w14:paraId="2176140F" w14:textId="77777777" w:rsidR="003D0E4B" w:rsidRPr="003D0E4B" w:rsidRDefault="003D0E4B" w:rsidP="003D0E4B">
            <w:r w:rsidRPr="003D0E4B">
              <w:t>Komisijas regulas (ES) Nr.1407/2013</w:t>
            </w:r>
          </w:p>
          <w:p w14:paraId="49EC55CC" w14:textId="7054B04E" w:rsidR="003D0E4B" w:rsidRPr="003D0E4B" w:rsidRDefault="00AD305F" w:rsidP="003D0E4B">
            <w:r>
              <w:t>8.</w:t>
            </w:r>
            <w:r w:rsidR="008970F9">
              <w:t xml:space="preserve"> </w:t>
            </w:r>
            <w:r>
              <w:t>pants</w:t>
            </w:r>
          </w:p>
          <w:p w14:paraId="2EAD3A56" w14:textId="77777777" w:rsidR="003D0E4B" w:rsidRPr="003D0E4B" w:rsidRDefault="003D0E4B" w:rsidP="003D0E4B"/>
        </w:tc>
        <w:tc>
          <w:tcPr>
            <w:tcW w:w="1852" w:type="dxa"/>
            <w:tcBorders>
              <w:top w:val="outset" w:sz="6" w:space="0" w:color="auto"/>
              <w:left w:val="outset" w:sz="6" w:space="0" w:color="auto"/>
              <w:bottom w:val="outset" w:sz="6" w:space="0" w:color="auto"/>
              <w:right w:val="outset" w:sz="6" w:space="0" w:color="auto"/>
            </w:tcBorders>
          </w:tcPr>
          <w:p w14:paraId="46A3CBB6" w14:textId="3A59038A" w:rsidR="003D0E4B" w:rsidRPr="00450134" w:rsidRDefault="00AD305F" w:rsidP="00450134">
            <w:r>
              <w:t>Noteikumu projekta 44.punkts</w:t>
            </w:r>
            <w:r w:rsidR="009407ED">
              <w:t xml:space="preserve"> (</w:t>
            </w:r>
            <w:proofErr w:type="gramStart"/>
            <w:r w:rsidR="007F4972">
              <w:t>192.</w:t>
            </w:r>
            <w:r w:rsidR="007F4972" w:rsidRPr="009407ED">
              <w:rPr>
                <w:vertAlign w:val="superscript"/>
              </w:rPr>
              <w:t>1</w:t>
            </w:r>
            <w:r w:rsidR="008B58B4">
              <w:rPr>
                <w:vertAlign w:val="superscript"/>
              </w:rPr>
              <w:t>3</w:t>
            </w:r>
            <w:r w:rsidR="007F4972">
              <w:rPr>
                <w:vertAlign w:val="superscript"/>
              </w:rPr>
              <w:t xml:space="preserve"> </w:t>
            </w:r>
            <w:r w:rsidR="007F4972">
              <w:t>punkts</w:t>
            </w:r>
            <w:proofErr w:type="gramEnd"/>
            <w:r w:rsidR="009407ED">
              <w:t>)</w:t>
            </w:r>
          </w:p>
        </w:tc>
        <w:tc>
          <w:tcPr>
            <w:tcW w:w="2719" w:type="dxa"/>
            <w:tcBorders>
              <w:top w:val="outset" w:sz="6" w:space="0" w:color="auto"/>
              <w:left w:val="outset" w:sz="6" w:space="0" w:color="auto"/>
              <w:right w:val="outset" w:sz="6" w:space="0" w:color="auto"/>
            </w:tcBorders>
          </w:tcPr>
          <w:p w14:paraId="210D92B4" w14:textId="77777777" w:rsidR="007F4972" w:rsidRPr="007F4972" w:rsidRDefault="007F4972" w:rsidP="007F4972">
            <w:r w:rsidRPr="007F4972">
              <w:t>Šīs tabulas A ailē minētās ES tiesību akta vienības tiek ieviestas pilnībā.</w:t>
            </w:r>
          </w:p>
          <w:p w14:paraId="14CAE720" w14:textId="77777777" w:rsidR="003D0E4B" w:rsidRPr="00450134" w:rsidRDefault="003D0E4B" w:rsidP="00450134"/>
        </w:tc>
        <w:tc>
          <w:tcPr>
            <w:tcW w:w="2819" w:type="dxa"/>
            <w:tcBorders>
              <w:top w:val="outset" w:sz="6" w:space="0" w:color="auto"/>
              <w:left w:val="outset" w:sz="6" w:space="0" w:color="auto"/>
              <w:right w:val="outset" w:sz="6" w:space="0" w:color="auto"/>
            </w:tcBorders>
          </w:tcPr>
          <w:p w14:paraId="73210C0D" w14:textId="77777777" w:rsidR="007F4972" w:rsidRPr="007F4972" w:rsidRDefault="007F4972" w:rsidP="007F4972">
            <w:r w:rsidRPr="007F4972">
              <w:t xml:space="preserve">B ailē minētās projekta vienība neparedz stingrākas prasības nekā šīs tabulas A ailē minētās ES tiesību akta vienības. </w:t>
            </w:r>
          </w:p>
          <w:p w14:paraId="47118094" w14:textId="77777777" w:rsidR="003D0E4B" w:rsidRPr="00450134" w:rsidRDefault="003D0E4B" w:rsidP="00450134"/>
        </w:tc>
      </w:tr>
      <w:tr w:rsidR="00E052AC" w:rsidRPr="00450134" w14:paraId="3E10E10A" w14:textId="77777777" w:rsidTr="00450134">
        <w:trPr>
          <w:cantSplit/>
          <w:trHeight w:val="1342"/>
        </w:trPr>
        <w:tc>
          <w:tcPr>
            <w:tcW w:w="1966" w:type="dxa"/>
            <w:tcBorders>
              <w:top w:val="outset" w:sz="6" w:space="0" w:color="auto"/>
              <w:left w:val="outset" w:sz="6" w:space="0" w:color="auto"/>
              <w:bottom w:val="outset" w:sz="6" w:space="0" w:color="auto"/>
              <w:right w:val="outset" w:sz="6" w:space="0" w:color="auto"/>
            </w:tcBorders>
          </w:tcPr>
          <w:p w14:paraId="06BDB5CB" w14:textId="4FCCCA86" w:rsidR="00E052AC" w:rsidRPr="00E052AC" w:rsidRDefault="00E052AC" w:rsidP="00E052AC">
            <w:r w:rsidRPr="00E052AC">
              <w:t>Komisijas regulas (ES) Nr.1407/2013</w:t>
            </w:r>
            <w:r w:rsidR="007F4972">
              <w:t xml:space="preserve"> 1. panta 2.punkts</w:t>
            </w:r>
          </w:p>
          <w:p w14:paraId="39EF1894" w14:textId="77777777" w:rsidR="00E052AC" w:rsidRPr="003D0E4B" w:rsidRDefault="00E052AC" w:rsidP="007F4972">
            <w:pPr>
              <w:pStyle w:val="ListParagraph"/>
            </w:pPr>
          </w:p>
        </w:tc>
        <w:tc>
          <w:tcPr>
            <w:tcW w:w="1852" w:type="dxa"/>
            <w:tcBorders>
              <w:top w:val="outset" w:sz="6" w:space="0" w:color="auto"/>
              <w:left w:val="outset" w:sz="6" w:space="0" w:color="auto"/>
              <w:bottom w:val="outset" w:sz="6" w:space="0" w:color="auto"/>
              <w:right w:val="outset" w:sz="6" w:space="0" w:color="auto"/>
            </w:tcBorders>
          </w:tcPr>
          <w:p w14:paraId="248EC54D" w14:textId="484D0043" w:rsidR="00E052AC" w:rsidRDefault="007F4972" w:rsidP="00450134">
            <w:r w:rsidRPr="007F4972">
              <w:t>Noteikumu projekta 44.punkts (192.</w:t>
            </w:r>
            <w:r w:rsidRPr="007F4972">
              <w:rPr>
                <w:vertAlign w:val="superscript"/>
              </w:rPr>
              <w:t>1</w:t>
            </w:r>
            <w:r w:rsidR="008B58B4">
              <w:rPr>
                <w:vertAlign w:val="superscript"/>
              </w:rPr>
              <w:t>1</w:t>
            </w:r>
            <w:r w:rsidRPr="007F4972">
              <w:rPr>
                <w:vertAlign w:val="superscript"/>
              </w:rPr>
              <w:t xml:space="preserve"> </w:t>
            </w:r>
            <w:r w:rsidRPr="007F4972">
              <w:t>punkt</w:t>
            </w:r>
            <w:r>
              <w:t>s</w:t>
            </w:r>
            <w:r w:rsidRPr="007F4972">
              <w:t>)</w:t>
            </w:r>
          </w:p>
        </w:tc>
        <w:tc>
          <w:tcPr>
            <w:tcW w:w="2719" w:type="dxa"/>
            <w:tcBorders>
              <w:top w:val="outset" w:sz="6" w:space="0" w:color="auto"/>
              <w:left w:val="outset" w:sz="6" w:space="0" w:color="auto"/>
              <w:right w:val="outset" w:sz="6" w:space="0" w:color="auto"/>
            </w:tcBorders>
          </w:tcPr>
          <w:p w14:paraId="5BC56F37" w14:textId="77777777" w:rsidR="007F4972" w:rsidRPr="007F4972" w:rsidRDefault="007F4972" w:rsidP="007F4972">
            <w:r w:rsidRPr="007F4972">
              <w:t>Šīs tabulas A ailē minētās ES tiesību akta vienības tiek ieviestas pilnībā.</w:t>
            </w:r>
          </w:p>
          <w:p w14:paraId="1433E528" w14:textId="77777777" w:rsidR="00E052AC" w:rsidRPr="00450134" w:rsidRDefault="00E052AC" w:rsidP="00450134"/>
        </w:tc>
        <w:tc>
          <w:tcPr>
            <w:tcW w:w="2819" w:type="dxa"/>
            <w:tcBorders>
              <w:top w:val="outset" w:sz="6" w:space="0" w:color="auto"/>
              <w:left w:val="outset" w:sz="6" w:space="0" w:color="auto"/>
              <w:right w:val="outset" w:sz="6" w:space="0" w:color="auto"/>
            </w:tcBorders>
          </w:tcPr>
          <w:p w14:paraId="25EADC44" w14:textId="7CC382F3" w:rsidR="00E052AC" w:rsidRPr="00450134" w:rsidRDefault="007F4972" w:rsidP="00450134">
            <w:r w:rsidRPr="007F4972">
              <w:t xml:space="preserve">B ailē minētās projekta vienība neparedz stingrākas prasības nekā šīs tabulas A ailē minētās ES tiesību akta vienības. </w:t>
            </w:r>
          </w:p>
        </w:tc>
      </w:tr>
      <w:tr w:rsidR="00450134" w:rsidRPr="00450134" w14:paraId="79AC9008" w14:textId="77777777" w:rsidTr="00450134">
        <w:trPr>
          <w:cantSplit/>
          <w:trHeight w:val="281"/>
        </w:trPr>
        <w:tc>
          <w:tcPr>
            <w:tcW w:w="1966" w:type="dxa"/>
            <w:tcBorders>
              <w:top w:val="outset" w:sz="6" w:space="0" w:color="auto"/>
              <w:left w:val="outset" w:sz="6" w:space="0" w:color="auto"/>
              <w:bottom w:val="outset" w:sz="6" w:space="0" w:color="auto"/>
              <w:right w:val="outset" w:sz="6" w:space="0" w:color="auto"/>
            </w:tcBorders>
          </w:tcPr>
          <w:p w14:paraId="35D72598" w14:textId="77777777" w:rsidR="00450134" w:rsidRPr="00450134" w:rsidRDefault="00450134" w:rsidP="00450134">
            <w:r w:rsidRPr="00450134">
              <w:t>Kā ir izmantota ES tiesību aktā paredzētā rīcības brīvība dalībvalstij pārņemt vai ieviest noteiktas ES tiesību akta normas?</w:t>
            </w:r>
          </w:p>
          <w:p w14:paraId="19CA015A" w14:textId="77777777" w:rsidR="00450134" w:rsidRPr="00450134" w:rsidRDefault="00450134" w:rsidP="00450134">
            <w:r w:rsidRPr="00450134">
              <w:t>Kādēļ?</w:t>
            </w:r>
          </w:p>
        </w:tc>
        <w:tc>
          <w:tcPr>
            <w:tcW w:w="7390" w:type="dxa"/>
            <w:gridSpan w:val="3"/>
            <w:tcBorders>
              <w:top w:val="outset" w:sz="6" w:space="0" w:color="auto"/>
              <w:left w:val="outset" w:sz="6" w:space="0" w:color="auto"/>
              <w:bottom w:val="outset" w:sz="6" w:space="0" w:color="auto"/>
              <w:right w:val="outset" w:sz="6" w:space="0" w:color="auto"/>
            </w:tcBorders>
          </w:tcPr>
          <w:p w14:paraId="75A297F5" w14:textId="77777777" w:rsidR="00450134" w:rsidRPr="00450134" w:rsidRDefault="00450134" w:rsidP="00450134">
            <w:r w:rsidRPr="00450134">
              <w:t>Noteikumu projekts šo jomu neskar.</w:t>
            </w:r>
          </w:p>
        </w:tc>
      </w:tr>
      <w:tr w:rsidR="00450134" w:rsidRPr="00450134" w14:paraId="035F1C7C" w14:textId="77777777" w:rsidTr="00450134">
        <w:trPr>
          <w:cantSplit/>
          <w:trHeight w:val="913"/>
        </w:trPr>
        <w:tc>
          <w:tcPr>
            <w:tcW w:w="1966" w:type="dxa"/>
            <w:tcBorders>
              <w:top w:val="outset" w:sz="6" w:space="0" w:color="auto"/>
              <w:left w:val="outset" w:sz="6" w:space="0" w:color="auto"/>
              <w:bottom w:val="outset" w:sz="6" w:space="0" w:color="auto"/>
              <w:right w:val="outset" w:sz="6" w:space="0" w:color="auto"/>
            </w:tcBorders>
          </w:tcPr>
          <w:p w14:paraId="6C1E70D3" w14:textId="77777777" w:rsidR="00450134" w:rsidRPr="00450134" w:rsidRDefault="00450134" w:rsidP="00450134">
            <w:r w:rsidRPr="0045013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0" w:type="dxa"/>
            <w:gridSpan w:val="3"/>
            <w:tcBorders>
              <w:top w:val="outset" w:sz="6" w:space="0" w:color="auto"/>
              <w:left w:val="outset" w:sz="6" w:space="0" w:color="auto"/>
              <w:bottom w:val="outset" w:sz="6" w:space="0" w:color="auto"/>
              <w:right w:val="outset" w:sz="6" w:space="0" w:color="auto"/>
            </w:tcBorders>
          </w:tcPr>
          <w:p w14:paraId="66DB3A79" w14:textId="77777777" w:rsidR="00450134" w:rsidRPr="00450134" w:rsidRDefault="00450134" w:rsidP="00450134">
            <w:r w:rsidRPr="00450134">
              <w:t>Noteikumu projekts šo jomu neskar.</w:t>
            </w:r>
          </w:p>
        </w:tc>
      </w:tr>
      <w:tr w:rsidR="00450134" w:rsidRPr="00450134" w14:paraId="1F614867" w14:textId="77777777" w:rsidTr="00450134">
        <w:trPr>
          <w:cantSplit/>
          <w:trHeight w:val="392"/>
        </w:trPr>
        <w:tc>
          <w:tcPr>
            <w:tcW w:w="1966" w:type="dxa"/>
            <w:tcBorders>
              <w:top w:val="outset" w:sz="6" w:space="0" w:color="auto"/>
              <w:left w:val="outset" w:sz="6" w:space="0" w:color="auto"/>
              <w:bottom w:val="outset" w:sz="6" w:space="0" w:color="auto"/>
              <w:right w:val="outset" w:sz="6" w:space="0" w:color="auto"/>
            </w:tcBorders>
          </w:tcPr>
          <w:p w14:paraId="72D4836E" w14:textId="77777777" w:rsidR="00450134" w:rsidRPr="00450134" w:rsidRDefault="00450134" w:rsidP="00450134">
            <w:r w:rsidRPr="00450134">
              <w:t>Cita informācija</w:t>
            </w:r>
          </w:p>
        </w:tc>
        <w:tc>
          <w:tcPr>
            <w:tcW w:w="7390" w:type="dxa"/>
            <w:gridSpan w:val="3"/>
            <w:tcBorders>
              <w:top w:val="outset" w:sz="6" w:space="0" w:color="auto"/>
              <w:left w:val="outset" w:sz="6" w:space="0" w:color="auto"/>
              <w:bottom w:val="outset" w:sz="6" w:space="0" w:color="auto"/>
              <w:right w:val="outset" w:sz="6" w:space="0" w:color="auto"/>
            </w:tcBorders>
          </w:tcPr>
          <w:p w14:paraId="5DC3109D" w14:textId="77777777" w:rsidR="00450134" w:rsidRPr="00450134" w:rsidRDefault="00450134" w:rsidP="00450134">
            <w:r w:rsidRPr="00450134">
              <w:t>Nav.</w:t>
            </w:r>
          </w:p>
        </w:tc>
      </w:tr>
    </w:tbl>
    <w:p w14:paraId="53B72E6B" w14:textId="77777777" w:rsidR="00450134" w:rsidRPr="00450134" w:rsidRDefault="00450134" w:rsidP="00450134"/>
    <w:tbl>
      <w:tblPr>
        <w:tblW w:w="9347"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12"/>
        <w:gridCol w:w="3087"/>
        <w:gridCol w:w="4048"/>
      </w:tblGrid>
      <w:tr w:rsidR="00450134" w:rsidRPr="00450134" w14:paraId="1326CED3" w14:textId="77777777" w:rsidTr="006E6F80">
        <w:trPr>
          <w:trHeight w:val="19"/>
        </w:trPr>
        <w:tc>
          <w:tcPr>
            <w:tcW w:w="9347" w:type="dxa"/>
            <w:gridSpan w:val="3"/>
            <w:tcBorders>
              <w:top w:val="outset" w:sz="6" w:space="0" w:color="auto"/>
              <w:left w:val="outset" w:sz="6" w:space="0" w:color="auto"/>
              <w:bottom w:val="outset" w:sz="6" w:space="0" w:color="auto"/>
              <w:right w:val="outset" w:sz="6" w:space="0" w:color="auto"/>
            </w:tcBorders>
            <w:vAlign w:val="center"/>
          </w:tcPr>
          <w:p w14:paraId="357C8FB8" w14:textId="77777777" w:rsidR="00450134" w:rsidRPr="00450134" w:rsidRDefault="00450134" w:rsidP="006E6F80">
            <w:pPr>
              <w:jc w:val="center"/>
              <w:rPr>
                <w:b/>
              </w:rPr>
            </w:pPr>
            <w:r w:rsidRPr="00450134">
              <w:rPr>
                <w:b/>
              </w:rPr>
              <w:t>2.tabula</w:t>
            </w:r>
          </w:p>
          <w:p w14:paraId="06A25F50" w14:textId="77777777" w:rsidR="00450134" w:rsidRPr="00450134" w:rsidRDefault="00450134" w:rsidP="006E6F80">
            <w:pPr>
              <w:jc w:val="center"/>
              <w:rPr>
                <w:b/>
              </w:rPr>
            </w:pPr>
            <w:r w:rsidRPr="00450134">
              <w:rPr>
                <w:b/>
              </w:rPr>
              <w:t>Ar tiesību akta projektu izpildītās vai uzņemtās saistības, kas izriet no starptautiskajiem tiesību aktiem vai starptautiskas institūcijas vai organizācijas dokumentiem.</w:t>
            </w:r>
          </w:p>
          <w:p w14:paraId="1E2F2EE5" w14:textId="77777777" w:rsidR="00450134" w:rsidRPr="00450134" w:rsidRDefault="00450134" w:rsidP="006E6F80">
            <w:pPr>
              <w:jc w:val="center"/>
              <w:rPr>
                <w:b/>
              </w:rPr>
            </w:pPr>
            <w:r w:rsidRPr="00450134">
              <w:rPr>
                <w:b/>
              </w:rPr>
              <w:t>Pasākumi šo saistību izpildei</w:t>
            </w:r>
          </w:p>
        </w:tc>
      </w:tr>
      <w:tr w:rsidR="00450134" w:rsidRPr="00450134" w14:paraId="4DE5BF7C"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vAlign w:val="center"/>
          </w:tcPr>
          <w:p w14:paraId="52D94101" w14:textId="77777777" w:rsidR="00450134" w:rsidRPr="00450134" w:rsidRDefault="00450134" w:rsidP="00450134">
            <w:r w:rsidRPr="00450134">
              <w:lastRenderedPageBreak/>
              <w:t>Attiecīgā starptautiskā tiesību akta vai starptautiskas institūcijas vai organizācijas dokumenta (turpmāk – starptautiskais dokuments) datums, numurs un nosaukums</w:t>
            </w:r>
          </w:p>
        </w:tc>
        <w:tc>
          <w:tcPr>
            <w:tcW w:w="7135" w:type="dxa"/>
            <w:gridSpan w:val="2"/>
            <w:tcBorders>
              <w:top w:val="outset" w:sz="6" w:space="0" w:color="auto"/>
              <w:left w:val="outset" w:sz="6" w:space="0" w:color="auto"/>
              <w:bottom w:val="outset" w:sz="6" w:space="0" w:color="auto"/>
              <w:right w:val="outset" w:sz="6" w:space="0" w:color="auto"/>
            </w:tcBorders>
          </w:tcPr>
          <w:p w14:paraId="739FA0B9" w14:textId="77777777" w:rsidR="00450134" w:rsidRPr="00450134" w:rsidRDefault="00450134" w:rsidP="00450134">
            <w:r w:rsidRPr="00450134">
              <w:t>Noteikumu projekts šo jomu neskar.</w:t>
            </w:r>
          </w:p>
        </w:tc>
      </w:tr>
      <w:tr w:rsidR="00450134" w:rsidRPr="00450134" w14:paraId="7AFD5DF3"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vAlign w:val="center"/>
          </w:tcPr>
          <w:p w14:paraId="01EFCFA4" w14:textId="77777777" w:rsidR="00450134" w:rsidRPr="00450134" w:rsidRDefault="00450134" w:rsidP="00450134">
            <w:r w:rsidRPr="00450134">
              <w:t>A</w:t>
            </w:r>
          </w:p>
        </w:tc>
        <w:tc>
          <w:tcPr>
            <w:tcW w:w="3087" w:type="dxa"/>
            <w:tcBorders>
              <w:top w:val="outset" w:sz="6" w:space="0" w:color="auto"/>
              <w:left w:val="outset" w:sz="6" w:space="0" w:color="auto"/>
              <w:bottom w:val="outset" w:sz="6" w:space="0" w:color="auto"/>
              <w:right w:val="outset" w:sz="6" w:space="0" w:color="auto"/>
            </w:tcBorders>
            <w:vAlign w:val="center"/>
          </w:tcPr>
          <w:p w14:paraId="67FD8704" w14:textId="77777777" w:rsidR="00450134" w:rsidRPr="00450134" w:rsidRDefault="00450134" w:rsidP="00450134">
            <w:r w:rsidRPr="00450134">
              <w:t>B</w:t>
            </w:r>
          </w:p>
        </w:tc>
        <w:tc>
          <w:tcPr>
            <w:tcW w:w="4048" w:type="dxa"/>
            <w:tcBorders>
              <w:top w:val="outset" w:sz="6" w:space="0" w:color="auto"/>
              <w:left w:val="outset" w:sz="6" w:space="0" w:color="auto"/>
              <w:bottom w:val="outset" w:sz="6" w:space="0" w:color="auto"/>
              <w:right w:val="outset" w:sz="6" w:space="0" w:color="auto"/>
            </w:tcBorders>
            <w:vAlign w:val="center"/>
          </w:tcPr>
          <w:p w14:paraId="04318664" w14:textId="77777777" w:rsidR="00450134" w:rsidRPr="00450134" w:rsidRDefault="00450134" w:rsidP="00450134">
            <w:r w:rsidRPr="00450134">
              <w:t>C</w:t>
            </w:r>
          </w:p>
        </w:tc>
      </w:tr>
      <w:tr w:rsidR="00450134" w:rsidRPr="00450134" w14:paraId="1BCACB3A"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tcPr>
          <w:p w14:paraId="650A393F" w14:textId="77777777" w:rsidR="00450134" w:rsidRPr="00450134" w:rsidRDefault="00450134" w:rsidP="00450134">
            <w:r w:rsidRPr="00450134">
              <w:t>Starptautiskās saistības (pēc būtības), kas izriet no norādītā starptautiskā dokumenta.</w:t>
            </w:r>
          </w:p>
          <w:p w14:paraId="54431D65" w14:textId="77777777" w:rsidR="00450134" w:rsidRPr="00450134" w:rsidRDefault="00450134" w:rsidP="00450134">
            <w:r w:rsidRPr="00450134">
              <w:t>Konkrēti veicamie pasākumi vai uzdevumi, kas nepieciešami šo starptautisko saistību izpildei</w:t>
            </w:r>
          </w:p>
        </w:tc>
        <w:tc>
          <w:tcPr>
            <w:tcW w:w="3087" w:type="dxa"/>
            <w:tcBorders>
              <w:top w:val="outset" w:sz="6" w:space="0" w:color="auto"/>
              <w:left w:val="outset" w:sz="6" w:space="0" w:color="auto"/>
              <w:bottom w:val="outset" w:sz="6" w:space="0" w:color="auto"/>
              <w:right w:val="outset" w:sz="6" w:space="0" w:color="auto"/>
            </w:tcBorders>
          </w:tcPr>
          <w:p w14:paraId="2DCBA108" w14:textId="77777777" w:rsidR="00450134" w:rsidRPr="00450134" w:rsidRDefault="00450134" w:rsidP="00450134">
            <w:r w:rsidRPr="00450134">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048" w:type="dxa"/>
            <w:tcBorders>
              <w:top w:val="outset" w:sz="6" w:space="0" w:color="auto"/>
              <w:left w:val="outset" w:sz="6" w:space="0" w:color="auto"/>
              <w:bottom w:val="outset" w:sz="6" w:space="0" w:color="auto"/>
              <w:right w:val="outset" w:sz="6" w:space="0" w:color="auto"/>
            </w:tcBorders>
          </w:tcPr>
          <w:p w14:paraId="77ED749D" w14:textId="77777777" w:rsidR="00450134" w:rsidRPr="00450134" w:rsidRDefault="00450134" w:rsidP="00450134">
            <w:r w:rsidRPr="00450134">
              <w:t xml:space="preserve">Informācija par to, </w:t>
            </w:r>
            <w:proofErr w:type="gramStart"/>
            <w:r w:rsidRPr="00450134">
              <w:t>vai starptautiskās saistības, kas minētas šīs tabulas A ailē, tiek</w:t>
            </w:r>
            <w:proofErr w:type="gramEnd"/>
            <w:r w:rsidRPr="00450134">
              <w:t xml:space="preserve"> izpildītas pilnībā vai daļēji.</w:t>
            </w:r>
          </w:p>
          <w:p w14:paraId="6B9F9A87" w14:textId="77777777" w:rsidR="00450134" w:rsidRPr="00450134" w:rsidRDefault="00450134" w:rsidP="00450134">
            <w:r w:rsidRPr="00450134">
              <w:t>Ja attiecīgās starptautiskās saistības tiek izpildītas daļēji, sniedz attiecīgu skaidrojumu, kā arī precīzi norāda, kad un kādā veidā starptautiskās saistības tiks izpildītas pilnībā.</w:t>
            </w:r>
          </w:p>
          <w:p w14:paraId="64F811AB" w14:textId="77777777" w:rsidR="00450134" w:rsidRPr="00450134" w:rsidRDefault="00450134" w:rsidP="00450134">
            <w:r w:rsidRPr="00450134">
              <w:t>Norāda institūciju, kas ir atbildīga par šo saistību izpildi pilnībā</w:t>
            </w:r>
          </w:p>
        </w:tc>
      </w:tr>
      <w:tr w:rsidR="00450134" w:rsidRPr="00450134" w14:paraId="4BCAC621"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tcPr>
          <w:p w14:paraId="4DE33E72" w14:textId="77777777" w:rsidR="00450134" w:rsidRPr="00450134" w:rsidRDefault="00450134" w:rsidP="00450134">
            <w:r w:rsidRPr="00450134">
              <w:t>Projekts šo jomu neskar.</w:t>
            </w:r>
          </w:p>
        </w:tc>
        <w:tc>
          <w:tcPr>
            <w:tcW w:w="3087" w:type="dxa"/>
            <w:tcBorders>
              <w:top w:val="outset" w:sz="6" w:space="0" w:color="auto"/>
              <w:left w:val="outset" w:sz="6" w:space="0" w:color="auto"/>
              <w:bottom w:val="outset" w:sz="6" w:space="0" w:color="auto"/>
              <w:right w:val="outset" w:sz="6" w:space="0" w:color="auto"/>
            </w:tcBorders>
          </w:tcPr>
          <w:p w14:paraId="21DF751B" w14:textId="77777777" w:rsidR="00450134" w:rsidRPr="00450134" w:rsidRDefault="00450134" w:rsidP="00450134">
            <w:r w:rsidRPr="00450134">
              <w:t>Noteikumu projekts šo jomu neskar.</w:t>
            </w:r>
          </w:p>
        </w:tc>
        <w:tc>
          <w:tcPr>
            <w:tcW w:w="4048" w:type="dxa"/>
            <w:tcBorders>
              <w:top w:val="outset" w:sz="6" w:space="0" w:color="auto"/>
              <w:left w:val="outset" w:sz="6" w:space="0" w:color="auto"/>
              <w:bottom w:val="outset" w:sz="6" w:space="0" w:color="auto"/>
              <w:right w:val="outset" w:sz="6" w:space="0" w:color="auto"/>
            </w:tcBorders>
          </w:tcPr>
          <w:p w14:paraId="149C508C" w14:textId="77777777" w:rsidR="00450134" w:rsidRPr="00450134" w:rsidRDefault="00450134" w:rsidP="00450134">
            <w:r w:rsidRPr="00450134">
              <w:t>Noteikumu projekts šo jomu neskar.</w:t>
            </w:r>
          </w:p>
        </w:tc>
      </w:tr>
      <w:tr w:rsidR="00450134" w:rsidRPr="00450134" w14:paraId="75B8B85D"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tcPr>
          <w:p w14:paraId="3D1FAD77" w14:textId="77777777" w:rsidR="00450134" w:rsidRPr="00450134" w:rsidRDefault="00450134" w:rsidP="00450134">
            <w:r w:rsidRPr="00450134">
              <w:t>Vai starptautiskajā dokumentā paredzētās saistības nav pretrunā ar jau esošajām Latvijas Republikas starptautiskajām saistībām</w:t>
            </w:r>
          </w:p>
        </w:tc>
        <w:tc>
          <w:tcPr>
            <w:tcW w:w="7135" w:type="dxa"/>
            <w:gridSpan w:val="2"/>
            <w:tcBorders>
              <w:top w:val="outset" w:sz="6" w:space="0" w:color="auto"/>
              <w:left w:val="outset" w:sz="6" w:space="0" w:color="auto"/>
              <w:bottom w:val="outset" w:sz="6" w:space="0" w:color="auto"/>
              <w:right w:val="outset" w:sz="6" w:space="0" w:color="auto"/>
            </w:tcBorders>
          </w:tcPr>
          <w:p w14:paraId="034E8108" w14:textId="77777777" w:rsidR="00450134" w:rsidRPr="00450134" w:rsidRDefault="00450134" w:rsidP="00450134">
            <w:r w:rsidRPr="00450134">
              <w:t>Noteikumu projekts šo jomu neskar.</w:t>
            </w:r>
          </w:p>
        </w:tc>
      </w:tr>
      <w:tr w:rsidR="00450134" w:rsidRPr="00450134" w14:paraId="3BD40701"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tcPr>
          <w:p w14:paraId="4A85CB49" w14:textId="77777777" w:rsidR="00450134" w:rsidRPr="00450134" w:rsidRDefault="00450134" w:rsidP="00450134">
            <w:r w:rsidRPr="00450134">
              <w:t>Cita informācija</w:t>
            </w:r>
          </w:p>
        </w:tc>
        <w:tc>
          <w:tcPr>
            <w:tcW w:w="7135" w:type="dxa"/>
            <w:gridSpan w:val="2"/>
            <w:tcBorders>
              <w:top w:val="outset" w:sz="6" w:space="0" w:color="auto"/>
              <w:left w:val="outset" w:sz="6" w:space="0" w:color="auto"/>
              <w:bottom w:val="outset" w:sz="6" w:space="0" w:color="auto"/>
              <w:right w:val="outset" w:sz="6" w:space="0" w:color="auto"/>
            </w:tcBorders>
          </w:tcPr>
          <w:p w14:paraId="09D497E6" w14:textId="77777777" w:rsidR="00450134" w:rsidRPr="00450134" w:rsidRDefault="00450134" w:rsidP="00450134">
            <w:r w:rsidRPr="00450134">
              <w:t>Nav.</w:t>
            </w:r>
          </w:p>
        </w:tc>
      </w:tr>
    </w:tbl>
    <w:p w14:paraId="32F9B685" w14:textId="77777777" w:rsidR="003446E4" w:rsidRPr="00293E58" w:rsidRDefault="003446E4" w:rsidP="00A96D6E"/>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030"/>
        <w:gridCol w:w="5675"/>
      </w:tblGrid>
      <w:tr w:rsidR="00B76D85" w:rsidRPr="00293E58" w14:paraId="7C38FF1D" w14:textId="77777777" w:rsidTr="006E6F80">
        <w:trPr>
          <w:trHeight w:val="281"/>
        </w:trPr>
        <w:tc>
          <w:tcPr>
            <w:tcW w:w="9356" w:type="dxa"/>
            <w:gridSpan w:val="3"/>
            <w:shd w:val="clear" w:color="auto" w:fill="auto"/>
          </w:tcPr>
          <w:p w14:paraId="33EBE83B" w14:textId="77777777" w:rsidR="00B76D85" w:rsidRPr="00293E58" w:rsidRDefault="00043389" w:rsidP="006A7D0B">
            <w:pPr>
              <w:jc w:val="center"/>
              <w:rPr>
                <w:b/>
              </w:rPr>
            </w:pPr>
            <w:r w:rsidRPr="00293E58">
              <w:rPr>
                <w:b/>
              </w:rPr>
              <w:t>VI</w:t>
            </w:r>
            <w:r w:rsidR="00DC37D9" w:rsidRPr="00293E58">
              <w:rPr>
                <w:b/>
              </w:rPr>
              <w:t>.</w:t>
            </w:r>
            <w:r w:rsidRPr="00293E58">
              <w:rPr>
                <w:b/>
              </w:rPr>
              <w:t xml:space="preserve"> Sabiedrības līdzdalība un </w:t>
            </w:r>
            <w:r w:rsidR="00BB50B2" w:rsidRPr="00293E58">
              <w:rPr>
                <w:b/>
              </w:rPr>
              <w:t>komunikācijas aktivitātes</w:t>
            </w:r>
          </w:p>
        </w:tc>
      </w:tr>
      <w:tr w:rsidR="00BC4041" w:rsidRPr="00293E58" w14:paraId="57E499A0" w14:textId="77777777" w:rsidTr="006E6F80">
        <w:trPr>
          <w:trHeight w:val="1141"/>
        </w:trPr>
        <w:tc>
          <w:tcPr>
            <w:tcW w:w="651" w:type="dxa"/>
            <w:shd w:val="clear" w:color="auto" w:fill="auto"/>
          </w:tcPr>
          <w:p w14:paraId="319FFA04" w14:textId="77777777" w:rsidR="00BC4041" w:rsidRPr="00293E58" w:rsidRDefault="00BC4041" w:rsidP="00A36979">
            <w:r w:rsidRPr="00293E58">
              <w:t xml:space="preserve">1. </w:t>
            </w:r>
          </w:p>
        </w:tc>
        <w:tc>
          <w:tcPr>
            <w:tcW w:w="3030" w:type="dxa"/>
            <w:shd w:val="clear" w:color="auto" w:fill="auto"/>
          </w:tcPr>
          <w:p w14:paraId="6147364E" w14:textId="77777777" w:rsidR="00BC4041" w:rsidRPr="00293E58" w:rsidRDefault="00BB50B2" w:rsidP="006A7D0B">
            <w:pPr>
              <w:pStyle w:val="naiskr"/>
              <w:spacing w:before="0" w:after="0"/>
              <w:ind w:left="57" w:right="57"/>
            </w:pPr>
            <w:r w:rsidRPr="00293E58">
              <w:t>Plānotās sabiedrības līdzdalības un komunikācijas aktivitātes saistībā ar projektu</w:t>
            </w:r>
          </w:p>
        </w:tc>
        <w:tc>
          <w:tcPr>
            <w:tcW w:w="5675" w:type="dxa"/>
            <w:shd w:val="clear" w:color="auto" w:fill="auto"/>
          </w:tcPr>
          <w:p w14:paraId="03FB39C9" w14:textId="77777777" w:rsidR="00EE0272" w:rsidRPr="00293E58" w:rsidRDefault="000427AF" w:rsidP="001D1B55">
            <w:pPr>
              <w:jc w:val="both"/>
              <w:rPr>
                <w:i/>
                <w:color w:val="FF0000"/>
              </w:rPr>
            </w:pPr>
            <w:r w:rsidRPr="00293E58">
              <w:rPr>
                <w:iCs/>
              </w:rPr>
              <w:t>Noteikumu projekts 2017</w:t>
            </w:r>
            <w:r w:rsidR="00EE0272" w:rsidRPr="00293E58">
              <w:rPr>
                <w:iCs/>
              </w:rPr>
              <w:t xml:space="preserve">.gada </w:t>
            </w:r>
            <w:r w:rsidRPr="00293E58">
              <w:rPr>
                <w:iCs/>
                <w:color w:val="000000"/>
              </w:rPr>
              <w:t>jūnijā</w:t>
            </w:r>
            <w:r w:rsidR="00556139" w:rsidRPr="00293E58">
              <w:rPr>
                <w:iCs/>
                <w:color w:val="000000"/>
              </w:rPr>
              <w:t xml:space="preserve"> </w:t>
            </w:r>
            <w:r w:rsidR="00EE0272" w:rsidRPr="00293E58">
              <w:rPr>
                <w:iCs/>
              </w:rPr>
              <w:t>sabiedrības līdzda</w:t>
            </w:r>
            <w:r w:rsidR="00B51B76" w:rsidRPr="00293E58">
              <w:rPr>
                <w:iCs/>
              </w:rPr>
              <w:t>l</w:t>
            </w:r>
            <w:r w:rsidR="00EE0272" w:rsidRPr="00293E58">
              <w:rPr>
                <w:iCs/>
              </w:rPr>
              <w:t xml:space="preserve">ības nolūkos tika ievietots LM </w:t>
            </w:r>
            <w:r w:rsidR="001D1B55" w:rsidRPr="00293E58">
              <w:rPr>
                <w:iCs/>
              </w:rPr>
              <w:t>tīmekļa vietnē</w:t>
            </w:r>
            <w:r w:rsidR="00EE0272" w:rsidRPr="00293E58">
              <w:rPr>
                <w:iCs/>
              </w:rPr>
              <w:t>.</w:t>
            </w:r>
          </w:p>
        </w:tc>
      </w:tr>
      <w:tr w:rsidR="00BC4041" w:rsidRPr="00293E58" w14:paraId="2FD97D8D" w14:textId="77777777" w:rsidTr="006E6F80">
        <w:trPr>
          <w:trHeight w:val="681"/>
        </w:trPr>
        <w:tc>
          <w:tcPr>
            <w:tcW w:w="651" w:type="dxa"/>
            <w:shd w:val="clear" w:color="auto" w:fill="auto"/>
          </w:tcPr>
          <w:p w14:paraId="77E68582" w14:textId="77777777" w:rsidR="00BC4041" w:rsidRPr="00293E58" w:rsidRDefault="00BC4041" w:rsidP="00A36979">
            <w:r w:rsidRPr="00293E58">
              <w:t xml:space="preserve">2. </w:t>
            </w:r>
          </w:p>
        </w:tc>
        <w:tc>
          <w:tcPr>
            <w:tcW w:w="3030" w:type="dxa"/>
            <w:shd w:val="clear" w:color="auto" w:fill="auto"/>
          </w:tcPr>
          <w:p w14:paraId="619CCC21" w14:textId="77777777" w:rsidR="00BC4041" w:rsidRPr="00293E58" w:rsidRDefault="00BC4041" w:rsidP="006A7D0B">
            <w:pPr>
              <w:pStyle w:val="naiskr"/>
              <w:spacing w:before="0" w:after="0"/>
              <w:ind w:left="57" w:right="57"/>
            </w:pPr>
            <w:r w:rsidRPr="00293E58">
              <w:t xml:space="preserve">Sabiedrības līdzdalība projekta izstrādē </w:t>
            </w:r>
          </w:p>
        </w:tc>
        <w:tc>
          <w:tcPr>
            <w:tcW w:w="5675" w:type="dxa"/>
            <w:shd w:val="clear" w:color="auto" w:fill="auto"/>
          </w:tcPr>
          <w:p w14:paraId="574FEA39" w14:textId="77777777" w:rsidR="00BC4041" w:rsidRPr="00293E58" w:rsidRDefault="00EE0272" w:rsidP="00AD31D2">
            <w:pPr>
              <w:jc w:val="both"/>
              <w:rPr>
                <w:i/>
                <w:iCs/>
                <w:color w:val="FF0000"/>
              </w:rPr>
            </w:pPr>
            <w:r w:rsidRPr="00293E58">
              <w:rPr>
                <w:iCs/>
              </w:rPr>
              <w:t xml:space="preserve">Noteikumu projekts </w:t>
            </w:r>
            <w:r w:rsidR="000427AF" w:rsidRPr="00293E58">
              <w:rPr>
                <w:iCs/>
              </w:rPr>
              <w:t>2017</w:t>
            </w:r>
            <w:r w:rsidR="0041662A" w:rsidRPr="00293E58">
              <w:rPr>
                <w:iCs/>
              </w:rPr>
              <w:t xml:space="preserve">.gada </w:t>
            </w:r>
            <w:r w:rsidR="000427AF" w:rsidRPr="00293E58">
              <w:rPr>
                <w:iCs/>
                <w:color w:val="000000"/>
              </w:rPr>
              <w:t>jūnijā</w:t>
            </w:r>
            <w:r w:rsidR="0041662A" w:rsidRPr="00293E58">
              <w:rPr>
                <w:iCs/>
              </w:rPr>
              <w:t xml:space="preserve"> </w:t>
            </w:r>
            <w:r w:rsidR="00B51B76" w:rsidRPr="00293E58">
              <w:rPr>
                <w:iCs/>
              </w:rPr>
              <w:t>sabiedrības līdzdal</w:t>
            </w:r>
            <w:r w:rsidRPr="00293E58">
              <w:rPr>
                <w:iCs/>
              </w:rPr>
              <w:t xml:space="preserve">ības nolūkos tika ievietots LM </w:t>
            </w:r>
            <w:r w:rsidR="001D1B55" w:rsidRPr="00293E58">
              <w:rPr>
                <w:iCs/>
              </w:rPr>
              <w:t>tīmekļa vietnē</w:t>
            </w:r>
            <w:r w:rsidRPr="00293E58">
              <w:rPr>
                <w:iCs/>
              </w:rPr>
              <w:t>.</w:t>
            </w:r>
          </w:p>
        </w:tc>
      </w:tr>
      <w:tr w:rsidR="00BC4041" w:rsidRPr="00293E58" w14:paraId="62B8F0E4" w14:textId="77777777" w:rsidTr="006E6F80">
        <w:trPr>
          <w:trHeight w:val="1720"/>
        </w:trPr>
        <w:tc>
          <w:tcPr>
            <w:tcW w:w="651" w:type="dxa"/>
            <w:shd w:val="clear" w:color="auto" w:fill="auto"/>
          </w:tcPr>
          <w:p w14:paraId="45B252D4" w14:textId="77777777" w:rsidR="00BC4041" w:rsidRPr="00293E58" w:rsidRDefault="00BC4041" w:rsidP="00A36979">
            <w:r w:rsidRPr="00293E58">
              <w:t>3.</w:t>
            </w:r>
          </w:p>
        </w:tc>
        <w:tc>
          <w:tcPr>
            <w:tcW w:w="3030" w:type="dxa"/>
            <w:shd w:val="clear" w:color="auto" w:fill="auto"/>
          </w:tcPr>
          <w:p w14:paraId="6520693A" w14:textId="77777777" w:rsidR="00BC4041" w:rsidRPr="00293E58" w:rsidRDefault="00BC4041" w:rsidP="006A7D0B">
            <w:pPr>
              <w:pStyle w:val="naiskr"/>
              <w:spacing w:before="0" w:after="0"/>
              <w:ind w:left="57" w:right="57"/>
            </w:pPr>
            <w:r w:rsidRPr="00293E58">
              <w:t xml:space="preserve">Sabiedrības līdzdalības rezultāti </w:t>
            </w:r>
          </w:p>
        </w:tc>
        <w:tc>
          <w:tcPr>
            <w:tcW w:w="5675" w:type="dxa"/>
            <w:shd w:val="clear" w:color="auto" w:fill="auto"/>
          </w:tcPr>
          <w:p w14:paraId="2771CA96" w14:textId="77777777" w:rsidR="00C17418" w:rsidRPr="00293E58" w:rsidRDefault="00C17418" w:rsidP="00C17418">
            <w:pPr>
              <w:suppressAutoHyphens/>
              <w:ind w:right="57"/>
              <w:jc w:val="both"/>
              <w:rPr>
                <w:iCs/>
                <w:lang w:eastAsia="ar-SA"/>
              </w:rPr>
            </w:pPr>
            <w:r w:rsidRPr="00293E58">
              <w:rPr>
                <w:iCs/>
                <w:lang w:eastAsia="ar-SA"/>
              </w:rPr>
              <w:t>Individuālie sabiedrības</w:t>
            </w:r>
            <w:r w:rsidRPr="00293E58">
              <w:rPr>
                <w:b/>
                <w:iCs/>
                <w:lang w:eastAsia="ar-SA"/>
              </w:rPr>
              <w:t xml:space="preserve"> </w:t>
            </w:r>
            <w:r w:rsidRPr="00293E58">
              <w:rPr>
                <w:iCs/>
                <w:lang w:eastAsia="ar-SA"/>
              </w:rPr>
              <w:t xml:space="preserve">locekļu vērtējumi par Noteikumu projektu </w:t>
            </w:r>
            <w:r w:rsidR="00700EAF" w:rsidRPr="00293E58">
              <w:rPr>
                <w:iCs/>
                <w:lang w:eastAsia="ar-SA"/>
              </w:rPr>
              <w:t>nav</w:t>
            </w:r>
            <w:r w:rsidRPr="00293E58">
              <w:rPr>
                <w:iCs/>
                <w:lang w:eastAsia="ar-SA"/>
              </w:rPr>
              <w:t xml:space="preserve"> saņemti.</w:t>
            </w:r>
          </w:p>
          <w:p w14:paraId="5375A147" w14:textId="77777777" w:rsidR="00C17418" w:rsidRPr="00293E58" w:rsidRDefault="00C17418" w:rsidP="00BC7920">
            <w:pPr>
              <w:suppressAutoHyphens/>
              <w:ind w:right="57"/>
              <w:jc w:val="both"/>
              <w:rPr>
                <w:iCs/>
                <w:lang w:eastAsia="ar-SA"/>
              </w:rPr>
            </w:pPr>
            <w:r w:rsidRPr="00293E58">
              <w:rPr>
                <w:iCs/>
                <w:lang w:eastAsia="ar-SA"/>
              </w:rPr>
              <w:t xml:space="preserve">Noteikumu projekts oficiālās saskaņošanas ietvaros </w:t>
            </w:r>
            <w:r w:rsidR="00E908AD" w:rsidRPr="00293E58">
              <w:rPr>
                <w:iCs/>
                <w:lang w:eastAsia="ar-SA"/>
              </w:rPr>
              <w:t>ti</w:t>
            </w:r>
            <w:r w:rsidR="00D4440C" w:rsidRPr="00293E58">
              <w:rPr>
                <w:iCs/>
                <w:lang w:eastAsia="ar-SA"/>
              </w:rPr>
              <w:t>ka</w:t>
            </w:r>
            <w:r w:rsidR="00E908AD" w:rsidRPr="00293E58">
              <w:rPr>
                <w:iCs/>
                <w:lang w:eastAsia="ar-SA"/>
              </w:rPr>
              <w:t xml:space="preserve"> </w:t>
            </w:r>
            <w:r w:rsidRPr="00293E58">
              <w:rPr>
                <w:iCs/>
                <w:lang w:eastAsia="ar-SA"/>
              </w:rPr>
              <w:t>saskaņots ar Latvijas Darba devēju konfederāciju, Latvijas Brīvo arodbiedrību savienību</w:t>
            </w:r>
            <w:r w:rsidR="00B007D7" w:rsidRPr="00293E58">
              <w:rPr>
                <w:iCs/>
                <w:lang w:eastAsia="ar-SA"/>
              </w:rPr>
              <w:t xml:space="preserve"> un</w:t>
            </w:r>
            <w:r w:rsidR="002B264A" w:rsidRPr="00293E58">
              <w:rPr>
                <w:iCs/>
                <w:lang w:eastAsia="ar-SA"/>
              </w:rPr>
              <w:t xml:space="preserve"> </w:t>
            </w:r>
            <w:r w:rsidRPr="00293E58">
              <w:rPr>
                <w:iCs/>
                <w:lang w:eastAsia="ar-SA"/>
              </w:rPr>
              <w:t>Latvijas Pašvaldību savienību</w:t>
            </w:r>
            <w:r w:rsidR="00B007D7" w:rsidRPr="00293E58">
              <w:rPr>
                <w:iCs/>
                <w:lang w:eastAsia="ar-SA"/>
              </w:rPr>
              <w:t xml:space="preserve">. </w:t>
            </w:r>
          </w:p>
        </w:tc>
      </w:tr>
      <w:tr w:rsidR="00BC4041" w:rsidRPr="00293E58" w14:paraId="411F6509" w14:textId="77777777" w:rsidTr="006E6F80">
        <w:trPr>
          <w:trHeight w:val="578"/>
        </w:trPr>
        <w:tc>
          <w:tcPr>
            <w:tcW w:w="651" w:type="dxa"/>
            <w:shd w:val="clear" w:color="auto" w:fill="auto"/>
          </w:tcPr>
          <w:p w14:paraId="6BFE3B55" w14:textId="77777777" w:rsidR="00BC4041" w:rsidRPr="00293E58" w:rsidRDefault="004A1651" w:rsidP="004A1651">
            <w:r w:rsidRPr="00293E58">
              <w:lastRenderedPageBreak/>
              <w:t>4</w:t>
            </w:r>
            <w:r w:rsidR="00BC4041" w:rsidRPr="00293E58">
              <w:t>.</w:t>
            </w:r>
          </w:p>
        </w:tc>
        <w:tc>
          <w:tcPr>
            <w:tcW w:w="3030" w:type="dxa"/>
            <w:shd w:val="clear" w:color="auto" w:fill="auto"/>
          </w:tcPr>
          <w:p w14:paraId="13372A49" w14:textId="77777777" w:rsidR="00BC4041" w:rsidRPr="00293E58" w:rsidRDefault="00BC4041" w:rsidP="006A7D0B">
            <w:pPr>
              <w:pStyle w:val="naiskr"/>
              <w:spacing w:before="0" w:after="0"/>
              <w:ind w:left="57" w:right="57"/>
            </w:pPr>
            <w:r w:rsidRPr="00293E58">
              <w:t>Cita informācija</w:t>
            </w:r>
          </w:p>
          <w:p w14:paraId="465DF67B" w14:textId="77777777" w:rsidR="00BC4041" w:rsidRPr="00293E58" w:rsidRDefault="00BC4041" w:rsidP="006A7D0B">
            <w:pPr>
              <w:pStyle w:val="naiskr"/>
              <w:spacing w:before="0" w:after="0"/>
              <w:ind w:left="57" w:right="57"/>
            </w:pPr>
          </w:p>
        </w:tc>
        <w:tc>
          <w:tcPr>
            <w:tcW w:w="5675" w:type="dxa"/>
            <w:shd w:val="clear" w:color="auto" w:fill="auto"/>
          </w:tcPr>
          <w:p w14:paraId="1DC59CDC" w14:textId="77777777" w:rsidR="00BC4041" w:rsidRPr="00293E58" w:rsidRDefault="00BC4041" w:rsidP="006A7D0B">
            <w:pPr>
              <w:jc w:val="both"/>
              <w:rPr>
                <w:color w:val="000000"/>
              </w:rPr>
            </w:pPr>
            <w:r w:rsidRPr="00293E58">
              <w:rPr>
                <w:color w:val="000000"/>
              </w:rPr>
              <w:t>Nav</w:t>
            </w:r>
            <w:r w:rsidR="00D95119" w:rsidRPr="00293E58">
              <w:rPr>
                <w:color w:val="000000"/>
              </w:rPr>
              <w:t>.</w:t>
            </w:r>
          </w:p>
        </w:tc>
      </w:tr>
    </w:tbl>
    <w:p w14:paraId="6C73DE30" w14:textId="77777777" w:rsidR="00B76D85" w:rsidRPr="00293E58" w:rsidRDefault="00B76D85" w:rsidP="00B76D85">
      <w:pPr>
        <w:jc w:val="cente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985"/>
        <w:gridCol w:w="5720"/>
      </w:tblGrid>
      <w:tr w:rsidR="00194614" w:rsidRPr="00293E58" w14:paraId="4164A592" w14:textId="77777777" w:rsidTr="006E6F80">
        <w:tc>
          <w:tcPr>
            <w:tcW w:w="9356" w:type="dxa"/>
            <w:gridSpan w:val="3"/>
            <w:shd w:val="clear" w:color="auto" w:fill="auto"/>
          </w:tcPr>
          <w:p w14:paraId="341FC210" w14:textId="77777777" w:rsidR="00194614" w:rsidRPr="00293E58" w:rsidRDefault="00194614" w:rsidP="006A7D0B">
            <w:pPr>
              <w:jc w:val="center"/>
              <w:rPr>
                <w:b/>
              </w:rPr>
            </w:pPr>
            <w:r w:rsidRPr="00293E58">
              <w:rPr>
                <w:b/>
              </w:rPr>
              <w:t>VII</w:t>
            </w:r>
            <w:r w:rsidR="00DC37D9" w:rsidRPr="00293E58">
              <w:rPr>
                <w:b/>
              </w:rPr>
              <w:t>.</w:t>
            </w:r>
            <w:r w:rsidRPr="00293E58">
              <w:rPr>
                <w:b/>
              </w:rPr>
              <w:t xml:space="preserve"> Tiesību akta projekta izpildes nodrošināšana un tās ietekme uz institūcijām</w:t>
            </w:r>
          </w:p>
        </w:tc>
      </w:tr>
      <w:tr w:rsidR="00B76D85" w:rsidRPr="00293E58" w14:paraId="4A409A26" w14:textId="77777777" w:rsidTr="006E6F80">
        <w:tc>
          <w:tcPr>
            <w:tcW w:w="651" w:type="dxa"/>
            <w:shd w:val="clear" w:color="auto" w:fill="auto"/>
          </w:tcPr>
          <w:p w14:paraId="4D30B000" w14:textId="77777777" w:rsidR="00B76D85" w:rsidRPr="00293E58" w:rsidRDefault="00194614" w:rsidP="00242D7D">
            <w:r w:rsidRPr="00293E58">
              <w:t>1</w:t>
            </w:r>
            <w:r w:rsidR="00B76D85" w:rsidRPr="00293E58">
              <w:t xml:space="preserve">. </w:t>
            </w:r>
          </w:p>
        </w:tc>
        <w:tc>
          <w:tcPr>
            <w:tcW w:w="2985" w:type="dxa"/>
            <w:shd w:val="clear" w:color="auto" w:fill="auto"/>
          </w:tcPr>
          <w:p w14:paraId="5FDCC14C" w14:textId="77777777" w:rsidR="00B76D85" w:rsidRPr="00293E58" w:rsidRDefault="00194614" w:rsidP="00242D7D">
            <w:pPr>
              <w:rPr>
                <w:sz w:val="22"/>
                <w:szCs w:val="22"/>
              </w:rPr>
            </w:pPr>
            <w:r w:rsidRPr="00293E58">
              <w:rPr>
                <w:sz w:val="22"/>
                <w:szCs w:val="22"/>
              </w:rPr>
              <w:t>Projekta izpildē iesaistītās institūcijas</w:t>
            </w:r>
          </w:p>
        </w:tc>
        <w:tc>
          <w:tcPr>
            <w:tcW w:w="5720" w:type="dxa"/>
            <w:shd w:val="clear" w:color="auto" w:fill="auto"/>
          </w:tcPr>
          <w:p w14:paraId="32F05D86" w14:textId="77777777" w:rsidR="00B76D85" w:rsidRPr="00293E58" w:rsidRDefault="009C51EA" w:rsidP="00E908AD">
            <w:pPr>
              <w:jc w:val="both"/>
              <w:rPr>
                <w:color w:val="000000"/>
              </w:rPr>
            </w:pPr>
            <w:r w:rsidRPr="00293E58">
              <w:rPr>
                <w:iCs/>
                <w:color w:val="000000"/>
              </w:rPr>
              <w:t xml:space="preserve">Noteikuma projekta izpildi nodrošinās </w:t>
            </w:r>
            <w:r w:rsidR="00E908AD" w:rsidRPr="00293E58">
              <w:rPr>
                <w:iCs/>
                <w:color w:val="000000"/>
              </w:rPr>
              <w:t>NVA</w:t>
            </w:r>
            <w:r w:rsidRPr="00293E58">
              <w:rPr>
                <w:iCs/>
                <w:color w:val="000000"/>
              </w:rPr>
              <w:t>.</w:t>
            </w:r>
          </w:p>
        </w:tc>
      </w:tr>
      <w:tr w:rsidR="006A694C" w:rsidRPr="00293E58" w14:paraId="46DB13CF" w14:textId="77777777" w:rsidTr="006E6F80">
        <w:tc>
          <w:tcPr>
            <w:tcW w:w="651" w:type="dxa"/>
            <w:shd w:val="clear" w:color="auto" w:fill="auto"/>
          </w:tcPr>
          <w:p w14:paraId="2B666DB0" w14:textId="77777777" w:rsidR="006A694C" w:rsidRPr="00293E58" w:rsidRDefault="006A694C" w:rsidP="00046760">
            <w:r w:rsidRPr="00293E58">
              <w:t xml:space="preserve">2. </w:t>
            </w:r>
          </w:p>
        </w:tc>
        <w:tc>
          <w:tcPr>
            <w:tcW w:w="2985" w:type="dxa"/>
            <w:shd w:val="clear" w:color="auto" w:fill="auto"/>
          </w:tcPr>
          <w:p w14:paraId="138AB02A" w14:textId="77777777" w:rsidR="006A694C" w:rsidRPr="00293E58" w:rsidRDefault="006A694C" w:rsidP="00046760">
            <w:pPr>
              <w:rPr>
                <w:sz w:val="22"/>
                <w:szCs w:val="22"/>
              </w:rPr>
            </w:pPr>
            <w:r w:rsidRPr="00293E58">
              <w:rPr>
                <w:sz w:val="22"/>
                <w:szCs w:val="22"/>
              </w:rPr>
              <w:t>Projekta izpildes ietekme uz pār</w:t>
            </w:r>
            <w:r w:rsidRPr="00293E58">
              <w:rPr>
                <w:sz w:val="22"/>
                <w:szCs w:val="22"/>
              </w:rPr>
              <w:softHyphen/>
              <w:t>valdes funkcijām un institucionālo struktūru.</w:t>
            </w:r>
          </w:p>
          <w:p w14:paraId="4A94E9B7" w14:textId="77777777" w:rsidR="006A694C" w:rsidRPr="00293E58" w:rsidRDefault="006A694C" w:rsidP="00046760">
            <w:pPr>
              <w:rPr>
                <w:sz w:val="22"/>
                <w:szCs w:val="22"/>
              </w:rPr>
            </w:pPr>
            <w:r w:rsidRPr="00293E58">
              <w:rPr>
                <w:sz w:val="22"/>
                <w:szCs w:val="22"/>
              </w:rPr>
              <w:t>Jaunu institūciju izveide, esošu institūciju likvidācija vai reorga</w:t>
            </w:r>
            <w:r w:rsidRPr="00293E58">
              <w:rPr>
                <w:sz w:val="22"/>
                <w:szCs w:val="22"/>
              </w:rPr>
              <w:softHyphen/>
              <w:t>nizācija, to ietekme uz institūcijas cilvēkresursiem</w:t>
            </w:r>
          </w:p>
        </w:tc>
        <w:tc>
          <w:tcPr>
            <w:tcW w:w="5720" w:type="dxa"/>
            <w:shd w:val="clear" w:color="auto" w:fill="auto"/>
          </w:tcPr>
          <w:p w14:paraId="4DD6DCA2" w14:textId="77777777" w:rsidR="006A694C" w:rsidRPr="00293E58" w:rsidRDefault="006A694C" w:rsidP="00E908AD">
            <w:pPr>
              <w:jc w:val="both"/>
              <w:rPr>
                <w:color w:val="000000"/>
              </w:rPr>
            </w:pPr>
            <w:r w:rsidRPr="00293E58">
              <w:rPr>
                <w:color w:val="000000"/>
              </w:rPr>
              <w:t xml:space="preserve">Noteikumu projekts neparedz </w:t>
            </w:r>
            <w:r w:rsidR="00E908AD" w:rsidRPr="00293E58">
              <w:rPr>
                <w:color w:val="000000"/>
              </w:rPr>
              <w:t>NVA</w:t>
            </w:r>
            <w:r w:rsidRPr="00293E58">
              <w:rPr>
                <w:color w:val="000000"/>
              </w:rPr>
              <w:t xml:space="preserve"> funkciju paplašināšanu vai sašaur</w:t>
            </w:r>
            <w:r w:rsidR="00A75348" w:rsidRPr="00293E58">
              <w:rPr>
                <w:color w:val="000000"/>
              </w:rPr>
              <w:t xml:space="preserve">ināšanu, kā arī neietekmē pieejamos cilvēkresursus. </w:t>
            </w:r>
          </w:p>
        </w:tc>
      </w:tr>
      <w:tr w:rsidR="006A694C" w:rsidRPr="00293E58" w14:paraId="1794CE42" w14:textId="77777777" w:rsidTr="006E6F80">
        <w:tc>
          <w:tcPr>
            <w:tcW w:w="651" w:type="dxa"/>
            <w:shd w:val="clear" w:color="auto" w:fill="auto"/>
          </w:tcPr>
          <w:p w14:paraId="5D93C7AF" w14:textId="77777777" w:rsidR="006A694C" w:rsidRPr="00293E58" w:rsidRDefault="006A694C" w:rsidP="00046760">
            <w:r w:rsidRPr="00293E58">
              <w:t xml:space="preserve">3. </w:t>
            </w:r>
          </w:p>
        </w:tc>
        <w:tc>
          <w:tcPr>
            <w:tcW w:w="2985" w:type="dxa"/>
            <w:shd w:val="clear" w:color="auto" w:fill="auto"/>
          </w:tcPr>
          <w:p w14:paraId="09607C77" w14:textId="77777777" w:rsidR="006A694C" w:rsidRPr="00293E58" w:rsidRDefault="006A694C" w:rsidP="00046760">
            <w:pPr>
              <w:rPr>
                <w:sz w:val="22"/>
                <w:szCs w:val="22"/>
              </w:rPr>
            </w:pPr>
            <w:r w:rsidRPr="00293E58">
              <w:rPr>
                <w:sz w:val="22"/>
                <w:szCs w:val="22"/>
              </w:rPr>
              <w:t>Cita informācija</w:t>
            </w:r>
          </w:p>
        </w:tc>
        <w:tc>
          <w:tcPr>
            <w:tcW w:w="5720" w:type="dxa"/>
            <w:shd w:val="clear" w:color="auto" w:fill="auto"/>
          </w:tcPr>
          <w:p w14:paraId="55938652" w14:textId="77777777" w:rsidR="006A694C" w:rsidRPr="00293E58" w:rsidRDefault="006A694C" w:rsidP="00046760">
            <w:pPr>
              <w:jc w:val="both"/>
              <w:rPr>
                <w:color w:val="000000"/>
              </w:rPr>
            </w:pPr>
            <w:r w:rsidRPr="00293E58">
              <w:rPr>
                <w:color w:val="000000"/>
              </w:rPr>
              <w:t>Nav.</w:t>
            </w:r>
          </w:p>
        </w:tc>
      </w:tr>
    </w:tbl>
    <w:p w14:paraId="42B984FB" w14:textId="35F89C09" w:rsidR="005C46ED" w:rsidRDefault="005C46ED" w:rsidP="000427AF">
      <w:pPr>
        <w:rPr>
          <w:i/>
        </w:rPr>
      </w:pPr>
    </w:p>
    <w:p w14:paraId="4F24029F" w14:textId="77777777" w:rsidR="007B614D" w:rsidRPr="00293E58" w:rsidRDefault="007B614D" w:rsidP="003E5B72"/>
    <w:p w14:paraId="33855E89" w14:textId="77777777" w:rsidR="005C46ED" w:rsidRPr="00293E58" w:rsidRDefault="005C46ED" w:rsidP="00B76D85">
      <w:pPr>
        <w:jc w:val="center"/>
      </w:pPr>
    </w:p>
    <w:p w14:paraId="1E888045" w14:textId="77777777" w:rsidR="005C46ED" w:rsidRPr="00293E58" w:rsidRDefault="00194614" w:rsidP="003E5B72">
      <w:pPr>
        <w:ind w:firstLine="720"/>
      </w:pPr>
      <w:r w:rsidRPr="00293E58">
        <w:t>Labklājības ministr</w:t>
      </w:r>
      <w:r w:rsidR="00250408" w:rsidRPr="00293E58">
        <w:t>s</w:t>
      </w:r>
      <w:r w:rsidR="00250408" w:rsidRPr="00293E58">
        <w:tab/>
      </w:r>
      <w:r w:rsidR="00250408" w:rsidRPr="00293E58">
        <w:tab/>
      </w:r>
      <w:r w:rsidR="00250408" w:rsidRPr="00293E58">
        <w:tab/>
      </w:r>
      <w:r w:rsidR="00250408" w:rsidRPr="00293E58">
        <w:tab/>
      </w:r>
      <w:r w:rsidR="00250408" w:rsidRPr="00293E58">
        <w:tab/>
      </w:r>
      <w:r w:rsidR="00250408" w:rsidRPr="00293E58">
        <w:tab/>
      </w:r>
      <w:r w:rsidR="00E703EF" w:rsidRPr="00293E58">
        <w:t>J.Reirs</w:t>
      </w:r>
      <w:r w:rsidRPr="00293E58">
        <w:tab/>
      </w:r>
      <w:r w:rsidRPr="00293E58">
        <w:tab/>
      </w:r>
    </w:p>
    <w:p w14:paraId="75AD8A04" w14:textId="77777777" w:rsidR="001B46D1" w:rsidRPr="00293E58" w:rsidRDefault="001B46D1" w:rsidP="003E5B72">
      <w:pPr>
        <w:ind w:firstLine="720"/>
      </w:pPr>
    </w:p>
    <w:p w14:paraId="1D94A913" w14:textId="77777777" w:rsidR="00330E6E" w:rsidRPr="00293E58" w:rsidRDefault="00194614" w:rsidP="00FF573B">
      <w:r w:rsidRPr="00293E58">
        <w:tab/>
      </w:r>
      <w:r w:rsidRPr="00293E58">
        <w:tab/>
        <w:t xml:space="preserve">          </w:t>
      </w:r>
      <w:r w:rsidR="00330E6E" w:rsidRPr="00293E58">
        <w:t xml:space="preserve">        </w:t>
      </w:r>
    </w:p>
    <w:p w14:paraId="6B270DD9" w14:textId="557DCDD6" w:rsidR="00250408" w:rsidRPr="00293E58" w:rsidRDefault="00E07ED6" w:rsidP="00250408">
      <w:pPr>
        <w:tabs>
          <w:tab w:val="center" w:pos="4535"/>
        </w:tabs>
        <w:suppressAutoHyphens/>
        <w:rPr>
          <w:sz w:val="20"/>
          <w:szCs w:val="20"/>
          <w:lang w:eastAsia="ar-SA"/>
        </w:rPr>
      </w:pPr>
      <w:r>
        <w:rPr>
          <w:sz w:val="20"/>
          <w:szCs w:val="20"/>
          <w:lang w:eastAsia="ar-SA"/>
        </w:rPr>
        <w:t>13</w:t>
      </w:r>
      <w:r w:rsidR="006814CC" w:rsidRPr="00293E58">
        <w:rPr>
          <w:sz w:val="20"/>
          <w:szCs w:val="20"/>
          <w:lang w:eastAsia="ar-SA"/>
        </w:rPr>
        <w:t>.</w:t>
      </w:r>
      <w:r w:rsidR="001F183F">
        <w:rPr>
          <w:sz w:val="20"/>
          <w:szCs w:val="20"/>
          <w:lang w:eastAsia="ar-SA"/>
        </w:rPr>
        <w:t>0</w:t>
      </w:r>
      <w:r w:rsidR="00C651D5">
        <w:rPr>
          <w:sz w:val="20"/>
          <w:szCs w:val="20"/>
          <w:lang w:eastAsia="ar-SA"/>
        </w:rPr>
        <w:t>2</w:t>
      </w:r>
      <w:r w:rsidR="001017A1" w:rsidRPr="00293E58">
        <w:rPr>
          <w:sz w:val="20"/>
          <w:szCs w:val="20"/>
          <w:lang w:eastAsia="ar-SA"/>
        </w:rPr>
        <w:t>.201</w:t>
      </w:r>
      <w:r w:rsidR="001F183F">
        <w:rPr>
          <w:sz w:val="20"/>
          <w:szCs w:val="20"/>
          <w:lang w:eastAsia="ar-SA"/>
        </w:rPr>
        <w:t>8</w:t>
      </w:r>
      <w:r w:rsidR="00250408" w:rsidRPr="00293E58">
        <w:rPr>
          <w:sz w:val="20"/>
          <w:szCs w:val="20"/>
          <w:lang w:eastAsia="ar-SA"/>
        </w:rPr>
        <w:t xml:space="preserve">. </w:t>
      </w:r>
      <w:r w:rsidR="00E071BF" w:rsidRPr="00293E58">
        <w:rPr>
          <w:sz w:val="20"/>
          <w:szCs w:val="20"/>
          <w:lang w:eastAsia="ar-SA"/>
        </w:rPr>
        <w:t>1</w:t>
      </w:r>
      <w:r w:rsidR="00961C36">
        <w:rPr>
          <w:sz w:val="20"/>
          <w:szCs w:val="20"/>
          <w:lang w:eastAsia="ar-SA"/>
        </w:rPr>
        <w:t>3</w:t>
      </w:r>
      <w:r w:rsidR="00E071BF" w:rsidRPr="00293E58">
        <w:rPr>
          <w:sz w:val="20"/>
          <w:szCs w:val="20"/>
          <w:lang w:eastAsia="ar-SA"/>
        </w:rPr>
        <w:t>:</w:t>
      </w:r>
      <w:r w:rsidR="00961C36">
        <w:rPr>
          <w:sz w:val="20"/>
          <w:szCs w:val="20"/>
          <w:lang w:eastAsia="ar-SA"/>
        </w:rPr>
        <w:t>57</w:t>
      </w:r>
      <w:r w:rsidR="00250408" w:rsidRPr="00293E58">
        <w:rPr>
          <w:sz w:val="20"/>
          <w:szCs w:val="20"/>
          <w:lang w:eastAsia="ar-SA"/>
        </w:rPr>
        <w:tab/>
      </w:r>
    </w:p>
    <w:p w14:paraId="544B36C4" w14:textId="3C226A2E" w:rsidR="00250408" w:rsidRPr="00293E58" w:rsidRDefault="00C651D5" w:rsidP="00250408">
      <w:pPr>
        <w:suppressAutoHyphens/>
        <w:textAlignment w:val="baseline"/>
        <w:rPr>
          <w:rFonts w:eastAsia="Arial"/>
          <w:kern w:val="1"/>
          <w:sz w:val="20"/>
          <w:szCs w:val="20"/>
          <w:lang w:eastAsia="ar-SA"/>
        </w:rPr>
      </w:pPr>
      <w:r>
        <w:rPr>
          <w:rFonts w:eastAsia="Arial"/>
          <w:kern w:val="1"/>
          <w:sz w:val="20"/>
          <w:szCs w:val="20"/>
          <w:lang w:eastAsia="ar-SA"/>
        </w:rPr>
        <w:t>7</w:t>
      </w:r>
      <w:r w:rsidR="00961C36">
        <w:rPr>
          <w:rFonts w:eastAsia="Arial"/>
          <w:kern w:val="1"/>
          <w:sz w:val="20"/>
          <w:szCs w:val="20"/>
          <w:lang w:eastAsia="ar-SA"/>
        </w:rPr>
        <w:t>737</w:t>
      </w:r>
    </w:p>
    <w:p w14:paraId="6480DDA2" w14:textId="77777777" w:rsidR="00250408" w:rsidRPr="00293E58" w:rsidRDefault="00DF2A52" w:rsidP="00250408">
      <w:pPr>
        <w:suppressAutoHyphens/>
        <w:textAlignment w:val="baseline"/>
        <w:rPr>
          <w:rFonts w:eastAsia="Arial"/>
          <w:kern w:val="1"/>
          <w:sz w:val="20"/>
          <w:szCs w:val="20"/>
          <w:lang w:eastAsia="ar-SA"/>
        </w:rPr>
      </w:pPr>
      <w:r w:rsidRPr="00293E58">
        <w:rPr>
          <w:rFonts w:eastAsia="Arial"/>
          <w:kern w:val="1"/>
          <w:sz w:val="20"/>
          <w:szCs w:val="20"/>
          <w:lang w:eastAsia="ar-SA"/>
        </w:rPr>
        <w:t>K.Ziediņš</w:t>
      </w:r>
    </w:p>
    <w:p w14:paraId="3EC3874A" w14:textId="77777777" w:rsidR="00250408" w:rsidRPr="00293E58" w:rsidRDefault="00250408" w:rsidP="00250408">
      <w:pPr>
        <w:suppressAutoHyphens/>
        <w:autoSpaceDE w:val="0"/>
        <w:textAlignment w:val="baseline"/>
        <w:rPr>
          <w:rFonts w:eastAsia="Arial"/>
          <w:kern w:val="1"/>
          <w:sz w:val="20"/>
          <w:szCs w:val="20"/>
          <w:lang w:eastAsia="ar-SA"/>
        </w:rPr>
      </w:pPr>
      <w:r w:rsidRPr="00293E58">
        <w:rPr>
          <w:rFonts w:eastAsia="Arial"/>
          <w:kern w:val="1"/>
          <w:sz w:val="20"/>
          <w:szCs w:val="20"/>
          <w:lang w:eastAsia="ar-SA"/>
        </w:rPr>
        <w:t>Tālrunis: 67021503</w:t>
      </w:r>
    </w:p>
    <w:p w14:paraId="6E29E9E3" w14:textId="77777777" w:rsidR="000C29B0" w:rsidRPr="00293E58" w:rsidRDefault="00250408" w:rsidP="00E85C09">
      <w:pPr>
        <w:suppressAutoHyphens/>
        <w:rPr>
          <w:sz w:val="20"/>
          <w:szCs w:val="20"/>
          <w:lang w:eastAsia="ar-SA"/>
        </w:rPr>
      </w:pPr>
      <w:r w:rsidRPr="00293E58">
        <w:rPr>
          <w:sz w:val="20"/>
          <w:szCs w:val="20"/>
          <w:lang w:eastAsia="ar-SA"/>
        </w:rPr>
        <w:t xml:space="preserve">e-pasts: </w:t>
      </w:r>
      <w:hyperlink r:id="rId12" w:history="1">
        <w:r w:rsidR="001D0AEA" w:rsidRPr="00293E58">
          <w:rPr>
            <w:color w:val="0000FF"/>
            <w:sz w:val="20"/>
            <w:szCs w:val="20"/>
            <w:u w:val="single"/>
            <w:lang w:eastAsia="ar-SA"/>
          </w:rPr>
          <w:t>Kristaps.Ziedins</w:t>
        </w:r>
        <w:r w:rsidRPr="00293E58">
          <w:rPr>
            <w:color w:val="0000FF"/>
            <w:sz w:val="20"/>
            <w:szCs w:val="20"/>
            <w:u w:val="single"/>
            <w:lang w:eastAsia="ar-SA"/>
          </w:rPr>
          <w:t>@lm.gov.lv</w:t>
        </w:r>
      </w:hyperlink>
    </w:p>
    <w:sectPr w:rsidR="000C29B0" w:rsidRPr="00293E58" w:rsidSect="00ED5D34">
      <w:headerReference w:type="even" r:id="rId13"/>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029E0" w14:textId="77777777" w:rsidR="00950E32" w:rsidRDefault="00950E32">
      <w:r>
        <w:separator/>
      </w:r>
    </w:p>
  </w:endnote>
  <w:endnote w:type="continuationSeparator" w:id="0">
    <w:p w14:paraId="2D08E57D" w14:textId="77777777" w:rsidR="00950E32" w:rsidRDefault="0095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CF77" w14:textId="1CF7A4FD" w:rsidR="00A41627" w:rsidRPr="00C0201F" w:rsidRDefault="00A41627" w:rsidP="00F2273E">
    <w:pPr>
      <w:pStyle w:val="NormalWeb"/>
      <w:spacing w:before="0" w:after="0"/>
      <w:jc w:val="both"/>
      <w:rPr>
        <w:sz w:val="20"/>
        <w:szCs w:val="20"/>
      </w:rPr>
    </w:pPr>
    <w:r>
      <w:rPr>
        <w:sz w:val="20"/>
        <w:szCs w:val="20"/>
      </w:rPr>
      <w:t>LMAnot_</w:t>
    </w:r>
    <w:r w:rsidR="00961C36">
      <w:rPr>
        <w:sz w:val="20"/>
        <w:szCs w:val="20"/>
      </w:rPr>
      <w:t>13</w:t>
    </w:r>
    <w:r>
      <w:rPr>
        <w:sz w:val="20"/>
        <w:szCs w:val="20"/>
      </w:rPr>
      <w:t>0218_75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5F54EB5C" w14:textId="77777777" w:rsidR="00A41627" w:rsidRPr="00F2273E" w:rsidRDefault="00A41627"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A173" w14:textId="5C1D84A0" w:rsidR="00A41627" w:rsidRPr="00C0201F" w:rsidRDefault="00A41627" w:rsidP="00F2273E">
    <w:pPr>
      <w:pStyle w:val="NormalWeb"/>
      <w:spacing w:before="0" w:after="0"/>
      <w:jc w:val="both"/>
      <w:rPr>
        <w:sz w:val="20"/>
        <w:szCs w:val="20"/>
      </w:rPr>
    </w:pPr>
    <w:r>
      <w:rPr>
        <w:sz w:val="20"/>
        <w:szCs w:val="20"/>
      </w:rPr>
      <w:t>LMAnot_</w:t>
    </w:r>
    <w:r w:rsidR="00961C36">
      <w:rPr>
        <w:sz w:val="20"/>
        <w:szCs w:val="20"/>
      </w:rPr>
      <w:t>13</w:t>
    </w:r>
    <w:r>
      <w:rPr>
        <w:sz w:val="20"/>
        <w:szCs w:val="20"/>
      </w:rPr>
      <w:t>0218_75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49408F18" w14:textId="77777777" w:rsidR="00A41627" w:rsidRPr="00F2273E" w:rsidRDefault="00A41627"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D65B" w14:textId="77777777" w:rsidR="00950E32" w:rsidRDefault="00950E32">
      <w:r>
        <w:separator/>
      </w:r>
    </w:p>
  </w:footnote>
  <w:footnote w:type="continuationSeparator" w:id="0">
    <w:p w14:paraId="3081762F" w14:textId="77777777" w:rsidR="00950E32" w:rsidRDefault="0095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7C35" w14:textId="77777777" w:rsidR="00A41627" w:rsidRDefault="00A41627"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CF0B8" w14:textId="77777777" w:rsidR="00A41627" w:rsidRDefault="00A41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7D31" w14:textId="3F9B7FE8" w:rsidR="00A41627" w:rsidRDefault="00A41627"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0F2">
      <w:rPr>
        <w:rStyle w:val="PageNumber"/>
        <w:noProof/>
      </w:rPr>
      <w:t>21</w:t>
    </w:r>
    <w:r>
      <w:rPr>
        <w:rStyle w:val="PageNumber"/>
      </w:rPr>
      <w:fldChar w:fldCharType="end"/>
    </w:r>
  </w:p>
  <w:p w14:paraId="1099BE4F" w14:textId="77777777" w:rsidR="00A41627" w:rsidRDefault="00A4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7B86"/>
    <w:multiLevelType w:val="hybridMultilevel"/>
    <w:tmpl w:val="1938D44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AF48B4"/>
    <w:multiLevelType w:val="hybridMultilevel"/>
    <w:tmpl w:val="9912B244"/>
    <w:lvl w:ilvl="0" w:tplc="1632FF6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1F3CEC"/>
    <w:multiLevelType w:val="hybridMultilevel"/>
    <w:tmpl w:val="7EE8F9E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44100A"/>
    <w:multiLevelType w:val="hybridMultilevel"/>
    <w:tmpl w:val="5F1C2FF0"/>
    <w:lvl w:ilvl="0" w:tplc="6756EAE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6" w15:restartNumberingAfterBreak="0">
    <w:nsid w:val="4B750CE2"/>
    <w:multiLevelType w:val="hybridMultilevel"/>
    <w:tmpl w:val="E6B40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156B25"/>
    <w:multiLevelType w:val="hybridMultilevel"/>
    <w:tmpl w:val="591E3020"/>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4B0EF0"/>
    <w:multiLevelType w:val="hybridMultilevel"/>
    <w:tmpl w:val="A83470B4"/>
    <w:lvl w:ilvl="0" w:tplc="E15895BA">
      <w:start w:val="1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3324EC8"/>
    <w:multiLevelType w:val="hybridMultilevel"/>
    <w:tmpl w:val="5F1C2FF0"/>
    <w:lvl w:ilvl="0" w:tplc="6756EAE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F2774F"/>
    <w:multiLevelType w:val="hybridMultilevel"/>
    <w:tmpl w:val="80A6C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F90036"/>
    <w:multiLevelType w:val="hybridMultilevel"/>
    <w:tmpl w:val="D67019AC"/>
    <w:lvl w:ilvl="0" w:tplc="577CB3A2">
      <w:start w:val="144"/>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0"/>
  </w:num>
  <w:num w:numId="6">
    <w:abstractNumId w:val="6"/>
  </w:num>
  <w:num w:numId="7">
    <w:abstractNumId w:val="10"/>
  </w:num>
  <w:num w:numId="8">
    <w:abstractNumId w:val="2"/>
  </w:num>
  <w:num w:numId="9">
    <w:abstractNumId w:val="7"/>
  </w:num>
  <w:num w:numId="10">
    <w:abstractNumId w:val="11"/>
  </w:num>
  <w:num w:numId="11">
    <w:abstractNumId w:val="1"/>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85"/>
    <w:rsid w:val="000000DC"/>
    <w:rsid w:val="000003CB"/>
    <w:rsid w:val="000010EF"/>
    <w:rsid w:val="00002F83"/>
    <w:rsid w:val="000049FD"/>
    <w:rsid w:val="00004BE3"/>
    <w:rsid w:val="0000739E"/>
    <w:rsid w:val="00010036"/>
    <w:rsid w:val="00010C24"/>
    <w:rsid w:val="0001203B"/>
    <w:rsid w:val="00012198"/>
    <w:rsid w:val="000128A6"/>
    <w:rsid w:val="00012BCF"/>
    <w:rsid w:val="000136E5"/>
    <w:rsid w:val="00014889"/>
    <w:rsid w:val="000154DC"/>
    <w:rsid w:val="000159FC"/>
    <w:rsid w:val="000162FD"/>
    <w:rsid w:val="00016D3D"/>
    <w:rsid w:val="00017E5D"/>
    <w:rsid w:val="00020B4F"/>
    <w:rsid w:val="000230D3"/>
    <w:rsid w:val="000232EB"/>
    <w:rsid w:val="000251D9"/>
    <w:rsid w:val="000253B6"/>
    <w:rsid w:val="00025DC1"/>
    <w:rsid w:val="000260C1"/>
    <w:rsid w:val="000261A5"/>
    <w:rsid w:val="000264AB"/>
    <w:rsid w:val="00027414"/>
    <w:rsid w:val="0002776B"/>
    <w:rsid w:val="0003124C"/>
    <w:rsid w:val="000320C3"/>
    <w:rsid w:val="00032FCA"/>
    <w:rsid w:val="00033038"/>
    <w:rsid w:val="000344C0"/>
    <w:rsid w:val="00034970"/>
    <w:rsid w:val="00035214"/>
    <w:rsid w:val="00036245"/>
    <w:rsid w:val="00036804"/>
    <w:rsid w:val="000372B9"/>
    <w:rsid w:val="00037BB3"/>
    <w:rsid w:val="00041CCF"/>
    <w:rsid w:val="000427AF"/>
    <w:rsid w:val="00042D08"/>
    <w:rsid w:val="0004303B"/>
    <w:rsid w:val="00043389"/>
    <w:rsid w:val="00043F27"/>
    <w:rsid w:val="000450B6"/>
    <w:rsid w:val="00046760"/>
    <w:rsid w:val="00046B38"/>
    <w:rsid w:val="00046C87"/>
    <w:rsid w:val="000476FC"/>
    <w:rsid w:val="000509A8"/>
    <w:rsid w:val="0005264A"/>
    <w:rsid w:val="00056345"/>
    <w:rsid w:val="00057176"/>
    <w:rsid w:val="0006002A"/>
    <w:rsid w:val="0006076A"/>
    <w:rsid w:val="00060968"/>
    <w:rsid w:val="00061004"/>
    <w:rsid w:val="00061B02"/>
    <w:rsid w:val="00064835"/>
    <w:rsid w:val="00065B49"/>
    <w:rsid w:val="00065FDF"/>
    <w:rsid w:val="00067067"/>
    <w:rsid w:val="0007050B"/>
    <w:rsid w:val="00070E7B"/>
    <w:rsid w:val="000712AF"/>
    <w:rsid w:val="000713E1"/>
    <w:rsid w:val="00071E58"/>
    <w:rsid w:val="00071EAF"/>
    <w:rsid w:val="000732F0"/>
    <w:rsid w:val="000736E1"/>
    <w:rsid w:val="0007491F"/>
    <w:rsid w:val="0007504E"/>
    <w:rsid w:val="000752A9"/>
    <w:rsid w:val="0007545A"/>
    <w:rsid w:val="00076B0C"/>
    <w:rsid w:val="00076D11"/>
    <w:rsid w:val="00080296"/>
    <w:rsid w:val="00080F9E"/>
    <w:rsid w:val="000829C1"/>
    <w:rsid w:val="0008362C"/>
    <w:rsid w:val="00084751"/>
    <w:rsid w:val="000849CB"/>
    <w:rsid w:val="00084CB0"/>
    <w:rsid w:val="00087291"/>
    <w:rsid w:val="00087CCA"/>
    <w:rsid w:val="000902BF"/>
    <w:rsid w:val="000913F7"/>
    <w:rsid w:val="00093744"/>
    <w:rsid w:val="00093E1A"/>
    <w:rsid w:val="00094000"/>
    <w:rsid w:val="000941CB"/>
    <w:rsid w:val="0009450F"/>
    <w:rsid w:val="00095638"/>
    <w:rsid w:val="00095D94"/>
    <w:rsid w:val="00096AEA"/>
    <w:rsid w:val="0009784B"/>
    <w:rsid w:val="00097CED"/>
    <w:rsid w:val="000A1D01"/>
    <w:rsid w:val="000A26DC"/>
    <w:rsid w:val="000A33F7"/>
    <w:rsid w:val="000A35D2"/>
    <w:rsid w:val="000A5509"/>
    <w:rsid w:val="000A5D87"/>
    <w:rsid w:val="000A5F6F"/>
    <w:rsid w:val="000A77E6"/>
    <w:rsid w:val="000A7827"/>
    <w:rsid w:val="000B2179"/>
    <w:rsid w:val="000B45F0"/>
    <w:rsid w:val="000B51CD"/>
    <w:rsid w:val="000B63CF"/>
    <w:rsid w:val="000B67FC"/>
    <w:rsid w:val="000B6A7F"/>
    <w:rsid w:val="000B78EC"/>
    <w:rsid w:val="000C1D63"/>
    <w:rsid w:val="000C21CB"/>
    <w:rsid w:val="000C23D3"/>
    <w:rsid w:val="000C29B0"/>
    <w:rsid w:val="000C4D05"/>
    <w:rsid w:val="000C6747"/>
    <w:rsid w:val="000C758F"/>
    <w:rsid w:val="000D0DA0"/>
    <w:rsid w:val="000D0EC0"/>
    <w:rsid w:val="000D1449"/>
    <w:rsid w:val="000D278B"/>
    <w:rsid w:val="000D4179"/>
    <w:rsid w:val="000D5961"/>
    <w:rsid w:val="000D6A42"/>
    <w:rsid w:val="000D6E94"/>
    <w:rsid w:val="000D740B"/>
    <w:rsid w:val="000D7C1A"/>
    <w:rsid w:val="000E07F2"/>
    <w:rsid w:val="000E08DB"/>
    <w:rsid w:val="000E0C7D"/>
    <w:rsid w:val="000E14D8"/>
    <w:rsid w:val="000E1F9F"/>
    <w:rsid w:val="000E3065"/>
    <w:rsid w:val="000E384F"/>
    <w:rsid w:val="000E4121"/>
    <w:rsid w:val="000E421B"/>
    <w:rsid w:val="000E678C"/>
    <w:rsid w:val="000E68C6"/>
    <w:rsid w:val="000F10BB"/>
    <w:rsid w:val="000F1C62"/>
    <w:rsid w:val="000F2C0D"/>
    <w:rsid w:val="000F305C"/>
    <w:rsid w:val="000F3932"/>
    <w:rsid w:val="000F3DFA"/>
    <w:rsid w:val="000F40BD"/>
    <w:rsid w:val="000F5F6B"/>
    <w:rsid w:val="001017A1"/>
    <w:rsid w:val="00101872"/>
    <w:rsid w:val="00102682"/>
    <w:rsid w:val="00105177"/>
    <w:rsid w:val="00106151"/>
    <w:rsid w:val="00107049"/>
    <w:rsid w:val="0010720E"/>
    <w:rsid w:val="00111137"/>
    <w:rsid w:val="001121F2"/>
    <w:rsid w:val="001128D2"/>
    <w:rsid w:val="00113163"/>
    <w:rsid w:val="001141FC"/>
    <w:rsid w:val="001149F8"/>
    <w:rsid w:val="00115437"/>
    <w:rsid w:val="00115911"/>
    <w:rsid w:val="00115A7D"/>
    <w:rsid w:val="00115CCE"/>
    <w:rsid w:val="00116098"/>
    <w:rsid w:val="00116AFC"/>
    <w:rsid w:val="0012151E"/>
    <w:rsid w:val="00122CAE"/>
    <w:rsid w:val="00122F3D"/>
    <w:rsid w:val="00124853"/>
    <w:rsid w:val="001248ED"/>
    <w:rsid w:val="00124C94"/>
    <w:rsid w:val="00125B86"/>
    <w:rsid w:val="00126C64"/>
    <w:rsid w:val="001272CE"/>
    <w:rsid w:val="00130276"/>
    <w:rsid w:val="0013088E"/>
    <w:rsid w:val="00130C31"/>
    <w:rsid w:val="00131478"/>
    <w:rsid w:val="0013206C"/>
    <w:rsid w:val="00132261"/>
    <w:rsid w:val="00133BF5"/>
    <w:rsid w:val="00134122"/>
    <w:rsid w:val="001343C4"/>
    <w:rsid w:val="00134618"/>
    <w:rsid w:val="00134B34"/>
    <w:rsid w:val="001350F4"/>
    <w:rsid w:val="00135DF7"/>
    <w:rsid w:val="00136878"/>
    <w:rsid w:val="001401BD"/>
    <w:rsid w:val="00141287"/>
    <w:rsid w:val="0014136B"/>
    <w:rsid w:val="00141CE0"/>
    <w:rsid w:val="0014339B"/>
    <w:rsid w:val="00143584"/>
    <w:rsid w:val="001435A8"/>
    <w:rsid w:val="00143F26"/>
    <w:rsid w:val="0014432B"/>
    <w:rsid w:val="001443DF"/>
    <w:rsid w:val="00144C2C"/>
    <w:rsid w:val="0014600C"/>
    <w:rsid w:val="00147461"/>
    <w:rsid w:val="00147B93"/>
    <w:rsid w:val="00147E70"/>
    <w:rsid w:val="00147E93"/>
    <w:rsid w:val="001505F0"/>
    <w:rsid w:val="001522AE"/>
    <w:rsid w:val="00152425"/>
    <w:rsid w:val="00152E95"/>
    <w:rsid w:val="00153AE9"/>
    <w:rsid w:val="0015663E"/>
    <w:rsid w:val="00156D89"/>
    <w:rsid w:val="00160638"/>
    <w:rsid w:val="001632DF"/>
    <w:rsid w:val="00163AA4"/>
    <w:rsid w:val="00163E7C"/>
    <w:rsid w:val="001647F3"/>
    <w:rsid w:val="00165838"/>
    <w:rsid w:val="00167021"/>
    <w:rsid w:val="00167401"/>
    <w:rsid w:val="00170D9E"/>
    <w:rsid w:val="00170E63"/>
    <w:rsid w:val="00171B58"/>
    <w:rsid w:val="00172879"/>
    <w:rsid w:val="0017445F"/>
    <w:rsid w:val="00174A87"/>
    <w:rsid w:val="00175F9A"/>
    <w:rsid w:val="0017704D"/>
    <w:rsid w:val="0018166E"/>
    <w:rsid w:val="0018200B"/>
    <w:rsid w:val="0018244A"/>
    <w:rsid w:val="00183140"/>
    <w:rsid w:val="00183EB8"/>
    <w:rsid w:val="00184B14"/>
    <w:rsid w:val="00184E9C"/>
    <w:rsid w:val="0018511D"/>
    <w:rsid w:val="00185E65"/>
    <w:rsid w:val="00186718"/>
    <w:rsid w:val="001869A8"/>
    <w:rsid w:val="00186A7A"/>
    <w:rsid w:val="00187BC9"/>
    <w:rsid w:val="00190540"/>
    <w:rsid w:val="00190F21"/>
    <w:rsid w:val="0019186C"/>
    <w:rsid w:val="00191899"/>
    <w:rsid w:val="00191E0E"/>
    <w:rsid w:val="0019256D"/>
    <w:rsid w:val="001934C0"/>
    <w:rsid w:val="00194614"/>
    <w:rsid w:val="00196EF2"/>
    <w:rsid w:val="0019764B"/>
    <w:rsid w:val="00197DF7"/>
    <w:rsid w:val="00197FB5"/>
    <w:rsid w:val="001A33A0"/>
    <w:rsid w:val="001A354E"/>
    <w:rsid w:val="001A360B"/>
    <w:rsid w:val="001A51E6"/>
    <w:rsid w:val="001A6ED5"/>
    <w:rsid w:val="001A7FCA"/>
    <w:rsid w:val="001B06AC"/>
    <w:rsid w:val="001B1568"/>
    <w:rsid w:val="001B46D1"/>
    <w:rsid w:val="001B4CFE"/>
    <w:rsid w:val="001B518B"/>
    <w:rsid w:val="001B6EA3"/>
    <w:rsid w:val="001B7328"/>
    <w:rsid w:val="001C0089"/>
    <w:rsid w:val="001C0D90"/>
    <w:rsid w:val="001C141E"/>
    <w:rsid w:val="001C1690"/>
    <w:rsid w:val="001C1A5A"/>
    <w:rsid w:val="001C1CB4"/>
    <w:rsid w:val="001C2A92"/>
    <w:rsid w:val="001C509E"/>
    <w:rsid w:val="001C603F"/>
    <w:rsid w:val="001C67A6"/>
    <w:rsid w:val="001C68FA"/>
    <w:rsid w:val="001D0050"/>
    <w:rsid w:val="001D0AEA"/>
    <w:rsid w:val="001D1950"/>
    <w:rsid w:val="001D19CA"/>
    <w:rsid w:val="001D1B55"/>
    <w:rsid w:val="001D1C3C"/>
    <w:rsid w:val="001D3BBD"/>
    <w:rsid w:val="001D3BDF"/>
    <w:rsid w:val="001D42CD"/>
    <w:rsid w:val="001D4637"/>
    <w:rsid w:val="001D593B"/>
    <w:rsid w:val="001D76B1"/>
    <w:rsid w:val="001D7806"/>
    <w:rsid w:val="001D7AD1"/>
    <w:rsid w:val="001E1307"/>
    <w:rsid w:val="001E184A"/>
    <w:rsid w:val="001E19A9"/>
    <w:rsid w:val="001E5C57"/>
    <w:rsid w:val="001E5CCF"/>
    <w:rsid w:val="001E78E3"/>
    <w:rsid w:val="001F181C"/>
    <w:rsid w:val="001F183F"/>
    <w:rsid w:val="001F18FF"/>
    <w:rsid w:val="001F3077"/>
    <w:rsid w:val="001F3362"/>
    <w:rsid w:val="001F40FF"/>
    <w:rsid w:val="001F50DF"/>
    <w:rsid w:val="001F5D7D"/>
    <w:rsid w:val="0020095A"/>
    <w:rsid w:val="00201973"/>
    <w:rsid w:val="002027BD"/>
    <w:rsid w:val="00204107"/>
    <w:rsid w:val="0020460B"/>
    <w:rsid w:val="00205A93"/>
    <w:rsid w:val="00206933"/>
    <w:rsid w:val="00206FB6"/>
    <w:rsid w:val="0021144D"/>
    <w:rsid w:val="002123EB"/>
    <w:rsid w:val="002142D8"/>
    <w:rsid w:val="002142DC"/>
    <w:rsid w:val="002157A8"/>
    <w:rsid w:val="00215A6B"/>
    <w:rsid w:val="00215C06"/>
    <w:rsid w:val="00215C8D"/>
    <w:rsid w:val="00215F6C"/>
    <w:rsid w:val="0021638B"/>
    <w:rsid w:val="00216591"/>
    <w:rsid w:val="002175D9"/>
    <w:rsid w:val="0021789A"/>
    <w:rsid w:val="00224061"/>
    <w:rsid w:val="002242CB"/>
    <w:rsid w:val="0022698A"/>
    <w:rsid w:val="00226F75"/>
    <w:rsid w:val="00227D96"/>
    <w:rsid w:val="00230730"/>
    <w:rsid w:val="00231F03"/>
    <w:rsid w:val="0023232C"/>
    <w:rsid w:val="00232C33"/>
    <w:rsid w:val="00232C58"/>
    <w:rsid w:val="0023478C"/>
    <w:rsid w:val="00234C48"/>
    <w:rsid w:val="002354DF"/>
    <w:rsid w:val="00237649"/>
    <w:rsid w:val="00241080"/>
    <w:rsid w:val="00241AF8"/>
    <w:rsid w:val="0024221D"/>
    <w:rsid w:val="002424A9"/>
    <w:rsid w:val="0024260F"/>
    <w:rsid w:val="00242D7D"/>
    <w:rsid w:val="002430DA"/>
    <w:rsid w:val="002432E7"/>
    <w:rsid w:val="00244046"/>
    <w:rsid w:val="0024555E"/>
    <w:rsid w:val="0024638D"/>
    <w:rsid w:val="00247FD6"/>
    <w:rsid w:val="0025003F"/>
    <w:rsid w:val="002500CB"/>
    <w:rsid w:val="00250408"/>
    <w:rsid w:val="00250D16"/>
    <w:rsid w:val="00251D02"/>
    <w:rsid w:val="00252213"/>
    <w:rsid w:val="0025348D"/>
    <w:rsid w:val="002542A6"/>
    <w:rsid w:val="00255210"/>
    <w:rsid w:val="0025521E"/>
    <w:rsid w:val="0025549D"/>
    <w:rsid w:val="00256F4F"/>
    <w:rsid w:val="00257250"/>
    <w:rsid w:val="00257DD4"/>
    <w:rsid w:val="002607A6"/>
    <w:rsid w:val="00260A22"/>
    <w:rsid w:val="00261071"/>
    <w:rsid w:val="00261F5F"/>
    <w:rsid w:val="002623B3"/>
    <w:rsid w:val="00262A8D"/>
    <w:rsid w:val="00262EBA"/>
    <w:rsid w:val="002640D9"/>
    <w:rsid w:val="002654CD"/>
    <w:rsid w:val="00265673"/>
    <w:rsid w:val="00265E47"/>
    <w:rsid w:val="002662E3"/>
    <w:rsid w:val="002700EF"/>
    <w:rsid w:val="00270E4A"/>
    <w:rsid w:val="0027101F"/>
    <w:rsid w:val="00271C31"/>
    <w:rsid w:val="00271F7F"/>
    <w:rsid w:val="00273F99"/>
    <w:rsid w:val="00274285"/>
    <w:rsid w:val="002747BA"/>
    <w:rsid w:val="00275E90"/>
    <w:rsid w:val="00276E78"/>
    <w:rsid w:val="00277E18"/>
    <w:rsid w:val="0028162B"/>
    <w:rsid w:val="00281CF5"/>
    <w:rsid w:val="00284191"/>
    <w:rsid w:val="00285E8D"/>
    <w:rsid w:val="00286D65"/>
    <w:rsid w:val="0029050B"/>
    <w:rsid w:val="00290F8E"/>
    <w:rsid w:val="00291238"/>
    <w:rsid w:val="00293E58"/>
    <w:rsid w:val="00294074"/>
    <w:rsid w:val="00294E7C"/>
    <w:rsid w:val="00294F60"/>
    <w:rsid w:val="00295D79"/>
    <w:rsid w:val="00296A90"/>
    <w:rsid w:val="002976B0"/>
    <w:rsid w:val="002A1B5B"/>
    <w:rsid w:val="002A2200"/>
    <w:rsid w:val="002A2700"/>
    <w:rsid w:val="002A2D85"/>
    <w:rsid w:val="002A4EAE"/>
    <w:rsid w:val="002A6C23"/>
    <w:rsid w:val="002A762D"/>
    <w:rsid w:val="002B264A"/>
    <w:rsid w:val="002B4ECF"/>
    <w:rsid w:val="002B6A76"/>
    <w:rsid w:val="002B6ABC"/>
    <w:rsid w:val="002B7BCD"/>
    <w:rsid w:val="002C0F46"/>
    <w:rsid w:val="002C1A38"/>
    <w:rsid w:val="002C234A"/>
    <w:rsid w:val="002C2FC4"/>
    <w:rsid w:val="002C63CD"/>
    <w:rsid w:val="002C6ABF"/>
    <w:rsid w:val="002C7C67"/>
    <w:rsid w:val="002D0558"/>
    <w:rsid w:val="002D175B"/>
    <w:rsid w:val="002D1F41"/>
    <w:rsid w:val="002D35DB"/>
    <w:rsid w:val="002D370C"/>
    <w:rsid w:val="002D37AB"/>
    <w:rsid w:val="002D4741"/>
    <w:rsid w:val="002D529C"/>
    <w:rsid w:val="002D5363"/>
    <w:rsid w:val="002D68D5"/>
    <w:rsid w:val="002E0A1E"/>
    <w:rsid w:val="002E0E43"/>
    <w:rsid w:val="002E11C5"/>
    <w:rsid w:val="002E18C9"/>
    <w:rsid w:val="002E21C3"/>
    <w:rsid w:val="002E224D"/>
    <w:rsid w:val="002E2320"/>
    <w:rsid w:val="002E2B3B"/>
    <w:rsid w:val="002E35D8"/>
    <w:rsid w:val="002E3B40"/>
    <w:rsid w:val="002E4715"/>
    <w:rsid w:val="002E49A4"/>
    <w:rsid w:val="002E4ADF"/>
    <w:rsid w:val="002E5400"/>
    <w:rsid w:val="002E721A"/>
    <w:rsid w:val="002E7C45"/>
    <w:rsid w:val="002F062E"/>
    <w:rsid w:val="002F2270"/>
    <w:rsid w:val="002F2FD3"/>
    <w:rsid w:val="002F42A2"/>
    <w:rsid w:val="002F6DEA"/>
    <w:rsid w:val="002F7FEA"/>
    <w:rsid w:val="00302138"/>
    <w:rsid w:val="003023A0"/>
    <w:rsid w:val="00302776"/>
    <w:rsid w:val="003027C8"/>
    <w:rsid w:val="00302CB3"/>
    <w:rsid w:val="003042AF"/>
    <w:rsid w:val="003053F0"/>
    <w:rsid w:val="0030599B"/>
    <w:rsid w:val="00307F36"/>
    <w:rsid w:val="003101CA"/>
    <w:rsid w:val="00311662"/>
    <w:rsid w:val="00311D5C"/>
    <w:rsid w:val="003125A1"/>
    <w:rsid w:val="003130C7"/>
    <w:rsid w:val="003147CD"/>
    <w:rsid w:val="00314F51"/>
    <w:rsid w:val="00316BC4"/>
    <w:rsid w:val="0031755E"/>
    <w:rsid w:val="00317DBD"/>
    <w:rsid w:val="003216C3"/>
    <w:rsid w:val="00322E65"/>
    <w:rsid w:val="00322ECD"/>
    <w:rsid w:val="003235C0"/>
    <w:rsid w:val="00324BAE"/>
    <w:rsid w:val="003251E6"/>
    <w:rsid w:val="00326A79"/>
    <w:rsid w:val="00326EAF"/>
    <w:rsid w:val="00327684"/>
    <w:rsid w:val="00330647"/>
    <w:rsid w:val="00330A50"/>
    <w:rsid w:val="00330B59"/>
    <w:rsid w:val="00330E6E"/>
    <w:rsid w:val="00331033"/>
    <w:rsid w:val="00331540"/>
    <w:rsid w:val="00333D7C"/>
    <w:rsid w:val="0033776D"/>
    <w:rsid w:val="00337E07"/>
    <w:rsid w:val="003403E4"/>
    <w:rsid w:val="003408CE"/>
    <w:rsid w:val="0034128B"/>
    <w:rsid w:val="00341D66"/>
    <w:rsid w:val="00342213"/>
    <w:rsid w:val="003433E2"/>
    <w:rsid w:val="00343FA3"/>
    <w:rsid w:val="00344357"/>
    <w:rsid w:val="003446E4"/>
    <w:rsid w:val="00346150"/>
    <w:rsid w:val="00346A87"/>
    <w:rsid w:val="00350314"/>
    <w:rsid w:val="003539EE"/>
    <w:rsid w:val="00353ED1"/>
    <w:rsid w:val="00353F2F"/>
    <w:rsid w:val="00354249"/>
    <w:rsid w:val="00354D6D"/>
    <w:rsid w:val="00356112"/>
    <w:rsid w:val="003564E5"/>
    <w:rsid w:val="00357836"/>
    <w:rsid w:val="00357C5A"/>
    <w:rsid w:val="00360290"/>
    <w:rsid w:val="003626E2"/>
    <w:rsid w:val="00363857"/>
    <w:rsid w:val="00363B15"/>
    <w:rsid w:val="0036402F"/>
    <w:rsid w:val="00364388"/>
    <w:rsid w:val="003668DA"/>
    <w:rsid w:val="003670FB"/>
    <w:rsid w:val="003675BC"/>
    <w:rsid w:val="003679AE"/>
    <w:rsid w:val="00367CCD"/>
    <w:rsid w:val="00370651"/>
    <w:rsid w:val="00371083"/>
    <w:rsid w:val="00372BBA"/>
    <w:rsid w:val="00372BFB"/>
    <w:rsid w:val="003751BC"/>
    <w:rsid w:val="003801CB"/>
    <w:rsid w:val="003804C1"/>
    <w:rsid w:val="00380F5C"/>
    <w:rsid w:val="003819E0"/>
    <w:rsid w:val="0038238D"/>
    <w:rsid w:val="00383DBB"/>
    <w:rsid w:val="00384733"/>
    <w:rsid w:val="00384BA1"/>
    <w:rsid w:val="00384CD3"/>
    <w:rsid w:val="003851CF"/>
    <w:rsid w:val="003857EF"/>
    <w:rsid w:val="00385EC9"/>
    <w:rsid w:val="0038652B"/>
    <w:rsid w:val="00386C06"/>
    <w:rsid w:val="00386CC2"/>
    <w:rsid w:val="003907CB"/>
    <w:rsid w:val="00391C74"/>
    <w:rsid w:val="00393EA9"/>
    <w:rsid w:val="00394004"/>
    <w:rsid w:val="003948D6"/>
    <w:rsid w:val="003962C4"/>
    <w:rsid w:val="003978CD"/>
    <w:rsid w:val="00397A17"/>
    <w:rsid w:val="003A2A16"/>
    <w:rsid w:val="003A2A38"/>
    <w:rsid w:val="003A5662"/>
    <w:rsid w:val="003A6213"/>
    <w:rsid w:val="003A6E33"/>
    <w:rsid w:val="003A6F58"/>
    <w:rsid w:val="003A774C"/>
    <w:rsid w:val="003A7CD2"/>
    <w:rsid w:val="003B0BBD"/>
    <w:rsid w:val="003B179F"/>
    <w:rsid w:val="003B212C"/>
    <w:rsid w:val="003B22AA"/>
    <w:rsid w:val="003B306A"/>
    <w:rsid w:val="003B39C4"/>
    <w:rsid w:val="003B4106"/>
    <w:rsid w:val="003B5452"/>
    <w:rsid w:val="003B59A0"/>
    <w:rsid w:val="003B5ADB"/>
    <w:rsid w:val="003B5D70"/>
    <w:rsid w:val="003B6254"/>
    <w:rsid w:val="003B629D"/>
    <w:rsid w:val="003C08EE"/>
    <w:rsid w:val="003C0F08"/>
    <w:rsid w:val="003C189B"/>
    <w:rsid w:val="003C2256"/>
    <w:rsid w:val="003C4869"/>
    <w:rsid w:val="003C4AAF"/>
    <w:rsid w:val="003C5304"/>
    <w:rsid w:val="003C650F"/>
    <w:rsid w:val="003C66CE"/>
    <w:rsid w:val="003C6948"/>
    <w:rsid w:val="003C6A62"/>
    <w:rsid w:val="003D0A12"/>
    <w:rsid w:val="003D0E4B"/>
    <w:rsid w:val="003D164C"/>
    <w:rsid w:val="003D2E74"/>
    <w:rsid w:val="003D30E9"/>
    <w:rsid w:val="003D5E86"/>
    <w:rsid w:val="003D6AB9"/>
    <w:rsid w:val="003E07C8"/>
    <w:rsid w:val="003E10DB"/>
    <w:rsid w:val="003E1170"/>
    <w:rsid w:val="003E2EDA"/>
    <w:rsid w:val="003E39DC"/>
    <w:rsid w:val="003E412C"/>
    <w:rsid w:val="003E5101"/>
    <w:rsid w:val="003E5367"/>
    <w:rsid w:val="003E5B72"/>
    <w:rsid w:val="003E619B"/>
    <w:rsid w:val="003E6618"/>
    <w:rsid w:val="003F05EF"/>
    <w:rsid w:val="003F27FC"/>
    <w:rsid w:val="003F2D05"/>
    <w:rsid w:val="003F31D2"/>
    <w:rsid w:val="003F489F"/>
    <w:rsid w:val="003F4BB4"/>
    <w:rsid w:val="003F54E6"/>
    <w:rsid w:val="003F57DA"/>
    <w:rsid w:val="003F68E7"/>
    <w:rsid w:val="003F7D07"/>
    <w:rsid w:val="003F7DDC"/>
    <w:rsid w:val="003F7EB1"/>
    <w:rsid w:val="00400423"/>
    <w:rsid w:val="00402D35"/>
    <w:rsid w:val="004041F2"/>
    <w:rsid w:val="00404BBC"/>
    <w:rsid w:val="00404CA9"/>
    <w:rsid w:val="004062E8"/>
    <w:rsid w:val="0040663A"/>
    <w:rsid w:val="00407AB8"/>
    <w:rsid w:val="004100F6"/>
    <w:rsid w:val="004111DD"/>
    <w:rsid w:val="0041151B"/>
    <w:rsid w:val="00411DD5"/>
    <w:rsid w:val="00412245"/>
    <w:rsid w:val="00413056"/>
    <w:rsid w:val="004130F4"/>
    <w:rsid w:val="00413919"/>
    <w:rsid w:val="00414CE9"/>
    <w:rsid w:val="00415DE0"/>
    <w:rsid w:val="0041662A"/>
    <w:rsid w:val="00416C9C"/>
    <w:rsid w:val="00420520"/>
    <w:rsid w:val="004208B4"/>
    <w:rsid w:val="00421529"/>
    <w:rsid w:val="00422841"/>
    <w:rsid w:val="00422DAF"/>
    <w:rsid w:val="00425C4B"/>
    <w:rsid w:val="00425DFD"/>
    <w:rsid w:val="00426226"/>
    <w:rsid w:val="00430063"/>
    <w:rsid w:val="004302F9"/>
    <w:rsid w:val="00433352"/>
    <w:rsid w:val="00433DE0"/>
    <w:rsid w:val="00434506"/>
    <w:rsid w:val="004357CA"/>
    <w:rsid w:val="00435BEE"/>
    <w:rsid w:val="004362F1"/>
    <w:rsid w:val="00436738"/>
    <w:rsid w:val="00437178"/>
    <w:rsid w:val="004373E9"/>
    <w:rsid w:val="00440A1F"/>
    <w:rsid w:val="004411BC"/>
    <w:rsid w:val="00441361"/>
    <w:rsid w:val="00443853"/>
    <w:rsid w:val="00443E52"/>
    <w:rsid w:val="00447FA7"/>
    <w:rsid w:val="00450134"/>
    <w:rsid w:val="00450243"/>
    <w:rsid w:val="004503E3"/>
    <w:rsid w:val="00450A25"/>
    <w:rsid w:val="00450EE7"/>
    <w:rsid w:val="0045113E"/>
    <w:rsid w:val="004551D6"/>
    <w:rsid w:val="0045648D"/>
    <w:rsid w:val="004570AE"/>
    <w:rsid w:val="0046098F"/>
    <w:rsid w:val="00461B31"/>
    <w:rsid w:val="00462F75"/>
    <w:rsid w:val="004638EB"/>
    <w:rsid w:val="00466487"/>
    <w:rsid w:val="00466776"/>
    <w:rsid w:val="004667BB"/>
    <w:rsid w:val="00467A3C"/>
    <w:rsid w:val="00467E20"/>
    <w:rsid w:val="004704B7"/>
    <w:rsid w:val="00470DB6"/>
    <w:rsid w:val="00472323"/>
    <w:rsid w:val="00473137"/>
    <w:rsid w:val="00476A38"/>
    <w:rsid w:val="0048071D"/>
    <w:rsid w:val="004811B1"/>
    <w:rsid w:val="004834B8"/>
    <w:rsid w:val="00484841"/>
    <w:rsid w:val="00484AEB"/>
    <w:rsid w:val="00484F8D"/>
    <w:rsid w:val="00486604"/>
    <w:rsid w:val="00486621"/>
    <w:rsid w:val="0048663C"/>
    <w:rsid w:val="00487AB1"/>
    <w:rsid w:val="00491216"/>
    <w:rsid w:val="00491392"/>
    <w:rsid w:val="00491CF8"/>
    <w:rsid w:val="00492E35"/>
    <w:rsid w:val="00494652"/>
    <w:rsid w:val="0049626A"/>
    <w:rsid w:val="00496E47"/>
    <w:rsid w:val="004973C0"/>
    <w:rsid w:val="00497F42"/>
    <w:rsid w:val="004A01D2"/>
    <w:rsid w:val="004A0240"/>
    <w:rsid w:val="004A1651"/>
    <w:rsid w:val="004A1F85"/>
    <w:rsid w:val="004A2DDC"/>
    <w:rsid w:val="004A33E5"/>
    <w:rsid w:val="004A699A"/>
    <w:rsid w:val="004A6E74"/>
    <w:rsid w:val="004A77BF"/>
    <w:rsid w:val="004B0C0C"/>
    <w:rsid w:val="004B108B"/>
    <w:rsid w:val="004B1202"/>
    <w:rsid w:val="004B1552"/>
    <w:rsid w:val="004B1AE5"/>
    <w:rsid w:val="004B1B51"/>
    <w:rsid w:val="004B2C33"/>
    <w:rsid w:val="004B2F3F"/>
    <w:rsid w:val="004B4027"/>
    <w:rsid w:val="004B45B5"/>
    <w:rsid w:val="004B6518"/>
    <w:rsid w:val="004B661A"/>
    <w:rsid w:val="004B6CC8"/>
    <w:rsid w:val="004C129A"/>
    <w:rsid w:val="004C257F"/>
    <w:rsid w:val="004C289C"/>
    <w:rsid w:val="004C3201"/>
    <w:rsid w:val="004C4895"/>
    <w:rsid w:val="004C4FE3"/>
    <w:rsid w:val="004C5DDF"/>
    <w:rsid w:val="004C67AB"/>
    <w:rsid w:val="004C6EB4"/>
    <w:rsid w:val="004D2C80"/>
    <w:rsid w:val="004D2D92"/>
    <w:rsid w:val="004D3202"/>
    <w:rsid w:val="004D4815"/>
    <w:rsid w:val="004D6A07"/>
    <w:rsid w:val="004D6D66"/>
    <w:rsid w:val="004D7F8B"/>
    <w:rsid w:val="004E0FE8"/>
    <w:rsid w:val="004E1058"/>
    <w:rsid w:val="004E1530"/>
    <w:rsid w:val="004E1C7C"/>
    <w:rsid w:val="004E24B8"/>
    <w:rsid w:val="004E2D23"/>
    <w:rsid w:val="004E3377"/>
    <w:rsid w:val="004E3D80"/>
    <w:rsid w:val="004E3EF8"/>
    <w:rsid w:val="004E422F"/>
    <w:rsid w:val="004E444C"/>
    <w:rsid w:val="004E5BF1"/>
    <w:rsid w:val="004E6DF3"/>
    <w:rsid w:val="004F088F"/>
    <w:rsid w:val="004F1D85"/>
    <w:rsid w:val="004F2A8F"/>
    <w:rsid w:val="004F2EA4"/>
    <w:rsid w:val="004F305F"/>
    <w:rsid w:val="004F42E2"/>
    <w:rsid w:val="004F4524"/>
    <w:rsid w:val="004F4F50"/>
    <w:rsid w:val="004F5F6A"/>
    <w:rsid w:val="004F654F"/>
    <w:rsid w:val="004F7F6F"/>
    <w:rsid w:val="00500860"/>
    <w:rsid w:val="00500BB3"/>
    <w:rsid w:val="00502F62"/>
    <w:rsid w:val="0050354F"/>
    <w:rsid w:val="00503BC7"/>
    <w:rsid w:val="00510F83"/>
    <w:rsid w:val="0051235A"/>
    <w:rsid w:val="005127CC"/>
    <w:rsid w:val="00512A59"/>
    <w:rsid w:val="005131D9"/>
    <w:rsid w:val="0051376F"/>
    <w:rsid w:val="00513819"/>
    <w:rsid w:val="0051495B"/>
    <w:rsid w:val="00514B58"/>
    <w:rsid w:val="0051598B"/>
    <w:rsid w:val="00516909"/>
    <w:rsid w:val="00517FE8"/>
    <w:rsid w:val="0052064B"/>
    <w:rsid w:val="0052229B"/>
    <w:rsid w:val="005226FE"/>
    <w:rsid w:val="00523AA3"/>
    <w:rsid w:val="00523B7F"/>
    <w:rsid w:val="00524062"/>
    <w:rsid w:val="00524303"/>
    <w:rsid w:val="00524443"/>
    <w:rsid w:val="005269A3"/>
    <w:rsid w:val="00526DD0"/>
    <w:rsid w:val="005271B9"/>
    <w:rsid w:val="00530882"/>
    <w:rsid w:val="005310D0"/>
    <w:rsid w:val="00531B92"/>
    <w:rsid w:val="00532499"/>
    <w:rsid w:val="0053295A"/>
    <w:rsid w:val="0053299C"/>
    <w:rsid w:val="00533FE2"/>
    <w:rsid w:val="00537432"/>
    <w:rsid w:val="00537911"/>
    <w:rsid w:val="0054273D"/>
    <w:rsid w:val="00542C21"/>
    <w:rsid w:val="00542C64"/>
    <w:rsid w:val="005438FE"/>
    <w:rsid w:val="005439E6"/>
    <w:rsid w:val="00544FB6"/>
    <w:rsid w:val="00545793"/>
    <w:rsid w:val="00546425"/>
    <w:rsid w:val="005464B6"/>
    <w:rsid w:val="0054664E"/>
    <w:rsid w:val="00551014"/>
    <w:rsid w:val="00552584"/>
    <w:rsid w:val="00552B24"/>
    <w:rsid w:val="00552D17"/>
    <w:rsid w:val="00553C37"/>
    <w:rsid w:val="00553FA0"/>
    <w:rsid w:val="00554092"/>
    <w:rsid w:val="005553DC"/>
    <w:rsid w:val="005556F0"/>
    <w:rsid w:val="00555E7F"/>
    <w:rsid w:val="00555F29"/>
    <w:rsid w:val="00556139"/>
    <w:rsid w:val="005571BF"/>
    <w:rsid w:val="005572EA"/>
    <w:rsid w:val="00557FCA"/>
    <w:rsid w:val="00560F87"/>
    <w:rsid w:val="00562C7A"/>
    <w:rsid w:val="0056309F"/>
    <w:rsid w:val="00564CD3"/>
    <w:rsid w:val="00564FC8"/>
    <w:rsid w:val="0056713F"/>
    <w:rsid w:val="005674ED"/>
    <w:rsid w:val="00567B43"/>
    <w:rsid w:val="00567D29"/>
    <w:rsid w:val="0057031B"/>
    <w:rsid w:val="0057037E"/>
    <w:rsid w:val="00571B0D"/>
    <w:rsid w:val="00572343"/>
    <w:rsid w:val="005727D7"/>
    <w:rsid w:val="00572F13"/>
    <w:rsid w:val="00573622"/>
    <w:rsid w:val="00576803"/>
    <w:rsid w:val="00577791"/>
    <w:rsid w:val="005805BC"/>
    <w:rsid w:val="005816D7"/>
    <w:rsid w:val="00581CE6"/>
    <w:rsid w:val="00582B65"/>
    <w:rsid w:val="00586B97"/>
    <w:rsid w:val="00587020"/>
    <w:rsid w:val="00587FC0"/>
    <w:rsid w:val="00590311"/>
    <w:rsid w:val="00590746"/>
    <w:rsid w:val="00590AAB"/>
    <w:rsid w:val="0059133A"/>
    <w:rsid w:val="005919CE"/>
    <w:rsid w:val="00596450"/>
    <w:rsid w:val="0059781B"/>
    <w:rsid w:val="005A1912"/>
    <w:rsid w:val="005A193A"/>
    <w:rsid w:val="005A26A9"/>
    <w:rsid w:val="005A2892"/>
    <w:rsid w:val="005A4C43"/>
    <w:rsid w:val="005A5741"/>
    <w:rsid w:val="005A5D66"/>
    <w:rsid w:val="005A5E1E"/>
    <w:rsid w:val="005A7D98"/>
    <w:rsid w:val="005B112D"/>
    <w:rsid w:val="005B2921"/>
    <w:rsid w:val="005B2B9B"/>
    <w:rsid w:val="005B2CAB"/>
    <w:rsid w:val="005B3D35"/>
    <w:rsid w:val="005B61B4"/>
    <w:rsid w:val="005B650B"/>
    <w:rsid w:val="005B6712"/>
    <w:rsid w:val="005B7E07"/>
    <w:rsid w:val="005C01A9"/>
    <w:rsid w:val="005C12AD"/>
    <w:rsid w:val="005C1ED2"/>
    <w:rsid w:val="005C20E5"/>
    <w:rsid w:val="005C3A67"/>
    <w:rsid w:val="005C3CCC"/>
    <w:rsid w:val="005C3EBA"/>
    <w:rsid w:val="005C4052"/>
    <w:rsid w:val="005C46ED"/>
    <w:rsid w:val="005C4B1C"/>
    <w:rsid w:val="005C56C0"/>
    <w:rsid w:val="005C60A7"/>
    <w:rsid w:val="005C7D74"/>
    <w:rsid w:val="005C7F19"/>
    <w:rsid w:val="005D1A6A"/>
    <w:rsid w:val="005D3984"/>
    <w:rsid w:val="005D3CE2"/>
    <w:rsid w:val="005D6371"/>
    <w:rsid w:val="005D721F"/>
    <w:rsid w:val="005D74DF"/>
    <w:rsid w:val="005D7B40"/>
    <w:rsid w:val="005E0722"/>
    <w:rsid w:val="005E12AE"/>
    <w:rsid w:val="005E2DAE"/>
    <w:rsid w:val="005E4C7B"/>
    <w:rsid w:val="005E564B"/>
    <w:rsid w:val="005E61FA"/>
    <w:rsid w:val="005E7CBD"/>
    <w:rsid w:val="005F23F9"/>
    <w:rsid w:val="005F2445"/>
    <w:rsid w:val="005F3ABB"/>
    <w:rsid w:val="005F54F2"/>
    <w:rsid w:val="005F5D24"/>
    <w:rsid w:val="005F6E36"/>
    <w:rsid w:val="005F703D"/>
    <w:rsid w:val="00601E18"/>
    <w:rsid w:val="0060241A"/>
    <w:rsid w:val="0060324C"/>
    <w:rsid w:val="00603BDC"/>
    <w:rsid w:val="00605089"/>
    <w:rsid w:val="006055C5"/>
    <w:rsid w:val="00606F3D"/>
    <w:rsid w:val="0061044A"/>
    <w:rsid w:val="00610790"/>
    <w:rsid w:val="00611B34"/>
    <w:rsid w:val="00612026"/>
    <w:rsid w:val="00612047"/>
    <w:rsid w:val="0061393B"/>
    <w:rsid w:val="0061475F"/>
    <w:rsid w:val="00614AAD"/>
    <w:rsid w:val="00614F38"/>
    <w:rsid w:val="00617306"/>
    <w:rsid w:val="00617341"/>
    <w:rsid w:val="006204AC"/>
    <w:rsid w:val="00620732"/>
    <w:rsid w:val="00620F44"/>
    <w:rsid w:val="00621B75"/>
    <w:rsid w:val="006229F3"/>
    <w:rsid w:val="00622B16"/>
    <w:rsid w:val="006241DF"/>
    <w:rsid w:val="00624335"/>
    <w:rsid w:val="0062461D"/>
    <w:rsid w:val="00624723"/>
    <w:rsid w:val="0062529F"/>
    <w:rsid w:val="00625B63"/>
    <w:rsid w:val="00626053"/>
    <w:rsid w:val="00626D1A"/>
    <w:rsid w:val="0062749E"/>
    <w:rsid w:val="00627593"/>
    <w:rsid w:val="00630B60"/>
    <w:rsid w:val="006316FC"/>
    <w:rsid w:val="00631C59"/>
    <w:rsid w:val="006344D9"/>
    <w:rsid w:val="00634A1B"/>
    <w:rsid w:val="00634B31"/>
    <w:rsid w:val="00634DB9"/>
    <w:rsid w:val="0063566C"/>
    <w:rsid w:val="0063621D"/>
    <w:rsid w:val="00636E68"/>
    <w:rsid w:val="00637202"/>
    <w:rsid w:val="00640CEA"/>
    <w:rsid w:val="00640EEE"/>
    <w:rsid w:val="00641621"/>
    <w:rsid w:val="00642243"/>
    <w:rsid w:val="00642D40"/>
    <w:rsid w:val="006432FD"/>
    <w:rsid w:val="006437E9"/>
    <w:rsid w:val="00644FA6"/>
    <w:rsid w:val="0064697B"/>
    <w:rsid w:val="00646EEF"/>
    <w:rsid w:val="00650165"/>
    <w:rsid w:val="00650BA4"/>
    <w:rsid w:val="00652D2B"/>
    <w:rsid w:val="00652EBD"/>
    <w:rsid w:val="006539B1"/>
    <w:rsid w:val="00653B3B"/>
    <w:rsid w:val="00655A75"/>
    <w:rsid w:val="00655B5A"/>
    <w:rsid w:val="006567B3"/>
    <w:rsid w:val="006571CC"/>
    <w:rsid w:val="00657647"/>
    <w:rsid w:val="006577ED"/>
    <w:rsid w:val="00665040"/>
    <w:rsid w:val="0066506A"/>
    <w:rsid w:val="00665429"/>
    <w:rsid w:val="00665E6D"/>
    <w:rsid w:val="0066736C"/>
    <w:rsid w:val="006710F2"/>
    <w:rsid w:val="0067179D"/>
    <w:rsid w:val="00672129"/>
    <w:rsid w:val="00672363"/>
    <w:rsid w:val="00672BF7"/>
    <w:rsid w:val="0067300A"/>
    <w:rsid w:val="006745B7"/>
    <w:rsid w:val="006748C2"/>
    <w:rsid w:val="00675077"/>
    <w:rsid w:val="006750E7"/>
    <w:rsid w:val="00676381"/>
    <w:rsid w:val="00676649"/>
    <w:rsid w:val="00677642"/>
    <w:rsid w:val="0067790F"/>
    <w:rsid w:val="00680E89"/>
    <w:rsid w:val="006814CC"/>
    <w:rsid w:val="006826A6"/>
    <w:rsid w:val="00683774"/>
    <w:rsid w:val="006838CE"/>
    <w:rsid w:val="00683EEA"/>
    <w:rsid w:val="006843B4"/>
    <w:rsid w:val="00684571"/>
    <w:rsid w:val="00685083"/>
    <w:rsid w:val="0068544F"/>
    <w:rsid w:val="0068598D"/>
    <w:rsid w:val="00685FDB"/>
    <w:rsid w:val="0068651F"/>
    <w:rsid w:val="006870B0"/>
    <w:rsid w:val="00687F9B"/>
    <w:rsid w:val="0069030A"/>
    <w:rsid w:val="00691967"/>
    <w:rsid w:val="006928C8"/>
    <w:rsid w:val="00694DC1"/>
    <w:rsid w:val="00695209"/>
    <w:rsid w:val="00695242"/>
    <w:rsid w:val="006966F3"/>
    <w:rsid w:val="006978FC"/>
    <w:rsid w:val="00697E4F"/>
    <w:rsid w:val="006A005E"/>
    <w:rsid w:val="006A0299"/>
    <w:rsid w:val="006A0595"/>
    <w:rsid w:val="006A0C6E"/>
    <w:rsid w:val="006A1718"/>
    <w:rsid w:val="006A261A"/>
    <w:rsid w:val="006A4903"/>
    <w:rsid w:val="006A4910"/>
    <w:rsid w:val="006A5EB7"/>
    <w:rsid w:val="006A671A"/>
    <w:rsid w:val="006A694C"/>
    <w:rsid w:val="006A6AD8"/>
    <w:rsid w:val="006A70B8"/>
    <w:rsid w:val="006A7824"/>
    <w:rsid w:val="006A7D0B"/>
    <w:rsid w:val="006B05E5"/>
    <w:rsid w:val="006B1EA1"/>
    <w:rsid w:val="006B26EE"/>
    <w:rsid w:val="006B2902"/>
    <w:rsid w:val="006B33F1"/>
    <w:rsid w:val="006B44D2"/>
    <w:rsid w:val="006B5053"/>
    <w:rsid w:val="006B520C"/>
    <w:rsid w:val="006B5C11"/>
    <w:rsid w:val="006B6496"/>
    <w:rsid w:val="006B73F1"/>
    <w:rsid w:val="006B7AAD"/>
    <w:rsid w:val="006B7F4B"/>
    <w:rsid w:val="006C0CCD"/>
    <w:rsid w:val="006C188C"/>
    <w:rsid w:val="006C1DF6"/>
    <w:rsid w:val="006C1EF4"/>
    <w:rsid w:val="006C20A5"/>
    <w:rsid w:val="006C215F"/>
    <w:rsid w:val="006C42D9"/>
    <w:rsid w:val="006C459D"/>
    <w:rsid w:val="006C45DE"/>
    <w:rsid w:val="006C5E5A"/>
    <w:rsid w:val="006C60E9"/>
    <w:rsid w:val="006D09A5"/>
    <w:rsid w:val="006D1046"/>
    <w:rsid w:val="006D109F"/>
    <w:rsid w:val="006D3874"/>
    <w:rsid w:val="006D5050"/>
    <w:rsid w:val="006D6455"/>
    <w:rsid w:val="006D6BD0"/>
    <w:rsid w:val="006D7ACC"/>
    <w:rsid w:val="006D7B30"/>
    <w:rsid w:val="006E0505"/>
    <w:rsid w:val="006E23BC"/>
    <w:rsid w:val="006E258A"/>
    <w:rsid w:val="006E3120"/>
    <w:rsid w:val="006E3312"/>
    <w:rsid w:val="006E3369"/>
    <w:rsid w:val="006E4BC8"/>
    <w:rsid w:val="006E6F80"/>
    <w:rsid w:val="006E74C2"/>
    <w:rsid w:val="006F033F"/>
    <w:rsid w:val="006F2660"/>
    <w:rsid w:val="006F40D5"/>
    <w:rsid w:val="006F4B62"/>
    <w:rsid w:val="006F5808"/>
    <w:rsid w:val="006F7329"/>
    <w:rsid w:val="006F76E1"/>
    <w:rsid w:val="007007D0"/>
    <w:rsid w:val="0070087E"/>
    <w:rsid w:val="00700EAF"/>
    <w:rsid w:val="00701600"/>
    <w:rsid w:val="0070307D"/>
    <w:rsid w:val="00703FD6"/>
    <w:rsid w:val="007042ED"/>
    <w:rsid w:val="00704C57"/>
    <w:rsid w:val="007056B0"/>
    <w:rsid w:val="00705D83"/>
    <w:rsid w:val="00706198"/>
    <w:rsid w:val="00706A11"/>
    <w:rsid w:val="007103B4"/>
    <w:rsid w:val="0071113B"/>
    <w:rsid w:val="0071151B"/>
    <w:rsid w:val="00711921"/>
    <w:rsid w:val="00711C5D"/>
    <w:rsid w:val="00712380"/>
    <w:rsid w:val="00712BCC"/>
    <w:rsid w:val="0071323C"/>
    <w:rsid w:val="00715CA8"/>
    <w:rsid w:val="007165F2"/>
    <w:rsid w:val="00716DE7"/>
    <w:rsid w:val="00717618"/>
    <w:rsid w:val="0072078B"/>
    <w:rsid w:val="0072181A"/>
    <w:rsid w:val="007218D4"/>
    <w:rsid w:val="00722294"/>
    <w:rsid w:val="00722AE8"/>
    <w:rsid w:val="007234FE"/>
    <w:rsid w:val="00724239"/>
    <w:rsid w:val="00724640"/>
    <w:rsid w:val="00724BC7"/>
    <w:rsid w:val="007259D5"/>
    <w:rsid w:val="00725D12"/>
    <w:rsid w:val="007264C0"/>
    <w:rsid w:val="00730409"/>
    <w:rsid w:val="0073066A"/>
    <w:rsid w:val="007337A1"/>
    <w:rsid w:val="007346CF"/>
    <w:rsid w:val="00734A90"/>
    <w:rsid w:val="00735B9C"/>
    <w:rsid w:val="0073684E"/>
    <w:rsid w:val="00737143"/>
    <w:rsid w:val="00740297"/>
    <w:rsid w:val="0074067D"/>
    <w:rsid w:val="0074072C"/>
    <w:rsid w:val="00741541"/>
    <w:rsid w:val="00741AC9"/>
    <w:rsid w:val="00741B2F"/>
    <w:rsid w:val="00742310"/>
    <w:rsid w:val="0074308C"/>
    <w:rsid w:val="007438C2"/>
    <w:rsid w:val="00743C4D"/>
    <w:rsid w:val="00744448"/>
    <w:rsid w:val="007450F9"/>
    <w:rsid w:val="007453D8"/>
    <w:rsid w:val="007500F0"/>
    <w:rsid w:val="00750273"/>
    <w:rsid w:val="007513BD"/>
    <w:rsid w:val="0075200F"/>
    <w:rsid w:val="007522E3"/>
    <w:rsid w:val="007529BA"/>
    <w:rsid w:val="00753FD9"/>
    <w:rsid w:val="007544BE"/>
    <w:rsid w:val="00754C84"/>
    <w:rsid w:val="00755242"/>
    <w:rsid w:val="007554F0"/>
    <w:rsid w:val="00755C9D"/>
    <w:rsid w:val="007561FB"/>
    <w:rsid w:val="0075627A"/>
    <w:rsid w:val="00760FB5"/>
    <w:rsid w:val="0076105D"/>
    <w:rsid w:val="00762A81"/>
    <w:rsid w:val="00763BFA"/>
    <w:rsid w:val="007653E1"/>
    <w:rsid w:val="007656D5"/>
    <w:rsid w:val="007657D7"/>
    <w:rsid w:val="007660FC"/>
    <w:rsid w:val="0076682F"/>
    <w:rsid w:val="0076703B"/>
    <w:rsid w:val="007676EF"/>
    <w:rsid w:val="00770901"/>
    <w:rsid w:val="007746F1"/>
    <w:rsid w:val="00775436"/>
    <w:rsid w:val="0077652F"/>
    <w:rsid w:val="00776A75"/>
    <w:rsid w:val="00776E71"/>
    <w:rsid w:val="00777418"/>
    <w:rsid w:val="00780539"/>
    <w:rsid w:val="00781BA3"/>
    <w:rsid w:val="00781C6B"/>
    <w:rsid w:val="00781EC7"/>
    <w:rsid w:val="007821D3"/>
    <w:rsid w:val="007822E7"/>
    <w:rsid w:val="007827C4"/>
    <w:rsid w:val="007829E6"/>
    <w:rsid w:val="00782F4A"/>
    <w:rsid w:val="007838ED"/>
    <w:rsid w:val="00783E57"/>
    <w:rsid w:val="00784868"/>
    <w:rsid w:val="00784B52"/>
    <w:rsid w:val="0078587F"/>
    <w:rsid w:val="00787315"/>
    <w:rsid w:val="00787486"/>
    <w:rsid w:val="007902E1"/>
    <w:rsid w:val="007905CF"/>
    <w:rsid w:val="00790C04"/>
    <w:rsid w:val="00791DB0"/>
    <w:rsid w:val="007921F4"/>
    <w:rsid w:val="00792B1A"/>
    <w:rsid w:val="007974A9"/>
    <w:rsid w:val="00797CC4"/>
    <w:rsid w:val="00797D2D"/>
    <w:rsid w:val="007A0496"/>
    <w:rsid w:val="007A1D84"/>
    <w:rsid w:val="007A2C82"/>
    <w:rsid w:val="007A3B89"/>
    <w:rsid w:val="007A5634"/>
    <w:rsid w:val="007A6706"/>
    <w:rsid w:val="007A6A56"/>
    <w:rsid w:val="007A6F6F"/>
    <w:rsid w:val="007A7792"/>
    <w:rsid w:val="007B0E2A"/>
    <w:rsid w:val="007B37AB"/>
    <w:rsid w:val="007B614D"/>
    <w:rsid w:val="007B6178"/>
    <w:rsid w:val="007B76F6"/>
    <w:rsid w:val="007C024F"/>
    <w:rsid w:val="007C02BE"/>
    <w:rsid w:val="007C0918"/>
    <w:rsid w:val="007C0E0C"/>
    <w:rsid w:val="007C248D"/>
    <w:rsid w:val="007C2D57"/>
    <w:rsid w:val="007C3D03"/>
    <w:rsid w:val="007C400F"/>
    <w:rsid w:val="007C4B9C"/>
    <w:rsid w:val="007C6887"/>
    <w:rsid w:val="007C6CD2"/>
    <w:rsid w:val="007C7348"/>
    <w:rsid w:val="007C74B4"/>
    <w:rsid w:val="007D1453"/>
    <w:rsid w:val="007D1E59"/>
    <w:rsid w:val="007D2E3D"/>
    <w:rsid w:val="007D2EFE"/>
    <w:rsid w:val="007D3181"/>
    <w:rsid w:val="007D40DE"/>
    <w:rsid w:val="007D4ECD"/>
    <w:rsid w:val="007D5510"/>
    <w:rsid w:val="007D59CD"/>
    <w:rsid w:val="007D5CD5"/>
    <w:rsid w:val="007D5FA2"/>
    <w:rsid w:val="007D69C2"/>
    <w:rsid w:val="007D7C3E"/>
    <w:rsid w:val="007E292F"/>
    <w:rsid w:val="007E3034"/>
    <w:rsid w:val="007E3934"/>
    <w:rsid w:val="007E7678"/>
    <w:rsid w:val="007E7854"/>
    <w:rsid w:val="007E7EAA"/>
    <w:rsid w:val="007F0825"/>
    <w:rsid w:val="007F09E1"/>
    <w:rsid w:val="007F1969"/>
    <w:rsid w:val="007F1E46"/>
    <w:rsid w:val="007F2251"/>
    <w:rsid w:val="007F2580"/>
    <w:rsid w:val="007F25C7"/>
    <w:rsid w:val="007F2DAF"/>
    <w:rsid w:val="007F43CF"/>
    <w:rsid w:val="007F4972"/>
    <w:rsid w:val="007F505E"/>
    <w:rsid w:val="007F5EE5"/>
    <w:rsid w:val="007F5FD7"/>
    <w:rsid w:val="007F60EC"/>
    <w:rsid w:val="007F6C68"/>
    <w:rsid w:val="007F777B"/>
    <w:rsid w:val="007F7AD1"/>
    <w:rsid w:val="00800BD6"/>
    <w:rsid w:val="00800F76"/>
    <w:rsid w:val="008011D6"/>
    <w:rsid w:val="008013C7"/>
    <w:rsid w:val="008027F2"/>
    <w:rsid w:val="008028B0"/>
    <w:rsid w:val="008033AE"/>
    <w:rsid w:val="00803DEF"/>
    <w:rsid w:val="0080430C"/>
    <w:rsid w:val="00804A3E"/>
    <w:rsid w:val="00804BFE"/>
    <w:rsid w:val="00805592"/>
    <w:rsid w:val="00807340"/>
    <w:rsid w:val="0081062F"/>
    <w:rsid w:val="00810954"/>
    <w:rsid w:val="00810CE0"/>
    <w:rsid w:val="00811C7B"/>
    <w:rsid w:val="0081223E"/>
    <w:rsid w:val="0081249A"/>
    <w:rsid w:val="0081265E"/>
    <w:rsid w:val="008145F1"/>
    <w:rsid w:val="00814776"/>
    <w:rsid w:val="0081586C"/>
    <w:rsid w:val="008159C4"/>
    <w:rsid w:val="008163BB"/>
    <w:rsid w:val="00820049"/>
    <w:rsid w:val="00820317"/>
    <w:rsid w:val="00820695"/>
    <w:rsid w:val="00821576"/>
    <w:rsid w:val="0082197B"/>
    <w:rsid w:val="00821AAF"/>
    <w:rsid w:val="008227BE"/>
    <w:rsid w:val="00822ACC"/>
    <w:rsid w:val="008237F8"/>
    <w:rsid w:val="00825D03"/>
    <w:rsid w:val="0082704F"/>
    <w:rsid w:val="0082729B"/>
    <w:rsid w:val="0082738D"/>
    <w:rsid w:val="008277D6"/>
    <w:rsid w:val="00827930"/>
    <w:rsid w:val="00830A21"/>
    <w:rsid w:val="00831BF7"/>
    <w:rsid w:val="00832AB6"/>
    <w:rsid w:val="00832AD8"/>
    <w:rsid w:val="00833EC8"/>
    <w:rsid w:val="008360F0"/>
    <w:rsid w:val="008362B0"/>
    <w:rsid w:val="008375E9"/>
    <w:rsid w:val="00840698"/>
    <w:rsid w:val="008434DD"/>
    <w:rsid w:val="0084360B"/>
    <w:rsid w:val="00845145"/>
    <w:rsid w:val="0084516D"/>
    <w:rsid w:val="008458BD"/>
    <w:rsid w:val="00846301"/>
    <w:rsid w:val="0084656D"/>
    <w:rsid w:val="008467F6"/>
    <w:rsid w:val="008479E9"/>
    <w:rsid w:val="00847DE5"/>
    <w:rsid w:val="008501D7"/>
    <w:rsid w:val="00850FF9"/>
    <w:rsid w:val="008528EE"/>
    <w:rsid w:val="00852F2B"/>
    <w:rsid w:val="00853DD6"/>
    <w:rsid w:val="008548A1"/>
    <w:rsid w:val="008548FC"/>
    <w:rsid w:val="00855004"/>
    <w:rsid w:val="0086119C"/>
    <w:rsid w:val="008611F0"/>
    <w:rsid w:val="00861ED9"/>
    <w:rsid w:val="0086295C"/>
    <w:rsid w:val="008649C0"/>
    <w:rsid w:val="00864B05"/>
    <w:rsid w:val="00865A0F"/>
    <w:rsid w:val="008660C5"/>
    <w:rsid w:val="0086619F"/>
    <w:rsid w:val="008667F9"/>
    <w:rsid w:val="00866E80"/>
    <w:rsid w:val="00866EEB"/>
    <w:rsid w:val="00866F51"/>
    <w:rsid w:val="00870749"/>
    <w:rsid w:val="00870C13"/>
    <w:rsid w:val="008710FF"/>
    <w:rsid w:val="00871A03"/>
    <w:rsid w:val="00873BDD"/>
    <w:rsid w:val="00874B41"/>
    <w:rsid w:val="008750DA"/>
    <w:rsid w:val="00876FF0"/>
    <w:rsid w:val="008806E2"/>
    <w:rsid w:val="00880801"/>
    <w:rsid w:val="0088153E"/>
    <w:rsid w:val="00881C65"/>
    <w:rsid w:val="00881E55"/>
    <w:rsid w:val="00881EA8"/>
    <w:rsid w:val="00883A3C"/>
    <w:rsid w:val="00884919"/>
    <w:rsid w:val="0088548E"/>
    <w:rsid w:val="00885D44"/>
    <w:rsid w:val="00886AA8"/>
    <w:rsid w:val="008877FE"/>
    <w:rsid w:val="00887BC2"/>
    <w:rsid w:val="00887D1A"/>
    <w:rsid w:val="00890003"/>
    <w:rsid w:val="00890F57"/>
    <w:rsid w:val="008929B3"/>
    <w:rsid w:val="00892E55"/>
    <w:rsid w:val="00895B62"/>
    <w:rsid w:val="008970F9"/>
    <w:rsid w:val="008971DD"/>
    <w:rsid w:val="00897327"/>
    <w:rsid w:val="00897AEF"/>
    <w:rsid w:val="00897C24"/>
    <w:rsid w:val="008A02B3"/>
    <w:rsid w:val="008A1531"/>
    <w:rsid w:val="008A1556"/>
    <w:rsid w:val="008A1E2A"/>
    <w:rsid w:val="008A2B50"/>
    <w:rsid w:val="008A2BD9"/>
    <w:rsid w:val="008A33AD"/>
    <w:rsid w:val="008A4745"/>
    <w:rsid w:val="008A59D2"/>
    <w:rsid w:val="008A60B5"/>
    <w:rsid w:val="008A636D"/>
    <w:rsid w:val="008A6A60"/>
    <w:rsid w:val="008A788B"/>
    <w:rsid w:val="008B0AD5"/>
    <w:rsid w:val="008B0E4C"/>
    <w:rsid w:val="008B13D8"/>
    <w:rsid w:val="008B1D91"/>
    <w:rsid w:val="008B41C2"/>
    <w:rsid w:val="008B4392"/>
    <w:rsid w:val="008B585F"/>
    <w:rsid w:val="008B58B4"/>
    <w:rsid w:val="008B5F22"/>
    <w:rsid w:val="008B5F72"/>
    <w:rsid w:val="008B668C"/>
    <w:rsid w:val="008B7535"/>
    <w:rsid w:val="008B79E4"/>
    <w:rsid w:val="008B7CA3"/>
    <w:rsid w:val="008C0899"/>
    <w:rsid w:val="008C180E"/>
    <w:rsid w:val="008C2922"/>
    <w:rsid w:val="008C2A9F"/>
    <w:rsid w:val="008C2ABA"/>
    <w:rsid w:val="008C38F1"/>
    <w:rsid w:val="008C527D"/>
    <w:rsid w:val="008C5673"/>
    <w:rsid w:val="008C5CD2"/>
    <w:rsid w:val="008C605D"/>
    <w:rsid w:val="008C6C25"/>
    <w:rsid w:val="008C6F0E"/>
    <w:rsid w:val="008C709E"/>
    <w:rsid w:val="008C7291"/>
    <w:rsid w:val="008D2B8D"/>
    <w:rsid w:val="008D2BFD"/>
    <w:rsid w:val="008D3A8A"/>
    <w:rsid w:val="008D4F43"/>
    <w:rsid w:val="008D4F97"/>
    <w:rsid w:val="008D7E3C"/>
    <w:rsid w:val="008E1667"/>
    <w:rsid w:val="008E1C68"/>
    <w:rsid w:val="008E4148"/>
    <w:rsid w:val="008E458E"/>
    <w:rsid w:val="008E4C40"/>
    <w:rsid w:val="008E59C4"/>
    <w:rsid w:val="008E69EF"/>
    <w:rsid w:val="008E6F07"/>
    <w:rsid w:val="008F1097"/>
    <w:rsid w:val="008F10A1"/>
    <w:rsid w:val="008F1CB6"/>
    <w:rsid w:val="008F34EA"/>
    <w:rsid w:val="008F4807"/>
    <w:rsid w:val="008F594F"/>
    <w:rsid w:val="008F6595"/>
    <w:rsid w:val="008F6CF6"/>
    <w:rsid w:val="008F7B3C"/>
    <w:rsid w:val="008F7F16"/>
    <w:rsid w:val="00900CFD"/>
    <w:rsid w:val="00901308"/>
    <w:rsid w:val="009019EB"/>
    <w:rsid w:val="00902545"/>
    <w:rsid w:val="0090292B"/>
    <w:rsid w:val="00903215"/>
    <w:rsid w:val="00905103"/>
    <w:rsid w:val="00905468"/>
    <w:rsid w:val="00905E08"/>
    <w:rsid w:val="00905F76"/>
    <w:rsid w:val="00906323"/>
    <w:rsid w:val="00906781"/>
    <w:rsid w:val="009104F3"/>
    <w:rsid w:val="009112CD"/>
    <w:rsid w:val="00912FC6"/>
    <w:rsid w:val="0091403B"/>
    <w:rsid w:val="00914526"/>
    <w:rsid w:val="009159E6"/>
    <w:rsid w:val="00915E2F"/>
    <w:rsid w:val="009163A9"/>
    <w:rsid w:val="00916E21"/>
    <w:rsid w:val="009178C1"/>
    <w:rsid w:val="00917B30"/>
    <w:rsid w:val="00917D87"/>
    <w:rsid w:val="009211C5"/>
    <w:rsid w:val="009212A0"/>
    <w:rsid w:val="00923C70"/>
    <w:rsid w:val="009250EC"/>
    <w:rsid w:val="0093018B"/>
    <w:rsid w:val="00931A9B"/>
    <w:rsid w:val="00932D58"/>
    <w:rsid w:val="009333B3"/>
    <w:rsid w:val="00934342"/>
    <w:rsid w:val="00935337"/>
    <w:rsid w:val="009357D6"/>
    <w:rsid w:val="009367D8"/>
    <w:rsid w:val="009368EA"/>
    <w:rsid w:val="00936AC0"/>
    <w:rsid w:val="00937D0E"/>
    <w:rsid w:val="00937EBF"/>
    <w:rsid w:val="009407ED"/>
    <w:rsid w:val="009409D9"/>
    <w:rsid w:val="009417C4"/>
    <w:rsid w:val="0094210E"/>
    <w:rsid w:val="00942DDF"/>
    <w:rsid w:val="009431A2"/>
    <w:rsid w:val="00943896"/>
    <w:rsid w:val="00943EA9"/>
    <w:rsid w:val="00944630"/>
    <w:rsid w:val="00945D81"/>
    <w:rsid w:val="00945FFA"/>
    <w:rsid w:val="00946311"/>
    <w:rsid w:val="00946A86"/>
    <w:rsid w:val="00950D59"/>
    <w:rsid w:val="00950E32"/>
    <w:rsid w:val="0095148C"/>
    <w:rsid w:val="00951B43"/>
    <w:rsid w:val="00951CA5"/>
    <w:rsid w:val="00951E0F"/>
    <w:rsid w:val="009525F3"/>
    <w:rsid w:val="00952814"/>
    <w:rsid w:val="00952E2D"/>
    <w:rsid w:val="00953C07"/>
    <w:rsid w:val="009540C9"/>
    <w:rsid w:val="00954AAD"/>
    <w:rsid w:val="00956916"/>
    <w:rsid w:val="0095728B"/>
    <w:rsid w:val="00961C36"/>
    <w:rsid w:val="00961F2C"/>
    <w:rsid w:val="009629E0"/>
    <w:rsid w:val="00964074"/>
    <w:rsid w:val="00965F12"/>
    <w:rsid w:val="00966185"/>
    <w:rsid w:val="00966457"/>
    <w:rsid w:val="00967917"/>
    <w:rsid w:val="00970B8C"/>
    <w:rsid w:val="009715A8"/>
    <w:rsid w:val="00972CA4"/>
    <w:rsid w:val="00972F05"/>
    <w:rsid w:val="00974ADD"/>
    <w:rsid w:val="00975517"/>
    <w:rsid w:val="009766B3"/>
    <w:rsid w:val="00977757"/>
    <w:rsid w:val="009778D2"/>
    <w:rsid w:val="00977A29"/>
    <w:rsid w:val="00977E05"/>
    <w:rsid w:val="00980919"/>
    <w:rsid w:val="0098113F"/>
    <w:rsid w:val="00981409"/>
    <w:rsid w:val="009816D9"/>
    <w:rsid w:val="009823A4"/>
    <w:rsid w:val="00983A2E"/>
    <w:rsid w:val="009851A5"/>
    <w:rsid w:val="00987B4B"/>
    <w:rsid w:val="00990CE7"/>
    <w:rsid w:val="009919DC"/>
    <w:rsid w:val="00994FA8"/>
    <w:rsid w:val="0099614E"/>
    <w:rsid w:val="00997C1D"/>
    <w:rsid w:val="009A0D66"/>
    <w:rsid w:val="009A0EF9"/>
    <w:rsid w:val="009A186A"/>
    <w:rsid w:val="009A3081"/>
    <w:rsid w:val="009A4EDF"/>
    <w:rsid w:val="009A4FFB"/>
    <w:rsid w:val="009A5ECB"/>
    <w:rsid w:val="009A65F3"/>
    <w:rsid w:val="009A69D2"/>
    <w:rsid w:val="009B01C4"/>
    <w:rsid w:val="009B05B8"/>
    <w:rsid w:val="009B103F"/>
    <w:rsid w:val="009B20CD"/>
    <w:rsid w:val="009B2AF6"/>
    <w:rsid w:val="009B627E"/>
    <w:rsid w:val="009B6447"/>
    <w:rsid w:val="009B64D4"/>
    <w:rsid w:val="009B7085"/>
    <w:rsid w:val="009B7438"/>
    <w:rsid w:val="009B76F8"/>
    <w:rsid w:val="009C4082"/>
    <w:rsid w:val="009C442E"/>
    <w:rsid w:val="009C44D4"/>
    <w:rsid w:val="009C48B8"/>
    <w:rsid w:val="009C51EA"/>
    <w:rsid w:val="009C5DA7"/>
    <w:rsid w:val="009C6D5E"/>
    <w:rsid w:val="009C7A0E"/>
    <w:rsid w:val="009D0550"/>
    <w:rsid w:val="009D0B26"/>
    <w:rsid w:val="009D0CF0"/>
    <w:rsid w:val="009D1F3E"/>
    <w:rsid w:val="009D312C"/>
    <w:rsid w:val="009D3606"/>
    <w:rsid w:val="009D3FF7"/>
    <w:rsid w:val="009D4901"/>
    <w:rsid w:val="009D4FEC"/>
    <w:rsid w:val="009D5260"/>
    <w:rsid w:val="009D6253"/>
    <w:rsid w:val="009D691A"/>
    <w:rsid w:val="009D6AE9"/>
    <w:rsid w:val="009D72F8"/>
    <w:rsid w:val="009D7FE8"/>
    <w:rsid w:val="009E00F8"/>
    <w:rsid w:val="009E24FC"/>
    <w:rsid w:val="009E2A09"/>
    <w:rsid w:val="009E2B68"/>
    <w:rsid w:val="009E2C0B"/>
    <w:rsid w:val="009E42AA"/>
    <w:rsid w:val="009E514D"/>
    <w:rsid w:val="009E6868"/>
    <w:rsid w:val="009E75B1"/>
    <w:rsid w:val="009F01EF"/>
    <w:rsid w:val="009F1A7E"/>
    <w:rsid w:val="009F2A3C"/>
    <w:rsid w:val="009F5B90"/>
    <w:rsid w:val="009F5F90"/>
    <w:rsid w:val="009F67F1"/>
    <w:rsid w:val="009F7149"/>
    <w:rsid w:val="009F7CB5"/>
    <w:rsid w:val="00A016EA"/>
    <w:rsid w:val="00A01E6F"/>
    <w:rsid w:val="00A0323E"/>
    <w:rsid w:val="00A05C39"/>
    <w:rsid w:val="00A062EC"/>
    <w:rsid w:val="00A07DA0"/>
    <w:rsid w:val="00A100E1"/>
    <w:rsid w:val="00A1029C"/>
    <w:rsid w:val="00A102B1"/>
    <w:rsid w:val="00A10543"/>
    <w:rsid w:val="00A11271"/>
    <w:rsid w:val="00A11FE2"/>
    <w:rsid w:val="00A136BB"/>
    <w:rsid w:val="00A143EE"/>
    <w:rsid w:val="00A148CC"/>
    <w:rsid w:val="00A14F15"/>
    <w:rsid w:val="00A15D48"/>
    <w:rsid w:val="00A16F05"/>
    <w:rsid w:val="00A17115"/>
    <w:rsid w:val="00A17914"/>
    <w:rsid w:val="00A20925"/>
    <w:rsid w:val="00A21BD9"/>
    <w:rsid w:val="00A239A0"/>
    <w:rsid w:val="00A2441A"/>
    <w:rsid w:val="00A24503"/>
    <w:rsid w:val="00A24845"/>
    <w:rsid w:val="00A2657C"/>
    <w:rsid w:val="00A26D8B"/>
    <w:rsid w:val="00A2729A"/>
    <w:rsid w:val="00A3107F"/>
    <w:rsid w:val="00A32E82"/>
    <w:rsid w:val="00A338F3"/>
    <w:rsid w:val="00A34A32"/>
    <w:rsid w:val="00A35E03"/>
    <w:rsid w:val="00A36882"/>
    <w:rsid w:val="00A36979"/>
    <w:rsid w:val="00A37061"/>
    <w:rsid w:val="00A40314"/>
    <w:rsid w:val="00A40632"/>
    <w:rsid w:val="00A41627"/>
    <w:rsid w:val="00A426BD"/>
    <w:rsid w:val="00A4307F"/>
    <w:rsid w:val="00A433A1"/>
    <w:rsid w:val="00A4498A"/>
    <w:rsid w:val="00A44C72"/>
    <w:rsid w:val="00A44F16"/>
    <w:rsid w:val="00A453A9"/>
    <w:rsid w:val="00A46FA8"/>
    <w:rsid w:val="00A46FD8"/>
    <w:rsid w:val="00A4726E"/>
    <w:rsid w:val="00A47E7D"/>
    <w:rsid w:val="00A51AFC"/>
    <w:rsid w:val="00A5283D"/>
    <w:rsid w:val="00A52EC0"/>
    <w:rsid w:val="00A54BCB"/>
    <w:rsid w:val="00A550C3"/>
    <w:rsid w:val="00A558D4"/>
    <w:rsid w:val="00A55A48"/>
    <w:rsid w:val="00A55FD3"/>
    <w:rsid w:val="00A5644F"/>
    <w:rsid w:val="00A5744B"/>
    <w:rsid w:val="00A57EE4"/>
    <w:rsid w:val="00A61E53"/>
    <w:rsid w:val="00A61EAE"/>
    <w:rsid w:val="00A62CB1"/>
    <w:rsid w:val="00A63D50"/>
    <w:rsid w:val="00A66CC3"/>
    <w:rsid w:val="00A70843"/>
    <w:rsid w:val="00A74ABE"/>
    <w:rsid w:val="00A75348"/>
    <w:rsid w:val="00A75A87"/>
    <w:rsid w:val="00A76DE6"/>
    <w:rsid w:val="00A77D60"/>
    <w:rsid w:val="00A80097"/>
    <w:rsid w:val="00A805F3"/>
    <w:rsid w:val="00A81499"/>
    <w:rsid w:val="00A821CE"/>
    <w:rsid w:val="00A83D90"/>
    <w:rsid w:val="00A84460"/>
    <w:rsid w:val="00A84932"/>
    <w:rsid w:val="00A8517D"/>
    <w:rsid w:val="00A85778"/>
    <w:rsid w:val="00A862E3"/>
    <w:rsid w:val="00A86740"/>
    <w:rsid w:val="00A86889"/>
    <w:rsid w:val="00A8697F"/>
    <w:rsid w:val="00A87193"/>
    <w:rsid w:val="00A903C9"/>
    <w:rsid w:val="00A9050F"/>
    <w:rsid w:val="00A915D9"/>
    <w:rsid w:val="00A91713"/>
    <w:rsid w:val="00A9438B"/>
    <w:rsid w:val="00A95F25"/>
    <w:rsid w:val="00A96D6E"/>
    <w:rsid w:val="00A96D8E"/>
    <w:rsid w:val="00AA0DEF"/>
    <w:rsid w:val="00AA0E0A"/>
    <w:rsid w:val="00AA1C53"/>
    <w:rsid w:val="00AA393B"/>
    <w:rsid w:val="00AA40C6"/>
    <w:rsid w:val="00AA50B4"/>
    <w:rsid w:val="00AA5321"/>
    <w:rsid w:val="00AA6389"/>
    <w:rsid w:val="00AA63A5"/>
    <w:rsid w:val="00AA669B"/>
    <w:rsid w:val="00AA6B1E"/>
    <w:rsid w:val="00AB1716"/>
    <w:rsid w:val="00AB1E26"/>
    <w:rsid w:val="00AB21E4"/>
    <w:rsid w:val="00AB2740"/>
    <w:rsid w:val="00AB4F5B"/>
    <w:rsid w:val="00AB67E7"/>
    <w:rsid w:val="00AB76A6"/>
    <w:rsid w:val="00AB7A33"/>
    <w:rsid w:val="00AB7A8F"/>
    <w:rsid w:val="00AC0476"/>
    <w:rsid w:val="00AC2862"/>
    <w:rsid w:val="00AC29BE"/>
    <w:rsid w:val="00AC2DE8"/>
    <w:rsid w:val="00AC31ED"/>
    <w:rsid w:val="00AC36BF"/>
    <w:rsid w:val="00AC404C"/>
    <w:rsid w:val="00AC4A22"/>
    <w:rsid w:val="00AC61C3"/>
    <w:rsid w:val="00AD0315"/>
    <w:rsid w:val="00AD19EC"/>
    <w:rsid w:val="00AD2160"/>
    <w:rsid w:val="00AD305F"/>
    <w:rsid w:val="00AD31D2"/>
    <w:rsid w:val="00AD383F"/>
    <w:rsid w:val="00AD4969"/>
    <w:rsid w:val="00AD49BA"/>
    <w:rsid w:val="00AD4C91"/>
    <w:rsid w:val="00AD6A8E"/>
    <w:rsid w:val="00AD744A"/>
    <w:rsid w:val="00AD7547"/>
    <w:rsid w:val="00AE0CE8"/>
    <w:rsid w:val="00AE22C5"/>
    <w:rsid w:val="00AE2D24"/>
    <w:rsid w:val="00AE4249"/>
    <w:rsid w:val="00AE4EB5"/>
    <w:rsid w:val="00AE4F02"/>
    <w:rsid w:val="00AE768A"/>
    <w:rsid w:val="00AE7896"/>
    <w:rsid w:val="00AF17E2"/>
    <w:rsid w:val="00AF2A64"/>
    <w:rsid w:val="00AF2AA3"/>
    <w:rsid w:val="00AF38A4"/>
    <w:rsid w:val="00AF3ED4"/>
    <w:rsid w:val="00AF4A3D"/>
    <w:rsid w:val="00AF4AB2"/>
    <w:rsid w:val="00AF4D52"/>
    <w:rsid w:val="00AF4E96"/>
    <w:rsid w:val="00AF4EEE"/>
    <w:rsid w:val="00AF4FD5"/>
    <w:rsid w:val="00AF5BFD"/>
    <w:rsid w:val="00B007D7"/>
    <w:rsid w:val="00B00D42"/>
    <w:rsid w:val="00B00EB5"/>
    <w:rsid w:val="00B013D8"/>
    <w:rsid w:val="00B037D5"/>
    <w:rsid w:val="00B03CFB"/>
    <w:rsid w:val="00B06472"/>
    <w:rsid w:val="00B06C03"/>
    <w:rsid w:val="00B100D6"/>
    <w:rsid w:val="00B10115"/>
    <w:rsid w:val="00B11963"/>
    <w:rsid w:val="00B12065"/>
    <w:rsid w:val="00B12838"/>
    <w:rsid w:val="00B12C99"/>
    <w:rsid w:val="00B13050"/>
    <w:rsid w:val="00B13DA8"/>
    <w:rsid w:val="00B1518D"/>
    <w:rsid w:val="00B1720B"/>
    <w:rsid w:val="00B21287"/>
    <w:rsid w:val="00B23557"/>
    <w:rsid w:val="00B24CA1"/>
    <w:rsid w:val="00B260A2"/>
    <w:rsid w:val="00B26187"/>
    <w:rsid w:val="00B26604"/>
    <w:rsid w:val="00B268A9"/>
    <w:rsid w:val="00B303BD"/>
    <w:rsid w:val="00B3355A"/>
    <w:rsid w:val="00B348F7"/>
    <w:rsid w:val="00B35796"/>
    <w:rsid w:val="00B36627"/>
    <w:rsid w:val="00B3674C"/>
    <w:rsid w:val="00B36C42"/>
    <w:rsid w:val="00B37EDD"/>
    <w:rsid w:val="00B4415E"/>
    <w:rsid w:val="00B445F0"/>
    <w:rsid w:val="00B502EE"/>
    <w:rsid w:val="00B508AC"/>
    <w:rsid w:val="00B50DEA"/>
    <w:rsid w:val="00B5186C"/>
    <w:rsid w:val="00B51B76"/>
    <w:rsid w:val="00B5218F"/>
    <w:rsid w:val="00B53295"/>
    <w:rsid w:val="00B53D7D"/>
    <w:rsid w:val="00B5405A"/>
    <w:rsid w:val="00B54170"/>
    <w:rsid w:val="00B5491A"/>
    <w:rsid w:val="00B5497D"/>
    <w:rsid w:val="00B54D14"/>
    <w:rsid w:val="00B568A8"/>
    <w:rsid w:val="00B574C7"/>
    <w:rsid w:val="00B61470"/>
    <w:rsid w:val="00B619B4"/>
    <w:rsid w:val="00B61D11"/>
    <w:rsid w:val="00B6462C"/>
    <w:rsid w:val="00B650E3"/>
    <w:rsid w:val="00B650FE"/>
    <w:rsid w:val="00B660EE"/>
    <w:rsid w:val="00B67995"/>
    <w:rsid w:val="00B70216"/>
    <w:rsid w:val="00B702A6"/>
    <w:rsid w:val="00B70D19"/>
    <w:rsid w:val="00B7131C"/>
    <w:rsid w:val="00B719CF"/>
    <w:rsid w:val="00B726DA"/>
    <w:rsid w:val="00B74161"/>
    <w:rsid w:val="00B75AD6"/>
    <w:rsid w:val="00B75B3B"/>
    <w:rsid w:val="00B75E12"/>
    <w:rsid w:val="00B75F5C"/>
    <w:rsid w:val="00B7666B"/>
    <w:rsid w:val="00B76CB7"/>
    <w:rsid w:val="00B76D85"/>
    <w:rsid w:val="00B816E0"/>
    <w:rsid w:val="00B81B48"/>
    <w:rsid w:val="00B82870"/>
    <w:rsid w:val="00B8295E"/>
    <w:rsid w:val="00B830AC"/>
    <w:rsid w:val="00B86491"/>
    <w:rsid w:val="00B86F9E"/>
    <w:rsid w:val="00B9114A"/>
    <w:rsid w:val="00B91FCF"/>
    <w:rsid w:val="00B9416A"/>
    <w:rsid w:val="00B951A1"/>
    <w:rsid w:val="00B96328"/>
    <w:rsid w:val="00B97923"/>
    <w:rsid w:val="00B97BE4"/>
    <w:rsid w:val="00B97C72"/>
    <w:rsid w:val="00BA5142"/>
    <w:rsid w:val="00BA56DD"/>
    <w:rsid w:val="00BA5E50"/>
    <w:rsid w:val="00BA758F"/>
    <w:rsid w:val="00BA772B"/>
    <w:rsid w:val="00BA7BC8"/>
    <w:rsid w:val="00BB0E5B"/>
    <w:rsid w:val="00BB0FDF"/>
    <w:rsid w:val="00BB2A0F"/>
    <w:rsid w:val="00BB30AA"/>
    <w:rsid w:val="00BB4DD0"/>
    <w:rsid w:val="00BB50B2"/>
    <w:rsid w:val="00BB65BA"/>
    <w:rsid w:val="00BC1212"/>
    <w:rsid w:val="00BC34DF"/>
    <w:rsid w:val="00BC4041"/>
    <w:rsid w:val="00BC565D"/>
    <w:rsid w:val="00BC6902"/>
    <w:rsid w:val="00BC6963"/>
    <w:rsid w:val="00BC7920"/>
    <w:rsid w:val="00BD0940"/>
    <w:rsid w:val="00BD0B2C"/>
    <w:rsid w:val="00BD0E0A"/>
    <w:rsid w:val="00BD2A56"/>
    <w:rsid w:val="00BD2E0D"/>
    <w:rsid w:val="00BD2EB6"/>
    <w:rsid w:val="00BD392F"/>
    <w:rsid w:val="00BD651C"/>
    <w:rsid w:val="00BD7108"/>
    <w:rsid w:val="00BD75C4"/>
    <w:rsid w:val="00BD7795"/>
    <w:rsid w:val="00BE111C"/>
    <w:rsid w:val="00BE2E77"/>
    <w:rsid w:val="00BE4928"/>
    <w:rsid w:val="00BE52B1"/>
    <w:rsid w:val="00BE56AC"/>
    <w:rsid w:val="00BE710B"/>
    <w:rsid w:val="00BE7750"/>
    <w:rsid w:val="00BE7A17"/>
    <w:rsid w:val="00BE7AEA"/>
    <w:rsid w:val="00BF0154"/>
    <w:rsid w:val="00BF170F"/>
    <w:rsid w:val="00BF1A20"/>
    <w:rsid w:val="00BF1C9E"/>
    <w:rsid w:val="00BF22D0"/>
    <w:rsid w:val="00BF43E1"/>
    <w:rsid w:val="00BF522C"/>
    <w:rsid w:val="00BF5891"/>
    <w:rsid w:val="00C006E6"/>
    <w:rsid w:val="00C0161E"/>
    <w:rsid w:val="00C01716"/>
    <w:rsid w:val="00C06F81"/>
    <w:rsid w:val="00C0757E"/>
    <w:rsid w:val="00C07711"/>
    <w:rsid w:val="00C100F2"/>
    <w:rsid w:val="00C11CD2"/>
    <w:rsid w:val="00C12049"/>
    <w:rsid w:val="00C149E8"/>
    <w:rsid w:val="00C14F3B"/>
    <w:rsid w:val="00C159D4"/>
    <w:rsid w:val="00C16B98"/>
    <w:rsid w:val="00C17418"/>
    <w:rsid w:val="00C17B4D"/>
    <w:rsid w:val="00C17EFB"/>
    <w:rsid w:val="00C2070B"/>
    <w:rsid w:val="00C219E4"/>
    <w:rsid w:val="00C231DA"/>
    <w:rsid w:val="00C25FC3"/>
    <w:rsid w:val="00C30017"/>
    <w:rsid w:val="00C3069D"/>
    <w:rsid w:val="00C31263"/>
    <w:rsid w:val="00C322DC"/>
    <w:rsid w:val="00C324C0"/>
    <w:rsid w:val="00C331B4"/>
    <w:rsid w:val="00C33DF0"/>
    <w:rsid w:val="00C35F00"/>
    <w:rsid w:val="00C37B61"/>
    <w:rsid w:val="00C40B5B"/>
    <w:rsid w:val="00C4345B"/>
    <w:rsid w:val="00C44A98"/>
    <w:rsid w:val="00C44C18"/>
    <w:rsid w:val="00C46B4F"/>
    <w:rsid w:val="00C46D1C"/>
    <w:rsid w:val="00C50FE2"/>
    <w:rsid w:val="00C51021"/>
    <w:rsid w:val="00C517AF"/>
    <w:rsid w:val="00C52552"/>
    <w:rsid w:val="00C52A6E"/>
    <w:rsid w:val="00C53B4A"/>
    <w:rsid w:val="00C5502E"/>
    <w:rsid w:val="00C5638B"/>
    <w:rsid w:val="00C60642"/>
    <w:rsid w:val="00C608F8"/>
    <w:rsid w:val="00C6121C"/>
    <w:rsid w:val="00C613F2"/>
    <w:rsid w:val="00C61919"/>
    <w:rsid w:val="00C626E8"/>
    <w:rsid w:val="00C636AB"/>
    <w:rsid w:val="00C63ADF"/>
    <w:rsid w:val="00C64671"/>
    <w:rsid w:val="00C651D5"/>
    <w:rsid w:val="00C657FB"/>
    <w:rsid w:val="00C66BD4"/>
    <w:rsid w:val="00C701DE"/>
    <w:rsid w:val="00C70991"/>
    <w:rsid w:val="00C71966"/>
    <w:rsid w:val="00C71C00"/>
    <w:rsid w:val="00C72A6B"/>
    <w:rsid w:val="00C73D69"/>
    <w:rsid w:val="00C7462C"/>
    <w:rsid w:val="00C75586"/>
    <w:rsid w:val="00C75B7E"/>
    <w:rsid w:val="00C75F83"/>
    <w:rsid w:val="00C76396"/>
    <w:rsid w:val="00C768E7"/>
    <w:rsid w:val="00C76E86"/>
    <w:rsid w:val="00C775F1"/>
    <w:rsid w:val="00C779B2"/>
    <w:rsid w:val="00C81961"/>
    <w:rsid w:val="00C81D43"/>
    <w:rsid w:val="00C82364"/>
    <w:rsid w:val="00C82AAB"/>
    <w:rsid w:val="00C8332C"/>
    <w:rsid w:val="00C834BB"/>
    <w:rsid w:val="00C83946"/>
    <w:rsid w:val="00C839CF"/>
    <w:rsid w:val="00C84B16"/>
    <w:rsid w:val="00C85331"/>
    <w:rsid w:val="00C858EC"/>
    <w:rsid w:val="00C86F70"/>
    <w:rsid w:val="00C86F9D"/>
    <w:rsid w:val="00C90E96"/>
    <w:rsid w:val="00C91328"/>
    <w:rsid w:val="00C91666"/>
    <w:rsid w:val="00C91A1E"/>
    <w:rsid w:val="00C97816"/>
    <w:rsid w:val="00C97E31"/>
    <w:rsid w:val="00CA06E6"/>
    <w:rsid w:val="00CA2DD6"/>
    <w:rsid w:val="00CA3114"/>
    <w:rsid w:val="00CA3A4A"/>
    <w:rsid w:val="00CA3A74"/>
    <w:rsid w:val="00CA4F44"/>
    <w:rsid w:val="00CA5031"/>
    <w:rsid w:val="00CB1E93"/>
    <w:rsid w:val="00CB2216"/>
    <w:rsid w:val="00CB4C70"/>
    <w:rsid w:val="00CB6400"/>
    <w:rsid w:val="00CB70EB"/>
    <w:rsid w:val="00CB714F"/>
    <w:rsid w:val="00CB7609"/>
    <w:rsid w:val="00CB7C65"/>
    <w:rsid w:val="00CC006B"/>
    <w:rsid w:val="00CC18A3"/>
    <w:rsid w:val="00CC1FB0"/>
    <w:rsid w:val="00CC225C"/>
    <w:rsid w:val="00CC2B69"/>
    <w:rsid w:val="00CC32DA"/>
    <w:rsid w:val="00CC58F2"/>
    <w:rsid w:val="00CC5A87"/>
    <w:rsid w:val="00CC5EA2"/>
    <w:rsid w:val="00CC5FCC"/>
    <w:rsid w:val="00CC7253"/>
    <w:rsid w:val="00CD0DEC"/>
    <w:rsid w:val="00CD1CB3"/>
    <w:rsid w:val="00CD1DE4"/>
    <w:rsid w:val="00CD2EFD"/>
    <w:rsid w:val="00CD33C7"/>
    <w:rsid w:val="00CD4270"/>
    <w:rsid w:val="00CD4CD8"/>
    <w:rsid w:val="00CD5210"/>
    <w:rsid w:val="00CD6908"/>
    <w:rsid w:val="00CD74BA"/>
    <w:rsid w:val="00CD7D2F"/>
    <w:rsid w:val="00CE3E52"/>
    <w:rsid w:val="00CE48D0"/>
    <w:rsid w:val="00CE4D35"/>
    <w:rsid w:val="00CE742B"/>
    <w:rsid w:val="00CF07F2"/>
    <w:rsid w:val="00CF0B8A"/>
    <w:rsid w:val="00CF0D4C"/>
    <w:rsid w:val="00CF1DA1"/>
    <w:rsid w:val="00CF2C08"/>
    <w:rsid w:val="00CF2CBA"/>
    <w:rsid w:val="00CF4C5F"/>
    <w:rsid w:val="00CF4EB2"/>
    <w:rsid w:val="00CF4F20"/>
    <w:rsid w:val="00CF52A3"/>
    <w:rsid w:val="00CF5FB7"/>
    <w:rsid w:val="00D006C6"/>
    <w:rsid w:val="00D00A7B"/>
    <w:rsid w:val="00D00DF9"/>
    <w:rsid w:val="00D0203A"/>
    <w:rsid w:val="00D02DF2"/>
    <w:rsid w:val="00D03785"/>
    <w:rsid w:val="00D03EF5"/>
    <w:rsid w:val="00D04347"/>
    <w:rsid w:val="00D0442D"/>
    <w:rsid w:val="00D057C9"/>
    <w:rsid w:val="00D06247"/>
    <w:rsid w:val="00D06622"/>
    <w:rsid w:val="00D0665B"/>
    <w:rsid w:val="00D0766C"/>
    <w:rsid w:val="00D077A1"/>
    <w:rsid w:val="00D10212"/>
    <w:rsid w:val="00D10773"/>
    <w:rsid w:val="00D10E76"/>
    <w:rsid w:val="00D11C59"/>
    <w:rsid w:val="00D11F1B"/>
    <w:rsid w:val="00D12C2E"/>
    <w:rsid w:val="00D12FCC"/>
    <w:rsid w:val="00D141E4"/>
    <w:rsid w:val="00D14AE6"/>
    <w:rsid w:val="00D156DC"/>
    <w:rsid w:val="00D161E1"/>
    <w:rsid w:val="00D174AE"/>
    <w:rsid w:val="00D2119B"/>
    <w:rsid w:val="00D221DC"/>
    <w:rsid w:val="00D22CD3"/>
    <w:rsid w:val="00D23D98"/>
    <w:rsid w:val="00D24B0F"/>
    <w:rsid w:val="00D24EEA"/>
    <w:rsid w:val="00D25CD8"/>
    <w:rsid w:val="00D25D1F"/>
    <w:rsid w:val="00D266F6"/>
    <w:rsid w:val="00D26856"/>
    <w:rsid w:val="00D26C30"/>
    <w:rsid w:val="00D30B48"/>
    <w:rsid w:val="00D30C40"/>
    <w:rsid w:val="00D30EA3"/>
    <w:rsid w:val="00D323E0"/>
    <w:rsid w:val="00D335CE"/>
    <w:rsid w:val="00D33824"/>
    <w:rsid w:val="00D338F6"/>
    <w:rsid w:val="00D35BF4"/>
    <w:rsid w:val="00D35FAD"/>
    <w:rsid w:val="00D42001"/>
    <w:rsid w:val="00D422CD"/>
    <w:rsid w:val="00D43B25"/>
    <w:rsid w:val="00D4440C"/>
    <w:rsid w:val="00D44AE5"/>
    <w:rsid w:val="00D45969"/>
    <w:rsid w:val="00D46A70"/>
    <w:rsid w:val="00D47221"/>
    <w:rsid w:val="00D508CB"/>
    <w:rsid w:val="00D51C49"/>
    <w:rsid w:val="00D5248B"/>
    <w:rsid w:val="00D5358F"/>
    <w:rsid w:val="00D5430A"/>
    <w:rsid w:val="00D54B5C"/>
    <w:rsid w:val="00D55C5F"/>
    <w:rsid w:val="00D56ADF"/>
    <w:rsid w:val="00D56B37"/>
    <w:rsid w:val="00D56D12"/>
    <w:rsid w:val="00D57ECE"/>
    <w:rsid w:val="00D60DAE"/>
    <w:rsid w:val="00D64278"/>
    <w:rsid w:val="00D65091"/>
    <w:rsid w:val="00D6613B"/>
    <w:rsid w:val="00D668F3"/>
    <w:rsid w:val="00D66CD1"/>
    <w:rsid w:val="00D67089"/>
    <w:rsid w:val="00D70912"/>
    <w:rsid w:val="00D71B7C"/>
    <w:rsid w:val="00D71DC7"/>
    <w:rsid w:val="00D71EDE"/>
    <w:rsid w:val="00D73C91"/>
    <w:rsid w:val="00D73F45"/>
    <w:rsid w:val="00D750A7"/>
    <w:rsid w:val="00D756B0"/>
    <w:rsid w:val="00D76427"/>
    <w:rsid w:val="00D76A3E"/>
    <w:rsid w:val="00D77123"/>
    <w:rsid w:val="00D80CFB"/>
    <w:rsid w:val="00D810FC"/>
    <w:rsid w:val="00D82864"/>
    <w:rsid w:val="00D832C0"/>
    <w:rsid w:val="00D83867"/>
    <w:rsid w:val="00D84582"/>
    <w:rsid w:val="00D84D97"/>
    <w:rsid w:val="00D84E99"/>
    <w:rsid w:val="00D87023"/>
    <w:rsid w:val="00D900E6"/>
    <w:rsid w:val="00D914B2"/>
    <w:rsid w:val="00D91FD9"/>
    <w:rsid w:val="00D92A9E"/>
    <w:rsid w:val="00D94595"/>
    <w:rsid w:val="00D94C88"/>
    <w:rsid w:val="00D95119"/>
    <w:rsid w:val="00D95445"/>
    <w:rsid w:val="00D95447"/>
    <w:rsid w:val="00D955B3"/>
    <w:rsid w:val="00DA0316"/>
    <w:rsid w:val="00DA0691"/>
    <w:rsid w:val="00DA1562"/>
    <w:rsid w:val="00DA2792"/>
    <w:rsid w:val="00DA33F7"/>
    <w:rsid w:val="00DA76A8"/>
    <w:rsid w:val="00DB10A6"/>
    <w:rsid w:val="00DB1300"/>
    <w:rsid w:val="00DB155B"/>
    <w:rsid w:val="00DB2DFB"/>
    <w:rsid w:val="00DB3435"/>
    <w:rsid w:val="00DB4594"/>
    <w:rsid w:val="00DB4CA7"/>
    <w:rsid w:val="00DB4DD4"/>
    <w:rsid w:val="00DB59AB"/>
    <w:rsid w:val="00DB67EF"/>
    <w:rsid w:val="00DB6FE3"/>
    <w:rsid w:val="00DB7712"/>
    <w:rsid w:val="00DC0D21"/>
    <w:rsid w:val="00DC11EF"/>
    <w:rsid w:val="00DC17E4"/>
    <w:rsid w:val="00DC1D36"/>
    <w:rsid w:val="00DC2FF4"/>
    <w:rsid w:val="00DC37D9"/>
    <w:rsid w:val="00DC40B0"/>
    <w:rsid w:val="00DC4409"/>
    <w:rsid w:val="00DC4660"/>
    <w:rsid w:val="00DC521C"/>
    <w:rsid w:val="00DC698A"/>
    <w:rsid w:val="00DC74A4"/>
    <w:rsid w:val="00DC7B51"/>
    <w:rsid w:val="00DC7F52"/>
    <w:rsid w:val="00DD0B19"/>
    <w:rsid w:val="00DD0F03"/>
    <w:rsid w:val="00DD2720"/>
    <w:rsid w:val="00DD2E58"/>
    <w:rsid w:val="00DD37F8"/>
    <w:rsid w:val="00DD4B22"/>
    <w:rsid w:val="00DD6C1F"/>
    <w:rsid w:val="00DD7C0D"/>
    <w:rsid w:val="00DE1E7E"/>
    <w:rsid w:val="00DE3325"/>
    <w:rsid w:val="00DE3BE9"/>
    <w:rsid w:val="00DE42E3"/>
    <w:rsid w:val="00DE4DDC"/>
    <w:rsid w:val="00DE50BB"/>
    <w:rsid w:val="00DE59D6"/>
    <w:rsid w:val="00DE5EB6"/>
    <w:rsid w:val="00DE7C61"/>
    <w:rsid w:val="00DF08EC"/>
    <w:rsid w:val="00DF13EE"/>
    <w:rsid w:val="00DF1699"/>
    <w:rsid w:val="00DF2A52"/>
    <w:rsid w:val="00DF4B7F"/>
    <w:rsid w:val="00DF4D5C"/>
    <w:rsid w:val="00DF630E"/>
    <w:rsid w:val="00DF6672"/>
    <w:rsid w:val="00DF6A0A"/>
    <w:rsid w:val="00DF6B77"/>
    <w:rsid w:val="00DF6BE2"/>
    <w:rsid w:val="00DF71B3"/>
    <w:rsid w:val="00E00B04"/>
    <w:rsid w:val="00E012E5"/>
    <w:rsid w:val="00E0182D"/>
    <w:rsid w:val="00E01957"/>
    <w:rsid w:val="00E03393"/>
    <w:rsid w:val="00E04016"/>
    <w:rsid w:val="00E04270"/>
    <w:rsid w:val="00E04D99"/>
    <w:rsid w:val="00E052AC"/>
    <w:rsid w:val="00E0677F"/>
    <w:rsid w:val="00E06AC1"/>
    <w:rsid w:val="00E071BF"/>
    <w:rsid w:val="00E07ED6"/>
    <w:rsid w:val="00E100EE"/>
    <w:rsid w:val="00E1013D"/>
    <w:rsid w:val="00E1162E"/>
    <w:rsid w:val="00E11685"/>
    <w:rsid w:val="00E11D61"/>
    <w:rsid w:val="00E13C97"/>
    <w:rsid w:val="00E16155"/>
    <w:rsid w:val="00E16E8F"/>
    <w:rsid w:val="00E17564"/>
    <w:rsid w:val="00E17963"/>
    <w:rsid w:val="00E20533"/>
    <w:rsid w:val="00E20590"/>
    <w:rsid w:val="00E20D75"/>
    <w:rsid w:val="00E21DFF"/>
    <w:rsid w:val="00E221F7"/>
    <w:rsid w:val="00E223C9"/>
    <w:rsid w:val="00E233D9"/>
    <w:rsid w:val="00E2415E"/>
    <w:rsid w:val="00E24720"/>
    <w:rsid w:val="00E2524F"/>
    <w:rsid w:val="00E27135"/>
    <w:rsid w:val="00E278C0"/>
    <w:rsid w:val="00E27DB0"/>
    <w:rsid w:val="00E301BA"/>
    <w:rsid w:val="00E30A6D"/>
    <w:rsid w:val="00E31BEC"/>
    <w:rsid w:val="00E325DF"/>
    <w:rsid w:val="00E32A7B"/>
    <w:rsid w:val="00E335C8"/>
    <w:rsid w:val="00E33A04"/>
    <w:rsid w:val="00E34563"/>
    <w:rsid w:val="00E4138E"/>
    <w:rsid w:val="00E41DC1"/>
    <w:rsid w:val="00E4403E"/>
    <w:rsid w:val="00E45074"/>
    <w:rsid w:val="00E4509D"/>
    <w:rsid w:val="00E466C8"/>
    <w:rsid w:val="00E47AD9"/>
    <w:rsid w:val="00E50BAD"/>
    <w:rsid w:val="00E52083"/>
    <w:rsid w:val="00E524F9"/>
    <w:rsid w:val="00E532BA"/>
    <w:rsid w:val="00E54067"/>
    <w:rsid w:val="00E54341"/>
    <w:rsid w:val="00E5568A"/>
    <w:rsid w:val="00E560F4"/>
    <w:rsid w:val="00E57173"/>
    <w:rsid w:val="00E57C15"/>
    <w:rsid w:val="00E60F77"/>
    <w:rsid w:val="00E61BF6"/>
    <w:rsid w:val="00E620F9"/>
    <w:rsid w:val="00E62A1D"/>
    <w:rsid w:val="00E62FD2"/>
    <w:rsid w:val="00E63231"/>
    <w:rsid w:val="00E64765"/>
    <w:rsid w:val="00E64801"/>
    <w:rsid w:val="00E650F2"/>
    <w:rsid w:val="00E65863"/>
    <w:rsid w:val="00E65B89"/>
    <w:rsid w:val="00E703EF"/>
    <w:rsid w:val="00E71E0D"/>
    <w:rsid w:val="00E7255A"/>
    <w:rsid w:val="00E7276F"/>
    <w:rsid w:val="00E72FAB"/>
    <w:rsid w:val="00E74226"/>
    <w:rsid w:val="00E7544E"/>
    <w:rsid w:val="00E75D4F"/>
    <w:rsid w:val="00E766DB"/>
    <w:rsid w:val="00E77CF1"/>
    <w:rsid w:val="00E80579"/>
    <w:rsid w:val="00E80D1B"/>
    <w:rsid w:val="00E810A0"/>
    <w:rsid w:val="00E813DE"/>
    <w:rsid w:val="00E81759"/>
    <w:rsid w:val="00E8291C"/>
    <w:rsid w:val="00E82A57"/>
    <w:rsid w:val="00E8315F"/>
    <w:rsid w:val="00E83C51"/>
    <w:rsid w:val="00E83E73"/>
    <w:rsid w:val="00E842A4"/>
    <w:rsid w:val="00E842AB"/>
    <w:rsid w:val="00E85268"/>
    <w:rsid w:val="00E85415"/>
    <w:rsid w:val="00E85C09"/>
    <w:rsid w:val="00E85E02"/>
    <w:rsid w:val="00E85FB3"/>
    <w:rsid w:val="00E8616F"/>
    <w:rsid w:val="00E86176"/>
    <w:rsid w:val="00E8666B"/>
    <w:rsid w:val="00E900B2"/>
    <w:rsid w:val="00E908AD"/>
    <w:rsid w:val="00E91398"/>
    <w:rsid w:val="00E934A7"/>
    <w:rsid w:val="00E9447B"/>
    <w:rsid w:val="00E94AA6"/>
    <w:rsid w:val="00E95B19"/>
    <w:rsid w:val="00E9698C"/>
    <w:rsid w:val="00EA0F33"/>
    <w:rsid w:val="00EA2BDC"/>
    <w:rsid w:val="00EA2D19"/>
    <w:rsid w:val="00EA316B"/>
    <w:rsid w:val="00EA6A6E"/>
    <w:rsid w:val="00EA7BF9"/>
    <w:rsid w:val="00EB11D4"/>
    <w:rsid w:val="00EB17CB"/>
    <w:rsid w:val="00EB2C5D"/>
    <w:rsid w:val="00EB2C79"/>
    <w:rsid w:val="00EB3DD2"/>
    <w:rsid w:val="00EB4D3F"/>
    <w:rsid w:val="00EB679C"/>
    <w:rsid w:val="00EB7DF2"/>
    <w:rsid w:val="00EB7F8E"/>
    <w:rsid w:val="00EB7FDB"/>
    <w:rsid w:val="00EC01E4"/>
    <w:rsid w:val="00EC029B"/>
    <w:rsid w:val="00EC0548"/>
    <w:rsid w:val="00EC09D4"/>
    <w:rsid w:val="00EC1E12"/>
    <w:rsid w:val="00EC26AD"/>
    <w:rsid w:val="00EC3FF5"/>
    <w:rsid w:val="00EC51E1"/>
    <w:rsid w:val="00EC51EE"/>
    <w:rsid w:val="00EC5A27"/>
    <w:rsid w:val="00EC6491"/>
    <w:rsid w:val="00EC70F1"/>
    <w:rsid w:val="00ED1A65"/>
    <w:rsid w:val="00ED2E0A"/>
    <w:rsid w:val="00ED5D34"/>
    <w:rsid w:val="00ED7121"/>
    <w:rsid w:val="00ED7ABB"/>
    <w:rsid w:val="00ED7E0C"/>
    <w:rsid w:val="00EE0272"/>
    <w:rsid w:val="00EE1E2D"/>
    <w:rsid w:val="00EE2024"/>
    <w:rsid w:val="00EE265C"/>
    <w:rsid w:val="00EE3897"/>
    <w:rsid w:val="00EE5076"/>
    <w:rsid w:val="00EE51C2"/>
    <w:rsid w:val="00EE592D"/>
    <w:rsid w:val="00EE60FD"/>
    <w:rsid w:val="00EE64A9"/>
    <w:rsid w:val="00EE67FE"/>
    <w:rsid w:val="00EE6861"/>
    <w:rsid w:val="00EE6B1B"/>
    <w:rsid w:val="00EE6F8F"/>
    <w:rsid w:val="00EE7953"/>
    <w:rsid w:val="00EE7FBB"/>
    <w:rsid w:val="00EF1873"/>
    <w:rsid w:val="00EF2D82"/>
    <w:rsid w:val="00EF418E"/>
    <w:rsid w:val="00EF41D8"/>
    <w:rsid w:val="00EF4771"/>
    <w:rsid w:val="00EF5285"/>
    <w:rsid w:val="00EF56C6"/>
    <w:rsid w:val="00EF5D9D"/>
    <w:rsid w:val="00EF6758"/>
    <w:rsid w:val="00EF68D0"/>
    <w:rsid w:val="00EF696D"/>
    <w:rsid w:val="00EF760F"/>
    <w:rsid w:val="00F0025D"/>
    <w:rsid w:val="00F00690"/>
    <w:rsid w:val="00F00E2B"/>
    <w:rsid w:val="00F010E5"/>
    <w:rsid w:val="00F01631"/>
    <w:rsid w:val="00F02F50"/>
    <w:rsid w:val="00F03087"/>
    <w:rsid w:val="00F03772"/>
    <w:rsid w:val="00F04BE4"/>
    <w:rsid w:val="00F0626D"/>
    <w:rsid w:val="00F075AD"/>
    <w:rsid w:val="00F07D2A"/>
    <w:rsid w:val="00F07DB8"/>
    <w:rsid w:val="00F111F3"/>
    <w:rsid w:val="00F13195"/>
    <w:rsid w:val="00F14670"/>
    <w:rsid w:val="00F15279"/>
    <w:rsid w:val="00F169FA"/>
    <w:rsid w:val="00F17D50"/>
    <w:rsid w:val="00F20719"/>
    <w:rsid w:val="00F2143F"/>
    <w:rsid w:val="00F21AC6"/>
    <w:rsid w:val="00F2273E"/>
    <w:rsid w:val="00F22BCF"/>
    <w:rsid w:val="00F2377E"/>
    <w:rsid w:val="00F23E23"/>
    <w:rsid w:val="00F242A2"/>
    <w:rsid w:val="00F24B7D"/>
    <w:rsid w:val="00F27C1E"/>
    <w:rsid w:val="00F30237"/>
    <w:rsid w:val="00F31547"/>
    <w:rsid w:val="00F31A97"/>
    <w:rsid w:val="00F328D3"/>
    <w:rsid w:val="00F334AD"/>
    <w:rsid w:val="00F33D16"/>
    <w:rsid w:val="00F33D35"/>
    <w:rsid w:val="00F34B0F"/>
    <w:rsid w:val="00F3556B"/>
    <w:rsid w:val="00F36A6A"/>
    <w:rsid w:val="00F370CB"/>
    <w:rsid w:val="00F370E2"/>
    <w:rsid w:val="00F371BC"/>
    <w:rsid w:val="00F37220"/>
    <w:rsid w:val="00F3743E"/>
    <w:rsid w:val="00F37748"/>
    <w:rsid w:val="00F37904"/>
    <w:rsid w:val="00F40F2D"/>
    <w:rsid w:val="00F41AAE"/>
    <w:rsid w:val="00F42F58"/>
    <w:rsid w:val="00F448A7"/>
    <w:rsid w:val="00F44E64"/>
    <w:rsid w:val="00F45647"/>
    <w:rsid w:val="00F45699"/>
    <w:rsid w:val="00F46389"/>
    <w:rsid w:val="00F47982"/>
    <w:rsid w:val="00F47DD9"/>
    <w:rsid w:val="00F500C7"/>
    <w:rsid w:val="00F501C1"/>
    <w:rsid w:val="00F516AA"/>
    <w:rsid w:val="00F51F69"/>
    <w:rsid w:val="00F5253F"/>
    <w:rsid w:val="00F5289C"/>
    <w:rsid w:val="00F548AF"/>
    <w:rsid w:val="00F54CB2"/>
    <w:rsid w:val="00F55C8E"/>
    <w:rsid w:val="00F5672D"/>
    <w:rsid w:val="00F57BD3"/>
    <w:rsid w:val="00F60E13"/>
    <w:rsid w:val="00F615D6"/>
    <w:rsid w:val="00F62622"/>
    <w:rsid w:val="00F62DAB"/>
    <w:rsid w:val="00F62FFA"/>
    <w:rsid w:val="00F642E4"/>
    <w:rsid w:val="00F64FDD"/>
    <w:rsid w:val="00F660F2"/>
    <w:rsid w:val="00F6628F"/>
    <w:rsid w:val="00F6713B"/>
    <w:rsid w:val="00F71B4A"/>
    <w:rsid w:val="00F72CC7"/>
    <w:rsid w:val="00F73378"/>
    <w:rsid w:val="00F76110"/>
    <w:rsid w:val="00F76963"/>
    <w:rsid w:val="00F80750"/>
    <w:rsid w:val="00F808F1"/>
    <w:rsid w:val="00F80AB4"/>
    <w:rsid w:val="00F810B3"/>
    <w:rsid w:val="00F81547"/>
    <w:rsid w:val="00F8389D"/>
    <w:rsid w:val="00F840DA"/>
    <w:rsid w:val="00F852BD"/>
    <w:rsid w:val="00F85304"/>
    <w:rsid w:val="00F86A40"/>
    <w:rsid w:val="00F87231"/>
    <w:rsid w:val="00F87AF6"/>
    <w:rsid w:val="00F90400"/>
    <w:rsid w:val="00F912D0"/>
    <w:rsid w:val="00F921EE"/>
    <w:rsid w:val="00F95E08"/>
    <w:rsid w:val="00F96154"/>
    <w:rsid w:val="00F97018"/>
    <w:rsid w:val="00FA0364"/>
    <w:rsid w:val="00FA0679"/>
    <w:rsid w:val="00FA1DFA"/>
    <w:rsid w:val="00FA3180"/>
    <w:rsid w:val="00FA4247"/>
    <w:rsid w:val="00FA589C"/>
    <w:rsid w:val="00FA6E2D"/>
    <w:rsid w:val="00FB112E"/>
    <w:rsid w:val="00FB14BA"/>
    <w:rsid w:val="00FB1838"/>
    <w:rsid w:val="00FB2419"/>
    <w:rsid w:val="00FB27BF"/>
    <w:rsid w:val="00FB2C05"/>
    <w:rsid w:val="00FB3997"/>
    <w:rsid w:val="00FB39D9"/>
    <w:rsid w:val="00FB3CE8"/>
    <w:rsid w:val="00FB4A46"/>
    <w:rsid w:val="00FB55FF"/>
    <w:rsid w:val="00FB5A0F"/>
    <w:rsid w:val="00FB62D5"/>
    <w:rsid w:val="00FB7F7C"/>
    <w:rsid w:val="00FC1AC4"/>
    <w:rsid w:val="00FC26F6"/>
    <w:rsid w:val="00FC2A43"/>
    <w:rsid w:val="00FC3C2C"/>
    <w:rsid w:val="00FC4119"/>
    <w:rsid w:val="00FC4A8F"/>
    <w:rsid w:val="00FC57AF"/>
    <w:rsid w:val="00FC5BA0"/>
    <w:rsid w:val="00FC5D3C"/>
    <w:rsid w:val="00FC5FB1"/>
    <w:rsid w:val="00FC797D"/>
    <w:rsid w:val="00FD2204"/>
    <w:rsid w:val="00FD34AB"/>
    <w:rsid w:val="00FD3531"/>
    <w:rsid w:val="00FD3594"/>
    <w:rsid w:val="00FD362B"/>
    <w:rsid w:val="00FD3B25"/>
    <w:rsid w:val="00FD3DAB"/>
    <w:rsid w:val="00FD40E3"/>
    <w:rsid w:val="00FD4626"/>
    <w:rsid w:val="00FD5050"/>
    <w:rsid w:val="00FD6D68"/>
    <w:rsid w:val="00FD78BB"/>
    <w:rsid w:val="00FE1014"/>
    <w:rsid w:val="00FE196C"/>
    <w:rsid w:val="00FE1CB8"/>
    <w:rsid w:val="00FE3665"/>
    <w:rsid w:val="00FE37CA"/>
    <w:rsid w:val="00FE4096"/>
    <w:rsid w:val="00FE4808"/>
    <w:rsid w:val="00FE5D00"/>
    <w:rsid w:val="00FE60F5"/>
    <w:rsid w:val="00FE6F51"/>
    <w:rsid w:val="00FE78A9"/>
    <w:rsid w:val="00FF0C15"/>
    <w:rsid w:val="00FF13D8"/>
    <w:rsid w:val="00FF1422"/>
    <w:rsid w:val="00FF329E"/>
    <w:rsid w:val="00FF50CB"/>
    <w:rsid w:val="00FF513F"/>
    <w:rsid w:val="00FF573B"/>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4420959"/>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5C0"/>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uiPriority w:val="39"/>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link w:val="ListParagraphChar"/>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Mention1">
    <w:name w:val="Mention1"/>
    <w:basedOn w:val="DefaultParagraphFont"/>
    <w:uiPriority w:val="99"/>
    <w:semiHidden/>
    <w:unhideWhenUsed/>
    <w:rsid w:val="00D10212"/>
    <w:rPr>
      <w:color w:val="2B579A"/>
      <w:shd w:val="clear" w:color="auto" w:fill="E6E6E6"/>
    </w:rPr>
  </w:style>
  <w:style w:type="character" w:customStyle="1" w:styleId="ListParagraphChar">
    <w:name w:val="List Paragraph Char"/>
    <w:link w:val="ListParagraph"/>
    <w:uiPriority w:val="34"/>
    <w:locked/>
    <w:rsid w:val="005E4C7B"/>
    <w:rPr>
      <w:rFonts w:ascii="Calibri" w:eastAsia="Calibri" w:hAnsi="Calibri"/>
      <w:sz w:val="22"/>
      <w:szCs w:val="22"/>
      <w:lang w:eastAsia="en-US"/>
    </w:rPr>
  </w:style>
  <w:style w:type="character" w:customStyle="1" w:styleId="st">
    <w:name w:val="st"/>
    <w:basedOn w:val="DefaultParagraphFont"/>
    <w:rsid w:val="00FA6E2D"/>
  </w:style>
  <w:style w:type="character" w:styleId="UnresolvedMention">
    <w:name w:val="Unresolved Mention"/>
    <w:basedOn w:val="DefaultParagraphFont"/>
    <w:uiPriority w:val="99"/>
    <w:semiHidden/>
    <w:unhideWhenUsed/>
    <w:rsid w:val="00C075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2212288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417140050">
      <w:bodyDiv w:val="1"/>
      <w:marLeft w:val="0"/>
      <w:marRight w:val="0"/>
      <w:marTop w:val="0"/>
      <w:marBottom w:val="0"/>
      <w:divBdr>
        <w:top w:val="none" w:sz="0" w:space="0" w:color="auto"/>
        <w:left w:val="none" w:sz="0" w:space="0" w:color="auto"/>
        <w:bottom w:val="none" w:sz="0" w:space="0" w:color="auto"/>
        <w:right w:val="none" w:sz="0" w:space="0" w:color="auto"/>
      </w:divBdr>
    </w:div>
    <w:div w:id="565262151">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806">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622763158">
      <w:bodyDiv w:val="1"/>
      <w:marLeft w:val="0"/>
      <w:marRight w:val="0"/>
      <w:marTop w:val="0"/>
      <w:marBottom w:val="0"/>
      <w:divBdr>
        <w:top w:val="none" w:sz="0" w:space="0" w:color="auto"/>
        <w:left w:val="none" w:sz="0" w:space="0" w:color="auto"/>
        <w:bottom w:val="none" w:sz="0" w:space="0" w:color="auto"/>
        <w:right w:val="none" w:sz="0" w:space="0" w:color="auto"/>
      </w:divBdr>
    </w:div>
    <w:div w:id="1717393356">
      <w:bodyDiv w:val="1"/>
      <w:marLeft w:val="0"/>
      <w:marRight w:val="0"/>
      <w:marTop w:val="0"/>
      <w:marBottom w:val="0"/>
      <w:divBdr>
        <w:top w:val="none" w:sz="0" w:space="0" w:color="auto"/>
        <w:left w:val="none" w:sz="0" w:space="0" w:color="auto"/>
        <w:bottom w:val="none" w:sz="0" w:space="0" w:color="auto"/>
        <w:right w:val="none" w:sz="0" w:space="0" w:color="auto"/>
      </w:divBdr>
    </w:div>
    <w:div w:id="2046250895">
      <w:bodyDiv w:val="1"/>
      <w:marLeft w:val="0"/>
      <w:marRight w:val="0"/>
      <w:marTop w:val="0"/>
      <w:marBottom w:val="0"/>
      <w:divBdr>
        <w:top w:val="none" w:sz="0" w:space="0" w:color="auto"/>
        <w:left w:val="none" w:sz="0" w:space="0" w:color="auto"/>
        <w:bottom w:val="none" w:sz="0" w:space="0" w:color="auto"/>
        <w:right w:val="none" w:sz="0" w:space="0" w:color="auto"/>
      </w:divBdr>
    </w:div>
    <w:div w:id="212226435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Emule-Konone@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6-par-valsts-socialo-apdrosinasan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64266-noteikumi-par-profesionalas-izglitibas-programmu-istenosanas-izmaksu-minimumu-uz-vienu-izglitojamo" TargetMode="External"/><Relationship Id="rId4" Type="http://schemas.openxmlformats.org/officeDocument/2006/relationships/settings" Target="settings.xml"/><Relationship Id="rId9" Type="http://schemas.openxmlformats.org/officeDocument/2006/relationships/hyperlink" Target="https://likumi.lv/ta/id/164266-noteikumi-par-profesionalas-izglitibas-programmu-istenosanas-izmaksu-minimumu-uz-vienu-izglitojam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A09C-A96E-458E-87AE-F31CB99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40929</Words>
  <Characters>23331</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64132</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74</cp:revision>
  <cp:lastPrinted>2017-12-14T07:52:00Z</cp:lastPrinted>
  <dcterms:created xsi:type="dcterms:W3CDTF">2017-12-14T09:27:00Z</dcterms:created>
  <dcterms:modified xsi:type="dcterms:W3CDTF">2018-02-13T12:15:00Z</dcterms:modified>
</cp:coreProperties>
</file>