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329E0" w14:textId="491E8E87" w:rsidR="00825345" w:rsidRDefault="001F60D3" w:rsidP="00915389">
      <w:pPr>
        <w:pStyle w:val="BodyText"/>
        <w:spacing w:after="0"/>
        <w:jc w:val="center"/>
        <w:rPr>
          <w:b/>
          <w:bCs/>
          <w:szCs w:val="24"/>
          <w:lang w:val="lv-LV"/>
        </w:rPr>
      </w:pPr>
      <w:r w:rsidRPr="00915389">
        <w:rPr>
          <w:b/>
          <w:szCs w:val="24"/>
        </w:rPr>
        <w:t>Ministru kabineta rīkojumu projektu “</w:t>
      </w:r>
      <w:r w:rsidR="00B070FA">
        <w:rPr>
          <w:b/>
          <w:bCs/>
          <w:szCs w:val="24"/>
          <w:lang w:val="lv-LV"/>
        </w:rPr>
        <w:t>Grozījumi</w:t>
      </w:r>
      <w:r w:rsidRPr="00915389">
        <w:rPr>
          <w:b/>
          <w:bCs/>
          <w:szCs w:val="24"/>
          <w:lang w:val="lv-LV"/>
        </w:rPr>
        <w:t xml:space="preserve"> Ministru kabineta 2011.gada 18.februāra rīkojumā Nr.65 „Par Ģimenes valsts politikas pamat</w:t>
      </w:r>
      <w:r w:rsidR="00006965">
        <w:rPr>
          <w:b/>
          <w:bCs/>
          <w:szCs w:val="24"/>
          <w:lang w:val="lv-LV"/>
        </w:rPr>
        <w:t xml:space="preserve">nostādnēm 2011. - 2017. gadam”” un </w:t>
      </w:r>
      <w:r w:rsidRPr="00915389">
        <w:rPr>
          <w:b/>
          <w:bCs/>
          <w:szCs w:val="24"/>
          <w:lang w:val="lv-LV"/>
        </w:rPr>
        <w:t xml:space="preserve"> “Grozījums Ministru kabineta 2016.gada 3.februāra rīkojumā Nr.115 „Par Rīcības plānu Ģimenes valsts politikas pamatnostādņu 2011. - 2017. gadam īstenošanai 2016. – 2017.gadā”” </w:t>
      </w:r>
      <w:r w:rsidR="00825345" w:rsidRPr="009570C1">
        <w:rPr>
          <w:b/>
          <w:bCs/>
          <w:szCs w:val="24"/>
          <w:lang w:val="lv-LV"/>
        </w:rPr>
        <w:t>sākotnējās ietekmes novērtējuma ziņojums (anotācija)</w:t>
      </w:r>
    </w:p>
    <w:p w14:paraId="3B3148D9" w14:textId="77777777" w:rsidR="00F23D57" w:rsidRPr="00915389" w:rsidRDefault="00F23D57" w:rsidP="00915389">
      <w:pPr>
        <w:pStyle w:val="BodyText"/>
        <w:spacing w:after="0"/>
        <w:jc w:val="center"/>
        <w:rPr>
          <w:b/>
          <w:bCs/>
          <w:szCs w:val="24"/>
          <w:lang w:val="lv-LV"/>
        </w:rPr>
      </w:pPr>
    </w:p>
    <w:tbl>
      <w:tblPr>
        <w:tblW w:w="5045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372"/>
        <w:gridCol w:w="5841"/>
      </w:tblGrid>
      <w:tr w:rsidR="00F23D57" w:rsidRPr="0021722E" w14:paraId="08AA14D8" w14:textId="77777777" w:rsidTr="00F23D57">
        <w:trPr>
          <w:trHeight w:val="405"/>
        </w:trPr>
        <w:tc>
          <w:tcPr>
            <w:tcW w:w="5000" w:type="pct"/>
            <w:gridSpan w:val="2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14:paraId="78705642" w14:textId="77777777" w:rsidR="00F23D57" w:rsidRPr="0021722E" w:rsidRDefault="00F23D57" w:rsidP="00E1379F">
            <w:pPr>
              <w:pStyle w:val="NoSpacing"/>
              <w:jc w:val="center"/>
              <w:rPr>
                <w:b/>
              </w:rPr>
            </w:pPr>
            <w:r w:rsidRPr="00FC442C">
              <w:rPr>
                <w:b/>
                <w:bCs/>
                <w:iCs/>
                <w:lang w:val="sv-SE"/>
              </w:rPr>
              <w:t>Tiesību akta projekta anotācijas kopsavilkums</w:t>
            </w:r>
          </w:p>
        </w:tc>
      </w:tr>
      <w:tr w:rsidR="00F23D57" w:rsidRPr="0021722E" w14:paraId="63547C4C" w14:textId="77777777" w:rsidTr="00F23D57">
        <w:trPr>
          <w:trHeight w:val="405"/>
        </w:trPr>
        <w:tc>
          <w:tcPr>
            <w:tcW w:w="18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FEE6779" w14:textId="77777777" w:rsidR="00F23D57" w:rsidRPr="0021722E" w:rsidRDefault="00F23D57" w:rsidP="00E1379F">
            <w:pPr>
              <w:pStyle w:val="NoSpacing"/>
            </w:pPr>
            <w:r w:rsidRPr="00FC442C">
              <w:rPr>
                <w:iCs/>
              </w:rPr>
              <w:t>Mērķis, risinājums un projekta spēkā stāšanās laiks (500 zīmes bez atstarpēm)</w:t>
            </w:r>
          </w:p>
        </w:tc>
        <w:tc>
          <w:tcPr>
            <w:tcW w:w="3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78049852" w14:textId="77777777" w:rsidR="00F23D57" w:rsidRPr="0021722E" w:rsidRDefault="00F23D57" w:rsidP="00E1379F">
            <w:pPr>
              <w:pStyle w:val="Bezatstarpm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Nav attiecināms</w:t>
            </w:r>
          </w:p>
        </w:tc>
      </w:tr>
    </w:tbl>
    <w:p w14:paraId="156A7D06" w14:textId="5337B4EB" w:rsidR="00825345" w:rsidRPr="00825345" w:rsidRDefault="003A6E7F" w:rsidP="003A6E7F">
      <w:pPr>
        <w:shd w:val="clear" w:color="auto" w:fill="FFFFFF"/>
        <w:tabs>
          <w:tab w:val="left" w:pos="7725"/>
        </w:tabs>
        <w:ind w:firstLine="300"/>
        <w:rPr>
          <w:rFonts w:eastAsia="Times New Roman"/>
          <w:iCs/>
          <w:sz w:val="24"/>
          <w:szCs w:val="24"/>
          <w:lang w:eastAsia="lv-LV"/>
        </w:rPr>
      </w:pPr>
      <w:r>
        <w:rPr>
          <w:rFonts w:eastAsia="Times New Roman"/>
          <w:iCs/>
          <w:sz w:val="24"/>
          <w:szCs w:val="24"/>
          <w:lang w:eastAsia="lv-LV"/>
        </w:rPr>
        <w:tab/>
      </w:r>
    </w:p>
    <w:p w14:paraId="314B1264" w14:textId="77777777" w:rsidR="00825345" w:rsidRPr="00825345" w:rsidRDefault="00825345" w:rsidP="00825345">
      <w:pPr>
        <w:shd w:val="clear" w:color="auto" w:fill="FFFFFF"/>
        <w:ind w:firstLine="300"/>
        <w:jc w:val="center"/>
        <w:rPr>
          <w:rFonts w:eastAsia="Times New Roman"/>
          <w:iCs/>
          <w:sz w:val="24"/>
          <w:szCs w:val="24"/>
          <w:lang w:eastAsia="lv-LV"/>
        </w:rPr>
      </w:pPr>
    </w:p>
    <w:tbl>
      <w:tblPr>
        <w:tblW w:w="5067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2793"/>
        <w:gridCol w:w="5902"/>
      </w:tblGrid>
      <w:tr w:rsidR="00825345" w:rsidRPr="00825345" w14:paraId="23CA87D2" w14:textId="77777777" w:rsidTr="00ED6973">
        <w:trPr>
          <w:trHeight w:val="249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0D5D8C" w14:textId="77777777" w:rsidR="00825345" w:rsidRPr="00825345" w:rsidRDefault="00825345" w:rsidP="00825345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825345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825345" w:rsidRPr="00825345" w14:paraId="59C5171D" w14:textId="77777777" w:rsidTr="00ED6973">
        <w:trPr>
          <w:trHeight w:val="197"/>
        </w:trPr>
        <w:tc>
          <w:tcPr>
            <w:tcW w:w="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C95377" w14:textId="77777777" w:rsidR="00825345" w:rsidRPr="00825345" w:rsidRDefault="00825345" w:rsidP="0082534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25345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93BD57" w14:textId="77777777" w:rsidR="00825345" w:rsidRPr="00825345" w:rsidRDefault="00825345" w:rsidP="00825345">
            <w:pPr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825345">
              <w:rPr>
                <w:rFonts w:eastAsia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D3ACE3" w14:textId="77777777" w:rsidR="006A20D5" w:rsidRDefault="009570C1" w:rsidP="001F2AAD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Lab</w:t>
            </w:r>
            <w:r w:rsidR="006A20D5">
              <w:rPr>
                <w:rFonts w:eastAsia="Times New Roman"/>
                <w:sz w:val="24"/>
                <w:szCs w:val="24"/>
                <w:lang w:eastAsia="lv-LV"/>
              </w:rPr>
              <w:t>klājības ministrijas iniciatīva.</w:t>
            </w:r>
          </w:p>
          <w:p w14:paraId="269C6B17" w14:textId="77777777" w:rsidR="00D0141D" w:rsidRPr="00825345" w:rsidRDefault="00D0141D" w:rsidP="001F2AAD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825345" w:rsidRPr="00825345" w14:paraId="38B484ED" w14:textId="77777777" w:rsidTr="009A5139">
        <w:trPr>
          <w:trHeight w:val="4769"/>
        </w:trPr>
        <w:tc>
          <w:tcPr>
            <w:tcW w:w="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14917E" w14:textId="77777777" w:rsidR="00825345" w:rsidRPr="00825345" w:rsidRDefault="00825345" w:rsidP="0082534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25345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1E8670" w14:textId="77777777" w:rsidR="00825345" w:rsidRPr="00825345" w:rsidRDefault="00825345" w:rsidP="00825345">
            <w:pPr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825345">
              <w:rPr>
                <w:rFonts w:eastAsia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182D50" w14:textId="715A586F" w:rsidR="00B9084B" w:rsidRDefault="00B9084B" w:rsidP="00E45995">
            <w:pPr>
              <w:ind w:left="7" w:right="115" w:firstLine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B9084B">
              <w:rPr>
                <w:rFonts w:eastAsia="Times New Roman"/>
                <w:sz w:val="24"/>
                <w:szCs w:val="24"/>
                <w:lang w:eastAsia="lv-LV"/>
              </w:rPr>
              <w:t xml:space="preserve">Ar Ministru kabineta 2011.gada 18.februāra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rīkojumu </w:t>
            </w:r>
            <w:r w:rsidRPr="00B9084B">
              <w:rPr>
                <w:rFonts w:eastAsia="Times New Roman"/>
                <w:sz w:val="24"/>
                <w:szCs w:val="24"/>
                <w:lang w:eastAsia="lv-LV"/>
              </w:rPr>
              <w:t>Nr.65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B9084B">
              <w:rPr>
                <w:bCs/>
                <w:sz w:val="24"/>
                <w:szCs w:val="24"/>
              </w:rPr>
              <w:t>„Par Ģimenes valsts politikas pama</w:t>
            </w:r>
            <w:r w:rsidR="00A2087C">
              <w:rPr>
                <w:bCs/>
                <w:sz w:val="24"/>
                <w:szCs w:val="24"/>
              </w:rPr>
              <w:t>tnostādnēm 2011. - 2017.</w:t>
            </w:r>
            <w:r>
              <w:rPr>
                <w:bCs/>
                <w:sz w:val="24"/>
                <w:szCs w:val="24"/>
              </w:rPr>
              <w:t>gadam”</w:t>
            </w:r>
            <w:r w:rsidR="00C2313D">
              <w:rPr>
                <w:bCs/>
                <w:sz w:val="24"/>
                <w:szCs w:val="24"/>
              </w:rPr>
              <w:t xml:space="preserve"> (turpmāk – Rīkojums Nr.65)</w:t>
            </w:r>
            <w:r>
              <w:rPr>
                <w:bCs/>
                <w:sz w:val="24"/>
                <w:szCs w:val="24"/>
              </w:rPr>
              <w:t xml:space="preserve"> tika apstiprinātas </w:t>
            </w:r>
            <w:r w:rsidRPr="00B9084B">
              <w:rPr>
                <w:bCs/>
                <w:sz w:val="24"/>
                <w:szCs w:val="24"/>
              </w:rPr>
              <w:t>Ģimenes valsts politikas pama</w:t>
            </w:r>
            <w:r>
              <w:rPr>
                <w:bCs/>
                <w:sz w:val="24"/>
                <w:szCs w:val="24"/>
              </w:rPr>
              <w:t>tnostādnes</w:t>
            </w:r>
            <w:r w:rsidR="00A2087C">
              <w:rPr>
                <w:bCs/>
                <w:sz w:val="24"/>
                <w:szCs w:val="24"/>
              </w:rPr>
              <w:t xml:space="preserve"> 2011. - 2017.</w:t>
            </w:r>
            <w:r>
              <w:rPr>
                <w:bCs/>
                <w:sz w:val="24"/>
                <w:szCs w:val="24"/>
              </w:rPr>
              <w:t>gadam</w:t>
            </w:r>
            <w:r w:rsidR="00F06656">
              <w:rPr>
                <w:bCs/>
                <w:sz w:val="24"/>
                <w:szCs w:val="24"/>
              </w:rPr>
              <w:t xml:space="preserve"> (turpmāk – Pamatnostādnes)</w:t>
            </w:r>
            <w:r>
              <w:rPr>
                <w:bCs/>
                <w:sz w:val="24"/>
                <w:szCs w:val="24"/>
              </w:rPr>
              <w:t>.</w:t>
            </w:r>
            <w:r w:rsidR="00C2313D">
              <w:rPr>
                <w:bCs/>
                <w:sz w:val="24"/>
                <w:szCs w:val="24"/>
              </w:rPr>
              <w:t xml:space="preserve"> Atbilstoši Rīkojuma Nr.65 </w:t>
            </w:r>
            <w:r w:rsidR="00116196" w:rsidRPr="00116196">
              <w:rPr>
                <w:rFonts w:eastAsia="Times New Roman"/>
                <w:sz w:val="24"/>
                <w:szCs w:val="24"/>
                <w:lang w:eastAsia="lv-LV"/>
              </w:rPr>
              <w:t>5.2.apakšpunktā</w:t>
            </w:r>
            <w:r w:rsidR="00116196">
              <w:rPr>
                <w:rFonts w:eastAsia="Times New Roman"/>
                <w:sz w:val="24"/>
                <w:szCs w:val="24"/>
                <w:lang w:eastAsia="lv-LV"/>
              </w:rPr>
              <w:t xml:space="preserve"> dotajam uzdevumam Labklājības ministrijai </w:t>
            </w:r>
            <w:r w:rsidR="00116196" w:rsidRPr="00116196">
              <w:rPr>
                <w:rFonts w:eastAsia="Times New Roman"/>
                <w:sz w:val="24"/>
                <w:szCs w:val="24"/>
                <w:lang w:eastAsia="lv-LV"/>
              </w:rPr>
              <w:t xml:space="preserve">līdz 2018.gada 1.aprīlim </w:t>
            </w:r>
            <w:r w:rsidR="00116196">
              <w:rPr>
                <w:rFonts w:eastAsia="Times New Roman"/>
                <w:sz w:val="24"/>
                <w:szCs w:val="24"/>
                <w:lang w:eastAsia="lv-LV"/>
              </w:rPr>
              <w:t xml:space="preserve">ir jāiesniedz Ministru kabinetā </w:t>
            </w:r>
            <w:r w:rsidR="009860E5">
              <w:rPr>
                <w:rFonts w:eastAsia="Times New Roman"/>
                <w:sz w:val="24"/>
                <w:szCs w:val="24"/>
                <w:lang w:eastAsia="lv-LV"/>
              </w:rPr>
              <w:t>informatīv</w:t>
            </w:r>
            <w:r w:rsidR="00866FB1">
              <w:rPr>
                <w:rFonts w:eastAsia="Times New Roman"/>
                <w:sz w:val="24"/>
                <w:szCs w:val="24"/>
                <w:lang w:eastAsia="lv-LV"/>
              </w:rPr>
              <w:t>ais</w:t>
            </w:r>
            <w:r w:rsidR="009860E5">
              <w:rPr>
                <w:rFonts w:eastAsia="Times New Roman"/>
                <w:sz w:val="24"/>
                <w:szCs w:val="24"/>
                <w:lang w:eastAsia="lv-LV"/>
              </w:rPr>
              <w:t xml:space="preserve"> ziņojum</w:t>
            </w:r>
            <w:r w:rsidR="00866FB1">
              <w:rPr>
                <w:rFonts w:eastAsia="Times New Roman"/>
                <w:sz w:val="24"/>
                <w:szCs w:val="24"/>
                <w:lang w:eastAsia="lv-LV"/>
              </w:rPr>
              <w:t>s</w:t>
            </w:r>
            <w:r w:rsidR="009860E5">
              <w:rPr>
                <w:rFonts w:eastAsia="Times New Roman"/>
                <w:sz w:val="24"/>
                <w:szCs w:val="24"/>
                <w:lang w:eastAsia="lv-LV"/>
              </w:rPr>
              <w:t xml:space="preserve"> par </w:t>
            </w:r>
            <w:r w:rsidR="00866FB1">
              <w:rPr>
                <w:rFonts w:eastAsia="Times New Roman"/>
                <w:sz w:val="24"/>
                <w:szCs w:val="24"/>
                <w:lang w:eastAsia="lv-LV"/>
              </w:rPr>
              <w:t>P</w:t>
            </w:r>
            <w:r w:rsidR="00116196" w:rsidRPr="00116196">
              <w:rPr>
                <w:rFonts w:eastAsia="Times New Roman"/>
                <w:sz w:val="24"/>
                <w:szCs w:val="24"/>
                <w:lang w:eastAsia="lv-LV"/>
              </w:rPr>
              <w:t xml:space="preserve">amatnostādņu īstenošanas </w:t>
            </w:r>
            <w:r w:rsidR="00116196" w:rsidRPr="00AE20E0">
              <w:rPr>
                <w:rFonts w:eastAsia="Times New Roman"/>
                <w:sz w:val="24"/>
                <w:szCs w:val="24"/>
                <w:lang w:eastAsia="lv-LV"/>
              </w:rPr>
              <w:t>novērtējumu</w:t>
            </w:r>
            <w:r w:rsidR="00116196" w:rsidRPr="00116196">
              <w:rPr>
                <w:rFonts w:eastAsia="Times New Roman"/>
                <w:sz w:val="24"/>
                <w:szCs w:val="24"/>
                <w:lang w:eastAsia="lv-LV"/>
              </w:rPr>
              <w:t>, ietverot priekšlikumus ģimenes politikas attīstībai turpmākajos gados.</w:t>
            </w:r>
          </w:p>
          <w:p w14:paraId="7F96E75D" w14:textId="364539E0" w:rsidR="00E060F2" w:rsidRPr="00E060F2" w:rsidRDefault="00E060F2" w:rsidP="00E060F2">
            <w:pPr>
              <w:ind w:right="115" w:firstLine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Savukārt atbilstoši šī rīkojuma 4</w:t>
            </w:r>
            <w:r w:rsidRPr="00116196">
              <w:rPr>
                <w:rFonts w:eastAsia="Times New Roman"/>
                <w:sz w:val="24"/>
                <w:szCs w:val="24"/>
                <w:lang w:eastAsia="lv-LV"/>
              </w:rPr>
              <w:t>.2.apakšpunktā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dotajam uzdevumam </w:t>
            </w:r>
            <w:r w:rsidR="00866FB1">
              <w:rPr>
                <w:rFonts w:eastAsia="Times New Roman"/>
                <w:sz w:val="24"/>
                <w:szCs w:val="24"/>
                <w:lang w:eastAsia="lv-LV"/>
              </w:rPr>
              <w:t>P</w:t>
            </w:r>
            <w:r>
              <w:rPr>
                <w:sz w:val="24"/>
                <w:szCs w:val="24"/>
              </w:rPr>
              <w:t xml:space="preserve">amatnostādņu īstenošanā iesaistītajām institūcijām atbilstoši kompetencei ir jāiesniedz līdz 2018.gada 1.martam Labklājības ministrijā informācija par </w:t>
            </w:r>
            <w:r w:rsidR="00866FB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amatnostādņu īstenošanas novērtējumu, ietverot priekšlikumus ģimenes politikas attīstībai turpmākajos gados. </w:t>
            </w:r>
          </w:p>
          <w:p w14:paraId="7D8F197F" w14:textId="7C088867" w:rsidR="00A60D42" w:rsidRDefault="00A2087C" w:rsidP="00FF5841">
            <w:pPr>
              <w:ind w:right="113" w:firstLine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Vienlaikus </w:t>
            </w:r>
            <w:r w:rsidR="00C30105" w:rsidRPr="00C30105">
              <w:rPr>
                <w:bCs/>
                <w:sz w:val="24"/>
                <w:szCs w:val="24"/>
              </w:rPr>
              <w:t>Ministru kabineta 2016.gada</w:t>
            </w:r>
            <w:r w:rsidR="00A60D42">
              <w:rPr>
                <w:bCs/>
                <w:sz w:val="24"/>
                <w:szCs w:val="24"/>
              </w:rPr>
              <w:t xml:space="preserve"> 3.februāra rīkojuma</w:t>
            </w:r>
            <w:r w:rsidR="00C30105" w:rsidRPr="00C30105">
              <w:rPr>
                <w:bCs/>
                <w:sz w:val="24"/>
                <w:szCs w:val="24"/>
              </w:rPr>
              <w:t xml:space="preserve"> Nr.115 „Par Rīcības plānu Ģimenes valsts politikas pamatnostādņu 2011. - 2017. gadam īstenošanai 2016. – 2017.gadā”</w:t>
            </w:r>
            <w:r w:rsidR="00C30105">
              <w:rPr>
                <w:bCs/>
                <w:sz w:val="24"/>
                <w:szCs w:val="24"/>
              </w:rPr>
              <w:t xml:space="preserve">  </w:t>
            </w:r>
            <w:r w:rsidR="004B2123">
              <w:rPr>
                <w:bCs/>
                <w:sz w:val="24"/>
                <w:szCs w:val="24"/>
              </w:rPr>
              <w:t xml:space="preserve"> (turpmāk –Rīkojums Nr.115) </w:t>
            </w:r>
            <w:r w:rsidR="00C30105">
              <w:rPr>
                <w:bCs/>
                <w:sz w:val="24"/>
                <w:szCs w:val="24"/>
              </w:rPr>
              <w:t xml:space="preserve">5.punktā </w:t>
            </w:r>
            <w:r w:rsidR="00A60D42">
              <w:rPr>
                <w:bCs/>
                <w:sz w:val="24"/>
                <w:szCs w:val="24"/>
              </w:rPr>
              <w:t xml:space="preserve">Labklājības ministrijai uzdots </w:t>
            </w:r>
            <w:r w:rsidR="00A60D42" w:rsidRPr="00A60D42">
              <w:rPr>
                <w:bCs/>
                <w:sz w:val="24"/>
                <w:szCs w:val="24"/>
              </w:rPr>
              <w:t xml:space="preserve"> atbilstoši </w:t>
            </w:r>
            <w:r w:rsidR="00A60D42">
              <w:rPr>
                <w:bCs/>
                <w:sz w:val="24"/>
                <w:szCs w:val="24"/>
              </w:rPr>
              <w:t>R</w:t>
            </w:r>
            <w:r w:rsidR="00B66D81">
              <w:rPr>
                <w:bCs/>
                <w:sz w:val="24"/>
                <w:szCs w:val="24"/>
              </w:rPr>
              <w:t xml:space="preserve">īkojuma Nr.65 </w:t>
            </w:r>
            <w:r w:rsidR="00AE20E0">
              <w:rPr>
                <w:bCs/>
                <w:sz w:val="24"/>
                <w:szCs w:val="24"/>
              </w:rPr>
              <w:t>5.2.</w:t>
            </w:r>
            <w:r w:rsidR="00A60D42" w:rsidRPr="00A60D42">
              <w:rPr>
                <w:bCs/>
                <w:sz w:val="24"/>
                <w:szCs w:val="24"/>
              </w:rPr>
              <w:t>apak</w:t>
            </w:r>
            <w:r w:rsidR="00AE20E0">
              <w:rPr>
                <w:bCs/>
                <w:sz w:val="24"/>
                <w:szCs w:val="24"/>
              </w:rPr>
              <w:t>špunktam</w:t>
            </w:r>
            <w:r w:rsidR="00D4670A">
              <w:rPr>
                <w:bCs/>
                <w:sz w:val="24"/>
                <w:szCs w:val="24"/>
              </w:rPr>
              <w:t>,</w:t>
            </w:r>
            <w:r w:rsidR="00AE20E0">
              <w:rPr>
                <w:bCs/>
                <w:sz w:val="24"/>
                <w:szCs w:val="24"/>
              </w:rPr>
              <w:t xml:space="preserve"> iesniedzot (līdz 2018.</w:t>
            </w:r>
            <w:r w:rsidR="00A60D42" w:rsidRPr="00A60D42">
              <w:rPr>
                <w:bCs/>
                <w:sz w:val="24"/>
                <w:szCs w:val="24"/>
              </w:rPr>
              <w:t>ga</w:t>
            </w:r>
            <w:r w:rsidR="003911B2">
              <w:rPr>
                <w:bCs/>
                <w:sz w:val="24"/>
                <w:szCs w:val="24"/>
              </w:rPr>
              <w:t>da 1.</w:t>
            </w:r>
            <w:r w:rsidR="00A60D42" w:rsidRPr="00A60D42">
              <w:rPr>
                <w:bCs/>
                <w:sz w:val="24"/>
                <w:szCs w:val="24"/>
              </w:rPr>
              <w:t>aprīlim) Ministru kabinetā Ģimenes valsts poli</w:t>
            </w:r>
            <w:r w:rsidR="00D2094C">
              <w:rPr>
                <w:bCs/>
                <w:sz w:val="24"/>
                <w:szCs w:val="24"/>
              </w:rPr>
              <w:t>tikas pamatnostādņu 2011.-2017.</w:t>
            </w:r>
            <w:r w:rsidR="00A60D42" w:rsidRPr="00A60D42">
              <w:rPr>
                <w:bCs/>
                <w:sz w:val="24"/>
                <w:szCs w:val="24"/>
              </w:rPr>
              <w:t>gadam īstenošanas novērtējumu, iekļaut tajā informāciju par rīcības plāna īstenošanu.</w:t>
            </w:r>
          </w:p>
          <w:p w14:paraId="75D20941" w14:textId="77777777" w:rsidR="00985C7A" w:rsidRDefault="00985C7A" w:rsidP="00AE39A9">
            <w:pPr>
              <w:ind w:right="115" w:firstLine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15BA0704" w14:textId="189E2D69" w:rsidR="004D73EB" w:rsidRDefault="0037741C" w:rsidP="004D73EB">
            <w:pPr>
              <w:ind w:left="7" w:right="115" w:firstLine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L</w:t>
            </w:r>
            <w:r w:rsidR="00985C7A" w:rsidRPr="0062646E">
              <w:rPr>
                <w:rFonts w:eastAsia="Times New Roman"/>
                <w:sz w:val="24"/>
                <w:szCs w:val="24"/>
                <w:lang w:eastAsia="lv-LV"/>
              </w:rPr>
              <w:t>ikum</w:t>
            </w:r>
            <w:r w:rsidR="004F65FE">
              <w:rPr>
                <w:rFonts w:eastAsia="Times New Roman"/>
                <w:sz w:val="24"/>
                <w:szCs w:val="24"/>
                <w:lang w:eastAsia="lv-LV"/>
              </w:rPr>
              <w:t>ā</w:t>
            </w:r>
            <w:r w:rsidR="00985C7A" w:rsidRPr="0062646E">
              <w:rPr>
                <w:rFonts w:eastAsia="Times New Roman"/>
                <w:sz w:val="24"/>
                <w:szCs w:val="24"/>
                <w:lang w:eastAsia="lv-LV"/>
              </w:rPr>
              <w:t xml:space="preserve"> “Par valsts budžetu 2018.gadam” </w:t>
            </w:r>
            <w:r w:rsidR="001D306A" w:rsidRPr="0062646E">
              <w:rPr>
                <w:rFonts w:eastAsia="Times New Roman"/>
                <w:sz w:val="24"/>
                <w:szCs w:val="24"/>
                <w:lang w:eastAsia="lv-LV"/>
              </w:rPr>
              <w:t xml:space="preserve">Labklājības ministrijas  </w:t>
            </w:r>
            <w:r w:rsidR="004F65FE">
              <w:rPr>
                <w:rFonts w:eastAsia="Times New Roman"/>
                <w:sz w:val="24"/>
                <w:szCs w:val="24"/>
                <w:lang w:eastAsia="lv-LV"/>
              </w:rPr>
              <w:t>prioritārajam</w:t>
            </w:r>
            <w:r w:rsidR="00C54A22">
              <w:rPr>
                <w:rFonts w:eastAsia="Times New Roman"/>
                <w:sz w:val="24"/>
                <w:szCs w:val="24"/>
                <w:lang w:eastAsia="lv-LV"/>
              </w:rPr>
              <w:t xml:space="preserve"> pasākuma</w:t>
            </w:r>
            <w:r w:rsidR="004F65FE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="00C54A22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4F0222" w:rsidRPr="005C7AC9">
              <w:rPr>
                <w:rFonts w:eastAsia="Times New Roman"/>
                <w:i/>
                <w:sz w:val="24"/>
                <w:szCs w:val="24"/>
                <w:lang w:eastAsia="lv-LV"/>
              </w:rPr>
              <w:t>“Sociāla rakstura institūcijām kapacitātes stiprināšanai un sociālām programmām bērnu tiesību aizsardzības jomās un ar šiem pasākumiem saistīto IT sistēmu pielāgošanai”</w:t>
            </w:r>
            <w:r w:rsidR="004F0222" w:rsidRPr="005C7AC9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4F65FE">
              <w:rPr>
                <w:rFonts w:eastAsia="Times New Roman"/>
                <w:sz w:val="24"/>
                <w:szCs w:val="24"/>
                <w:lang w:eastAsia="lv-LV"/>
              </w:rPr>
              <w:t xml:space="preserve">piešķirto </w:t>
            </w:r>
            <w:r w:rsidR="004F65FE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 xml:space="preserve">līdzekļu (340 000 </w:t>
            </w:r>
            <w:r w:rsidR="004F65FE" w:rsidRPr="005C7AC9">
              <w:rPr>
                <w:rFonts w:eastAsia="Times New Roman"/>
                <w:i/>
                <w:sz w:val="24"/>
                <w:szCs w:val="24"/>
                <w:lang w:eastAsia="lv-LV"/>
              </w:rPr>
              <w:t>euro</w:t>
            </w:r>
            <w:r w:rsidR="004F65FE">
              <w:rPr>
                <w:rFonts w:eastAsia="Times New Roman"/>
                <w:sz w:val="24"/>
                <w:szCs w:val="24"/>
                <w:lang w:eastAsia="lv-LV"/>
              </w:rPr>
              <w:t xml:space="preserve"> apmērā) </w:t>
            </w:r>
            <w:r w:rsidR="001D306A" w:rsidRPr="005C7AC9">
              <w:rPr>
                <w:rFonts w:eastAsia="Times New Roman"/>
                <w:sz w:val="24"/>
                <w:szCs w:val="24"/>
                <w:lang w:eastAsia="lv-LV"/>
              </w:rPr>
              <w:t xml:space="preserve">ietvaros </w:t>
            </w:r>
            <w:r w:rsidR="001D306A">
              <w:rPr>
                <w:rFonts w:eastAsia="Times New Roman"/>
                <w:sz w:val="24"/>
                <w:szCs w:val="24"/>
                <w:lang w:eastAsia="lv-LV"/>
              </w:rPr>
              <w:t>paredzēts finansējums</w:t>
            </w:r>
            <w:r w:rsidR="00985C7A" w:rsidRPr="0062646E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4F65FE">
              <w:rPr>
                <w:rFonts w:eastAsia="Times New Roman"/>
                <w:sz w:val="24"/>
                <w:szCs w:val="24"/>
                <w:lang w:eastAsia="lv-LV"/>
              </w:rPr>
              <w:t xml:space="preserve">30 000 </w:t>
            </w:r>
            <w:r w:rsidR="004F65FE" w:rsidRPr="005C7AC9">
              <w:rPr>
                <w:rFonts w:eastAsia="Times New Roman"/>
                <w:i/>
                <w:sz w:val="24"/>
                <w:szCs w:val="24"/>
                <w:lang w:eastAsia="lv-LV"/>
              </w:rPr>
              <w:t>euro</w:t>
            </w:r>
            <w:r w:rsidR="004F65FE">
              <w:rPr>
                <w:rFonts w:eastAsia="Times New Roman"/>
                <w:sz w:val="24"/>
                <w:szCs w:val="24"/>
                <w:lang w:eastAsia="lv-LV"/>
              </w:rPr>
              <w:t xml:space="preserve"> apmērā </w:t>
            </w:r>
            <w:r w:rsidR="00985C7A" w:rsidRPr="0062646E">
              <w:rPr>
                <w:rFonts w:eastAsia="Times New Roman"/>
                <w:sz w:val="24"/>
                <w:szCs w:val="24"/>
                <w:lang w:eastAsia="lv-LV"/>
              </w:rPr>
              <w:t>pētījum</w:t>
            </w:r>
            <w:r w:rsidR="001D306A">
              <w:rPr>
                <w:rFonts w:eastAsia="Times New Roman"/>
                <w:sz w:val="24"/>
                <w:szCs w:val="24"/>
                <w:lang w:eastAsia="lv-LV"/>
              </w:rPr>
              <w:t>a veikšanai</w:t>
            </w:r>
            <w:r w:rsidR="00985C7A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866FB1">
              <w:rPr>
                <w:bCs/>
                <w:sz w:val="24"/>
                <w:szCs w:val="24"/>
              </w:rPr>
              <w:t>P</w:t>
            </w:r>
            <w:r w:rsidR="005E3153">
              <w:rPr>
                <w:bCs/>
                <w:sz w:val="24"/>
                <w:szCs w:val="24"/>
              </w:rPr>
              <w:t xml:space="preserve">amatnostādņu </w:t>
            </w:r>
            <w:r w:rsidR="007660F3">
              <w:rPr>
                <w:rFonts w:eastAsia="Times New Roman"/>
                <w:sz w:val="24"/>
                <w:szCs w:val="24"/>
                <w:lang w:eastAsia="lv-LV"/>
              </w:rPr>
              <w:t>gala novērtējumam</w:t>
            </w:r>
            <w:r w:rsidR="00985C7A" w:rsidRPr="0062646E">
              <w:rPr>
                <w:rFonts w:eastAsia="Times New Roman"/>
                <w:sz w:val="24"/>
                <w:szCs w:val="24"/>
                <w:lang w:eastAsia="lv-LV"/>
              </w:rPr>
              <w:t xml:space="preserve"> (</w:t>
            </w:r>
            <w:r w:rsidR="00985C7A" w:rsidRPr="00985C7A">
              <w:rPr>
                <w:rFonts w:eastAsia="Times New Roman"/>
                <w:i/>
                <w:sz w:val="24"/>
                <w:szCs w:val="24"/>
                <w:lang w:eastAsia="lv-LV"/>
              </w:rPr>
              <w:t>ex-post</w:t>
            </w:r>
            <w:r w:rsidR="008353BF">
              <w:rPr>
                <w:rFonts w:eastAsia="Times New Roman"/>
                <w:sz w:val="24"/>
                <w:szCs w:val="24"/>
                <w:lang w:eastAsia="lv-LV"/>
              </w:rPr>
              <w:t>)</w:t>
            </w:r>
            <w:r w:rsidR="001D306A">
              <w:rPr>
                <w:rFonts w:eastAsia="Times New Roman"/>
                <w:sz w:val="24"/>
                <w:szCs w:val="24"/>
                <w:lang w:eastAsia="lv-LV"/>
              </w:rPr>
              <w:t>,</w:t>
            </w:r>
            <w:r w:rsidR="008353BF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9F0385">
              <w:rPr>
                <w:rFonts w:eastAsia="Times New Roman"/>
                <w:sz w:val="24"/>
                <w:szCs w:val="24"/>
                <w:lang w:eastAsia="lv-LV"/>
              </w:rPr>
              <w:t>lai iespējami efektīvi novērtētu sasniegtos rezultatīvos rādītājus un rīcības virzienu mērķus</w:t>
            </w:r>
            <w:r w:rsidR="00817844">
              <w:rPr>
                <w:rFonts w:eastAsia="Times New Roman"/>
                <w:sz w:val="24"/>
                <w:szCs w:val="24"/>
                <w:lang w:eastAsia="lv-LV"/>
              </w:rPr>
              <w:t xml:space="preserve">, kā arī ietverot priekšlikumus turpmākai rīcībpolitikai  </w:t>
            </w:r>
            <w:r w:rsidR="00731558">
              <w:rPr>
                <w:rFonts w:eastAsia="Times New Roman"/>
                <w:sz w:val="24"/>
                <w:szCs w:val="24"/>
                <w:lang w:eastAsia="lv-LV"/>
              </w:rPr>
              <w:t>šajā jomā.</w:t>
            </w:r>
            <w:r w:rsidR="00973FC6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</w:p>
          <w:p w14:paraId="6CF49219" w14:textId="77777777" w:rsidR="00866FB1" w:rsidRDefault="001D306A" w:rsidP="008F4AB5">
            <w:pPr>
              <w:ind w:right="115" w:firstLine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Minētā </w:t>
            </w:r>
            <w:r w:rsidR="006F665B">
              <w:rPr>
                <w:rFonts w:eastAsia="Times New Roman"/>
                <w:sz w:val="24"/>
                <w:szCs w:val="24"/>
                <w:lang w:eastAsia="lv-LV"/>
              </w:rPr>
              <w:t>p</w:t>
            </w:r>
            <w:r w:rsidR="006F665B" w:rsidRPr="006F665B">
              <w:rPr>
                <w:rFonts w:eastAsia="Times New Roman"/>
                <w:sz w:val="24"/>
                <w:szCs w:val="24"/>
                <w:lang w:eastAsia="lv-LV"/>
              </w:rPr>
              <w:t xml:space="preserve">ētījuma rezultātā iegūtā informācija </w:t>
            </w:r>
            <w:r w:rsidR="00271A3D">
              <w:rPr>
                <w:rFonts w:eastAsia="Times New Roman"/>
                <w:sz w:val="24"/>
                <w:szCs w:val="24"/>
                <w:lang w:eastAsia="lv-LV"/>
              </w:rPr>
              <w:t xml:space="preserve">tiks izmantota, lai sagatavotu Informatīvo ziņojumu Ministru kabinetam </w:t>
            </w:r>
            <w:r w:rsidR="00C27B28">
              <w:rPr>
                <w:rFonts w:eastAsia="Times New Roman"/>
                <w:sz w:val="24"/>
                <w:szCs w:val="24"/>
                <w:lang w:eastAsia="lv-LV"/>
              </w:rPr>
              <w:t>par P</w:t>
            </w:r>
            <w:r w:rsidR="009B7CBF">
              <w:rPr>
                <w:rFonts w:eastAsia="Times New Roman"/>
                <w:sz w:val="24"/>
                <w:szCs w:val="24"/>
                <w:lang w:eastAsia="lv-LV"/>
              </w:rPr>
              <w:t>amatnostādņu</w:t>
            </w:r>
            <w:r w:rsidR="006F665B" w:rsidRPr="006F665B">
              <w:rPr>
                <w:rFonts w:eastAsia="Times New Roman"/>
                <w:sz w:val="24"/>
                <w:szCs w:val="24"/>
                <w:lang w:eastAsia="lv-LV"/>
              </w:rPr>
              <w:t xml:space="preserve"> īstenošanas novērtējumu</w:t>
            </w:r>
            <w:r w:rsidR="00866FB1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  <w:p w14:paraId="595D01FF" w14:textId="39CD5BAC" w:rsidR="00BC5A6B" w:rsidRDefault="00866FB1" w:rsidP="008F4AB5">
            <w:pPr>
              <w:ind w:right="11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161A19" w:rsidRPr="00161A19">
              <w:rPr>
                <w:sz w:val="24"/>
                <w:szCs w:val="24"/>
              </w:rPr>
              <w:t xml:space="preserve">īdz ar to </w:t>
            </w:r>
            <w:r w:rsidR="004726A1">
              <w:rPr>
                <w:bCs/>
                <w:sz w:val="24"/>
                <w:szCs w:val="24"/>
              </w:rPr>
              <w:t>R</w:t>
            </w:r>
            <w:r w:rsidR="00C27B28">
              <w:rPr>
                <w:bCs/>
                <w:sz w:val="24"/>
                <w:szCs w:val="24"/>
              </w:rPr>
              <w:t>īkojuma Nr.65</w:t>
            </w:r>
            <w:r w:rsidR="004726A1">
              <w:rPr>
                <w:bCs/>
                <w:sz w:val="24"/>
                <w:szCs w:val="24"/>
              </w:rPr>
              <w:t xml:space="preserve"> </w:t>
            </w:r>
            <w:r w:rsidR="00161A19" w:rsidRPr="00161A19">
              <w:rPr>
                <w:sz w:val="24"/>
                <w:szCs w:val="24"/>
              </w:rPr>
              <w:t>noteiktā uzdevuma izpildes termiņu nepieciešams pagarināt</w:t>
            </w:r>
            <w:r w:rsidR="00657CE2">
              <w:rPr>
                <w:sz w:val="24"/>
                <w:szCs w:val="24"/>
              </w:rPr>
              <w:t>, kā arī nepieciešams veikt attiecīgu grozījumu Rīkojumā Nr.115.</w:t>
            </w:r>
          </w:p>
          <w:p w14:paraId="70A23FCA" w14:textId="77777777" w:rsidR="002F714D" w:rsidRDefault="002F714D" w:rsidP="008F4AB5">
            <w:pPr>
              <w:ind w:right="115" w:firstLine="0"/>
              <w:jc w:val="both"/>
              <w:rPr>
                <w:sz w:val="24"/>
                <w:szCs w:val="24"/>
              </w:rPr>
            </w:pPr>
          </w:p>
          <w:p w14:paraId="3C3C8EB7" w14:textId="1642AB94" w:rsidR="0020142C" w:rsidRDefault="002F714D" w:rsidP="0020142C">
            <w:pPr>
              <w:ind w:right="115" w:firstLine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Ņemot vērā minēto, </w:t>
            </w:r>
            <w:r w:rsidR="006015FD">
              <w:rPr>
                <w:rFonts w:eastAsia="Times New Roman"/>
                <w:sz w:val="24"/>
                <w:szCs w:val="24"/>
                <w:lang w:eastAsia="lv-LV"/>
              </w:rPr>
              <w:t xml:space="preserve">Labklājības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ministrija ir izstrādājusi divus </w:t>
            </w:r>
            <w:r w:rsidR="00866FB1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inistru kabineta rīkojumu projektus, </w:t>
            </w:r>
            <w:r w:rsidR="0020142C">
              <w:rPr>
                <w:rFonts w:eastAsia="Times New Roman"/>
                <w:sz w:val="24"/>
                <w:szCs w:val="24"/>
                <w:lang w:eastAsia="lv-LV"/>
              </w:rPr>
              <w:t>k</w:t>
            </w:r>
            <w:r w:rsidR="00B43114">
              <w:rPr>
                <w:rFonts w:eastAsia="Times New Roman"/>
                <w:sz w:val="24"/>
                <w:szCs w:val="24"/>
                <w:lang w:eastAsia="lv-LV"/>
              </w:rPr>
              <w:t>uros</w:t>
            </w:r>
            <w:r w:rsidR="0020142C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20142C" w:rsidRPr="000A30B8">
              <w:rPr>
                <w:rFonts w:eastAsia="Times New Roman"/>
                <w:sz w:val="24"/>
                <w:szCs w:val="24"/>
                <w:lang w:eastAsia="lv-LV"/>
              </w:rPr>
              <w:t>paredz</w:t>
            </w:r>
            <w:r w:rsidR="0020142C">
              <w:rPr>
                <w:rFonts w:eastAsia="Times New Roman"/>
                <w:sz w:val="24"/>
                <w:szCs w:val="24"/>
                <w:lang w:eastAsia="lv-LV"/>
              </w:rPr>
              <w:t>ēts</w:t>
            </w:r>
            <w:r w:rsidR="0020142C" w:rsidRPr="000A30B8">
              <w:rPr>
                <w:rFonts w:eastAsia="Times New Roman"/>
                <w:sz w:val="24"/>
                <w:szCs w:val="24"/>
                <w:lang w:eastAsia="lv-LV"/>
              </w:rPr>
              <w:t xml:space="preserve"> izdarīt šādus grozījumus:</w:t>
            </w:r>
          </w:p>
          <w:p w14:paraId="7A3BD3ED" w14:textId="691A7C23" w:rsidR="0020142C" w:rsidRDefault="00E40540" w:rsidP="0020142C">
            <w:pPr>
              <w:pStyle w:val="ListParagraph"/>
              <w:numPr>
                <w:ilvl w:val="0"/>
                <w:numId w:val="6"/>
              </w:numPr>
              <w:ind w:right="115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Rīkojumā</w:t>
            </w:r>
            <w:r w:rsidR="0020142C">
              <w:rPr>
                <w:rFonts w:eastAsia="Times New Roman"/>
                <w:sz w:val="24"/>
                <w:szCs w:val="24"/>
                <w:lang w:eastAsia="lv-LV"/>
              </w:rPr>
              <w:t xml:space="preserve"> Nr.65 </w:t>
            </w:r>
            <w:r w:rsidR="00866FB1">
              <w:rPr>
                <w:rFonts w:eastAsia="Times New Roman"/>
                <w:sz w:val="24"/>
                <w:szCs w:val="24"/>
                <w:lang w:eastAsia="lv-LV"/>
              </w:rPr>
              <w:t xml:space="preserve">paredzēts grozījums </w:t>
            </w:r>
            <w:r w:rsidR="0020142C">
              <w:rPr>
                <w:rFonts w:eastAsia="Times New Roman"/>
                <w:sz w:val="24"/>
                <w:szCs w:val="24"/>
                <w:lang w:eastAsia="lv-LV"/>
              </w:rPr>
              <w:t>5.2.apakšpunkt</w:t>
            </w:r>
            <w:r w:rsidR="00866FB1">
              <w:rPr>
                <w:rFonts w:eastAsia="Times New Roman"/>
                <w:sz w:val="24"/>
                <w:szCs w:val="24"/>
                <w:lang w:eastAsia="lv-LV"/>
              </w:rPr>
              <w:t>ā</w:t>
            </w:r>
            <w:r w:rsidR="0020142C" w:rsidRPr="00822C6C">
              <w:rPr>
                <w:rFonts w:eastAsia="Times New Roman"/>
                <w:sz w:val="24"/>
                <w:szCs w:val="24"/>
                <w:lang w:eastAsia="lv-LV"/>
              </w:rPr>
              <w:t xml:space="preserve">, nosakot, ka uzdevums veikt </w:t>
            </w:r>
            <w:r w:rsidR="00866FB1">
              <w:rPr>
                <w:bCs/>
                <w:sz w:val="24"/>
                <w:szCs w:val="24"/>
              </w:rPr>
              <w:t>P</w:t>
            </w:r>
            <w:r w:rsidR="0020142C" w:rsidRPr="00822C6C">
              <w:rPr>
                <w:bCs/>
                <w:sz w:val="24"/>
                <w:szCs w:val="24"/>
              </w:rPr>
              <w:t xml:space="preserve">amatnostādņu īstenošanas novērtējumu, iekļaujot tajā informāciju par rīcības plāna īstenošanu, un iesniegt </w:t>
            </w:r>
            <w:r w:rsidR="00866FB1">
              <w:rPr>
                <w:bCs/>
                <w:sz w:val="24"/>
                <w:szCs w:val="24"/>
              </w:rPr>
              <w:t>i</w:t>
            </w:r>
            <w:r w:rsidR="0020142C" w:rsidRPr="00822C6C">
              <w:rPr>
                <w:bCs/>
                <w:sz w:val="24"/>
                <w:szCs w:val="24"/>
              </w:rPr>
              <w:t>nformatīvu ziņojumu Ministru kabinetā tiek pagari</w:t>
            </w:r>
            <w:r w:rsidR="004726FE">
              <w:rPr>
                <w:bCs/>
                <w:sz w:val="24"/>
                <w:szCs w:val="24"/>
              </w:rPr>
              <w:t>nāts līdz 2019.gada 1</w:t>
            </w:r>
            <w:r w:rsidR="0020142C">
              <w:rPr>
                <w:bCs/>
                <w:sz w:val="24"/>
                <w:szCs w:val="24"/>
              </w:rPr>
              <w:t>.</w:t>
            </w:r>
            <w:r w:rsidR="00221E9D">
              <w:rPr>
                <w:bCs/>
                <w:sz w:val="24"/>
                <w:szCs w:val="24"/>
              </w:rPr>
              <w:t>aprīlim</w:t>
            </w:r>
            <w:r w:rsidR="0020142C">
              <w:rPr>
                <w:bCs/>
                <w:sz w:val="24"/>
                <w:szCs w:val="24"/>
              </w:rPr>
              <w:t>;</w:t>
            </w:r>
          </w:p>
          <w:p w14:paraId="643E15F2" w14:textId="740233B6" w:rsidR="0020142C" w:rsidRPr="0020142C" w:rsidRDefault="00E40540" w:rsidP="0020142C">
            <w:pPr>
              <w:pStyle w:val="ListParagraph"/>
              <w:numPr>
                <w:ilvl w:val="0"/>
                <w:numId w:val="6"/>
              </w:numPr>
              <w:ind w:right="1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Rīkojumā</w:t>
            </w:r>
            <w:r w:rsidR="0020142C" w:rsidRPr="00822C6C">
              <w:rPr>
                <w:bCs/>
                <w:sz w:val="24"/>
                <w:szCs w:val="24"/>
              </w:rPr>
              <w:t xml:space="preserve"> Nr.115</w:t>
            </w:r>
            <w:r w:rsidR="0020142C">
              <w:rPr>
                <w:bCs/>
                <w:sz w:val="24"/>
                <w:szCs w:val="24"/>
              </w:rPr>
              <w:t xml:space="preserve"> </w:t>
            </w:r>
            <w:r w:rsidR="00221E9D">
              <w:rPr>
                <w:bCs/>
                <w:sz w:val="24"/>
                <w:szCs w:val="24"/>
              </w:rPr>
              <w:t xml:space="preserve">paredzēts </w:t>
            </w:r>
            <w:r w:rsidR="0020142C" w:rsidRPr="00822C6C">
              <w:rPr>
                <w:sz w:val="24"/>
                <w:szCs w:val="24"/>
              </w:rPr>
              <w:t xml:space="preserve">svītrot </w:t>
            </w:r>
            <w:r w:rsidR="0020142C">
              <w:rPr>
                <w:sz w:val="24"/>
                <w:szCs w:val="24"/>
              </w:rPr>
              <w:t>5.punkt</w:t>
            </w:r>
            <w:r w:rsidR="00221E9D">
              <w:rPr>
                <w:sz w:val="24"/>
                <w:szCs w:val="24"/>
              </w:rPr>
              <w:t>ā</w:t>
            </w:r>
            <w:r w:rsidR="0020142C" w:rsidRPr="00822C6C">
              <w:rPr>
                <w:sz w:val="24"/>
                <w:szCs w:val="24"/>
              </w:rPr>
              <w:t xml:space="preserve"> </w:t>
            </w:r>
            <w:r w:rsidR="00221E9D">
              <w:rPr>
                <w:sz w:val="24"/>
                <w:szCs w:val="24"/>
              </w:rPr>
              <w:t xml:space="preserve">kā nevajadzīgus </w:t>
            </w:r>
            <w:r w:rsidR="0020142C" w:rsidRPr="00822C6C">
              <w:rPr>
                <w:sz w:val="24"/>
                <w:szCs w:val="24"/>
              </w:rPr>
              <w:t xml:space="preserve">vārdus un skaitļus </w:t>
            </w:r>
            <w:r w:rsidR="0020142C" w:rsidRPr="00822C6C">
              <w:rPr>
                <w:bCs/>
                <w:sz w:val="24"/>
                <w:szCs w:val="24"/>
              </w:rPr>
              <w:t>„</w:t>
            </w:r>
            <w:r w:rsidR="0020142C" w:rsidRPr="00822C6C">
              <w:rPr>
                <w:sz w:val="24"/>
                <w:szCs w:val="24"/>
              </w:rPr>
              <w:t>(līdz 2018.gada 1.aprīlim)”</w:t>
            </w:r>
            <w:r w:rsidR="00717E6E">
              <w:rPr>
                <w:sz w:val="24"/>
                <w:szCs w:val="24"/>
              </w:rPr>
              <w:t>, jo šī</w:t>
            </w:r>
            <w:r w:rsidR="00221E9D">
              <w:rPr>
                <w:sz w:val="24"/>
                <w:szCs w:val="24"/>
              </w:rPr>
              <w:t xml:space="preserve"> uzdevuma izpildes termiņš jau ir noteikts Rīkojumā Nr.65</w:t>
            </w:r>
            <w:r w:rsidR="0020142C">
              <w:rPr>
                <w:sz w:val="24"/>
                <w:szCs w:val="24"/>
              </w:rPr>
              <w:t>;</w:t>
            </w:r>
          </w:p>
          <w:p w14:paraId="5E533210" w14:textId="23306634" w:rsidR="007F7A7F" w:rsidRPr="00B43114" w:rsidRDefault="0020142C" w:rsidP="00221E9D">
            <w:pPr>
              <w:pStyle w:val="ListParagraph"/>
              <w:numPr>
                <w:ilvl w:val="0"/>
                <w:numId w:val="6"/>
              </w:numPr>
              <w:ind w:right="115"/>
              <w:jc w:val="both"/>
              <w:rPr>
                <w:bCs/>
                <w:sz w:val="24"/>
                <w:szCs w:val="24"/>
              </w:rPr>
            </w:pPr>
            <w:r w:rsidRPr="0020142C">
              <w:rPr>
                <w:bCs/>
                <w:sz w:val="24"/>
                <w:szCs w:val="24"/>
              </w:rPr>
              <w:t xml:space="preserve">vienlaikus </w:t>
            </w:r>
            <w:r w:rsidR="00221E9D" w:rsidRPr="0020142C">
              <w:rPr>
                <w:sz w:val="24"/>
                <w:szCs w:val="24"/>
              </w:rPr>
              <w:t xml:space="preserve">Rīkojuma </w:t>
            </w:r>
            <w:r w:rsidR="00221E9D" w:rsidRPr="0020142C">
              <w:rPr>
                <w:rFonts w:eastAsia="Times New Roman"/>
                <w:sz w:val="24"/>
                <w:szCs w:val="24"/>
                <w:lang w:eastAsia="lv-LV"/>
              </w:rPr>
              <w:t xml:space="preserve">Nr.65 </w:t>
            </w:r>
            <w:r w:rsidR="00221E9D" w:rsidRPr="0020142C">
              <w:rPr>
                <w:bCs/>
                <w:sz w:val="24"/>
                <w:szCs w:val="24"/>
              </w:rPr>
              <w:t>4.2.</w:t>
            </w:r>
            <w:r w:rsidR="00221E9D">
              <w:rPr>
                <w:bCs/>
                <w:sz w:val="24"/>
                <w:szCs w:val="24"/>
              </w:rPr>
              <w:t>apakš</w:t>
            </w:r>
            <w:r w:rsidR="00221E9D" w:rsidRPr="0020142C">
              <w:rPr>
                <w:bCs/>
                <w:sz w:val="24"/>
                <w:szCs w:val="24"/>
              </w:rPr>
              <w:t>punkt</w:t>
            </w:r>
            <w:r w:rsidR="00221E9D">
              <w:rPr>
                <w:bCs/>
                <w:sz w:val="24"/>
                <w:szCs w:val="24"/>
              </w:rPr>
              <w:t>ā</w:t>
            </w:r>
            <w:r w:rsidR="00221E9D" w:rsidRPr="0020142C">
              <w:rPr>
                <w:bCs/>
                <w:sz w:val="24"/>
                <w:szCs w:val="24"/>
              </w:rPr>
              <w:t xml:space="preserve"> </w:t>
            </w:r>
            <w:r w:rsidRPr="0020142C">
              <w:rPr>
                <w:bCs/>
                <w:sz w:val="24"/>
                <w:szCs w:val="24"/>
              </w:rPr>
              <w:t xml:space="preserve">ir paredzēts noteikt, ka </w:t>
            </w:r>
            <w:r w:rsidR="001D650B">
              <w:rPr>
                <w:sz w:val="24"/>
                <w:szCs w:val="24"/>
              </w:rPr>
              <w:t>P</w:t>
            </w:r>
            <w:r w:rsidRPr="0020142C">
              <w:rPr>
                <w:sz w:val="24"/>
                <w:szCs w:val="24"/>
              </w:rPr>
              <w:t xml:space="preserve">amatnostādņu īstenošanā iesaistītajām institūcijām atbilstoši kompetencei informācija par </w:t>
            </w:r>
            <w:r w:rsidR="00221E9D">
              <w:rPr>
                <w:sz w:val="24"/>
                <w:szCs w:val="24"/>
              </w:rPr>
              <w:t>P</w:t>
            </w:r>
            <w:r w:rsidRPr="0020142C">
              <w:rPr>
                <w:sz w:val="24"/>
                <w:szCs w:val="24"/>
              </w:rPr>
              <w:t>amatnostādņu īstenošanas novērtējumu, ietverot priekšlikumus ģimenes politikas attīstībai turpmākajos gados, ir jāiesniedz Labklājības ministrijā līdz 2018.gada 1.jūnijam</w:t>
            </w:r>
            <w:r w:rsidRPr="0020142C">
              <w:rPr>
                <w:bCs/>
                <w:sz w:val="24"/>
                <w:szCs w:val="24"/>
              </w:rPr>
              <w:t>.</w:t>
            </w:r>
          </w:p>
        </w:tc>
      </w:tr>
      <w:tr w:rsidR="00825345" w:rsidRPr="00825345" w14:paraId="1F3309BE" w14:textId="77777777" w:rsidTr="00ED6973">
        <w:trPr>
          <w:trHeight w:val="465"/>
        </w:trPr>
        <w:tc>
          <w:tcPr>
            <w:tcW w:w="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5C4E45" w14:textId="36E0FB4E" w:rsidR="00825345" w:rsidRPr="00825345" w:rsidRDefault="00825345" w:rsidP="0082534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25345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335C32" w14:textId="77777777" w:rsidR="00825345" w:rsidRPr="00825345" w:rsidRDefault="00825345" w:rsidP="00825345">
            <w:pPr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825345">
              <w:rPr>
                <w:rFonts w:eastAsia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64CDAB" w14:textId="7BA129B9" w:rsidR="00825345" w:rsidRPr="00825345" w:rsidRDefault="00983F86" w:rsidP="00825345">
            <w:pPr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Labklājības ministrija.</w:t>
            </w:r>
          </w:p>
        </w:tc>
      </w:tr>
      <w:tr w:rsidR="00825345" w:rsidRPr="00825345" w14:paraId="4D22B23B" w14:textId="77777777" w:rsidTr="00ED6973">
        <w:tc>
          <w:tcPr>
            <w:tcW w:w="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0971CE" w14:textId="77777777" w:rsidR="00825345" w:rsidRPr="00825345" w:rsidRDefault="00825345" w:rsidP="0082534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825345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F8CA7" w14:textId="77777777" w:rsidR="00825345" w:rsidRPr="00825345" w:rsidRDefault="00825345" w:rsidP="00825345">
            <w:pPr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825345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A3D1EF" w14:textId="1D8D8596" w:rsidR="0029643A" w:rsidRPr="00A441ED" w:rsidRDefault="00A441ED" w:rsidP="000D2AA6">
            <w:pPr>
              <w:tabs>
                <w:tab w:val="left" w:pos="885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Ņ</w:t>
            </w:r>
            <w:r w:rsidRPr="00A441ED">
              <w:rPr>
                <w:rFonts w:eastAsia="Times New Roman"/>
                <w:sz w:val="24"/>
                <w:szCs w:val="24"/>
                <w:lang w:eastAsia="lv-LV"/>
              </w:rPr>
              <w:t>emot vērā to, ka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Pamatnostād</w:t>
            </w:r>
            <w:r w:rsidR="00221E9D">
              <w:rPr>
                <w:rFonts w:eastAsia="Times New Roman"/>
                <w:sz w:val="24"/>
                <w:szCs w:val="24"/>
                <w:lang w:eastAsia="lv-LV"/>
              </w:rPr>
              <w:t>nes bija noteiktas laika periodam no 2011.gada līdz 2017.gadam un to darbības termiņš ir beidzies</w:t>
            </w:r>
            <w:r w:rsidR="00EE24CD">
              <w:rPr>
                <w:rFonts w:eastAsia="Times New Roman"/>
                <w:sz w:val="24"/>
                <w:szCs w:val="24"/>
                <w:lang w:eastAsia="lv-LV"/>
              </w:rPr>
              <w:t>, grozījumus Pamatnostā</w:t>
            </w:r>
            <w:r w:rsidR="00A77B26">
              <w:rPr>
                <w:rFonts w:eastAsia="Times New Roman"/>
                <w:sz w:val="24"/>
                <w:szCs w:val="24"/>
                <w:lang w:eastAsia="lv-LV"/>
              </w:rPr>
              <w:t>dņu tekstā</w:t>
            </w:r>
            <w:r w:rsidR="001E05DB">
              <w:rPr>
                <w:rFonts w:eastAsia="Times New Roman"/>
                <w:sz w:val="24"/>
                <w:szCs w:val="24"/>
                <w:lang w:eastAsia="lv-LV"/>
              </w:rPr>
              <w:t xml:space="preserve">  (6.sadaļā) </w:t>
            </w:r>
            <w:r w:rsidR="00A77B26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C7600C">
              <w:rPr>
                <w:rFonts w:eastAsia="Times New Roman"/>
                <w:sz w:val="24"/>
                <w:szCs w:val="24"/>
                <w:lang w:eastAsia="lv-LV"/>
              </w:rPr>
              <w:t xml:space="preserve">nav nepieciešams veikt, jo atbilstoši Attīstības plānošanas sistēmas </w:t>
            </w:r>
            <w:r w:rsidR="000D2AA6">
              <w:rPr>
                <w:rFonts w:eastAsia="Times New Roman"/>
                <w:sz w:val="24"/>
                <w:szCs w:val="24"/>
                <w:lang w:eastAsia="lv-LV"/>
              </w:rPr>
              <w:t>likuma 13.panta otrajā daļā noteiktajam a</w:t>
            </w:r>
            <w:r w:rsidR="00C7600C" w:rsidRPr="00C7600C">
              <w:rPr>
                <w:rFonts w:eastAsia="Times New Roman"/>
                <w:sz w:val="24"/>
                <w:szCs w:val="24"/>
                <w:lang w:eastAsia="lv-LV"/>
              </w:rPr>
              <w:t>ttīstības plānošanas dokuments zaudē spēku, ja beidzies tā darbības termiņš.</w:t>
            </w:r>
          </w:p>
          <w:p w14:paraId="0F190006" w14:textId="77777777" w:rsidR="009026D6" w:rsidRPr="00825345" w:rsidRDefault="009026D6" w:rsidP="009026D6">
            <w:pPr>
              <w:tabs>
                <w:tab w:val="left" w:pos="885"/>
              </w:tabs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</w:tbl>
    <w:p w14:paraId="2841CF8D" w14:textId="77777777" w:rsidR="003B6392" w:rsidRDefault="003B6392" w:rsidP="004A0A7E">
      <w:pPr>
        <w:pStyle w:val="naisf"/>
        <w:spacing w:before="0" w:after="0"/>
        <w:ind w:firstLine="0"/>
        <w:jc w:val="center"/>
        <w:rPr>
          <w:i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E83C68" w:rsidRPr="00E83C68" w14:paraId="23F23AB1" w14:textId="77777777" w:rsidTr="00B24E74">
        <w:trPr>
          <w:trHeight w:val="489"/>
        </w:trPr>
        <w:tc>
          <w:tcPr>
            <w:tcW w:w="9180" w:type="dxa"/>
          </w:tcPr>
          <w:p w14:paraId="05A4F25B" w14:textId="77777777" w:rsidR="00E83C68" w:rsidRPr="00E83C68" w:rsidRDefault="00E83C68" w:rsidP="00E1379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E83C68">
              <w:rPr>
                <w:b/>
                <w:color w:val="000000"/>
                <w:sz w:val="24"/>
                <w:szCs w:val="24"/>
              </w:rPr>
              <w:t xml:space="preserve">II. </w:t>
            </w:r>
            <w:r w:rsidRPr="00E83C68">
              <w:rPr>
                <w:b/>
                <w:sz w:val="24"/>
                <w:szCs w:val="24"/>
              </w:rPr>
              <w:t>Tiesību akta projekta ietekme uz sabiedrību, tautsaimniecības attīstību un administratīvo slogu</w:t>
            </w:r>
          </w:p>
        </w:tc>
      </w:tr>
      <w:tr w:rsidR="00E83C68" w:rsidRPr="00E83C68" w14:paraId="227119F8" w14:textId="77777777" w:rsidTr="00B24E74">
        <w:trPr>
          <w:trHeight w:val="489"/>
        </w:trPr>
        <w:tc>
          <w:tcPr>
            <w:tcW w:w="9180" w:type="dxa"/>
          </w:tcPr>
          <w:p w14:paraId="1EC26388" w14:textId="77777777" w:rsidR="00E83C68" w:rsidRPr="00E83C68" w:rsidRDefault="00E83C68" w:rsidP="00E1379F">
            <w:pPr>
              <w:spacing w:before="100" w:beforeAutospacing="1" w:after="100" w:afterAutospacing="1"/>
              <w:ind w:firstLine="783"/>
              <w:jc w:val="center"/>
              <w:rPr>
                <w:b/>
                <w:color w:val="000000"/>
                <w:sz w:val="24"/>
                <w:szCs w:val="24"/>
              </w:rPr>
            </w:pPr>
            <w:r w:rsidRPr="00E83C68">
              <w:rPr>
                <w:color w:val="000000"/>
                <w:sz w:val="24"/>
                <w:szCs w:val="24"/>
              </w:rPr>
              <w:t>Projekts šo jomu neskar</w:t>
            </w:r>
          </w:p>
        </w:tc>
      </w:tr>
    </w:tbl>
    <w:p w14:paraId="7FC42AD6" w14:textId="77777777" w:rsidR="003B6392" w:rsidRDefault="003B6392" w:rsidP="004A0A7E">
      <w:pPr>
        <w:pStyle w:val="naisf"/>
        <w:spacing w:before="0" w:after="0"/>
        <w:ind w:firstLine="0"/>
        <w:jc w:val="center"/>
        <w:rPr>
          <w:i/>
        </w:rPr>
      </w:pPr>
    </w:p>
    <w:p w14:paraId="23AC530C" w14:textId="77777777" w:rsidR="003B6392" w:rsidRDefault="003B6392" w:rsidP="004A0A7E">
      <w:pPr>
        <w:pStyle w:val="naisf"/>
        <w:spacing w:before="0" w:after="0"/>
        <w:ind w:firstLine="0"/>
        <w:jc w:val="center"/>
        <w:rPr>
          <w:i/>
        </w:rPr>
      </w:pPr>
    </w:p>
    <w:p w14:paraId="4C7A49E2" w14:textId="77777777" w:rsidR="00825345" w:rsidRPr="00825345" w:rsidRDefault="00825345" w:rsidP="00825345">
      <w:pPr>
        <w:ind w:firstLine="0"/>
        <w:rPr>
          <w:rFonts w:eastAsia="Times New Roman"/>
          <w:sz w:val="24"/>
          <w:szCs w:val="24"/>
          <w:lang w:eastAsia="lv-LV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081"/>
        <w:gridCol w:w="1176"/>
        <w:gridCol w:w="984"/>
        <w:gridCol w:w="1176"/>
        <w:gridCol w:w="984"/>
        <w:gridCol w:w="1176"/>
        <w:gridCol w:w="1150"/>
      </w:tblGrid>
      <w:tr w:rsidR="00B24E74" w:rsidRPr="00B24E74" w14:paraId="447E78AF" w14:textId="77777777" w:rsidTr="00B24E74">
        <w:trPr>
          <w:trHeight w:val="212"/>
        </w:trPr>
        <w:tc>
          <w:tcPr>
            <w:tcW w:w="9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7A1D" w14:textId="77777777" w:rsidR="00B24E74" w:rsidRPr="00B24E74" w:rsidRDefault="00B24E74" w:rsidP="00E1379F">
            <w:pPr>
              <w:jc w:val="center"/>
              <w:rPr>
                <w:b/>
                <w:bCs/>
                <w:sz w:val="24"/>
                <w:szCs w:val="24"/>
              </w:rPr>
            </w:pPr>
            <w:r w:rsidRPr="00B24E74">
              <w:rPr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B24E74" w:rsidRPr="00B24E74" w14:paraId="24DDC383" w14:textId="77777777" w:rsidTr="00B24E74">
        <w:trPr>
          <w:trHeight w:val="300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8BCB9" w14:textId="77777777" w:rsidR="00B24E74" w:rsidRPr="00B24E74" w:rsidRDefault="00B24E74" w:rsidP="00E1379F">
            <w:pPr>
              <w:jc w:val="center"/>
              <w:rPr>
                <w:bCs/>
                <w:sz w:val="24"/>
                <w:szCs w:val="24"/>
              </w:rPr>
            </w:pPr>
            <w:r w:rsidRPr="00B24E74">
              <w:rPr>
                <w:bCs/>
                <w:sz w:val="24"/>
                <w:szCs w:val="24"/>
              </w:rPr>
              <w:t>Rādītāji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CD54D" w14:textId="77777777" w:rsidR="00B24E74" w:rsidRPr="00B24E74" w:rsidRDefault="00B24E74" w:rsidP="00E1379F">
            <w:pPr>
              <w:jc w:val="center"/>
              <w:rPr>
                <w:bCs/>
                <w:sz w:val="24"/>
                <w:szCs w:val="24"/>
              </w:rPr>
            </w:pPr>
            <w:r w:rsidRPr="00B24E74">
              <w:rPr>
                <w:bCs/>
                <w:sz w:val="24"/>
                <w:szCs w:val="24"/>
              </w:rPr>
              <w:t>2018. gads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FF1D9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Turpmākie trīs gadi (</w:t>
            </w:r>
            <w:r w:rsidRPr="00B24E74">
              <w:rPr>
                <w:i/>
                <w:iCs/>
                <w:sz w:val="24"/>
                <w:szCs w:val="24"/>
              </w:rPr>
              <w:t>euro</w:t>
            </w:r>
            <w:r w:rsidRPr="00B24E74">
              <w:rPr>
                <w:sz w:val="24"/>
                <w:szCs w:val="24"/>
              </w:rPr>
              <w:t>)</w:t>
            </w:r>
          </w:p>
        </w:tc>
      </w:tr>
      <w:tr w:rsidR="00B24E74" w:rsidRPr="00B24E74" w14:paraId="61E47940" w14:textId="77777777" w:rsidTr="00B24E74">
        <w:trPr>
          <w:trHeight w:val="300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3C79" w14:textId="77777777" w:rsidR="00B24E74" w:rsidRPr="00B24E74" w:rsidRDefault="00B24E74" w:rsidP="00E137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DD86" w14:textId="77777777" w:rsidR="00B24E74" w:rsidRPr="00B24E74" w:rsidRDefault="00B24E74" w:rsidP="00E137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D4947" w14:textId="77777777" w:rsidR="00B24E74" w:rsidRPr="00B24E74" w:rsidRDefault="00B24E74" w:rsidP="00B24E74">
            <w:pPr>
              <w:rPr>
                <w:bCs/>
                <w:sz w:val="24"/>
                <w:szCs w:val="24"/>
              </w:rPr>
            </w:pPr>
            <w:r w:rsidRPr="00B24E74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0FC57" w14:textId="77777777" w:rsidR="00B24E74" w:rsidRPr="00B24E74" w:rsidRDefault="00B24E74" w:rsidP="00B24E74">
            <w:pPr>
              <w:rPr>
                <w:bCs/>
                <w:sz w:val="24"/>
                <w:szCs w:val="24"/>
              </w:rPr>
            </w:pPr>
            <w:r w:rsidRPr="00B24E7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D5D63" w14:textId="77777777" w:rsidR="00B24E74" w:rsidRPr="00B24E74" w:rsidRDefault="00B24E74" w:rsidP="00B24E74">
            <w:pPr>
              <w:ind w:firstLine="0"/>
              <w:rPr>
                <w:bCs/>
                <w:sz w:val="24"/>
                <w:szCs w:val="24"/>
              </w:rPr>
            </w:pPr>
            <w:r w:rsidRPr="00B24E74">
              <w:rPr>
                <w:bCs/>
                <w:sz w:val="24"/>
                <w:szCs w:val="24"/>
              </w:rPr>
              <w:t>2021</w:t>
            </w:r>
          </w:p>
        </w:tc>
      </w:tr>
      <w:tr w:rsidR="00B24E74" w:rsidRPr="00B24E74" w14:paraId="22E86C1E" w14:textId="77777777" w:rsidTr="00B24E74">
        <w:trPr>
          <w:trHeight w:val="1785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87BC" w14:textId="77777777" w:rsidR="00B24E74" w:rsidRPr="00B24E74" w:rsidRDefault="00B24E74" w:rsidP="00E137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FF7F6" w14:textId="77777777" w:rsidR="00B24E74" w:rsidRPr="00B24E74" w:rsidRDefault="00B24E74" w:rsidP="00B24E74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saskaņā ar valsts budžetu kārtējam gadam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868D8" w14:textId="77777777" w:rsidR="00B24E74" w:rsidRPr="00B24E74" w:rsidRDefault="00B24E74" w:rsidP="00B24E74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ADD17" w14:textId="77777777" w:rsidR="00B24E74" w:rsidRPr="00B24E74" w:rsidRDefault="00B24E74" w:rsidP="00B24E74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saskaņā ar vidēja termiņa budžeta ietvaru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0A527" w14:textId="2C63C72F" w:rsidR="00B24E74" w:rsidRPr="00B24E74" w:rsidRDefault="00B24E74" w:rsidP="00C734B0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izmaiņas, salīdzinot ar v</w:t>
            </w:r>
            <w:r w:rsidR="00C734B0">
              <w:rPr>
                <w:sz w:val="24"/>
                <w:szCs w:val="24"/>
              </w:rPr>
              <w:t>idēja termiņa budžeta ietvaru 2019</w:t>
            </w:r>
            <w:r w:rsidR="00630A51">
              <w:rPr>
                <w:sz w:val="24"/>
                <w:szCs w:val="24"/>
              </w:rPr>
              <w:t>.</w:t>
            </w:r>
            <w:r w:rsidRPr="00B24E74">
              <w:rPr>
                <w:sz w:val="24"/>
                <w:szCs w:val="24"/>
              </w:rPr>
              <w:t xml:space="preserve"> gadam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CB54B" w14:textId="77777777" w:rsidR="00B24E74" w:rsidRPr="00B24E74" w:rsidRDefault="00B24E74" w:rsidP="00B24E74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saskaņā ar vidēja termiņa budžeta ietvaru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3B5D9" w14:textId="20FABB17" w:rsidR="00B24E74" w:rsidRPr="00B24E74" w:rsidRDefault="00B24E74" w:rsidP="00C734B0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 xml:space="preserve">izmaiņas, salīdzinot ar vidēja termiņa budžeta ietvaru </w:t>
            </w:r>
            <w:r w:rsidR="00C734B0">
              <w:rPr>
                <w:sz w:val="24"/>
                <w:szCs w:val="24"/>
              </w:rPr>
              <w:t>2020.</w:t>
            </w:r>
            <w:r w:rsidRPr="00B24E74">
              <w:rPr>
                <w:sz w:val="24"/>
                <w:szCs w:val="24"/>
              </w:rPr>
              <w:t xml:space="preserve"> gadam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3F0C4" w14:textId="1FC35DE0" w:rsidR="00B24E74" w:rsidRPr="00B24E74" w:rsidRDefault="00B24E74" w:rsidP="00C734B0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 xml:space="preserve">izmaiņas, salīdzinot ar vidēja termiņa budžeta ietvaru </w:t>
            </w:r>
            <w:r w:rsidR="00C734B0">
              <w:rPr>
                <w:sz w:val="24"/>
                <w:szCs w:val="24"/>
              </w:rPr>
              <w:t>2020.</w:t>
            </w:r>
            <w:r w:rsidR="00C514F5">
              <w:rPr>
                <w:sz w:val="24"/>
                <w:szCs w:val="24"/>
              </w:rPr>
              <w:t xml:space="preserve"> </w:t>
            </w:r>
            <w:r w:rsidRPr="00B24E74">
              <w:rPr>
                <w:sz w:val="24"/>
                <w:szCs w:val="24"/>
              </w:rPr>
              <w:t>gadam</w:t>
            </w:r>
          </w:p>
        </w:tc>
      </w:tr>
      <w:tr w:rsidR="00B24E74" w:rsidRPr="00B24E74" w14:paraId="34E7C669" w14:textId="77777777" w:rsidTr="00B24E74">
        <w:trPr>
          <w:trHeight w:val="30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8775E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81B08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1B921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7FBCE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3FF5B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800A6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DE228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9EA21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8</w:t>
            </w:r>
          </w:p>
        </w:tc>
      </w:tr>
      <w:tr w:rsidR="00B24E74" w:rsidRPr="00B24E74" w14:paraId="32A281FF" w14:textId="77777777" w:rsidTr="00B24E74">
        <w:trPr>
          <w:trHeight w:val="18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37C7E" w14:textId="77777777" w:rsidR="00B24E74" w:rsidRPr="00B24E74" w:rsidRDefault="00B24E74" w:rsidP="00B24E74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1. Budžeta ieņēmumi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BB928" w14:textId="1C7CF9DF" w:rsidR="00B24E74" w:rsidRPr="00B24E74" w:rsidRDefault="0035404C" w:rsidP="00337506">
            <w:pPr>
              <w:ind w:firstLine="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ADCAB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05B40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95288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012A8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689C6A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538D8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</w:tr>
      <w:tr w:rsidR="00B24E74" w:rsidRPr="00B24E74" w14:paraId="2C95610A" w14:textId="77777777" w:rsidTr="00B24E74">
        <w:trPr>
          <w:trHeight w:val="135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F113" w14:textId="77777777" w:rsidR="00B24E74" w:rsidRPr="00B24E74" w:rsidRDefault="00B24E74" w:rsidP="00B24E74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2CCA" w14:textId="3DA1E490" w:rsidR="00B24E74" w:rsidRPr="00B24E74" w:rsidRDefault="0035404C" w:rsidP="00337506">
            <w:pPr>
              <w:ind w:firstLine="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EE6B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38B8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A704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0974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7CDB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D5F8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</w:tr>
      <w:tr w:rsidR="00B24E74" w:rsidRPr="00B24E74" w14:paraId="19F2BCD0" w14:textId="77777777" w:rsidTr="00B24E74">
        <w:trPr>
          <w:trHeight w:val="51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7D38" w14:textId="77777777" w:rsidR="00B24E74" w:rsidRPr="00B24E74" w:rsidRDefault="00B24E74" w:rsidP="00B24E74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1.2. valsts speciālais budžets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BD36" w14:textId="6464F778" w:rsidR="00B24E74" w:rsidRPr="00B24E74" w:rsidRDefault="00337506" w:rsidP="003375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24E74"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A1CD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FF80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BD05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5BC1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ED62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7C27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</w:tr>
      <w:tr w:rsidR="00B24E74" w:rsidRPr="00B24E74" w14:paraId="4905A4C3" w14:textId="77777777" w:rsidTr="00B24E74">
        <w:trPr>
          <w:trHeight w:val="51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2679" w14:textId="77777777" w:rsidR="00B24E74" w:rsidRPr="00B24E74" w:rsidRDefault="00B24E74" w:rsidP="00B24E74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1.3. pašvaldību budžets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9831" w14:textId="1076A5A4" w:rsidR="00B24E74" w:rsidRPr="00B24E74" w:rsidRDefault="00337506" w:rsidP="003375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24E74"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7E64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C66E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266E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A13D8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0827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B355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</w:tr>
      <w:tr w:rsidR="00B24E74" w:rsidRPr="00B24E74" w14:paraId="67751B19" w14:textId="77777777" w:rsidTr="00B24E74">
        <w:trPr>
          <w:trHeight w:val="30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A15B" w14:textId="77777777" w:rsidR="00B24E74" w:rsidRPr="00B24E74" w:rsidRDefault="00B24E74" w:rsidP="00B24E74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2. Budžeta izdevumi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1C11" w14:textId="18E868D7" w:rsidR="00B24E74" w:rsidRPr="00B24E74" w:rsidRDefault="0035404C" w:rsidP="0035404C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8353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0E79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1399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8DAE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0F6C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7973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</w:tr>
      <w:tr w:rsidR="00B24E74" w:rsidRPr="00B24E74" w14:paraId="331CF237" w14:textId="77777777" w:rsidTr="00B24E74">
        <w:trPr>
          <w:trHeight w:val="51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84B2" w14:textId="77777777" w:rsidR="00B24E74" w:rsidRPr="00B24E74" w:rsidRDefault="00B24E74" w:rsidP="00B24E74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2.1. valsts pamatbudžets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68BF" w14:textId="738A9999" w:rsidR="00B24E74" w:rsidRPr="00B24E74" w:rsidRDefault="0035404C" w:rsidP="0035404C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3730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F112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2811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D690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E299B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EA3D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</w:tr>
      <w:tr w:rsidR="00B24E74" w:rsidRPr="00B24E74" w14:paraId="78AFFEA0" w14:textId="77777777" w:rsidTr="00B24E74">
        <w:trPr>
          <w:trHeight w:val="51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E977" w14:textId="77777777" w:rsidR="00B24E74" w:rsidRPr="00B24E74" w:rsidRDefault="00B24E74" w:rsidP="00B24E74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2.2. valsts speciālais budžets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70FF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965E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62AC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  <w:p w14:paraId="5FFB481C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3C07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BAED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DC88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1D5C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</w:tr>
      <w:tr w:rsidR="00B24E74" w:rsidRPr="00B24E74" w14:paraId="37BAF8CA" w14:textId="77777777" w:rsidTr="00B24E74">
        <w:trPr>
          <w:trHeight w:val="51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46C6" w14:textId="77777777" w:rsidR="00B24E74" w:rsidRPr="00B24E74" w:rsidRDefault="00B24E74" w:rsidP="00B24E74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2.3. pašvaldību budžets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DD24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854C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7892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4936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8418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60A4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37D8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</w:tr>
      <w:tr w:rsidR="00B24E74" w:rsidRPr="00B24E74" w14:paraId="36B83E15" w14:textId="77777777" w:rsidTr="00B24E74">
        <w:trPr>
          <w:trHeight w:val="222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3461" w14:textId="77777777" w:rsidR="00B24E74" w:rsidRPr="00B24E74" w:rsidRDefault="00B24E74" w:rsidP="00B24E74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3. Finansiālā ietekme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27C2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1200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3948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4A3B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B9C9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33B4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5882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</w:tr>
      <w:tr w:rsidR="00B24E74" w:rsidRPr="00B24E74" w14:paraId="375A8B15" w14:textId="77777777" w:rsidTr="00B24E74">
        <w:trPr>
          <w:trHeight w:val="51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70B6" w14:textId="77777777" w:rsidR="00B24E74" w:rsidRPr="00B24E74" w:rsidRDefault="00B24E74" w:rsidP="00B24E74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3.1. valsts pamatbudžets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E218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5C62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CEC8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8475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4004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A62E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180E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</w:tr>
      <w:tr w:rsidR="00B24E74" w:rsidRPr="00B24E74" w14:paraId="51E90C59" w14:textId="77777777" w:rsidTr="00B24E74">
        <w:trPr>
          <w:trHeight w:val="32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6EBC" w14:textId="77777777" w:rsidR="00B24E74" w:rsidRPr="00B24E74" w:rsidRDefault="00B24E74" w:rsidP="00B24E74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3.2. speciālais budžets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EE6C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940E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A95D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2B2D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47C0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4188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BB65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</w:tr>
      <w:tr w:rsidR="00B24E74" w:rsidRPr="00B24E74" w14:paraId="053882DA" w14:textId="77777777" w:rsidTr="00B24E74">
        <w:trPr>
          <w:trHeight w:val="51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9981" w14:textId="77777777" w:rsidR="00B24E74" w:rsidRPr="00B24E74" w:rsidRDefault="00B24E74" w:rsidP="00B24E74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3.3. pašvaldību budžets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EEA3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B7F5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1C8E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3273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4ED5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E7D1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1DBB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</w:tr>
      <w:tr w:rsidR="00B24E74" w:rsidRPr="00B24E74" w14:paraId="75B357DE" w14:textId="77777777" w:rsidTr="00B24E74">
        <w:trPr>
          <w:trHeight w:val="849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9898" w14:textId="77777777" w:rsidR="00B24E74" w:rsidRPr="00B24E74" w:rsidRDefault="00B24E74" w:rsidP="00B24E74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 xml:space="preserve">4. Finanšu līdzekļi papildu izdevumu finansēšanai (kompensējošu </w:t>
            </w:r>
            <w:r w:rsidRPr="00B24E74">
              <w:rPr>
                <w:sz w:val="24"/>
                <w:szCs w:val="24"/>
              </w:rPr>
              <w:lastRenderedPageBreak/>
              <w:t>izdevumu samazinājumu norāda ar "+" zīmi)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F04A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</w:p>
          <w:p w14:paraId="2110FE08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</w:p>
          <w:p w14:paraId="23EE46C2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</w:p>
          <w:p w14:paraId="071D4FC1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</w:p>
          <w:p w14:paraId="0A895956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4F0E3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1A97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02CD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3430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D460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56E5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</w:tr>
      <w:tr w:rsidR="00B24E74" w:rsidRPr="00B24E74" w14:paraId="64E53049" w14:textId="77777777" w:rsidTr="00B24E74">
        <w:trPr>
          <w:trHeight w:val="51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E731" w14:textId="77777777" w:rsidR="00B24E74" w:rsidRPr="00B24E74" w:rsidRDefault="00B24E74" w:rsidP="00B24E74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5. Precizēta finansiālā ietekme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3345" w14:textId="77777777" w:rsidR="00B24E74" w:rsidRPr="00B24E74" w:rsidRDefault="00B24E74" w:rsidP="00E1379F">
            <w:pPr>
              <w:rPr>
                <w:sz w:val="24"/>
                <w:szCs w:val="24"/>
              </w:rPr>
            </w:pPr>
          </w:p>
          <w:p w14:paraId="4B13AA45" w14:textId="77777777" w:rsidR="00B24E74" w:rsidRPr="00B24E74" w:rsidRDefault="00B24E74" w:rsidP="00E1379F">
            <w:pPr>
              <w:rPr>
                <w:sz w:val="24"/>
                <w:szCs w:val="24"/>
              </w:rPr>
            </w:pPr>
          </w:p>
          <w:p w14:paraId="4C77E87D" w14:textId="77777777" w:rsidR="00B24E74" w:rsidRPr="00B24E74" w:rsidRDefault="00B24E74" w:rsidP="00E1379F">
            <w:pPr>
              <w:rPr>
                <w:sz w:val="24"/>
                <w:szCs w:val="24"/>
              </w:rPr>
            </w:pPr>
          </w:p>
          <w:p w14:paraId="2F1EF1EE" w14:textId="77777777" w:rsidR="00B24E74" w:rsidRPr="00B24E74" w:rsidRDefault="00B24E74" w:rsidP="00E1379F">
            <w:pPr>
              <w:rPr>
                <w:sz w:val="24"/>
                <w:szCs w:val="24"/>
              </w:rPr>
            </w:pPr>
          </w:p>
          <w:p w14:paraId="51340E3A" w14:textId="77777777" w:rsidR="00B24E74" w:rsidRPr="00B24E74" w:rsidRDefault="00B24E74" w:rsidP="00E1379F">
            <w:pPr>
              <w:rPr>
                <w:sz w:val="24"/>
                <w:szCs w:val="24"/>
              </w:rPr>
            </w:pPr>
          </w:p>
          <w:p w14:paraId="5512ADF2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05D0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E1CA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EB6E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CE46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422D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7DCE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</w:tr>
      <w:tr w:rsidR="00B24E74" w:rsidRPr="00B24E74" w14:paraId="2361B4B6" w14:textId="77777777" w:rsidTr="00B24E74">
        <w:trPr>
          <w:trHeight w:val="51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A424D" w14:textId="77777777" w:rsidR="00B24E74" w:rsidRPr="00B24E74" w:rsidRDefault="00B24E74" w:rsidP="00B24E74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5.1. valsts pamatbudžets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5F63" w14:textId="77777777" w:rsidR="00B24E74" w:rsidRPr="00B24E74" w:rsidRDefault="00B24E74" w:rsidP="00E1379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2385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74E5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24ED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4043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171B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19FB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</w:tr>
      <w:tr w:rsidR="00B24E74" w:rsidRPr="00B24E74" w14:paraId="6651FFC0" w14:textId="77777777" w:rsidTr="00B24E74">
        <w:trPr>
          <w:trHeight w:val="21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6DC6" w14:textId="77777777" w:rsidR="00B24E74" w:rsidRPr="00B24E74" w:rsidRDefault="00B24E74" w:rsidP="00B24E74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5.2. speciālais budžets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45F5" w14:textId="77777777" w:rsidR="00B24E74" w:rsidRPr="00B24E74" w:rsidRDefault="00B24E74" w:rsidP="00E1379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99C0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3B1B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6B46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4F00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45C24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79D7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</w:tr>
      <w:tr w:rsidR="00B24E74" w:rsidRPr="00B24E74" w14:paraId="44D97B5B" w14:textId="77777777" w:rsidTr="00B24E74">
        <w:trPr>
          <w:trHeight w:val="51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5000" w14:textId="77777777" w:rsidR="00B24E74" w:rsidRPr="00B24E74" w:rsidRDefault="00B24E74" w:rsidP="00B24E74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5.3. pašvaldību budžets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F561" w14:textId="77777777" w:rsidR="00B24E74" w:rsidRPr="00B24E74" w:rsidRDefault="00B24E74" w:rsidP="00E1379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5AF0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74B7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6DEA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9741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6C03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68EF" w14:textId="77777777" w:rsidR="00B24E74" w:rsidRPr="00B24E74" w:rsidRDefault="00B24E74" w:rsidP="00E1379F">
            <w:pPr>
              <w:jc w:val="center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0</w:t>
            </w:r>
          </w:p>
        </w:tc>
      </w:tr>
      <w:tr w:rsidR="00B24E74" w:rsidRPr="00B24E74" w14:paraId="08B3A072" w14:textId="77777777" w:rsidTr="00B24E74">
        <w:trPr>
          <w:trHeight w:val="1869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E266D" w14:textId="77777777" w:rsidR="00B24E74" w:rsidRPr="00B24E74" w:rsidRDefault="00B24E74" w:rsidP="00B24E74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6. Detalizēts ieņēmumu un izdevumu aprēķins (ja nepieciešams, detalizētu ieņēmumu un izdevumu aprēķinu var pievienot anotācijas pielikumā)</w:t>
            </w:r>
          </w:p>
        </w:tc>
        <w:tc>
          <w:tcPr>
            <w:tcW w:w="77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7A2D" w14:textId="77777777" w:rsidR="002C5D69" w:rsidRDefault="002C5D69" w:rsidP="002C5D69">
            <w:pPr>
              <w:ind w:firstLine="0"/>
              <w:jc w:val="both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 xml:space="preserve">Projektam nav ietekmes uz valsts budžetu, jo papildu līdzekļi no valsts budžeta nav nepieciešami. </w:t>
            </w:r>
          </w:p>
          <w:p w14:paraId="44F511AB" w14:textId="7E2EB5F5" w:rsidR="00B24E74" w:rsidRPr="00B24E74" w:rsidRDefault="002C5D69" w:rsidP="002C5D6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L</w:t>
            </w:r>
            <w:r w:rsidRPr="0062646E">
              <w:rPr>
                <w:rFonts w:eastAsia="Times New Roman"/>
                <w:sz w:val="24"/>
                <w:szCs w:val="24"/>
                <w:lang w:eastAsia="lv-LV"/>
              </w:rPr>
              <w:t>ikum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ā</w:t>
            </w:r>
            <w:r w:rsidRPr="0062646E">
              <w:rPr>
                <w:rFonts w:eastAsia="Times New Roman"/>
                <w:sz w:val="24"/>
                <w:szCs w:val="24"/>
                <w:lang w:eastAsia="lv-LV"/>
              </w:rPr>
              <w:t xml:space="preserve"> “Par valsts budžetu 2018.gadam” Labklājības ministrijas  </w:t>
            </w:r>
            <w:r w:rsidRPr="00FB70D1">
              <w:rPr>
                <w:rFonts w:eastAsia="Times New Roman"/>
                <w:sz w:val="24"/>
                <w:szCs w:val="24"/>
                <w:lang w:eastAsia="lv-LV"/>
              </w:rPr>
              <w:t xml:space="preserve">apakšprogrammā 97.01.00 “Labklājības nozares vadība un politikas plānošana”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prioritārajam pasākumam </w:t>
            </w:r>
            <w:r w:rsidRPr="005C7AC9">
              <w:rPr>
                <w:rFonts w:eastAsia="Times New Roman"/>
                <w:i/>
                <w:sz w:val="24"/>
                <w:szCs w:val="24"/>
                <w:lang w:eastAsia="lv-LV"/>
              </w:rPr>
              <w:t>“Sociāla rakstura institūcijām kapacitātes stiprināšanai un sociālām programmām bērnu tiesību aizsardzības jomās un ar šiem pasākumiem saistīto IT sistēmu pielāgošanai”</w:t>
            </w:r>
            <w:r w:rsidRPr="005C7AC9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piešķirto līdzekļu (340 000 </w:t>
            </w:r>
            <w:r w:rsidRPr="005C7AC9">
              <w:rPr>
                <w:rFonts w:eastAsia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apmērā) </w:t>
            </w:r>
            <w:r w:rsidRPr="005C7AC9">
              <w:rPr>
                <w:rFonts w:eastAsia="Times New Roman"/>
                <w:sz w:val="24"/>
                <w:szCs w:val="24"/>
                <w:lang w:eastAsia="lv-LV"/>
              </w:rPr>
              <w:t xml:space="preserve">ietvaros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paredzēts finansējums</w:t>
            </w:r>
            <w:r w:rsidRPr="0062646E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     30 000 </w:t>
            </w:r>
            <w:r w:rsidRPr="005C7AC9">
              <w:rPr>
                <w:rFonts w:eastAsia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apmērā </w:t>
            </w:r>
            <w:r w:rsidRPr="0062646E">
              <w:rPr>
                <w:rFonts w:eastAsia="Times New Roman"/>
                <w:sz w:val="24"/>
                <w:szCs w:val="24"/>
                <w:lang w:eastAsia="lv-LV"/>
              </w:rPr>
              <w:t>pētījum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a veikšanai </w:t>
            </w:r>
            <w:r>
              <w:rPr>
                <w:bCs/>
                <w:sz w:val="24"/>
                <w:szCs w:val="24"/>
              </w:rPr>
              <w:t xml:space="preserve">Pamatnostādņu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gala novērtējumam</w:t>
            </w:r>
            <w:r w:rsidRPr="0062646E">
              <w:rPr>
                <w:rFonts w:eastAsia="Times New Roman"/>
                <w:sz w:val="24"/>
                <w:szCs w:val="24"/>
                <w:lang w:eastAsia="lv-LV"/>
              </w:rPr>
              <w:t xml:space="preserve"> (</w:t>
            </w:r>
            <w:r w:rsidRPr="00985C7A">
              <w:rPr>
                <w:rFonts w:eastAsia="Times New Roman"/>
                <w:i/>
                <w:sz w:val="24"/>
                <w:szCs w:val="24"/>
                <w:lang w:eastAsia="lv-LV"/>
              </w:rPr>
              <w:t>ex-post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).</w:t>
            </w:r>
          </w:p>
        </w:tc>
      </w:tr>
      <w:tr w:rsidR="00B24E74" w:rsidRPr="00B24E74" w14:paraId="61F26CEA" w14:textId="77777777" w:rsidTr="00B24E74">
        <w:trPr>
          <w:trHeight w:val="51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E84A" w14:textId="77777777" w:rsidR="00B24E74" w:rsidRPr="00B24E74" w:rsidRDefault="00B24E74" w:rsidP="00B24E74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6.1. detalizēts ieņēmumu aprēķins</w:t>
            </w:r>
          </w:p>
        </w:tc>
        <w:tc>
          <w:tcPr>
            <w:tcW w:w="77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4589" w14:textId="77777777" w:rsidR="00B24E74" w:rsidRPr="00B24E74" w:rsidRDefault="00B24E74" w:rsidP="00E1379F">
            <w:pPr>
              <w:rPr>
                <w:sz w:val="24"/>
                <w:szCs w:val="24"/>
              </w:rPr>
            </w:pPr>
          </w:p>
        </w:tc>
      </w:tr>
      <w:tr w:rsidR="00B24E74" w:rsidRPr="00B24E74" w14:paraId="755F893C" w14:textId="77777777" w:rsidTr="00B24E74">
        <w:trPr>
          <w:trHeight w:val="51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262D" w14:textId="77777777" w:rsidR="00B24E74" w:rsidRPr="00B24E74" w:rsidRDefault="00B24E74" w:rsidP="00B24E74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6.2. detalizēts izdevumu aprēķins</w:t>
            </w:r>
          </w:p>
        </w:tc>
        <w:tc>
          <w:tcPr>
            <w:tcW w:w="77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45AC" w14:textId="77777777" w:rsidR="00B24E74" w:rsidRPr="00B24E74" w:rsidRDefault="00B24E74" w:rsidP="00E1379F">
            <w:pPr>
              <w:rPr>
                <w:sz w:val="24"/>
                <w:szCs w:val="24"/>
              </w:rPr>
            </w:pPr>
          </w:p>
        </w:tc>
      </w:tr>
      <w:tr w:rsidR="00B24E74" w:rsidRPr="00B24E74" w14:paraId="0A84CDB1" w14:textId="77777777" w:rsidTr="00B24E74">
        <w:trPr>
          <w:trHeight w:val="50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B403" w14:textId="77777777" w:rsidR="00B24E74" w:rsidRPr="00B24E74" w:rsidRDefault="00B24E74" w:rsidP="00B24E74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7. Amata vietu skaita izmaiņas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C29D" w14:textId="781E7080" w:rsidR="00B24E74" w:rsidRPr="00B24E74" w:rsidRDefault="00B24E74" w:rsidP="009E09DC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Projekts šo jomu neskar</w:t>
            </w:r>
            <w:r w:rsidR="009E09DC">
              <w:rPr>
                <w:sz w:val="24"/>
                <w:szCs w:val="24"/>
              </w:rPr>
              <w:t>.</w:t>
            </w:r>
          </w:p>
        </w:tc>
      </w:tr>
      <w:tr w:rsidR="00B24E74" w:rsidRPr="00B24E74" w14:paraId="77ED5E49" w14:textId="77777777" w:rsidTr="00B24E74">
        <w:trPr>
          <w:trHeight w:val="77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ABCF" w14:textId="77777777" w:rsidR="00B24E74" w:rsidRPr="00B24E74" w:rsidRDefault="00B24E74" w:rsidP="00B24E74">
            <w:pPr>
              <w:ind w:firstLine="0"/>
              <w:rPr>
                <w:sz w:val="24"/>
                <w:szCs w:val="24"/>
              </w:rPr>
            </w:pPr>
            <w:r w:rsidRPr="00B24E74">
              <w:rPr>
                <w:sz w:val="24"/>
                <w:szCs w:val="24"/>
              </w:rPr>
              <w:t>8. Cita informācija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F9FF" w14:textId="61077F40" w:rsidR="00B24E74" w:rsidRPr="00B24E74" w:rsidRDefault="002C5D69" w:rsidP="00E267C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Nav.</w:t>
            </w:r>
          </w:p>
        </w:tc>
      </w:tr>
    </w:tbl>
    <w:p w14:paraId="68470EA1" w14:textId="77777777" w:rsidR="00B24E74" w:rsidRDefault="00B24E74" w:rsidP="00B24E74">
      <w:pPr>
        <w:pStyle w:val="NormalWeb"/>
        <w:rPr>
          <w:b/>
          <w:szCs w:val="24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B24E74" w:rsidRPr="00E22E21" w14:paraId="3CC12CCF" w14:textId="77777777" w:rsidTr="00E1379F">
        <w:tc>
          <w:tcPr>
            <w:tcW w:w="9414" w:type="dxa"/>
          </w:tcPr>
          <w:p w14:paraId="090916ED" w14:textId="77777777" w:rsidR="00B24E74" w:rsidRPr="00E22E21" w:rsidRDefault="00B24E74" w:rsidP="00E1379F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E22E21">
              <w:rPr>
                <w:b/>
                <w:color w:val="000000"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B24E74" w:rsidRPr="00E22E21" w14:paraId="1F93BF16" w14:textId="77777777" w:rsidTr="00E1379F">
        <w:tc>
          <w:tcPr>
            <w:tcW w:w="9414" w:type="dxa"/>
          </w:tcPr>
          <w:p w14:paraId="59E0C934" w14:textId="77777777" w:rsidR="00B24E74" w:rsidRPr="00E22E21" w:rsidRDefault="00B24E74" w:rsidP="00E1379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E22E21">
              <w:rPr>
                <w:color w:val="000000"/>
                <w:sz w:val="24"/>
                <w:szCs w:val="24"/>
              </w:rPr>
              <w:t>Projekts šo jomu neskar</w:t>
            </w:r>
          </w:p>
        </w:tc>
      </w:tr>
    </w:tbl>
    <w:p w14:paraId="021677C0" w14:textId="77777777" w:rsidR="00B24E74" w:rsidRDefault="00B24E74" w:rsidP="00B24E74">
      <w:pPr>
        <w:jc w:val="both"/>
        <w:rPr>
          <w:color w:val="000000"/>
          <w:sz w:val="24"/>
          <w:szCs w:val="24"/>
        </w:rPr>
      </w:pPr>
    </w:p>
    <w:p w14:paraId="1DDF73B1" w14:textId="77777777" w:rsidR="00FE0AAF" w:rsidRPr="00E22E21" w:rsidRDefault="00FE0AAF" w:rsidP="00B24E74">
      <w:pPr>
        <w:jc w:val="both"/>
        <w:rPr>
          <w:color w:val="000000"/>
          <w:sz w:val="24"/>
          <w:szCs w:val="24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B24E74" w:rsidRPr="00E22E21" w14:paraId="25BFEE0C" w14:textId="77777777" w:rsidTr="00E1379F">
        <w:tc>
          <w:tcPr>
            <w:tcW w:w="9414" w:type="dxa"/>
          </w:tcPr>
          <w:p w14:paraId="32FCC28A" w14:textId="77777777" w:rsidR="00B24E74" w:rsidRPr="00E22E21" w:rsidRDefault="00B24E74" w:rsidP="00E1379F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E22E21">
              <w:rPr>
                <w:b/>
                <w:color w:val="000000"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B24E74" w:rsidRPr="00E22E21" w14:paraId="7F1A5FC1" w14:textId="77777777" w:rsidTr="00E1379F">
        <w:tc>
          <w:tcPr>
            <w:tcW w:w="9414" w:type="dxa"/>
          </w:tcPr>
          <w:p w14:paraId="4F1BF888" w14:textId="77777777" w:rsidR="00B24E74" w:rsidRPr="00E22E21" w:rsidRDefault="00B24E74" w:rsidP="00E1379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E22E21">
              <w:rPr>
                <w:color w:val="000000"/>
                <w:sz w:val="24"/>
                <w:szCs w:val="24"/>
              </w:rPr>
              <w:t>Projekts šo jomu neskar</w:t>
            </w:r>
          </w:p>
        </w:tc>
      </w:tr>
    </w:tbl>
    <w:p w14:paraId="31D873F6" w14:textId="77777777" w:rsidR="00B24E74" w:rsidRPr="00E22E21" w:rsidRDefault="00B24E74" w:rsidP="00B24E74">
      <w:pPr>
        <w:jc w:val="both"/>
        <w:rPr>
          <w:color w:val="000000"/>
          <w:sz w:val="24"/>
          <w:szCs w:val="24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B24E74" w:rsidRPr="00E22E21" w14:paraId="1A724591" w14:textId="77777777" w:rsidTr="00E1379F">
        <w:tc>
          <w:tcPr>
            <w:tcW w:w="9414" w:type="dxa"/>
          </w:tcPr>
          <w:p w14:paraId="57E58027" w14:textId="77777777" w:rsidR="00B24E74" w:rsidRPr="00E22E21" w:rsidRDefault="00B24E74" w:rsidP="00E1379F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E22E21">
              <w:rPr>
                <w:b/>
                <w:color w:val="000000"/>
                <w:sz w:val="24"/>
                <w:szCs w:val="24"/>
              </w:rPr>
              <w:lastRenderedPageBreak/>
              <w:t>VI. Sabiedrības līdzdalība un komunikācijas aktivitātes</w:t>
            </w:r>
          </w:p>
        </w:tc>
      </w:tr>
      <w:tr w:rsidR="00B24E74" w:rsidRPr="00E22E21" w14:paraId="2FB13FE9" w14:textId="77777777" w:rsidTr="00E1379F">
        <w:tc>
          <w:tcPr>
            <w:tcW w:w="9414" w:type="dxa"/>
          </w:tcPr>
          <w:p w14:paraId="2CE386A5" w14:textId="77777777" w:rsidR="00B24E74" w:rsidRPr="00E22E21" w:rsidRDefault="00B24E74" w:rsidP="00E1379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E22E21">
              <w:rPr>
                <w:color w:val="000000"/>
                <w:sz w:val="24"/>
                <w:szCs w:val="24"/>
              </w:rPr>
              <w:t>Projekts šo jomu neskar</w:t>
            </w:r>
          </w:p>
        </w:tc>
      </w:tr>
    </w:tbl>
    <w:p w14:paraId="43472EF7" w14:textId="77777777" w:rsidR="008D0153" w:rsidRDefault="008D0153" w:rsidP="005808BA">
      <w:pPr>
        <w:tabs>
          <w:tab w:val="left" w:pos="6237"/>
        </w:tabs>
        <w:ind w:firstLine="0"/>
        <w:rPr>
          <w:sz w:val="24"/>
          <w:szCs w:val="24"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1"/>
      </w:tblGrid>
      <w:tr w:rsidR="00FE593A" w:rsidRPr="00FE593A" w14:paraId="7CABECB7" w14:textId="77777777" w:rsidTr="00FE593A">
        <w:trPr>
          <w:trHeight w:val="381"/>
          <w:jc w:val="center"/>
        </w:trPr>
        <w:tc>
          <w:tcPr>
            <w:tcW w:w="9331" w:type="dxa"/>
            <w:vAlign w:val="center"/>
          </w:tcPr>
          <w:p w14:paraId="0A626AE8" w14:textId="77777777" w:rsidR="00FE593A" w:rsidRPr="00FE593A" w:rsidRDefault="00FE593A" w:rsidP="00E1379F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color w:val="000000"/>
              </w:rPr>
            </w:pPr>
            <w:r w:rsidRPr="00FE593A">
              <w:rPr>
                <w:b/>
                <w:color w:val="000000"/>
              </w:rPr>
              <w:t>VII. Tiesību akta projekta izpildes nodrošināšana un tās ietekme uz institūcijām</w:t>
            </w:r>
          </w:p>
        </w:tc>
      </w:tr>
      <w:tr w:rsidR="00214A36" w:rsidRPr="00FE593A" w14:paraId="62572BE2" w14:textId="77777777" w:rsidTr="005E79CA">
        <w:trPr>
          <w:trHeight w:val="427"/>
          <w:jc w:val="center"/>
        </w:trPr>
        <w:tc>
          <w:tcPr>
            <w:tcW w:w="9331" w:type="dxa"/>
          </w:tcPr>
          <w:p w14:paraId="6225E1E0" w14:textId="653DB3F2" w:rsidR="00214A36" w:rsidRPr="00FE593A" w:rsidRDefault="00214A36" w:rsidP="00214A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22E21">
              <w:rPr>
                <w:color w:val="000000"/>
                <w:sz w:val="24"/>
                <w:szCs w:val="24"/>
              </w:rPr>
              <w:t>Projekts šo jomu neskar</w:t>
            </w:r>
          </w:p>
        </w:tc>
      </w:tr>
    </w:tbl>
    <w:p w14:paraId="200B07B3" w14:textId="77777777" w:rsidR="00FE593A" w:rsidRPr="005F3FC7" w:rsidRDefault="00FE593A" w:rsidP="00FE593A">
      <w:pPr>
        <w:rPr>
          <w:color w:val="000000"/>
        </w:rPr>
      </w:pPr>
    </w:p>
    <w:p w14:paraId="5D5DDEBC" w14:textId="77777777" w:rsidR="00FE593A" w:rsidRDefault="00FE593A" w:rsidP="005808BA">
      <w:pPr>
        <w:tabs>
          <w:tab w:val="left" w:pos="6237"/>
        </w:tabs>
        <w:ind w:firstLine="0"/>
        <w:rPr>
          <w:sz w:val="24"/>
          <w:szCs w:val="24"/>
        </w:rPr>
      </w:pPr>
    </w:p>
    <w:p w14:paraId="7536B01B" w14:textId="77777777" w:rsidR="00FE593A" w:rsidRDefault="00FE593A" w:rsidP="005808BA">
      <w:pPr>
        <w:tabs>
          <w:tab w:val="left" w:pos="6237"/>
        </w:tabs>
        <w:ind w:firstLine="0"/>
        <w:rPr>
          <w:sz w:val="24"/>
          <w:szCs w:val="24"/>
        </w:rPr>
      </w:pPr>
    </w:p>
    <w:p w14:paraId="4E0EE588" w14:textId="77777777" w:rsidR="00FE593A" w:rsidRDefault="00FE593A" w:rsidP="005808BA">
      <w:pPr>
        <w:tabs>
          <w:tab w:val="left" w:pos="6237"/>
        </w:tabs>
        <w:ind w:firstLine="0"/>
        <w:rPr>
          <w:sz w:val="24"/>
          <w:szCs w:val="24"/>
        </w:rPr>
      </w:pPr>
    </w:p>
    <w:p w14:paraId="2C8877A3" w14:textId="77777777" w:rsidR="00FE593A" w:rsidRPr="00E22E21" w:rsidRDefault="00FE593A" w:rsidP="005808BA">
      <w:pPr>
        <w:tabs>
          <w:tab w:val="left" w:pos="6237"/>
        </w:tabs>
        <w:ind w:firstLine="0"/>
        <w:rPr>
          <w:sz w:val="24"/>
          <w:szCs w:val="24"/>
        </w:rPr>
      </w:pPr>
    </w:p>
    <w:p w14:paraId="1CE194C5" w14:textId="5830B0CD" w:rsidR="008D0153" w:rsidRPr="008D0153" w:rsidRDefault="008D0153" w:rsidP="00B43114">
      <w:pPr>
        <w:tabs>
          <w:tab w:val="left" w:pos="6237"/>
        </w:tabs>
        <w:ind w:firstLine="0"/>
        <w:rPr>
          <w:sz w:val="24"/>
          <w:szCs w:val="24"/>
        </w:rPr>
      </w:pPr>
      <w:r w:rsidRPr="008D0153">
        <w:rPr>
          <w:sz w:val="24"/>
          <w:szCs w:val="24"/>
        </w:rPr>
        <w:t>Labklājības ministrs</w:t>
      </w:r>
      <w:r w:rsidRPr="008D0153">
        <w:rPr>
          <w:sz w:val="24"/>
          <w:szCs w:val="24"/>
        </w:rPr>
        <w:tab/>
        <w:t xml:space="preserve">                       </w:t>
      </w:r>
      <w:r w:rsidR="003B6CD8">
        <w:rPr>
          <w:sz w:val="24"/>
          <w:szCs w:val="24"/>
        </w:rPr>
        <w:t xml:space="preserve">     </w:t>
      </w:r>
      <w:r w:rsidRPr="008D0153">
        <w:rPr>
          <w:sz w:val="24"/>
          <w:szCs w:val="24"/>
        </w:rPr>
        <w:t>J.Reirs</w:t>
      </w:r>
    </w:p>
    <w:p w14:paraId="151517A5" w14:textId="77777777" w:rsidR="008D0153" w:rsidRPr="008D0153" w:rsidRDefault="008D0153" w:rsidP="008D0153">
      <w:pPr>
        <w:tabs>
          <w:tab w:val="left" w:pos="6237"/>
        </w:tabs>
        <w:rPr>
          <w:sz w:val="24"/>
          <w:szCs w:val="24"/>
        </w:rPr>
      </w:pPr>
    </w:p>
    <w:p w14:paraId="6538D2C1" w14:textId="5014C548" w:rsidR="008D0153" w:rsidRPr="008D0153" w:rsidRDefault="008D0153" w:rsidP="00B43114">
      <w:pPr>
        <w:ind w:firstLine="0"/>
        <w:rPr>
          <w:sz w:val="24"/>
          <w:szCs w:val="24"/>
        </w:rPr>
      </w:pPr>
      <w:r w:rsidRPr="008D0153">
        <w:rPr>
          <w:sz w:val="24"/>
          <w:szCs w:val="24"/>
        </w:rPr>
        <w:t>Vīza: valsts sekretārs</w:t>
      </w:r>
      <w:r w:rsidRPr="008D0153">
        <w:rPr>
          <w:sz w:val="24"/>
          <w:szCs w:val="24"/>
        </w:rPr>
        <w:tab/>
        <w:t xml:space="preserve">                                                                                  </w:t>
      </w:r>
      <w:r w:rsidR="003B6CD8">
        <w:rPr>
          <w:sz w:val="24"/>
          <w:szCs w:val="24"/>
        </w:rPr>
        <w:t xml:space="preserve">  </w:t>
      </w:r>
      <w:r w:rsidR="00B43114">
        <w:rPr>
          <w:sz w:val="24"/>
          <w:szCs w:val="24"/>
        </w:rPr>
        <w:t xml:space="preserve">           </w:t>
      </w:r>
      <w:r w:rsidRPr="008D0153">
        <w:rPr>
          <w:sz w:val="24"/>
          <w:szCs w:val="24"/>
        </w:rPr>
        <w:t>I.Alliks</w:t>
      </w:r>
    </w:p>
    <w:p w14:paraId="79E713F9" w14:textId="09840B5D" w:rsidR="008D0153" w:rsidRPr="009A5139" w:rsidRDefault="008D0153" w:rsidP="009A5139">
      <w:pPr>
        <w:rPr>
          <w:sz w:val="24"/>
          <w:szCs w:val="24"/>
        </w:rPr>
      </w:pPr>
      <w:r w:rsidRPr="008D0153">
        <w:rPr>
          <w:sz w:val="24"/>
          <w:szCs w:val="24"/>
        </w:rPr>
        <w:t xml:space="preserve">     </w:t>
      </w:r>
    </w:p>
    <w:p w14:paraId="30F62527" w14:textId="6A2AC4C5" w:rsidR="008D0153" w:rsidRDefault="008D0153" w:rsidP="00967817">
      <w:r>
        <w:t xml:space="preserve">  </w:t>
      </w:r>
    </w:p>
    <w:p w14:paraId="05CB9B6D" w14:textId="77777777" w:rsidR="00967817" w:rsidRDefault="00967817" w:rsidP="00967817"/>
    <w:p w14:paraId="66B88672" w14:textId="77777777" w:rsidR="005E4F60" w:rsidRDefault="005E4F60" w:rsidP="00967817"/>
    <w:p w14:paraId="500AA665" w14:textId="77777777" w:rsidR="005E4F60" w:rsidRDefault="005E4F60" w:rsidP="00967817"/>
    <w:p w14:paraId="439E4882" w14:textId="77777777" w:rsidR="005E4F60" w:rsidRDefault="005E4F60" w:rsidP="00967817"/>
    <w:p w14:paraId="2A507892" w14:textId="77777777" w:rsidR="005E4F60" w:rsidRDefault="005E4F60" w:rsidP="00967817"/>
    <w:p w14:paraId="6C2E4E9B" w14:textId="77777777" w:rsidR="005E4F60" w:rsidRDefault="005E4F60" w:rsidP="00967817">
      <w:bookmarkStart w:id="0" w:name="_GoBack"/>
      <w:bookmarkEnd w:id="0"/>
    </w:p>
    <w:p w14:paraId="478A7AC8" w14:textId="77777777" w:rsidR="005E4F60" w:rsidRDefault="005E4F60" w:rsidP="00967817"/>
    <w:p w14:paraId="269528D8" w14:textId="77777777" w:rsidR="005E4F60" w:rsidRDefault="005E4F60" w:rsidP="00967817"/>
    <w:p w14:paraId="434CA64F" w14:textId="77777777" w:rsidR="005E4F60" w:rsidRDefault="005E4F60" w:rsidP="00967817"/>
    <w:p w14:paraId="6E94F53F" w14:textId="77777777" w:rsidR="005E4F60" w:rsidRDefault="005E4F60" w:rsidP="00967817"/>
    <w:p w14:paraId="639155D7" w14:textId="77777777" w:rsidR="005E4F60" w:rsidRDefault="005E4F60" w:rsidP="00967817"/>
    <w:p w14:paraId="5996FEEF" w14:textId="77777777" w:rsidR="005E4F60" w:rsidRDefault="005E4F60" w:rsidP="00967817"/>
    <w:p w14:paraId="670270FB" w14:textId="77777777" w:rsidR="00D20217" w:rsidRDefault="00D20217" w:rsidP="00967817"/>
    <w:p w14:paraId="63B54C90" w14:textId="77777777" w:rsidR="00D20217" w:rsidRDefault="00D20217" w:rsidP="00967817"/>
    <w:p w14:paraId="235CE2FD" w14:textId="77777777" w:rsidR="007E1378" w:rsidRDefault="007E1378" w:rsidP="00967817"/>
    <w:p w14:paraId="3D471910" w14:textId="77777777" w:rsidR="00D20217" w:rsidRDefault="00D20217" w:rsidP="00967817"/>
    <w:p w14:paraId="6F16609D" w14:textId="77777777" w:rsidR="00967817" w:rsidRPr="00372C04" w:rsidRDefault="00967817" w:rsidP="00967817"/>
    <w:p w14:paraId="6DFC2002" w14:textId="314B658A" w:rsidR="008D0153" w:rsidRPr="00552C65" w:rsidRDefault="00302C29" w:rsidP="00B43114">
      <w:pPr>
        <w:ind w:firstLine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20</w:t>
      </w:r>
      <w:r w:rsidR="00023E9D">
        <w:rPr>
          <w:color w:val="000000"/>
          <w:sz w:val="19"/>
          <w:szCs w:val="19"/>
        </w:rPr>
        <w:t>.02</w:t>
      </w:r>
      <w:r w:rsidR="008D0153">
        <w:rPr>
          <w:color w:val="000000"/>
          <w:sz w:val="19"/>
          <w:szCs w:val="19"/>
        </w:rPr>
        <w:t>.2018.</w:t>
      </w:r>
    </w:p>
    <w:p w14:paraId="4421F7F8" w14:textId="4231DD22" w:rsidR="008D0153" w:rsidRDefault="008D0153" w:rsidP="00B43114">
      <w:pPr>
        <w:ind w:firstLine="0"/>
        <w:jc w:val="both"/>
        <w:rPr>
          <w:color w:val="333333"/>
          <w:sz w:val="18"/>
          <w:szCs w:val="18"/>
          <w:shd w:val="clear" w:color="auto" w:fill="FFFFFF"/>
        </w:rPr>
      </w:pPr>
      <w:r>
        <w:rPr>
          <w:color w:val="333333"/>
          <w:sz w:val="18"/>
          <w:szCs w:val="18"/>
          <w:shd w:val="clear" w:color="auto" w:fill="FFFFFF"/>
        </w:rPr>
        <w:t>K.Venta-Kittele, 67021610</w:t>
      </w:r>
    </w:p>
    <w:p w14:paraId="6632B258" w14:textId="77777777" w:rsidR="008D0153" w:rsidRDefault="005B2581" w:rsidP="00B43114">
      <w:pPr>
        <w:ind w:firstLine="0"/>
        <w:jc w:val="both"/>
        <w:rPr>
          <w:color w:val="333333"/>
          <w:sz w:val="18"/>
          <w:szCs w:val="18"/>
          <w:shd w:val="clear" w:color="auto" w:fill="FFFFFF"/>
        </w:rPr>
      </w:pPr>
      <w:hyperlink r:id="rId8" w:history="1">
        <w:r w:rsidR="008D0153" w:rsidRPr="006A53D8">
          <w:rPr>
            <w:rStyle w:val="Hyperlink"/>
            <w:sz w:val="18"/>
            <w:szCs w:val="18"/>
            <w:shd w:val="clear" w:color="auto" w:fill="FFFFFF"/>
          </w:rPr>
          <w:t>kristine.venta-kittele@lm.gov.lv</w:t>
        </w:r>
      </w:hyperlink>
    </w:p>
    <w:p w14:paraId="41F0BE39" w14:textId="77777777" w:rsidR="006531D9" w:rsidRPr="008D0153" w:rsidRDefault="006531D9"/>
    <w:sectPr w:rsidR="006531D9" w:rsidRPr="008D0153" w:rsidSect="00BB152C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E62DF" w14:textId="77777777" w:rsidR="005B2581" w:rsidRDefault="005B2581" w:rsidP="006531D9">
      <w:r>
        <w:separator/>
      </w:r>
    </w:p>
  </w:endnote>
  <w:endnote w:type="continuationSeparator" w:id="0">
    <w:p w14:paraId="21FA57B1" w14:textId="77777777" w:rsidR="005B2581" w:rsidRDefault="005B2581" w:rsidP="0065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1BAA5" w14:textId="70BD1BBB" w:rsidR="00006965" w:rsidRPr="006D47BB" w:rsidRDefault="00302C29" w:rsidP="00006965">
    <w:pPr>
      <w:pStyle w:val="Footer"/>
      <w:rPr>
        <w:sz w:val="20"/>
        <w:szCs w:val="20"/>
      </w:rPr>
    </w:pPr>
    <w:r>
      <w:rPr>
        <w:sz w:val="20"/>
        <w:szCs w:val="20"/>
      </w:rPr>
      <w:t>LManot_20</w:t>
    </w:r>
    <w:r w:rsidR="00006965">
      <w:rPr>
        <w:sz w:val="20"/>
        <w:szCs w:val="20"/>
      </w:rPr>
      <w:t>0218_RikPam</w:t>
    </w:r>
  </w:p>
  <w:p w14:paraId="2E604E8F" w14:textId="77777777" w:rsidR="006531D9" w:rsidRDefault="006531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61599" w14:textId="44A51A70" w:rsidR="006D47BB" w:rsidRPr="006D47BB" w:rsidRDefault="00302C29">
    <w:pPr>
      <w:pStyle w:val="Footer"/>
      <w:rPr>
        <w:sz w:val="20"/>
        <w:szCs w:val="20"/>
      </w:rPr>
    </w:pPr>
    <w:r>
      <w:rPr>
        <w:sz w:val="20"/>
        <w:szCs w:val="20"/>
      </w:rPr>
      <w:t>LManot_20</w:t>
    </w:r>
    <w:r w:rsidR="00006965">
      <w:rPr>
        <w:sz w:val="20"/>
        <w:szCs w:val="20"/>
      </w:rPr>
      <w:t>0218_RikPam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FF03B" w14:textId="77777777" w:rsidR="005B2581" w:rsidRDefault="005B2581" w:rsidP="006531D9">
      <w:r>
        <w:separator/>
      </w:r>
    </w:p>
  </w:footnote>
  <w:footnote w:type="continuationSeparator" w:id="0">
    <w:p w14:paraId="4F3DE8C1" w14:textId="77777777" w:rsidR="005B2581" w:rsidRDefault="005B2581" w:rsidP="00653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11988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48E0994B" w14:textId="77777777" w:rsidR="0045660E" w:rsidRPr="0045660E" w:rsidRDefault="0045660E">
        <w:pPr>
          <w:pStyle w:val="Header"/>
          <w:jc w:val="center"/>
          <w:rPr>
            <w:sz w:val="24"/>
            <w:szCs w:val="24"/>
          </w:rPr>
        </w:pPr>
        <w:r w:rsidRPr="0045660E">
          <w:rPr>
            <w:sz w:val="24"/>
            <w:szCs w:val="24"/>
          </w:rPr>
          <w:fldChar w:fldCharType="begin"/>
        </w:r>
        <w:r w:rsidRPr="0045660E">
          <w:rPr>
            <w:sz w:val="24"/>
            <w:szCs w:val="24"/>
          </w:rPr>
          <w:instrText xml:space="preserve"> PAGE   \* MERGEFORMAT </w:instrText>
        </w:r>
        <w:r w:rsidRPr="0045660E">
          <w:rPr>
            <w:sz w:val="24"/>
            <w:szCs w:val="24"/>
          </w:rPr>
          <w:fldChar w:fldCharType="separate"/>
        </w:r>
        <w:r w:rsidR="00302C29">
          <w:rPr>
            <w:noProof/>
            <w:sz w:val="24"/>
            <w:szCs w:val="24"/>
          </w:rPr>
          <w:t>5</w:t>
        </w:r>
        <w:r w:rsidRPr="0045660E">
          <w:rPr>
            <w:noProof/>
            <w:sz w:val="24"/>
            <w:szCs w:val="24"/>
          </w:rPr>
          <w:fldChar w:fldCharType="end"/>
        </w:r>
      </w:p>
    </w:sdtContent>
  </w:sdt>
  <w:p w14:paraId="6B65BA52" w14:textId="77777777" w:rsidR="0045660E" w:rsidRDefault="004566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4EAB"/>
    <w:multiLevelType w:val="hybridMultilevel"/>
    <w:tmpl w:val="11A43068"/>
    <w:lvl w:ilvl="0" w:tplc="9318676C">
      <w:start w:val="4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lang w:val="en-US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04E6"/>
    <w:multiLevelType w:val="hybridMultilevel"/>
    <w:tmpl w:val="D4287B6A"/>
    <w:lvl w:ilvl="0" w:tplc="D27EDF4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D56ED"/>
    <w:multiLevelType w:val="hybridMultilevel"/>
    <w:tmpl w:val="FF306490"/>
    <w:lvl w:ilvl="0" w:tplc="AC6E8CB8">
      <w:start w:val="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B0697"/>
    <w:multiLevelType w:val="hybridMultilevel"/>
    <w:tmpl w:val="CCC2AA54"/>
    <w:lvl w:ilvl="0" w:tplc="C64E297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2B2575"/>
    <w:multiLevelType w:val="hybridMultilevel"/>
    <w:tmpl w:val="1630730E"/>
    <w:lvl w:ilvl="0" w:tplc="ACF60B9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377FE"/>
    <w:multiLevelType w:val="hybridMultilevel"/>
    <w:tmpl w:val="CCCA10AE"/>
    <w:lvl w:ilvl="0" w:tplc="D8280C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45"/>
    <w:rsid w:val="00003398"/>
    <w:rsid w:val="00006965"/>
    <w:rsid w:val="00023E9D"/>
    <w:rsid w:val="00026C7E"/>
    <w:rsid w:val="000324CC"/>
    <w:rsid w:val="00041300"/>
    <w:rsid w:val="000474D1"/>
    <w:rsid w:val="000567CE"/>
    <w:rsid w:val="00065C6D"/>
    <w:rsid w:val="000734F3"/>
    <w:rsid w:val="00076E91"/>
    <w:rsid w:val="0009264B"/>
    <w:rsid w:val="0009773D"/>
    <w:rsid w:val="000B5D59"/>
    <w:rsid w:val="000C2D84"/>
    <w:rsid w:val="000D2AA6"/>
    <w:rsid w:val="000D45FC"/>
    <w:rsid w:val="000D57FD"/>
    <w:rsid w:val="000E26DD"/>
    <w:rsid w:val="000F4ED9"/>
    <w:rsid w:val="00116196"/>
    <w:rsid w:val="001217A9"/>
    <w:rsid w:val="00160244"/>
    <w:rsid w:val="00161A19"/>
    <w:rsid w:val="00165C2E"/>
    <w:rsid w:val="00191628"/>
    <w:rsid w:val="001B537F"/>
    <w:rsid w:val="001D306A"/>
    <w:rsid w:val="001D650B"/>
    <w:rsid w:val="001E05DB"/>
    <w:rsid w:val="001E0A66"/>
    <w:rsid w:val="001E1468"/>
    <w:rsid w:val="001E748F"/>
    <w:rsid w:val="001F2AAD"/>
    <w:rsid w:val="001F60D3"/>
    <w:rsid w:val="0020142C"/>
    <w:rsid w:val="00214A36"/>
    <w:rsid w:val="00215BB7"/>
    <w:rsid w:val="0022064F"/>
    <w:rsid w:val="00221E9D"/>
    <w:rsid w:val="00236B5F"/>
    <w:rsid w:val="00246FB3"/>
    <w:rsid w:val="00254B39"/>
    <w:rsid w:val="002616C5"/>
    <w:rsid w:val="00271A3D"/>
    <w:rsid w:val="0029643A"/>
    <w:rsid w:val="002A0678"/>
    <w:rsid w:val="002A2AAE"/>
    <w:rsid w:val="002B68D9"/>
    <w:rsid w:val="002C5D69"/>
    <w:rsid w:val="002D491B"/>
    <w:rsid w:val="002D4D19"/>
    <w:rsid w:val="002F714D"/>
    <w:rsid w:val="00302C29"/>
    <w:rsid w:val="003257B9"/>
    <w:rsid w:val="00330320"/>
    <w:rsid w:val="00336477"/>
    <w:rsid w:val="00337506"/>
    <w:rsid w:val="00341F7D"/>
    <w:rsid w:val="00346A06"/>
    <w:rsid w:val="0035404C"/>
    <w:rsid w:val="0037741C"/>
    <w:rsid w:val="00380A6A"/>
    <w:rsid w:val="003911B2"/>
    <w:rsid w:val="00393334"/>
    <w:rsid w:val="003A6E7F"/>
    <w:rsid w:val="003B6392"/>
    <w:rsid w:val="003B6CD8"/>
    <w:rsid w:val="003C05AD"/>
    <w:rsid w:val="003E2851"/>
    <w:rsid w:val="003E7B13"/>
    <w:rsid w:val="003F5E63"/>
    <w:rsid w:val="00400DA3"/>
    <w:rsid w:val="00416376"/>
    <w:rsid w:val="00436FCA"/>
    <w:rsid w:val="00447EB0"/>
    <w:rsid w:val="00454B0B"/>
    <w:rsid w:val="0045660E"/>
    <w:rsid w:val="004726A1"/>
    <w:rsid w:val="004726FE"/>
    <w:rsid w:val="00497A7E"/>
    <w:rsid w:val="004A0A7E"/>
    <w:rsid w:val="004B2123"/>
    <w:rsid w:val="004D73EB"/>
    <w:rsid w:val="004E6792"/>
    <w:rsid w:val="004F0222"/>
    <w:rsid w:val="004F20B5"/>
    <w:rsid w:val="004F65FE"/>
    <w:rsid w:val="00507D2C"/>
    <w:rsid w:val="00510E34"/>
    <w:rsid w:val="00537EBD"/>
    <w:rsid w:val="00542BCC"/>
    <w:rsid w:val="00544E85"/>
    <w:rsid w:val="00554D8C"/>
    <w:rsid w:val="00566C1E"/>
    <w:rsid w:val="00573E97"/>
    <w:rsid w:val="005808BA"/>
    <w:rsid w:val="00584BD5"/>
    <w:rsid w:val="00585D0C"/>
    <w:rsid w:val="00596701"/>
    <w:rsid w:val="005A0386"/>
    <w:rsid w:val="005A71B2"/>
    <w:rsid w:val="005B2581"/>
    <w:rsid w:val="005B49DE"/>
    <w:rsid w:val="005B7F74"/>
    <w:rsid w:val="005C7AC9"/>
    <w:rsid w:val="005D27A2"/>
    <w:rsid w:val="005D7EF1"/>
    <w:rsid w:val="005E3153"/>
    <w:rsid w:val="005E4F60"/>
    <w:rsid w:val="006015FD"/>
    <w:rsid w:val="00614ADF"/>
    <w:rsid w:val="00624D19"/>
    <w:rsid w:val="0062646E"/>
    <w:rsid w:val="00630A51"/>
    <w:rsid w:val="006531D9"/>
    <w:rsid w:val="00657CE2"/>
    <w:rsid w:val="006821F7"/>
    <w:rsid w:val="006A1E24"/>
    <w:rsid w:val="006A20D5"/>
    <w:rsid w:val="006D47BB"/>
    <w:rsid w:val="006D4D78"/>
    <w:rsid w:val="006D6C2A"/>
    <w:rsid w:val="006E442F"/>
    <w:rsid w:val="006F665B"/>
    <w:rsid w:val="00717E6E"/>
    <w:rsid w:val="00726967"/>
    <w:rsid w:val="00731558"/>
    <w:rsid w:val="00752264"/>
    <w:rsid w:val="00753AE2"/>
    <w:rsid w:val="007660F3"/>
    <w:rsid w:val="00795214"/>
    <w:rsid w:val="007A0233"/>
    <w:rsid w:val="007A3790"/>
    <w:rsid w:val="007B2257"/>
    <w:rsid w:val="007B3D74"/>
    <w:rsid w:val="007B5F8C"/>
    <w:rsid w:val="007D0C22"/>
    <w:rsid w:val="007D0D90"/>
    <w:rsid w:val="007E1378"/>
    <w:rsid w:val="007F220A"/>
    <w:rsid w:val="007F3F91"/>
    <w:rsid w:val="007F7A7F"/>
    <w:rsid w:val="0081462B"/>
    <w:rsid w:val="00814A0D"/>
    <w:rsid w:val="00817844"/>
    <w:rsid w:val="008209F8"/>
    <w:rsid w:val="00822C6C"/>
    <w:rsid w:val="00825345"/>
    <w:rsid w:val="008274F2"/>
    <w:rsid w:val="00832462"/>
    <w:rsid w:val="008353BF"/>
    <w:rsid w:val="008467E5"/>
    <w:rsid w:val="00847BE5"/>
    <w:rsid w:val="00866FB1"/>
    <w:rsid w:val="00884D3F"/>
    <w:rsid w:val="008A2B91"/>
    <w:rsid w:val="008D0153"/>
    <w:rsid w:val="008F4AB5"/>
    <w:rsid w:val="00900D3D"/>
    <w:rsid w:val="009026D6"/>
    <w:rsid w:val="00915389"/>
    <w:rsid w:val="009214A5"/>
    <w:rsid w:val="0092619C"/>
    <w:rsid w:val="00930F5A"/>
    <w:rsid w:val="00934FE5"/>
    <w:rsid w:val="0094774C"/>
    <w:rsid w:val="009540B1"/>
    <w:rsid w:val="009570C1"/>
    <w:rsid w:val="00965EC4"/>
    <w:rsid w:val="00966D5A"/>
    <w:rsid w:val="00967817"/>
    <w:rsid w:val="00973FC6"/>
    <w:rsid w:val="00983F86"/>
    <w:rsid w:val="00985C7A"/>
    <w:rsid w:val="009860E5"/>
    <w:rsid w:val="00993BE1"/>
    <w:rsid w:val="009974CE"/>
    <w:rsid w:val="009A5139"/>
    <w:rsid w:val="009B7CBF"/>
    <w:rsid w:val="009C11A0"/>
    <w:rsid w:val="009C3594"/>
    <w:rsid w:val="009E09DC"/>
    <w:rsid w:val="009F0385"/>
    <w:rsid w:val="00A2087C"/>
    <w:rsid w:val="00A34FDA"/>
    <w:rsid w:val="00A441ED"/>
    <w:rsid w:val="00A465E7"/>
    <w:rsid w:val="00A60D42"/>
    <w:rsid w:val="00A77B26"/>
    <w:rsid w:val="00AA24BA"/>
    <w:rsid w:val="00AC0895"/>
    <w:rsid w:val="00AD187C"/>
    <w:rsid w:val="00AE20E0"/>
    <w:rsid w:val="00AE39A9"/>
    <w:rsid w:val="00AF488A"/>
    <w:rsid w:val="00B070FA"/>
    <w:rsid w:val="00B07EFF"/>
    <w:rsid w:val="00B11A12"/>
    <w:rsid w:val="00B23A1C"/>
    <w:rsid w:val="00B24E74"/>
    <w:rsid w:val="00B35299"/>
    <w:rsid w:val="00B43114"/>
    <w:rsid w:val="00B54764"/>
    <w:rsid w:val="00B61918"/>
    <w:rsid w:val="00B66D81"/>
    <w:rsid w:val="00B83430"/>
    <w:rsid w:val="00B9084B"/>
    <w:rsid w:val="00B95A44"/>
    <w:rsid w:val="00BB152C"/>
    <w:rsid w:val="00BB4D5D"/>
    <w:rsid w:val="00BB5B37"/>
    <w:rsid w:val="00BC09D2"/>
    <w:rsid w:val="00BC12FF"/>
    <w:rsid w:val="00BC48BE"/>
    <w:rsid w:val="00BC5A6B"/>
    <w:rsid w:val="00BD0191"/>
    <w:rsid w:val="00BE40C6"/>
    <w:rsid w:val="00BE674E"/>
    <w:rsid w:val="00BF6DD7"/>
    <w:rsid w:val="00C2313D"/>
    <w:rsid w:val="00C27B28"/>
    <w:rsid w:val="00C30105"/>
    <w:rsid w:val="00C514F5"/>
    <w:rsid w:val="00C54A22"/>
    <w:rsid w:val="00C734B0"/>
    <w:rsid w:val="00C7600C"/>
    <w:rsid w:val="00C773E9"/>
    <w:rsid w:val="00C80F53"/>
    <w:rsid w:val="00CA00F7"/>
    <w:rsid w:val="00CA58AB"/>
    <w:rsid w:val="00CA6E17"/>
    <w:rsid w:val="00CB211A"/>
    <w:rsid w:val="00CB7845"/>
    <w:rsid w:val="00CF512A"/>
    <w:rsid w:val="00CF6EE1"/>
    <w:rsid w:val="00D0141D"/>
    <w:rsid w:val="00D173F8"/>
    <w:rsid w:val="00D20217"/>
    <w:rsid w:val="00D2094C"/>
    <w:rsid w:val="00D276A0"/>
    <w:rsid w:val="00D4670A"/>
    <w:rsid w:val="00D54CFD"/>
    <w:rsid w:val="00D6377C"/>
    <w:rsid w:val="00DA0B04"/>
    <w:rsid w:val="00DA51BF"/>
    <w:rsid w:val="00DA5E6F"/>
    <w:rsid w:val="00DB28B3"/>
    <w:rsid w:val="00E01FAF"/>
    <w:rsid w:val="00E060F2"/>
    <w:rsid w:val="00E22E21"/>
    <w:rsid w:val="00E23F06"/>
    <w:rsid w:val="00E267C2"/>
    <w:rsid w:val="00E375B2"/>
    <w:rsid w:val="00E40540"/>
    <w:rsid w:val="00E42A62"/>
    <w:rsid w:val="00E440D2"/>
    <w:rsid w:val="00E45995"/>
    <w:rsid w:val="00E47E24"/>
    <w:rsid w:val="00E65307"/>
    <w:rsid w:val="00E67F00"/>
    <w:rsid w:val="00E70660"/>
    <w:rsid w:val="00E836AA"/>
    <w:rsid w:val="00E83C68"/>
    <w:rsid w:val="00E90DA7"/>
    <w:rsid w:val="00E90FE5"/>
    <w:rsid w:val="00ED59C5"/>
    <w:rsid w:val="00ED6973"/>
    <w:rsid w:val="00EE24CD"/>
    <w:rsid w:val="00F06656"/>
    <w:rsid w:val="00F23D57"/>
    <w:rsid w:val="00F25522"/>
    <w:rsid w:val="00F53308"/>
    <w:rsid w:val="00F66F26"/>
    <w:rsid w:val="00F73EC0"/>
    <w:rsid w:val="00F7728A"/>
    <w:rsid w:val="00F83B83"/>
    <w:rsid w:val="00F84DCA"/>
    <w:rsid w:val="00F9070A"/>
    <w:rsid w:val="00F941BC"/>
    <w:rsid w:val="00FB02CF"/>
    <w:rsid w:val="00FB70D1"/>
    <w:rsid w:val="00FC484D"/>
    <w:rsid w:val="00FE0AAF"/>
    <w:rsid w:val="00FE593A"/>
    <w:rsid w:val="00FE59A7"/>
    <w:rsid w:val="00FF02BF"/>
    <w:rsid w:val="00FF4E91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842DBE"/>
  <w15:docId w15:val="{FF738FEE-A226-4B32-B610-F1DCC19D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345"/>
    <w:pPr>
      <w:ind w:firstLine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1D9"/>
  </w:style>
  <w:style w:type="paragraph" w:styleId="Footer">
    <w:name w:val="footer"/>
    <w:basedOn w:val="Normal"/>
    <w:link w:val="FooterChar"/>
    <w:uiPriority w:val="99"/>
    <w:unhideWhenUsed/>
    <w:rsid w:val="00653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1D9"/>
  </w:style>
  <w:style w:type="paragraph" w:styleId="BalloonText">
    <w:name w:val="Balloon Text"/>
    <w:basedOn w:val="Normal"/>
    <w:link w:val="BalloonTextChar"/>
    <w:uiPriority w:val="99"/>
    <w:semiHidden/>
    <w:unhideWhenUsed/>
    <w:rsid w:val="00653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D9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rsid w:val="006531D9"/>
    <w:pPr>
      <w:spacing w:before="75" w:after="75"/>
      <w:ind w:firstLine="0"/>
    </w:pPr>
    <w:rPr>
      <w:rFonts w:eastAsia="Times New Roman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BD01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D0191"/>
  </w:style>
  <w:style w:type="character" w:styleId="Hyperlink">
    <w:name w:val="Hyperlink"/>
    <w:basedOn w:val="DefaultParagraphFont"/>
    <w:uiPriority w:val="99"/>
    <w:unhideWhenUsed/>
    <w:rsid w:val="00003398"/>
    <w:rPr>
      <w:color w:val="0000FF" w:themeColor="hyperlink"/>
      <w:u w:val="single"/>
    </w:rPr>
  </w:style>
  <w:style w:type="paragraph" w:customStyle="1" w:styleId="naisf">
    <w:name w:val="naisf"/>
    <w:basedOn w:val="Normal"/>
    <w:rsid w:val="004A0A7E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1F60D3"/>
    <w:pPr>
      <w:spacing w:after="120"/>
      <w:ind w:firstLine="0"/>
    </w:pPr>
    <w:rPr>
      <w:rFonts w:eastAsia="Times New Roman"/>
      <w:sz w:val="24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1F60D3"/>
    <w:rPr>
      <w:rFonts w:eastAsia="Times New Roman"/>
      <w:sz w:val="24"/>
      <w:szCs w:val="20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F4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AB5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23D57"/>
    <w:pPr>
      <w:ind w:firstLine="0"/>
    </w:pPr>
    <w:rPr>
      <w:rFonts w:eastAsia="Times New Roman"/>
      <w:sz w:val="24"/>
      <w:szCs w:val="24"/>
      <w:lang w:eastAsia="lv-LV"/>
    </w:rPr>
  </w:style>
  <w:style w:type="character" w:customStyle="1" w:styleId="NoSpacingChar">
    <w:name w:val="No Spacing Char"/>
    <w:basedOn w:val="DefaultParagraphFont"/>
    <w:link w:val="NoSpacing"/>
    <w:uiPriority w:val="1"/>
    <w:rsid w:val="00F23D57"/>
    <w:rPr>
      <w:rFonts w:eastAsia="Times New Roman"/>
      <w:sz w:val="24"/>
      <w:szCs w:val="24"/>
      <w:lang w:eastAsia="lv-LV"/>
    </w:rPr>
  </w:style>
  <w:style w:type="paragraph" w:customStyle="1" w:styleId="Bezatstarpm1">
    <w:name w:val="Bez atstarpēm1"/>
    <w:uiPriority w:val="1"/>
    <w:qFormat/>
    <w:rsid w:val="00F23D57"/>
    <w:pPr>
      <w:ind w:firstLine="0"/>
    </w:pPr>
    <w:rPr>
      <w:rFonts w:ascii="Calibri" w:eastAsia="Times New Roman" w:hAnsi="Calibri"/>
      <w:sz w:val="22"/>
      <w:szCs w:val="22"/>
      <w:lang w:val="en-US"/>
    </w:rPr>
  </w:style>
  <w:style w:type="paragraph" w:styleId="NormalWeb">
    <w:name w:val="Normal (Web)"/>
    <w:basedOn w:val="Normal"/>
    <w:rsid w:val="00B24E74"/>
    <w:pPr>
      <w:spacing w:before="100" w:beforeAutospacing="1" w:after="100" w:afterAutospacing="1"/>
      <w:ind w:firstLine="0"/>
    </w:pPr>
    <w:rPr>
      <w:rFonts w:eastAsia="Times New Roman"/>
      <w:sz w:val="24"/>
      <w:szCs w:val="20"/>
    </w:rPr>
  </w:style>
  <w:style w:type="paragraph" w:customStyle="1" w:styleId="naisnod">
    <w:name w:val="naisnod"/>
    <w:basedOn w:val="Normal"/>
    <w:rsid w:val="00FE593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venta-kittele@l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2173-6943-47A4-A6C6-96487B32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4808</Words>
  <Characters>2742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“Noteikumi par valsts noteikto braukšanas maksas atvieglojumu saņēmēju informācijas sistēmu” sākotnējās ietekmes novērtējuma ziņojums  (anotācija)</vt:lpstr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valsts noteikto braukšanas maksas atvieglojumu saņēmēju informācijas sistēmu” sākotnējās ietekmes novērtējuma ziņojums  (anotācija)</dc:title>
  <dc:creator>Sandra Tanne</dc:creator>
  <cp:lastModifiedBy>Kristine Venta-Kittele</cp:lastModifiedBy>
  <cp:revision>47</cp:revision>
  <cp:lastPrinted>2018-02-20T09:47:00Z</cp:lastPrinted>
  <dcterms:created xsi:type="dcterms:W3CDTF">2018-02-08T08:12:00Z</dcterms:created>
  <dcterms:modified xsi:type="dcterms:W3CDTF">2018-02-20T09:47:00Z</dcterms:modified>
</cp:coreProperties>
</file>